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489511" w14:textId="410F0D9D" w:rsidR="00EE251E" w:rsidRPr="00F64C4F" w:rsidRDefault="00F64C4F" w:rsidP="00EA2769">
      <w:pPr>
        <w:pStyle w:val="Header"/>
        <w:spacing w:line="360" w:lineRule="auto"/>
        <w:jc w:val="center"/>
        <w:rPr>
          <w:rFonts w:ascii="Times New Roman" w:hAnsi="Times New Roman" w:cs="Times New Roman"/>
          <w:sz w:val="36"/>
          <w:szCs w:val="36"/>
        </w:rPr>
      </w:pPr>
      <w:r w:rsidRPr="00F64C4F">
        <w:rPr>
          <w:rFonts w:ascii="Times New Roman" w:hAnsi="Times New Roman" w:cs="Times New Roman"/>
          <w:sz w:val="36"/>
          <w:szCs w:val="36"/>
        </w:rPr>
        <w:t>Witchcraft Ac</w:t>
      </w:r>
      <w:r w:rsidR="008313A7">
        <w:rPr>
          <w:rFonts w:ascii="Times New Roman" w:hAnsi="Times New Roman" w:cs="Times New Roman"/>
          <w:sz w:val="36"/>
          <w:szCs w:val="36"/>
        </w:rPr>
        <w:t>cusations and Persecution as a Mechanism for the Marginalisation of W</w:t>
      </w:r>
      <w:r w:rsidRPr="00F64C4F">
        <w:rPr>
          <w:rFonts w:ascii="Times New Roman" w:hAnsi="Times New Roman" w:cs="Times New Roman"/>
          <w:sz w:val="36"/>
          <w:szCs w:val="36"/>
        </w:rPr>
        <w:t>omen</w:t>
      </w:r>
    </w:p>
    <w:p w14:paraId="4C2B3820" w14:textId="77777777" w:rsidR="00EA2769" w:rsidRDefault="00EA2769" w:rsidP="00EA2769">
      <w:pPr>
        <w:pStyle w:val="Header"/>
        <w:spacing w:line="360" w:lineRule="auto"/>
        <w:jc w:val="center"/>
        <w:rPr>
          <w:rFonts w:ascii="Times New Roman" w:hAnsi="Times New Roman" w:cs="Times New Roman"/>
          <w:sz w:val="32"/>
          <w:szCs w:val="32"/>
        </w:rPr>
      </w:pPr>
    </w:p>
    <w:p w14:paraId="3114EE68" w14:textId="77777777" w:rsidR="00EA2769" w:rsidRDefault="00EA2769" w:rsidP="00EA2769">
      <w:pPr>
        <w:pStyle w:val="Header"/>
        <w:spacing w:line="360" w:lineRule="auto"/>
        <w:jc w:val="center"/>
        <w:rPr>
          <w:rFonts w:ascii="Times New Roman" w:hAnsi="Times New Roman" w:cs="Times New Roman"/>
          <w:sz w:val="32"/>
          <w:szCs w:val="32"/>
        </w:rPr>
      </w:pPr>
      <w:r>
        <w:rPr>
          <w:rFonts w:ascii="Times New Roman" w:hAnsi="Times New Roman" w:cs="Times New Roman"/>
          <w:sz w:val="32"/>
          <w:szCs w:val="32"/>
        </w:rPr>
        <w:t>by</w:t>
      </w:r>
    </w:p>
    <w:p w14:paraId="0B0AC9E6" w14:textId="77777777" w:rsidR="00EA2769" w:rsidRDefault="00EA2769" w:rsidP="00EA2769">
      <w:pPr>
        <w:pStyle w:val="Header"/>
        <w:spacing w:line="360" w:lineRule="auto"/>
        <w:jc w:val="center"/>
        <w:rPr>
          <w:rFonts w:ascii="Times New Roman" w:hAnsi="Times New Roman" w:cs="Times New Roman"/>
          <w:sz w:val="32"/>
          <w:szCs w:val="32"/>
        </w:rPr>
      </w:pPr>
    </w:p>
    <w:p w14:paraId="37F04649" w14:textId="77777777" w:rsidR="00EA2769" w:rsidRDefault="00EA2769" w:rsidP="00EA2769">
      <w:pPr>
        <w:pStyle w:val="Header"/>
        <w:spacing w:line="360" w:lineRule="auto"/>
        <w:jc w:val="center"/>
        <w:rPr>
          <w:rFonts w:ascii="Times New Roman" w:hAnsi="Times New Roman" w:cs="Times New Roman"/>
          <w:sz w:val="32"/>
          <w:szCs w:val="32"/>
        </w:rPr>
      </w:pPr>
      <w:r>
        <w:rPr>
          <w:rFonts w:ascii="Times New Roman" w:hAnsi="Times New Roman" w:cs="Times New Roman"/>
          <w:sz w:val="32"/>
          <w:szCs w:val="32"/>
        </w:rPr>
        <w:t>Samantha Spence</w:t>
      </w:r>
    </w:p>
    <w:p w14:paraId="17C52E2C" w14:textId="77777777" w:rsidR="00EA2769" w:rsidRDefault="00EA2769" w:rsidP="00EA2769">
      <w:pPr>
        <w:pStyle w:val="Header"/>
        <w:spacing w:line="360" w:lineRule="auto"/>
        <w:jc w:val="center"/>
        <w:rPr>
          <w:rFonts w:ascii="Times New Roman" w:hAnsi="Times New Roman" w:cs="Times New Roman"/>
          <w:sz w:val="32"/>
          <w:szCs w:val="32"/>
        </w:rPr>
      </w:pPr>
    </w:p>
    <w:p w14:paraId="028904B0" w14:textId="77777777" w:rsidR="00EA2769" w:rsidRPr="00EA2769" w:rsidRDefault="00EA2769" w:rsidP="00EA2769">
      <w:pPr>
        <w:pStyle w:val="Header"/>
        <w:spacing w:line="360" w:lineRule="auto"/>
        <w:jc w:val="center"/>
        <w:rPr>
          <w:rFonts w:ascii="Times New Roman" w:hAnsi="Times New Roman" w:cs="Times New Roman"/>
          <w:sz w:val="26"/>
          <w:szCs w:val="26"/>
        </w:rPr>
      </w:pPr>
      <w:r w:rsidRPr="00EA2769">
        <w:rPr>
          <w:rFonts w:ascii="Times New Roman" w:hAnsi="Times New Roman" w:cs="Times New Roman"/>
          <w:sz w:val="26"/>
          <w:szCs w:val="26"/>
        </w:rPr>
        <w:t>LLB (Hons) Edge Hill University 2010</w:t>
      </w:r>
    </w:p>
    <w:p w14:paraId="5D8577FA" w14:textId="77777777" w:rsidR="00EA2769" w:rsidRPr="00EA2769" w:rsidRDefault="00EA2769" w:rsidP="00EA2769">
      <w:pPr>
        <w:pStyle w:val="Header"/>
        <w:spacing w:line="360" w:lineRule="auto"/>
        <w:jc w:val="center"/>
        <w:rPr>
          <w:rFonts w:ascii="Times New Roman" w:hAnsi="Times New Roman" w:cs="Times New Roman"/>
          <w:sz w:val="26"/>
          <w:szCs w:val="26"/>
        </w:rPr>
      </w:pPr>
      <w:r w:rsidRPr="00EA2769">
        <w:rPr>
          <w:rFonts w:ascii="Times New Roman" w:hAnsi="Times New Roman" w:cs="Times New Roman"/>
          <w:sz w:val="26"/>
          <w:szCs w:val="26"/>
        </w:rPr>
        <w:t>LLM (Research) Edge Hill University 2013</w:t>
      </w:r>
    </w:p>
    <w:p w14:paraId="645899D2" w14:textId="77777777" w:rsidR="00EA2769" w:rsidRDefault="00EA2769" w:rsidP="00EA2769">
      <w:pPr>
        <w:pStyle w:val="Header"/>
        <w:spacing w:line="360" w:lineRule="auto"/>
        <w:jc w:val="center"/>
        <w:rPr>
          <w:rFonts w:ascii="Times New Roman" w:hAnsi="Times New Roman" w:cs="Times New Roman"/>
          <w:sz w:val="24"/>
          <w:szCs w:val="24"/>
        </w:rPr>
      </w:pPr>
    </w:p>
    <w:p w14:paraId="361202A1" w14:textId="77777777" w:rsidR="00EA2769" w:rsidRDefault="00EA2769" w:rsidP="00EA2769">
      <w:pPr>
        <w:pStyle w:val="Header"/>
        <w:spacing w:line="360" w:lineRule="auto"/>
        <w:jc w:val="center"/>
        <w:rPr>
          <w:rFonts w:ascii="Times New Roman" w:hAnsi="Times New Roman" w:cs="Times New Roman"/>
          <w:sz w:val="28"/>
          <w:szCs w:val="28"/>
        </w:rPr>
      </w:pPr>
    </w:p>
    <w:p w14:paraId="6BFB9F32" w14:textId="77777777" w:rsidR="00EA2769" w:rsidRDefault="00EA2769" w:rsidP="00EA2769">
      <w:pPr>
        <w:pStyle w:val="Header"/>
        <w:spacing w:line="360" w:lineRule="auto"/>
        <w:jc w:val="center"/>
        <w:rPr>
          <w:rFonts w:ascii="Times New Roman" w:hAnsi="Times New Roman" w:cs="Times New Roman"/>
          <w:sz w:val="28"/>
          <w:szCs w:val="28"/>
        </w:rPr>
      </w:pPr>
    </w:p>
    <w:p w14:paraId="2F1730A9" w14:textId="77777777" w:rsidR="00EA2769" w:rsidRDefault="00EA2769" w:rsidP="00EA2769">
      <w:pPr>
        <w:pStyle w:val="Header"/>
        <w:spacing w:line="360" w:lineRule="auto"/>
        <w:jc w:val="center"/>
        <w:rPr>
          <w:rFonts w:ascii="Times New Roman" w:hAnsi="Times New Roman" w:cs="Times New Roman"/>
          <w:sz w:val="28"/>
          <w:szCs w:val="28"/>
        </w:rPr>
      </w:pPr>
    </w:p>
    <w:p w14:paraId="27B281A9" w14:textId="77777777" w:rsidR="00EA2769" w:rsidRPr="00EE251E" w:rsidRDefault="00EA2769" w:rsidP="00EA2769">
      <w:pPr>
        <w:pStyle w:val="Header"/>
        <w:spacing w:line="360" w:lineRule="auto"/>
        <w:jc w:val="center"/>
        <w:rPr>
          <w:rFonts w:ascii="Times New Roman" w:hAnsi="Times New Roman" w:cs="Times New Roman"/>
          <w:i/>
          <w:sz w:val="28"/>
          <w:szCs w:val="28"/>
        </w:rPr>
      </w:pPr>
    </w:p>
    <w:p w14:paraId="06250811" w14:textId="77777777" w:rsidR="00EA2769" w:rsidRPr="00EE251E" w:rsidRDefault="00EA2769" w:rsidP="00EA2769">
      <w:pPr>
        <w:pStyle w:val="Header"/>
        <w:spacing w:line="360" w:lineRule="auto"/>
        <w:jc w:val="center"/>
        <w:rPr>
          <w:rFonts w:ascii="Times New Roman" w:hAnsi="Times New Roman" w:cs="Times New Roman"/>
          <w:i/>
          <w:sz w:val="28"/>
          <w:szCs w:val="28"/>
        </w:rPr>
      </w:pPr>
      <w:r w:rsidRPr="00EE251E">
        <w:rPr>
          <w:rFonts w:ascii="Times New Roman" w:hAnsi="Times New Roman" w:cs="Times New Roman"/>
          <w:i/>
          <w:sz w:val="28"/>
          <w:szCs w:val="28"/>
        </w:rPr>
        <w:t>A THESIS SUBMITTED FOR THE DEGREE OF DOCTOR OF PHILOSOPHY (PhD) IN THE LAW SCHOOL, LANCASTER UNIVERSITY, UK</w:t>
      </w:r>
    </w:p>
    <w:p w14:paraId="55B31538" w14:textId="77777777" w:rsidR="00EA2769" w:rsidRDefault="00EA2769" w:rsidP="00EA2769">
      <w:pPr>
        <w:pStyle w:val="Header"/>
        <w:spacing w:line="360" w:lineRule="auto"/>
        <w:jc w:val="center"/>
        <w:rPr>
          <w:rFonts w:ascii="Times New Roman" w:hAnsi="Times New Roman" w:cs="Times New Roman"/>
          <w:sz w:val="24"/>
          <w:szCs w:val="24"/>
        </w:rPr>
      </w:pPr>
    </w:p>
    <w:p w14:paraId="5241E327" w14:textId="77777777" w:rsidR="00EA2769" w:rsidRDefault="00EA2769" w:rsidP="00EA2769">
      <w:pPr>
        <w:pStyle w:val="Header"/>
        <w:spacing w:line="360" w:lineRule="auto"/>
        <w:jc w:val="center"/>
        <w:rPr>
          <w:rFonts w:ascii="Times New Roman" w:hAnsi="Times New Roman" w:cs="Times New Roman"/>
          <w:sz w:val="24"/>
          <w:szCs w:val="24"/>
        </w:rPr>
      </w:pPr>
    </w:p>
    <w:p w14:paraId="44B438E4" w14:textId="77777777" w:rsidR="00EA2769" w:rsidRDefault="00EA2769" w:rsidP="00EA2769">
      <w:pPr>
        <w:pStyle w:val="Header"/>
        <w:spacing w:line="360" w:lineRule="auto"/>
        <w:jc w:val="center"/>
        <w:rPr>
          <w:rFonts w:ascii="Times New Roman" w:hAnsi="Times New Roman" w:cs="Times New Roman"/>
          <w:sz w:val="24"/>
          <w:szCs w:val="24"/>
        </w:rPr>
      </w:pPr>
    </w:p>
    <w:p w14:paraId="50F767FB" w14:textId="77777777" w:rsidR="00EA2769" w:rsidRDefault="00EA2769" w:rsidP="00EA2769">
      <w:pPr>
        <w:pStyle w:val="Header"/>
        <w:spacing w:line="360" w:lineRule="auto"/>
        <w:jc w:val="center"/>
        <w:rPr>
          <w:rFonts w:ascii="Times New Roman" w:hAnsi="Times New Roman" w:cs="Times New Roman"/>
          <w:sz w:val="24"/>
          <w:szCs w:val="24"/>
        </w:rPr>
      </w:pPr>
    </w:p>
    <w:p w14:paraId="3E5CEA44" w14:textId="77777777" w:rsidR="00EA2769" w:rsidRDefault="00EA2769" w:rsidP="00EA2769">
      <w:pPr>
        <w:pStyle w:val="Header"/>
        <w:spacing w:line="360" w:lineRule="auto"/>
        <w:jc w:val="center"/>
        <w:rPr>
          <w:rFonts w:ascii="Times New Roman" w:hAnsi="Times New Roman" w:cs="Times New Roman"/>
          <w:sz w:val="24"/>
          <w:szCs w:val="24"/>
        </w:rPr>
      </w:pPr>
    </w:p>
    <w:p w14:paraId="0D9403A1" w14:textId="045D1530" w:rsidR="00EA2769" w:rsidRDefault="00EA2769" w:rsidP="00EA2769">
      <w:pPr>
        <w:pStyle w:val="Header"/>
        <w:spacing w:line="360" w:lineRule="auto"/>
        <w:jc w:val="center"/>
        <w:rPr>
          <w:rFonts w:ascii="Times New Roman" w:hAnsi="Times New Roman" w:cs="Times New Roman"/>
          <w:sz w:val="24"/>
          <w:szCs w:val="24"/>
        </w:rPr>
      </w:pPr>
      <w:r>
        <w:rPr>
          <w:rFonts w:ascii="Times New Roman" w:hAnsi="Times New Roman" w:cs="Times New Roman"/>
          <w:sz w:val="24"/>
          <w:szCs w:val="24"/>
        </w:rPr>
        <w:t>(</w:t>
      </w:r>
      <w:r w:rsidR="004D679E">
        <w:rPr>
          <w:rFonts w:ascii="Times New Roman" w:hAnsi="Times New Roman" w:cs="Times New Roman"/>
          <w:sz w:val="24"/>
          <w:szCs w:val="24"/>
        </w:rPr>
        <w:t>JUNE</w:t>
      </w:r>
      <w:r>
        <w:rPr>
          <w:rFonts w:ascii="Times New Roman" w:hAnsi="Times New Roman" w:cs="Times New Roman"/>
          <w:sz w:val="24"/>
          <w:szCs w:val="24"/>
        </w:rPr>
        <w:t xml:space="preserve"> 2016)</w:t>
      </w:r>
    </w:p>
    <w:p w14:paraId="025BF190" w14:textId="77777777" w:rsidR="00EA2769" w:rsidRDefault="00EA2769" w:rsidP="00EA2769">
      <w:pPr>
        <w:pStyle w:val="Header"/>
        <w:spacing w:line="360" w:lineRule="auto"/>
        <w:jc w:val="center"/>
        <w:rPr>
          <w:rFonts w:ascii="Times New Roman" w:hAnsi="Times New Roman" w:cs="Times New Roman"/>
          <w:sz w:val="24"/>
          <w:szCs w:val="24"/>
        </w:rPr>
      </w:pPr>
    </w:p>
    <w:p w14:paraId="1C4ECC06" w14:textId="77777777" w:rsidR="00EA2769" w:rsidRPr="00EA2769" w:rsidRDefault="00EA2769" w:rsidP="00EA2769">
      <w:pPr>
        <w:pStyle w:val="Header"/>
        <w:spacing w:line="360" w:lineRule="auto"/>
        <w:jc w:val="center"/>
        <w:rPr>
          <w:rFonts w:ascii="Times New Roman" w:hAnsi="Times New Roman" w:cs="Times New Roman"/>
          <w:sz w:val="24"/>
          <w:szCs w:val="24"/>
        </w:rPr>
      </w:pPr>
      <w:r>
        <w:rPr>
          <w:rFonts w:ascii="Times New Roman" w:hAnsi="Times New Roman" w:cs="Times New Roman"/>
          <w:sz w:val="24"/>
          <w:szCs w:val="24"/>
        </w:rPr>
        <w:t xml:space="preserve">© Samantha Spence </w:t>
      </w:r>
    </w:p>
    <w:p w14:paraId="15F5CA31" w14:textId="77777777" w:rsidR="00EA2769" w:rsidRPr="00EA2769" w:rsidRDefault="00EA2769" w:rsidP="00EA2769">
      <w:pPr>
        <w:pStyle w:val="Header"/>
        <w:spacing w:line="360" w:lineRule="auto"/>
        <w:jc w:val="center"/>
        <w:rPr>
          <w:rFonts w:ascii="Times New Roman" w:hAnsi="Times New Roman" w:cs="Times New Roman"/>
          <w:sz w:val="32"/>
          <w:szCs w:val="32"/>
        </w:rPr>
      </w:pPr>
    </w:p>
    <w:p w14:paraId="115A7346" w14:textId="77777777" w:rsidR="008574C4" w:rsidRDefault="008574C4">
      <w:pPr>
        <w:rPr>
          <w:sz w:val="24"/>
          <w:szCs w:val="24"/>
          <w:vertAlign w:val="baseline"/>
        </w:rPr>
      </w:pPr>
    </w:p>
    <w:p w14:paraId="246ADB82" w14:textId="77777777" w:rsidR="0000703F" w:rsidRDefault="0000703F" w:rsidP="00C25EF6">
      <w:pPr>
        <w:jc w:val="center"/>
        <w:rPr>
          <w:rFonts w:ascii="Times New Roman" w:hAnsi="Times New Roman" w:cs="Times New Roman"/>
          <w:b/>
          <w:sz w:val="28"/>
          <w:szCs w:val="28"/>
          <w:vertAlign w:val="baseline"/>
        </w:rPr>
      </w:pPr>
    </w:p>
    <w:p w14:paraId="3273DF45" w14:textId="77777777" w:rsidR="0000703F" w:rsidRDefault="0000703F" w:rsidP="00C25EF6">
      <w:pPr>
        <w:jc w:val="center"/>
        <w:rPr>
          <w:rFonts w:ascii="Times New Roman" w:hAnsi="Times New Roman" w:cs="Times New Roman"/>
          <w:b/>
          <w:sz w:val="28"/>
          <w:szCs w:val="28"/>
          <w:vertAlign w:val="baseline"/>
        </w:rPr>
      </w:pPr>
    </w:p>
    <w:p w14:paraId="22493A20" w14:textId="77777777" w:rsidR="0000703F" w:rsidRDefault="0000703F" w:rsidP="00C25EF6">
      <w:pPr>
        <w:jc w:val="center"/>
        <w:rPr>
          <w:rFonts w:ascii="Times New Roman" w:hAnsi="Times New Roman" w:cs="Times New Roman"/>
          <w:b/>
          <w:sz w:val="28"/>
          <w:szCs w:val="28"/>
          <w:vertAlign w:val="baseline"/>
        </w:rPr>
      </w:pPr>
    </w:p>
    <w:p w14:paraId="610DF756" w14:textId="2D4EBF08" w:rsidR="00C25EF6" w:rsidRDefault="00C25EF6" w:rsidP="00C25EF6">
      <w:pPr>
        <w:jc w:val="center"/>
        <w:rPr>
          <w:rFonts w:ascii="Times New Roman" w:hAnsi="Times New Roman" w:cs="Times New Roman"/>
          <w:b/>
          <w:sz w:val="28"/>
          <w:szCs w:val="28"/>
          <w:vertAlign w:val="baseline"/>
        </w:rPr>
      </w:pPr>
      <w:r w:rsidRPr="00C25EF6">
        <w:rPr>
          <w:rFonts w:ascii="Times New Roman" w:hAnsi="Times New Roman" w:cs="Times New Roman"/>
          <w:b/>
          <w:sz w:val="28"/>
          <w:szCs w:val="28"/>
          <w:vertAlign w:val="baseline"/>
        </w:rPr>
        <w:lastRenderedPageBreak/>
        <w:t>DECLARATION</w:t>
      </w:r>
    </w:p>
    <w:p w14:paraId="4D75710F" w14:textId="77777777" w:rsidR="00C25EF6" w:rsidRDefault="00C25EF6" w:rsidP="00C25EF6">
      <w:pPr>
        <w:jc w:val="center"/>
        <w:rPr>
          <w:rFonts w:ascii="Times New Roman" w:hAnsi="Times New Roman" w:cs="Times New Roman"/>
          <w:b/>
          <w:sz w:val="28"/>
          <w:szCs w:val="28"/>
          <w:vertAlign w:val="baseline"/>
        </w:rPr>
      </w:pPr>
    </w:p>
    <w:p w14:paraId="41034EB4" w14:textId="77777777" w:rsidR="00C25EF6" w:rsidRDefault="00C25EF6" w:rsidP="00C25EF6">
      <w:pPr>
        <w:jc w:val="center"/>
        <w:rPr>
          <w:rFonts w:ascii="Times New Roman" w:hAnsi="Times New Roman" w:cs="Times New Roman"/>
          <w:b/>
          <w:sz w:val="28"/>
          <w:szCs w:val="28"/>
          <w:vertAlign w:val="baseline"/>
        </w:rPr>
      </w:pPr>
    </w:p>
    <w:p w14:paraId="047CFBEE" w14:textId="77777777" w:rsidR="005D5D19" w:rsidRDefault="005D5D19" w:rsidP="00C25EF6">
      <w:pPr>
        <w:spacing w:line="480" w:lineRule="auto"/>
        <w:jc w:val="center"/>
        <w:rPr>
          <w:rFonts w:ascii="Times New Roman" w:hAnsi="Times New Roman" w:cs="Times New Roman"/>
          <w:sz w:val="28"/>
          <w:szCs w:val="28"/>
          <w:vertAlign w:val="baseline"/>
        </w:rPr>
      </w:pPr>
    </w:p>
    <w:p w14:paraId="7D0A0BC8" w14:textId="77777777" w:rsidR="00C25EF6" w:rsidRDefault="00C25EF6" w:rsidP="00C25EF6">
      <w:pPr>
        <w:spacing w:line="480" w:lineRule="auto"/>
        <w:jc w:val="center"/>
        <w:rPr>
          <w:rFonts w:ascii="Times New Roman" w:hAnsi="Times New Roman" w:cs="Times New Roman"/>
          <w:sz w:val="28"/>
          <w:szCs w:val="28"/>
          <w:vertAlign w:val="baseline"/>
        </w:rPr>
        <w:sectPr w:rsidR="00C25EF6" w:rsidSect="00EA2769">
          <w:footerReference w:type="default" r:id="rId9"/>
          <w:pgSz w:w="11900" w:h="16840"/>
          <w:pgMar w:top="1418" w:right="1418" w:bottom="1418" w:left="2155" w:header="708" w:footer="708" w:gutter="0"/>
          <w:cols w:space="708"/>
          <w:docGrid w:linePitch="360"/>
        </w:sectPr>
      </w:pPr>
      <w:r>
        <w:rPr>
          <w:rFonts w:ascii="Times New Roman" w:hAnsi="Times New Roman" w:cs="Times New Roman"/>
          <w:sz w:val="28"/>
          <w:szCs w:val="28"/>
          <w:vertAlign w:val="baseline"/>
        </w:rPr>
        <w:t>I confirm that the thesis is my own work, that it has not been submitted in substantially the same form for the award of a higher degree elsewhere, and that all quotations have been distinguished and the sources of identification specifically acknowledged.</w:t>
      </w:r>
    </w:p>
    <w:p w14:paraId="36EF1D18" w14:textId="05730221" w:rsidR="00C25EF6" w:rsidRDefault="00C25EF6" w:rsidP="00C25EF6">
      <w:pPr>
        <w:spacing w:line="480" w:lineRule="auto"/>
        <w:jc w:val="center"/>
        <w:rPr>
          <w:rFonts w:ascii="Times New Roman" w:hAnsi="Times New Roman" w:cs="Times New Roman"/>
          <w:b/>
          <w:sz w:val="28"/>
          <w:szCs w:val="28"/>
          <w:vertAlign w:val="baseline"/>
        </w:rPr>
      </w:pPr>
      <w:r w:rsidRPr="00C25EF6">
        <w:rPr>
          <w:rFonts w:ascii="Times New Roman" w:hAnsi="Times New Roman" w:cs="Times New Roman"/>
          <w:b/>
          <w:sz w:val="28"/>
          <w:szCs w:val="28"/>
          <w:vertAlign w:val="baseline"/>
        </w:rPr>
        <w:t>ABSTRACT</w:t>
      </w:r>
    </w:p>
    <w:p w14:paraId="28255E6B" w14:textId="77777777" w:rsidR="00C25EF6" w:rsidRPr="000B7C26" w:rsidRDefault="00C25EF6" w:rsidP="000B7C26">
      <w:pPr>
        <w:spacing w:line="480" w:lineRule="auto"/>
        <w:jc w:val="both"/>
        <w:rPr>
          <w:rFonts w:ascii="Times New Roman" w:hAnsi="Times New Roman" w:cs="Times New Roman"/>
          <w:b/>
          <w:sz w:val="24"/>
          <w:szCs w:val="24"/>
          <w:vertAlign w:val="baseline"/>
        </w:rPr>
      </w:pPr>
    </w:p>
    <w:p w14:paraId="57B620FB" w14:textId="62ABDD99" w:rsidR="00750081" w:rsidRDefault="00956664" w:rsidP="000B7C26">
      <w:pPr>
        <w:spacing w:line="480" w:lineRule="auto"/>
        <w:jc w:val="both"/>
        <w:rPr>
          <w:rFonts w:ascii="Times New Roman" w:hAnsi="Times New Roman" w:cs="Times New Roman"/>
          <w:sz w:val="24"/>
          <w:szCs w:val="24"/>
          <w:vertAlign w:val="baseline"/>
        </w:rPr>
      </w:pPr>
      <w:r w:rsidRPr="000B7C26">
        <w:rPr>
          <w:rFonts w:ascii="Times New Roman" w:hAnsi="Times New Roman" w:cs="Times New Roman"/>
          <w:sz w:val="24"/>
          <w:szCs w:val="24"/>
          <w:vertAlign w:val="baseline"/>
        </w:rPr>
        <w:t xml:space="preserve">In this thesis it is suggested that witchcraft accusations and persecution are being used as a marginalisation mechanism of women. </w:t>
      </w:r>
      <w:r w:rsidR="00FB3BCF" w:rsidRPr="000B7C26">
        <w:rPr>
          <w:rFonts w:ascii="Times New Roman" w:hAnsi="Times New Roman" w:cs="Times New Roman"/>
          <w:sz w:val="24"/>
          <w:szCs w:val="24"/>
          <w:vertAlign w:val="baseline"/>
        </w:rPr>
        <w:t xml:space="preserve">The re-emergence of witchcraft beliefs in contemporary society and the prevalence of the violence associated with such beliefs </w:t>
      </w:r>
      <w:r w:rsidR="00921305" w:rsidRPr="000B7C26">
        <w:rPr>
          <w:rFonts w:ascii="Times New Roman" w:hAnsi="Times New Roman" w:cs="Times New Roman"/>
          <w:sz w:val="24"/>
          <w:szCs w:val="24"/>
          <w:vertAlign w:val="baseline"/>
        </w:rPr>
        <w:t xml:space="preserve">has received little attention within academic literature, yet witchcraft </w:t>
      </w:r>
      <w:r w:rsidR="005D5D19">
        <w:rPr>
          <w:rFonts w:ascii="Times New Roman" w:hAnsi="Times New Roman" w:cs="Times New Roman"/>
          <w:sz w:val="24"/>
          <w:szCs w:val="24"/>
          <w:vertAlign w:val="baseline"/>
        </w:rPr>
        <w:t xml:space="preserve">related </w:t>
      </w:r>
      <w:r w:rsidR="00921305" w:rsidRPr="000B7C26">
        <w:rPr>
          <w:rFonts w:ascii="Times New Roman" w:hAnsi="Times New Roman" w:cs="Times New Roman"/>
          <w:sz w:val="24"/>
          <w:szCs w:val="24"/>
          <w:vertAlign w:val="baseline"/>
        </w:rPr>
        <w:t>violence against women is</w:t>
      </w:r>
      <w:r w:rsidR="00EC0986">
        <w:rPr>
          <w:rFonts w:ascii="Times New Roman" w:hAnsi="Times New Roman" w:cs="Times New Roman"/>
          <w:sz w:val="24"/>
          <w:szCs w:val="24"/>
          <w:vertAlign w:val="baseline"/>
        </w:rPr>
        <w:t>,</w:t>
      </w:r>
      <w:r w:rsidR="00921305" w:rsidRPr="000B7C26">
        <w:rPr>
          <w:rFonts w:ascii="Times New Roman" w:hAnsi="Times New Roman" w:cs="Times New Roman"/>
          <w:sz w:val="24"/>
          <w:szCs w:val="24"/>
          <w:vertAlign w:val="baseline"/>
        </w:rPr>
        <w:t xml:space="preserve"> progressively</w:t>
      </w:r>
      <w:r w:rsidR="00EC0986">
        <w:rPr>
          <w:rFonts w:ascii="Times New Roman" w:hAnsi="Times New Roman" w:cs="Times New Roman"/>
          <w:sz w:val="24"/>
          <w:szCs w:val="24"/>
          <w:vertAlign w:val="baseline"/>
        </w:rPr>
        <w:t>,</w:t>
      </w:r>
      <w:r w:rsidR="00921305" w:rsidRPr="000B7C26">
        <w:rPr>
          <w:rFonts w:ascii="Times New Roman" w:hAnsi="Times New Roman" w:cs="Times New Roman"/>
          <w:sz w:val="24"/>
          <w:szCs w:val="24"/>
          <w:vertAlign w:val="baseline"/>
        </w:rPr>
        <w:t xml:space="preserve"> becoming one of the most pervasive forms of violence facing women to-date. </w:t>
      </w:r>
      <w:r w:rsidRPr="000B7C26">
        <w:rPr>
          <w:rFonts w:ascii="Times New Roman" w:hAnsi="Times New Roman" w:cs="Times New Roman"/>
          <w:sz w:val="24"/>
          <w:szCs w:val="24"/>
          <w:vertAlign w:val="baseline"/>
        </w:rPr>
        <w:t xml:space="preserve">This thesis </w:t>
      </w:r>
      <w:r w:rsidR="00487CA1" w:rsidRPr="000B7C26">
        <w:rPr>
          <w:rFonts w:ascii="Times New Roman" w:hAnsi="Times New Roman" w:cs="Times New Roman"/>
          <w:sz w:val="24"/>
          <w:szCs w:val="24"/>
          <w:vertAlign w:val="baseline"/>
        </w:rPr>
        <w:t>addresses this gap in the literature, discussing</w:t>
      </w:r>
      <w:r w:rsidRPr="000B7C26">
        <w:rPr>
          <w:rFonts w:ascii="Times New Roman" w:hAnsi="Times New Roman" w:cs="Times New Roman"/>
          <w:sz w:val="24"/>
          <w:szCs w:val="24"/>
          <w:vertAlign w:val="baseline"/>
        </w:rPr>
        <w:t xml:space="preserve"> the re-emergence of witchcraft b</w:t>
      </w:r>
      <w:r w:rsidR="00011267" w:rsidRPr="000B7C26">
        <w:rPr>
          <w:rFonts w:ascii="Times New Roman" w:hAnsi="Times New Roman" w:cs="Times New Roman"/>
          <w:sz w:val="24"/>
          <w:szCs w:val="24"/>
          <w:vertAlign w:val="baseline"/>
        </w:rPr>
        <w:t>eliefs in c</w:t>
      </w:r>
      <w:r w:rsidR="00770D45" w:rsidRPr="000B7C26">
        <w:rPr>
          <w:rFonts w:ascii="Times New Roman" w:hAnsi="Times New Roman" w:cs="Times New Roman"/>
          <w:sz w:val="24"/>
          <w:szCs w:val="24"/>
          <w:vertAlign w:val="baseline"/>
        </w:rPr>
        <w:t>ontemporary society, whilst</w:t>
      </w:r>
      <w:r w:rsidR="00411FCD" w:rsidRPr="000B7C26">
        <w:rPr>
          <w:rFonts w:ascii="Times New Roman" w:hAnsi="Times New Roman" w:cs="Times New Roman"/>
          <w:sz w:val="24"/>
          <w:szCs w:val="24"/>
          <w:vertAlign w:val="baseline"/>
        </w:rPr>
        <w:t xml:space="preserve"> assessing</w:t>
      </w:r>
      <w:r w:rsidR="00011267" w:rsidRPr="000B7C26">
        <w:rPr>
          <w:rFonts w:ascii="Times New Roman" w:hAnsi="Times New Roman" w:cs="Times New Roman"/>
          <w:sz w:val="24"/>
          <w:szCs w:val="24"/>
          <w:vertAlign w:val="baseline"/>
        </w:rPr>
        <w:t xml:space="preserve"> the effectiveness of international human rights law in protecting women from witchcraft accusations and persecution.</w:t>
      </w:r>
      <w:r w:rsidR="00AD1ADE" w:rsidRPr="000B7C26">
        <w:rPr>
          <w:rFonts w:ascii="Times New Roman" w:hAnsi="Times New Roman" w:cs="Times New Roman"/>
          <w:sz w:val="24"/>
          <w:szCs w:val="24"/>
          <w:vertAlign w:val="baseline"/>
        </w:rPr>
        <w:t xml:space="preserve"> Owing to the complexity of the topic, this thesis adopts an interdisciplinary approach, drawing on feminist commentary from disciplines of anthropology, history, law, politics and sociology</w:t>
      </w:r>
      <w:r w:rsidR="00850389" w:rsidRPr="000B7C26">
        <w:rPr>
          <w:rFonts w:ascii="Times New Roman" w:hAnsi="Times New Roman" w:cs="Times New Roman"/>
          <w:sz w:val="24"/>
          <w:szCs w:val="24"/>
          <w:vertAlign w:val="baseline"/>
        </w:rPr>
        <w:t xml:space="preserve"> in order to embrace the importance</w:t>
      </w:r>
      <w:r w:rsidR="000B7C26">
        <w:rPr>
          <w:rFonts w:ascii="Times New Roman" w:hAnsi="Times New Roman" w:cs="Times New Roman"/>
          <w:sz w:val="24"/>
          <w:szCs w:val="24"/>
          <w:vertAlign w:val="baseline"/>
        </w:rPr>
        <w:t xml:space="preserve"> of cross-cultural enquiry.</w:t>
      </w:r>
    </w:p>
    <w:p w14:paraId="0EF1BE4A" w14:textId="77777777" w:rsidR="000B7C26" w:rsidRPr="000B7C26" w:rsidRDefault="000B7C26" w:rsidP="000B7C26">
      <w:pPr>
        <w:spacing w:line="480" w:lineRule="auto"/>
        <w:jc w:val="both"/>
        <w:rPr>
          <w:rFonts w:ascii="Times New Roman" w:hAnsi="Times New Roman" w:cs="Times New Roman"/>
          <w:sz w:val="24"/>
          <w:szCs w:val="24"/>
          <w:vertAlign w:val="baseline"/>
        </w:rPr>
        <w:sectPr w:rsidR="000B7C26" w:rsidRPr="000B7C26" w:rsidSect="00EA2769">
          <w:pgSz w:w="11900" w:h="16840"/>
          <w:pgMar w:top="1418" w:right="1418" w:bottom="1418" w:left="2155" w:header="708" w:footer="708" w:gutter="0"/>
          <w:cols w:space="708"/>
          <w:docGrid w:linePitch="360"/>
        </w:sectPr>
      </w:pPr>
    </w:p>
    <w:p w14:paraId="54E57796" w14:textId="363DB430" w:rsidR="00011267" w:rsidRDefault="000B7C26" w:rsidP="000B7C26">
      <w:pPr>
        <w:spacing w:line="480" w:lineRule="auto"/>
        <w:jc w:val="center"/>
        <w:rPr>
          <w:rFonts w:ascii="Times New Roman" w:hAnsi="Times New Roman" w:cs="Times New Roman"/>
          <w:b/>
          <w:sz w:val="28"/>
          <w:szCs w:val="28"/>
          <w:vertAlign w:val="baseline"/>
        </w:rPr>
      </w:pPr>
      <w:r w:rsidRPr="000B7C26">
        <w:rPr>
          <w:rFonts w:ascii="Times New Roman" w:hAnsi="Times New Roman" w:cs="Times New Roman"/>
          <w:b/>
          <w:sz w:val="28"/>
          <w:szCs w:val="28"/>
          <w:vertAlign w:val="baseline"/>
        </w:rPr>
        <w:t>ACKNOWLEDGEMENTS</w:t>
      </w:r>
      <w:r w:rsidR="000A5DA0">
        <w:rPr>
          <w:rFonts w:ascii="Times New Roman" w:hAnsi="Times New Roman" w:cs="Times New Roman"/>
          <w:b/>
          <w:sz w:val="28"/>
          <w:szCs w:val="28"/>
          <w:vertAlign w:val="baseline"/>
        </w:rPr>
        <w:t xml:space="preserve"> AND DEDICATION</w:t>
      </w:r>
    </w:p>
    <w:p w14:paraId="2406DC49" w14:textId="77777777" w:rsidR="000A5DA0" w:rsidRDefault="000A5DA0" w:rsidP="000A5DA0">
      <w:pPr>
        <w:spacing w:line="480" w:lineRule="auto"/>
        <w:rPr>
          <w:rFonts w:ascii="Times New Roman" w:hAnsi="Times New Roman" w:cs="Times New Roman"/>
          <w:sz w:val="24"/>
          <w:szCs w:val="24"/>
          <w:vertAlign w:val="baseline"/>
        </w:rPr>
      </w:pPr>
    </w:p>
    <w:p w14:paraId="78365CD7" w14:textId="24B0BCF6" w:rsidR="000A5DA0" w:rsidRDefault="000A5DA0" w:rsidP="000A5DA0">
      <w:pPr>
        <w:spacing w:line="480" w:lineRule="auto"/>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I would first like to thank my supervisors Professor Sigrun Skogly and Dr Amanda Cahill-Ripley for all their encouragement and support. They have been excellent supervisors and have been patient, </w:t>
      </w:r>
      <w:r w:rsidR="00166AFD">
        <w:rPr>
          <w:rFonts w:ascii="Times New Roman" w:hAnsi="Times New Roman" w:cs="Times New Roman"/>
          <w:sz w:val="24"/>
          <w:szCs w:val="24"/>
          <w:vertAlign w:val="baseline"/>
        </w:rPr>
        <w:t>supportive</w:t>
      </w:r>
      <w:r>
        <w:rPr>
          <w:rFonts w:ascii="Times New Roman" w:hAnsi="Times New Roman" w:cs="Times New Roman"/>
          <w:sz w:val="24"/>
          <w:szCs w:val="24"/>
          <w:vertAlign w:val="baseline"/>
        </w:rPr>
        <w:t xml:space="preserve"> and generous with their time and advice.</w:t>
      </w:r>
      <w:r w:rsidR="004B31F0">
        <w:rPr>
          <w:rFonts w:ascii="Times New Roman" w:hAnsi="Times New Roman" w:cs="Times New Roman"/>
          <w:sz w:val="24"/>
          <w:szCs w:val="24"/>
          <w:vertAlign w:val="baseline"/>
        </w:rPr>
        <w:t xml:space="preserve"> I would also like to thank my colleagues at Lancaster University</w:t>
      </w:r>
      <w:r w:rsidR="00515186">
        <w:rPr>
          <w:rFonts w:ascii="Times New Roman" w:hAnsi="Times New Roman" w:cs="Times New Roman"/>
          <w:sz w:val="24"/>
          <w:szCs w:val="24"/>
          <w:vertAlign w:val="baseline"/>
        </w:rPr>
        <w:t xml:space="preserve"> for all their advice and help. </w:t>
      </w:r>
      <w:r w:rsidR="004B31F0">
        <w:rPr>
          <w:rFonts w:ascii="Times New Roman" w:hAnsi="Times New Roman" w:cs="Times New Roman"/>
          <w:sz w:val="24"/>
          <w:szCs w:val="24"/>
          <w:vertAlign w:val="baseline"/>
        </w:rPr>
        <w:t xml:space="preserve">A special mention must </w:t>
      </w:r>
      <w:r w:rsidR="00A408D8">
        <w:rPr>
          <w:rFonts w:ascii="Times New Roman" w:hAnsi="Times New Roman" w:cs="Times New Roman"/>
          <w:sz w:val="24"/>
          <w:szCs w:val="24"/>
          <w:vertAlign w:val="baseline"/>
        </w:rPr>
        <w:t>go to John McGarry and</w:t>
      </w:r>
      <w:r w:rsidR="003B42CE">
        <w:rPr>
          <w:rFonts w:ascii="Times New Roman" w:hAnsi="Times New Roman" w:cs="Times New Roman"/>
          <w:sz w:val="24"/>
          <w:szCs w:val="24"/>
          <w:vertAlign w:val="baseline"/>
        </w:rPr>
        <w:t xml:space="preserve"> Peter La</w:t>
      </w:r>
      <w:r w:rsidR="00A408D8">
        <w:rPr>
          <w:rFonts w:ascii="Times New Roman" w:hAnsi="Times New Roman" w:cs="Times New Roman"/>
          <w:sz w:val="24"/>
          <w:szCs w:val="24"/>
          <w:vertAlign w:val="baseline"/>
        </w:rPr>
        <w:t>ngford</w:t>
      </w:r>
      <w:r w:rsidR="003B42CE">
        <w:rPr>
          <w:rFonts w:ascii="Times New Roman" w:hAnsi="Times New Roman" w:cs="Times New Roman"/>
          <w:sz w:val="24"/>
          <w:szCs w:val="24"/>
          <w:vertAlign w:val="baseline"/>
        </w:rPr>
        <w:t xml:space="preserve">, who encouraged me to pursue my PhD and have provided me with </w:t>
      </w:r>
      <w:r w:rsidR="001919C5">
        <w:rPr>
          <w:rFonts w:ascii="Times New Roman" w:hAnsi="Times New Roman" w:cs="Times New Roman"/>
          <w:sz w:val="24"/>
          <w:szCs w:val="24"/>
          <w:vertAlign w:val="baseline"/>
        </w:rPr>
        <w:t>continued advice and encou</w:t>
      </w:r>
      <w:r w:rsidR="00A408D8">
        <w:rPr>
          <w:rFonts w:ascii="Times New Roman" w:hAnsi="Times New Roman" w:cs="Times New Roman"/>
          <w:sz w:val="24"/>
          <w:szCs w:val="24"/>
          <w:vertAlign w:val="baseline"/>
        </w:rPr>
        <w:t>ragement throughout my academic progression</w:t>
      </w:r>
      <w:r w:rsidR="001919C5">
        <w:rPr>
          <w:rFonts w:ascii="Times New Roman" w:hAnsi="Times New Roman" w:cs="Times New Roman"/>
          <w:sz w:val="24"/>
          <w:szCs w:val="24"/>
          <w:vertAlign w:val="baseline"/>
        </w:rPr>
        <w:t>.</w:t>
      </w:r>
    </w:p>
    <w:p w14:paraId="11986ADE" w14:textId="77777777" w:rsidR="00F86CEA" w:rsidRDefault="00F86CEA" w:rsidP="000A5DA0">
      <w:pPr>
        <w:spacing w:line="480" w:lineRule="auto"/>
        <w:jc w:val="both"/>
        <w:rPr>
          <w:rFonts w:ascii="Times New Roman" w:hAnsi="Times New Roman" w:cs="Times New Roman"/>
          <w:sz w:val="24"/>
          <w:szCs w:val="24"/>
          <w:vertAlign w:val="baseline"/>
        </w:rPr>
      </w:pPr>
    </w:p>
    <w:p w14:paraId="5687C9BC" w14:textId="3BC3E0D0" w:rsidR="00EC2762" w:rsidRDefault="00F618DF" w:rsidP="000A5DA0">
      <w:pPr>
        <w:spacing w:line="480" w:lineRule="auto"/>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Thank you to</w:t>
      </w:r>
      <w:r w:rsidR="00F2573F">
        <w:rPr>
          <w:rFonts w:ascii="Times New Roman" w:hAnsi="Times New Roman" w:cs="Times New Roman"/>
          <w:sz w:val="24"/>
          <w:szCs w:val="24"/>
          <w:vertAlign w:val="baseline"/>
        </w:rPr>
        <w:t xml:space="preserve"> Lancaster Un</w:t>
      </w:r>
      <w:r w:rsidR="00F86CEA">
        <w:rPr>
          <w:rFonts w:ascii="Times New Roman" w:hAnsi="Times New Roman" w:cs="Times New Roman"/>
          <w:sz w:val="24"/>
          <w:szCs w:val="24"/>
          <w:vertAlign w:val="baseline"/>
        </w:rPr>
        <w:t>iversity in awarding me a three-</w:t>
      </w:r>
      <w:r w:rsidR="00F2573F">
        <w:rPr>
          <w:rFonts w:ascii="Times New Roman" w:hAnsi="Times New Roman" w:cs="Times New Roman"/>
          <w:sz w:val="24"/>
          <w:szCs w:val="24"/>
          <w:vertAlign w:val="baseline"/>
        </w:rPr>
        <w:t>year tuition waiver through the Iredell Trust.</w:t>
      </w:r>
    </w:p>
    <w:p w14:paraId="2895F2BA" w14:textId="77777777" w:rsidR="00C62564" w:rsidRDefault="00C62564" w:rsidP="000A5DA0">
      <w:pPr>
        <w:spacing w:line="480" w:lineRule="auto"/>
        <w:jc w:val="both"/>
        <w:rPr>
          <w:rFonts w:ascii="Times New Roman" w:hAnsi="Times New Roman" w:cs="Times New Roman"/>
          <w:sz w:val="24"/>
          <w:szCs w:val="24"/>
          <w:vertAlign w:val="baseline"/>
        </w:rPr>
      </w:pPr>
    </w:p>
    <w:p w14:paraId="1B8D9EFE" w14:textId="244612D4" w:rsidR="00C62564" w:rsidRDefault="00C62564" w:rsidP="000A5DA0">
      <w:pPr>
        <w:spacing w:line="480" w:lineRule="auto"/>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I am extremely grateful to my family</w:t>
      </w:r>
      <w:r w:rsidR="00105475">
        <w:rPr>
          <w:rFonts w:ascii="Times New Roman" w:hAnsi="Times New Roman" w:cs="Times New Roman"/>
          <w:sz w:val="24"/>
          <w:szCs w:val="24"/>
          <w:vertAlign w:val="baseline"/>
        </w:rPr>
        <w:t xml:space="preserve"> </w:t>
      </w:r>
      <w:r>
        <w:rPr>
          <w:rFonts w:ascii="Times New Roman" w:hAnsi="Times New Roman" w:cs="Times New Roman"/>
          <w:sz w:val="24"/>
          <w:szCs w:val="24"/>
          <w:vertAlign w:val="baseline"/>
        </w:rPr>
        <w:t xml:space="preserve">and to those friends who have </w:t>
      </w:r>
      <w:r w:rsidR="00105475">
        <w:rPr>
          <w:rFonts w:ascii="Times New Roman" w:hAnsi="Times New Roman" w:cs="Times New Roman"/>
          <w:sz w:val="24"/>
          <w:szCs w:val="24"/>
          <w:vertAlign w:val="baseline"/>
        </w:rPr>
        <w:t>listened and provided</w:t>
      </w:r>
      <w:r>
        <w:rPr>
          <w:rFonts w:ascii="Times New Roman" w:hAnsi="Times New Roman" w:cs="Times New Roman"/>
          <w:sz w:val="24"/>
          <w:szCs w:val="24"/>
          <w:vertAlign w:val="baseline"/>
        </w:rPr>
        <w:t xml:space="preserve"> me with </w:t>
      </w:r>
      <w:r w:rsidR="00C2252B">
        <w:rPr>
          <w:rFonts w:ascii="Times New Roman" w:hAnsi="Times New Roman" w:cs="Times New Roman"/>
          <w:sz w:val="24"/>
          <w:szCs w:val="24"/>
          <w:vertAlign w:val="baseline"/>
        </w:rPr>
        <w:t xml:space="preserve">copious amounts of </w:t>
      </w:r>
      <w:r>
        <w:rPr>
          <w:rFonts w:ascii="Times New Roman" w:hAnsi="Times New Roman" w:cs="Times New Roman"/>
          <w:sz w:val="24"/>
          <w:szCs w:val="24"/>
          <w:vertAlign w:val="baseline"/>
        </w:rPr>
        <w:t>wine when necessary.</w:t>
      </w:r>
    </w:p>
    <w:p w14:paraId="03E67952" w14:textId="77777777" w:rsidR="00F618DF" w:rsidRDefault="00F618DF" w:rsidP="000A5DA0">
      <w:pPr>
        <w:spacing w:line="480" w:lineRule="auto"/>
        <w:jc w:val="both"/>
        <w:rPr>
          <w:rFonts w:ascii="Times New Roman" w:hAnsi="Times New Roman" w:cs="Times New Roman"/>
          <w:sz w:val="24"/>
          <w:szCs w:val="24"/>
          <w:vertAlign w:val="baseline"/>
        </w:rPr>
      </w:pPr>
    </w:p>
    <w:p w14:paraId="5BA1CA26" w14:textId="3A3104D6" w:rsidR="00F86CEA" w:rsidRDefault="00F618DF" w:rsidP="000B7C26">
      <w:pPr>
        <w:spacing w:line="480" w:lineRule="auto"/>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Finally, I would like to say a special thank you to my</w:t>
      </w:r>
      <w:r w:rsidR="006A3EAA">
        <w:rPr>
          <w:rFonts w:ascii="Times New Roman" w:hAnsi="Times New Roman" w:cs="Times New Roman"/>
          <w:sz w:val="24"/>
          <w:szCs w:val="24"/>
          <w:vertAlign w:val="baseline"/>
        </w:rPr>
        <w:t xml:space="preserve"> family, in particular, my</w:t>
      </w:r>
      <w:r>
        <w:rPr>
          <w:rFonts w:ascii="Times New Roman" w:hAnsi="Times New Roman" w:cs="Times New Roman"/>
          <w:sz w:val="24"/>
          <w:szCs w:val="24"/>
          <w:vertAlign w:val="baseline"/>
        </w:rPr>
        <w:t xml:space="preserve"> husband, Karl and my two children, Leah and Jack. Without them, none of this would have been possible. </w:t>
      </w:r>
      <w:r w:rsidR="00F86CEA">
        <w:rPr>
          <w:rFonts w:ascii="Times New Roman" w:hAnsi="Times New Roman" w:cs="Times New Roman"/>
          <w:sz w:val="24"/>
          <w:szCs w:val="24"/>
          <w:vertAlign w:val="baseline"/>
        </w:rPr>
        <w:t>I love</w:t>
      </w:r>
      <w:r>
        <w:rPr>
          <w:rFonts w:ascii="Times New Roman" w:hAnsi="Times New Roman" w:cs="Times New Roman"/>
          <w:sz w:val="24"/>
          <w:szCs w:val="24"/>
          <w:vertAlign w:val="baseline"/>
        </w:rPr>
        <w:t xml:space="preserve"> them all very much and this thesis is dedicated to them</w:t>
      </w:r>
      <w:r w:rsidR="00E366B9">
        <w:rPr>
          <w:rFonts w:ascii="Times New Roman" w:hAnsi="Times New Roman" w:cs="Times New Roman"/>
          <w:sz w:val="24"/>
          <w:szCs w:val="24"/>
          <w:vertAlign w:val="baseline"/>
        </w:rPr>
        <w:t>.</w:t>
      </w:r>
    </w:p>
    <w:p w14:paraId="51CF88D2" w14:textId="77777777" w:rsidR="00C1529C" w:rsidRPr="00C1529C" w:rsidRDefault="00C1529C" w:rsidP="000B7C26">
      <w:pPr>
        <w:spacing w:line="480" w:lineRule="auto"/>
        <w:jc w:val="both"/>
        <w:rPr>
          <w:rFonts w:ascii="Times New Roman" w:hAnsi="Times New Roman" w:cs="Times New Roman"/>
          <w:sz w:val="24"/>
          <w:szCs w:val="24"/>
          <w:vertAlign w:val="baseline"/>
        </w:rPr>
        <w:sectPr w:rsidR="00C1529C" w:rsidRPr="00C1529C" w:rsidSect="004D679E">
          <w:pgSz w:w="11900" w:h="16820"/>
          <w:pgMar w:top="1418" w:right="1418" w:bottom="1418" w:left="2155" w:header="708" w:footer="708" w:gutter="0"/>
          <w:cols w:space="708"/>
          <w:docGrid w:linePitch="360"/>
        </w:sectPr>
      </w:pPr>
    </w:p>
    <w:p w14:paraId="775D5233" w14:textId="2A0D1D52" w:rsidR="000B7C26" w:rsidRDefault="00E366B9" w:rsidP="00E366B9">
      <w:pPr>
        <w:spacing w:line="480" w:lineRule="auto"/>
        <w:jc w:val="center"/>
        <w:rPr>
          <w:rFonts w:ascii="Times New Roman" w:hAnsi="Times New Roman" w:cs="Times New Roman"/>
          <w:b/>
          <w:sz w:val="28"/>
          <w:szCs w:val="28"/>
          <w:vertAlign w:val="baseline"/>
        </w:rPr>
      </w:pPr>
      <w:r>
        <w:rPr>
          <w:rFonts w:ascii="Times New Roman" w:hAnsi="Times New Roman" w:cs="Times New Roman"/>
          <w:b/>
          <w:sz w:val="28"/>
          <w:szCs w:val="28"/>
          <w:vertAlign w:val="baseline"/>
        </w:rPr>
        <w:t>CONTENT</w:t>
      </w:r>
      <w:r w:rsidR="00457B5B">
        <w:rPr>
          <w:rFonts w:ascii="Times New Roman" w:hAnsi="Times New Roman" w:cs="Times New Roman"/>
          <w:b/>
          <w:sz w:val="28"/>
          <w:szCs w:val="28"/>
          <w:vertAlign w:val="baseline"/>
        </w:rPr>
        <w:t>S</w:t>
      </w:r>
    </w:p>
    <w:p w14:paraId="4702A8F7" w14:textId="77777777" w:rsidR="00E366B9" w:rsidRDefault="00E366B9" w:rsidP="00C1529C">
      <w:pPr>
        <w:spacing w:line="360" w:lineRule="auto"/>
        <w:jc w:val="both"/>
        <w:rPr>
          <w:rFonts w:ascii="Times New Roman" w:hAnsi="Times New Roman" w:cs="Times New Roman"/>
          <w:sz w:val="24"/>
          <w:szCs w:val="24"/>
          <w:vertAlign w:val="baseline"/>
        </w:rPr>
      </w:pPr>
    </w:p>
    <w:p w14:paraId="7758DCDA" w14:textId="2B0D2D05" w:rsidR="00E366B9" w:rsidRPr="00E366B9" w:rsidRDefault="004B1412" w:rsidP="00C1529C">
      <w:pPr>
        <w:spacing w:line="360" w:lineRule="auto"/>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DECLARATION</w:t>
      </w:r>
      <w:r w:rsidR="00C10C6B">
        <w:rPr>
          <w:rFonts w:ascii="Times New Roman" w:hAnsi="Times New Roman" w:cs="Times New Roman"/>
          <w:sz w:val="24"/>
          <w:szCs w:val="24"/>
          <w:vertAlign w:val="baseline"/>
        </w:rPr>
        <w:tab/>
      </w:r>
      <w:r w:rsidR="00C10C6B">
        <w:rPr>
          <w:rFonts w:ascii="Times New Roman" w:hAnsi="Times New Roman" w:cs="Times New Roman"/>
          <w:sz w:val="24"/>
          <w:szCs w:val="24"/>
          <w:vertAlign w:val="baseline"/>
        </w:rPr>
        <w:tab/>
      </w:r>
      <w:r>
        <w:rPr>
          <w:rFonts w:ascii="Times New Roman" w:hAnsi="Times New Roman" w:cs="Times New Roman"/>
          <w:sz w:val="24"/>
          <w:szCs w:val="24"/>
          <w:vertAlign w:val="baseline"/>
        </w:rPr>
        <w:tab/>
      </w:r>
      <w:r>
        <w:rPr>
          <w:rFonts w:ascii="Times New Roman" w:hAnsi="Times New Roman" w:cs="Times New Roman"/>
          <w:sz w:val="24"/>
          <w:szCs w:val="24"/>
          <w:vertAlign w:val="baseline"/>
        </w:rPr>
        <w:tab/>
      </w:r>
      <w:r>
        <w:rPr>
          <w:rFonts w:ascii="Times New Roman" w:hAnsi="Times New Roman" w:cs="Times New Roman"/>
          <w:sz w:val="24"/>
          <w:szCs w:val="24"/>
          <w:vertAlign w:val="baseline"/>
        </w:rPr>
        <w:tab/>
      </w:r>
      <w:r>
        <w:rPr>
          <w:rFonts w:ascii="Times New Roman" w:hAnsi="Times New Roman" w:cs="Times New Roman"/>
          <w:sz w:val="24"/>
          <w:szCs w:val="24"/>
          <w:vertAlign w:val="baseline"/>
        </w:rPr>
        <w:tab/>
      </w:r>
      <w:r>
        <w:rPr>
          <w:rFonts w:ascii="Times New Roman" w:hAnsi="Times New Roman" w:cs="Times New Roman"/>
          <w:sz w:val="24"/>
          <w:szCs w:val="24"/>
          <w:vertAlign w:val="baseline"/>
        </w:rPr>
        <w:tab/>
      </w:r>
      <w:r>
        <w:rPr>
          <w:rFonts w:ascii="Times New Roman" w:hAnsi="Times New Roman" w:cs="Times New Roman"/>
          <w:sz w:val="24"/>
          <w:szCs w:val="24"/>
          <w:vertAlign w:val="baseline"/>
        </w:rPr>
        <w:tab/>
      </w:r>
      <w:r>
        <w:rPr>
          <w:rFonts w:ascii="Times New Roman" w:hAnsi="Times New Roman" w:cs="Times New Roman"/>
          <w:sz w:val="24"/>
          <w:szCs w:val="24"/>
          <w:vertAlign w:val="baseline"/>
        </w:rPr>
        <w:tab/>
      </w:r>
      <w:r w:rsidR="00E366B9" w:rsidRPr="00E366B9">
        <w:rPr>
          <w:rFonts w:ascii="Times New Roman" w:hAnsi="Times New Roman" w:cs="Times New Roman"/>
          <w:sz w:val="24"/>
          <w:szCs w:val="24"/>
          <w:vertAlign w:val="baseline"/>
        </w:rPr>
        <w:t>2</w:t>
      </w:r>
    </w:p>
    <w:p w14:paraId="7F53FA7F" w14:textId="0E388A63" w:rsidR="00E366B9" w:rsidRPr="00E366B9" w:rsidRDefault="004B1412" w:rsidP="00C1529C">
      <w:pPr>
        <w:spacing w:line="360" w:lineRule="auto"/>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ABSTRACT</w:t>
      </w:r>
      <w:r w:rsidR="00E366B9" w:rsidRPr="00E366B9">
        <w:rPr>
          <w:rFonts w:ascii="Times New Roman" w:hAnsi="Times New Roman" w:cs="Times New Roman"/>
          <w:sz w:val="24"/>
          <w:szCs w:val="24"/>
          <w:vertAlign w:val="baseline"/>
        </w:rPr>
        <w:tab/>
      </w:r>
      <w:r w:rsidR="00E366B9" w:rsidRPr="00E366B9">
        <w:rPr>
          <w:rFonts w:ascii="Times New Roman" w:hAnsi="Times New Roman" w:cs="Times New Roman"/>
          <w:sz w:val="24"/>
          <w:szCs w:val="24"/>
          <w:vertAlign w:val="baseline"/>
        </w:rPr>
        <w:tab/>
      </w:r>
      <w:r w:rsidR="00E366B9" w:rsidRPr="00E366B9">
        <w:rPr>
          <w:rFonts w:ascii="Times New Roman" w:hAnsi="Times New Roman" w:cs="Times New Roman"/>
          <w:sz w:val="24"/>
          <w:szCs w:val="24"/>
          <w:vertAlign w:val="baseline"/>
        </w:rPr>
        <w:tab/>
      </w:r>
      <w:r w:rsidR="00E366B9" w:rsidRPr="00E366B9">
        <w:rPr>
          <w:rFonts w:ascii="Times New Roman" w:hAnsi="Times New Roman" w:cs="Times New Roman"/>
          <w:sz w:val="24"/>
          <w:szCs w:val="24"/>
          <w:vertAlign w:val="baseline"/>
        </w:rPr>
        <w:tab/>
      </w:r>
      <w:r w:rsidR="00E366B9" w:rsidRPr="00E366B9">
        <w:rPr>
          <w:rFonts w:ascii="Times New Roman" w:hAnsi="Times New Roman" w:cs="Times New Roman"/>
          <w:sz w:val="24"/>
          <w:szCs w:val="24"/>
          <w:vertAlign w:val="baseline"/>
        </w:rPr>
        <w:tab/>
      </w:r>
      <w:r w:rsidR="00E366B9" w:rsidRPr="00E366B9">
        <w:rPr>
          <w:rFonts w:ascii="Times New Roman" w:hAnsi="Times New Roman" w:cs="Times New Roman"/>
          <w:sz w:val="24"/>
          <w:szCs w:val="24"/>
          <w:vertAlign w:val="baseline"/>
        </w:rPr>
        <w:tab/>
      </w:r>
      <w:r w:rsidR="00E366B9" w:rsidRPr="00E366B9">
        <w:rPr>
          <w:rFonts w:ascii="Times New Roman" w:hAnsi="Times New Roman" w:cs="Times New Roman"/>
          <w:sz w:val="24"/>
          <w:szCs w:val="24"/>
          <w:vertAlign w:val="baseline"/>
        </w:rPr>
        <w:tab/>
      </w:r>
      <w:r w:rsidR="00E366B9" w:rsidRPr="00E366B9">
        <w:rPr>
          <w:rFonts w:ascii="Times New Roman" w:hAnsi="Times New Roman" w:cs="Times New Roman"/>
          <w:sz w:val="24"/>
          <w:szCs w:val="24"/>
          <w:vertAlign w:val="baseline"/>
        </w:rPr>
        <w:tab/>
      </w:r>
      <w:r w:rsidR="00E366B9" w:rsidRPr="00E366B9">
        <w:rPr>
          <w:rFonts w:ascii="Times New Roman" w:hAnsi="Times New Roman" w:cs="Times New Roman"/>
          <w:sz w:val="24"/>
          <w:szCs w:val="24"/>
          <w:vertAlign w:val="baseline"/>
        </w:rPr>
        <w:tab/>
      </w:r>
      <w:r w:rsidR="00E366B9" w:rsidRPr="00E366B9">
        <w:rPr>
          <w:rFonts w:ascii="Times New Roman" w:hAnsi="Times New Roman" w:cs="Times New Roman"/>
          <w:sz w:val="24"/>
          <w:szCs w:val="24"/>
          <w:vertAlign w:val="baseline"/>
        </w:rPr>
        <w:tab/>
        <w:t>3</w:t>
      </w:r>
    </w:p>
    <w:p w14:paraId="40AB0FD1" w14:textId="6A373862" w:rsidR="00E366B9" w:rsidRDefault="004B1412" w:rsidP="00C1529C">
      <w:pPr>
        <w:spacing w:line="360" w:lineRule="auto"/>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ACKNOWLEDGEMENTS AND DEDICATION</w:t>
      </w:r>
      <w:r>
        <w:rPr>
          <w:rFonts w:ascii="Times New Roman" w:hAnsi="Times New Roman" w:cs="Times New Roman"/>
          <w:sz w:val="24"/>
          <w:szCs w:val="24"/>
          <w:vertAlign w:val="baseline"/>
        </w:rPr>
        <w:tab/>
      </w:r>
      <w:r>
        <w:rPr>
          <w:rFonts w:ascii="Times New Roman" w:hAnsi="Times New Roman" w:cs="Times New Roman"/>
          <w:sz w:val="24"/>
          <w:szCs w:val="24"/>
          <w:vertAlign w:val="baseline"/>
        </w:rPr>
        <w:tab/>
      </w:r>
      <w:r>
        <w:rPr>
          <w:rFonts w:ascii="Times New Roman" w:hAnsi="Times New Roman" w:cs="Times New Roman"/>
          <w:sz w:val="24"/>
          <w:szCs w:val="24"/>
          <w:vertAlign w:val="baseline"/>
        </w:rPr>
        <w:tab/>
      </w:r>
      <w:r>
        <w:rPr>
          <w:rFonts w:ascii="Times New Roman" w:hAnsi="Times New Roman" w:cs="Times New Roman"/>
          <w:sz w:val="24"/>
          <w:szCs w:val="24"/>
          <w:vertAlign w:val="baseline"/>
        </w:rPr>
        <w:tab/>
      </w:r>
      <w:r>
        <w:rPr>
          <w:rFonts w:ascii="Times New Roman" w:hAnsi="Times New Roman" w:cs="Times New Roman"/>
          <w:sz w:val="24"/>
          <w:szCs w:val="24"/>
          <w:vertAlign w:val="baseline"/>
        </w:rPr>
        <w:tab/>
      </w:r>
      <w:r w:rsidR="00E366B9" w:rsidRPr="00E366B9">
        <w:rPr>
          <w:rFonts w:ascii="Times New Roman" w:hAnsi="Times New Roman" w:cs="Times New Roman"/>
          <w:sz w:val="24"/>
          <w:szCs w:val="24"/>
          <w:vertAlign w:val="baseline"/>
        </w:rPr>
        <w:t>4</w:t>
      </w:r>
    </w:p>
    <w:p w14:paraId="7E1B8A44" w14:textId="317DEAB4" w:rsidR="00B92C8B" w:rsidRDefault="004B1412" w:rsidP="00C1529C">
      <w:pPr>
        <w:spacing w:line="360" w:lineRule="auto"/>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LIST OF ABBREVIATIONS</w:t>
      </w:r>
      <w:r w:rsidR="006B1095">
        <w:rPr>
          <w:rFonts w:ascii="Times New Roman" w:hAnsi="Times New Roman" w:cs="Times New Roman"/>
          <w:sz w:val="24"/>
          <w:szCs w:val="24"/>
          <w:vertAlign w:val="baseline"/>
        </w:rPr>
        <w:tab/>
      </w:r>
      <w:r w:rsidR="006B1095">
        <w:rPr>
          <w:rFonts w:ascii="Times New Roman" w:hAnsi="Times New Roman" w:cs="Times New Roman"/>
          <w:sz w:val="24"/>
          <w:szCs w:val="24"/>
          <w:vertAlign w:val="baseline"/>
        </w:rPr>
        <w:tab/>
      </w:r>
      <w:r w:rsidR="006B1095">
        <w:rPr>
          <w:rFonts w:ascii="Times New Roman" w:hAnsi="Times New Roman" w:cs="Times New Roman"/>
          <w:sz w:val="24"/>
          <w:szCs w:val="24"/>
          <w:vertAlign w:val="baseline"/>
        </w:rPr>
        <w:tab/>
      </w:r>
      <w:r w:rsidR="006B1095">
        <w:rPr>
          <w:rFonts w:ascii="Times New Roman" w:hAnsi="Times New Roman" w:cs="Times New Roman"/>
          <w:sz w:val="24"/>
          <w:szCs w:val="24"/>
          <w:vertAlign w:val="baseline"/>
        </w:rPr>
        <w:tab/>
      </w:r>
      <w:r w:rsidR="006B1095">
        <w:rPr>
          <w:rFonts w:ascii="Times New Roman" w:hAnsi="Times New Roman" w:cs="Times New Roman"/>
          <w:sz w:val="24"/>
          <w:szCs w:val="24"/>
          <w:vertAlign w:val="baseline"/>
        </w:rPr>
        <w:tab/>
      </w:r>
      <w:r w:rsidR="006B1095">
        <w:rPr>
          <w:rFonts w:ascii="Times New Roman" w:hAnsi="Times New Roman" w:cs="Times New Roman"/>
          <w:sz w:val="24"/>
          <w:szCs w:val="24"/>
          <w:vertAlign w:val="baseline"/>
        </w:rPr>
        <w:tab/>
      </w:r>
      <w:r w:rsidR="006B1095">
        <w:rPr>
          <w:rFonts w:ascii="Times New Roman" w:hAnsi="Times New Roman" w:cs="Times New Roman"/>
          <w:sz w:val="24"/>
          <w:szCs w:val="24"/>
          <w:vertAlign w:val="baseline"/>
        </w:rPr>
        <w:tab/>
      </w:r>
      <w:r w:rsidR="006B1095">
        <w:rPr>
          <w:rFonts w:ascii="Times New Roman" w:hAnsi="Times New Roman" w:cs="Times New Roman"/>
          <w:sz w:val="24"/>
          <w:szCs w:val="24"/>
          <w:vertAlign w:val="baseline"/>
        </w:rPr>
        <w:tab/>
        <w:t>10</w:t>
      </w:r>
    </w:p>
    <w:p w14:paraId="5B302148" w14:textId="46A1BA1B" w:rsidR="004B1412" w:rsidRPr="00E366B9" w:rsidRDefault="004B1412" w:rsidP="00C1529C">
      <w:pPr>
        <w:spacing w:line="360" w:lineRule="auto"/>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GLOSSARY OF TERMS</w:t>
      </w:r>
      <w:r w:rsidR="006B1095">
        <w:rPr>
          <w:rFonts w:ascii="Times New Roman" w:hAnsi="Times New Roman" w:cs="Times New Roman"/>
          <w:sz w:val="24"/>
          <w:szCs w:val="24"/>
          <w:vertAlign w:val="baseline"/>
        </w:rPr>
        <w:tab/>
      </w:r>
      <w:r w:rsidR="006B1095">
        <w:rPr>
          <w:rFonts w:ascii="Times New Roman" w:hAnsi="Times New Roman" w:cs="Times New Roman"/>
          <w:sz w:val="24"/>
          <w:szCs w:val="24"/>
          <w:vertAlign w:val="baseline"/>
        </w:rPr>
        <w:tab/>
      </w:r>
      <w:r w:rsidR="006B1095">
        <w:rPr>
          <w:rFonts w:ascii="Times New Roman" w:hAnsi="Times New Roman" w:cs="Times New Roman"/>
          <w:sz w:val="24"/>
          <w:szCs w:val="24"/>
          <w:vertAlign w:val="baseline"/>
        </w:rPr>
        <w:tab/>
      </w:r>
      <w:r w:rsidR="006B1095">
        <w:rPr>
          <w:rFonts w:ascii="Times New Roman" w:hAnsi="Times New Roman" w:cs="Times New Roman"/>
          <w:sz w:val="24"/>
          <w:szCs w:val="24"/>
          <w:vertAlign w:val="baseline"/>
        </w:rPr>
        <w:tab/>
      </w:r>
      <w:r w:rsidR="006B1095">
        <w:rPr>
          <w:rFonts w:ascii="Times New Roman" w:hAnsi="Times New Roman" w:cs="Times New Roman"/>
          <w:sz w:val="24"/>
          <w:szCs w:val="24"/>
          <w:vertAlign w:val="baseline"/>
        </w:rPr>
        <w:tab/>
      </w:r>
      <w:r w:rsidR="006B1095">
        <w:rPr>
          <w:rFonts w:ascii="Times New Roman" w:hAnsi="Times New Roman" w:cs="Times New Roman"/>
          <w:sz w:val="24"/>
          <w:szCs w:val="24"/>
          <w:vertAlign w:val="baseline"/>
        </w:rPr>
        <w:tab/>
      </w:r>
      <w:r w:rsidR="006B1095">
        <w:rPr>
          <w:rFonts w:ascii="Times New Roman" w:hAnsi="Times New Roman" w:cs="Times New Roman"/>
          <w:sz w:val="24"/>
          <w:szCs w:val="24"/>
          <w:vertAlign w:val="baseline"/>
        </w:rPr>
        <w:tab/>
      </w:r>
      <w:r w:rsidR="006B1095">
        <w:rPr>
          <w:rFonts w:ascii="Times New Roman" w:hAnsi="Times New Roman" w:cs="Times New Roman"/>
          <w:sz w:val="24"/>
          <w:szCs w:val="24"/>
          <w:vertAlign w:val="baseline"/>
        </w:rPr>
        <w:tab/>
        <w:t>12</w:t>
      </w:r>
    </w:p>
    <w:p w14:paraId="0861D914" w14:textId="77777777" w:rsidR="00D23276" w:rsidRDefault="00D23276" w:rsidP="00C338D7">
      <w:pPr>
        <w:spacing w:line="360" w:lineRule="auto"/>
        <w:rPr>
          <w:rFonts w:ascii="Times New Roman" w:hAnsi="Times New Roman" w:cs="Times New Roman"/>
          <w:b/>
          <w:sz w:val="24"/>
          <w:szCs w:val="24"/>
          <w:vertAlign w:val="baseline"/>
        </w:rPr>
      </w:pPr>
    </w:p>
    <w:p w14:paraId="53BDCFA0" w14:textId="6F2D177B" w:rsidR="00E366B9" w:rsidRPr="00F82240" w:rsidRDefault="004B1412" w:rsidP="00C338D7">
      <w:pPr>
        <w:spacing w:line="360" w:lineRule="auto"/>
        <w:rPr>
          <w:rFonts w:ascii="Times New Roman" w:hAnsi="Times New Roman" w:cs="Times New Roman"/>
          <w:sz w:val="24"/>
          <w:szCs w:val="24"/>
          <w:vertAlign w:val="baseline"/>
        </w:rPr>
      </w:pPr>
      <w:r>
        <w:rPr>
          <w:rFonts w:ascii="Times New Roman" w:hAnsi="Times New Roman" w:cs="Times New Roman"/>
          <w:b/>
          <w:sz w:val="24"/>
          <w:szCs w:val="24"/>
          <w:u w:val="single"/>
          <w:vertAlign w:val="baseline"/>
        </w:rPr>
        <w:t>INTRODUCTION</w:t>
      </w:r>
      <w:r w:rsidR="00F82240">
        <w:rPr>
          <w:rFonts w:ascii="Times New Roman" w:hAnsi="Times New Roman" w:cs="Times New Roman"/>
          <w:sz w:val="24"/>
          <w:szCs w:val="24"/>
          <w:vertAlign w:val="baseline"/>
        </w:rPr>
        <w:tab/>
      </w:r>
      <w:r w:rsidR="00F82240">
        <w:rPr>
          <w:rFonts w:ascii="Times New Roman" w:hAnsi="Times New Roman" w:cs="Times New Roman"/>
          <w:sz w:val="24"/>
          <w:szCs w:val="24"/>
          <w:vertAlign w:val="baseline"/>
        </w:rPr>
        <w:tab/>
      </w:r>
      <w:r w:rsidR="00F82240">
        <w:rPr>
          <w:rFonts w:ascii="Times New Roman" w:hAnsi="Times New Roman" w:cs="Times New Roman"/>
          <w:sz w:val="24"/>
          <w:szCs w:val="24"/>
          <w:vertAlign w:val="baseline"/>
        </w:rPr>
        <w:tab/>
      </w:r>
      <w:r w:rsidR="00F82240">
        <w:rPr>
          <w:rFonts w:ascii="Times New Roman" w:hAnsi="Times New Roman" w:cs="Times New Roman"/>
          <w:sz w:val="24"/>
          <w:szCs w:val="24"/>
          <w:vertAlign w:val="baseline"/>
        </w:rPr>
        <w:tab/>
      </w:r>
      <w:r w:rsidR="00F82240">
        <w:rPr>
          <w:rFonts w:ascii="Times New Roman" w:hAnsi="Times New Roman" w:cs="Times New Roman"/>
          <w:sz w:val="24"/>
          <w:szCs w:val="24"/>
          <w:vertAlign w:val="baseline"/>
        </w:rPr>
        <w:tab/>
      </w:r>
      <w:r w:rsidR="00F82240">
        <w:rPr>
          <w:rFonts w:ascii="Times New Roman" w:hAnsi="Times New Roman" w:cs="Times New Roman"/>
          <w:sz w:val="24"/>
          <w:szCs w:val="24"/>
          <w:vertAlign w:val="baseline"/>
        </w:rPr>
        <w:tab/>
      </w:r>
      <w:r w:rsidR="00F82240">
        <w:rPr>
          <w:rFonts w:ascii="Times New Roman" w:hAnsi="Times New Roman" w:cs="Times New Roman"/>
          <w:sz w:val="24"/>
          <w:szCs w:val="24"/>
          <w:vertAlign w:val="baseline"/>
        </w:rPr>
        <w:tab/>
      </w:r>
      <w:r w:rsidR="00F82240">
        <w:rPr>
          <w:rFonts w:ascii="Times New Roman" w:hAnsi="Times New Roman" w:cs="Times New Roman"/>
          <w:sz w:val="24"/>
          <w:szCs w:val="24"/>
          <w:vertAlign w:val="baseline"/>
        </w:rPr>
        <w:tab/>
      </w:r>
      <w:r w:rsidR="00F82240">
        <w:rPr>
          <w:rFonts w:ascii="Times New Roman" w:hAnsi="Times New Roman" w:cs="Times New Roman"/>
          <w:sz w:val="24"/>
          <w:szCs w:val="24"/>
          <w:vertAlign w:val="baseline"/>
        </w:rPr>
        <w:tab/>
        <w:t>16</w:t>
      </w:r>
    </w:p>
    <w:p w14:paraId="3D86DB66" w14:textId="77777777" w:rsidR="00B13974" w:rsidRDefault="00B13974" w:rsidP="00B13974">
      <w:pPr>
        <w:spacing w:line="360" w:lineRule="auto"/>
        <w:rPr>
          <w:rFonts w:ascii="Times New Roman" w:hAnsi="Times New Roman" w:cs="Times New Roman"/>
          <w:b/>
          <w:sz w:val="24"/>
          <w:szCs w:val="24"/>
          <w:vertAlign w:val="baseline"/>
        </w:rPr>
      </w:pPr>
    </w:p>
    <w:p w14:paraId="5BE32F4B" w14:textId="2FEAB4FB" w:rsidR="00C338D7" w:rsidRPr="00C338D7" w:rsidRDefault="004B1412" w:rsidP="00C1529C">
      <w:pPr>
        <w:spacing w:line="360" w:lineRule="auto"/>
        <w:rPr>
          <w:rFonts w:ascii="Times New Roman" w:hAnsi="Times New Roman" w:cs="Times New Roman"/>
          <w:sz w:val="24"/>
          <w:szCs w:val="24"/>
          <w:vertAlign w:val="baseline"/>
        </w:rPr>
      </w:pPr>
      <w:r>
        <w:rPr>
          <w:rFonts w:ascii="Times New Roman" w:hAnsi="Times New Roman" w:cs="Times New Roman"/>
          <w:sz w:val="24"/>
          <w:szCs w:val="24"/>
          <w:vertAlign w:val="baseline"/>
        </w:rPr>
        <w:t>AIMS/OBJECTIVES OF RESEARCH</w:t>
      </w:r>
      <w:r w:rsidR="00F82240">
        <w:rPr>
          <w:rFonts w:ascii="Times New Roman" w:hAnsi="Times New Roman" w:cs="Times New Roman"/>
          <w:sz w:val="24"/>
          <w:szCs w:val="24"/>
          <w:vertAlign w:val="baseline"/>
        </w:rPr>
        <w:tab/>
      </w:r>
      <w:r w:rsidR="00F82240">
        <w:rPr>
          <w:rFonts w:ascii="Times New Roman" w:hAnsi="Times New Roman" w:cs="Times New Roman"/>
          <w:sz w:val="24"/>
          <w:szCs w:val="24"/>
          <w:vertAlign w:val="baseline"/>
        </w:rPr>
        <w:tab/>
      </w:r>
      <w:r w:rsidR="00F82240">
        <w:rPr>
          <w:rFonts w:ascii="Times New Roman" w:hAnsi="Times New Roman" w:cs="Times New Roman"/>
          <w:sz w:val="24"/>
          <w:szCs w:val="24"/>
          <w:vertAlign w:val="baseline"/>
        </w:rPr>
        <w:tab/>
      </w:r>
      <w:r w:rsidR="00F82240">
        <w:rPr>
          <w:rFonts w:ascii="Times New Roman" w:hAnsi="Times New Roman" w:cs="Times New Roman"/>
          <w:sz w:val="24"/>
          <w:szCs w:val="24"/>
          <w:vertAlign w:val="baseline"/>
        </w:rPr>
        <w:tab/>
      </w:r>
      <w:r w:rsidR="00F82240">
        <w:rPr>
          <w:rFonts w:ascii="Times New Roman" w:hAnsi="Times New Roman" w:cs="Times New Roman"/>
          <w:sz w:val="24"/>
          <w:szCs w:val="24"/>
          <w:vertAlign w:val="baseline"/>
        </w:rPr>
        <w:tab/>
      </w:r>
      <w:r w:rsidR="00F82240">
        <w:rPr>
          <w:rFonts w:ascii="Times New Roman" w:hAnsi="Times New Roman" w:cs="Times New Roman"/>
          <w:sz w:val="24"/>
          <w:szCs w:val="24"/>
          <w:vertAlign w:val="baseline"/>
        </w:rPr>
        <w:tab/>
        <w:t>19</w:t>
      </w:r>
    </w:p>
    <w:p w14:paraId="260EF12C" w14:textId="5A2DDF38" w:rsidR="00B13974" w:rsidRDefault="004B1412" w:rsidP="00C1529C">
      <w:pPr>
        <w:spacing w:line="360" w:lineRule="auto"/>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CASE STUDIES</w:t>
      </w:r>
      <w:r w:rsidR="00F82240">
        <w:rPr>
          <w:rFonts w:ascii="Times New Roman" w:hAnsi="Times New Roman" w:cs="Times New Roman"/>
          <w:sz w:val="24"/>
          <w:szCs w:val="24"/>
          <w:vertAlign w:val="baseline"/>
        </w:rPr>
        <w:tab/>
      </w:r>
      <w:r w:rsidR="00F82240">
        <w:rPr>
          <w:rFonts w:ascii="Times New Roman" w:hAnsi="Times New Roman" w:cs="Times New Roman"/>
          <w:sz w:val="24"/>
          <w:szCs w:val="24"/>
          <w:vertAlign w:val="baseline"/>
        </w:rPr>
        <w:tab/>
      </w:r>
      <w:r w:rsidR="00F82240">
        <w:rPr>
          <w:rFonts w:ascii="Times New Roman" w:hAnsi="Times New Roman" w:cs="Times New Roman"/>
          <w:sz w:val="24"/>
          <w:szCs w:val="24"/>
          <w:vertAlign w:val="baseline"/>
        </w:rPr>
        <w:tab/>
      </w:r>
      <w:r w:rsidR="00F82240">
        <w:rPr>
          <w:rFonts w:ascii="Times New Roman" w:hAnsi="Times New Roman" w:cs="Times New Roman"/>
          <w:sz w:val="24"/>
          <w:szCs w:val="24"/>
          <w:vertAlign w:val="baseline"/>
        </w:rPr>
        <w:tab/>
      </w:r>
      <w:r w:rsidR="00F82240">
        <w:rPr>
          <w:rFonts w:ascii="Times New Roman" w:hAnsi="Times New Roman" w:cs="Times New Roman"/>
          <w:sz w:val="24"/>
          <w:szCs w:val="24"/>
          <w:vertAlign w:val="baseline"/>
        </w:rPr>
        <w:tab/>
      </w:r>
      <w:r w:rsidR="00F82240">
        <w:rPr>
          <w:rFonts w:ascii="Times New Roman" w:hAnsi="Times New Roman" w:cs="Times New Roman"/>
          <w:sz w:val="24"/>
          <w:szCs w:val="24"/>
          <w:vertAlign w:val="baseline"/>
        </w:rPr>
        <w:tab/>
      </w:r>
      <w:r w:rsidR="00F82240">
        <w:rPr>
          <w:rFonts w:ascii="Times New Roman" w:hAnsi="Times New Roman" w:cs="Times New Roman"/>
          <w:sz w:val="24"/>
          <w:szCs w:val="24"/>
          <w:vertAlign w:val="baseline"/>
        </w:rPr>
        <w:tab/>
      </w:r>
      <w:r w:rsidR="00F82240">
        <w:rPr>
          <w:rFonts w:ascii="Times New Roman" w:hAnsi="Times New Roman" w:cs="Times New Roman"/>
          <w:sz w:val="24"/>
          <w:szCs w:val="24"/>
          <w:vertAlign w:val="baseline"/>
        </w:rPr>
        <w:tab/>
      </w:r>
      <w:r w:rsidR="00F82240">
        <w:rPr>
          <w:rFonts w:ascii="Times New Roman" w:hAnsi="Times New Roman" w:cs="Times New Roman"/>
          <w:sz w:val="24"/>
          <w:szCs w:val="24"/>
          <w:vertAlign w:val="baseline"/>
        </w:rPr>
        <w:tab/>
        <w:t>19</w:t>
      </w:r>
    </w:p>
    <w:p w14:paraId="649463C0" w14:textId="2CD93F9C" w:rsidR="00F86CEA" w:rsidRPr="00C338D7" w:rsidRDefault="004B1412" w:rsidP="00C1529C">
      <w:pPr>
        <w:spacing w:line="360" w:lineRule="auto"/>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RATIONALE AND JUSTIFICATION FOR STUDY</w:t>
      </w:r>
      <w:r w:rsidR="00F82240">
        <w:rPr>
          <w:rFonts w:ascii="Times New Roman" w:hAnsi="Times New Roman" w:cs="Times New Roman"/>
          <w:sz w:val="24"/>
          <w:szCs w:val="24"/>
          <w:vertAlign w:val="baseline"/>
        </w:rPr>
        <w:tab/>
      </w:r>
      <w:r w:rsidR="00F82240">
        <w:rPr>
          <w:rFonts w:ascii="Times New Roman" w:hAnsi="Times New Roman" w:cs="Times New Roman"/>
          <w:sz w:val="24"/>
          <w:szCs w:val="24"/>
          <w:vertAlign w:val="baseline"/>
        </w:rPr>
        <w:tab/>
      </w:r>
      <w:r w:rsidR="00F82240">
        <w:rPr>
          <w:rFonts w:ascii="Times New Roman" w:hAnsi="Times New Roman" w:cs="Times New Roman"/>
          <w:sz w:val="24"/>
          <w:szCs w:val="24"/>
          <w:vertAlign w:val="baseline"/>
        </w:rPr>
        <w:tab/>
      </w:r>
      <w:r w:rsidR="00F82240">
        <w:rPr>
          <w:rFonts w:ascii="Times New Roman" w:hAnsi="Times New Roman" w:cs="Times New Roman"/>
          <w:sz w:val="24"/>
          <w:szCs w:val="24"/>
          <w:vertAlign w:val="baseline"/>
        </w:rPr>
        <w:tab/>
        <w:t>20</w:t>
      </w:r>
    </w:p>
    <w:p w14:paraId="2BC3B4F0" w14:textId="23161AB7" w:rsidR="00F86CEA" w:rsidRDefault="004B1412" w:rsidP="00C1529C">
      <w:pPr>
        <w:spacing w:line="360" w:lineRule="auto"/>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OVERVIEW OF CHAPTERS</w:t>
      </w:r>
      <w:r w:rsidR="000A6308">
        <w:rPr>
          <w:rFonts w:ascii="Times New Roman" w:hAnsi="Times New Roman" w:cs="Times New Roman"/>
          <w:sz w:val="24"/>
          <w:szCs w:val="24"/>
          <w:vertAlign w:val="baseline"/>
        </w:rPr>
        <w:tab/>
      </w:r>
      <w:r w:rsidR="000A6308">
        <w:rPr>
          <w:rFonts w:ascii="Times New Roman" w:hAnsi="Times New Roman" w:cs="Times New Roman"/>
          <w:sz w:val="24"/>
          <w:szCs w:val="24"/>
          <w:vertAlign w:val="baseline"/>
        </w:rPr>
        <w:tab/>
      </w:r>
      <w:r w:rsidR="000A6308">
        <w:rPr>
          <w:rFonts w:ascii="Times New Roman" w:hAnsi="Times New Roman" w:cs="Times New Roman"/>
          <w:sz w:val="24"/>
          <w:szCs w:val="24"/>
          <w:vertAlign w:val="baseline"/>
        </w:rPr>
        <w:tab/>
      </w:r>
      <w:r w:rsidR="000A6308">
        <w:rPr>
          <w:rFonts w:ascii="Times New Roman" w:hAnsi="Times New Roman" w:cs="Times New Roman"/>
          <w:sz w:val="24"/>
          <w:szCs w:val="24"/>
          <w:vertAlign w:val="baseline"/>
        </w:rPr>
        <w:tab/>
      </w:r>
      <w:r w:rsidR="000A6308">
        <w:rPr>
          <w:rFonts w:ascii="Times New Roman" w:hAnsi="Times New Roman" w:cs="Times New Roman"/>
          <w:sz w:val="24"/>
          <w:szCs w:val="24"/>
          <w:vertAlign w:val="baseline"/>
        </w:rPr>
        <w:tab/>
      </w:r>
      <w:r w:rsidR="000A6308">
        <w:rPr>
          <w:rFonts w:ascii="Times New Roman" w:hAnsi="Times New Roman" w:cs="Times New Roman"/>
          <w:sz w:val="24"/>
          <w:szCs w:val="24"/>
          <w:vertAlign w:val="baseline"/>
        </w:rPr>
        <w:tab/>
      </w:r>
      <w:r w:rsidR="000A6308">
        <w:rPr>
          <w:rFonts w:ascii="Times New Roman" w:hAnsi="Times New Roman" w:cs="Times New Roman"/>
          <w:sz w:val="24"/>
          <w:szCs w:val="24"/>
          <w:vertAlign w:val="baseline"/>
        </w:rPr>
        <w:tab/>
        <w:t>21</w:t>
      </w:r>
    </w:p>
    <w:p w14:paraId="115EDBF5" w14:textId="77777777" w:rsidR="004625CE" w:rsidRDefault="004625CE" w:rsidP="009C6997">
      <w:pPr>
        <w:spacing w:line="360" w:lineRule="auto"/>
        <w:jc w:val="both"/>
        <w:rPr>
          <w:rFonts w:ascii="Times New Roman" w:hAnsi="Times New Roman" w:cs="Times New Roman"/>
          <w:b/>
          <w:sz w:val="24"/>
          <w:szCs w:val="24"/>
          <w:vertAlign w:val="baseline"/>
        </w:rPr>
      </w:pPr>
    </w:p>
    <w:p w14:paraId="28D5DE86" w14:textId="411AC465" w:rsidR="009C6997" w:rsidRPr="00F82240" w:rsidRDefault="004B1412" w:rsidP="009C6997">
      <w:pPr>
        <w:spacing w:line="360" w:lineRule="auto"/>
        <w:jc w:val="both"/>
        <w:rPr>
          <w:rFonts w:ascii="Times New Roman" w:hAnsi="Times New Roman" w:cs="Times New Roman"/>
          <w:sz w:val="24"/>
          <w:szCs w:val="24"/>
          <w:vertAlign w:val="baseline"/>
        </w:rPr>
      </w:pPr>
      <w:r>
        <w:rPr>
          <w:rFonts w:ascii="Times New Roman" w:hAnsi="Times New Roman" w:cs="Times New Roman"/>
          <w:b/>
          <w:sz w:val="24"/>
          <w:szCs w:val="24"/>
          <w:vertAlign w:val="baseline"/>
        </w:rPr>
        <w:t>CHAPTER ONE – RESEARCH METHODOLOGY</w:t>
      </w:r>
      <w:r w:rsidR="00F82240">
        <w:rPr>
          <w:rFonts w:ascii="Times New Roman" w:hAnsi="Times New Roman" w:cs="Times New Roman"/>
          <w:b/>
          <w:sz w:val="24"/>
          <w:szCs w:val="24"/>
          <w:vertAlign w:val="baseline"/>
        </w:rPr>
        <w:tab/>
      </w:r>
      <w:r w:rsidR="00F82240">
        <w:rPr>
          <w:rFonts w:ascii="Times New Roman" w:hAnsi="Times New Roman" w:cs="Times New Roman"/>
          <w:b/>
          <w:sz w:val="24"/>
          <w:szCs w:val="24"/>
          <w:vertAlign w:val="baseline"/>
        </w:rPr>
        <w:tab/>
      </w:r>
      <w:r w:rsidR="00F82240">
        <w:rPr>
          <w:rFonts w:ascii="Times New Roman" w:hAnsi="Times New Roman" w:cs="Times New Roman"/>
          <w:b/>
          <w:sz w:val="24"/>
          <w:szCs w:val="24"/>
          <w:vertAlign w:val="baseline"/>
        </w:rPr>
        <w:tab/>
      </w:r>
      <w:r w:rsidR="00F82240">
        <w:rPr>
          <w:rFonts w:ascii="Times New Roman" w:hAnsi="Times New Roman" w:cs="Times New Roman"/>
          <w:b/>
          <w:sz w:val="24"/>
          <w:szCs w:val="24"/>
          <w:vertAlign w:val="baseline"/>
        </w:rPr>
        <w:tab/>
      </w:r>
      <w:r w:rsidR="00F82240">
        <w:rPr>
          <w:rFonts w:ascii="Times New Roman" w:hAnsi="Times New Roman" w:cs="Times New Roman"/>
          <w:sz w:val="24"/>
          <w:szCs w:val="24"/>
          <w:vertAlign w:val="baseline"/>
        </w:rPr>
        <w:t>25</w:t>
      </w:r>
    </w:p>
    <w:p w14:paraId="72BF8348" w14:textId="77777777" w:rsidR="006C4419" w:rsidRDefault="006C4419" w:rsidP="009C6997">
      <w:pPr>
        <w:spacing w:line="360" w:lineRule="auto"/>
        <w:jc w:val="both"/>
        <w:rPr>
          <w:rFonts w:ascii="Times New Roman" w:hAnsi="Times New Roman" w:cs="Times New Roman"/>
          <w:b/>
          <w:sz w:val="24"/>
          <w:szCs w:val="24"/>
          <w:vertAlign w:val="baseline"/>
        </w:rPr>
      </w:pPr>
    </w:p>
    <w:p w14:paraId="6BA9E884" w14:textId="72D2BE12" w:rsidR="009C6997" w:rsidRDefault="009C6997" w:rsidP="00196FE1">
      <w:pPr>
        <w:spacing w:line="360" w:lineRule="auto"/>
        <w:ind w:left="284" w:hanging="284"/>
        <w:jc w:val="both"/>
        <w:rPr>
          <w:rFonts w:ascii="Times New Roman" w:hAnsi="Times New Roman" w:cs="Times New Roman"/>
          <w:sz w:val="24"/>
          <w:szCs w:val="24"/>
          <w:vertAlign w:val="baseline"/>
        </w:rPr>
      </w:pPr>
      <w:r>
        <w:rPr>
          <w:rFonts w:ascii="Times New Roman" w:hAnsi="Times New Roman" w:cs="Times New Roman"/>
          <w:b/>
          <w:sz w:val="24"/>
          <w:szCs w:val="24"/>
          <w:vertAlign w:val="baseline"/>
        </w:rPr>
        <w:tab/>
      </w:r>
      <w:r w:rsidR="00B13974">
        <w:rPr>
          <w:rFonts w:ascii="Times New Roman" w:hAnsi="Times New Roman" w:cs="Times New Roman"/>
          <w:sz w:val="24"/>
          <w:szCs w:val="24"/>
          <w:vertAlign w:val="baseline"/>
        </w:rPr>
        <w:t>1</w:t>
      </w:r>
      <w:r>
        <w:rPr>
          <w:rFonts w:ascii="Times New Roman" w:hAnsi="Times New Roman" w:cs="Times New Roman"/>
          <w:sz w:val="24"/>
          <w:szCs w:val="24"/>
          <w:vertAlign w:val="baseline"/>
        </w:rPr>
        <w:t xml:space="preserve">.1 </w:t>
      </w:r>
      <w:r w:rsidR="002B249F">
        <w:rPr>
          <w:rFonts w:ascii="Times New Roman" w:hAnsi="Times New Roman" w:cs="Times New Roman"/>
          <w:sz w:val="24"/>
          <w:szCs w:val="24"/>
          <w:vertAlign w:val="baseline"/>
        </w:rPr>
        <w:tab/>
      </w:r>
      <w:r w:rsidR="002B249F">
        <w:rPr>
          <w:rFonts w:ascii="Times New Roman" w:hAnsi="Times New Roman" w:cs="Times New Roman"/>
          <w:sz w:val="24"/>
          <w:szCs w:val="24"/>
          <w:vertAlign w:val="baseline"/>
        </w:rPr>
        <w:tab/>
      </w:r>
      <w:r>
        <w:rPr>
          <w:rFonts w:ascii="Times New Roman" w:hAnsi="Times New Roman" w:cs="Times New Roman"/>
          <w:sz w:val="24"/>
          <w:szCs w:val="24"/>
          <w:vertAlign w:val="baseline"/>
        </w:rPr>
        <w:t>I</w:t>
      </w:r>
      <w:r w:rsidR="001B2F99">
        <w:rPr>
          <w:rFonts w:ascii="Times New Roman" w:hAnsi="Times New Roman" w:cs="Times New Roman"/>
          <w:sz w:val="24"/>
          <w:szCs w:val="24"/>
          <w:vertAlign w:val="baseline"/>
        </w:rPr>
        <w:t>NTRODUCTION</w:t>
      </w:r>
      <w:r w:rsidR="00F82240">
        <w:rPr>
          <w:rFonts w:ascii="Times New Roman" w:hAnsi="Times New Roman" w:cs="Times New Roman"/>
          <w:sz w:val="24"/>
          <w:szCs w:val="24"/>
          <w:vertAlign w:val="baseline"/>
        </w:rPr>
        <w:tab/>
      </w:r>
      <w:r w:rsidR="00F82240">
        <w:rPr>
          <w:rFonts w:ascii="Times New Roman" w:hAnsi="Times New Roman" w:cs="Times New Roman"/>
          <w:sz w:val="24"/>
          <w:szCs w:val="24"/>
          <w:vertAlign w:val="baseline"/>
        </w:rPr>
        <w:tab/>
      </w:r>
      <w:r w:rsidR="00F82240">
        <w:rPr>
          <w:rFonts w:ascii="Times New Roman" w:hAnsi="Times New Roman" w:cs="Times New Roman"/>
          <w:sz w:val="24"/>
          <w:szCs w:val="24"/>
          <w:vertAlign w:val="baseline"/>
        </w:rPr>
        <w:tab/>
      </w:r>
      <w:r w:rsidR="00F82240">
        <w:rPr>
          <w:rFonts w:ascii="Times New Roman" w:hAnsi="Times New Roman" w:cs="Times New Roman"/>
          <w:sz w:val="24"/>
          <w:szCs w:val="24"/>
          <w:vertAlign w:val="baseline"/>
        </w:rPr>
        <w:tab/>
      </w:r>
      <w:r w:rsidR="00F82240">
        <w:rPr>
          <w:rFonts w:ascii="Times New Roman" w:hAnsi="Times New Roman" w:cs="Times New Roman"/>
          <w:sz w:val="24"/>
          <w:szCs w:val="24"/>
          <w:vertAlign w:val="baseline"/>
        </w:rPr>
        <w:tab/>
      </w:r>
      <w:r w:rsidR="00F82240">
        <w:rPr>
          <w:rFonts w:ascii="Times New Roman" w:hAnsi="Times New Roman" w:cs="Times New Roman"/>
          <w:sz w:val="24"/>
          <w:szCs w:val="24"/>
          <w:vertAlign w:val="baseline"/>
        </w:rPr>
        <w:tab/>
      </w:r>
      <w:r w:rsidR="00F82240">
        <w:rPr>
          <w:rFonts w:ascii="Times New Roman" w:hAnsi="Times New Roman" w:cs="Times New Roman"/>
          <w:sz w:val="24"/>
          <w:szCs w:val="24"/>
          <w:vertAlign w:val="baseline"/>
        </w:rPr>
        <w:tab/>
        <w:t>25</w:t>
      </w:r>
    </w:p>
    <w:p w14:paraId="220B9927" w14:textId="31FF2943" w:rsidR="000A6308" w:rsidRDefault="000A6308" w:rsidP="00196FE1">
      <w:pPr>
        <w:spacing w:line="360" w:lineRule="auto"/>
        <w:ind w:left="284" w:hanging="284"/>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ab/>
        <w:t>1.2</w:t>
      </w:r>
      <w:r>
        <w:rPr>
          <w:rFonts w:ascii="Times New Roman" w:hAnsi="Times New Roman" w:cs="Times New Roman"/>
          <w:sz w:val="24"/>
          <w:szCs w:val="24"/>
          <w:vertAlign w:val="baseline"/>
        </w:rPr>
        <w:tab/>
      </w:r>
      <w:r>
        <w:rPr>
          <w:rFonts w:ascii="Times New Roman" w:hAnsi="Times New Roman" w:cs="Times New Roman"/>
          <w:sz w:val="24"/>
          <w:szCs w:val="24"/>
          <w:vertAlign w:val="baseline"/>
        </w:rPr>
        <w:tab/>
        <w:t>LEGAL PLURALISM</w:t>
      </w:r>
      <w:r>
        <w:rPr>
          <w:rFonts w:ascii="Times New Roman" w:hAnsi="Times New Roman" w:cs="Times New Roman"/>
          <w:sz w:val="24"/>
          <w:szCs w:val="24"/>
          <w:vertAlign w:val="baseline"/>
        </w:rPr>
        <w:tab/>
      </w:r>
      <w:r>
        <w:rPr>
          <w:rFonts w:ascii="Times New Roman" w:hAnsi="Times New Roman" w:cs="Times New Roman"/>
          <w:sz w:val="24"/>
          <w:szCs w:val="24"/>
          <w:vertAlign w:val="baseline"/>
        </w:rPr>
        <w:tab/>
      </w:r>
      <w:r>
        <w:rPr>
          <w:rFonts w:ascii="Times New Roman" w:hAnsi="Times New Roman" w:cs="Times New Roman"/>
          <w:sz w:val="24"/>
          <w:szCs w:val="24"/>
          <w:vertAlign w:val="baseline"/>
        </w:rPr>
        <w:tab/>
      </w:r>
      <w:r>
        <w:rPr>
          <w:rFonts w:ascii="Times New Roman" w:hAnsi="Times New Roman" w:cs="Times New Roman"/>
          <w:sz w:val="24"/>
          <w:szCs w:val="24"/>
          <w:vertAlign w:val="baseline"/>
        </w:rPr>
        <w:tab/>
      </w:r>
      <w:r>
        <w:rPr>
          <w:rFonts w:ascii="Times New Roman" w:hAnsi="Times New Roman" w:cs="Times New Roman"/>
          <w:sz w:val="24"/>
          <w:szCs w:val="24"/>
          <w:vertAlign w:val="baseline"/>
        </w:rPr>
        <w:tab/>
      </w:r>
      <w:r>
        <w:rPr>
          <w:rFonts w:ascii="Times New Roman" w:hAnsi="Times New Roman" w:cs="Times New Roman"/>
          <w:sz w:val="24"/>
          <w:szCs w:val="24"/>
          <w:vertAlign w:val="baseline"/>
        </w:rPr>
        <w:tab/>
        <w:t>26</w:t>
      </w:r>
    </w:p>
    <w:p w14:paraId="640A23E6" w14:textId="712117D6" w:rsidR="009C6997" w:rsidRDefault="00B13974" w:rsidP="00196FE1">
      <w:pPr>
        <w:spacing w:line="360" w:lineRule="auto"/>
        <w:ind w:left="284" w:hanging="284"/>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ab/>
        <w:t>1</w:t>
      </w:r>
      <w:r w:rsidR="000A6308">
        <w:rPr>
          <w:rFonts w:ascii="Times New Roman" w:hAnsi="Times New Roman" w:cs="Times New Roman"/>
          <w:sz w:val="24"/>
          <w:szCs w:val="24"/>
          <w:vertAlign w:val="baseline"/>
        </w:rPr>
        <w:t>.3</w:t>
      </w:r>
      <w:r w:rsidR="009C6997">
        <w:rPr>
          <w:rFonts w:ascii="Times New Roman" w:hAnsi="Times New Roman" w:cs="Times New Roman"/>
          <w:sz w:val="24"/>
          <w:szCs w:val="24"/>
          <w:vertAlign w:val="baseline"/>
        </w:rPr>
        <w:t xml:space="preserve"> </w:t>
      </w:r>
      <w:r w:rsidR="002B249F">
        <w:rPr>
          <w:rFonts w:ascii="Times New Roman" w:hAnsi="Times New Roman" w:cs="Times New Roman"/>
          <w:sz w:val="24"/>
          <w:szCs w:val="24"/>
          <w:vertAlign w:val="baseline"/>
        </w:rPr>
        <w:tab/>
      </w:r>
      <w:r w:rsidR="002B249F">
        <w:rPr>
          <w:rFonts w:ascii="Times New Roman" w:hAnsi="Times New Roman" w:cs="Times New Roman"/>
          <w:sz w:val="24"/>
          <w:szCs w:val="24"/>
          <w:vertAlign w:val="baseline"/>
        </w:rPr>
        <w:tab/>
      </w:r>
      <w:r w:rsidR="00FF2BD5">
        <w:rPr>
          <w:rFonts w:ascii="Times New Roman" w:hAnsi="Times New Roman" w:cs="Times New Roman"/>
          <w:sz w:val="24"/>
          <w:szCs w:val="24"/>
          <w:vertAlign w:val="baseline"/>
        </w:rPr>
        <w:t>THEORETICAL PERSPECTIVES</w:t>
      </w:r>
      <w:r w:rsidR="000A6308">
        <w:rPr>
          <w:rFonts w:ascii="Times New Roman" w:hAnsi="Times New Roman" w:cs="Times New Roman"/>
          <w:sz w:val="24"/>
          <w:szCs w:val="24"/>
          <w:vertAlign w:val="baseline"/>
        </w:rPr>
        <w:tab/>
      </w:r>
      <w:r w:rsidR="000A6308">
        <w:rPr>
          <w:rFonts w:ascii="Times New Roman" w:hAnsi="Times New Roman" w:cs="Times New Roman"/>
          <w:sz w:val="24"/>
          <w:szCs w:val="24"/>
          <w:vertAlign w:val="baseline"/>
        </w:rPr>
        <w:tab/>
      </w:r>
      <w:r w:rsidR="000A6308">
        <w:rPr>
          <w:rFonts w:ascii="Times New Roman" w:hAnsi="Times New Roman" w:cs="Times New Roman"/>
          <w:sz w:val="24"/>
          <w:szCs w:val="24"/>
          <w:vertAlign w:val="baseline"/>
        </w:rPr>
        <w:tab/>
      </w:r>
      <w:r w:rsidR="000A6308">
        <w:rPr>
          <w:rFonts w:ascii="Times New Roman" w:hAnsi="Times New Roman" w:cs="Times New Roman"/>
          <w:sz w:val="24"/>
          <w:szCs w:val="24"/>
          <w:vertAlign w:val="baseline"/>
        </w:rPr>
        <w:tab/>
      </w:r>
      <w:r w:rsidR="000A6308">
        <w:rPr>
          <w:rFonts w:ascii="Times New Roman" w:hAnsi="Times New Roman" w:cs="Times New Roman"/>
          <w:sz w:val="24"/>
          <w:szCs w:val="24"/>
          <w:vertAlign w:val="baseline"/>
        </w:rPr>
        <w:tab/>
        <w:t>27</w:t>
      </w:r>
    </w:p>
    <w:p w14:paraId="7E62B1FE" w14:textId="576828D5" w:rsidR="009C6997" w:rsidRPr="00F82240" w:rsidRDefault="00B13974" w:rsidP="00196FE1">
      <w:pPr>
        <w:spacing w:line="360" w:lineRule="auto"/>
        <w:ind w:left="284" w:hanging="284"/>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ab/>
        <w:t>1</w:t>
      </w:r>
      <w:r w:rsidR="000A6308">
        <w:rPr>
          <w:rFonts w:ascii="Times New Roman" w:hAnsi="Times New Roman" w:cs="Times New Roman"/>
          <w:sz w:val="24"/>
          <w:szCs w:val="24"/>
          <w:vertAlign w:val="baseline"/>
        </w:rPr>
        <w:t>.4</w:t>
      </w:r>
      <w:r w:rsidR="009C6997">
        <w:rPr>
          <w:rFonts w:ascii="Times New Roman" w:hAnsi="Times New Roman" w:cs="Times New Roman"/>
          <w:sz w:val="24"/>
          <w:szCs w:val="24"/>
          <w:vertAlign w:val="baseline"/>
        </w:rPr>
        <w:t xml:space="preserve"> </w:t>
      </w:r>
      <w:r w:rsidR="002B249F">
        <w:rPr>
          <w:rFonts w:ascii="Times New Roman" w:hAnsi="Times New Roman" w:cs="Times New Roman"/>
          <w:sz w:val="24"/>
          <w:szCs w:val="24"/>
          <w:vertAlign w:val="baseline"/>
        </w:rPr>
        <w:tab/>
      </w:r>
      <w:r w:rsidR="002B249F">
        <w:rPr>
          <w:rFonts w:ascii="Times New Roman" w:hAnsi="Times New Roman" w:cs="Times New Roman"/>
          <w:sz w:val="24"/>
          <w:szCs w:val="24"/>
          <w:vertAlign w:val="baseline"/>
        </w:rPr>
        <w:tab/>
      </w:r>
      <w:r w:rsidR="009C6997">
        <w:rPr>
          <w:rFonts w:ascii="Times New Roman" w:hAnsi="Times New Roman" w:cs="Times New Roman"/>
          <w:sz w:val="24"/>
          <w:szCs w:val="24"/>
          <w:vertAlign w:val="baseline"/>
        </w:rPr>
        <w:t>M</w:t>
      </w:r>
      <w:r w:rsidR="001B2F99">
        <w:rPr>
          <w:rFonts w:ascii="Times New Roman" w:hAnsi="Times New Roman" w:cs="Times New Roman"/>
          <w:sz w:val="24"/>
          <w:szCs w:val="24"/>
          <w:vertAlign w:val="baseline"/>
        </w:rPr>
        <w:t>ETHODS</w:t>
      </w:r>
      <w:r w:rsidR="009C6997">
        <w:rPr>
          <w:rFonts w:ascii="Times New Roman" w:hAnsi="Times New Roman" w:cs="Times New Roman"/>
          <w:b/>
          <w:sz w:val="24"/>
          <w:szCs w:val="24"/>
          <w:vertAlign w:val="baseline"/>
        </w:rPr>
        <w:tab/>
      </w:r>
      <w:r w:rsidR="00F82240">
        <w:rPr>
          <w:rFonts w:ascii="Times New Roman" w:hAnsi="Times New Roman" w:cs="Times New Roman"/>
          <w:b/>
          <w:sz w:val="24"/>
          <w:szCs w:val="24"/>
          <w:vertAlign w:val="baseline"/>
        </w:rPr>
        <w:tab/>
      </w:r>
      <w:r w:rsidR="00F82240">
        <w:rPr>
          <w:rFonts w:ascii="Times New Roman" w:hAnsi="Times New Roman" w:cs="Times New Roman"/>
          <w:b/>
          <w:sz w:val="24"/>
          <w:szCs w:val="24"/>
          <w:vertAlign w:val="baseline"/>
        </w:rPr>
        <w:tab/>
      </w:r>
      <w:r w:rsidR="00F82240">
        <w:rPr>
          <w:rFonts w:ascii="Times New Roman" w:hAnsi="Times New Roman" w:cs="Times New Roman"/>
          <w:b/>
          <w:sz w:val="24"/>
          <w:szCs w:val="24"/>
          <w:vertAlign w:val="baseline"/>
        </w:rPr>
        <w:tab/>
      </w:r>
      <w:r w:rsidR="00F82240">
        <w:rPr>
          <w:rFonts w:ascii="Times New Roman" w:hAnsi="Times New Roman" w:cs="Times New Roman"/>
          <w:b/>
          <w:sz w:val="24"/>
          <w:szCs w:val="24"/>
          <w:vertAlign w:val="baseline"/>
        </w:rPr>
        <w:tab/>
      </w:r>
      <w:r w:rsidR="00F82240">
        <w:rPr>
          <w:rFonts w:ascii="Times New Roman" w:hAnsi="Times New Roman" w:cs="Times New Roman"/>
          <w:b/>
          <w:sz w:val="24"/>
          <w:szCs w:val="24"/>
          <w:vertAlign w:val="baseline"/>
        </w:rPr>
        <w:tab/>
      </w:r>
      <w:r w:rsidR="00F82240">
        <w:rPr>
          <w:rFonts w:ascii="Times New Roman" w:hAnsi="Times New Roman" w:cs="Times New Roman"/>
          <w:b/>
          <w:sz w:val="24"/>
          <w:szCs w:val="24"/>
          <w:vertAlign w:val="baseline"/>
        </w:rPr>
        <w:tab/>
      </w:r>
      <w:r w:rsidR="00F82240">
        <w:rPr>
          <w:rFonts w:ascii="Times New Roman" w:hAnsi="Times New Roman" w:cs="Times New Roman"/>
          <w:b/>
          <w:sz w:val="24"/>
          <w:szCs w:val="24"/>
          <w:vertAlign w:val="baseline"/>
        </w:rPr>
        <w:tab/>
      </w:r>
      <w:r w:rsidR="000A6308">
        <w:rPr>
          <w:rFonts w:ascii="Times New Roman" w:hAnsi="Times New Roman" w:cs="Times New Roman"/>
          <w:sz w:val="24"/>
          <w:szCs w:val="24"/>
          <w:vertAlign w:val="baseline"/>
        </w:rPr>
        <w:t>43</w:t>
      </w:r>
    </w:p>
    <w:p w14:paraId="7F290A09" w14:textId="77777777" w:rsidR="004625CE" w:rsidRDefault="004625CE" w:rsidP="009C6997">
      <w:pPr>
        <w:spacing w:line="360" w:lineRule="auto"/>
        <w:ind w:left="284" w:hanging="284"/>
        <w:jc w:val="both"/>
        <w:rPr>
          <w:rFonts w:ascii="Times New Roman" w:hAnsi="Times New Roman" w:cs="Times New Roman"/>
          <w:b/>
          <w:sz w:val="24"/>
          <w:szCs w:val="24"/>
          <w:vertAlign w:val="baseline"/>
        </w:rPr>
      </w:pPr>
    </w:p>
    <w:p w14:paraId="381C572B" w14:textId="2739DD8F" w:rsidR="006C4419" w:rsidRPr="00654035" w:rsidRDefault="000E4490" w:rsidP="00C1529C">
      <w:pPr>
        <w:spacing w:line="360" w:lineRule="auto"/>
        <w:ind w:left="284" w:hanging="284"/>
        <w:jc w:val="both"/>
        <w:rPr>
          <w:rFonts w:ascii="Times New Roman" w:hAnsi="Times New Roman" w:cs="Times New Roman"/>
          <w:sz w:val="24"/>
          <w:szCs w:val="24"/>
          <w:vertAlign w:val="baseline"/>
        </w:rPr>
      </w:pPr>
      <w:r>
        <w:rPr>
          <w:rFonts w:ascii="Times New Roman" w:hAnsi="Times New Roman" w:cs="Times New Roman"/>
          <w:b/>
          <w:sz w:val="24"/>
          <w:szCs w:val="24"/>
          <w:vertAlign w:val="baseline"/>
        </w:rPr>
        <w:t>CHAPTER TWO – SUPERSTITION AND THE CONCEPT OF EVIL</w:t>
      </w:r>
      <w:r w:rsidR="00654035">
        <w:rPr>
          <w:rFonts w:ascii="Times New Roman" w:hAnsi="Times New Roman" w:cs="Times New Roman"/>
          <w:b/>
          <w:sz w:val="24"/>
          <w:szCs w:val="24"/>
          <w:vertAlign w:val="baseline"/>
        </w:rPr>
        <w:tab/>
      </w:r>
      <w:r w:rsidR="0064696D">
        <w:rPr>
          <w:rFonts w:ascii="Times New Roman" w:hAnsi="Times New Roman" w:cs="Times New Roman"/>
          <w:sz w:val="24"/>
          <w:szCs w:val="24"/>
          <w:vertAlign w:val="baseline"/>
        </w:rPr>
        <w:t>45</w:t>
      </w:r>
    </w:p>
    <w:p w14:paraId="674CC562" w14:textId="77777777" w:rsidR="00C1529C" w:rsidRDefault="00C1529C" w:rsidP="00C1529C">
      <w:pPr>
        <w:spacing w:line="360" w:lineRule="auto"/>
        <w:ind w:left="284" w:hanging="284"/>
        <w:jc w:val="both"/>
        <w:rPr>
          <w:rFonts w:ascii="Times New Roman" w:hAnsi="Times New Roman" w:cs="Times New Roman"/>
          <w:b/>
          <w:sz w:val="24"/>
          <w:szCs w:val="24"/>
          <w:vertAlign w:val="baseline"/>
        </w:rPr>
      </w:pPr>
    </w:p>
    <w:p w14:paraId="16C7F6A2" w14:textId="733978A4" w:rsidR="002B249F" w:rsidRDefault="002B249F" w:rsidP="00196FE1">
      <w:pPr>
        <w:spacing w:line="360" w:lineRule="auto"/>
        <w:ind w:left="284" w:hanging="284"/>
        <w:jc w:val="both"/>
        <w:rPr>
          <w:rFonts w:ascii="Times New Roman" w:hAnsi="Times New Roman" w:cs="Times New Roman"/>
          <w:sz w:val="24"/>
          <w:szCs w:val="24"/>
          <w:vertAlign w:val="baseline"/>
        </w:rPr>
      </w:pPr>
      <w:r>
        <w:rPr>
          <w:rFonts w:ascii="Times New Roman" w:hAnsi="Times New Roman" w:cs="Times New Roman"/>
          <w:b/>
          <w:sz w:val="24"/>
          <w:szCs w:val="24"/>
          <w:vertAlign w:val="baseline"/>
        </w:rPr>
        <w:tab/>
      </w:r>
      <w:r w:rsidR="00B13974">
        <w:rPr>
          <w:rFonts w:ascii="Times New Roman" w:hAnsi="Times New Roman" w:cs="Times New Roman"/>
          <w:sz w:val="24"/>
          <w:szCs w:val="24"/>
          <w:vertAlign w:val="baseline"/>
        </w:rPr>
        <w:t>2</w:t>
      </w:r>
      <w:r>
        <w:rPr>
          <w:rFonts w:ascii="Times New Roman" w:hAnsi="Times New Roman" w:cs="Times New Roman"/>
          <w:sz w:val="24"/>
          <w:szCs w:val="24"/>
          <w:vertAlign w:val="baseline"/>
        </w:rPr>
        <w:t xml:space="preserve">.1 </w:t>
      </w:r>
      <w:r>
        <w:rPr>
          <w:rFonts w:ascii="Times New Roman" w:hAnsi="Times New Roman" w:cs="Times New Roman"/>
          <w:sz w:val="24"/>
          <w:szCs w:val="24"/>
          <w:vertAlign w:val="baseline"/>
        </w:rPr>
        <w:tab/>
      </w:r>
      <w:r>
        <w:rPr>
          <w:rFonts w:ascii="Times New Roman" w:hAnsi="Times New Roman" w:cs="Times New Roman"/>
          <w:sz w:val="24"/>
          <w:szCs w:val="24"/>
          <w:vertAlign w:val="baseline"/>
        </w:rPr>
        <w:tab/>
        <w:t>I</w:t>
      </w:r>
      <w:r w:rsidR="001B2F99">
        <w:rPr>
          <w:rFonts w:ascii="Times New Roman" w:hAnsi="Times New Roman" w:cs="Times New Roman"/>
          <w:sz w:val="24"/>
          <w:szCs w:val="24"/>
          <w:vertAlign w:val="baseline"/>
        </w:rPr>
        <w:t>NTRODUCTION</w:t>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t>45</w:t>
      </w:r>
    </w:p>
    <w:p w14:paraId="6EF01962" w14:textId="771003C8" w:rsidR="002B249F" w:rsidRDefault="00B13974" w:rsidP="00196FE1">
      <w:pPr>
        <w:spacing w:line="360" w:lineRule="auto"/>
        <w:ind w:left="284" w:hanging="284"/>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ab/>
        <w:t>2</w:t>
      </w:r>
      <w:r w:rsidR="002B249F">
        <w:rPr>
          <w:rFonts w:ascii="Times New Roman" w:hAnsi="Times New Roman" w:cs="Times New Roman"/>
          <w:sz w:val="24"/>
          <w:szCs w:val="24"/>
          <w:vertAlign w:val="baseline"/>
        </w:rPr>
        <w:t xml:space="preserve">.2 </w:t>
      </w:r>
      <w:r w:rsidR="002B249F">
        <w:rPr>
          <w:rFonts w:ascii="Times New Roman" w:hAnsi="Times New Roman" w:cs="Times New Roman"/>
          <w:sz w:val="24"/>
          <w:szCs w:val="24"/>
          <w:vertAlign w:val="baseline"/>
        </w:rPr>
        <w:tab/>
      </w:r>
      <w:r w:rsidR="002B249F">
        <w:rPr>
          <w:rFonts w:ascii="Times New Roman" w:hAnsi="Times New Roman" w:cs="Times New Roman"/>
          <w:sz w:val="24"/>
          <w:szCs w:val="24"/>
          <w:vertAlign w:val="baseline"/>
        </w:rPr>
        <w:tab/>
        <w:t>S</w:t>
      </w:r>
      <w:r w:rsidR="001B2F99">
        <w:rPr>
          <w:rFonts w:ascii="Times New Roman" w:hAnsi="Times New Roman" w:cs="Times New Roman"/>
          <w:sz w:val="24"/>
          <w:szCs w:val="24"/>
          <w:vertAlign w:val="baseline"/>
        </w:rPr>
        <w:t>UPERSTITION</w:t>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t>45</w:t>
      </w:r>
    </w:p>
    <w:p w14:paraId="14D0C8AE" w14:textId="65E1B6FA" w:rsidR="002B249F" w:rsidRPr="00654035" w:rsidRDefault="00B13974" w:rsidP="00B575F6">
      <w:pPr>
        <w:spacing w:line="360" w:lineRule="auto"/>
        <w:ind w:left="284" w:hanging="284"/>
        <w:jc w:val="both"/>
        <w:rPr>
          <w:rFonts w:ascii="Times New Roman" w:hAnsi="Times New Roman" w:cs="Times New Roman"/>
          <w:sz w:val="24"/>
          <w:szCs w:val="24"/>
          <w:vertAlign w:val="baseline"/>
        </w:rPr>
      </w:pPr>
      <w:r w:rsidRPr="001B2F99">
        <w:rPr>
          <w:rFonts w:ascii="Times New Roman" w:hAnsi="Times New Roman" w:cs="Times New Roman"/>
          <w:i/>
          <w:sz w:val="24"/>
          <w:szCs w:val="24"/>
          <w:vertAlign w:val="baseline"/>
        </w:rPr>
        <w:tab/>
      </w:r>
      <w:r w:rsidR="001B2F99" w:rsidRPr="002F70B3">
        <w:rPr>
          <w:rFonts w:ascii="Times New Roman" w:hAnsi="Times New Roman" w:cs="Times New Roman"/>
          <w:i/>
          <w:sz w:val="24"/>
          <w:szCs w:val="24"/>
          <w:vertAlign w:val="baseline"/>
        </w:rPr>
        <w:t xml:space="preserve">    </w:t>
      </w:r>
      <w:r w:rsidRPr="002F70B3">
        <w:rPr>
          <w:rFonts w:ascii="Times New Roman" w:hAnsi="Times New Roman" w:cs="Times New Roman"/>
          <w:i/>
          <w:sz w:val="24"/>
          <w:szCs w:val="24"/>
          <w:vertAlign w:val="baseline"/>
        </w:rPr>
        <w:t>2</w:t>
      </w:r>
      <w:r w:rsidR="00706FBD" w:rsidRPr="002F70B3">
        <w:rPr>
          <w:rFonts w:ascii="Times New Roman" w:hAnsi="Times New Roman" w:cs="Times New Roman"/>
          <w:i/>
          <w:sz w:val="24"/>
          <w:szCs w:val="24"/>
          <w:vertAlign w:val="baseline"/>
        </w:rPr>
        <w:t>.2.1</w:t>
      </w:r>
      <w:r w:rsidR="002B249F" w:rsidRPr="002F70B3">
        <w:rPr>
          <w:rFonts w:ascii="Times New Roman" w:hAnsi="Times New Roman" w:cs="Times New Roman"/>
          <w:i/>
          <w:sz w:val="24"/>
          <w:szCs w:val="24"/>
          <w:vertAlign w:val="baseline"/>
        </w:rPr>
        <w:tab/>
        <w:t>Definition</w:t>
      </w:r>
      <w:r w:rsidR="00654035">
        <w:rPr>
          <w:rFonts w:ascii="Times New Roman" w:hAnsi="Times New Roman" w:cs="Times New Roman"/>
          <w:i/>
          <w:sz w:val="24"/>
          <w:szCs w:val="24"/>
          <w:vertAlign w:val="baseline"/>
        </w:rPr>
        <w:tab/>
      </w:r>
      <w:r w:rsidR="00654035">
        <w:rPr>
          <w:rFonts w:ascii="Times New Roman" w:hAnsi="Times New Roman" w:cs="Times New Roman"/>
          <w:i/>
          <w:sz w:val="24"/>
          <w:szCs w:val="24"/>
          <w:vertAlign w:val="baseline"/>
        </w:rPr>
        <w:tab/>
      </w:r>
      <w:r w:rsidR="00654035">
        <w:rPr>
          <w:rFonts w:ascii="Times New Roman" w:hAnsi="Times New Roman" w:cs="Times New Roman"/>
          <w:i/>
          <w:sz w:val="24"/>
          <w:szCs w:val="24"/>
          <w:vertAlign w:val="baseline"/>
        </w:rPr>
        <w:tab/>
      </w:r>
      <w:r w:rsidR="00654035">
        <w:rPr>
          <w:rFonts w:ascii="Times New Roman" w:hAnsi="Times New Roman" w:cs="Times New Roman"/>
          <w:i/>
          <w:sz w:val="24"/>
          <w:szCs w:val="24"/>
          <w:vertAlign w:val="baseline"/>
        </w:rPr>
        <w:tab/>
      </w:r>
      <w:r w:rsidR="00654035">
        <w:rPr>
          <w:rFonts w:ascii="Times New Roman" w:hAnsi="Times New Roman" w:cs="Times New Roman"/>
          <w:i/>
          <w:sz w:val="24"/>
          <w:szCs w:val="24"/>
          <w:vertAlign w:val="baseline"/>
        </w:rPr>
        <w:tab/>
      </w:r>
      <w:r w:rsidR="00654035">
        <w:rPr>
          <w:rFonts w:ascii="Times New Roman" w:hAnsi="Times New Roman" w:cs="Times New Roman"/>
          <w:i/>
          <w:sz w:val="24"/>
          <w:szCs w:val="24"/>
          <w:vertAlign w:val="baseline"/>
        </w:rPr>
        <w:tab/>
      </w:r>
      <w:r w:rsidR="00654035">
        <w:rPr>
          <w:rFonts w:ascii="Times New Roman" w:hAnsi="Times New Roman" w:cs="Times New Roman"/>
          <w:i/>
          <w:sz w:val="24"/>
          <w:szCs w:val="24"/>
          <w:vertAlign w:val="baseline"/>
        </w:rPr>
        <w:tab/>
      </w:r>
      <w:r w:rsidR="00654035">
        <w:rPr>
          <w:rFonts w:ascii="Times New Roman" w:hAnsi="Times New Roman" w:cs="Times New Roman"/>
          <w:i/>
          <w:sz w:val="24"/>
          <w:szCs w:val="24"/>
          <w:vertAlign w:val="baseline"/>
        </w:rPr>
        <w:tab/>
      </w:r>
      <w:r w:rsidR="0064696D">
        <w:rPr>
          <w:rFonts w:ascii="Times New Roman" w:hAnsi="Times New Roman" w:cs="Times New Roman"/>
          <w:sz w:val="24"/>
          <w:szCs w:val="24"/>
          <w:vertAlign w:val="baseline"/>
        </w:rPr>
        <w:t>46</w:t>
      </w:r>
    </w:p>
    <w:p w14:paraId="0773D448" w14:textId="626F9DB5" w:rsidR="00706FBD" w:rsidRPr="00654035" w:rsidRDefault="00B13974" w:rsidP="00B575F6">
      <w:pPr>
        <w:spacing w:line="360" w:lineRule="auto"/>
        <w:ind w:left="284" w:hanging="284"/>
        <w:jc w:val="both"/>
        <w:rPr>
          <w:rFonts w:ascii="Times New Roman" w:hAnsi="Times New Roman" w:cs="Times New Roman"/>
          <w:sz w:val="24"/>
          <w:szCs w:val="24"/>
          <w:vertAlign w:val="baseline"/>
        </w:rPr>
      </w:pPr>
      <w:r w:rsidRPr="002F70B3">
        <w:rPr>
          <w:rFonts w:ascii="Times New Roman" w:hAnsi="Times New Roman" w:cs="Times New Roman"/>
          <w:i/>
          <w:sz w:val="24"/>
          <w:szCs w:val="24"/>
          <w:vertAlign w:val="baseline"/>
        </w:rPr>
        <w:tab/>
      </w:r>
      <w:r w:rsidR="001B2F99" w:rsidRPr="002F70B3">
        <w:rPr>
          <w:rFonts w:ascii="Times New Roman" w:hAnsi="Times New Roman" w:cs="Times New Roman"/>
          <w:i/>
          <w:sz w:val="24"/>
          <w:szCs w:val="24"/>
          <w:vertAlign w:val="baseline"/>
        </w:rPr>
        <w:t xml:space="preserve">    </w:t>
      </w:r>
      <w:r w:rsidRPr="002F70B3">
        <w:rPr>
          <w:rFonts w:ascii="Times New Roman" w:hAnsi="Times New Roman" w:cs="Times New Roman"/>
          <w:i/>
          <w:sz w:val="24"/>
          <w:szCs w:val="24"/>
          <w:vertAlign w:val="baseline"/>
        </w:rPr>
        <w:t>2</w:t>
      </w:r>
      <w:r w:rsidR="00706FBD" w:rsidRPr="002F70B3">
        <w:rPr>
          <w:rFonts w:ascii="Times New Roman" w:hAnsi="Times New Roman" w:cs="Times New Roman"/>
          <w:i/>
          <w:sz w:val="24"/>
          <w:szCs w:val="24"/>
          <w:vertAlign w:val="baseline"/>
        </w:rPr>
        <w:t>.2.2</w:t>
      </w:r>
      <w:r w:rsidR="00706FBD" w:rsidRPr="002F70B3">
        <w:rPr>
          <w:rFonts w:ascii="Times New Roman" w:hAnsi="Times New Roman" w:cs="Times New Roman"/>
          <w:i/>
          <w:sz w:val="24"/>
          <w:szCs w:val="24"/>
          <w:vertAlign w:val="baseline"/>
        </w:rPr>
        <w:tab/>
      </w:r>
      <w:r w:rsidR="008A1E34" w:rsidRPr="002F70B3">
        <w:rPr>
          <w:rFonts w:ascii="Times New Roman" w:hAnsi="Times New Roman" w:cs="Times New Roman"/>
          <w:i/>
          <w:sz w:val="24"/>
          <w:szCs w:val="24"/>
          <w:vertAlign w:val="baseline"/>
        </w:rPr>
        <w:t>Categorisation</w:t>
      </w:r>
      <w:r w:rsidR="00654035">
        <w:rPr>
          <w:rFonts w:ascii="Times New Roman" w:hAnsi="Times New Roman" w:cs="Times New Roman"/>
          <w:i/>
          <w:sz w:val="24"/>
          <w:szCs w:val="24"/>
          <w:vertAlign w:val="baseline"/>
        </w:rPr>
        <w:tab/>
      </w:r>
      <w:r w:rsidR="00654035">
        <w:rPr>
          <w:rFonts w:ascii="Times New Roman" w:hAnsi="Times New Roman" w:cs="Times New Roman"/>
          <w:i/>
          <w:sz w:val="24"/>
          <w:szCs w:val="24"/>
          <w:vertAlign w:val="baseline"/>
        </w:rPr>
        <w:tab/>
      </w:r>
      <w:r w:rsidR="00654035">
        <w:rPr>
          <w:rFonts w:ascii="Times New Roman" w:hAnsi="Times New Roman" w:cs="Times New Roman"/>
          <w:i/>
          <w:sz w:val="24"/>
          <w:szCs w:val="24"/>
          <w:vertAlign w:val="baseline"/>
        </w:rPr>
        <w:tab/>
      </w:r>
      <w:r w:rsidR="00654035">
        <w:rPr>
          <w:rFonts w:ascii="Times New Roman" w:hAnsi="Times New Roman" w:cs="Times New Roman"/>
          <w:i/>
          <w:sz w:val="24"/>
          <w:szCs w:val="24"/>
          <w:vertAlign w:val="baseline"/>
        </w:rPr>
        <w:tab/>
      </w:r>
      <w:r w:rsidR="00654035">
        <w:rPr>
          <w:rFonts w:ascii="Times New Roman" w:hAnsi="Times New Roman" w:cs="Times New Roman"/>
          <w:i/>
          <w:sz w:val="24"/>
          <w:szCs w:val="24"/>
          <w:vertAlign w:val="baseline"/>
        </w:rPr>
        <w:tab/>
      </w:r>
      <w:r w:rsidR="00654035">
        <w:rPr>
          <w:rFonts w:ascii="Times New Roman" w:hAnsi="Times New Roman" w:cs="Times New Roman"/>
          <w:i/>
          <w:sz w:val="24"/>
          <w:szCs w:val="24"/>
          <w:vertAlign w:val="baseline"/>
        </w:rPr>
        <w:tab/>
      </w:r>
      <w:r w:rsidR="00654035">
        <w:rPr>
          <w:rFonts w:ascii="Times New Roman" w:hAnsi="Times New Roman" w:cs="Times New Roman"/>
          <w:i/>
          <w:sz w:val="24"/>
          <w:szCs w:val="24"/>
          <w:vertAlign w:val="baseline"/>
        </w:rPr>
        <w:tab/>
      </w:r>
      <w:r w:rsidR="0064696D">
        <w:rPr>
          <w:rFonts w:ascii="Times New Roman" w:hAnsi="Times New Roman" w:cs="Times New Roman"/>
          <w:sz w:val="24"/>
          <w:szCs w:val="24"/>
          <w:vertAlign w:val="baseline"/>
        </w:rPr>
        <w:t>47</w:t>
      </w:r>
    </w:p>
    <w:p w14:paraId="614B4CAA" w14:textId="3EA28AEE" w:rsidR="008A1E34" w:rsidRPr="00654035" w:rsidRDefault="00B13974" w:rsidP="00196FE1">
      <w:pPr>
        <w:spacing w:line="360" w:lineRule="auto"/>
        <w:ind w:left="284" w:hanging="284"/>
        <w:jc w:val="both"/>
        <w:rPr>
          <w:rFonts w:ascii="Times New Roman" w:hAnsi="Times New Roman" w:cs="Times New Roman"/>
          <w:sz w:val="24"/>
          <w:szCs w:val="24"/>
          <w:vertAlign w:val="baseline"/>
        </w:rPr>
      </w:pPr>
      <w:r w:rsidRPr="002F70B3">
        <w:rPr>
          <w:rFonts w:ascii="Times New Roman" w:hAnsi="Times New Roman" w:cs="Times New Roman"/>
          <w:i/>
          <w:sz w:val="24"/>
          <w:szCs w:val="24"/>
          <w:vertAlign w:val="baseline"/>
        </w:rPr>
        <w:tab/>
      </w:r>
      <w:r w:rsidR="001B2F99" w:rsidRPr="002F70B3">
        <w:rPr>
          <w:rFonts w:ascii="Times New Roman" w:hAnsi="Times New Roman" w:cs="Times New Roman"/>
          <w:i/>
          <w:sz w:val="24"/>
          <w:szCs w:val="24"/>
          <w:vertAlign w:val="baseline"/>
        </w:rPr>
        <w:t xml:space="preserve">    </w:t>
      </w:r>
      <w:r w:rsidRPr="002F70B3">
        <w:rPr>
          <w:rFonts w:ascii="Times New Roman" w:hAnsi="Times New Roman" w:cs="Times New Roman"/>
          <w:i/>
          <w:sz w:val="24"/>
          <w:szCs w:val="24"/>
          <w:vertAlign w:val="baseline"/>
        </w:rPr>
        <w:t>2</w:t>
      </w:r>
      <w:r w:rsidR="00181684">
        <w:rPr>
          <w:rFonts w:ascii="Times New Roman" w:hAnsi="Times New Roman" w:cs="Times New Roman"/>
          <w:i/>
          <w:sz w:val="24"/>
          <w:szCs w:val="24"/>
          <w:vertAlign w:val="baseline"/>
        </w:rPr>
        <w:t>.2</w:t>
      </w:r>
      <w:r w:rsidR="008A1E34" w:rsidRPr="002F70B3">
        <w:rPr>
          <w:rFonts w:ascii="Times New Roman" w:hAnsi="Times New Roman" w:cs="Times New Roman"/>
          <w:i/>
          <w:sz w:val="24"/>
          <w:szCs w:val="24"/>
          <w:vertAlign w:val="baseline"/>
        </w:rPr>
        <w:t>.3</w:t>
      </w:r>
      <w:r w:rsidR="008A1E34">
        <w:rPr>
          <w:rFonts w:ascii="Times New Roman" w:hAnsi="Times New Roman" w:cs="Times New Roman"/>
          <w:sz w:val="24"/>
          <w:szCs w:val="24"/>
          <w:vertAlign w:val="baseline"/>
        </w:rPr>
        <w:tab/>
      </w:r>
      <w:r w:rsidR="008A1E34" w:rsidRPr="002E77A5">
        <w:rPr>
          <w:rFonts w:ascii="Times New Roman" w:hAnsi="Times New Roman" w:cs="Times New Roman"/>
          <w:i/>
          <w:sz w:val="24"/>
          <w:szCs w:val="24"/>
          <w:vertAlign w:val="baseline"/>
        </w:rPr>
        <w:t>The Psychological Element</w:t>
      </w:r>
      <w:r w:rsidR="00654035">
        <w:rPr>
          <w:rFonts w:ascii="Times New Roman" w:hAnsi="Times New Roman" w:cs="Times New Roman"/>
          <w:i/>
          <w:sz w:val="24"/>
          <w:szCs w:val="24"/>
          <w:vertAlign w:val="baseline"/>
        </w:rPr>
        <w:tab/>
      </w:r>
      <w:r w:rsidR="00654035">
        <w:rPr>
          <w:rFonts w:ascii="Times New Roman" w:hAnsi="Times New Roman" w:cs="Times New Roman"/>
          <w:i/>
          <w:sz w:val="24"/>
          <w:szCs w:val="24"/>
          <w:vertAlign w:val="baseline"/>
        </w:rPr>
        <w:tab/>
      </w:r>
      <w:r w:rsidR="00654035">
        <w:rPr>
          <w:rFonts w:ascii="Times New Roman" w:hAnsi="Times New Roman" w:cs="Times New Roman"/>
          <w:i/>
          <w:sz w:val="24"/>
          <w:szCs w:val="24"/>
          <w:vertAlign w:val="baseline"/>
        </w:rPr>
        <w:tab/>
      </w:r>
      <w:r w:rsidR="00654035">
        <w:rPr>
          <w:rFonts w:ascii="Times New Roman" w:hAnsi="Times New Roman" w:cs="Times New Roman"/>
          <w:i/>
          <w:sz w:val="24"/>
          <w:szCs w:val="24"/>
          <w:vertAlign w:val="baseline"/>
        </w:rPr>
        <w:tab/>
      </w:r>
      <w:r w:rsidR="00654035">
        <w:rPr>
          <w:rFonts w:ascii="Times New Roman" w:hAnsi="Times New Roman" w:cs="Times New Roman"/>
          <w:i/>
          <w:sz w:val="24"/>
          <w:szCs w:val="24"/>
          <w:vertAlign w:val="baseline"/>
        </w:rPr>
        <w:tab/>
      </w:r>
      <w:r w:rsidR="00654035">
        <w:rPr>
          <w:rFonts w:ascii="Times New Roman" w:hAnsi="Times New Roman" w:cs="Times New Roman"/>
          <w:i/>
          <w:sz w:val="24"/>
          <w:szCs w:val="24"/>
          <w:vertAlign w:val="baseline"/>
        </w:rPr>
        <w:tab/>
      </w:r>
      <w:r w:rsidR="0064696D">
        <w:rPr>
          <w:rFonts w:ascii="Times New Roman" w:hAnsi="Times New Roman" w:cs="Times New Roman"/>
          <w:sz w:val="24"/>
          <w:szCs w:val="24"/>
          <w:vertAlign w:val="baseline"/>
        </w:rPr>
        <w:t>49</w:t>
      </w:r>
    </w:p>
    <w:p w14:paraId="5C343D5C" w14:textId="51A5B718" w:rsidR="008A1E34" w:rsidRDefault="00B13974" w:rsidP="00196FE1">
      <w:pPr>
        <w:spacing w:line="360" w:lineRule="auto"/>
        <w:ind w:left="284" w:hanging="284"/>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ab/>
        <w:t>2</w:t>
      </w:r>
      <w:r w:rsidR="00181684">
        <w:rPr>
          <w:rFonts w:ascii="Times New Roman" w:hAnsi="Times New Roman" w:cs="Times New Roman"/>
          <w:sz w:val="24"/>
          <w:szCs w:val="24"/>
          <w:vertAlign w:val="baseline"/>
        </w:rPr>
        <w:t>.3</w:t>
      </w:r>
      <w:r w:rsidR="001B2F99">
        <w:rPr>
          <w:rFonts w:ascii="Times New Roman" w:hAnsi="Times New Roman" w:cs="Times New Roman"/>
          <w:sz w:val="24"/>
          <w:szCs w:val="24"/>
          <w:vertAlign w:val="baseline"/>
        </w:rPr>
        <w:tab/>
      </w:r>
      <w:r w:rsidR="001B2F99">
        <w:rPr>
          <w:rFonts w:ascii="Times New Roman" w:hAnsi="Times New Roman" w:cs="Times New Roman"/>
          <w:sz w:val="24"/>
          <w:szCs w:val="24"/>
          <w:vertAlign w:val="baseline"/>
        </w:rPr>
        <w:tab/>
        <w:t>EVIL</w:t>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t>51</w:t>
      </w:r>
    </w:p>
    <w:p w14:paraId="61509485" w14:textId="5E30CDC2" w:rsidR="008A1E34" w:rsidRDefault="00B13974" w:rsidP="00196FE1">
      <w:pPr>
        <w:spacing w:line="360" w:lineRule="auto"/>
        <w:ind w:left="284" w:hanging="284"/>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ab/>
        <w:t>2</w:t>
      </w:r>
      <w:r w:rsidR="00181684">
        <w:rPr>
          <w:rFonts w:ascii="Times New Roman" w:hAnsi="Times New Roman" w:cs="Times New Roman"/>
          <w:sz w:val="24"/>
          <w:szCs w:val="24"/>
          <w:vertAlign w:val="baseline"/>
        </w:rPr>
        <w:t>.4</w:t>
      </w:r>
      <w:r w:rsidR="008A1E34">
        <w:rPr>
          <w:rFonts w:ascii="Times New Roman" w:hAnsi="Times New Roman" w:cs="Times New Roman"/>
          <w:sz w:val="24"/>
          <w:szCs w:val="24"/>
          <w:vertAlign w:val="baseline"/>
        </w:rPr>
        <w:tab/>
      </w:r>
      <w:r w:rsidR="008A1E34">
        <w:rPr>
          <w:rFonts w:ascii="Times New Roman" w:hAnsi="Times New Roman" w:cs="Times New Roman"/>
          <w:sz w:val="24"/>
          <w:szCs w:val="24"/>
          <w:vertAlign w:val="baseline"/>
        </w:rPr>
        <w:tab/>
      </w:r>
      <w:r w:rsidR="001B2F99">
        <w:rPr>
          <w:rFonts w:ascii="Times New Roman" w:hAnsi="Times New Roman" w:cs="Times New Roman"/>
          <w:sz w:val="24"/>
          <w:szCs w:val="24"/>
          <w:vertAlign w:val="baseline"/>
        </w:rPr>
        <w:t>RELIGIOUS CONNOTATIONS OF EVIL</w:t>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t>54</w:t>
      </w:r>
    </w:p>
    <w:p w14:paraId="25B50663" w14:textId="20D1E86D" w:rsidR="008A1E34" w:rsidRPr="00654035" w:rsidRDefault="00B13974" w:rsidP="009C6997">
      <w:pPr>
        <w:spacing w:line="360" w:lineRule="auto"/>
        <w:ind w:left="284" w:hanging="284"/>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ab/>
      </w:r>
      <w:r w:rsidR="00C8483C" w:rsidRPr="002F70B3">
        <w:rPr>
          <w:rFonts w:ascii="Times New Roman" w:hAnsi="Times New Roman" w:cs="Times New Roman"/>
          <w:i/>
          <w:sz w:val="24"/>
          <w:szCs w:val="24"/>
          <w:vertAlign w:val="baseline"/>
        </w:rPr>
        <w:t xml:space="preserve">   </w:t>
      </w:r>
      <w:r w:rsidRPr="002F70B3">
        <w:rPr>
          <w:rFonts w:ascii="Times New Roman" w:hAnsi="Times New Roman" w:cs="Times New Roman"/>
          <w:i/>
          <w:sz w:val="24"/>
          <w:szCs w:val="24"/>
          <w:vertAlign w:val="baseline"/>
        </w:rPr>
        <w:t>2</w:t>
      </w:r>
      <w:r w:rsidR="00181684">
        <w:rPr>
          <w:rFonts w:ascii="Times New Roman" w:hAnsi="Times New Roman" w:cs="Times New Roman"/>
          <w:i/>
          <w:sz w:val="24"/>
          <w:szCs w:val="24"/>
          <w:vertAlign w:val="baseline"/>
        </w:rPr>
        <w:t>.4</w:t>
      </w:r>
      <w:r w:rsidR="008A1E34" w:rsidRPr="002F70B3">
        <w:rPr>
          <w:rFonts w:ascii="Times New Roman" w:hAnsi="Times New Roman" w:cs="Times New Roman"/>
          <w:i/>
          <w:sz w:val="24"/>
          <w:szCs w:val="24"/>
          <w:vertAlign w:val="baseline"/>
        </w:rPr>
        <w:t>.1</w:t>
      </w:r>
      <w:r w:rsidR="008A1E34" w:rsidRPr="002F70B3">
        <w:rPr>
          <w:rFonts w:ascii="Times New Roman" w:hAnsi="Times New Roman" w:cs="Times New Roman"/>
          <w:i/>
          <w:sz w:val="24"/>
          <w:szCs w:val="24"/>
          <w:vertAlign w:val="baseline"/>
        </w:rPr>
        <w:tab/>
        <w:t>Christianity</w:t>
      </w:r>
      <w:r w:rsidR="00654035">
        <w:rPr>
          <w:rFonts w:ascii="Times New Roman" w:hAnsi="Times New Roman" w:cs="Times New Roman"/>
          <w:i/>
          <w:sz w:val="24"/>
          <w:szCs w:val="24"/>
          <w:vertAlign w:val="baseline"/>
        </w:rPr>
        <w:tab/>
      </w:r>
      <w:r w:rsidR="00654035">
        <w:rPr>
          <w:rFonts w:ascii="Times New Roman" w:hAnsi="Times New Roman" w:cs="Times New Roman"/>
          <w:i/>
          <w:sz w:val="24"/>
          <w:szCs w:val="24"/>
          <w:vertAlign w:val="baseline"/>
        </w:rPr>
        <w:tab/>
      </w:r>
      <w:r w:rsidR="00654035">
        <w:rPr>
          <w:rFonts w:ascii="Times New Roman" w:hAnsi="Times New Roman" w:cs="Times New Roman"/>
          <w:i/>
          <w:sz w:val="24"/>
          <w:szCs w:val="24"/>
          <w:vertAlign w:val="baseline"/>
        </w:rPr>
        <w:tab/>
      </w:r>
      <w:r w:rsidR="00654035">
        <w:rPr>
          <w:rFonts w:ascii="Times New Roman" w:hAnsi="Times New Roman" w:cs="Times New Roman"/>
          <w:i/>
          <w:sz w:val="24"/>
          <w:szCs w:val="24"/>
          <w:vertAlign w:val="baseline"/>
        </w:rPr>
        <w:tab/>
      </w:r>
      <w:r w:rsidR="00654035">
        <w:rPr>
          <w:rFonts w:ascii="Times New Roman" w:hAnsi="Times New Roman" w:cs="Times New Roman"/>
          <w:i/>
          <w:sz w:val="24"/>
          <w:szCs w:val="24"/>
          <w:vertAlign w:val="baseline"/>
        </w:rPr>
        <w:tab/>
      </w:r>
      <w:r w:rsidR="00654035">
        <w:rPr>
          <w:rFonts w:ascii="Times New Roman" w:hAnsi="Times New Roman" w:cs="Times New Roman"/>
          <w:i/>
          <w:sz w:val="24"/>
          <w:szCs w:val="24"/>
          <w:vertAlign w:val="baseline"/>
        </w:rPr>
        <w:tab/>
      </w:r>
      <w:r w:rsidR="00654035">
        <w:rPr>
          <w:rFonts w:ascii="Times New Roman" w:hAnsi="Times New Roman" w:cs="Times New Roman"/>
          <w:i/>
          <w:sz w:val="24"/>
          <w:szCs w:val="24"/>
          <w:vertAlign w:val="baseline"/>
        </w:rPr>
        <w:tab/>
      </w:r>
      <w:r w:rsidR="00654035">
        <w:rPr>
          <w:rFonts w:ascii="Times New Roman" w:hAnsi="Times New Roman" w:cs="Times New Roman"/>
          <w:i/>
          <w:sz w:val="24"/>
          <w:szCs w:val="24"/>
          <w:vertAlign w:val="baseline"/>
        </w:rPr>
        <w:tab/>
      </w:r>
      <w:r w:rsidR="0064696D">
        <w:rPr>
          <w:rFonts w:ascii="Times New Roman" w:hAnsi="Times New Roman" w:cs="Times New Roman"/>
          <w:sz w:val="24"/>
          <w:szCs w:val="24"/>
          <w:vertAlign w:val="baseline"/>
        </w:rPr>
        <w:t>55</w:t>
      </w:r>
    </w:p>
    <w:p w14:paraId="45EA3160" w14:textId="1E55DA89" w:rsidR="008A1E34" w:rsidRPr="00654035" w:rsidRDefault="00B13974" w:rsidP="009C6997">
      <w:pPr>
        <w:spacing w:line="360" w:lineRule="auto"/>
        <w:ind w:left="284" w:hanging="284"/>
        <w:jc w:val="both"/>
        <w:rPr>
          <w:rFonts w:ascii="Times New Roman" w:hAnsi="Times New Roman" w:cs="Times New Roman"/>
          <w:sz w:val="24"/>
          <w:szCs w:val="24"/>
          <w:vertAlign w:val="baseline"/>
        </w:rPr>
      </w:pPr>
      <w:r w:rsidRPr="002F70B3">
        <w:rPr>
          <w:rFonts w:ascii="Times New Roman" w:hAnsi="Times New Roman" w:cs="Times New Roman"/>
          <w:i/>
          <w:sz w:val="24"/>
          <w:szCs w:val="24"/>
          <w:vertAlign w:val="baseline"/>
        </w:rPr>
        <w:tab/>
      </w:r>
      <w:r w:rsidR="001B2F99" w:rsidRPr="002F70B3">
        <w:rPr>
          <w:rFonts w:ascii="Times New Roman" w:hAnsi="Times New Roman" w:cs="Times New Roman"/>
          <w:i/>
          <w:sz w:val="24"/>
          <w:szCs w:val="24"/>
          <w:vertAlign w:val="baseline"/>
        </w:rPr>
        <w:t xml:space="preserve">   </w:t>
      </w:r>
      <w:r w:rsidRPr="002F70B3">
        <w:rPr>
          <w:rFonts w:ascii="Times New Roman" w:hAnsi="Times New Roman" w:cs="Times New Roman"/>
          <w:i/>
          <w:sz w:val="24"/>
          <w:szCs w:val="24"/>
          <w:vertAlign w:val="baseline"/>
        </w:rPr>
        <w:t>2</w:t>
      </w:r>
      <w:r w:rsidR="00181684">
        <w:rPr>
          <w:rFonts w:ascii="Times New Roman" w:hAnsi="Times New Roman" w:cs="Times New Roman"/>
          <w:i/>
          <w:sz w:val="24"/>
          <w:szCs w:val="24"/>
          <w:vertAlign w:val="baseline"/>
        </w:rPr>
        <w:t>.4</w:t>
      </w:r>
      <w:r w:rsidR="008A1E34" w:rsidRPr="002F70B3">
        <w:rPr>
          <w:rFonts w:ascii="Times New Roman" w:hAnsi="Times New Roman" w:cs="Times New Roman"/>
          <w:i/>
          <w:sz w:val="24"/>
          <w:szCs w:val="24"/>
          <w:vertAlign w:val="baseline"/>
        </w:rPr>
        <w:t>.2</w:t>
      </w:r>
      <w:r w:rsidR="008A1E34" w:rsidRPr="002F70B3">
        <w:rPr>
          <w:rFonts w:ascii="Times New Roman" w:hAnsi="Times New Roman" w:cs="Times New Roman"/>
          <w:i/>
          <w:sz w:val="24"/>
          <w:szCs w:val="24"/>
          <w:vertAlign w:val="baseline"/>
        </w:rPr>
        <w:tab/>
        <w:t>Judaism</w:t>
      </w:r>
      <w:r w:rsidR="00654035">
        <w:rPr>
          <w:rFonts w:ascii="Times New Roman" w:hAnsi="Times New Roman" w:cs="Times New Roman"/>
          <w:i/>
          <w:sz w:val="24"/>
          <w:szCs w:val="24"/>
          <w:vertAlign w:val="baseline"/>
        </w:rPr>
        <w:tab/>
      </w:r>
      <w:r w:rsidR="00654035">
        <w:rPr>
          <w:rFonts w:ascii="Times New Roman" w:hAnsi="Times New Roman" w:cs="Times New Roman"/>
          <w:i/>
          <w:sz w:val="24"/>
          <w:szCs w:val="24"/>
          <w:vertAlign w:val="baseline"/>
        </w:rPr>
        <w:tab/>
      </w:r>
      <w:r w:rsidR="00654035">
        <w:rPr>
          <w:rFonts w:ascii="Times New Roman" w:hAnsi="Times New Roman" w:cs="Times New Roman"/>
          <w:i/>
          <w:sz w:val="24"/>
          <w:szCs w:val="24"/>
          <w:vertAlign w:val="baseline"/>
        </w:rPr>
        <w:tab/>
      </w:r>
      <w:r w:rsidR="00654035">
        <w:rPr>
          <w:rFonts w:ascii="Times New Roman" w:hAnsi="Times New Roman" w:cs="Times New Roman"/>
          <w:i/>
          <w:sz w:val="24"/>
          <w:szCs w:val="24"/>
          <w:vertAlign w:val="baseline"/>
        </w:rPr>
        <w:tab/>
      </w:r>
      <w:r w:rsidR="00654035">
        <w:rPr>
          <w:rFonts w:ascii="Times New Roman" w:hAnsi="Times New Roman" w:cs="Times New Roman"/>
          <w:i/>
          <w:sz w:val="24"/>
          <w:szCs w:val="24"/>
          <w:vertAlign w:val="baseline"/>
        </w:rPr>
        <w:tab/>
      </w:r>
      <w:r w:rsidR="00654035">
        <w:rPr>
          <w:rFonts w:ascii="Times New Roman" w:hAnsi="Times New Roman" w:cs="Times New Roman"/>
          <w:i/>
          <w:sz w:val="24"/>
          <w:szCs w:val="24"/>
          <w:vertAlign w:val="baseline"/>
        </w:rPr>
        <w:tab/>
      </w:r>
      <w:r w:rsidR="00654035">
        <w:rPr>
          <w:rFonts w:ascii="Times New Roman" w:hAnsi="Times New Roman" w:cs="Times New Roman"/>
          <w:i/>
          <w:sz w:val="24"/>
          <w:szCs w:val="24"/>
          <w:vertAlign w:val="baseline"/>
        </w:rPr>
        <w:tab/>
      </w:r>
      <w:r w:rsidR="00654035">
        <w:rPr>
          <w:rFonts w:ascii="Times New Roman" w:hAnsi="Times New Roman" w:cs="Times New Roman"/>
          <w:i/>
          <w:sz w:val="24"/>
          <w:szCs w:val="24"/>
          <w:vertAlign w:val="baseline"/>
        </w:rPr>
        <w:tab/>
      </w:r>
      <w:r w:rsidR="0064696D">
        <w:rPr>
          <w:rFonts w:ascii="Times New Roman" w:hAnsi="Times New Roman" w:cs="Times New Roman"/>
          <w:sz w:val="24"/>
          <w:szCs w:val="24"/>
          <w:vertAlign w:val="baseline"/>
        </w:rPr>
        <w:t>56</w:t>
      </w:r>
    </w:p>
    <w:p w14:paraId="5B472907" w14:textId="3FE888AD" w:rsidR="008A1E34" w:rsidRPr="00654035" w:rsidRDefault="00B13974" w:rsidP="009C6997">
      <w:pPr>
        <w:spacing w:line="360" w:lineRule="auto"/>
        <w:ind w:left="284" w:hanging="284"/>
        <w:jc w:val="both"/>
        <w:rPr>
          <w:rFonts w:ascii="Times New Roman" w:hAnsi="Times New Roman" w:cs="Times New Roman"/>
          <w:sz w:val="24"/>
          <w:szCs w:val="24"/>
          <w:vertAlign w:val="baseline"/>
        </w:rPr>
      </w:pPr>
      <w:r w:rsidRPr="002F70B3">
        <w:rPr>
          <w:rFonts w:ascii="Times New Roman" w:hAnsi="Times New Roman" w:cs="Times New Roman"/>
          <w:i/>
          <w:sz w:val="24"/>
          <w:szCs w:val="24"/>
          <w:vertAlign w:val="baseline"/>
        </w:rPr>
        <w:tab/>
      </w:r>
      <w:r w:rsidR="001B2F99" w:rsidRPr="002F70B3">
        <w:rPr>
          <w:rFonts w:ascii="Times New Roman" w:hAnsi="Times New Roman" w:cs="Times New Roman"/>
          <w:i/>
          <w:sz w:val="24"/>
          <w:szCs w:val="24"/>
          <w:vertAlign w:val="baseline"/>
        </w:rPr>
        <w:t xml:space="preserve">   </w:t>
      </w:r>
      <w:r w:rsidRPr="002F70B3">
        <w:rPr>
          <w:rFonts w:ascii="Times New Roman" w:hAnsi="Times New Roman" w:cs="Times New Roman"/>
          <w:i/>
          <w:sz w:val="24"/>
          <w:szCs w:val="24"/>
          <w:vertAlign w:val="baseline"/>
        </w:rPr>
        <w:t>2</w:t>
      </w:r>
      <w:r w:rsidR="00181684">
        <w:rPr>
          <w:rFonts w:ascii="Times New Roman" w:hAnsi="Times New Roman" w:cs="Times New Roman"/>
          <w:i/>
          <w:sz w:val="24"/>
          <w:szCs w:val="24"/>
          <w:vertAlign w:val="baseline"/>
        </w:rPr>
        <w:t>.4</w:t>
      </w:r>
      <w:r w:rsidR="008A1E34" w:rsidRPr="002F70B3">
        <w:rPr>
          <w:rFonts w:ascii="Times New Roman" w:hAnsi="Times New Roman" w:cs="Times New Roman"/>
          <w:i/>
          <w:sz w:val="24"/>
          <w:szCs w:val="24"/>
          <w:vertAlign w:val="baseline"/>
        </w:rPr>
        <w:t>.3</w:t>
      </w:r>
      <w:r w:rsidR="008A1E34" w:rsidRPr="002F70B3">
        <w:rPr>
          <w:rFonts w:ascii="Times New Roman" w:hAnsi="Times New Roman" w:cs="Times New Roman"/>
          <w:i/>
          <w:sz w:val="24"/>
          <w:szCs w:val="24"/>
          <w:vertAlign w:val="baseline"/>
        </w:rPr>
        <w:tab/>
        <w:t>Islam</w:t>
      </w:r>
      <w:r w:rsidR="00654035">
        <w:rPr>
          <w:rFonts w:ascii="Times New Roman" w:hAnsi="Times New Roman" w:cs="Times New Roman"/>
          <w:i/>
          <w:sz w:val="24"/>
          <w:szCs w:val="24"/>
          <w:vertAlign w:val="baseline"/>
        </w:rPr>
        <w:tab/>
      </w:r>
      <w:r w:rsidR="00654035">
        <w:rPr>
          <w:rFonts w:ascii="Times New Roman" w:hAnsi="Times New Roman" w:cs="Times New Roman"/>
          <w:i/>
          <w:sz w:val="24"/>
          <w:szCs w:val="24"/>
          <w:vertAlign w:val="baseline"/>
        </w:rPr>
        <w:tab/>
      </w:r>
      <w:r w:rsidR="00654035">
        <w:rPr>
          <w:rFonts w:ascii="Times New Roman" w:hAnsi="Times New Roman" w:cs="Times New Roman"/>
          <w:i/>
          <w:sz w:val="24"/>
          <w:szCs w:val="24"/>
          <w:vertAlign w:val="baseline"/>
        </w:rPr>
        <w:tab/>
      </w:r>
      <w:r w:rsidR="00654035">
        <w:rPr>
          <w:rFonts w:ascii="Times New Roman" w:hAnsi="Times New Roman" w:cs="Times New Roman"/>
          <w:i/>
          <w:sz w:val="24"/>
          <w:szCs w:val="24"/>
          <w:vertAlign w:val="baseline"/>
        </w:rPr>
        <w:tab/>
      </w:r>
      <w:r w:rsidR="00654035">
        <w:rPr>
          <w:rFonts w:ascii="Times New Roman" w:hAnsi="Times New Roman" w:cs="Times New Roman"/>
          <w:i/>
          <w:sz w:val="24"/>
          <w:szCs w:val="24"/>
          <w:vertAlign w:val="baseline"/>
        </w:rPr>
        <w:tab/>
      </w:r>
      <w:r w:rsidR="00654035">
        <w:rPr>
          <w:rFonts w:ascii="Times New Roman" w:hAnsi="Times New Roman" w:cs="Times New Roman"/>
          <w:i/>
          <w:sz w:val="24"/>
          <w:szCs w:val="24"/>
          <w:vertAlign w:val="baseline"/>
        </w:rPr>
        <w:tab/>
      </w:r>
      <w:r w:rsidR="00654035">
        <w:rPr>
          <w:rFonts w:ascii="Times New Roman" w:hAnsi="Times New Roman" w:cs="Times New Roman"/>
          <w:i/>
          <w:sz w:val="24"/>
          <w:szCs w:val="24"/>
          <w:vertAlign w:val="baseline"/>
        </w:rPr>
        <w:tab/>
      </w:r>
      <w:r w:rsidR="00654035">
        <w:rPr>
          <w:rFonts w:ascii="Times New Roman" w:hAnsi="Times New Roman" w:cs="Times New Roman"/>
          <w:i/>
          <w:sz w:val="24"/>
          <w:szCs w:val="24"/>
          <w:vertAlign w:val="baseline"/>
        </w:rPr>
        <w:tab/>
      </w:r>
      <w:r w:rsidR="00654035">
        <w:rPr>
          <w:rFonts w:ascii="Times New Roman" w:hAnsi="Times New Roman" w:cs="Times New Roman"/>
          <w:i/>
          <w:sz w:val="24"/>
          <w:szCs w:val="24"/>
          <w:vertAlign w:val="baseline"/>
        </w:rPr>
        <w:tab/>
      </w:r>
      <w:r w:rsidR="0064696D">
        <w:rPr>
          <w:rFonts w:ascii="Times New Roman" w:hAnsi="Times New Roman" w:cs="Times New Roman"/>
          <w:sz w:val="24"/>
          <w:szCs w:val="24"/>
          <w:vertAlign w:val="baseline"/>
        </w:rPr>
        <w:t>57</w:t>
      </w:r>
    </w:p>
    <w:p w14:paraId="4C19AD22" w14:textId="0D5C5370" w:rsidR="008A1E34" w:rsidRPr="00DF540B" w:rsidRDefault="00B13974" w:rsidP="00196FE1">
      <w:pPr>
        <w:spacing w:line="360" w:lineRule="auto"/>
        <w:ind w:left="284" w:hanging="284"/>
        <w:jc w:val="both"/>
        <w:rPr>
          <w:rFonts w:ascii="Times New Roman" w:hAnsi="Times New Roman" w:cs="Times New Roman"/>
          <w:sz w:val="24"/>
          <w:szCs w:val="24"/>
          <w:vertAlign w:val="baseline"/>
        </w:rPr>
      </w:pPr>
      <w:r w:rsidRPr="002F70B3">
        <w:rPr>
          <w:rFonts w:ascii="Times New Roman" w:hAnsi="Times New Roman" w:cs="Times New Roman"/>
          <w:i/>
          <w:sz w:val="24"/>
          <w:szCs w:val="24"/>
          <w:vertAlign w:val="baseline"/>
        </w:rPr>
        <w:tab/>
      </w:r>
      <w:r w:rsidR="001B2F99" w:rsidRPr="002F70B3">
        <w:rPr>
          <w:rFonts w:ascii="Times New Roman" w:hAnsi="Times New Roman" w:cs="Times New Roman"/>
          <w:i/>
          <w:sz w:val="24"/>
          <w:szCs w:val="24"/>
          <w:vertAlign w:val="baseline"/>
        </w:rPr>
        <w:t xml:space="preserve">   </w:t>
      </w:r>
      <w:r w:rsidRPr="002F70B3">
        <w:rPr>
          <w:rFonts w:ascii="Times New Roman" w:hAnsi="Times New Roman" w:cs="Times New Roman"/>
          <w:i/>
          <w:sz w:val="24"/>
          <w:szCs w:val="24"/>
          <w:vertAlign w:val="baseline"/>
        </w:rPr>
        <w:t>2</w:t>
      </w:r>
      <w:r w:rsidR="00181684">
        <w:rPr>
          <w:rFonts w:ascii="Times New Roman" w:hAnsi="Times New Roman" w:cs="Times New Roman"/>
          <w:i/>
          <w:sz w:val="24"/>
          <w:szCs w:val="24"/>
          <w:vertAlign w:val="baseline"/>
        </w:rPr>
        <w:t>.4</w:t>
      </w:r>
      <w:r w:rsidR="008A1E34" w:rsidRPr="002F70B3">
        <w:rPr>
          <w:rFonts w:ascii="Times New Roman" w:hAnsi="Times New Roman" w:cs="Times New Roman"/>
          <w:i/>
          <w:sz w:val="24"/>
          <w:szCs w:val="24"/>
          <w:vertAlign w:val="baseline"/>
        </w:rPr>
        <w:t>.4</w:t>
      </w:r>
      <w:r w:rsidR="008A1E34">
        <w:rPr>
          <w:rFonts w:ascii="Times New Roman" w:hAnsi="Times New Roman" w:cs="Times New Roman"/>
          <w:sz w:val="24"/>
          <w:szCs w:val="24"/>
          <w:vertAlign w:val="baseline"/>
        </w:rPr>
        <w:tab/>
      </w:r>
      <w:r w:rsidR="008A1E34" w:rsidRPr="002E77A5">
        <w:rPr>
          <w:rFonts w:ascii="Times New Roman" w:hAnsi="Times New Roman" w:cs="Times New Roman"/>
          <w:i/>
          <w:sz w:val="24"/>
          <w:szCs w:val="24"/>
          <w:vertAlign w:val="baseline"/>
        </w:rPr>
        <w:t>Hinduism</w:t>
      </w:r>
      <w:r w:rsidR="00DF540B">
        <w:rPr>
          <w:rFonts w:ascii="Times New Roman" w:hAnsi="Times New Roman" w:cs="Times New Roman"/>
          <w:i/>
          <w:sz w:val="24"/>
          <w:szCs w:val="24"/>
          <w:vertAlign w:val="baseline"/>
        </w:rPr>
        <w:tab/>
      </w:r>
      <w:r w:rsidR="00DF540B">
        <w:rPr>
          <w:rFonts w:ascii="Times New Roman" w:hAnsi="Times New Roman" w:cs="Times New Roman"/>
          <w:i/>
          <w:sz w:val="24"/>
          <w:szCs w:val="24"/>
          <w:vertAlign w:val="baseline"/>
        </w:rPr>
        <w:tab/>
      </w:r>
      <w:r w:rsidR="00DF540B">
        <w:rPr>
          <w:rFonts w:ascii="Times New Roman" w:hAnsi="Times New Roman" w:cs="Times New Roman"/>
          <w:i/>
          <w:sz w:val="24"/>
          <w:szCs w:val="24"/>
          <w:vertAlign w:val="baseline"/>
        </w:rPr>
        <w:tab/>
      </w:r>
      <w:r w:rsidR="00DF540B">
        <w:rPr>
          <w:rFonts w:ascii="Times New Roman" w:hAnsi="Times New Roman" w:cs="Times New Roman"/>
          <w:i/>
          <w:sz w:val="24"/>
          <w:szCs w:val="24"/>
          <w:vertAlign w:val="baseline"/>
        </w:rPr>
        <w:tab/>
      </w:r>
      <w:r w:rsidR="00DF540B">
        <w:rPr>
          <w:rFonts w:ascii="Times New Roman" w:hAnsi="Times New Roman" w:cs="Times New Roman"/>
          <w:i/>
          <w:sz w:val="24"/>
          <w:szCs w:val="24"/>
          <w:vertAlign w:val="baseline"/>
        </w:rPr>
        <w:tab/>
      </w:r>
      <w:r w:rsidR="00DF540B">
        <w:rPr>
          <w:rFonts w:ascii="Times New Roman" w:hAnsi="Times New Roman" w:cs="Times New Roman"/>
          <w:i/>
          <w:sz w:val="24"/>
          <w:szCs w:val="24"/>
          <w:vertAlign w:val="baseline"/>
        </w:rPr>
        <w:tab/>
      </w:r>
      <w:r w:rsidR="00DF540B">
        <w:rPr>
          <w:rFonts w:ascii="Times New Roman" w:hAnsi="Times New Roman" w:cs="Times New Roman"/>
          <w:i/>
          <w:sz w:val="24"/>
          <w:szCs w:val="24"/>
          <w:vertAlign w:val="baseline"/>
        </w:rPr>
        <w:tab/>
      </w:r>
      <w:r w:rsidR="0064696D">
        <w:rPr>
          <w:rFonts w:ascii="Times New Roman" w:hAnsi="Times New Roman" w:cs="Times New Roman"/>
          <w:sz w:val="24"/>
          <w:szCs w:val="24"/>
          <w:vertAlign w:val="baseline"/>
        </w:rPr>
        <w:tab/>
        <w:t>58</w:t>
      </w:r>
    </w:p>
    <w:p w14:paraId="62EB2286" w14:textId="6A4884AB" w:rsidR="008A1E34" w:rsidRDefault="00B13974" w:rsidP="00196FE1">
      <w:pPr>
        <w:spacing w:line="360" w:lineRule="auto"/>
        <w:ind w:left="284" w:hanging="284"/>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ab/>
        <w:t>2</w:t>
      </w:r>
      <w:r w:rsidR="00181684">
        <w:rPr>
          <w:rFonts w:ascii="Times New Roman" w:hAnsi="Times New Roman" w:cs="Times New Roman"/>
          <w:sz w:val="24"/>
          <w:szCs w:val="24"/>
          <w:vertAlign w:val="baseline"/>
        </w:rPr>
        <w:t>.5</w:t>
      </w:r>
      <w:r w:rsidR="008A1E34">
        <w:rPr>
          <w:rFonts w:ascii="Times New Roman" w:hAnsi="Times New Roman" w:cs="Times New Roman"/>
          <w:sz w:val="24"/>
          <w:szCs w:val="24"/>
          <w:vertAlign w:val="baseline"/>
        </w:rPr>
        <w:tab/>
      </w:r>
      <w:r w:rsidR="008A1E34">
        <w:rPr>
          <w:rFonts w:ascii="Times New Roman" w:hAnsi="Times New Roman" w:cs="Times New Roman"/>
          <w:sz w:val="24"/>
          <w:szCs w:val="24"/>
          <w:vertAlign w:val="baseline"/>
        </w:rPr>
        <w:tab/>
      </w:r>
      <w:r w:rsidR="001B2F99">
        <w:rPr>
          <w:rFonts w:ascii="Times New Roman" w:hAnsi="Times New Roman" w:cs="Times New Roman"/>
          <w:sz w:val="24"/>
          <w:szCs w:val="24"/>
          <w:vertAlign w:val="baseline"/>
        </w:rPr>
        <w:t>EVIL EYE AND SUPERSTITION</w:t>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t>60</w:t>
      </w:r>
    </w:p>
    <w:p w14:paraId="7A67E4E2" w14:textId="28513359" w:rsidR="008A1E34" w:rsidRDefault="00B13974" w:rsidP="00196FE1">
      <w:pPr>
        <w:spacing w:line="360" w:lineRule="auto"/>
        <w:ind w:left="284" w:hanging="284"/>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ab/>
        <w:t>2</w:t>
      </w:r>
      <w:r w:rsidR="00181684">
        <w:rPr>
          <w:rFonts w:ascii="Times New Roman" w:hAnsi="Times New Roman" w:cs="Times New Roman"/>
          <w:sz w:val="24"/>
          <w:szCs w:val="24"/>
          <w:vertAlign w:val="baseline"/>
        </w:rPr>
        <w:t>.6</w:t>
      </w:r>
      <w:r w:rsidR="008A1E34">
        <w:rPr>
          <w:rFonts w:ascii="Times New Roman" w:hAnsi="Times New Roman" w:cs="Times New Roman"/>
          <w:sz w:val="24"/>
          <w:szCs w:val="24"/>
          <w:vertAlign w:val="baseline"/>
        </w:rPr>
        <w:tab/>
      </w:r>
      <w:r w:rsidR="008A1E34">
        <w:rPr>
          <w:rFonts w:ascii="Times New Roman" w:hAnsi="Times New Roman" w:cs="Times New Roman"/>
          <w:sz w:val="24"/>
          <w:szCs w:val="24"/>
          <w:vertAlign w:val="baseline"/>
        </w:rPr>
        <w:tab/>
      </w:r>
      <w:r w:rsidR="001B2F99">
        <w:rPr>
          <w:rFonts w:ascii="Times New Roman" w:hAnsi="Times New Roman" w:cs="Times New Roman"/>
          <w:sz w:val="24"/>
          <w:szCs w:val="24"/>
          <w:vertAlign w:val="baseline"/>
        </w:rPr>
        <w:t>THE PERSONIFICATION OF EVIL</w:t>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t>61</w:t>
      </w:r>
    </w:p>
    <w:p w14:paraId="2A76F40E" w14:textId="7CFF7196" w:rsidR="008A1E34" w:rsidRDefault="00B13974" w:rsidP="00196FE1">
      <w:pPr>
        <w:spacing w:line="360" w:lineRule="auto"/>
        <w:ind w:left="284"/>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2</w:t>
      </w:r>
      <w:r w:rsidR="00181684">
        <w:rPr>
          <w:rFonts w:ascii="Times New Roman" w:hAnsi="Times New Roman" w:cs="Times New Roman"/>
          <w:sz w:val="24"/>
          <w:szCs w:val="24"/>
          <w:vertAlign w:val="baseline"/>
        </w:rPr>
        <w:t>.7</w:t>
      </w:r>
      <w:r w:rsidR="008A1E34">
        <w:rPr>
          <w:rFonts w:ascii="Times New Roman" w:hAnsi="Times New Roman" w:cs="Times New Roman"/>
          <w:sz w:val="24"/>
          <w:szCs w:val="24"/>
          <w:vertAlign w:val="baseline"/>
        </w:rPr>
        <w:tab/>
      </w:r>
      <w:r w:rsidR="008A1E34">
        <w:rPr>
          <w:rFonts w:ascii="Times New Roman" w:hAnsi="Times New Roman" w:cs="Times New Roman"/>
          <w:sz w:val="24"/>
          <w:szCs w:val="24"/>
          <w:vertAlign w:val="baseline"/>
        </w:rPr>
        <w:tab/>
      </w:r>
      <w:r w:rsidR="001B2F99">
        <w:rPr>
          <w:rFonts w:ascii="Times New Roman" w:hAnsi="Times New Roman" w:cs="Times New Roman"/>
          <w:sz w:val="24"/>
          <w:szCs w:val="24"/>
          <w:vertAlign w:val="baseline"/>
        </w:rPr>
        <w:t>THE LINK BETWEEN THE DEVIL AND WITCHCRAFT</w:t>
      </w:r>
      <w:r w:rsidR="0064696D">
        <w:rPr>
          <w:rFonts w:ascii="Times New Roman" w:hAnsi="Times New Roman" w:cs="Times New Roman"/>
          <w:sz w:val="24"/>
          <w:szCs w:val="24"/>
          <w:vertAlign w:val="baseline"/>
        </w:rPr>
        <w:tab/>
        <w:t>63</w:t>
      </w:r>
    </w:p>
    <w:p w14:paraId="3B23BDCD" w14:textId="4396DB42" w:rsidR="008A1E34" w:rsidRDefault="00B13974" w:rsidP="00196FE1">
      <w:pPr>
        <w:spacing w:line="360" w:lineRule="auto"/>
        <w:ind w:left="284"/>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2</w:t>
      </w:r>
      <w:r w:rsidR="00181684">
        <w:rPr>
          <w:rFonts w:ascii="Times New Roman" w:hAnsi="Times New Roman" w:cs="Times New Roman"/>
          <w:sz w:val="24"/>
          <w:szCs w:val="24"/>
          <w:vertAlign w:val="baseline"/>
        </w:rPr>
        <w:t>.8</w:t>
      </w:r>
      <w:r w:rsidR="008A1E34">
        <w:rPr>
          <w:rFonts w:ascii="Times New Roman" w:hAnsi="Times New Roman" w:cs="Times New Roman"/>
          <w:sz w:val="24"/>
          <w:szCs w:val="24"/>
          <w:vertAlign w:val="baseline"/>
        </w:rPr>
        <w:tab/>
      </w:r>
      <w:r w:rsidR="008A1E34">
        <w:rPr>
          <w:rFonts w:ascii="Times New Roman" w:hAnsi="Times New Roman" w:cs="Times New Roman"/>
          <w:sz w:val="24"/>
          <w:szCs w:val="24"/>
          <w:vertAlign w:val="baseline"/>
        </w:rPr>
        <w:tab/>
      </w:r>
      <w:r w:rsidR="001B2F99">
        <w:rPr>
          <w:rFonts w:ascii="Times New Roman" w:hAnsi="Times New Roman" w:cs="Times New Roman"/>
          <w:sz w:val="24"/>
          <w:szCs w:val="24"/>
          <w:vertAlign w:val="baseline"/>
        </w:rPr>
        <w:t>THE END OF WITCHCRAFT?</w:t>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t>73</w:t>
      </w:r>
    </w:p>
    <w:p w14:paraId="4695D935" w14:textId="2897FFDC" w:rsidR="008A1E34" w:rsidRDefault="00B13974" w:rsidP="00196FE1">
      <w:pPr>
        <w:spacing w:line="360" w:lineRule="auto"/>
        <w:ind w:left="284"/>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2</w:t>
      </w:r>
      <w:r w:rsidR="00181684">
        <w:rPr>
          <w:rFonts w:ascii="Times New Roman" w:hAnsi="Times New Roman" w:cs="Times New Roman"/>
          <w:sz w:val="24"/>
          <w:szCs w:val="24"/>
          <w:vertAlign w:val="baseline"/>
        </w:rPr>
        <w:t>.9</w:t>
      </w:r>
      <w:r w:rsidR="001B2F99">
        <w:rPr>
          <w:rFonts w:ascii="Times New Roman" w:hAnsi="Times New Roman" w:cs="Times New Roman"/>
          <w:sz w:val="24"/>
          <w:szCs w:val="24"/>
          <w:vertAlign w:val="baseline"/>
        </w:rPr>
        <w:tab/>
      </w:r>
      <w:r w:rsidR="001B2F99">
        <w:rPr>
          <w:rFonts w:ascii="Times New Roman" w:hAnsi="Times New Roman" w:cs="Times New Roman"/>
          <w:sz w:val="24"/>
          <w:szCs w:val="24"/>
          <w:vertAlign w:val="baseline"/>
        </w:rPr>
        <w:tab/>
        <w:t>CONCLUSION</w:t>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t>74</w:t>
      </w:r>
    </w:p>
    <w:p w14:paraId="12274FB0" w14:textId="77777777" w:rsidR="004625CE" w:rsidRDefault="004625CE" w:rsidP="008A1E34">
      <w:pPr>
        <w:spacing w:line="360" w:lineRule="auto"/>
        <w:ind w:left="284"/>
        <w:jc w:val="both"/>
        <w:rPr>
          <w:rFonts w:ascii="Times New Roman" w:hAnsi="Times New Roman" w:cs="Times New Roman"/>
          <w:sz w:val="24"/>
          <w:szCs w:val="24"/>
          <w:vertAlign w:val="baseline"/>
        </w:rPr>
      </w:pPr>
    </w:p>
    <w:p w14:paraId="6472F8C6" w14:textId="1ADA6347" w:rsidR="004625CE" w:rsidRPr="00DF540B" w:rsidRDefault="00713985" w:rsidP="004625CE">
      <w:pPr>
        <w:spacing w:line="360" w:lineRule="auto"/>
        <w:jc w:val="both"/>
        <w:rPr>
          <w:rFonts w:ascii="Times New Roman" w:hAnsi="Times New Roman" w:cs="Times New Roman"/>
          <w:sz w:val="24"/>
          <w:szCs w:val="24"/>
          <w:vertAlign w:val="baseline"/>
        </w:rPr>
      </w:pPr>
      <w:r>
        <w:rPr>
          <w:rFonts w:ascii="Times New Roman" w:hAnsi="Times New Roman" w:cs="Times New Roman"/>
          <w:b/>
          <w:sz w:val="24"/>
          <w:szCs w:val="24"/>
          <w:vertAlign w:val="baseline"/>
        </w:rPr>
        <w:t xml:space="preserve">CHAPTER THREE </w:t>
      </w:r>
      <w:r w:rsidR="00DF540B">
        <w:rPr>
          <w:rFonts w:ascii="Times New Roman" w:hAnsi="Times New Roman" w:cs="Times New Roman"/>
          <w:b/>
          <w:sz w:val="24"/>
          <w:szCs w:val="24"/>
          <w:vertAlign w:val="baseline"/>
        </w:rPr>
        <w:t>–</w:t>
      </w:r>
      <w:r>
        <w:rPr>
          <w:rFonts w:ascii="Times New Roman" w:hAnsi="Times New Roman" w:cs="Times New Roman"/>
          <w:b/>
          <w:sz w:val="24"/>
          <w:szCs w:val="24"/>
          <w:vertAlign w:val="baseline"/>
        </w:rPr>
        <w:t xml:space="preserve"> WITCHCRAFT</w:t>
      </w:r>
      <w:r w:rsidR="00DF540B">
        <w:rPr>
          <w:rFonts w:ascii="Times New Roman" w:hAnsi="Times New Roman" w:cs="Times New Roman"/>
          <w:b/>
          <w:sz w:val="24"/>
          <w:szCs w:val="24"/>
          <w:vertAlign w:val="baseline"/>
        </w:rPr>
        <w:tab/>
      </w:r>
      <w:r w:rsidR="00DF540B">
        <w:rPr>
          <w:rFonts w:ascii="Times New Roman" w:hAnsi="Times New Roman" w:cs="Times New Roman"/>
          <w:b/>
          <w:sz w:val="24"/>
          <w:szCs w:val="24"/>
          <w:vertAlign w:val="baseline"/>
        </w:rPr>
        <w:tab/>
      </w:r>
      <w:r w:rsidR="00DF540B">
        <w:rPr>
          <w:rFonts w:ascii="Times New Roman" w:hAnsi="Times New Roman" w:cs="Times New Roman"/>
          <w:b/>
          <w:sz w:val="24"/>
          <w:szCs w:val="24"/>
          <w:vertAlign w:val="baseline"/>
        </w:rPr>
        <w:tab/>
      </w:r>
      <w:r w:rsidR="00DF540B">
        <w:rPr>
          <w:rFonts w:ascii="Times New Roman" w:hAnsi="Times New Roman" w:cs="Times New Roman"/>
          <w:b/>
          <w:sz w:val="24"/>
          <w:szCs w:val="24"/>
          <w:vertAlign w:val="baseline"/>
        </w:rPr>
        <w:tab/>
      </w:r>
      <w:r w:rsidR="00DF540B">
        <w:rPr>
          <w:rFonts w:ascii="Times New Roman" w:hAnsi="Times New Roman" w:cs="Times New Roman"/>
          <w:b/>
          <w:sz w:val="24"/>
          <w:szCs w:val="24"/>
          <w:vertAlign w:val="baseline"/>
        </w:rPr>
        <w:tab/>
      </w:r>
      <w:r w:rsidR="00DF540B">
        <w:rPr>
          <w:rFonts w:ascii="Times New Roman" w:hAnsi="Times New Roman" w:cs="Times New Roman"/>
          <w:b/>
          <w:sz w:val="24"/>
          <w:szCs w:val="24"/>
          <w:vertAlign w:val="baseline"/>
        </w:rPr>
        <w:tab/>
      </w:r>
      <w:r w:rsidR="0064696D">
        <w:rPr>
          <w:rFonts w:ascii="Times New Roman" w:hAnsi="Times New Roman" w:cs="Times New Roman"/>
          <w:sz w:val="24"/>
          <w:szCs w:val="24"/>
          <w:vertAlign w:val="baseline"/>
        </w:rPr>
        <w:t>75</w:t>
      </w:r>
    </w:p>
    <w:p w14:paraId="3B44C367" w14:textId="77777777" w:rsidR="006C4419" w:rsidRDefault="006C4419" w:rsidP="00196FE1">
      <w:pPr>
        <w:spacing w:line="360" w:lineRule="auto"/>
        <w:jc w:val="both"/>
        <w:rPr>
          <w:rFonts w:ascii="Times New Roman" w:hAnsi="Times New Roman" w:cs="Times New Roman"/>
          <w:b/>
          <w:sz w:val="24"/>
          <w:szCs w:val="24"/>
          <w:vertAlign w:val="baseline"/>
        </w:rPr>
      </w:pPr>
    </w:p>
    <w:p w14:paraId="6A4C2B62" w14:textId="1BBC08AF" w:rsidR="004625CE" w:rsidRDefault="004625CE" w:rsidP="00196FE1">
      <w:pPr>
        <w:spacing w:line="360" w:lineRule="auto"/>
        <w:ind w:left="284" w:hanging="284"/>
        <w:jc w:val="both"/>
        <w:rPr>
          <w:rFonts w:ascii="Times New Roman" w:hAnsi="Times New Roman" w:cs="Times New Roman"/>
          <w:sz w:val="24"/>
          <w:szCs w:val="24"/>
          <w:vertAlign w:val="baseline"/>
        </w:rPr>
      </w:pPr>
      <w:r>
        <w:rPr>
          <w:rFonts w:ascii="Times New Roman" w:hAnsi="Times New Roman" w:cs="Times New Roman"/>
          <w:b/>
          <w:sz w:val="24"/>
          <w:szCs w:val="24"/>
          <w:vertAlign w:val="baseline"/>
        </w:rPr>
        <w:tab/>
      </w:r>
      <w:r w:rsidR="00B13974">
        <w:rPr>
          <w:rFonts w:ascii="Times New Roman" w:hAnsi="Times New Roman" w:cs="Times New Roman"/>
          <w:sz w:val="24"/>
          <w:szCs w:val="24"/>
          <w:vertAlign w:val="baseline"/>
        </w:rPr>
        <w:t>3</w:t>
      </w:r>
      <w:r>
        <w:rPr>
          <w:rFonts w:ascii="Times New Roman" w:hAnsi="Times New Roman" w:cs="Times New Roman"/>
          <w:sz w:val="24"/>
          <w:szCs w:val="24"/>
          <w:vertAlign w:val="baseline"/>
        </w:rPr>
        <w:t>.1</w:t>
      </w:r>
      <w:r>
        <w:rPr>
          <w:rFonts w:ascii="Times New Roman" w:hAnsi="Times New Roman" w:cs="Times New Roman"/>
          <w:sz w:val="24"/>
          <w:szCs w:val="24"/>
          <w:vertAlign w:val="baseline"/>
        </w:rPr>
        <w:tab/>
      </w:r>
      <w:r>
        <w:rPr>
          <w:rFonts w:ascii="Times New Roman" w:hAnsi="Times New Roman" w:cs="Times New Roman"/>
          <w:sz w:val="24"/>
          <w:szCs w:val="24"/>
          <w:vertAlign w:val="baseline"/>
        </w:rPr>
        <w:tab/>
        <w:t>I</w:t>
      </w:r>
      <w:r w:rsidR="00C8483C">
        <w:rPr>
          <w:rFonts w:ascii="Times New Roman" w:hAnsi="Times New Roman" w:cs="Times New Roman"/>
          <w:sz w:val="24"/>
          <w:szCs w:val="24"/>
          <w:vertAlign w:val="baseline"/>
        </w:rPr>
        <w:t>NTRODUCTION</w:t>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t>75</w:t>
      </w:r>
    </w:p>
    <w:p w14:paraId="78908833" w14:textId="50699FB4" w:rsidR="004625CE" w:rsidRDefault="00B13974" w:rsidP="00196FE1">
      <w:pPr>
        <w:spacing w:line="360" w:lineRule="auto"/>
        <w:ind w:left="284" w:hanging="284"/>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ab/>
        <w:t>3</w:t>
      </w:r>
      <w:r w:rsidR="00C8483C">
        <w:rPr>
          <w:rFonts w:ascii="Times New Roman" w:hAnsi="Times New Roman" w:cs="Times New Roman"/>
          <w:sz w:val="24"/>
          <w:szCs w:val="24"/>
          <w:vertAlign w:val="baseline"/>
        </w:rPr>
        <w:t>.2</w:t>
      </w:r>
      <w:r w:rsidR="00C8483C">
        <w:rPr>
          <w:rFonts w:ascii="Times New Roman" w:hAnsi="Times New Roman" w:cs="Times New Roman"/>
          <w:sz w:val="24"/>
          <w:szCs w:val="24"/>
          <w:vertAlign w:val="baseline"/>
        </w:rPr>
        <w:tab/>
      </w:r>
      <w:r w:rsidR="00C8483C">
        <w:rPr>
          <w:rFonts w:ascii="Times New Roman" w:hAnsi="Times New Roman" w:cs="Times New Roman"/>
          <w:sz w:val="24"/>
          <w:szCs w:val="24"/>
          <w:vertAlign w:val="baseline"/>
        </w:rPr>
        <w:tab/>
        <w:t>DEFINITION</w:t>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t>76</w:t>
      </w:r>
    </w:p>
    <w:p w14:paraId="6C794E6E" w14:textId="21B155C7" w:rsidR="00C8483C" w:rsidRDefault="00B13974" w:rsidP="00196FE1">
      <w:pPr>
        <w:ind w:left="284" w:hanging="284"/>
        <w:rPr>
          <w:rFonts w:ascii="Times New Roman" w:hAnsi="Times New Roman" w:cs="Times New Roman"/>
          <w:sz w:val="24"/>
          <w:szCs w:val="24"/>
          <w:vertAlign w:val="baseline"/>
        </w:rPr>
      </w:pPr>
      <w:r>
        <w:rPr>
          <w:rFonts w:ascii="Times New Roman" w:hAnsi="Times New Roman" w:cs="Times New Roman"/>
          <w:sz w:val="24"/>
          <w:szCs w:val="24"/>
          <w:vertAlign w:val="baseline"/>
        </w:rPr>
        <w:tab/>
        <w:t>3</w:t>
      </w:r>
      <w:r w:rsidR="004625CE">
        <w:rPr>
          <w:rFonts w:ascii="Times New Roman" w:hAnsi="Times New Roman" w:cs="Times New Roman"/>
          <w:sz w:val="24"/>
          <w:szCs w:val="24"/>
          <w:vertAlign w:val="baseline"/>
        </w:rPr>
        <w:t>.3</w:t>
      </w:r>
      <w:r w:rsidR="004625CE">
        <w:rPr>
          <w:rFonts w:ascii="Times New Roman" w:hAnsi="Times New Roman" w:cs="Times New Roman"/>
          <w:sz w:val="24"/>
          <w:szCs w:val="24"/>
          <w:vertAlign w:val="baseline"/>
        </w:rPr>
        <w:tab/>
      </w:r>
      <w:r w:rsidR="004625CE">
        <w:rPr>
          <w:rFonts w:ascii="Times New Roman" w:hAnsi="Times New Roman" w:cs="Times New Roman"/>
          <w:sz w:val="24"/>
          <w:szCs w:val="24"/>
          <w:vertAlign w:val="baseline"/>
        </w:rPr>
        <w:tab/>
      </w:r>
      <w:r w:rsidR="00C8483C">
        <w:rPr>
          <w:rFonts w:ascii="Times New Roman" w:hAnsi="Times New Roman" w:cs="Times New Roman"/>
          <w:sz w:val="24"/>
          <w:szCs w:val="24"/>
          <w:vertAlign w:val="baseline"/>
        </w:rPr>
        <w:t xml:space="preserve">WITCHCRAFT AS A METHOD OF DEALING WITH </w:t>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t>82</w:t>
      </w:r>
    </w:p>
    <w:p w14:paraId="5902A6BF" w14:textId="777D93E9" w:rsidR="004625CE" w:rsidRDefault="00C8483C" w:rsidP="00196FE1">
      <w:pPr>
        <w:spacing w:line="360" w:lineRule="auto"/>
        <w:ind w:left="1004" w:firstLine="436"/>
        <w:rPr>
          <w:rFonts w:ascii="Times New Roman" w:hAnsi="Times New Roman" w:cs="Times New Roman"/>
          <w:sz w:val="24"/>
          <w:szCs w:val="24"/>
          <w:vertAlign w:val="baseline"/>
        </w:rPr>
      </w:pPr>
      <w:r>
        <w:rPr>
          <w:rFonts w:ascii="Times New Roman" w:hAnsi="Times New Roman" w:cs="Times New Roman"/>
          <w:sz w:val="24"/>
          <w:szCs w:val="24"/>
          <w:vertAlign w:val="baseline"/>
        </w:rPr>
        <w:t>MISFORTUNE</w:t>
      </w:r>
      <w:r w:rsidR="00DF540B">
        <w:rPr>
          <w:rFonts w:ascii="Times New Roman" w:hAnsi="Times New Roman" w:cs="Times New Roman"/>
          <w:sz w:val="24"/>
          <w:szCs w:val="24"/>
          <w:vertAlign w:val="baseline"/>
        </w:rPr>
        <w:tab/>
      </w:r>
      <w:r w:rsidR="00DF540B">
        <w:rPr>
          <w:rFonts w:ascii="Times New Roman" w:hAnsi="Times New Roman" w:cs="Times New Roman"/>
          <w:sz w:val="24"/>
          <w:szCs w:val="24"/>
          <w:vertAlign w:val="baseline"/>
        </w:rPr>
        <w:tab/>
      </w:r>
      <w:r w:rsidR="00DF540B">
        <w:rPr>
          <w:rFonts w:ascii="Times New Roman" w:hAnsi="Times New Roman" w:cs="Times New Roman"/>
          <w:sz w:val="24"/>
          <w:szCs w:val="24"/>
          <w:vertAlign w:val="baseline"/>
        </w:rPr>
        <w:tab/>
      </w:r>
      <w:r w:rsidR="00DF540B">
        <w:rPr>
          <w:rFonts w:ascii="Times New Roman" w:hAnsi="Times New Roman" w:cs="Times New Roman"/>
          <w:sz w:val="24"/>
          <w:szCs w:val="24"/>
          <w:vertAlign w:val="baseline"/>
        </w:rPr>
        <w:tab/>
      </w:r>
      <w:r w:rsidR="00DF540B">
        <w:rPr>
          <w:rFonts w:ascii="Times New Roman" w:hAnsi="Times New Roman" w:cs="Times New Roman"/>
          <w:sz w:val="24"/>
          <w:szCs w:val="24"/>
          <w:vertAlign w:val="baseline"/>
        </w:rPr>
        <w:tab/>
      </w:r>
      <w:r w:rsidR="00DF540B">
        <w:rPr>
          <w:rFonts w:ascii="Times New Roman" w:hAnsi="Times New Roman" w:cs="Times New Roman"/>
          <w:sz w:val="24"/>
          <w:szCs w:val="24"/>
          <w:vertAlign w:val="baseline"/>
        </w:rPr>
        <w:tab/>
      </w:r>
      <w:r w:rsidR="00DF540B">
        <w:rPr>
          <w:rFonts w:ascii="Times New Roman" w:hAnsi="Times New Roman" w:cs="Times New Roman"/>
          <w:sz w:val="24"/>
          <w:szCs w:val="24"/>
          <w:vertAlign w:val="baseline"/>
        </w:rPr>
        <w:tab/>
      </w:r>
    </w:p>
    <w:p w14:paraId="49A223E9" w14:textId="17C13DED" w:rsidR="00DF540B" w:rsidRDefault="00B13974" w:rsidP="00DF540B">
      <w:pPr>
        <w:ind w:left="284" w:hanging="284"/>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ab/>
        <w:t>3</w:t>
      </w:r>
      <w:r w:rsidR="004625CE">
        <w:rPr>
          <w:rFonts w:ascii="Times New Roman" w:hAnsi="Times New Roman" w:cs="Times New Roman"/>
          <w:sz w:val="24"/>
          <w:szCs w:val="24"/>
          <w:vertAlign w:val="baseline"/>
        </w:rPr>
        <w:t>.4</w:t>
      </w:r>
      <w:r w:rsidR="004625CE">
        <w:rPr>
          <w:rFonts w:ascii="Times New Roman" w:hAnsi="Times New Roman" w:cs="Times New Roman"/>
          <w:sz w:val="24"/>
          <w:szCs w:val="24"/>
          <w:vertAlign w:val="baseline"/>
        </w:rPr>
        <w:tab/>
      </w:r>
      <w:r w:rsidR="004625CE">
        <w:rPr>
          <w:rFonts w:ascii="Times New Roman" w:hAnsi="Times New Roman" w:cs="Times New Roman"/>
          <w:sz w:val="24"/>
          <w:szCs w:val="24"/>
          <w:vertAlign w:val="baseline"/>
        </w:rPr>
        <w:tab/>
      </w:r>
      <w:r w:rsidR="00C8483C">
        <w:rPr>
          <w:rFonts w:ascii="Times New Roman" w:hAnsi="Times New Roman" w:cs="Times New Roman"/>
          <w:sz w:val="24"/>
          <w:szCs w:val="24"/>
          <w:vertAlign w:val="baseline"/>
        </w:rPr>
        <w:t xml:space="preserve">WITCHCRAFT AS A METHOD OF DEALING WITH </w:t>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t>85</w:t>
      </w:r>
    </w:p>
    <w:p w14:paraId="5534516B" w14:textId="6C487C75" w:rsidR="004625CE" w:rsidRDefault="00C8483C" w:rsidP="00DF540B">
      <w:pPr>
        <w:spacing w:line="360" w:lineRule="auto"/>
        <w:ind w:left="1004" w:firstLine="436"/>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CONFLICT</w:t>
      </w:r>
    </w:p>
    <w:p w14:paraId="13FE14AD" w14:textId="797B6316" w:rsidR="00C8483C" w:rsidRDefault="00B13974" w:rsidP="00196FE1">
      <w:pPr>
        <w:ind w:left="284" w:hanging="284"/>
        <w:rPr>
          <w:rFonts w:ascii="Times New Roman" w:hAnsi="Times New Roman" w:cs="Times New Roman"/>
          <w:sz w:val="24"/>
          <w:szCs w:val="24"/>
          <w:vertAlign w:val="baseline"/>
        </w:rPr>
      </w:pPr>
      <w:r>
        <w:rPr>
          <w:rFonts w:ascii="Times New Roman" w:hAnsi="Times New Roman" w:cs="Times New Roman"/>
          <w:sz w:val="24"/>
          <w:szCs w:val="24"/>
          <w:vertAlign w:val="baseline"/>
        </w:rPr>
        <w:tab/>
        <w:t>3</w:t>
      </w:r>
      <w:r w:rsidR="004625CE">
        <w:rPr>
          <w:rFonts w:ascii="Times New Roman" w:hAnsi="Times New Roman" w:cs="Times New Roman"/>
          <w:sz w:val="24"/>
          <w:szCs w:val="24"/>
          <w:vertAlign w:val="baseline"/>
        </w:rPr>
        <w:t>.5</w:t>
      </w:r>
      <w:r w:rsidR="004625CE">
        <w:rPr>
          <w:rFonts w:ascii="Times New Roman" w:hAnsi="Times New Roman" w:cs="Times New Roman"/>
          <w:sz w:val="24"/>
          <w:szCs w:val="24"/>
          <w:vertAlign w:val="baseline"/>
        </w:rPr>
        <w:tab/>
      </w:r>
      <w:r w:rsidR="004625CE">
        <w:rPr>
          <w:rFonts w:ascii="Times New Roman" w:hAnsi="Times New Roman" w:cs="Times New Roman"/>
          <w:sz w:val="24"/>
          <w:szCs w:val="24"/>
          <w:vertAlign w:val="baseline"/>
        </w:rPr>
        <w:tab/>
      </w:r>
      <w:r w:rsidR="00C8483C">
        <w:rPr>
          <w:rFonts w:ascii="Times New Roman" w:hAnsi="Times New Roman" w:cs="Times New Roman"/>
          <w:sz w:val="24"/>
          <w:szCs w:val="24"/>
          <w:vertAlign w:val="baseline"/>
        </w:rPr>
        <w:t xml:space="preserve">WITCHCRAFT AS A METHOD OF DEALING WITH </w:t>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t>86</w:t>
      </w:r>
    </w:p>
    <w:p w14:paraId="35BC0C24" w14:textId="156BEE24" w:rsidR="004625CE" w:rsidRDefault="00C8483C" w:rsidP="00196FE1">
      <w:pPr>
        <w:spacing w:line="360" w:lineRule="auto"/>
        <w:ind w:left="1004" w:firstLine="436"/>
        <w:rPr>
          <w:rFonts w:ascii="Times New Roman" w:hAnsi="Times New Roman" w:cs="Times New Roman"/>
          <w:sz w:val="24"/>
          <w:szCs w:val="24"/>
          <w:vertAlign w:val="baseline"/>
        </w:rPr>
      </w:pPr>
      <w:r>
        <w:rPr>
          <w:rFonts w:ascii="Times New Roman" w:hAnsi="Times New Roman" w:cs="Times New Roman"/>
          <w:sz w:val="24"/>
          <w:szCs w:val="24"/>
          <w:vertAlign w:val="baseline"/>
        </w:rPr>
        <w:t>‘DIFFERENCE’</w:t>
      </w:r>
    </w:p>
    <w:p w14:paraId="1CD13A37" w14:textId="30AD3905" w:rsidR="004625CE" w:rsidRPr="00BB29A7" w:rsidRDefault="00B13974" w:rsidP="00196FE1">
      <w:pPr>
        <w:spacing w:line="360" w:lineRule="auto"/>
        <w:ind w:left="284" w:hanging="284"/>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ab/>
      </w:r>
      <w:r w:rsidR="00C8483C">
        <w:rPr>
          <w:rFonts w:ascii="Times New Roman" w:hAnsi="Times New Roman" w:cs="Times New Roman"/>
          <w:sz w:val="24"/>
          <w:szCs w:val="24"/>
          <w:vertAlign w:val="baseline"/>
        </w:rPr>
        <w:t xml:space="preserve">   </w:t>
      </w:r>
      <w:r w:rsidRPr="002F70B3">
        <w:rPr>
          <w:rFonts w:ascii="Times New Roman" w:hAnsi="Times New Roman" w:cs="Times New Roman"/>
          <w:i/>
          <w:sz w:val="24"/>
          <w:szCs w:val="24"/>
          <w:vertAlign w:val="baseline"/>
        </w:rPr>
        <w:t>3</w:t>
      </w:r>
      <w:r w:rsidR="004625CE" w:rsidRPr="002F70B3">
        <w:rPr>
          <w:rFonts w:ascii="Times New Roman" w:hAnsi="Times New Roman" w:cs="Times New Roman"/>
          <w:i/>
          <w:sz w:val="24"/>
          <w:szCs w:val="24"/>
          <w:vertAlign w:val="baseline"/>
        </w:rPr>
        <w:t>.5.1</w:t>
      </w:r>
      <w:r w:rsidR="004625CE" w:rsidRPr="002F70B3">
        <w:rPr>
          <w:rFonts w:ascii="Times New Roman" w:hAnsi="Times New Roman" w:cs="Times New Roman"/>
          <w:i/>
          <w:sz w:val="24"/>
          <w:szCs w:val="24"/>
          <w:vertAlign w:val="baseline"/>
        </w:rPr>
        <w:tab/>
        <w:t>Children</w:t>
      </w:r>
      <w:r w:rsidR="00BB29A7">
        <w:rPr>
          <w:rFonts w:ascii="Times New Roman" w:hAnsi="Times New Roman" w:cs="Times New Roman"/>
          <w:i/>
          <w:sz w:val="24"/>
          <w:szCs w:val="24"/>
          <w:vertAlign w:val="baseline"/>
        </w:rPr>
        <w:tab/>
      </w:r>
      <w:r w:rsidR="00BB29A7">
        <w:rPr>
          <w:rFonts w:ascii="Times New Roman" w:hAnsi="Times New Roman" w:cs="Times New Roman"/>
          <w:i/>
          <w:sz w:val="24"/>
          <w:szCs w:val="24"/>
          <w:vertAlign w:val="baseline"/>
        </w:rPr>
        <w:tab/>
      </w:r>
      <w:r w:rsidR="00BB29A7">
        <w:rPr>
          <w:rFonts w:ascii="Times New Roman" w:hAnsi="Times New Roman" w:cs="Times New Roman"/>
          <w:i/>
          <w:sz w:val="24"/>
          <w:szCs w:val="24"/>
          <w:vertAlign w:val="baseline"/>
        </w:rPr>
        <w:tab/>
      </w:r>
      <w:r w:rsidR="00BB29A7">
        <w:rPr>
          <w:rFonts w:ascii="Times New Roman" w:hAnsi="Times New Roman" w:cs="Times New Roman"/>
          <w:i/>
          <w:sz w:val="24"/>
          <w:szCs w:val="24"/>
          <w:vertAlign w:val="baseline"/>
        </w:rPr>
        <w:tab/>
      </w:r>
      <w:r w:rsidR="00BB29A7">
        <w:rPr>
          <w:rFonts w:ascii="Times New Roman" w:hAnsi="Times New Roman" w:cs="Times New Roman"/>
          <w:i/>
          <w:sz w:val="24"/>
          <w:szCs w:val="24"/>
          <w:vertAlign w:val="baseline"/>
        </w:rPr>
        <w:tab/>
      </w:r>
      <w:r w:rsidR="00BB29A7">
        <w:rPr>
          <w:rFonts w:ascii="Times New Roman" w:hAnsi="Times New Roman" w:cs="Times New Roman"/>
          <w:i/>
          <w:sz w:val="24"/>
          <w:szCs w:val="24"/>
          <w:vertAlign w:val="baseline"/>
        </w:rPr>
        <w:tab/>
      </w:r>
      <w:r w:rsidR="00BB29A7">
        <w:rPr>
          <w:rFonts w:ascii="Times New Roman" w:hAnsi="Times New Roman" w:cs="Times New Roman"/>
          <w:i/>
          <w:sz w:val="24"/>
          <w:szCs w:val="24"/>
          <w:vertAlign w:val="baseline"/>
        </w:rPr>
        <w:tab/>
      </w:r>
      <w:r w:rsidR="00BB29A7">
        <w:rPr>
          <w:rFonts w:ascii="Times New Roman" w:hAnsi="Times New Roman" w:cs="Times New Roman"/>
          <w:i/>
          <w:sz w:val="24"/>
          <w:szCs w:val="24"/>
          <w:vertAlign w:val="baseline"/>
        </w:rPr>
        <w:tab/>
      </w:r>
      <w:r w:rsidR="0064696D">
        <w:rPr>
          <w:rFonts w:ascii="Times New Roman" w:hAnsi="Times New Roman" w:cs="Times New Roman"/>
          <w:sz w:val="24"/>
          <w:szCs w:val="24"/>
          <w:vertAlign w:val="baseline"/>
        </w:rPr>
        <w:t>87</w:t>
      </w:r>
    </w:p>
    <w:p w14:paraId="6AE35952" w14:textId="11572915" w:rsidR="004625CE" w:rsidRPr="00BB29A7" w:rsidRDefault="00B13974" w:rsidP="00196FE1">
      <w:pPr>
        <w:spacing w:line="360" w:lineRule="auto"/>
        <w:ind w:left="284" w:hanging="284"/>
        <w:jc w:val="both"/>
        <w:rPr>
          <w:rFonts w:ascii="Times New Roman" w:hAnsi="Times New Roman" w:cs="Times New Roman"/>
          <w:sz w:val="24"/>
          <w:szCs w:val="24"/>
          <w:vertAlign w:val="baseline"/>
        </w:rPr>
      </w:pPr>
      <w:r w:rsidRPr="002F70B3">
        <w:rPr>
          <w:rFonts w:ascii="Times New Roman" w:hAnsi="Times New Roman" w:cs="Times New Roman"/>
          <w:i/>
          <w:sz w:val="24"/>
          <w:szCs w:val="24"/>
          <w:vertAlign w:val="baseline"/>
        </w:rPr>
        <w:tab/>
      </w:r>
      <w:r w:rsidR="00C8483C" w:rsidRPr="002F70B3">
        <w:rPr>
          <w:rFonts w:ascii="Times New Roman" w:hAnsi="Times New Roman" w:cs="Times New Roman"/>
          <w:i/>
          <w:sz w:val="24"/>
          <w:szCs w:val="24"/>
          <w:vertAlign w:val="baseline"/>
        </w:rPr>
        <w:t xml:space="preserve">   </w:t>
      </w:r>
      <w:r w:rsidRPr="002F70B3">
        <w:rPr>
          <w:rFonts w:ascii="Times New Roman" w:hAnsi="Times New Roman" w:cs="Times New Roman"/>
          <w:i/>
          <w:sz w:val="24"/>
          <w:szCs w:val="24"/>
          <w:vertAlign w:val="baseline"/>
        </w:rPr>
        <w:t>3</w:t>
      </w:r>
      <w:r w:rsidR="004625CE" w:rsidRPr="002F70B3">
        <w:rPr>
          <w:rFonts w:ascii="Times New Roman" w:hAnsi="Times New Roman" w:cs="Times New Roman"/>
          <w:i/>
          <w:sz w:val="24"/>
          <w:szCs w:val="24"/>
          <w:vertAlign w:val="baseline"/>
        </w:rPr>
        <w:t>.5.2</w:t>
      </w:r>
      <w:r w:rsidR="004625CE">
        <w:rPr>
          <w:rFonts w:ascii="Times New Roman" w:hAnsi="Times New Roman" w:cs="Times New Roman"/>
          <w:sz w:val="24"/>
          <w:szCs w:val="24"/>
          <w:vertAlign w:val="baseline"/>
        </w:rPr>
        <w:tab/>
      </w:r>
      <w:r w:rsidR="004625CE" w:rsidRPr="002E77A5">
        <w:rPr>
          <w:rFonts w:ascii="Times New Roman" w:hAnsi="Times New Roman" w:cs="Times New Roman"/>
          <w:i/>
          <w:sz w:val="24"/>
          <w:szCs w:val="24"/>
          <w:vertAlign w:val="baseline"/>
        </w:rPr>
        <w:t>People with Albinism</w:t>
      </w:r>
      <w:r w:rsidR="00BB29A7">
        <w:rPr>
          <w:rFonts w:ascii="Times New Roman" w:hAnsi="Times New Roman" w:cs="Times New Roman"/>
          <w:i/>
          <w:sz w:val="24"/>
          <w:szCs w:val="24"/>
          <w:vertAlign w:val="baseline"/>
        </w:rPr>
        <w:tab/>
      </w:r>
      <w:r w:rsidR="00BB29A7">
        <w:rPr>
          <w:rFonts w:ascii="Times New Roman" w:hAnsi="Times New Roman" w:cs="Times New Roman"/>
          <w:i/>
          <w:sz w:val="24"/>
          <w:szCs w:val="24"/>
          <w:vertAlign w:val="baseline"/>
        </w:rPr>
        <w:tab/>
      </w:r>
      <w:r w:rsidR="00BB29A7">
        <w:rPr>
          <w:rFonts w:ascii="Times New Roman" w:hAnsi="Times New Roman" w:cs="Times New Roman"/>
          <w:i/>
          <w:sz w:val="24"/>
          <w:szCs w:val="24"/>
          <w:vertAlign w:val="baseline"/>
        </w:rPr>
        <w:tab/>
      </w:r>
      <w:r w:rsidR="00BB29A7">
        <w:rPr>
          <w:rFonts w:ascii="Times New Roman" w:hAnsi="Times New Roman" w:cs="Times New Roman"/>
          <w:i/>
          <w:sz w:val="24"/>
          <w:szCs w:val="24"/>
          <w:vertAlign w:val="baseline"/>
        </w:rPr>
        <w:tab/>
      </w:r>
      <w:r w:rsidR="00BB29A7">
        <w:rPr>
          <w:rFonts w:ascii="Times New Roman" w:hAnsi="Times New Roman" w:cs="Times New Roman"/>
          <w:i/>
          <w:sz w:val="24"/>
          <w:szCs w:val="24"/>
          <w:vertAlign w:val="baseline"/>
        </w:rPr>
        <w:tab/>
      </w:r>
      <w:r w:rsidR="00BB29A7">
        <w:rPr>
          <w:rFonts w:ascii="Times New Roman" w:hAnsi="Times New Roman" w:cs="Times New Roman"/>
          <w:i/>
          <w:sz w:val="24"/>
          <w:szCs w:val="24"/>
          <w:vertAlign w:val="baseline"/>
        </w:rPr>
        <w:tab/>
      </w:r>
      <w:r w:rsidR="00BB29A7">
        <w:rPr>
          <w:rFonts w:ascii="Times New Roman" w:hAnsi="Times New Roman" w:cs="Times New Roman"/>
          <w:i/>
          <w:sz w:val="24"/>
          <w:szCs w:val="24"/>
          <w:vertAlign w:val="baseline"/>
        </w:rPr>
        <w:tab/>
      </w:r>
      <w:r w:rsidR="0064696D">
        <w:rPr>
          <w:rFonts w:ascii="Times New Roman" w:hAnsi="Times New Roman" w:cs="Times New Roman"/>
          <w:sz w:val="24"/>
          <w:szCs w:val="24"/>
          <w:vertAlign w:val="baseline"/>
        </w:rPr>
        <w:t>88</w:t>
      </w:r>
    </w:p>
    <w:p w14:paraId="296EF3B7" w14:textId="5A942E43" w:rsidR="004625CE" w:rsidRDefault="00B13974" w:rsidP="00196FE1">
      <w:pPr>
        <w:spacing w:line="360" w:lineRule="auto"/>
        <w:ind w:left="284" w:hanging="284"/>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ab/>
        <w:t>3</w:t>
      </w:r>
      <w:r w:rsidR="004625CE">
        <w:rPr>
          <w:rFonts w:ascii="Times New Roman" w:hAnsi="Times New Roman" w:cs="Times New Roman"/>
          <w:sz w:val="24"/>
          <w:szCs w:val="24"/>
          <w:vertAlign w:val="baseline"/>
        </w:rPr>
        <w:t>.6</w:t>
      </w:r>
      <w:r w:rsidR="004625CE">
        <w:rPr>
          <w:rFonts w:ascii="Times New Roman" w:hAnsi="Times New Roman" w:cs="Times New Roman"/>
          <w:sz w:val="24"/>
          <w:szCs w:val="24"/>
          <w:vertAlign w:val="baseline"/>
        </w:rPr>
        <w:tab/>
      </w:r>
      <w:r w:rsidR="004625CE">
        <w:rPr>
          <w:rFonts w:ascii="Times New Roman" w:hAnsi="Times New Roman" w:cs="Times New Roman"/>
          <w:sz w:val="24"/>
          <w:szCs w:val="24"/>
          <w:vertAlign w:val="baseline"/>
        </w:rPr>
        <w:tab/>
      </w:r>
      <w:r w:rsidR="00C8483C">
        <w:rPr>
          <w:rFonts w:ascii="Times New Roman" w:hAnsi="Times New Roman" w:cs="Times New Roman"/>
          <w:sz w:val="24"/>
          <w:szCs w:val="24"/>
          <w:vertAlign w:val="baseline"/>
        </w:rPr>
        <w:t>WITCHCRAFT ACCUSATIONS</w:t>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t>89</w:t>
      </w:r>
    </w:p>
    <w:p w14:paraId="2D63C559" w14:textId="2FA73B95" w:rsidR="004625CE" w:rsidRPr="00BB29A7" w:rsidRDefault="00B13974" w:rsidP="00196FE1">
      <w:pPr>
        <w:spacing w:line="360" w:lineRule="auto"/>
        <w:ind w:left="284" w:hanging="284"/>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ab/>
      </w:r>
      <w:r w:rsidR="00C8483C" w:rsidRPr="002F70B3">
        <w:rPr>
          <w:rFonts w:ascii="Times New Roman" w:hAnsi="Times New Roman" w:cs="Times New Roman"/>
          <w:i/>
          <w:sz w:val="24"/>
          <w:szCs w:val="24"/>
          <w:vertAlign w:val="baseline"/>
        </w:rPr>
        <w:t xml:space="preserve">   </w:t>
      </w:r>
      <w:r w:rsidRPr="002F70B3">
        <w:rPr>
          <w:rFonts w:ascii="Times New Roman" w:hAnsi="Times New Roman" w:cs="Times New Roman"/>
          <w:i/>
          <w:sz w:val="24"/>
          <w:szCs w:val="24"/>
          <w:vertAlign w:val="baseline"/>
        </w:rPr>
        <w:t>3</w:t>
      </w:r>
      <w:r w:rsidR="004625CE" w:rsidRPr="002F70B3">
        <w:rPr>
          <w:rFonts w:ascii="Times New Roman" w:hAnsi="Times New Roman" w:cs="Times New Roman"/>
          <w:i/>
          <w:sz w:val="24"/>
          <w:szCs w:val="24"/>
          <w:vertAlign w:val="baseline"/>
        </w:rPr>
        <w:t>.6.1</w:t>
      </w:r>
      <w:r w:rsidR="004625CE" w:rsidRPr="002F70B3">
        <w:rPr>
          <w:rFonts w:ascii="Times New Roman" w:hAnsi="Times New Roman" w:cs="Times New Roman"/>
          <w:i/>
          <w:sz w:val="24"/>
          <w:szCs w:val="24"/>
          <w:vertAlign w:val="baseline"/>
        </w:rPr>
        <w:tab/>
        <w:t>The Accused</w:t>
      </w:r>
      <w:r w:rsidR="00BB29A7">
        <w:rPr>
          <w:rFonts w:ascii="Times New Roman" w:hAnsi="Times New Roman" w:cs="Times New Roman"/>
          <w:i/>
          <w:sz w:val="24"/>
          <w:szCs w:val="24"/>
          <w:vertAlign w:val="baseline"/>
        </w:rPr>
        <w:tab/>
      </w:r>
      <w:r w:rsidR="00BB29A7">
        <w:rPr>
          <w:rFonts w:ascii="Times New Roman" w:hAnsi="Times New Roman" w:cs="Times New Roman"/>
          <w:i/>
          <w:sz w:val="24"/>
          <w:szCs w:val="24"/>
          <w:vertAlign w:val="baseline"/>
        </w:rPr>
        <w:tab/>
      </w:r>
      <w:r w:rsidR="00BB29A7">
        <w:rPr>
          <w:rFonts w:ascii="Times New Roman" w:hAnsi="Times New Roman" w:cs="Times New Roman"/>
          <w:i/>
          <w:sz w:val="24"/>
          <w:szCs w:val="24"/>
          <w:vertAlign w:val="baseline"/>
        </w:rPr>
        <w:tab/>
      </w:r>
      <w:r w:rsidR="00BB29A7">
        <w:rPr>
          <w:rFonts w:ascii="Times New Roman" w:hAnsi="Times New Roman" w:cs="Times New Roman"/>
          <w:i/>
          <w:sz w:val="24"/>
          <w:szCs w:val="24"/>
          <w:vertAlign w:val="baseline"/>
        </w:rPr>
        <w:tab/>
      </w:r>
      <w:r w:rsidR="00BB29A7">
        <w:rPr>
          <w:rFonts w:ascii="Times New Roman" w:hAnsi="Times New Roman" w:cs="Times New Roman"/>
          <w:i/>
          <w:sz w:val="24"/>
          <w:szCs w:val="24"/>
          <w:vertAlign w:val="baseline"/>
        </w:rPr>
        <w:tab/>
      </w:r>
      <w:r w:rsidR="00BB29A7">
        <w:rPr>
          <w:rFonts w:ascii="Times New Roman" w:hAnsi="Times New Roman" w:cs="Times New Roman"/>
          <w:i/>
          <w:sz w:val="24"/>
          <w:szCs w:val="24"/>
          <w:vertAlign w:val="baseline"/>
        </w:rPr>
        <w:tab/>
      </w:r>
      <w:r w:rsidR="00BB29A7">
        <w:rPr>
          <w:rFonts w:ascii="Times New Roman" w:hAnsi="Times New Roman" w:cs="Times New Roman"/>
          <w:i/>
          <w:sz w:val="24"/>
          <w:szCs w:val="24"/>
          <w:vertAlign w:val="baseline"/>
        </w:rPr>
        <w:tab/>
      </w:r>
      <w:r w:rsidR="00BB29A7">
        <w:rPr>
          <w:rFonts w:ascii="Times New Roman" w:hAnsi="Times New Roman" w:cs="Times New Roman"/>
          <w:i/>
          <w:sz w:val="24"/>
          <w:szCs w:val="24"/>
          <w:vertAlign w:val="baseline"/>
        </w:rPr>
        <w:tab/>
      </w:r>
      <w:r w:rsidR="0064696D">
        <w:rPr>
          <w:rFonts w:ascii="Times New Roman" w:hAnsi="Times New Roman" w:cs="Times New Roman"/>
          <w:sz w:val="24"/>
          <w:szCs w:val="24"/>
          <w:vertAlign w:val="baseline"/>
        </w:rPr>
        <w:t>91</w:t>
      </w:r>
    </w:p>
    <w:p w14:paraId="1B27A18F" w14:textId="11CC4994" w:rsidR="004625CE" w:rsidRPr="0044119D" w:rsidRDefault="00B13974" w:rsidP="00196FE1">
      <w:pPr>
        <w:spacing w:line="360" w:lineRule="auto"/>
        <w:ind w:left="284" w:hanging="284"/>
        <w:jc w:val="both"/>
        <w:rPr>
          <w:rFonts w:ascii="Times New Roman" w:hAnsi="Times New Roman" w:cs="Times New Roman"/>
          <w:sz w:val="24"/>
          <w:szCs w:val="24"/>
          <w:vertAlign w:val="baseline"/>
        </w:rPr>
      </w:pPr>
      <w:r w:rsidRPr="002F70B3">
        <w:rPr>
          <w:rFonts w:ascii="Times New Roman" w:hAnsi="Times New Roman" w:cs="Times New Roman"/>
          <w:i/>
          <w:sz w:val="24"/>
          <w:szCs w:val="24"/>
          <w:vertAlign w:val="baseline"/>
        </w:rPr>
        <w:tab/>
      </w:r>
      <w:r w:rsidR="00C8483C" w:rsidRPr="002F70B3">
        <w:rPr>
          <w:rFonts w:ascii="Times New Roman" w:hAnsi="Times New Roman" w:cs="Times New Roman"/>
          <w:i/>
          <w:sz w:val="24"/>
          <w:szCs w:val="24"/>
          <w:vertAlign w:val="baseline"/>
        </w:rPr>
        <w:t xml:space="preserve">   </w:t>
      </w:r>
      <w:r w:rsidRPr="002F70B3">
        <w:rPr>
          <w:rFonts w:ascii="Times New Roman" w:hAnsi="Times New Roman" w:cs="Times New Roman"/>
          <w:i/>
          <w:sz w:val="24"/>
          <w:szCs w:val="24"/>
          <w:vertAlign w:val="baseline"/>
        </w:rPr>
        <w:t>3</w:t>
      </w:r>
      <w:r w:rsidR="004625CE" w:rsidRPr="002F70B3">
        <w:rPr>
          <w:rFonts w:ascii="Times New Roman" w:hAnsi="Times New Roman" w:cs="Times New Roman"/>
          <w:i/>
          <w:sz w:val="24"/>
          <w:szCs w:val="24"/>
          <w:vertAlign w:val="baseline"/>
        </w:rPr>
        <w:t>.6.2</w:t>
      </w:r>
      <w:r w:rsidR="004625CE" w:rsidRPr="002F70B3">
        <w:rPr>
          <w:rFonts w:ascii="Times New Roman" w:hAnsi="Times New Roman" w:cs="Times New Roman"/>
          <w:i/>
          <w:sz w:val="24"/>
          <w:szCs w:val="24"/>
          <w:vertAlign w:val="baseline"/>
        </w:rPr>
        <w:tab/>
        <w:t>Motive</w:t>
      </w:r>
      <w:r w:rsidR="0044119D">
        <w:rPr>
          <w:rFonts w:ascii="Times New Roman" w:hAnsi="Times New Roman" w:cs="Times New Roman"/>
          <w:i/>
          <w:sz w:val="24"/>
          <w:szCs w:val="24"/>
          <w:vertAlign w:val="baseline"/>
        </w:rPr>
        <w:tab/>
      </w:r>
      <w:r w:rsidR="0044119D">
        <w:rPr>
          <w:rFonts w:ascii="Times New Roman" w:hAnsi="Times New Roman" w:cs="Times New Roman"/>
          <w:i/>
          <w:sz w:val="24"/>
          <w:szCs w:val="24"/>
          <w:vertAlign w:val="baseline"/>
        </w:rPr>
        <w:tab/>
      </w:r>
      <w:r w:rsidR="0044119D">
        <w:rPr>
          <w:rFonts w:ascii="Times New Roman" w:hAnsi="Times New Roman" w:cs="Times New Roman"/>
          <w:i/>
          <w:sz w:val="24"/>
          <w:szCs w:val="24"/>
          <w:vertAlign w:val="baseline"/>
        </w:rPr>
        <w:tab/>
      </w:r>
      <w:r w:rsidR="0044119D">
        <w:rPr>
          <w:rFonts w:ascii="Times New Roman" w:hAnsi="Times New Roman" w:cs="Times New Roman"/>
          <w:i/>
          <w:sz w:val="24"/>
          <w:szCs w:val="24"/>
          <w:vertAlign w:val="baseline"/>
        </w:rPr>
        <w:tab/>
      </w:r>
      <w:r w:rsidR="0044119D">
        <w:rPr>
          <w:rFonts w:ascii="Times New Roman" w:hAnsi="Times New Roman" w:cs="Times New Roman"/>
          <w:i/>
          <w:sz w:val="24"/>
          <w:szCs w:val="24"/>
          <w:vertAlign w:val="baseline"/>
        </w:rPr>
        <w:tab/>
      </w:r>
      <w:r w:rsidR="0044119D">
        <w:rPr>
          <w:rFonts w:ascii="Times New Roman" w:hAnsi="Times New Roman" w:cs="Times New Roman"/>
          <w:i/>
          <w:sz w:val="24"/>
          <w:szCs w:val="24"/>
          <w:vertAlign w:val="baseline"/>
        </w:rPr>
        <w:tab/>
      </w:r>
      <w:r w:rsidR="0044119D">
        <w:rPr>
          <w:rFonts w:ascii="Times New Roman" w:hAnsi="Times New Roman" w:cs="Times New Roman"/>
          <w:i/>
          <w:sz w:val="24"/>
          <w:szCs w:val="24"/>
          <w:vertAlign w:val="baseline"/>
        </w:rPr>
        <w:tab/>
      </w:r>
      <w:r w:rsidR="0044119D">
        <w:rPr>
          <w:rFonts w:ascii="Times New Roman" w:hAnsi="Times New Roman" w:cs="Times New Roman"/>
          <w:i/>
          <w:sz w:val="24"/>
          <w:szCs w:val="24"/>
          <w:vertAlign w:val="baseline"/>
        </w:rPr>
        <w:tab/>
      </w:r>
      <w:r w:rsidR="0044119D">
        <w:rPr>
          <w:rFonts w:ascii="Times New Roman" w:hAnsi="Times New Roman" w:cs="Times New Roman"/>
          <w:i/>
          <w:sz w:val="24"/>
          <w:szCs w:val="24"/>
          <w:vertAlign w:val="baseline"/>
        </w:rPr>
        <w:tab/>
      </w:r>
      <w:r w:rsidR="0064696D">
        <w:rPr>
          <w:rFonts w:ascii="Times New Roman" w:hAnsi="Times New Roman" w:cs="Times New Roman"/>
          <w:sz w:val="24"/>
          <w:szCs w:val="24"/>
          <w:vertAlign w:val="baseline"/>
        </w:rPr>
        <w:t>92</w:t>
      </w:r>
    </w:p>
    <w:p w14:paraId="3C4C3749" w14:textId="683855C2" w:rsidR="004625CE" w:rsidRPr="0044119D" w:rsidRDefault="00B13974" w:rsidP="00196FE1">
      <w:pPr>
        <w:spacing w:line="360" w:lineRule="auto"/>
        <w:ind w:left="284" w:hanging="284"/>
        <w:jc w:val="both"/>
        <w:rPr>
          <w:rFonts w:ascii="Times New Roman" w:hAnsi="Times New Roman" w:cs="Times New Roman"/>
          <w:sz w:val="24"/>
          <w:szCs w:val="24"/>
          <w:vertAlign w:val="baseline"/>
        </w:rPr>
      </w:pPr>
      <w:r w:rsidRPr="002F70B3">
        <w:rPr>
          <w:rFonts w:ascii="Times New Roman" w:hAnsi="Times New Roman" w:cs="Times New Roman"/>
          <w:i/>
          <w:sz w:val="24"/>
          <w:szCs w:val="24"/>
          <w:vertAlign w:val="baseline"/>
        </w:rPr>
        <w:tab/>
      </w:r>
      <w:r w:rsidR="00C8483C" w:rsidRPr="002F70B3">
        <w:rPr>
          <w:rFonts w:ascii="Times New Roman" w:hAnsi="Times New Roman" w:cs="Times New Roman"/>
          <w:i/>
          <w:sz w:val="24"/>
          <w:szCs w:val="24"/>
          <w:vertAlign w:val="baseline"/>
        </w:rPr>
        <w:t xml:space="preserve">   </w:t>
      </w:r>
      <w:r w:rsidRPr="002F70B3">
        <w:rPr>
          <w:rFonts w:ascii="Times New Roman" w:hAnsi="Times New Roman" w:cs="Times New Roman"/>
          <w:i/>
          <w:sz w:val="24"/>
          <w:szCs w:val="24"/>
          <w:vertAlign w:val="baseline"/>
        </w:rPr>
        <w:t>3</w:t>
      </w:r>
      <w:r w:rsidR="004625CE" w:rsidRPr="002F70B3">
        <w:rPr>
          <w:rFonts w:ascii="Times New Roman" w:hAnsi="Times New Roman" w:cs="Times New Roman"/>
          <w:i/>
          <w:sz w:val="24"/>
          <w:szCs w:val="24"/>
          <w:vertAlign w:val="baseline"/>
        </w:rPr>
        <w:t>.6.3</w:t>
      </w:r>
      <w:r w:rsidR="004625CE" w:rsidRPr="002F70B3">
        <w:rPr>
          <w:rFonts w:ascii="Times New Roman" w:hAnsi="Times New Roman" w:cs="Times New Roman"/>
          <w:i/>
          <w:sz w:val="24"/>
          <w:szCs w:val="24"/>
          <w:vertAlign w:val="baseline"/>
        </w:rPr>
        <w:tab/>
        <w:t>Intensification of Witchcraft Accusations</w:t>
      </w:r>
      <w:r w:rsidR="0044119D">
        <w:rPr>
          <w:rFonts w:ascii="Times New Roman" w:hAnsi="Times New Roman" w:cs="Times New Roman"/>
          <w:i/>
          <w:sz w:val="24"/>
          <w:szCs w:val="24"/>
          <w:vertAlign w:val="baseline"/>
        </w:rPr>
        <w:tab/>
      </w:r>
      <w:r w:rsidR="0044119D">
        <w:rPr>
          <w:rFonts w:ascii="Times New Roman" w:hAnsi="Times New Roman" w:cs="Times New Roman"/>
          <w:i/>
          <w:sz w:val="24"/>
          <w:szCs w:val="24"/>
          <w:vertAlign w:val="baseline"/>
        </w:rPr>
        <w:tab/>
      </w:r>
      <w:r w:rsidR="0044119D">
        <w:rPr>
          <w:rFonts w:ascii="Times New Roman" w:hAnsi="Times New Roman" w:cs="Times New Roman"/>
          <w:i/>
          <w:sz w:val="24"/>
          <w:szCs w:val="24"/>
          <w:vertAlign w:val="baseline"/>
        </w:rPr>
        <w:tab/>
      </w:r>
      <w:r w:rsidR="0044119D">
        <w:rPr>
          <w:rFonts w:ascii="Times New Roman" w:hAnsi="Times New Roman" w:cs="Times New Roman"/>
          <w:i/>
          <w:sz w:val="24"/>
          <w:szCs w:val="24"/>
          <w:vertAlign w:val="baseline"/>
        </w:rPr>
        <w:tab/>
      </w:r>
      <w:r w:rsidR="0064696D">
        <w:rPr>
          <w:rFonts w:ascii="Times New Roman" w:hAnsi="Times New Roman" w:cs="Times New Roman"/>
          <w:sz w:val="24"/>
          <w:szCs w:val="24"/>
          <w:vertAlign w:val="baseline"/>
        </w:rPr>
        <w:t>93</w:t>
      </w:r>
    </w:p>
    <w:p w14:paraId="0CAEBC33" w14:textId="0E2E2ADA" w:rsidR="004625CE" w:rsidRPr="0044119D" w:rsidRDefault="00B13974" w:rsidP="00196FE1">
      <w:pPr>
        <w:spacing w:line="360" w:lineRule="auto"/>
        <w:ind w:left="284" w:hanging="284"/>
        <w:jc w:val="both"/>
        <w:rPr>
          <w:rFonts w:ascii="Times New Roman" w:hAnsi="Times New Roman" w:cs="Times New Roman"/>
          <w:sz w:val="24"/>
          <w:szCs w:val="24"/>
          <w:vertAlign w:val="baseline"/>
        </w:rPr>
      </w:pPr>
      <w:r w:rsidRPr="002F70B3">
        <w:rPr>
          <w:rFonts w:ascii="Times New Roman" w:hAnsi="Times New Roman" w:cs="Times New Roman"/>
          <w:i/>
          <w:sz w:val="24"/>
          <w:szCs w:val="24"/>
          <w:vertAlign w:val="baseline"/>
        </w:rPr>
        <w:tab/>
      </w:r>
      <w:r w:rsidR="00C8483C" w:rsidRPr="002F70B3">
        <w:rPr>
          <w:rFonts w:ascii="Times New Roman" w:hAnsi="Times New Roman" w:cs="Times New Roman"/>
          <w:i/>
          <w:sz w:val="24"/>
          <w:szCs w:val="24"/>
          <w:vertAlign w:val="baseline"/>
        </w:rPr>
        <w:t xml:space="preserve">   </w:t>
      </w:r>
      <w:r w:rsidRPr="002F70B3">
        <w:rPr>
          <w:rFonts w:ascii="Times New Roman" w:hAnsi="Times New Roman" w:cs="Times New Roman"/>
          <w:i/>
          <w:sz w:val="24"/>
          <w:szCs w:val="24"/>
          <w:vertAlign w:val="baseline"/>
        </w:rPr>
        <w:t>3</w:t>
      </w:r>
      <w:r w:rsidR="004625CE" w:rsidRPr="002F70B3">
        <w:rPr>
          <w:rFonts w:ascii="Times New Roman" w:hAnsi="Times New Roman" w:cs="Times New Roman"/>
          <w:i/>
          <w:sz w:val="24"/>
          <w:szCs w:val="24"/>
          <w:vertAlign w:val="baseline"/>
        </w:rPr>
        <w:t>.6.4</w:t>
      </w:r>
      <w:r w:rsidR="004625CE">
        <w:rPr>
          <w:rFonts w:ascii="Times New Roman" w:hAnsi="Times New Roman" w:cs="Times New Roman"/>
          <w:sz w:val="24"/>
          <w:szCs w:val="24"/>
          <w:vertAlign w:val="baseline"/>
        </w:rPr>
        <w:tab/>
      </w:r>
      <w:r w:rsidR="004625CE" w:rsidRPr="002E77A5">
        <w:rPr>
          <w:rFonts w:ascii="Times New Roman" w:hAnsi="Times New Roman" w:cs="Times New Roman"/>
          <w:i/>
          <w:sz w:val="24"/>
          <w:szCs w:val="24"/>
          <w:vertAlign w:val="baseline"/>
        </w:rPr>
        <w:t>Social Repercussions</w:t>
      </w:r>
      <w:r w:rsidR="0044119D">
        <w:rPr>
          <w:rFonts w:ascii="Times New Roman" w:hAnsi="Times New Roman" w:cs="Times New Roman"/>
          <w:i/>
          <w:sz w:val="24"/>
          <w:szCs w:val="24"/>
          <w:vertAlign w:val="baseline"/>
        </w:rPr>
        <w:tab/>
      </w:r>
      <w:r w:rsidR="0044119D">
        <w:rPr>
          <w:rFonts w:ascii="Times New Roman" w:hAnsi="Times New Roman" w:cs="Times New Roman"/>
          <w:i/>
          <w:sz w:val="24"/>
          <w:szCs w:val="24"/>
          <w:vertAlign w:val="baseline"/>
        </w:rPr>
        <w:tab/>
      </w:r>
      <w:r w:rsidR="0044119D">
        <w:rPr>
          <w:rFonts w:ascii="Times New Roman" w:hAnsi="Times New Roman" w:cs="Times New Roman"/>
          <w:i/>
          <w:sz w:val="24"/>
          <w:szCs w:val="24"/>
          <w:vertAlign w:val="baseline"/>
        </w:rPr>
        <w:tab/>
      </w:r>
      <w:r w:rsidR="0044119D">
        <w:rPr>
          <w:rFonts w:ascii="Times New Roman" w:hAnsi="Times New Roman" w:cs="Times New Roman"/>
          <w:i/>
          <w:sz w:val="24"/>
          <w:szCs w:val="24"/>
          <w:vertAlign w:val="baseline"/>
        </w:rPr>
        <w:tab/>
      </w:r>
      <w:r w:rsidR="0044119D">
        <w:rPr>
          <w:rFonts w:ascii="Times New Roman" w:hAnsi="Times New Roman" w:cs="Times New Roman"/>
          <w:i/>
          <w:sz w:val="24"/>
          <w:szCs w:val="24"/>
          <w:vertAlign w:val="baseline"/>
        </w:rPr>
        <w:tab/>
      </w:r>
      <w:r w:rsidR="0044119D">
        <w:rPr>
          <w:rFonts w:ascii="Times New Roman" w:hAnsi="Times New Roman" w:cs="Times New Roman"/>
          <w:i/>
          <w:sz w:val="24"/>
          <w:szCs w:val="24"/>
          <w:vertAlign w:val="baseline"/>
        </w:rPr>
        <w:tab/>
      </w:r>
      <w:r w:rsidR="0044119D">
        <w:rPr>
          <w:rFonts w:ascii="Times New Roman" w:hAnsi="Times New Roman" w:cs="Times New Roman"/>
          <w:i/>
          <w:sz w:val="24"/>
          <w:szCs w:val="24"/>
          <w:vertAlign w:val="baseline"/>
        </w:rPr>
        <w:tab/>
      </w:r>
      <w:r w:rsidR="0064696D">
        <w:rPr>
          <w:rFonts w:ascii="Times New Roman" w:hAnsi="Times New Roman" w:cs="Times New Roman"/>
          <w:sz w:val="24"/>
          <w:szCs w:val="24"/>
          <w:vertAlign w:val="baseline"/>
        </w:rPr>
        <w:t>97</w:t>
      </w:r>
    </w:p>
    <w:p w14:paraId="2676B40A" w14:textId="44946F9F" w:rsidR="004625CE" w:rsidRDefault="00B13974" w:rsidP="00196FE1">
      <w:pPr>
        <w:spacing w:line="360" w:lineRule="auto"/>
        <w:ind w:left="284" w:hanging="284"/>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ab/>
        <w:t>3</w:t>
      </w:r>
      <w:r w:rsidR="004625CE">
        <w:rPr>
          <w:rFonts w:ascii="Times New Roman" w:hAnsi="Times New Roman" w:cs="Times New Roman"/>
          <w:sz w:val="24"/>
          <w:szCs w:val="24"/>
          <w:vertAlign w:val="baseline"/>
        </w:rPr>
        <w:t>.7</w:t>
      </w:r>
      <w:r w:rsidR="004625CE">
        <w:rPr>
          <w:rFonts w:ascii="Times New Roman" w:hAnsi="Times New Roman" w:cs="Times New Roman"/>
          <w:sz w:val="24"/>
          <w:szCs w:val="24"/>
          <w:vertAlign w:val="baseline"/>
        </w:rPr>
        <w:tab/>
      </w:r>
      <w:r w:rsidR="004625CE">
        <w:rPr>
          <w:rFonts w:ascii="Times New Roman" w:hAnsi="Times New Roman" w:cs="Times New Roman"/>
          <w:sz w:val="24"/>
          <w:szCs w:val="24"/>
          <w:vertAlign w:val="baseline"/>
        </w:rPr>
        <w:tab/>
      </w:r>
      <w:r w:rsidR="00383414">
        <w:rPr>
          <w:rFonts w:ascii="Times New Roman" w:hAnsi="Times New Roman" w:cs="Times New Roman"/>
          <w:sz w:val="24"/>
          <w:szCs w:val="24"/>
          <w:vertAlign w:val="baseline"/>
        </w:rPr>
        <w:t>RELIGIOUS SPECIALISTS</w:t>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t>99</w:t>
      </w:r>
    </w:p>
    <w:p w14:paraId="30AB9343" w14:textId="280D6C58" w:rsidR="004625CE" w:rsidRDefault="00B13974" w:rsidP="00196FE1">
      <w:pPr>
        <w:spacing w:line="360" w:lineRule="auto"/>
        <w:ind w:left="284" w:hanging="284"/>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ab/>
        <w:t>3</w:t>
      </w:r>
      <w:r w:rsidR="004625CE">
        <w:rPr>
          <w:rFonts w:ascii="Times New Roman" w:hAnsi="Times New Roman" w:cs="Times New Roman"/>
          <w:sz w:val="24"/>
          <w:szCs w:val="24"/>
          <w:vertAlign w:val="baseline"/>
        </w:rPr>
        <w:t>.8</w:t>
      </w:r>
      <w:r w:rsidR="004625CE">
        <w:rPr>
          <w:rFonts w:ascii="Times New Roman" w:hAnsi="Times New Roman" w:cs="Times New Roman"/>
          <w:sz w:val="24"/>
          <w:szCs w:val="24"/>
          <w:vertAlign w:val="baseline"/>
        </w:rPr>
        <w:tab/>
      </w:r>
      <w:r w:rsidR="004625CE">
        <w:rPr>
          <w:rFonts w:ascii="Times New Roman" w:hAnsi="Times New Roman" w:cs="Times New Roman"/>
          <w:sz w:val="24"/>
          <w:szCs w:val="24"/>
          <w:vertAlign w:val="baseline"/>
        </w:rPr>
        <w:tab/>
        <w:t>S</w:t>
      </w:r>
      <w:r w:rsidR="00383414">
        <w:rPr>
          <w:rFonts w:ascii="Times New Roman" w:hAnsi="Times New Roman" w:cs="Times New Roman"/>
          <w:sz w:val="24"/>
          <w:szCs w:val="24"/>
          <w:vertAlign w:val="baseline"/>
        </w:rPr>
        <w:t>HAMANS</w:t>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t>101</w:t>
      </w:r>
    </w:p>
    <w:p w14:paraId="6640A37A" w14:textId="3DCA4411" w:rsidR="004625CE" w:rsidRDefault="00B13974" w:rsidP="00196FE1">
      <w:pPr>
        <w:spacing w:line="360" w:lineRule="auto"/>
        <w:ind w:left="284" w:hanging="284"/>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ab/>
        <w:t>3</w:t>
      </w:r>
      <w:r w:rsidR="004625CE">
        <w:rPr>
          <w:rFonts w:ascii="Times New Roman" w:hAnsi="Times New Roman" w:cs="Times New Roman"/>
          <w:sz w:val="24"/>
          <w:szCs w:val="24"/>
          <w:vertAlign w:val="baseline"/>
        </w:rPr>
        <w:t>.9</w:t>
      </w:r>
      <w:r w:rsidR="004625CE">
        <w:rPr>
          <w:rFonts w:ascii="Times New Roman" w:hAnsi="Times New Roman" w:cs="Times New Roman"/>
          <w:sz w:val="24"/>
          <w:szCs w:val="24"/>
          <w:vertAlign w:val="baseline"/>
        </w:rPr>
        <w:tab/>
      </w:r>
      <w:r w:rsidR="004625CE">
        <w:rPr>
          <w:rFonts w:ascii="Times New Roman" w:hAnsi="Times New Roman" w:cs="Times New Roman"/>
          <w:sz w:val="24"/>
          <w:szCs w:val="24"/>
          <w:vertAlign w:val="baseline"/>
        </w:rPr>
        <w:tab/>
      </w:r>
      <w:r w:rsidR="00383414">
        <w:rPr>
          <w:rFonts w:ascii="Times New Roman" w:hAnsi="Times New Roman" w:cs="Times New Roman"/>
          <w:sz w:val="24"/>
          <w:szCs w:val="24"/>
          <w:vertAlign w:val="baseline"/>
        </w:rPr>
        <w:t>ROLE OF THE WITCHDOCTOR</w:t>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t>102</w:t>
      </w:r>
    </w:p>
    <w:p w14:paraId="3A09D9CA" w14:textId="49630471" w:rsidR="004625CE" w:rsidRDefault="00B13974" w:rsidP="00196FE1">
      <w:pPr>
        <w:spacing w:line="360" w:lineRule="auto"/>
        <w:ind w:left="284" w:hanging="284"/>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ab/>
        <w:t>3</w:t>
      </w:r>
      <w:r w:rsidR="004625CE">
        <w:rPr>
          <w:rFonts w:ascii="Times New Roman" w:hAnsi="Times New Roman" w:cs="Times New Roman"/>
          <w:sz w:val="24"/>
          <w:szCs w:val="24"/>
          <w:vertAlign w:val="baseline"/>
        </w:rPr>
        <w:t>.10</w:t>
      </w:r>
      <w:r w:rsidR="004625CE">
        <w:rPr>
          <w:rFonts w:ascii="Times New Roman" w:hAnsi="Times New Roman" w:cs="Times New Roman"/>
          <w:sz w:val="24"/>
          <w:szCs w:val="24"/>
          <w:vertAlign w:val="baseline"/>
        </w:rPr>
        <w:tab/>
      </w:r>
      <w:r w:rsidR="004625CE">
        <w:rPr>
          <w:rFonts w:ascii="Times New Roman" w:hAnsi="Times New Roman" w:cs="Times New Roman"/>
          <w:sz w:val="24"/>
          <w:szCs w:val="24"/>
          <w:vertAlign w:val="baseline"/>
        </w:rPr>
        <w:tab/>
      </w:r>
      <w:r w:rsidR="00383414">
        <w:rPr>
          <w:rFonts w:ascii="Times New Roman" w:hAnsi="Times New Roman" w:cs="Times New Roman"/>
          <w:sz w:val="24"/>
          <w:szCs w:val="24"/>
          <w:vertAlign w:val="baseline"/>
        </w:rPr>
        <w:t>THE RITUAL PRACTICES OF WITCHDOCTORS</w:t>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t>105</w:t>
      </w:r>
    </w:p>
    <w:p w14:paraId="51694B4E" w14:textId="1357A00A" w:rsidR="00383414" w:rsidRDefault="00B13974" w:rsidP="00196FE1">
      <w:pPr>
        <w:spacing w:line="360" w:lineRule="auto"/>
        <w:ind w:left="284" w:hanging="284"/>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ab/>
        <w:t>3</w:t>
      </w:r>
      <w:r w:rsidR="00383414">
        <w:rPr>
          <w:rFonts w:ascii="Times New Roman" w:hAnsi="Times New Roman" w:cs="Times New Roman"/>
          <w:sz w:val="24"/>
          <w:szCs w:val="24"/>
          <w:vertAlign w:val="baseline"/>
        </w:rPr>
        <w:t>.11</w:t>
      </w:r>
      <w:r w:rsidR="00383414">
        <w:rPr>
          <w:rFonts w:ascii="Times New Roman" w:hAnsi="Times New Roman" w:cs="Times New Roman"/>
          <w:sz w:val="24"/>
          <w:szCs w:val="24"/>
          <w:vertAlign w:val="baseline"/>
        </w:rPr>
        <w:tab/>
      </w:r>
      <w:r w:rsidR="00383414">
        <w:rPr>
          <w:rFonts w:ascii="Times New Roman" w:hAnsi="Times New Roman" w:cs="Times New Roman"/>
          <w:sz w:val="24"/>
          <w:szCs w:val="24"/>
          <w:vertAlign w:val="baseline"/>
        </w:rPr>
        <w:tab/>
        <w:t>MAGIC</w:t>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t>108</w:t>
      </w:r>
    </w:p>
    <w:p w14:paraId="403562B9" w14:textId="4ED18726" w:rsidR="004625CE" w:rsidRDefault="00B13974" w:rsidP="00196FE1">
      <w:pPr>
        <w:spacing w:line="360" w:lineRule="auto"/>
        <w:ind w:left="284" w:hanging="284"/>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ab/>
        <w:t>3</w:t>
      </w:r>
      <w:r w:rsidR="00383414">
        <w:rPr>
          <w:rFonts w:ascii="Times New Roman" w:hAnsi="Times New Roman" w:cs="Times New Roman"/>
          <w:sz w:val="24"/>
          <w:szCs w:val="24"/>
          <w:vertAlign w:val="baseline"/>
        </w:rPr>
        <w:t>.12</w:t>
      </w:r>
      <w:r w:rsidR="004625CE">
        <w:rPr>
          <w:rFonts w:ascii="Times New Roman" w:hAnsi="Times New Roman" w:cs="Times New Roman"/>
          <w:sz w:val="24"/>
          <w:szCs w:val="24"/>
          <w:vertAlign w:val="baseline"/>
        </w:rPr>
        <w:tab/>
      </w:r>
      <w:r w:rsidR="004625CE">
        <w:rPr>
          <w:rFonts w:ascii="Times New Roman" w:hAnsi="Times New Roman" w:cs="Times New Roman"/>
          <w:sz w:val="24"/>
          <w:szCs w:val="24"/>
          <w:vertAlign w:val="baseline"/>
        </w:rPr>
        <w:tab/>
        <w:t>D</w:t>
      </w:r>
      <w:r w:rsidR="00383414">
        <w:rPr>
          <w:rFonts w:ascii="Times New Roman" w:hAnsi="Times New Roman" w:cs="Times New Roman"/>
          <w:sz w:val="24"/>
          <w:szCs w:val="24"/>
          <w:vertAlign w:val="baseline"/>
        </w:rPr>
        <w:t>IVINATION</w:t>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t>111</w:t>
      </w:r>
    </w:p>
    <w:p w14:paraId="6F706C19" w14:textId="7FA6331B" w:rsidR="004625CE" w:rsidRPr="004625CE" w:rsidRDefault="00B13974" w:rsidP="00196FE1">
      <w:pPr>
        <w:spacing w:line="360" w:lineRule="auto"/>
        <w:ind w:left="284" w:hanging="284"/>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ab/>
        <w:t>3</w:t>
      </w:r>
      <w:r w:rsidR="00A02BD7">
        <w:rPr>
          <w:rFonts w:ascii="Times New Roman" w:hAnsi="Times New Roman" w:cs="Times New Roman"/>
          <w:sz w:val="24"/>
          <w:szCs w:val="24"/>
          <w:vertAlign w:val="baseline"/>
        </w:rPr>
        <w:t>.13</w:t>
      </w:r>
      <w:r w:rsidR="004625CE">
        <w:rPr>
          <w:rFonts w:ascii="Times New Roman" w:hAnsi="Times New Roman" w:cs="Times New Roman"/>
          <w:sz w:val="24"/>
          <w:szCs w:val="24"/>
          <w:vertAlign w:val="baseline"/>
        </w:rPr>
        <w:tab/>
      </w:r>
      <w:r w:rsidR="004625CE">
        <w:rPr>
          <w:rFonts w:ascii="Times New Roman" w:hAnsi="Times New Roman" w:cs="Times New Roman"/>
          <w:sz w:val="24"/>
          <w:szCs w:val="24"/>
          <w:vertAlign w:val="baseline"/>
        </w:rPr>
        <w:tab/>
        <w:t>C</w:t>
      </w:r>
      <w:r w:rsidR="00383414">
        <w:rPr>
          <w:rFonts w:ascii="Times New Roman" w:hAnsi="Times New Roman" w:cs="Times New Roman"/>
          <w:sz w:val="24"/>
          <w:szCs w:val="24"/>
          <w:vertAlign w:val="baseline"/>
        </w:rPr>
        <w:t>ONCLUSION</w:t>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t>114</w:t>
      </w:r>
    </w:p>
    <w:p w14:paraId="0928CF8F" w14:textId="10134EC7" w:rsidR="004625CE" w:rsidRDefault="004625CE" w:rsidP="004625CE">
      <w:pPr>
        <w:spacing w:line="360" w:lineRule="auto"/>
        <w:jc w:val="both"/>
        <w:rPr>
          <w:rFonts w:ascii="Times New Roman" w:hAnsi="Times New Roman" w:cs="Times New Roman"/>
          <w:b/>
          <w:sz w:val="24"/>
          <w:szCs w:val="24"/>
          <w:vertAlign w:val="baseline"/>
        </w:rPr>
      </w:pPr>
    </w:p>
    <w:p w14:paraId="4FC1E6B5" w14:textId="73E0982D" w:rsidR="00D25BF5" w:rsidRPr="0044119D" w:rsidRDefault="00713985" w:rsidP="004625CE">
      <w:pPr>
        <w:spacing w:line="360" w:lineRule="auto"/>
        <w:jc w:val="both"/>
        <w:rPr>
          <w:rFonts w:ascii="Times New Roman" w:hAnsi="Times New Roman" w:cs="Times New Roman"/>
          <w:sz w:val="24"/>
          <w:szCs w:val="24"/>
          <w:vertAlign w:val="baseline"/>
        </w:rPr>
      </w:pPr>
      <w:r>
        <w:rPr>
          <w:rFonts w:ascii="Times New Roman" w:hAnsi="Times New Roman" w:cs="Times New Roman"/>
          <w:b/>
          <w:sz w:val="24"/>
          <w:szCs w:val="24"/>
          <w:vertAlign w:val="baseline"/>
        </w:rPr>
        <w:t>CHAPTER FOUR – THE GENDERING OF WITCHCRAFT</w:t>
      </w:r>
      <w:r w:rsidR="0044119D">
        <w:rPr>
          <w:rFonts w:ascii="Times New Roman" w:hAnsi="Times New Roman" w:cs="Times New Roman"/>
          <w:b/>
          <w:sz w:val="24"/>
          <w:szCs w:val="24"/>
          <w:vertAlign w:val="baseline"/>
        </w:rPr>
        <w:tab/>
      </w:r>
      <w:r w:rsidR="0044119D">
        <w:rPr>
          <w:rFonts w:ascii="Times New Roman" w:hAnsi="Times New Roman" w:cs="Times New Roman"/>
          <w:b/>
          <w:sz w:val="24"/>
          <w:szCs w:val="24"/>
          <w:vertAlign w:val="baseline"/>
        </w:rPr>
        <w:tab/>
      </w:r>
      <w:r w:rsidR="0044119D">
        <w:rPr>
          <w:rFonts w:ascii="Times New Roman" w:hAnsi="Times New Roman" w:cs="Times New Roman"/>
          <w:b/>
          <w:sz w:val="24"/>
          <w:szCs w:val="24"/>
          <w:vertAlign w:val="baseline"/>
        </w:rPr>
        <w:tab/>
      </w:r>
      <w:r w:rsidR="0064696D">
        <w:rPr>
          <w:rFonts w:ascii="Times New Roman" w:hAnsi="Times New Roman" w:cs="Times New Roman"/>
          <w:sz w:val="24"/>
          <w:szCs w:val="24"/>
          <w:vertAlign w:val="baseline"/>
        </w:rPr>
        <w:t>116</w:t>
      </w:r>
    </w:p>
    <w:p w14:paraId="0BD31121" w14:textId="77777777" w:rsidR="006C4419" w:rsidRDefault="006C4419" w:rsidP="004625CE">
      <w:pPr>
        <w:spacing w:line="360" w:lineRule="auto"/>
        <w:jc w:val="both"/>
        <w:rPr>
          <w:rFonts w:ascii="Times New Roman" w:hAnsi="Times New Roman" w:cs="Times New Roman"/>
          <w:b/>
          <w:sz w:val="24"/>
          <w:szCs w:val="24"/>
          <w:vertAlign w:val="baseline"/>
        </w:rPr>
      </w:pPr>
    </w:p>
    <w:p w14:paraId="4FDC41CD" w14:textId="12287B86" w:rsidR="00D25BF5" w:rsidRDefault="00B13974" w:rsidP="00D25BF5">
      <w:pPr>
        <w:spacing w:line="360" w:lineRule="auto"/>
        <w:ind w:firstLine="284"/>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4</w:t>
      </w:r>
      <w:r w:rsidR="00D25BF5">
        <w:rPr>
          <w:rFonts w:ascii="Times New Roman" w:hAnsi="Times New Roman" w:cs="Times New Roman"/>
          <w:sz w:val="24"/>
          <w:szCs w:val="24"/>
          <w:vertAlign w:val="baseline"/>
        </w:rPr>
        <w:t>.1</w:t>
      </w:r>
      <w:r w:rsidR="00D25BF5">
        <w:rPr>
          <w:rFonts w:ascii="Times New Roman" w:hAnsi="Times New Roman" w:cs="Times New Roman"/>
          <w:sz w:val="24"/>
          <w:szCs w:val="24"/>
          <w:vertAlign w:val="baseline"/>
        </w:rPr>
        <w:tab/>
      </w:r>
      <w:r w:rsidR="00D25BF5">
        <w:rPr>
          <w:rFonts w:ascii="Times New Roman" w:hAnsi="Times New Roman" w:cs="Times New Roman"/>
          <w:sz w:val="24"/>
          <w:szCs w:val="24"/>
          <w:vertAlign w:val="baseline"/>
        </w:rPr>
        <w:tab/>
        <w:t>I</w:t>
      </w:r>
      <w:r w:rsidR="00196FE1">
        <w:rPr>
          <w:rFonts w:ascii="Times New Roman" w:hAnsi="Times New Roman" w:cs="Times New Roman"/>
          <w:sz w:val="24"/>
          <w:szCs w:val="24"/>
          <w:vertAlign w:val="baseline"/>
        </w:rPr>
        <w:t>NTRODUCTION</w:t>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t>116</w:t>
      </w:r>
    </w:p>
    <w:p w14:paraId="42061068" w14:textId="3D90A7B6" w:rsidR="00D25BF5" w:rsidRDefault="00B13974" w:rsidP="00D25BF5">
      <w:pPr>
        <w:spacing w:line="360" w:lineRule="auto"/>
        <w:ind w:firstLine="284"/>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4</w:t>
      </w:r>
      <w:r w:rsidR="00D25BF5">
        <w:rPr>
          <w:rFonts w:ascii="Times New Roman" w:hAnsi="Times New Roman" w:cs="Times New Roman"/>
          <w:sz w:val="24"/>
          <w:szCs w:val="24"/>
          <w:vertAlign w:val="baseline"/>
        </w:rPr>
        <w:t>.2</w:t>
      </w:r>
      <w:r w:rsidR="00D25BF5">
        <w:rPr>
          <w:rFonts w:ascii="Times New Roman" w:hAnsi="Times New Roman" w:cs="Times New Roman"/>
          <w:sz w:val="24"/>
          <w:szCs w:val="24"/>
          <w:vertAlign w:val="baseline"/>
        </w:rPr>
        <w:tab/>
      </w:r>
      <w:r w:rsidR="00D25BF5">
        <w:rPr>
          <w:rFonts w:ascii="Times New Roman" w:hAnsi="Times New Roman" w:cs="Times New Roman"/>
          <w:sz w:val="24"/>
          <w:szCs w:val="24"/>
          <w:vertAlign w:val="baseline"/>
        </w:rPr>
        <w:tab/>
      </w:r>
      <w:r w:rsidR="00196FE1">
        <w:rPr>
          <w:rFonts w:ascii="Times New Roman" w:hAnsi="Times New Roman" w:cs="Times New Roman"/>
          <w:sz w:val="24"/>
          <w:szCs w:val="24"/>
          <w:vertAlign w:val="baseline"/>
        </w:rPr>
        <w:t>HISTORICAL GENDERING</w:t>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t>116</w:t>
      </w:r>
    </w:p>
    <w:p w14:paraId="44C3A187" w14:textId="28BE44DC" w:rsidR="000504E8" w:rsidRDefault="00B13974" w:rsidP="000504E8">
      <w:pPr>
        <w:spacing w:line="360" w:lineRule="auto"/>
        <w:ind w:firstLine="284"/>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4</w:t>
      </w:r>
      <w:r w:rsidR="00D25BF5">
        <w:rPr>
          <w:rFonts w:ascii="Times New Roman" w:hAnsi="Times New Roman" w:cs="Times New Roman"/>
          <w:sz w:val="24"/>
          <w:szCs w:val="24"/>
          <w:vertAlign w:val="baseline"/>
        </w:rPr>
        <w:t>.3</w:t>
      </w:r>
      <w:r w:rsidR="00D25BF5">
        <w:rPr>
          <w:rFonts w:ascii="Times New Roman" w:hAnsi="Times New Roman" w:cs="Times New Roman"/>
          <w:sz w:val="24"/>
          <w:szCs w:val="24"/>
          <w:vertAlign w:val="baseline"/>
        </w:rPr>
        <w:tab/>
      </w:r>
      <w:r w:rsidR="00D25BF5">
        <w:rPr>
          <w:rFonts w:ascii="Times New Roman" w:hAnsi="Times New Roman" w:cs="Times New Roman"/>
          <w:sz w:val="24"/>
          <w:szCs w:val="24"/>
          <w:vertAlign w:val="baseline"/>
        </w:rPr>
        <w:tab/>
      </w:r>
      <w:r w:rsidR="00196FE1">
        <w:rPr>
          <w:rFonts w:ascii="Times New Roman" w:hAnsi="Times New Roman" w:cs="Times New Roman"/>
          <w:sz w:val="24"/>
          <w:szCs w:val="24"/>
          <w:vertAlign w:val="baseline"/>
        </w:rPr>
        <w:t>SEX RELATED OR SEX SPECIFIC?</w:t>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t>122</w:t>
      </w:r>
    </w:p>
    <w:p w14:paraId="32644759" w14:textId="74929361" w:rsidR="00D25BF5" w:rsidRDefault="00B13974" w:rsidP="00D25BF5">
      <w:pPr>
        <w:spacing w:line="360" w:lineRule="auto"/>
        <w:ind w:firstLine="284"/>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4</w:t>
      </w:r>
      <w:r w:rsidR="00D25BF5">
        <w:rPr>
          <w:rFonts w:ascii="Times New Roman" w:hAnsi="Times New Roman" w:cs="Times New Roman"/>
          <w:sz w:val="24"/>
          <w:szCs w:val="24"/>
          <w:vertAlign w:val="baseline"/>
        </w:rPr>
        <w:t>.4</w:t>
      </w:r>
      <w:r w:rsidR="00D25BF5">
        <w:rPr>
          <w:rFonts w:ascii="Times New Roman" w:hAnsi="Times New Roman" w:cs="Times New Roman"/>
          <w:sz w:val="24"/>
          <w:szCs w:val="24"/>
          <w:vertAlign w:val="baseline"/>
        </w:rPr>
        <w:tab/>
      </w:r>
      <w:r w:rsidR="00D25BF5">
        <w:rPr>
          <w:rFonts w:ascii="Times New Roman" w:hAnsi="Times New Roman" w:cs="Times New Roman"/>
          <w:sz w:val="24"/>
          <w:szCs w:val="24"/>
          <w:vertAlign w:val="baseline"/>
        </w:rPr>
        <w:tab/>
      </w:r>
      <w:r w:rsidR="00196FE1">
        <w:rPr>
          <w:rFonts w:ascii="Times New Roman" w:hAnsi="Times New Roman" w:cs="Times New Roman"/>
          <w:sz w:val="24"/>
          <w:szCs w:val="24"/>
          <w:vertAlign w:val="baseline"/>
        </w:rPr>
        <w:t>CONTEMPORARY GENDERING OF WITCHCRAFT</w:t>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t>127</w:t>
      </w:r>
    </w:p>
    <w:p w14:paraId="671A4CF5" w14:textId="7195D8E3" w:rsidR="00D25BF5" w:rsidRPr="00F7424D" w:rsidRDefault="00196FE1" w:rsidP="00D25BF5">
      <w:pPr>
        <w:spacing w:line="360" w:lineRule="auto"/>
        <w:ind w:firstLine="284"/>
        <w:jc w:val="both"/>
        <w:rPr>
          <w:rFonts w:ascii="Times New Roman" w:hAnsi="Times New Roman" w:cs="Times New Roman"/>
          <w:sz w:val="24"/>
          <w:szCs w:val="24"/>
          <w:vertAlign w:val="baseline"/>
        </w:rPr>
      </w:pPr>
      <w:r w:rsidRPr="002F70B3">
        <w:rPr>
          <w:rFonts w:ascii="Times New Roman" w:hAnsi="Times New Roman" w:cs="Times New Roman"/>
          <w:i/>
          <w:sz w:val="24"/>
          <w:szCs w:val="24"/>
          <w:vertAlign w:val="baseline"/>
        </w:rPr>
        <w:t xml:space="preserve">   </w:t>
      </w:r>
      <w:r w:rsidR="00B13974" w:rsidRPr="002F70B3">
        <w:rPr>
          <w:rFonts w:ascii="Times New Roman" w:hAnsi="Times New Roman" w:cs="Times New Roman"/>
          <w:i/>
          <w:sz w:val="24"/>
          <w:szCs w:val="24"/>
          <w:vertAlign w:val="baseline"/>
        </w:rPr>
        <w:t>4</w:t>
      </w:r>
      <w:r w:rsidR="00D25BF5" w:rsidRPr="002F70B3">
        <w:rPr>
          <w:rFonts w:ascii="Times New Roman" w:hAnsi="Times New Roman" w:cs="Times New Roman"/>
          <w:i/>
          <w:sz w:val="24"/>
          <w:szCs w:val="24"/>
          <w:vertAlign w:val="baseline"/>
        </w:rPr>
        <w:t>.4.1</w:t>
      </w:r>
      <w:r w:rsidR="00D25BF5" w:rsidRPr="002F70B3">
        <w:rPr>
          <w:rFonts w:ascii="Times New Roman" w:hAnsi="Times New Roman" w:cs="Times New Roman"/>
          <w:i/>
          <w:sz w:val="24"/>
          <w:szCs w:val="24"/>
          <w:vertAlign w:val="baseline"/>
        </w:rPr>
        <w:tab/>
        <w:t>Ghana</w:t>
      </w:r>
      <w:r w:rsidR="00F7424D">
        <w:rPr>
          <w:rFonts w:ascii="Times New Roman" w:hAnsi="Times New Roman" w:cs="Times New Roman"/>
          <w:i/>
          <w:sz w:val="24"/>
          <w:szCs w:val="24"/>
          <w:vertAlign w:val="baseline"/>
        </w:rPr>
        <w:tab/>
      </w:r>
      <w:r w:rsidR="00F7424D">
        <w:rPr>
          <w:rFonts w:ascii="Times New Roman" w:hAnsi="Times New Roman" w:cs="Times New Roman"/>
          <w:i/>
          <w:sz w:val="24"/>
          <w:szCs w:val="24"/>
          <w:vertAlign w:val="baseline"/>
        </w:rPr>
        <w:tab/>
      </w:r>
      <w:r w:rsidR="00F7424D">
        <w:rPr>
          <w:rFonts w:ascii="Times New Roman" w:hAnsi="Times New Roman" w:cs="Times New Roman"/>
          <w:i/>
          <w:sz w:val="24"/>
          <w:szCs w:val="24"/>
          <w:vertAlign w:val="baseline"/>
        </w:rPr>
        <w:tab/>
      </w:r>
      <w:r w:rsidR="00F7424D">
        <w:rPr>
          <w:rFonts w:ascii="Times New Roman" w:hAnsi="Times New Roman" w:cs="Times New Roman"/>
          <w:i/>
          <w:sz w:val="24"/>
          <w:szCs w:val="24"/>
          <w:vertAlign w:val="baseline"/>
        </w:rPr>
        <w:tab/>
      </w:r>
      <w:r w:rsidR="00F7424D">
        <w:rPr>
          <w:rFonts w:ascii="Times New Roman" w:hAnsi="Times New Roman" w:cs="Times New Roman"/>
          <w:i/>
          <w:sz w:val="24"/>
          <w:szCs w:val="24"/>
          <w:vertAlign w:val="baseline"/>
        </w:rPr>
        <w:tab/>
      </w:r>
      <w:r w:rsidR="00F7424D">
        <w:rPr>
          <w:rFonts w:ascii="Times New Roman" w:hAnsi="Times New Roman" w:cs="Times New Roman"/>
          <w:i/>
          <w:sz w:val="24"/>
          <w:szCs w:val="24"/>
          <w:vertAlign w:val="baseline"/>
        </w:rPr>
        <w:tab/>
      </w:r>
      <w:r w:rsidR="00F7424D">
        <w:rPr>
          <w:rFonts w:ascii="Times New Roman" w:hAnsi="Times New Roman" w:cs="Times New Roman"/>
          <w:i/>
          <w:sz w:val="24"/>
          <w:szCs w:val="24"/>
          <w:vertAlign w:val="baseline"/>
        </w:rPr>
        <w:tab/>
      </w:r>
      <w:r w:rsidR="00F7424D">
        <w:rPr>
          <w:rFonts w:ascii="Times New Roman" w:hAnsi="Times New Roman" w:cs="Times New Roman"/>
          <w:i/>
          <w:sz w:val="24"/>
          <w:szCs w:val="24"/>
          <w:vertAlign w:val="baseline"/>
        </w:rPr>
        <w:tab/>
      </w:r>
      <w:r w:rsidR="00F7424D">
        <w:rPr>
          <w:rFonts w:ascii="Times New Roman" w:hAnsi="Times New Roman" w:cs="Times New Roman"/>
          <w:i/>
          <w:sz w:val="24"/>
          <w:szCs w:val="24"/>
          <w:vertAlign w:val="baseline"/>
        </w:rPr>
        <w:tab/>
      </w:r>
      <w:r w:rsidR="0064696D">
        <w:rPr>
          <w:rFonts w:ascii="Times New Roman" w:hAnsi="Times New Roman" w:cs="Times New Roman"/>
          <w:sz w:val="24"/>
          <w:szCs w:val="24"/>
          <w:vertAlign w:val="baseline"/>
        </w:rPr>
        <w:t>128</w:t>
      </w:r>
    </w:p>
    <w:p w14:paraId="6E38539F" w14:textId="69E680D7" w:rsidR="00D25BF5" w:rsidRPr="00F7424D" w:rsidRDefault="00196FE1" w:rsidP="00D25BF5">
      <w:pPr>
        <w:spacing w:line="360" w:lineRule="auto"/>
        <w:ind w:firstLine="284"/>
        <w:jc w:val="both"/>
        <w:rPr>
          <w:rFonts w:ascii="Times New Roman" w:hAnsi="Times New Roman" w:cs="Times New Roman"/>
          <w:sz w:val="24"/>
          <w:szCs w:val="24"/>
          <w:vertAlign w:val="baseline"/>
        </w:rPr>
      </w:pPr>
      <w:r w:rsidRPr="002F70B3">
        <w:rPr>
          <w:rFonts w:ascii="Times New Roman" w:hAnsi="Times New Roman" w:cs="Times New Roman"/>
          <w:i/>
          <w:sz w:val="24"/>
          <w:szCs w:val="24"/>
          <w:vertAlign w:val="baseline"/>
        </w:rPr>
        <w:t xml:space="preserve">   </w:t>
      </w:r>
      <w:r w:rsidR="00B13974" w:rsidRPr="002F70B3">
        <w:rPr>
          <w:rFonts w:ascii="Times New Roman" w:hAnsi="Times New Roman" w:cs="Times New Roman"/>
          <w:i/>
          <w:sz w:val="24"/>
          <w:szCs w:val="24"/>
          <w:vertAlign w:val="baseline"/>
        </w:rPr>
        <w:t>4</w:t>
      </w:r>
      <w:r w:rsidR="00D25BF5" w:rsidRPr="002F70B3">
        <w:rPr>
          <w:rFonts w:ascii="Times New Roman" w:hAnsi="Times New Roman" w:cs="Times New Roman"/>
          <w:i/>
          <w:sz w:val="24"/>
          <w:szCs w:val="24"/>
          <w:vertAlign w:val="baseline"/>
        </w:rPr>
        <w:t>.4.2</w:t>
      </w:r>
      <w:r w:rsidR="00D25BF5" w:rsidRPr="002F70B3">
        <w:rPr>
          <w:rFonts w:ascii="Times New Roman" w:hAnsi="Times New Roman" w:cs="Times New Roman"/>
          <w:i/>
          <w:sz w:val="24"/>
          <w:szCs w:val="24"/>
          <w:vertAlign w:val="baseline"/>
        </w:rPr>
        <w:tab/>
        <w:t>India</w:t>
      </w:r>
      <w:r w:rsidR="00F7424D">
        <w:rPr>
          <w:rFonts w:ascii="Times New Roman" w:hAnsi="Times New Roman" w:cs="Times New Roman"/>
          <w:i/>
          <w:sz w:val="24"/>
          <w:szCs w:val="24"/>
          <w:vertAlign w:val="baseline"/>
        </w:rPr>
        <w:tab/>
      </w:r>
      <w:r w:rsidR="00F7424D">
        <w:rPr>
          <w:rFonts w:ascii="Times New Roman" w:hAnsi="Times New Roman" w:cs="Times New Roman"/>
          <w:i/>
          <w:sz w:val="24"/>
          <w:szCs w:val="24"/>
          <w:vertAlign w:val="baseline"/>
        </w:rPr>
        <w:tab/>
      </w:r>
      <w:r w:rsidR="00F7424D">
        <w:rPr>
          <w:rFonts w:ascii="Times New Roman" w:hAnsi="Times New Roman" w:cs="Times New Roman"/>
          <w:i/>
          <w:sz w:val="24"/>
          <w:szCs w:val="24"/>
          <w:vertAlign w:val="baseline"/>
        </w:rPr>
        <w:tab/>
      </w:r>
      <w:r w:rsidR="00F7424D">
        <w:rPr>
          <w:rFonts w:ascii="Times New Roman" w:hAnsi="Times New Roman" w:cs="Times New Roman"/>
          <w:i/>
          <w:sz w:val="24"/>
          <w:szCs w:val="24"/>
          <w:vertAlign w:val="baseline"/>
        </w:rPr>
        <w:tab/>
      </w:r>
      <w:r w:rsidR="00F7424D">
        <w:rPr>
          <w:rFonts w:ascii="Times New Roman" w:hAnsi="Times New Roman" w:cs="Times New Roman"/>
          <w:i/>
          <w:sz w:val="24"/>
          <w:szCs w:val="24"/>
          <w:vertAlign w:val="baseline"/>
        </w:rPr>
        <w:tab/>
      </w:r>
      <w:r w:rsidR="00F7424D">
        <w:rPr>
          <w:rFonts w:ascii="Times New Roman" w:hAnsi="Times New Roman" w:cs="Times New Roman"/>
          <w:i/>
          <w:sz w:val="24"/>
          <w:szCs w:val="24"/>
          <w:vertAlign w:val="baseline"/>
        </w:rPr>
        <w:tab/>
      </w:r>
      <w:r w:rsidR="00F7424D">
        <w:rPr>
          <w:rFonts w:ascii="Times New Roman" w:hAnsi="Times New Roman" w:cs="Times New Roman"/>
          <w:i/>
          <w:sz w:val="24"/>
          <w:szCs w:val="24"/>
          <w:vertAlign w:val="baseline"/>
        </w:rPr>
        <w:tab/>
      </w:r>
      <w:r w:rsidR="00F7424D">
        <w:rPr>
          <w:rFonts w:ascii="Times New Roman" w:hAnsi="Times New Roman" w:cs="Times New Roman"/>
          <w:i/>
          <w:sz w:val="24"/>
          <w:szCs w:val="24"/>
          <w:vertAlign w:val="baseline"/>
        </w:rPr>
        <w:tab/>
      </w:r>
      <w:r w:rsidR="00F7424D">
        <w:rPr>
          <w:rFonts w:ascii="Times New Roman" w:hAnsi="Times New Roman" w:cs="Times New Roman"/>
          <w:i/>
          <w:sz w:val="24"/>
          <w:szCs w:val="24"/>
          <w:vertAlign w:val="baseline"/>
        </w:rPr>
        <w:tab/>
      </w:r>
      <w:r w:rsidR="0064696D">
        <w:rPr>
          <w:rFonts w:ascii="Times New Roman" w:hAnsi="Times New Roman" w:cs="Times New Roman"/>
          <w:sz w:val="24"/>
          <w:szCs w:val="24"/>
          <w:vertAlign w:val="baseline"/>
        </w:rPr>
        <w:t>140</w:t>
      </w:r>
    </w:p>
    <w:p w14:paraId="75DE331E" w14:textId="7E235BFD" w:rsidR="00D25BF5" w:rsidRPr="00F7424D" w:rsidRDefault="00196FE1" w:rsidP="00D25BF5">
      <w:pPr>
        <w:spacing w:line="360" w:lineRule="auto"/>
        <w:ind w:firstLine="284"/>
        <w:jc w:val="both"/>
        <w:rPr>
          <w:rFonts w:ascii="Times New Roman" w:hAnsi="Times New Roman" w:cs="Times New Roman"/>
          <w:sz w:val="24"/>
          <w:szCs w:val="24"/>
          <w:vertAlign w:val="baseline"/>
        </w:rPr>
      </w:pPr>
      <w:r w:rsidRPr="002F70B3">
        <w:rPr>
          <w:rFonts w:ascii="Times New Roman" w:hAnsi="Times New Roman" w:cs="Times New Roman"/>
          <w:i/>
          <w:sz w:val="24"/>
          <w:szCs w:val="24"/>
          <w:vertAlign w:val="baseline"/>
        </w:rPr>
        <w:t xml:space="preserve">   </w:t>
      </w:r>
      <w:r w:rsidR="00B13974" w:rsidRPr="002F70B3">
        <w:rPr>
          <w:rFonts w:ascii="Times New Roman" w:hAnsi="Times New Roman" w:cs="Times New Roman"/>
          <w:i/>
          <w:sz w:val="24"/>
          <w:szCs w:val="24"/>
          <w:vertAlign w:val="baseline"/>
        </w:rPr>
        <w:t>4</w:t>
      </w:r>
      <w:r w:rsidR="00D25BF5" w:rsidRPr="002F70B3">
        <w:rPr>
          <w:rFonts w:ascii="Times New Roman" w:hAnsi="Times New Roman" w:cs="Times New Roman"/>
          <w:i/>
          <w:sz w:val="24"/>
          <w:szCs w:val="24"/>
          <w:vertAlign w:val="baseline"/>
        </w:rPr>
        <w:t>.4.3</w:t>
      </w:r>
      <w:r w:rsidR="00D25BF5" w:rsidRPr="002F70B3">
        <w:rPr>
          <w:rFonts w:ascii="Times New Roman" w:hAnsi="Times New Roman" w:cs="Times New Roman"/>
          <w:i/>
          <w:sz w:val="24"/>
          <w:szCs w:val="24"/>
          <w:vertAlign w:val="baseline"/>
        </w:rPr>
        <w:tab/>
        <w:t>Nepal</w:t>
      </w:r>
      <w:r w:rsidR="00F7424D">
        <w:rPr>
          <w:rFonts w:ascii="Times New Roman" w:hAnsi="Times New Roman" w:cs="Times New Roman"/>
          <w:i/>
          <w:sz w:val="24"/>
          <w:szCs w:val="24"/>
          <w:vertAlign w:val="baseline"/>
        </w:rPr>
        <w:tab/>
      </w:r>
      <w:r w:rsidR="00F7424D">
        <w:rPr>
          <w:rFonts w:ascii="Times New Roman" w:hAnsi="Times New Roman" w:cs="Times New Roman"/>
          <w:i/>
          <w:sz w:val="24"/>
          <w:szCs w:val="24"/>
          <w:vertAlign w:val="baseline"/>
        </w:rPr>
        <w:tab/>
      </w:r>
      <w:r w:rsidR="00F7424D">
        <w:rPr>
          <w:rFonts w:ascii="Times New Roman" w:hAnsi="Times New Roman" w:cs="Times New Roman"/>
          <w:i/>
          <w:sz w:val="24"/>
          <w:szCs w:val="24"/>
          <w:vertAlign w:val="baseline"/>
        </w:rPr>
        <w:tab/>
      </w:r>
      <w:r w:rsidR="00F7424D">
        <w:rPr>
          <w:rFonts w:ascii="Times New Roman" w:hAnsi="Times New Roman" w:cs="Times New Roman"/>
          <w:i/>
          <w:sz w:val="24"/>
          <w:szCs w:val="24"/>
          <w:vertAlign w:val="baseline"/>
        </w:rPr>
        <w:tab/>
      </w:r>
      <w:r w:rsidR="00F7424D">
        <w:rPr>
          <w:rFonts w:ascii="Times New Roman" w:hAnsi="Times New Roman" w:cs="Times New Roman"/>
          <w:i/>
          <w:sz w:val="24"/>
          <w:szCs w:val="24"/>
          <w:vertAlign w:val="baseline"/>
        </w:rPr>
        <w:tab/>
      </w:r>
      <w:r w:rsidR="00F7424D">
        <w:rPr>
          <w:rFonts w:ascii="Times New Roman" w:hAnsi="Times New Roman" w:cs="Times New Roman"/>
          <w:i/>
          <w:sz w:val="24"/>
          <w:szCs w:val="24"/>
          <w:vertAlign w:val="baseline"/>
        </w:rPr>
        <w:tab/>
      </w:r>
      <w:r w:rsidR="00F7424D">
        <w:rPr>
          <w:rFonts w:ascii="Times New Roman" w:hAnsi="Times New Roman" w:cs="Times New Roman"/>
          <w:i/>
          <w:sz w:val="24"/>
          <w:szCs w:val="24"/>
          <w:vertAlign w:val="baseline"/>
        </w:rPr>
        <w:tab/>
      </w:r>
      <w:r w:rsidR="00F7424D">
        <w:rPr>
          <w:rFonts w:ascii="Times New Roman" w:hAnsi="Times New Roman" w:cs="Times New Roman"/>
          <w:i/>
          <w:sz w:val="24"/>
          <w:szCs w:val="24"/>
          <w:vertAlign w:val="baseline"/>
        </w:rPr>
        <w:tab/>
      </w:r>
      <w:r w:rsidR="00F7424D">
        <w:rPr>
          <w:rFonts w:ascii="Times New Roman" w:hAnsi="Times New Roman" w:cs="Times New Roman"/>
          <w:i/>
          <w:sz w:val="24"/>
          <w:szCs w:val="24"/>
          <w:vertAlign w:val="baseline"/>
        </w:rPr>
        <w:tab/>
      </w:r>
      <w:r w:rsidR="0064696D">
        <w:rPr>
          <w:rFonts w:ascii="Times New Roman" w:hAnsi="Times New Roman" w:cs="Times New Roman"/>
          <w:sz w:val="24"/>
          <w:szCs w:val="24"/>
          <w:vertAlign w:val="baseline"/>
        </w:rPr>
        <w:t>149</w:t>
      </w:r>
    </w:p>
    <w:p w14:paraId="47B9FA49" w14:textId="116C1FAC" w:rsidR="000504E8" w:rsidRPr="00F7424D" w:rsidRDefault="00196FE1" w:rsidP="00D4608E">
      <w:pPr>
        <w:spacing w:line="360" w:lineRule="auto"/>
        <w:ind w:firstLine="284"/>
        <w:jc w:val="both"/>
        <w:rPr>
          <w:rFonts w:ascii="Times New Roman" w:hAnsi="Times New Roman" w:cs="Times New Roman"/>
          <w:sz w:val="24"/>
          <w:szCs w:val="24"/>
          <w:vertAlign w:val="baseline"/>
        </w:rPr>
      </w:pPr>
      <w:r w:rsidRPr="002F70B3">
        <w:rPr>
          <w:rFonts w:ascii="Times New Roman" w:hAnsi="Times New Roman" w:cs="Times New Roman"/>
          <w:i/>
          <w:sz w:val="24"/>
          <w:szCs w:val="24"/>
          <w:vertAlign w:val="baseline"/>
        </w:rPr>
        <w:t xml:space="preserve">   </w:t>
      </w:r>
      <w:r w:rsidR="00B13974" w:rsidRPr="002F70B3">
        <w:rPr>
          <w:rFonts w:ascii="Times New Roman" w:hAnsi="Times New Roman" w:cs="Times New Roman"/>
          <w:i/>
          <w:sz w:val="24"/>
          <w:szCs w:val="24"/>
          <w:vertAlign w:val="baseline"/>
        </w:rPr>
        <w:t>4</w:t>
      </w:r>
      <w:r w:rsidR="00D25BF5" w:rsidRPr="002F70B3">
        <w:rPr>
          <w:rFonts w:ascii="Times New Roman" w:hAnsi="Times New Roman" w:cs="Times New Roman"/>
          <w:i/>
          <w:sz w:val="24"/>
          <w:szCs w:val="24"/>
          <w:vertAlign w:val="baseline"/>
        </w:rPr>
        <w:t>.4.4</w:t>
      </w:r>
      <w:r w:rsidR="00D25BF5">
        <w:rPr>
          <w:rFonts w:ascii="Times New Roman" w:hAnsi="Times New Roman" w:cs="Times New Roman"/>
          <w:sz w:val="24"/>
          <w:szCs w:val="24"/>
          <w:vertAlign w:val="baseline"/>
        </w:rPr>
        <w:tab/>
      </w:r>
      <w:r w:rsidR="00D25BF5" w:rsidRPr="002E77A5">
        <w:rPr>
          <w:rFonts w:ascii="Times New Roman" w:hAnsi="Times New Roman" w:cs="Times New Roman"/>
          <w:i/>
          <w:sz w:val="24"/>
          <w:szCs w:val="24"/>
          <w:vertAlign w:val="baseline"/>
        </w:rPr>
        <w:t>Papua New Guinea</w:t>
      </w:r>
      <w:r w:rsidR="00F7424D">
        <w:rPr>
          <w:rFonts w:ascii="Times New Roman" w:hAnsi="Times New Roman" w:cs="Times New Roman"/>
          <w:i/>
          <w:sz w:val="24"/>
          <w:szCs w:val="24"/>
          <w:vertAlign w:val="baseline"/>
        </w:rPr>
        <w:tab/>
      </w:r>
      <w:r w:rsidR="00F7424D">
        <w:rPr>
          <w:rFonts w:ascii="Times New Roman" w:hAnsi="Times New Roman" w:cs="Times New Roman"/>
          <w:i/>
          <w:sz w:val="24"/>
          <w:szCs w:val="24"/>
          <w:vertAlign w:val="baseline"/>
        </w:rPr>
        <w:tab/>
      </w:r>
      <w:r w:rsidR="00F7424D">
        <w:rPr>
          <w:rFonts w:ascii="Times New Roman" w:hAnsi="Times New Roman" w:cs="Times New Roman"/>
          <w:i/>
          <w:sz w:val="24"/>
          <w:szCs w:val="24"/>
          <w:vertAlign w:val="baseline"/>
        </w:rPr>
        <w:tab/>
      </w:r>
      <w:r w:rsidR="00F7424D">
        <w:rPr>
          <w:rFonts w:ascii="Times New Roman" w:hAnsi="Times New Roman" w:cs="Times New Roman"/>
          <w:i/>
          <w:sz w:val="24"/>
          <w:szCs w:val="24"/>
          <w:vertAlign w:val="baseline"/>
        </w:rPr>
        <w:tab/>
      </w:r>
      <w:r w:rsidR="00F7424D">
        <w:rPr>
          <w:rFonts w:ascii="Times New Roman" w:hAnsi="Times New Roman" w:cs="Times New Roman"/>
          <w:i/>
          <w:sz w:val="24"/>
          <w:szCs w:val="24"/>
          <w:vertAlign w:val="baseline"/>
        </w:rPr>
        <w:tab/>
      </w:r>
      <w:r w:rsidR="00F7424D">
        <w:rPr>
          <w:rFonts w:ascii="Times New Roman" w:hAnsi="Times New Roman" w:cs="Times New Roman"/>
          <w:i/>
          <w:sz w:val="24"/>
          <w:szCs w:val="24"/>
          <w:vertAlign w:val="baseline"/>
        </w:rPr>
        <w:tab/>
      </w:r>
      <w:r w:rsidR="00F7424D">
        <w:rPr>
          <w:rFonts w:ascii="Times New Roman" w:hAnsi="Times New Roman" w:cs="Times New Roman"/>
          <w:i/>
          <w:sz w:val="24"/>
          <w:szCs w:val="24"/>
          <w:vertAlign w:val="baseline"/>
        </w:rPr>
        <w:tab/>
      </w:r>
      <w:r w:rsidR="0064696D">
        <w:rPr>
          <w:rFonts w:ascii="Times New Roman" w:hAnsi="Times New Roman" w:cs="Times New Roman"/>
          <w:sz w:val="24"/>
          <w:szCs w:val="24"/>
          <w:vertAlign w:val="baseline"/>
        </w:rPr>
        <w:t>153</w:t>
      </w:r>
    </w:p>
    <w:p w14:paraId="3B309BD8" w14:textId="4FA11E46" w:rsidR="00D25BF5" w:rsidRDefault="00B13974" w:rsidP="00D25BF5">
      <w:pPr>
        <w:spacing w:line="360" w:lineRule="auto"/>
        <w:ind w:firstLine="284"/>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4</w:t>
      </w:r>
      <w:r w:rsidR="00D25BF5">
        <w:rPr>
          <w:rFonts w:ascii="Times New Roman" w:hAnsi="Times New Roman" w:cs="Times New Roman"/>
          <w:sz w:val="24"/>
          <w:szCs w:val="24"/>
          <w:vertAlign w:val="baseline"/>
        </w:rPr>
        <w:t>.5</w:t>
      </w:r>
      <w:r w:rsidR="00D25BF5">
        <w:rPr>
          <w:rFonts w:ascii="Times New Roman" w:hAnsi="Times New Roman" w:cs="Times New Roman"/>
          <w:sz w:val="24"/>
          <w:szCs w:val="24"/>
          <w:vertAlign w:val="baseline"/>
        </w:rPr>
        <w:tab/>
      </w:r>
      <w:r w:rsidR="00D25BF5">
        <w:rPr>
          <w:rFonts w:ascii="Times New Roman" w:hAnsi="Times New Roman" w:cs="Times New Roman"/>
          <w:sz w:val="24"/>
          <w:szCs w:val="24"/>
          <w:vertAlign w:val="baseline"/>
        </w:rPr>
        <w:tab/>
      </w:r>
      <w:r w:rsidR="00196FE1">
        <w:rPr>
          <w:rFonts w:ascii="Times New Roman" w:hAnsi="Times New Roman" w:cs="Times New Roman"/>
          <w:sz w:val="24"/>
          <w:szCs w:val="24"/>
          <w:vertAlign w:val="baseline"/>
        </w:rPr>
        <w:t>COMMON THEMES</w:t>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t>162</w:t>
      </w:r>
    </w:p>
    <w:p w14:paraId="6900B78F" w14:textId="42452735" w:rsidR="00D25BF5" w:rsidRPr="00F7424D" w:rsidRDefault="00196FE1" w:rsidP="00D25BF5">
      <w:pPr>
        <w:spacing w:line="360" w:lineRule="auto"/>
        <w:ind w:firstLine="284"/>
        <w:jc w:val="both"/>
        <w:rPr>
          <w:rFonts w:ascii="Times New Roman" w:hAnsi="Times New Roman" w:cs="Times New Roman"/>
          <w:sz w:val="24"/>
          <w:szCs w:val="24"/>
          <w:vertAlign w:val="baseline"/>
        </w:rPr>
      </w:pPr>
      <w:r w:rsidRPr="002F70B3">
        <w:rPr>
          <w:rFonts w:ascii="Times New Roman" w:hAnsi="Times New Roman" w:cs="Times New Roman"/>
          <w:i/>
          <w:sz w:val="24"/>
          <w:szCs w:val="24"/>
          <w:vertAlign w:val="baseline"/>
        </w:rPr>
        <w:t xml:space="preserve">   </w:t>
      </w:r>
      <w:r w:rsidR="00B13974" w:rsidRPr="002F70B3">
        <w:rPr>
          <w:rFonts w:ascii="Times New Roman" w:hAnsi="Times New Roman" w:cs="Times New Roman"/>
          <w:i/>
          <w:sz w:val="24"/>
          <w:szCs w:val="24"/>
          <w:vertAlign w:val="baseline"/>
        </w:rPr>
        <w:t>4</w:t>
      </w:r>
      <w:r w:rsidR="00D25BF5" w:rsidRPr="002F70B3">
        <w:rPr>
          <w:rFonts w:ascii="Times New Roman" w:hAnsi="Times New Roman" w:cs="Times New Roman"/>
          <w:i/>
          <w:sz w:val="24"/>
          <w:szCs w:val="24"/>
          <w:vertAlign w:val="baseline"/>
        </w:rPr>
        <w:t>.5.1</w:t>
      </w:r>
      <w:r w:rsidR="00D25BF5" w:rsidRPr="002F70B3">
        <w:rPr>
          <w:rFonts w:ascii="Times New Roman" w:hAnsi="Times New Roman" w:cs="Times New Roman"/>
          <w:i/>
          <w:sz w:val="24"/>
          <w:szCs w:val="24"/>
          <w:vertAlign w:val="baseline"/>
        </w:rPr>
        <w:tab/>
        <w:t>Patriarchal Society</w:t>
      </w:r>
      <w:r w:rsidR="00F7424D">
        <w:rPr>
          <w:rFonts w:ascii="Times New Roman" w:hAnsi="Times New Roman" w:cs="Times New Roman"/>
          <w:i/>
          <w:sz w:val="24"/>
          <w:szCs w:val="24"/>
          <w:vertAlign w:val="baseline"/>
        </w:rPr>
        <w:tab/>
      </w:r>
      <w:r w:rsidR="00F7424D">
        <w:rPr>
          <w:rFonts w:ascii="Times New Roman" w:hAnsi="Times New Roman" w:cs="Times New Roman"/>
          <w:i/>
          <w:sz w:val="24"/>
          <w:szCs w:val="24"/>
          <w:vertAlign w:val="baseline"/>
        </w:rPr>
        <w:tab/>
      </w:r>
      <w:r w:rsidR="00F7424D">
        <w:rPr>
          <w:rFonts w:ascii="Times New Roman" w:hAnsi="Times New Roman" w:cs="Times New Roman"/>
          <w:i/>
          <w:sz w:val="24"/>
          <w:szCs w:val="24"/>
          <w:vertAlign w:val="baseline"/>
        </w:rPr>
        <w:tab/>
      </w:r>
      <w:r w:rsidR="00F7424D">
        <w:rPr>
          <w:rFonts w:ascii="Times New Roman" w:hAnsi="Times New Roman" w:cs="Times New Roman"/>
          <w:i/>
          <w:sz w:val="24"/>
          <w:szCs w:val="24"/>
          <w:vertAlign w:val="baseline"/>
        </w:rPr>
        <w:tab/>
      </w:r>
      <w:r w:rsidR="00F7424D">
        <w:rPr>
          <w:rFonts w:ascii="Times New Roman" w:hAnsi="Times New Roman" w:cs="Times New Roman"/>
          <w:i/>
          <w:sz w:val="24"/>
          <w:szCs w:val="24"/>
          <w:vertAlign w:val="baseline"/>
        </w:rPr>
        <w:tab/>
      </w:r>
      <w:r w:rsidR="00F7424D">
        <w:rPr>
          <w:rFonts w:ascii="Times New Roman" w:hAnsi="Times New Roman" w:cs="Times New Roman"/>
          <w:i/>
          <w:sz w:val="24"/>
          <w:szCs w:val="24"/>
          <w:vertAlign w:val="baseline"/>
        </w:rPr>
        <w:tab/>
      </w:r>
      <w:r w:rsidR="00F7424D">
        <w:rPr>
          <w:rFonts w:ascii="Times New Roman" w:hAnsi="Times New Roman" w:cs="Times New Roman"/>
          <w:i/>
          <w:sz w:val="24"/>
          <w:szCs w:val="24"/>
          <w:vertAlign w:val="baseline"/>
        </w:rPr>
        <w:tab/>
      </w:r>
      <w:r w:rsidR="0064696D">
        <w:rPr>
          <w:rFonts w:ascii="Times New Roman" w:hAnsi="Times New Roman" w:cs="Times New Roman"/>
          <w:sz w:val="24"/>
          <w:szCs w:val="24"/>
          <w:vertAlign w:val="baseline"/>
        </w:rPr>
        <w:t>162</w:t>
      </w:r>
    </w:p>
    <w:p w14:paraId="135CDCCF" w14:textId="35CE544A" w:rsidR="00D25BF5" w:rsidRPr="00F7424D" w:rsidRDefault="00196FE1" w:rsidP="00D25BF5">
      <w:pPr>
        <w:spacing w:line="360" w:lineRule="auto"/>
        <w:ind w:firstLine="284"/>
        <w:jc w:val="both"/>
        <w:rPr>
          <w:rFonts w:ascii="Times New Roman" w:hAnsi="Times New Roman" w:cs="Times New Roman"/>
          <w:sz w:val="24"/>
          <w:szCs w:val="24"/>
          <w:vertAlign w:val="baseline"/>
        </w:rPr>
      </w:pPr>
      <w:r w:rsidRPr="002F70B3">
        <w:rPr>
          <w:rFonts w:ascii="Times New Roman" w:hAnsi="Times New Roman" w:cs="Times New Roman"/>
          <w:i/>
          <w:sz w:val="24"/>
          <w:szCs w:val="24"/>
          <w:vertAlign w:val="baseline"/>
        </w:rPr>
        <w:t xml:space="preserve">   </w:t>
      </w:r>
      <w:r w:rsidR="00B13974" w:rsidRPr="002F70B3">
        <w:rPr>
          <w:rFonts w:ascii="Times New Roman" w:hAnsi="Times New Roman" w:cs="Times New Roman"/>
          <w:i/>
          <w:sz w:val="24"/>
          <w:szCs w:val="24"/>
          <w:vertAlign w:val="baseline"/>
        </w:rPr>
        <w:t>4</w:t>
      </w:r>
      <w:r w:rsidR="00D25BF5" w:rsidRPr="002F70B3">
        <w:rPr>
          <w:rFonts w:ascii="Times New Roman" w:hAnsi="Times New Roman" w:cs="Times New Roman"/>
          <w:i/>
          <w:sz w:val="24"/>
          <w:szCs w:val="24"/>
          <w:vertAlign w:val="baseline"/>
        </w:rPr>
        <w:t>.5.2</w:t>
      </w:r>
      <w:r w:rsidR="00D25BF5" w:rsidRPr="002F70B3">
        <w:rPr>
          <w:rFonts w:ascii="Times New Roman" w:hAnsi="Times New Roman" w:cs="Times New Roman"/>
          <w:i/>
          <w:sz w:val="24"/>
          <w:szCs w:val="24"/>
          <w:vertAlign w:val="baseline"/>
        </w:rPr>
        <w:tab/>
        <w:t>Poverty and Remoteness</w:t>
      </w:r>
      <w:r w:rsidR="00F7424D">
        <w:rPr>
          <w:rFonts w:ascii="Times New Roman" w:hAnsi="Times New Roman" w:cs="Times New Roman"/>
          <w:i/>
          <w:sz w:val="24"/>
          <w:szCs w:val="24"/>
          <w:vertAlign w:val="baseline"/>
        </w:rPr>
        <w:tab/>
      </w:r>
      <w:r w:rsidR="00F7424D">
        <w:rPr>
          <w:rFonts w:ascii="Times New Roman" w:hAnsi="Times New Roman" w:cs="Times New Roman"/>
          <w:i/>
          <w:sz w:val="24"/>
          <w:szCs w:val="24"/>
          <w:vertAlign w:val="baseline"/>
        </w:rPr>
        <w:tab/>
      </w:r>
      <w:r w:rsidR="00F7424D">
        <w:rPr>
          <w:rFonts w:ascii="Times New Roman" w:hAnsi="Times New Roman" w:cs="Times New Roman"/>
          <w:i/>
          <w:sz w:val="24"/>
          <w:szCs w:val="24"/>
          <w:vertAlign w:val="baseline"/>
        </w:rPr>
        <w:tab/>
      </w:r>
      <w:r w:rsidR="00F7424D">
        <w:rPr>
          <w:rFonts w:ascii="Times New Roman" w:hAnsi="Times New Roman" w:cs="Times New Roman"/>
          <w:i/>
          <w:sz w:val="24"/>
          <w:szCs w:val="24"/>
          <w:vertAlign w:val="baseline"/>
        </w:rPr>
        <w:tab/>
      </w:r>
      <w:r w:rsidR="00F7424D">
        <w:rPr>
          <w:rFonts w:ascii="Times New Roman" w:hAnsi="Times New Roman" w:cs="Times New Roman"/>
          <w:i/>
          <w:sz w:val="24"/>
          <w:szCs w:val="24"/>
          <w:vertAlign w:val="baseline"/>
        </w:rPr>
        <w:tab/>
      </w:r>
      <w:r w:rsidR="00F7424D">
        <w:rPr>
          <w:rFonts w:ascii="Times New Roman" w:hAnsi="Times New Roman" w:cs="Times New Roman"/>
          <w:i/>
          <w:sz w:val="24"/>
          <w:szCs w:val="24"/>
          <w:vertAlign w:val="baseline"/>
        </w:rPr>
        <w:tab/>
      </w:r>
      <w:r w:rsidR="0064696D">
        <w:rPr>
          <w:rFonts w:ascii="Times New Roman" w:hAnsi="Times New Roman" w:cs="Times New Roman"/>
          <w:sz w:val="24"/>
          <w:szCs w:val="24"/>
          <w:vertAlign w:val="baseline"/>
        </w:rPr>
        <w:t>164</w:t>
      </w:r>
    </w:p>
    <w:p w14:paraId="61116B76" w14:textId="3EC6B728" w:rsidR="00D25BF5" w:rsidRPr="00926FE1" w:rsidRDefault="00196FE1" w:rsidP="00D25BF5">
      <w:pPr>
        <w:spacing w:line="360" w:lineRule="auto"/>
        <w:ind w:firstLine="284"/>
        <w:jc w:val="both"/>
        <w:rPr>
          <w:rFonts w:ascii="Times New Roman" w:hAnsi="Times New Roman" w:cs="Times New Roman"/>
          <w:sz w:val="24"/>
          <w:szCs w:val="24"/>
          <w:vertAlign w:val="baseline"/>
        </w:rPr>
      </w:pPr>
      <w:r w:rsidRPr="002F70B3">
        <w:rPr>
          <w:rFonts w:ascii="Times New Roman" w:hAnsi="Times New Roman" w:cs="Times New Roman"/>
          <w:i/>
          <w:sz w:val="24"/>
          <w:szCs w:val="24"/>
          <w:vertAlign w:val="baseline"/>
        </w:rPr>
        <w:t xml:space="preserve">   </w:t>
      </w:r>
      <w:r w:rsidR="00B13974" w:rsidRPr="002F70B3">
        <w:rPr>
          <w:rFonts w:ascii="Times New Roman" w:hAnsi="Times New Roman" w:cs="Times New Roman"/>
          <w:i/>
          <w:sz w:val="24"/>
          <w:szCs w:val="24"/>
          <w:vertAlign w:val="baseline"/>
        </w:rPr>
        <w:t>4</w:t>
      </w:r>
      <w:r w:rsidR="00D25BF5" w:rsidRPr="002F70B3">
        <w:rPr>
          <w:rFonts w:ascii="Times New Roman" w:hAnsi="Times New Roman" w:cs="Times New Roman"/>
          <w:i/>
          <w:sz w:val="24"/>
          <w:szCs w:val="24"/>
          <w:vertAlign w:val="baseline"/>
        </w:rPr>
        <w:t>.5.3</w:t>
      </w:r>
      <w:r w:rsidR="00D25BF5" w:rsidRPr="002F70B3">
        <w:rPr>
          <w:rFonts w:ascii="Times New Roman" w:hAnsi="Times New Roman" w:cs="Times New Roman"/>
          <w:i/>
          <w:sz w:val="24"/>
          <w:szCs w:val="24"/>
          <w:vertAlign w:val="baseline"/>
        </w:rPr>
        <w:tab/>
      </w:r>
      <w:r w:rsidR="00F7424D" w:rsidRPr="002E77A5">
        <w:rPr>
          <w:rFonts w:ascii="Times New Roman" w:hAnsi="Times New Roman" w:cs="Times New Roman"/>
          <w:i/>
          <w:sz w:val="24"/>
          <w:szCs w:val="24"/>
          <w:vertAlign w:val="baseline"/>
        </w:rPr>
        <w:t>Healthcare and Pandemics</w:t>
      </w:r>
      <w:r w:rsidR="00926FE1">
        <w:rPr>
          <w:rFonts w:ascii="Times New Roman" w:hAnsi="Times New Roman" w:cs="Times New Roman"/>
          <w:i/>
          <w:sz w:val="24"/>
          <w:szCs w:val="24"/>
          <w:vertAlign w:val="baseline"/>
        </w:rPr>
        <w:tab/>
      </w:r>
      <w:r w:rsidR="00926FE1">
        <w:rPr>
          <w:rFonts w:ascii="Times New Roman" w:hAnsi="Times New Roman" w:cs="Times New Roman"/>
          <w:i/>
          <w:sz w:val="24"/>
          <w:szCs w:val="24"/>
          <w:vertAlign w:val="baseline"/>
        </w:rPr>
        <w:tab/>
      </w:r>
      <w:r w:rsidR="00926FE1">
        <w:rPr>
          <w:rFonts w:ascii="Times New Roman" w:hAnsi="Times New Roman" w:cs="Times New Roman"/>
          <w:i/>
          <w:sz w:val="24"/>
          <w:szCs w:val="24"/>
          <w:vertAlign w:val="baseline"/>
        </w:rPr>
        <w:tab/>
      </w:r>
      <w:r w:rsidR="00926FE1">
        <w:rPr>
          <w:rFonts w:ascii="Times New Roman" w:hAnsi="Times New Roman" w:cs="Times New Roman"/>
          <w:i/>
          <w:sz w:val="24"/>
          <w:szCs w:val="24"/>
          <w:vertAlign w:val="baseline"/>
        </w:rPr>
        <w:tab/>
      </w:r>
      <w:r w:rsidR="00926FE1">
        <w:rPr>
          <w:rFonts w:ascii="Times New Roman" w:hAnsi="Times New Roman" w:cs="Times New Roman"/>
          <w:i/>
          <w:sz w:val="24"/>
          <w:szCs w:val="24"/>
          <w:vertAlign w:val="baseline"/>
        </w:rPr>
        <w:tab/>
      </w:r>
      <w:r w:rsidR="00926FE1">
        <w:rPr>
          <w:rFonts w:ascii="Times New Roman" w:hAnsi="Times New Roman" w:cs="Times New Roman"/>
          <w:i/>
          <w:sz w:val="24"/>
          <w:szCs w:val="24"/>
          <w:vertAlign w:val="baseline"/>
        </w:rPr>
        <w:tab/>
      </w:r>
      <w:r w:rsidR="0064696D">
        <w:rPr>
          <w:rFonts w:ascii="Times New Roman" w:hAnsi="Times New Roman" w:cs="Times New Roman"/>
          <w:sz w:val="24"/>
          <w:szCs w:val="24"/>
          <w:vertAlign w:val="baseline"/>
        </w:rPr>
        <w:t>167</w:t>
      </w:r>
    </w:p>
    <w:p w14:paraId="68403836" w14:textId="445AFE3D" w:rsidR="00D25BF5" w:rsidRPr="00926FE1" w:rsidRDefault="00196FE1" w:rsidP="00D25BF5">
      <w:pPr>
        <w:spacing w:line="360" w:lineRule="auto"/>
        <w:ind w:firstLine="284"/>
        <w:jc w:val="both"/>
        <w:rPr>
          <w:rFonts w:ascii="Times New Roman" w:hAnsi="Times New Roman" w:cs="Times New Roman"/>
          <w:sz w:val="24"/>
          <w:szCs w:val="24"/>
          <w:vertAlign w:val="baseline"/>
        </w:rPr>
      </w:pPr>
      <w:r w:rsidRPr="002F70B3">
        <w:rPr>
          <w:rFonts w:ascii="Times New Roman" w:hAnsi="Times New Roman" w:cs="Times New Roman"/>
          <w:i/>
          <w:sz w:val="24"/>
          <w:szCs w:val="24"/>
          <w:vertAlign w:val="baseline"/>
        </w:rPr>
        <w:t xml:space="preserve">   </w:t>
      </w:r>
      <w:r w:rsidR="00B13974" w:rsidRPr="002F70B3">
        <w:rPr>
          <w:rFonts w:ascii="Times New Roman" w:hAnsi="Times New Roman" w:cs="Times New Roman"/>
          <w:i/>
          <w:sz w:val="24"/>
          <w:szCs w:val="24"/>
          <w:vertAlign w:val="baseline"/>
        </w:rPr>
        <w:t>4</w:t>
      </w:r>
      <w:r w:rsidR="00D25BF5" w:rsidRPr="002F70B3">
        <w:rPr>
          <w:rFonts w:ascii="Times New Roman" w:hAnsi="Times New Roman" w:cs="Times New Roman"/>
          <w:i/>
          <w:sz w:val="24"/>
          <w:szCs w:val="24"/>
          <w:vertAlign w:val="baseline"/>
        </w:rPr>
        <w:t>.5.4</w:t>
      </w:r>
      <w:r w:rsidR="00D25BF5">
        <w:rPr>
          <w:rFonts w:ascii="Times New Roman" w:hAnsi="Times New Roman" w:cs="Times New Roman"/>
          <w:sz w:val="24"/>
          <w:szCs w:val="24"/>
          <w:vertAlign w:val="baseline"/>
        </w:rPr>
        <w:tab/>
      </w:r>
      <w:r w:rsidR="00F7424D">
        <w:rPr>
          <w:rFonts w:ascii="Times New Roman" w:hAnsi="Times New Roman" w:cs="Times New Roman"/>
          <w:i/>
          <w:sz w:val="24"/>
          <w:szCs w:val="24"/>
          <w:vertAlign w:val="baseline"/>
        </w:rPr>
        <w:t>Caste System</w:t>
      </w:r>
      <w:r w:rsidR="00926FE1">
        <w:rPr>
          <w:rFonts w:ascii="Times New Roman" w:hAnsi="Times New Roman" w:cs="Times New Roman"/>
          <w:i/>
          <w:sz w:val="24"/>
          <w:szCs w:val="24"/>
          <w:vertAlign w:val="baseline"/>
        </w:rPr>
        <w:tab/>
      </w:r>
      <w:r w:rsidR="00926FE1">
        <w:rPr>
          <w:rFonts w:ascii="Times New Roman" w:hAnsi="Times New Roman" w:cs="Times New Roman"/>
          <w:i/>
          <w:sz w:val="24"/>
          <w:szCs w:val="24"/>
          <w:vertAlign w:val="baseline"/>
        </w:rPr>
        <w:tab/>
      </w:r>
      <w:r w:rsidR="00926FE1">
        <w:rPr>
          <w:rFonts w:ascii="Times New Roman" w:hAnsi="Times New Roman" w:cs="Times New Roman"/>
          <w:i/>
          <w:sz w:val="24"/>
          <w:szCs w:val="24"/>
          <w:vertAlign w:val="baseline"/>
        </w:rPr>
        <w:tab/>
      </w:r>
      <w:r w:rsidR="00926FE1">
        <w:rPr>
          <w:rFonts w:ascii="Times New Roman" w:hAnsi="Times New Roman" w:cs="Times New Roman"/>
          <w:i/>
          <w:sz w:val="24"/>
          <w:szCs w:val="24"/>
          <w:vertAlign w:val="baseline"/>
        </w:rPr>
        <w:tab/>
      </w:r>
      <w:r w:rsidR="00926FE1">
        <w:rPr>
          <w:rFonts w:ascii="Times New Roman" w:hAnsi="Times New Roman" w:cs="Times New Roman"/>
          <w:i/>
          <w:sz w:val="24"/>
          <w:szCs w:val="24"/>
          <w:vertAlign w:val="baseline"/>
        </w:rPr>
        <w:tab/>
      </w:r>
      <w:r w:rsidR="00926FE1">
        <w:rPr>
          <w:rFonts w:ascii="Times New Roman" w:hAnsi="Times New Roman" w:cs="Times New Roman"/>
          <w:i/>
          <w:sz w:val="24"/>
          <w:szCs w:val="24"/>
          <w:vertAlign w:val="baseline"/>
        </w:rPr>
        <w:tab/>
      </w:r>
      <w:r w:rsidR="00926FE1">
        <w:rPr>
          <w:rFonts w:ascii="Times New Roman" w:hAnsi="Times New Roman" w:cs="Times New Roman"/>
          <w:i/>
          <w:sz w:val="24"/>
          <w:szCs w:val="24"/>
          <w:vertAlign w:val="baseline"/>
        </w:rPr>
        <w:tab/>
      </w:r>
      <w:r w:rsidR="00926FE1">
        <w:rPr>
          <w:rFonts w:ascii="Times New Roman" w:hAnsi="Times New Roman" w:cs="Times New Roman"/>
          <w:i/>
          <w:sz w:val="24"/>
          <w:szCs w:val="24"/>
          <w:vertAlign w:val="baseline"/>
        </w:rPr>
        <w:tab/>
      </w:r>
      <w:r w:rsidR="0064696D">
        <w:rPr>
          <w:rFonts w:ascii="Times New Roman" w:hAnsi="Times New Roman" w:cs="Times New Roman"/>
          <w:sz w:val="24"/>
          <w:szCs w:val="24"/>
          <w:vertAlign w:val="baseline"/>
        </w:rPr>
        <w:t>169</w:t>
      </w:r>
    </w:p>
    <w:p w14:paraId="1E8522A7" w14:textId="0DE12644" w:rsidR="00D25BF5" w:rsidRDefault="00B13974" w:rsidP="00D25BF5">
      <w:pPr>
        <w:spacing w:line="360" w:lineRule="auto"/>
        <w:ind w:firstLine="284"/>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4</w:t>
      </w:r>
      <w:r w:rsidR="00D25BF5">
        <w:rPr>
          <w:rFonts w:ascii="Times New Roman" w:hAnsi="Times New Roman" w:cs="Times New Roman"/>
          <w:sz w:val="24"/>
          <w:szCs w:val="24"/>
          <w:vertAlign w:val="baseline"/>
        </w:rPr>
        <w:t>.6</w:t>
      </w:r>
      <w:r w:rsidR="00D25BF5">
        <w:rPr>
          <w:rFonts w:ascii="Times New Roman" w:hAnsi="Times New Roman" w:cs="Times New Roman"/>
          <w:sz w:val="24"/>
          <w:szCs w:val="24"/>
          <w:vertAlign w:val="baseline"/>
        </w:rPr>
        <w:tab/>
      </w:r>
      <w:r w:rsidR="00D25BF5">
        <w:rPr>
          <w:rFonts w:ascii="Times New Roman" w:hAnsi="Times New Roman" w:cs="Times New Roman"/>
          <w:sz w:val="24"/>
          <w:szCs w:val="24"/>
          <w:vertAlign w:val="baseline"/>
        </w:rPr>
        <w:tab/>
      </w:r>
      <w:r w:rsidR="00196FE1">
        <w:rPr>
          <w:rFonts w:ascii="Times New Roman" w:hAnsi="Times New Roman" w:cs="Times New Roman"/>
          <w:sz w:val="24"/>
          <w:szCs w:val="24"/>
          <w:vertAlign w:val="baseline"/>
        </w:rPr>
        <w:t>DIFFERENCES</w:t>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t>170</w:t>
      </w:r>
    </w:p>
    <w:p w14:paraId="727D46D8" w14:textId="516D5C3E" w:rsidR="00427DF0" w:rsidRDefault="00B13974" w:rsidP="00427DF0">
      <w:pPr>
        <w:spacing w:line="360" w:lineRule="auto"/>
        <w:ind w:firstLine="284"/>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4</w:t>
      </w:r>
      <w:r w:rsidR="00196FE1">
        <w:rPr>
          <w:rFonts w:ascii="Times New Roman" w:hAnsi="Times New Roman" w:cs="Times New Roman"/>
          <w:sz w:val="24"/>
          <w:szCs w:val="24"/>
          <w:vertAlign w:val="baseline"/>
        </w:rPr>
        <w:t>.7</w:t>
      </w:r>
      <w:r w:rsidR="00196FE1">
        <w:rPr>
          <w:rFonts w:ascii="Times New Roman" w:hAnsi="Times New Roman" w:cs="Times New Roman"/>
          <w:sz w:val="24"/>
          <w:szCs w:val="24"/>
          <w:vertAlign w:val="baseline"/>
        </w:rPr>
        <w:tab/>
      </w:r>
      <w:r w:rsidR="00196FE1">
        <w:rPr>
          <w:rFonts w:ascii="Times New Roman" w:hAnsi="Times New Roman" w:cs="Times New Roman"/>
          <w:sz w:val="24"/>
          <w:szCs w:val="24"/>
          <w:vertAlign w:val="baseline"/>
        </w:rPr>
        <w:tab/>
        <w:t>CONCLUSION</w:t>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t>172</w:t>
      </w:r>
    </w:p>
    <w:p w14:paraId="76ECAD54" w14:textId="77777777" w:rsidR="00427DF0" w:rsidRDefault="00427DF0" w:rsidP="00427DF0">
      <w:pPr>
        <w:spacing w:line="360" w:lineRule="auto"/>
        <w:jc w:val="both"/>
        <w:rPr>
          <w:rFonts w:ascii="Times New Roman" w:hAnsi="Times New Roman" w:cs="Times New Roman"/>
          <w:sz w:val="24"/>
          <w:szCs w:val="24"/>
          <w:vertAlign w:val="baseline"/>
        </w:rPr>
      </w:pPr>
    </w:p>
    <w:p w14:paraId="1EB774D2" w14:textId="0E71ACFE" w:rsidR="00B10935" w:rsidRPr="00B10935" w:rsidRDefault="00713985" w:rsidP="000A3B92">
      <w:pPr>
        <w:jc w:val="both"/>
        <w:rPr>
          <w:rFonts w:ascii="Times New Roman" w:hAnsi="Times New Roman" w:cs="Times New Roman"/>
          <w:sz w:val="24"/>
          <w:szCs w:val="24"/>
          <w:vertAlign w:val="baseline"/>
        </w:rPr>
      </w:pPr>
      <w:r>
        <w:rPr>
          <w:rFonts w:ascii="Times New Roman" w:hAnsi="Times New Roman" w:cs="Times New Roman"/>
          <w:b/>
          <w:sz w:val="24"/>
          <w:szCs w:val="24"/>
          <w:vertAlign w:val="baseline"/>
        </w:rPr>
        <w:t xml:space="preserve">CHAPTER FIVE – WITCHCRAFT, VIOLENCE AGAINST WOMEN </w:t>
      </w:r>
      <w:r w:rsidR="00B10935">
        <w:rPr>
          <w:rFonts w:ascii="Times New Roman" w:hAnsi="Times New Roman" w:cs="Times New Roman"/>
          <w:b/>
          <w:sz w:val="24"/>
          <w:szCs w:val="24"/>
          <w:vertAlign w:val="baseline"/>
        </w:rPr>
        <w:tab/>
      </w:r>
      <w:r w:rsidR="0064696D">
        <w:rPr>
          <w:rFonts w:ascii="Times New Roman" w:hAnsi="Times New Roman" w:cs="Times New Roman"/>
          <w:sz w:val="24"/>
          <w:szCs w:val="24"/>
          <w:vertAlign w:val="baseline"/>
        </w:rPr>
        <w:t>174</w:t>
      </w:r>
    </w:p>
    <w:p w14:paraId="17DCD394" w14:textId="7F095D53" w:rsidR="00427DF0" w:rsidRDefault="00713985" w:rsidP="000A3B92">
      <w:pPr>
        <w:jc w:val="both"/>
        <w:rPr>
          <w:rFonts w:ascii="Times New Roman" w:hAnsi="Times New Roman" w:cs="Times New Roman"/>
          <w:b/>
          <w:sz w:val="24"/>
          <w:szCs w:val="24"/>
          <w:vertAlign w:val="baseline"/>
        </w:rPr>
      </w:pPr>
      <w:r>
        <w:rPr>
          <w:rFonts w:ascii="Times New Roman" w:hAnsi="Times New Roman" w:cs="Times New Roman"/>
          <w:b/>
          <w:sz w:val="24"/>
          <w:szCs w:val="24"/>
          <w:vertAlign w:val="baseline"/>
        </w:rPr>
        <w:t>AND INTERNATIONAL HUMAN RIGHTS LAW</w:t>
      </w:r>
    </w:p>
    <w:p w14:paraId="2A8357FB" w14:textId="77777777" w:rsidR="006C4419" w:rsidRDefault="006C4419" w:rsidP="00A3130F">
      <w:pPr>
        <w:spacing w:line="360" w:lineRule="auto"/>
        <w:rPr>
          <w:rFonts w:ascii="Times New Roman" w:hAnsi="Times New Roman" w:cs="Times New Roman"/>
          <w:b/>
          <w:sz w:val="24"/>
          <w:szCs w:val="24"/>
          <w:vertAlign w:val="baseline"/>
        </w:rPr>
      </w:pPr>
    </w:p>
    <w:p w14:paraId="08AF986C" w14:textId="1B080E99" w:rsidR="00C175FB" w:rsidRDefault="00B13974" w:rsidP="00C175FB">
      <w:pPr>
        <w:spacing w:line="360" w:lineRule="auto"/>
        <w:ind w:firstLine="284"/>
        <w:rPr>
          <w:rFonts w:ascii="Times New Roman" w:hAnsi="Times New Roman" w:cs="Times New Roman"/>
          <w:sz w:val="24"/>
          <w:szCs w:val="24"/>
          <w:vertAlign w:val="baseline"/>
        </w:rPr>
      </w:pPr>
      <w:r>
        <w:rPr>
          <w:rFonts w:ascii="Times New Roman" w:hAnsi="Times New Roman" w:cs="Times New Roman"/>
          <w:sz w:val="24"/>
          <w:szCs w:val="24"/>
          <w:vertAlign w:val="baseline"/>
        </w:rPr>
        <w:t>5</w:t>
      </w:r>
      <w:r w:rsidR="00C175FB">
        <w:rPr>
          <w:rFonts w:ascii="Times New Roman" w:hAnsi="Times New Roman" w:cs="Times New Roman"/>
          <w:sz w:val="24"/>
          <w:szCs w:val="24"/>
          <w:vertAlign w:val="baseline"/>
        </w:rPr>
        <w:t>.1</w:t>
      </w:r>
      <w:r w:rsidR="00C175FB">
        <w:rPr>
          <w:rFonts w:ascii="Times New Roman" w:hAnsi="Times New Roman" w:cs="Times New Roman"/>
          <w:sz w:val="24"/>
          <w:szCs w:val="24"/>
          <w:vertAlign w:val="baseline"/>
        </w:rPr>
        <w:tab/>
      </w:r>
      <w:r w:rsidR="00C175FB">
        <w:rPr>
          <w:rFonts w:ascii="Times New Roman" w:hAnsi="Times New Roman" w:cs="Times New Roman"/>
          <w:sz w:val="24"/>
          <w:szCs w:val="24"/>
          <w:vertAlign w:val="baseline"/>
        </w:rPr>
        <w:tab/>
        <w:t>I</w:t>
      </w:r>
      <w:r w:rsidR="000504E8">
        <w:rPr>
          <w:rFonts w:ascii="Times New Roman" w:hAnsi="Times New Roman" w:cs="Times New Roman"/>
          <w:sz w:val="24"/>
          <w:szCs w:val="24"/>
          <w:vertAlign w:val="baseline"/>
        </w:rPr>
        <w:t>NTRODUCTION</w:t>
      </w:r>
      <w:r w:rsidR="00B10935">
        <w:rPr>
          <w:rFonts w:ascii="Times New Roman" w:hAnsi="Times New Roman" w:cs="Times New Roman"/>
          <w:sz w:val="24"/>
          <w:szCs w:val="24"/>
          <w:vertAlign w:val="baseline"/>
        </w:rPr>
        <w:tab/>
      </w:r>
      <w:r w:rsidR="00B10935">
        <w:rPr>
          <w:rFonts w:ascii="Times New Roman" w:hAnsi="Times New Roman" w:cs="Times New Roman"/>
          <w:sz w:val="24"/>
          <w:szCs w:val="24"/>
          <w:vertAlign w:val="baseline"/>
        </w:rPr>
        <w:tab/>
      </w:r>
      <w:r w:rsidR="00B10935">
        <w:rPr>
          <w:rFonts w:ascii="Times New Roman" w:hAnsi="Times New Roman" w:cs="Times New Roman"/>
          <w:sz w:val="24"/>
          <w:szCs w:val="24"/>
          <w:vertAlign w:val="baseline"/>
        </w:rPr>
        <w:tab/>
      </w:r>
      <w:r w:rsidR="00B10935">
        <w:rPr>
          <w:rFonts w:ascii="Times New Roman" w:hAnsi="Times New Roman" w:cs="Times New Roman"/>
          <w:sz w:val="24"/>
          <w:szCs w:val="24"/>
          <w:vertAlign w:val="baseline"/>
        </w:rPr>
        <w:tab/>
      </w:r>
      <w:r w:rsidR="00B10935">
        <w:rPr>
          <w:rFonts w:ascii="Times New Roman" w:hAnsi="Times New Roman" w:cs="Times New Roman"/>
          <w:sz w:val="24"/>
          <w:szCs w:val="24"/>
          <w:vertAlign w:val="baseline"/>
        </w:rPr>
        <w:tab/>
      </w:r>
      <w:r w:rsidR="00B10935">
        <w:rPr>
          <w:rFonts w:ascii="Times New Roman" w:hAnsi="Times New Roman" w:cs="Times New Roman"/>
          <w:sz w:val="24"/>
          <w:szCs w:val="24"/>
          <w:vertAlign w:val="baseline"/>
        </w:rPr>
        <w:tab/>
      </w:r>
      <w:r w:rsidR="00B10935">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174</w:t>
      </w:r>
    </w:p>
    <w:p w14:paraId="5B307F00" w14:textId="62D99AB7" w:rsidR="00B10935" w:rsidRDefault="00B13974" w:rsidP="000504E8">
      <w:pPr>
        <w:ind w:firstLine="284"/>
        <w:rPr>
          <w:rFonts w:ascii="Times New Roman" w:hAnsi="Times New Roman" w:cs="Times New Roman"/>
          <w:sz w:val="24"/>
          <w:szCs w:val="24"/>
          <w:vertAlign w:val="baseline"/>
        </w:rPr>
      </w:pPr>
      <w:r>
        <w:rPr>
          <w:rFonts w:ascii="Times New Roman" w:hAnsi="Times New Roman" w:cs="Times New Roman"/>
          <w:sz w:val="24"/>
          <w:szCs w:val="24"/>
          <w:vertAlign w:val="baseline"/>
        </w:rPr>
        <w:t>5</w:t>
      </w:r>
      <w:r w:rsidR="00C175FB">
        <w:rPr>
          <w:rFonts w:ascii="Times New Roman" w:hAnsi="Times New Roman" w:cs="Times New Roman"/>
          <w:sz w:val="24"/>
          <w:szCs w:val="24"/>
          <w:vertAlign w:val="baseline"/>
        </w:rPr>
        <w:t xml:space="preserve">.2 </w:t>
      </w:r>
      <w:r w:rsidR="00C175FB">
        <w:rPr>
          <w:rFonts w:ascii="Times New Roman" w:hAnsi="Times New Roman" w:cs="Times New Roman"/>
          <w:sz w:val="24"/>
          <w:szCs w:val="24"/>
          <w:vertAlign w:val="baseline"/>
        </w:rPr>
        <w:tab/>
      </w:r>
      <w:r w:rsidR="00C175FB">
        <w:rPr>
          <w:rFonts w:ascii="Times New Roman" w:hAnsi="Times New Roman" w:cs="Times New Roman"/>
          <w:sz w:val="24"/>
          <w:szCs w:val="24"/>
          <w:vertAlign w:val="baseline"/>
        </w:rPr>
        <w:tab/>
      </w:r>
      <w:r w:rsidR="000504E8">
        <w:rPr>
          <w:rFonts w:ascii="Times New Roman" w:hAnsi="Times New Roman" w:cs="Times New Roman"/>
          <w:sz w:val="24"/>
          <w:szCs w:val="24"/>
          <w:vertAlign w:val="baseline"/>
        </w:rPr>
        <w:t xml:space="preserve">PROTECTION OF WOMEN UNDER INTERNATIONAL </w:t>
      </w:r>
      <w:r w:rsidR="0064696D">
        <w:rPr>
          <w:rFonts w:ascii="Times New Roman" w:hAnsi="Times New Roman" w:cs="Times New Roman"/>
          <w:sz w:val="24"/>
          <w:szCs w:val="24"/>
          <w:vertAlign w:val="baseline"/>
        </w:rPr>
        <w:tab/>
        <w:t>174</w:t>
      </w:r>
    </w:p>
    <w:p w14:paraId="5A2CA5DE" w14:textId="7E605BB9" w:rsidR="00C175FB" w:rsidRDefault="000504E8" w:rsidP="00B10935">
      <w:pPr>
        <w:ind w:left="720" w:firstLine="720"/>
        <w:rPr>
          <w:rFonts w:ascii="Times New Roman" w:hAnsi="Times New Roman" w:cs="Times New Roman"/>
          <w:sz w:val="24"/>
          <w:szCs w:val="24"/>
          <w:vertAlign w:val="baseline"/>
        </w:rPr>
      </w:pPr>
      <w:r>
        <w:rPr>
          <w:rFonts w:ascii="Times New Roman" w:hAnsi="Times New Roman" w:cs="Times New Roman"/>
          <w:sz w:val="24"/>
          <w:szCs w:val="24"/>
          <w:vertAlign w:val="baseline"/>
        </w:rPr>
        <w:t>HUMAN RIGHTS LAW</w:t>
      </w:r>
    </w:p>
    <w:p w14:paraId="7331A653" w14:textId="77777777" w:rsidR="0006791B" w:rsidRDefault="0006791B" w:rsidP="00B10935">
      <w:pPr>
        <w:ind w:left="720" w:firstLine="720"/>
        <w:rPr>
          <w:rFonts w:ascii="Times New Roman" w:hAnsi="Times New Roman" w:cs="Times New Roman"/>
          <w:sz w:val="24"/>
          <w:szCs w:val="24"/>
          <w:vertAlign w:val="baseline"/>
        </w:rPr>
      </w:pPr>
    </w:p>
    <w:p w14:paraId="1472CB76" w14:textId="2225345A" w:rsidR="002F70B3" w:rsidRPr="00B10935" w:rsidRDefault="002F70B3" w:rsidP="002F70B3">
      <w:pPr>
        <w:spacing w:line="360" w:lineRule="auto"/>
        <w:rPr>
          <w:rFonts w:ascii="Times New Roman" w:hAnsi="Times New Roman" w:cs="Times New Roman"/>
          <w:sz w:val="24"/>
          <w:szCs w:val="24"/>
          <w:vertAlign w:val="baseline"/>
        </w:rPr>
      </w:pPr>
      <w:r w:rsidRPr="002F70B3">
        <w:rPr>
          <w:rFonts w:ascii="Times New Roman" w:hAnsi="Times New Roman" w:cs="Times New Roman"/>
          <w:i/>
          <w:sz w:val="24"/>
          <w:szCs w:val="24"/>
          <w:vertAlign w:val="baseline"/>
        </w:rPr>
        <w:t xml:space="preserve">        5.2.1</w:t>
      </w:r>
      <w:r>
        <w:rPr>
          <w:rFonts w:ascii="Times New Roman" w:hAnsi="Times New Roman" w:cs="Times New Roman"/>
          <w:sz w:val="24"/>
          <w:szCs w:val="24"/>
          <w:vertAlign w:val="baseline"/>
        </w:rPr>
        <w:tab/>
      </w:r>
      <w:r>
        <w:rPr>
          <w:rFonts w:ascii="Times New Roman" w:hAnsi="Times New Roman" w:cs="Times New Roman"/>
          <w:i/>
          <w:sz w:val="24"/>
          <w:szCs w:val="24"/>
          <w:vertAlign w:val="baseline"/>
        </w:rPr>
        <w:t>Establishing Human Rights Violations</w:t>
      </w:r>
      <w:r w:rsidR="00B10935">
        <w:rPr>
          <w:rFonts w:ascii="Times New Roman" w:hAnsi="Times New Roman" w:cs="Times New Roman"/>
          <w:i/>
          <w:sz w:val="24"/>
          <w:szCs w:val="24"/>
          <w:vertAlign w:val="baseline"/>
        </w:rPr>
        <w:tab/>
      </w:r>
      <w:r w:rsidR="00B10935">
        <w:rPr>
          <w:rFonts w:ascii="Times New Roman" w:hAnsi="Times New Roman" w:cs="Times New Roman"/>
          <w:i/>
          <w:sz w:val="24"/>
          <w:szCs w:val="24"/>
          <w:vertAlign w:val="baseline"/>
        </w:rPr>
        <w:tab/>
      </w:r>
      <w:r w:rsidR="00B10935">
        <w:rPr>
          <w:rFonts w:ascii="Times New Roman" w:hAnsi="Times New Roman" w:cs="Times New Roman"/>
          <w:i/>
          <w:sz w:val="24"/>
          <w:szCs w:val="24"/>
          <w:vertAlign w:val="baseline"/>
        </w:rPr>
        <w:tab/>
      </w:r>
      <w:r w:rsidR="00B10935">
        <w:rPr>
          <w:rFonts w:ascii="Times New Roman" w:hAnsi="Times New Roman" w:cs="Times New Roman"/>
          <w:i/>
          <w:sz w:val="24"/>
          <w:szCs w:val="24"/>
          <w:vertAlign w:val="baseline"/>
        </w:rPr>
        <w:tab/>
      </w:r>
      <w:r w:rsidR="0064696D">
        <w:rPr>
          <w:rFonts w:ascii="Times New Roman" w:hAnsi="Times New Roman" w:cs="Times New Roman"/>
          <w:sz w:val="24"/>
          <w:szCs w:val="24"/>
          <w:vertAlign w:val="baseline"/>
        </w:rPr>
        <w:t>176</w:t>
      </w:r>
    </w:p>
    <w:p w14:paraId="3530503E" w14:textId="6C924826" w:rsidR="00B10935" w:rsidRDefault="00B13974" w:rsidP="00D4608E">
      <w:pPr>
        <w:ind w:left="1440" w:hanging="1156"/>
        <w:rPr>
          <w:rFonts w:ascii="Times New Roman" w:hAnsi="Times New Roman" w:cs="Times New Roman"/>
          <w:sz w:val="24"/>
          <w:szCs w:val="24"/>
          <w:vertAlign w:val="baseline"/>
        </w:rPr>
      </w:pPr>
      <w:r>
        <w:rPr>
          <w:rFonts w:ascii="Times New Roman" w:hAnsi="Times New Roman" w:cs="Times New Roman"/>
          <w:sz w:val="24"/>
          <w:szCs w:val="24"/>
          <w:vertAlign w:val="baseline"/>
        </w:rPr>
        <w:t>5</w:t>
      </w:r>
      <w:r w:rsidR="00C175FB">
        <w:rPr>
          <w:rFonts w:ascii="Times New Roman" w:hAnsi="Times New Roman" w:cs="Times New Roman"/>
          <w:sz w:val="24"/>
          <w:szCs w:val="24"/>
          <w:vertAlign w:val="baseline"/>
        </w:rPr>
        <w:t>.3</w:t>
      </w:r>
      <w:r w:rsidR="000C220B">
        <w:rPr>
          <w:rFonts w:ascii="Times New Roman" w:hAnsi="Times New Roman" w:cs="Times New Roman"/>
          <w:sz w:val="24"/>
          <w:szCs w:val="24"/>
          <w:vertAlign w:val="baseline"/>
        </w:rPr>
        <w:tab/>
      </w:r>
      <w:r w:rsidR="000504E8">
        <w:rPr>
          <w:rFonts w:ascii="Times New Roman" w:hAnsi="Times New Roman" w:cs="Times New Roman"/>
          <w:sz w:val="24"/>
          <w:szCs w:val="24"/>
          <w:vertAlign w:val="baseline"/>
        </w:rPr>
        <w:t xml:space="preserve">CONVENTION ON THE ELIMINATION OF </w:t>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t>180</w:t>
      </w:r>
    </w:p>
    <w:p w14:paraId="08BF00A0" w14:textId="77777777" w:rsidR="0006791B" w:rsidRDefault="000504E8" w:rsidP="00B10935">
      <w:pPr>
        <w:ind w:left="1440"/>
        <w:rPr>
          <w:rFonts w:ascii="Times New Roman" w:hAnsi="Times New Roman" w:cs="Times New Roman"/>
          <w:sz w:val="24"/>
          <w:szCs w:val="24"/>
          <w:vertAlign w:val="baseline"/>
        </w:rPr>
      </w:pPr>
      <w:r>
        <w:rPr>
          <w:rFonts w:ascii="Times New Roman" w:hAnsi="Times New Roman" w:cs="Times New Roman"/>
          <w:sz w:val="24"/>
          <w:szCs w:val="24"/>
          <w:vertAlign w:val="baseline"/>
        </w:rPr>
        <w:t>DISCRIMINATION AGAINST WOMEN (CEDAW)</w:t>
      </w:r>
    </w:p>
    <w:p w14:paraId="241367B3" w14:textId="4F8CEAF4" w:rsidR="00C175FB" w:rsidRPr="0006791B" w:rsidRDefault="00B10935" w:rsidP="00B50592">
      <w:pPr>
        <w:ind w:left="1440"/>
        <w:rPr>
          <w:rFonts w:ascii="Times New Roman" w:hAnsi="Times New Roman" w:cs="Times New Roman"/>
          <w:i/>
          <w:sz w:val="24"/>
          <w:szCs w:val="24"/>
          <w:vertAlign w:val="baseline"/>
        </w:rPr>
      </w:pPr>
      <w:r>
        <w:rPr>
          <w:rFonts w:ascii="Times New Roman" w:hAnsi="Times New Roman" w:cs="Times New Roman"/>
          <w:sz w:val="24"/>
          <w:szCs w:val="24"/>
          <w:vertAlign w:val="baseline"/>
        </w:rPr>
        <w:tab/>
      </w:r>
      <w:r>
        <w:rPr>
          <w:rFonts w:ascii="Times New Roman" w:hAnsi="Times New Roman" w:cs="Times New Roman"/>
          <w:sz w:val="24"/>
          <w:szCs w:val="24"/>
          <w:vertAlign w:val="baseline"/>
        </w:rPr>
        <w:tab/>
      </w:r>
      <w:r>
        <w:rPr>
          <w:rFonts w:ascii="Times New Roman" w:hAnsi="Times New Roman" w:cs="Times New Roman"/>
          <w:i/>
          <w:sz w:val="24"/>
          <w:szCs w:val="24"/>
          <w:vertAlign w:val="baseline"/>
        </w:rPr>
        <w:tab/>
      </w:r>
      <w:r>
        <w:rPr>
          <w:rFonts w:ascii="Times New Roman" w:hAnsi="Times New Roman" w:cs="Times New Roman"/>
          <w:i/>
          <w:sz w:val="24"/>
          <w:szCs w:val="24"/>
          <w:vertAlign w:val="baseline"/>
        </w:rPr>
        <w:tab/>
      </w:r>
      <w:r>
        <w:rPr>
          <w:rFonts w:ascii="Times New Roman" w:hAnsi="Times New Roman" w:cs="Times New Roman"/>
          <w:i/>
          <w:sz w:val="24"/>
          <w:szCs w:val="24"/>
          <w:vertAlign w:val="baseline"/>
        </w:rPr>
        <w:tab/>
      </w:r>
      <w:r>
        <w:rPr>
          <w:rFonts w:ascii="Times New Roman" w:hAnsi="Times New Roman" w:cs="Times New Roman"/>
          <w:i/>
          <w:sz w:val="24"/>
          <w:szCs w:val="24"/>
          <w:vertAlign w:val="baseline"/>
        </w:rPr>
        <w:tab/>
      </w:r>
      <w:r>
        <w:rPr>
          <w:rFonts w:ascii="Times New Roman" w:hAnsi="Times New Roman" w:cs="Times New Roman"/>
          <w:i/>
          <w:sz w:val="24"/>
          <w:szCs w:val="24"/>
          <w:vertAlign w:val="baseline"/>
        </w:rPr>
        <w:tab/>
      </w:r>
    </w:p>
    <w:p w14:paraId="7DB839C8" w14:textId="2C54DB57" w:rsidR="00C175FB" w:rsidRPr="0000703F" w:rsidRDefault="000504E8" w:rsidP="00D4608E">
      <w:pPr>
        <w:spacing w:line="360" w:lineRule="auto"/>
        <w:ind w:firstLine="284"/>
        <w:rPr>
          <w:rFonts w:ascii="Times New Roman" w:hAnsi="Times New Roman" w:cs="Times New Roman"/>
          <w:sz w:val="24"/>
          <w:szCs w:val="24"/>
          <w:vertAlign w:val="baseline"/>
        </w:rPr>
      </w:pPr>
      <w:r w:rsidRPr="002F70B3">
        <w:rPr>
          <w:rFonts w:ascii="Times New Roman" w:hAnsi="Times New Roman" w:cs="Times New Roman"/>
          <w:i/>
          <w:sz w:val="24"/>
          <w:szCs w:val="24"/>
          <w:vertAlign w:val="baseline"/>
        </w:rPr>
        <w:t xml:space="preserve">   </w:t>
      </w:r>
      <w:r w:rsidR="00B13974" w:rsidRPr="002F70B3">
        <w:rPr>
          <w:rFonts w:ascii="Times New Roman" w:hAnsi="Times New Roman" w:cs="Times New Roman"/>
          <w:i/>
          <w:sz w:val="24"/>
          <w:szCs w:val="24"/>
          <w:vertAlign w:val="baseline"/>
        </w:rPr>
        <w:t>5</w:t>
      </w:r>
      <w:r w:rsidR="00C175FB" w:rsidRPr="002F70B3">
        <w:rPr>
          <w:rFonts w:ascii="Times New Roman" w:hAnsi="Times New Roman" w:cs="Times New Roman"/>
          <w:i/>
          <w:sz w:val="24"/>
          <w:szCs w:val="24"/>
          <w:vertAlign w:val="baseline"/>
        </w:rPr>
        <w:t>.3.</w:t>
      </w:r>
      <w:r w:rsidR="00B50592">
        <w:rPr>
          <w:rFonts w:ascii="Times New Roman" w:hAnsi="Times New Roman" w:cs="Times New Roman"/>
          <w:i/>
          <w:sz w:val="24"/>
          <w:szCs w:val="24"/>
          <w:vertAlign w:val="baseline"/>
        </w:rPr>
        <w:t>1</w:t>
      </w:r>
      <w:r w:rsidR="00C175FB" w:rsidRPr="002F70B3">
        <w:rPr>
          <w:rFonts w:ascii="Times New Roman" w:hAnsi="Times New Roman" w:cs="Times New Roman"/>
          <w:i/>
          <w:sz w:val="24"/>
          <w:szCs w:val="24"/>
          <w:vertAlign w:val="baseline"/>
        </w:rPr>
        <w:tab/>
        <w:t>Optional Protocol to CEDAW</w:t>
      </w:r>
      <w:r w:rsidR="00B50592">
        <w:rPr>
          <w:rFonts w:ascii="Times New Roman" w:hAnsi="Times New Roman" w:cs="Times New Roman"/>
          <w:i/>
          <w:sz w:val="24"/>
          <w:szCs w:val="24"/>
          <w:vertAlign w:val="baseline"/>
        </w:rPr>
        <w:tab/>
      </w:r>
      <w:r w:rsidR="00B50592">
        <w:rPr>
          <w:rFonts w:ascii="Times New Roman" w:hAnsi="Times New Roman" w:cs="Times New Roman"/>
          <w:i/>
          <w:sz w:val="24"/>
          <w:szCs w:val="24"/>
          <w:vertAlign w:val="baseline"/>
        </w:rPr>
        <w:tab/>
      </w:r>
      <w:r w:rsidR="00B50592">
        <w:rPr>
          <w:rFonts w:ascii="Times New Roman" w:hAnsi="Times New Roman" w:cs="Times New Roman"/>
          <w:i/>
          <w:sz w:val="24"/>
          <w:szCs w:val="24"/>
          <w:vertAlign w:val="baseline"/>
        </w:rPr>
        <w:tab/>
      </w:r>
      <w:r w:rsidR="00B50592">
        <w:rPr>
          <w:rFonts w:ascii="Times New Roman" w:hAnsi="Times New Roman" w:cs="Times New Roman"/>
          <w:i/>
          <w:sz w:val="24"/>
          <w:szCs w:val="24"/>
          <w:vertAlign w:val="baseline"/>
        </w:rPr>
        <w:tab/>
      </w:r>
      <w:r w:rsidR="00B50592">
        <w:rPr>
          <w:rFonts w:ascii="Times New Roman" w:hAnsi="Times New Roman" w:cs="Times New Roman"/>
          <w:i/>
          <w:sz w:val="24"/>
          <w:szCs w:val="24"/>
          <w:vertAlign w:val="baseline"/>
        </w:rPr>
        <w:tab/>
      </w:r>
      <w:r w:rsidR="0064696D">
        <w:rPr>
          <w:rFonts w:ascii="Times New Roman" w:hAnsi="Times New Roman" w:cs="Times New Roman"/>
          <w:sz w:val="24"/>
          <w:szCs w:val="24"/>
          <w:vertAlign w:val="baseline"/>
        </w:rPr>
        <w:t>185</w:t>
      </w:r>
    </w:p>
    <w:p w14:paraId="240DFD45" w14:textId="1FE32680" w:rsidR="000504E8" w:rsidRPr="00B10935" w:rsidRDefault="000504E8" w:rsidP="00D4608E">
      <w:pPr>
        <w:spacing w:line="360" w:lineRule="auto"/>
        <w:ind w:firstLine="284"/>
        <w:rPr>
          <w:rFonts w:ascii="Times New Roman" w:hAnsi="Times New Roman" w:cs="Times New Roman"/>
          <w:sz w:val="24"/>
          <w:szCs w:val="24"/>
          <w:vertAlign w:val="baseline"/>
        </w:rPr>
      </w:pPr>
      <w:r w:rsidRPr="002F70B3">
        <w:rPr>
          <w:rFonts w:ascii="Times New Roman" w:hAnsi="Times New Roman" w:cs="Times New Roman"/>
          <w:i/>
          <w:sz w:val="24"/>
          <w:szCs w:val="24"/>
          <w:vertAlign w:val="baseline"/>
        </w:rPr>
        <w:t xml:space="preserve">   </w:t>
      </w:r>
      <w:r w:rsidR="00B13974" w:rsidRPr="002F70B3">
        <w:rPr>
          <w:rFonts w:ascii="Times New Roman" w:hAnsi="Times New Roman" w:cs="Times New Roman"/>
          <w:i/>
          <w:sz w:val="24"/>
          <w:szCs w:val="24"/>
          <w:vertAlign w:val="baseline"/>
        </w:rPr>
        <w:t>5</w:t>
      </w:r>
      <w:r w:rsidR="00C175FB" w:rsidRPr="002F70B3">
        <w:rPr>
          <w:rFonts w:ascii="Times New Roman" w:hAnsi="Times New Roman" w:cs="Times New Roman"/>
          <w:i/>
          <w:sz w:val="24"/>
          <w:szCs w:val="24"/>
          <w:vertAlign w:val="baseline"/>
        </w:rPr>
        <w:t>.3.</w:t>
      </w:r>
      <w:r w:rsidR="00B50592">
        <w:rPr>
          <w:rFonts w:ascii="Times New Roman" w:hAnsi="Times New Roman" w:cs="Times New Roman"/>
          <w:i/>
          <w:sz w:val="24"/>
          <w:szCs w:val="24"/>
          <w:vertAlign w:val="baseline"/>
        </w:rPr>
        <w:t>2</w:t>
      </w:r>
      <w:r w:rsidR="00C175FB">
        <w:rPr>
          <w:rFonts w:ascii="Times New Roman" w:hAnsi="Times New Roman" w:cs="Times New Roman"/>
          <w:sz w:val="24"/>
          <w:szCs w:val="24"/>
          <w:vertAlign w:val="baseline"/>
        </w:rPr>
        <w:tab/>
      </w:r>
      <w:r w:rsidR="00C175FB" w:rsidRPr="002E77A5">
        <w:rPr>
          <w:rFonts w:ascii="Times New Roman" w:hAnsi="Times New Roman" w:cs="Times New Roman"/>
          <w:i/>
          <w:sz w:val="24"/>
          <w:szCs w:val="24"/>
          <w:vertAlign w:val="baseline"/>
        </w:rPr>
        <w:t>CEDAW Committee</w:t>
      </w:r>
      <w:r w:rsidR="00B10935">
        <w:rPr>
          <w:rFonts w:ascii="Times New Roman" w:hAnsi="Times New Roman" w:cs="Times New Roman"/>
          <w:i/>
          <w:sz w:val="24"/>
          <w:szCs w:val="24"/>
          <w:vertAlign w:val="baseline"/>
        </w:rPr>
        <w:tab/>
      </w:r>
      <w:r w:rsidR="00B10935">
        <w:rPr>
          <w:rFonts w:ascii="Times New Roman" w:hAnsi="Times New Roman" w:cs="Times New Roman"/>
          <w:i/>
          <w:sz w:val="24"/>
          <w:szCs w:val="24"/>
          <w:vertAlign w:val="baseline"/>
        </w:rPr>
        <w:tab/>
      </w:r>
      <w:r w:rsidR="00B10935">
        <w:rPr>
          <w:rFonts w:ascii="Times New Roman" w:hAnsi="Times New Roman" w:cs="Times New Roman"/>
          <w:i/>
          <w:sz w:val="24"/>
          <w:szCs w:val="24"/>
          <w:vertAlign w:val="baseline"/>
        </w:rPr>
        <w:tab/>
      </w:r>
      <w:r w:rsidR="00B10935">
        <w:rPr>
          <w:rFonts w:ascii="Times New Roman" w:hAnsi="Times New Roman" w:cs="Times New Roman"/>
          <w:i/>
          <w:sz w:val="24"/>
          <w:szCs w:val="24"/>
          <w:vertAlign w:val="baseline"/>
        </w:rPr>
        <w:tab/>
      </w:r>
      <w:r w:rsidR="00B10935">
        <w:rPr>
          <w:rFonts w:ascii="Times New Roman" w:hAnsi="Times New Roman" w:cs="Times New Roman"/>
          <w:i/>
          <w:sz w:val="24"/>
          <w:szCs w:val="24"/>
          <w:vertAlign w:val="baseline"/>
        </w:rPr>
        <w:tab/>
      </w:r>
      <w:r w:rsidR="00B10935">
        <w:rPr>
          <w:rFonts w:ascii="Times New Roman" w:hAnsi="Times New Roman" w:cs="Times New Roman"/>
          <w:i/>
          <w:sz w:val="24"/>
          <w:szCs w:val="24"/>
          <w:vertAlign w:val="baseline"/>
        </w:rPr>
        <w:tab/>
      </w:r>
      <w:r w:rsidR="00B10935">
        <w:rPr>
          <w:rFonts w:ascii="Times New Roman" w:hAnsi="Times New Roman" w:cs="Times New Roman"/>
          <w:i/>
          <w:sz w:val="24"/>
          <w:szCs w:val="24"/>
          <w:vertAlign w:val="baseline"/>
        </w:rPr>
        <w:tab/>
      </w:r>
      <w:r w:rsidR="0064696D">
        <w:rPr>
          <w:rFonts w:ascii="Times New Roman" w:hAnsi="Times New Roman" w:cs="Times New Roman"/>
          <w:sz w:val="24"/>
          <w:szCs w:val="24"/>
          <w:vertAlign w:val="baseline"/>
        </w:rPr>
        <w:t>187</w:t>
      </w:r>
    </w:p>
    <w:p w14:paraId="6A49CF5E" w14:textId="499C2415" w:rsidR="00B10935" w:rsidRDefault="00B13974" w:rsidP="00B10935">
      <w:pPr>
        <w:spacing w:line="360" w:lineRule="auto"/>
        <w:ind w:left="284" w:hanging="142"/>
        <w:rPr>
          <w:rFonts w:ascii="Times New Roman" w:hAnsi="Times New Roman" w:cs="Times New Roman"/>
          <w:sz w:val="24"/>
          <w:szCs w:val="24"/>
          <w:vertAlign w:val="baseline"/>
        </w:rPr>
      </w:pPr>
      <w:r>
        <w:rPr>
          <w:rFonts w:ascii="Times New Roman" w:hAnsi="Times New Roman" w:cs="Times New Roman"/>
          <w:sz w:val="24"/>
          <w:szCs w:val="24"/>
          <w:vertAlign w:val="baseline"/>
        </w:rPr>
        <w:t>5</w:t>
      </w:r>
      <w:r w:rsidR="00C175FB">
        <w:rPr>
          <w:rFonts w:ascii="Times New Roman" w:hAnsi="Times New Roman" w:cs="Times New Roman"/>
          <w:sz w:val="24"/>
          <w:szCs w:val="24"/>
          <w:vertAlign w:val="baseline"/>
        </w:rPr>
        <w:t>.4</w:t>
      </w:r>
      <w:r w:rsidR="00C175FB">
        <w:rPr>
          <w:rFonts w:ascii="Times New Roman" w:hAnsi="Times New Roman" w:cs="Times New Roman"/>
          <w:sz w:val="24"/>
          <w:szCs w:val="24"/>
          <w:vertAlign w:val="baseline"/>
        </w:rPr>
        <w:tab/>
      </w:r>
      <w:r w:rsidR="00C175FB">
        <w:rPr>
          <w:rFonts w:ascii="Times New Roman" w:hAnsi="Times New Roman" w:cs="Times New Roman"/>
          <w:sz w:val="24"/>
          <w:szCs w:val="24"/>
          <w:vertAlign w:val="baseline"/>
        </w:rPr>
        <w:tab/>
      </w:r>
      <w:r w:rsidR="000504E8">
        <w:rPr>
          <w:rFonts w:ascii="Times New Roman" w:hAnsi="Times New Roman" w:cs="Times New Roman"/>
          <w:sz w:val="24"/>
          <w:szCs w:val="24"/>
          <w:vertAlign w:val="baseline"/>
        </w:rPr>
        <w:t>COMPLIANCE WITH</w:t>
      </w:r>
      <w:r w:rsidR="00C175FB">
        <w:rPr>
          <w:rFonts w:ascii="Times New Roman" w:hAnsi="Times New Roman" w:cs="Times New Roman"/>
          <w:sz w:val="24"/>
          <w:szCs w:val="24"/>
          <w:vertAlign w:val="baseline"/>
        </w:rPr>
        <w:t xml:space="preserve"> CEDAW</w:t>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t xml:space="preserve">            188</w:t>
      </w:r>
    </w:p>
    <w:p w14:paraId="4BE48DD9" w14:textId="4116B02F" w:rsidR="00C175FB" w:rsidRPr="002920F2" w:rsidRDefault="00B10935" w:rsidP="00B10935">
      <w:pPr>
        <w:spacing w:line="360" w:lineRule="auto"/>
        <w:ind w:left="284" w:hanging="142"/>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  </w:t>
      </w:r>
      <w:r w:rsidR="000504E8" w:rsidRPr="00D86A9F">
        <w:rPr>
          <w:rFonts w:ascii="Times New Roman" w:hAnsi="Times New Roman" w:cs="Times New Roman"/>
          <w:i/>
          <w:sz w:val="24"/>
          <w:szCs w:val="24"/>
          <w:vertAlign w:val="baseline"/>
        </w:rPr>
        <w:t xml:space="preserve">   </w:t>
      </w:r>
      <w:r>
        <w:rPr>
          <w:rFonts w:ascii="Times New Roman" w:hAnsi="Times New Roman" w:cs="Times New Roman"/>
          <w:i/>
          <w:sz w:val="24"/>
          <w:szCs w:val="24"/>
          <w:vertAlign w:val="baseline"/>
        </w:rPr>
        <w:t xml:space="preserve"> </w:t>
      </w:r>
      <w:r w:rsidR="00B13974" w:rsidRPr="00D86A9F">
        <w:rPr>
          <w:rFonts w:ascii="Times New Roman" w:hAnsi="Times New Roman" w:cs="Times New Roman"/>
          <w:i/>
          <w:sz w:val="24"/>
          <w:szCs w:val="24"/>
          <w:vertAlign w:val="baseline"/>
        </w:rPr>
        <w:t>5</w:t>
      </w:r>
      <w:r w:rsidR="00C175FB" w:rsidRPr="00D86A9F">
        <w:rPr>
          <w:rFonts w:ascii="Times New Roman" w:hAnsi="Times New Roman" w:cs="Times New Roman"/>
          <w:i/>
          <w:sz w:val="24"/>
          <w:szCs w:val="24"/>
          <w:vertAlign w:val="baseline"/>
        </w:rPr>
        <w:t>.4.1</w:t>
      </w:r>
      <w:r w:rsidR="00C175FB" w:rsidRPr="00D86A9F">
        <w:rPr>
          <w:rFonts w:ascii="Times New Roman" w:hAnsi="Times New Roman" w:cs="Times New Roman"/>
          <w:i/>
          <w:sz w:val="24"/>
          <w:szCs w:val="24"/>
          <w:vertAlign w:val="baseline"/>
        </w:rPr>
        <w:tab/>
        <w:t>Nepal</w:t>
      </w:r>
      <w:r w:rsidR="002920F2">
        <w:rPr>
          <w:rFonts w:ascii="Times New Roman" w:hAnsi="Times New Roman" w:cs="Times New Roman"/>
          <w:i/>
          <w:sz w:val="24"/>
          <w:szCs w:val="24"/>
          <w:vertAlign w:val="baseline"/>
        </w:rPr>
        <w:tab/>
      </w:r>
      <w:r w:rsidR="002920F2">
        <w:rPr>
          <w:rFonts w:ascii="Times New Roman" w:hAnsi="Times New Roman" w:cs="Times New Roman"/>
          <w:i/>
          <w:sz w:val="24"/>
          <w:szCs w:val="24"/>
          <w:vertAlign w:val="baseline"/>
        </w:rPr>
        <w:tab/>
      </w:r>
      <w:r w:rsidR="002920F2">
        <w:rPr>
          <w:rFonts w:ascii="Times New Roman" w:hAnsi="Times New Roman" w:cs="Times New Roman"/>
          <w:i/>
          <w:sz w:val="24"/>
          <w:szCs w:val="24"/>
          <w:vertAlign w:val="baseline"/>
        </w:rPr>
        <w:tab/>
      </w:r>
      <w:r w:rsidR="002920F2">
        <w:rPr>
          <w:rFonts w:ascii="Times New Roman" w:hAnsi="Times New Roman" w:cs="Times New Roman"/>
          <w:i/>
          <w:sz w:val="24"/>
          <w:szCs w:val="24"/>
          <w:vertAlign w:val="baseline"/>
        </w:rPr>
        <w:tab/>
      </w:r>
      <w:r w:rsidR="002920F2">
        <w:rPr>
          <w:rFonts w:ascii="Times New Roman" w:hAnsi="Times New Roman" w:cs="Times New Roman"/>
          <w:i/>
          <w:sz w:val="24"/>
          <w:szCs w:val="24"/>
          <w:vertAlign w:val="baseline"/>
        </w:rPr>
        <w:tab/>
      </w:r>
      <w:r w:rsidR="002920F2">
        <w:rPr>
          <w:rFonts w:ascii="Times New Roman" w:hAnsi="Times New Roman" w:cs="Times New Roman"/>
          <w:i/>
          <w:sz w:val="24"/>
          <w:szCs w:val="24"/>
          <w:vertAlign w:val="baseline"/>
        </w:rPr>
        <w:tab/>
      </w:r>
      <w:r w:rsidR="002920F2">
        <w:rPr>
          <w:rFonts w:ascii="Times New Roman" w:hAnsi="Times New Roman" w:cs="Times New Roman"/>
          <w:i/>
          <w:sz w:val="24"/>
          <w:szCs w:val="24"/>
          <w:vertAlign w:val="baseline"/>
        </w:rPr>
        <w:tab/>
      </w:r>
      <w:r w:rsidR="002920F2">
        <w:rPr>
          <w:rFonts w:ascii="Times New Roman" w:hAnsi="Times New Roman" w:cs="Times New Roman"/>
          <w:i/>
          <w:sz w:val="24"/>
          <w:szCs w:val="24"/>
          <w:vertAlign w:val="baseline"/>
        </w:rPr>
        <w:tab/>
      </w:r>
      <w:r w:rsidR="002920F2">
        <w:rPr>
          <w:rFonts w:ascii="Times New Roman" w:hAnsi="Times New Roman" w:cs="Times New Roman"/>
          <w:i/>
          <w:sz w:val="24"/>
          <w:szCs w:val="24"/>
          <w:vertAlign w:val="baseline"/>
        </w:rPr>
        <w:tab/>
      </w:r>
      <w:r w:rsidR="0064696D">
        <w:rPr>
          <w:rFonts w:ascii="Times New Roman" w:hAnsi="Times New Roman" w:cs="Times New Roman"/>
          <w:sz w:val="24"/>
          <w:szCs w:val="24"/>
          <w:vertAlign w:val="baseline"/>
        </w:rPr>
        <w:t>189</w:t>
      </w:r>
    </w:p>
    <w:p w14:paraId="3AAEA3D7" w14:textId="101BC585" w:rsidR="00C175FB" w:rsidRPr="002920F2" w:rsidRDefault="000504E8" w:rsidP="00C175FB">
      <w:pPr>
        <w:spacing w:line="360" w:lineRule="auto"/>
        <w:ind w:firstLine="284"/>
        <w:rPr>
          <w:rFonts w:ascii="Times New Roman" w:hAnsi="Times New Roman" w:cs="Times New Roman"/>
          <w:sz w:val="24"/>
          <w:szCs w:val="24"/>
          <w:vertAlign w:val="baseline"/>
        </w:rPr>
      </w:pPr>
      <w:r w:rsidRPr="00D86A9F">
        <w:rPr>
          <w:rFonts w:ascii="Times New Roman" w:hAnsi="Times New Roman" w:cs="Times New Roman"/>
          <w:i/>
          <w:sz w:val="24"/>
          <w:szCs w:val="24"/>
          <w:vertAlign w:val="baseline"/>
        </w:rPr>
        <w:t xml:space="preserve">   </w:t>
      </w:r>
      <w:r w:rsidR="00B13974" w:rsidRPr="00D86A9F">
        <w:rPr>
          <w:rFonts w:ascii="Times New Roman" w:hAnsi="Times New Roman" w:cs="Times New Roman"/>
          <w:i/>
          <w:sz w:val="24"/>
          <w:szCs w:val="24"/>
          <w:vertAlign w:val="baseline"/>
        </w:rPr>
        <w:t>5</w:t>
      </w:r>
      <w:r w:rsidR="00C175FB" w:rsidRPr="00D86A9F">
        <w:rPr>
          <w:rFonts w:ascii="Times New Roman" w:hAnsi="Times New Roman" w:cs="Times New Roman"/>
          <w:i/>
          <w:sz w:val="24"/>
          <w:szCs w:val="24"/>
          <w:vertAlign w:val="baseline"/>
        </w:rPr>
        <w:t>.4.2</w:t>
      </w:r>
      <w:r w:rsidR="00C175FB" w:rsidRPr="00D86A9F">
        <w:rPr>
          <w:rFonts w:ascii="Times New Roman" w:hAnsi="Times New Roman" w:cs="Times New Roman"/>
          <w:i/>
          <w:sz w:val="24"/>
          <w:szCs w:val="24"/>
          <w:vertAlign w:val="baseline"/>
        </w:rPr>
        <w:tab/>
        <w:t>India</w:t>
      </w:r>
      <w:r w:rsidR="002920F2">
        <w:rPr>
          <w:rFonts w:ascii="Times New Roman" w:hAnsi="Times New Roman" w:cs="Times New Roman"/>
          <w:i/>
          <w:sz w:val="24"/>
          <w:szCs w:val="24"/>
          <w:vertAlign w:val="baseline"/>
        </w:rPr>
        <w:tab/>
      </w:r>
      <w:r w:rsidR="002920F2">
        <w:rPr>
          <w:rFonts w:ascii="Times New Roman" w:hAnsi="Times New Roman" w:cs="Times New Roman"/>
          <w:i/>
          <w:sz w:val="24"/>
          <w:szCs w:val="24"/>
          <w:vertAlign w:val="baseline"/>
        </w:rPr>
        <w:tab/>
      </w:r>
      <w:r w:rsidR="002920F2">
        <w:rPr>
          <w:rFonts w:ascii="Times New Roman" w:hAnsi="Times New Roman" w:cs="Times New Roman"/>
          <w:i/>
          <w:sz w:val="24"/>
          <w:szCs w:val="24"/>
          <w:vertAlign w:val="baseline"/>
        </w:rPr>
        <w:tab/>
      </w:r>
      <w:r w:rsidR="002920F2">
        <w:rPr>
          <w:rFonts w:ascii="Times New Roman" w:hAnsi="Times New Roman" w:cs="Times New Roman"/>
          <w:i/>
          <w:sz w:val="24"/>
          <w:szCs w:val="24"/>
          <w:vertAlign w:val="baseline"/>
        </w:rPr>
        <w:tab/>
      </w:r>
      <w:r w:rsidR="002920F2">
        <w:rPr>
          <w:rFonts w:ascii="Times New Roman" w:hAnsi="Times New Roman" w:cs="Times New Roman"/>
          <w:i/>
          <w:sz w:val="24"/>
          <w:szCs w:val="24"/>
          <w:vertAlign w:val="baseline"/>
        </w:rPr>
        <w:tab/>
      </w:r>
      <w:r w:rsidR="002920F2">
        <w:rPr>
          <w:rFonts w:ascii="Times New Roman" w:hAnsi="Times New Roman" w:cs="Times New Roman"/>
          <w:i/>
          <w:sz w:val="24"/>
          <w:szCs w:val="24"/>
          <w:vertAlign w:val="baseline"/>
        </w:rPr>
        <w:tab/>
      </w:r>
      <w:r w:rsidR="002920F2">
        <w:rPr>
          <w:rFonts w:ascii="Times New Roman" w:hAnsi="Times New Roman" w:cs="Times New Roman"/>
          <w:i/>
          <w:sz w:val="24"/>
          <w:szCs w:val="24"/>
          <w:vertAlign w:val="baseline"/>
        </w:rPr>
        <w:tab/>
      </w:r>
      <w:r w:rsidR="002920F2">
        <w:rPr>
          <w:rFonts w:ascii="Times New Roman" w:hAnsi="Times New Roman" w:cs="Times New Roman"/>
          <w:i/>
          <w:sz w:val="24"/>
          <w:szCs w:val="24"/>
          <w:vertAlign w:val="baseline"/>
        </w:rPr>
        <w:tab/>
      </w:r>
      <w:r w:rsidR="002920F2">
        <w:rPr>
          <w:rFonts w:ascii="Times New Roman" w:hAnsi="Times New Roman" w:cs="Times New Roman"/>
          <w:i/>
          <w:sz w:val="24"/>
          <w:szCs w:val="24"/>
          <w:vertAlign w:val="baseline"/>
        </w:rPr>
        <w:tab/>
      </w:r>
      <w:r w:rsidR="0064696D">
        <w:rPr>
          <w:rFonts w:ascii="Times New Roman" w:hAnsi="Times New Roman" w:cs="Times New Roman"/>
          <w:sz w:val="24"/>
          <w:szCs w:val="24"/>
          <w:vertAlign w:val="baseline"/>
        </w:rPr>
        <w:t>192</w:t>
      </w:r>
    </w:p>
    <w:p w14:paraId="48A827CD" w14:textId="6F4A05FE" w:rsidR="00C175FB" w:rsidRPr="002920F2" w:rsidRDefault="000504E8" w:rsidP="00C175FB">
      <w:pPr>
        <w:spacing w:line="360" w:lineRule="auto"/>
        <w:ind w:firstLine="284"/>
        <w:rPr>
          <w:rFonts w:ascii="Times New Roman" w:hAnsi="Times New Roman" w:cs="Times New Roman"/>
          <w:sz w:val="24"/>
          <w:szCs w:val="24"/>
          <w:vertAlign w:val="baseline"/>
        </w:rPr>
      </w:pPr>
      <w:r w:rsidRPr="00D86A9F">
        <w:rPr>
          <w:rFonts w:ascii="Times New Roman" w:hAnsi="Times New Roman" w:cs="Times New Roman"/>
          <w:i/>
          <w:sz w:val="24"/>
          <w:szCs w:val="24"/>
          <w:vertAlign w:val="baseline"/>
        </w:rPr>
        <w:t xml:space="preserve">   </w:t>
      </w:r>
      <w:r w:rsidR="00B13974" w:rsidRPr="00D86A9F">
        <w:rPr>
          <w:rFonts w:ascii="Times New Roman" w:hAnsi="Times New Roman" w:cs="Times New Roman"/>
          <w:i/>
          <w:sz w:val="24"/>
          <w:szCs w:val="24"/>
          <w:vertAlign w:val="baseline"/>
        </w:rPr>
        <w:t>5</w:t>
      </w:r>
      <w:r w:rsidR="00C175FB" w:rsidRPr="00D86A9F">
        <w:rPr>
          <w:rFonts w:ascii="Times New Roman" w:hAnsi="Times New Roman" w:cs="Times New Roman"/>
          <w:i/>
          <w:sz w:val="24"/>
          <w:szCs w:val="24"/>
          <w:vertAlign w:val="baseline"/>
        </w:rPr>
        <w:t>.4.3</w:t>
      </w:r>
      <w:r w:rsidR="00C175FB" w:rsidRPr="00D86A9F">
        <w:rPr>
          <w:rFonts w:ascii="Times New Roman" w:hAnsi="Times New Roman" w:cs="Times New Roman"/>
          <w:i/>
          <w:sz w:val="24"/>
          <w:szCs w:val="24"/>
          <w:vertAlign w:val="baseline"/>
        </w:rPr>
        <w:tab/>
        <w:t>Ghana</w:t>
      </w:r>
      <w:r w:rsidR="002920F2">
        <w:rPr>
          <w:rFonts w:ascii="Times New Roman" w:hAnsi="Times New Roman" w:cs="Times New Roman"/>
          <w:i/>
          <w:sz w:val="24"/>
          <w:szCs w:val="24"/>
          <w:vertAlign w:val="baseline"/>
        </w:rPr>
        <w:tab/>
      </w:r>
      <w:r w:rsidR="002920F2">
        <w:rPr>
          <w:rFonts w:ascii="Times New Roman" w:hAnsi="Times New Roman" w:cs="Times New Roman"/>
          <w:i/>
          <w:sz w:val="24"/>
          <w:szCs w:val="24"/>
          <w:vertAlign w:val="baseline"/>
        </w:rPr>
        <w:tab/>
      </w:r>
      <w:r w:rsidR="002920F2">
        <w:rPr>
          <w:rFonts w:ascii="Times New Roman" w:hAnsi="Times New Roman" w:cs="Times New Roman"/>
          <w:i/>
          <w:sz w:val="24"/>
          <w:szCs w:val="24"/>
          <w:vertAlign w:val="baseline"/>
        </w:rPr>
        <w:tab/>
      </w:r>
      <w:r w:rsidR="002920F2">
        <w:rPr>
          <w:rFonts w:ascii="Times New Roman" w:hAnsi="Times New Roman" w:cs="Times New Roman"/>
          <w:i/>
          <w:sz w:val="24"/>
          <w:szCs w:val="24"/>
          <w:vertAlign w:val="baseline"/>
        </w:rPr>
        <w:tab/>
      </w:r>
      <w:r w:rsidR="002920F2">
        <w:rPr>
          <w:rFonts w:ascii="Times New Roman" w:hAnsi="Times New Roman" w:cs="Times New Roman"/>
          <w:i/>
          <w:sz w:val="24"/>
          <w:szCs w:val="24"/>
          <w:vertAlign w:val="baseline"/>
        </w:rPr>
        <w:tab/>
      </w:r>
      <w:r w:rsidR="002920F2">
        <w:rPr>
          <w:rFonts w:ascii="Times New Roman" w:hAnsi="Times New Roman" w:cs="Times New Roman"/>
          <w:i/>
          <w:sz w:val="24"/>
          <w:szCs w:val="24"/>
          <w:vertAlign w:val="baseline"/>
        </w:rPr>
        <w:tab/>
      </w:r>
      <w:r w:rsidR="002920F2">
        <w:rPr>
          <w:rFonts w:ascii="Times New Roman" w:hAnsi="Times New Roman" w:cs="Times New Roman"/>
          <w:i/>
          <w:sz w:val="24"/>
          <w:szCs w:val="24"/>
          <w:vertAlign w:val="baseline"/>
        </w:rPr>
        <w:tab/>
      </w:r>
      <w:r w:rsidR="002920F2">
        <w:rPr>
          <w:rFonts w:ascii="Times New Roman" w:hAnsi="Times New Roman" w:cs="Times New Roman"/>
          <w:i/>
          <w:sz w:val="24"/>
          <w:szCs w:val="24"/>
          <w:vertAlign w:val="baseline"/>
        </w:rPr>
        <w:tab/>
      </w:r>
      <w:r w:rsidR="002920F2">
        <w:rPr>
          <w:rFonts w:ascii="Times New Roman" w:hAnsi="Times New Roman" w:cs="Times New Roman"/>
          <w:i/>
          <w:sz w:val="24"/>
          <w:szCs w:val="24"/>
          <w:vertAlign w:val="baseline"/>
        </w:rPr>
        <w:tab/>
      </w:r>
      <w:r w:rsidR="0064696D">
        <w:rPr>
          <w:rFonts w:ascii="Times New Roman" w:hAnsi="Times New Roman" w:cs="Times New Roman"/>
          <w:sz w:val="24"/>
          <w:szCs w:val="24"/>
          <w:vertAlign w:val="baseline"/>
        </w:rPr>
        <w:t>197</w:t>
      </w:r>
    </w:p>
    <w:p w14:paraId="40B0ADCB" w14:textId="51BE43CB" w:rsidR="00A52AD7" w:rsidRPr="002920F2" w:rsidRDefault="000504E8" w:rsidP="00A52AD7">
      <w:pPr>
        <w:spacing w:line="360" w:lineRule="auto"/>
        <w:ind w:firstLine="284"/>
        <w:rPr>
          <w:rFonts w:ascii="Times New Roman" w:hAnsi="Times New Roman" w:cs="Times New Roman"/>
          <w:sz w:val="24"/>
          <w:szCs w:val="24"/>
          <w:vertAlign w:val="baseline"/>
        </w:rPr>
      </w:pPr>
      <w:r w:rsidRPr="00D86A9F">
        <w:rPr>
          <w:rFonts w:ascii="Times New Roman" w:hAnsi="Times New Roman" w:cs="Times New Roman"/>
          <w:i/>
          <w:sz w:val="24"/>
          <w:szCs w:val="24"/>
          <w:vertAlign w:val="baseline"/>
        </w:rPr>
        <w:t xml:space="preserve">   </w:t>
      </w:r>
      <w:r w:rsidR="00B13974" w:rsidRPr="00D86A9F">
        <w:rPr>
          <w:rFonts w:ascii="Times New Roman" w:hAnsi="Times New Roman" w:cs="Times New Roman"/>
          <w:i/>
          <w:sz w:val="24"/>
          <w:szCs w:val="24"/>
          <w:vertAlign w:val="baseline"/>
        </w:rPr>
        <w:t>5</w:t>
      </w:r>
      <w:r w:rsidR="00C175FB" w:rsidRPr="00D86A9F">
        <w:rPr>
          <w:rFonts w:ascii="Times New Roman" w:hAnsi="Times New Roman" w:cs="Times New Roman"/>
          <w:i/>
          <w:sz w:val="24"/>
          <w:szCs w:val="24"/>
          <w:vertAlign w:val="baseline"/>
        </w:rPr>
        <w:t>.4.4</w:t>
      </w:r>
      <w:r w:rsidR="00C175FB" w:rsidRPr="00D86A9F">
        <w:rPr>
          <w:rFonts w:ascii="Times New Roman" w:hAnsi="Times New Roman" w:cs="Times New Roman"/>
          <w:i/>
          <w:sz w:val="24"/>
          <w:szCs w:val="24"/>
          <w:vertAlign w:val="baseline"/>
        </w:rPr>
        <w:tab/>
        <w:t>Papua New Guinea</w:t>
      </w:r>
      <w:r w:rsidR="002920F2">
        <w:rPr>
          <w:rFonts w:ascii="Times New Roman" w:hAnsi="Times New Roman" w:cs="Times New Roman"/>
          <w:i/>
          <w:sz w:val="24"/>
          <w:szCs w:val="24"/>
          <w:vertAlign w:val="baseline"/>
        </w:rPr>
        <w:tab/>
      </w:r>
      <w:r w:rsidR="002920F2">
        <w:rPr>
          <w:rFonts w:ascii="Times New Roman" w:hAnsi="Times New Roman" w:cs="Times New Roman"/>
          <w:i/>
          <w:sz w:val="24"/>
          <w:szCs w:val="24"/>
          <w:vertAlign w:val="baseline"/>
        </w:rPr>
        <w:tab/>
      </w:r>
      <w:r w:rsidR="002920F2">
        <w:rPr>
          <w:rFonts w:ascii="Times New Roman" w:hAnsi="Times New Roman" w:cs="Times New Roman"/>
          <w:i/>
          <w:sz w:val="24"/>
          <w:szCs w:val="24"/>
          <w:vertAlign w:val="baseline"/>
        </w:rPr>
        <w:tab/>
      </w:r>
      <w:r w:rsidR="002920F2">
        <w:rPr>
          <w:rFonts w:ascii="Times New Roman" w:hAnsi="Times New Roman" w:cs="Times New Roman"/>
          <w:i/>
          <w:sz w:val="24"/>
          <w:szCs w:val="24"/>
          <w:vertAlign w:val="baseline"/>
        </w:rPr>
        <w:tab/>
      </w:r>
      <w:r w:rsidR="002920F2">
        <w:rPr>
          <w:rFonts w:ascii="Times New Roman" w:hAnsi="Times New Roman" w:cs="Times New Roman"/>
          <w:i/>
          <w:sz w:val="24"/>
          <w:szCs w:val="24"/>
          <w:vertAlign w:val="baseline"/>
        </w:rPr>
        <w:tab/>
      </w:r>
      <w:r w:rsidR="002920F2">
        <w:rPr>
          <w:rFonts w:ascii="Times New Roman" w:hAnsi="Times New Roman" w:cs="Times New Roman"/>
          <w:i/>
          <w:sz w:val="24"/>
          <w:szCs w:val="24"/>
          <w:vertAlign w:val="baseline"/>
        </w:rPr>
        <w:tab/>
      </w:r>
      <w:r w:rsidR="002920F2">
        <w:rPr>
          <w:rFonts w:ascii="Times New Roman" w:hAnsi="Times New Roman" w:cs="Times New Roman"/>
          <w:i/>
          <w:sz w:val="24"/>
          <w:szCs w:val="24"/>
          <w:vertAlign w:val="baseline"/>
        </w:rPr>
        <w:tab/>
      </w:r>
      <w:r w:rsidR="0064696D">
        <w:rPr>
          <w:rFonts w:ascii="Times New Roman" w:hAnsi="Times New Roman" w:cs="Times New Roman"/>
          <w:sz w:val="24"/>
          <w:szCs w:val="24"/>
          <w:vertAlign w:val="baseline"/>
        </w:rPr>
        <w:t>201</w:t>
      </w:r>
    </w:p>
    <w:p w14:paraId="50E976C9" w14:textId="0C87EEEA" w:rsidR="000504E8" w:rsidRPr="0006791B" w:rsidRDefault="00A52AD7" w:rsidP="0006791B">
      <w:pPr>
        <w:spacing w:line="360" w:lineRule="auto"/>
        <w:ind w:firstLine="284"/>
        <w:rPr>
          <w:rFonts w:ascii="Times New Roman" w:hAnsi="Times New Roman" w:cs="Times New Roman"/>
          <w:i/>
          <w:sz w:val="24"/>
          <w:szCs w:val="24"/>
          <w:vertAlign w:val="baseline"/>
        </w:rPr>
      </w:pPr>
      <w:r w:rsidRPr="00D86A9F">
        <w:rPr>
          <w:rFonts w:ascii="Times New Roman" w:hAnsi="Times New Roman" w:cs="Times New Roman"/>
          <w:i/>
          <w:sz w:val="24"/>
          <w:szCs w:val="24"/>
          <w:vertAlign w:val="baseline"/>
        </w:rPr>
        <w:t xml:space="preserve">   5.4.5</w:t>
      </w:r>
      <w:r>
        <w:rPr>
          <w:rFonts w:ascii="Times New Roman" w:hAnsi="Times New Roman" w:cs="Times New Roman"/>
          <w:sz w:val="24"/>
          <w:szCs w:val="24"/>
          <w:vertAlign w:val="baseline"/>
        </w:rPr>
        <w:tab/>
      </w:r>
      <w:r w:rsidR="00E95C9A">
        <w:rPr>
          <w:rFonts w:ascii="Times New Roman" w:hAnsi="Times New Roman" w:cs="Times New Roman"/>
          <w:i/>
          <w:sz w:val="24"/>
          <w:szCs w:val="24"/>
          <w:vertAlign w:val="baseline"/>
        </w:rPr>
        <w:t>Evaluation</w:t>
      </w:r>
      <w:r>
        <w:rPr>
          <w:rFonts w:ascii="Times New Roman" w:hAnsi="Times New Roman" w:cs="Times New Roman"/>
          <w:i/>
          <w:sz w:val="24"/>
          <w:szCs w:val="24"/>
          <w:vertAlign w:val="baseline"/>
        </w:rPr>
        <w:t xml:space="preserve"> of the CEDAW Committee</w:t>
      </w:r>
      <w:r w:rsidR="002920F2">
        <w:rPr>
          <w:rFonts w:ascii="Times New Roman" w:hAnsi="Times New Roman" w:cs="Times New Roman"/>
          <w:i/>
          <w:sz w:val="24"/>
          <w:szCs w:val="24"/>
          <w:vertAlign w:val="baseline"/>
        </w:rPr>
        <w:tab/>
      </w:r>
      <w:r w:rsidR="002920F2">
        <w:rPr>
          <w:rFonts w:ascii="Times New Roman" w:hAnsi="Times New Roman" w:cs="Times New Roman"/>
          <w:i/>
          <w:sz w:val="24"/>
          <w:szCs w:val="24"/>
          <w:vertAlign w:val="baseline"/>
        </w:rPr>
        <w:tab/>
      </w:r>
      <w:r w:rsidR="002920F2">
        <w:rPr>
          <w:rFonts w:ascii="Times New Roman" w:hAnsi="Times New Roman" w:cs="Times New Roman"/>
          <w:i/>
          <w:sz w:val="24"/>
          <w:szCs w:val="24"/>
          <w:vertAlign w:val="baseline"/>
        </w:rPr>
        <w:tab/>
      </w:r>
      <w:r w:rsidR="002920F2">
        <w:rPr>
          <w:rFonts w:ascii="Times New Roman" w:hAnsi="Times New Roman" w:cs="Times New Roman"/>
          <w:i/>
          <w:sz w:val="24"/>
          <w:szCs w:val="24"/>
          <w:vertAlign w:val="baseline"/>
        </w:rPr>
        <w:tab/>
      </w:r>
      <w:r w:rsidR="002920F2">
        <w:rPr>
          <w:rFonts w:ascii="Times New Roman" w:hAnsi="Times New Roman" w:cs="Times New Roman"/>
          <w:sz w:val="24"/>
          <w:szCs w:val="24"/>
          <w:vertAlign w:val="baseline"/>
        </w:rPr>
        <w:t>20</w:t>
      </w:r>
      <w:r w:rsidR="0064696D">
        <w:rPr>
          <w:rFonts w:ascii="Times New Roman" w:hAnsi="Times New Roman" w:cs="Times New Roman"/>
          <w:sz w:val="24"/>
          <w:szCs w:val="24"/>
          <w:vertAlign w:val="baseline"/>
        </w:rPr>
        <w:t>4</w:t>
      </w:r>
    </w:p>
    <w:p w14:paraId="08BDB875" w14:textId="54666B36" w:rsidR="002920F2" w:rsidRDefault="00B13974" w:rsidP="000504E8">
      <w:pPr>
        <w:ind w:firstLine="284"/>
        <w:rPr>
          <w:rFonts w:ascii="Times New Roman" w:hAnsi="Times New Roman" w:cs="Times New Roman"/>
          <w:sz w:val="24"/>
          <w:szCs w:val="24"/>
          <w:vertAlign w:val="baseline"/>
        </w:rPr>
      </w:pPr>
      <w:r>
        <w:rPr>
          <w:rFonts w:ascii="Times New Roman" w:hAnsi="Times New Roman" w:cs="Times New Roman"/>
          <w:sz w:val="24"/>
          <w:szCs w:val="24"/>
          <w:vertAlign w:val="baseline"/>
        </w:rPr>
        <w:t>5</w:t>
      </w:r>
      <w:r w:rsidR="00C175FB">
        <w:rPr>
          <w:rFonts w:ascii="Times New Roman" w:hAnsi="Times New Roman" w:cs="Times New Roman"/>
          <w:sz w:val="24"/>
          <w:szCs w:val="24"/>
          <w:vertAlign w:val="baseline"/>
        </w:rPr>
        <w:t>.5</w:t>
      </w:r>
      <w:r w:rsidR="00C175FB">
        <w:rPr>
          <w:rFonts w:ascii="Times New Roman" w:hAnsi="Times New Roman" w:cs="Times New Roman"/>
          <w:sz w:val="24"/>
          <w:szCs w:val="24"/>
          <w:vertAlign w:val="baseline"/>
        </w:rPr>
        <w:tab/>
      </w:r>
      <w:r w:rsidR="00C175FB">
        <w:rPr>
          <w:rFonts w:ascii="Times New Roman" w:hAnsi="Times New Roman" w:cs="Times New Roman"/>
          <w:sz w:val="24"/>
          <w:szCs w:val="24"/>
          <w:vertAlign w:val="baseline"/>
        </w:rPr>
        <w:tab/>
        <w:t>D</w:t>
      </w:r>
      <w:r w:rsidR="000504E8">
        <w:rPr>
          <w:rFonts w:ascii="Times New Roman" w:hAnsi="Times New Roman" w:cs="Times New Roman"/>
          <w:sz w:val="24"/>
          <w:szCs w:val="24"/>
          <w:vertAlign w:val="baseline"/>
        </w:rPr>
        <w:t xml:space="preserve">ECLARATION ON THE ELIMINATION OF </w:t>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t>206</w:t>
      </w:r>
    </w:p>
    <w:p w14:paraId="277EE1A6" w14:textId="279237CC" w:rsidR="000504E8" w:rsidRDefault="000504E8" w:rsidP="002920F2">
      <w:pPr>
        <w:ind w:left="720" w:firstLine="720"/>
        <w:rPr>
          <w:rFonts w:ascii="Times New Roman" w:hAnsi="Times New Roman" w:cs="Times New Roman"/>
          <w:sz w:val="24"/>
          <w:szCs w:val="24"/>
          <w:vertAlign w:val="baseline"/>
        </w:rPr>
      </w:pPr>
      <w:r>
        <w:rPr>
          <w:rFonts w:ascii="Times New Roman" w:hAnsi="Times New Roman" w:cs="Times New Roman"/>
          <w:sz w:val="24"/>
          <w:szCs w:val="24"/>
          <w:vertAlign w:val="baseline"/>
        </w:rPr>
        <w:t>DISCRIMINATION AGAINST WOMEN</w:t>
      </w:r>
    </w:p>
    <w:p w14:paraId="128DF41D" w14:textId="77777777" w:rsidR="00994944" w:rsidRDefault="00994944" w:rsidP="002920F2">
      <w:pPr>
        <w:ind w:left="720" w:firstLine="720"/>
        <w:rPr>
          <w:rFonts w:ascii="Times New Roman" w:hAnsi="Times New Roman" w:cs="Times New Roman"/>
          <w:sz w:val="24"/>
          <w:szCs w:val="24"/>
          <w:vertAlign w:val="baseline"/>
        </w:rPr>
      </w:pPr>
    </w:p>
    <w:p w14:paraId="2F7357AA" w14:textId="45EB7307" w:rsidR="002920F2" w:rsidRDefault="00B13974" w:rsidP="00D4608E">
      <w:pPr>
        <w:ind w:left="1440" w:hanging="1156"/>
        <w:rPr>
          <w:rFonts w:ascii="Times New Roman" w:hAnsi="Times New Roman" w:cs="Times New Roman"/>
          <w:sz w:val="24"/>
          <w:szCs w:val="24"/>
          <w:vertAlign w:val="baseline"/>
        </w:rPr>
      </w:pPr>
      <w:r>
        <w:rPr>
          <w:rFonts w:ascii="Times New Roman" w:hAnsi="Times New Roman" w:cs="Times New Roman"/>
          <w:sz w:val="24"/>
          <w:szCs w:val="24"/>
          <w:vertAlign w:val="baseline"/>
        </w:rPr>
        <w:t>5</w:t>
      </w:r>
      <w:r w:rsidR="00C175FB">
        <w:rPr>
          <w:rFonts w:ascii="Times New Roman" w:hAnsi="Times New Roman" w:cs="Times New Roman"/>
          <w:sz w:val="24"/>
          <w:szCs w:val="24"/>
          <w:vertAlign w:val="baseline"/>
        </w:rPr>
        <w:t>.6</w:t>
      </w:r>
      <w:r w:rsidR="00C175FB">
        <w:rPr>
          <w:rFonts w:ascii="Times New Roman" w:hAnsi="Times New Roman" w:cs="Times New Roman"/>
          <w:sz w:val="24"/>
          <w:szCs w:val="24"/>
          <w:vertAlign w:val="baseline"/>
        </w:rPr>
        <w:tab/>
        <w:t>C</w:t>
      </w:r>
      <w:r w:rsidR="000504E8">
        <w:rPr>
          <w:rFonts w:ascii="Times New Roman" w:hAnsi="Times New Roman" w:cs="Times New Roman"/>
          <w:sz w:val="24"/>
          <w:szCs w:val="24"/>
          <w:vertAlign w:val="baseline"/>
        </w:rPr>
        <w:t xml:space="preserve">ONVENTION AGAINST TORTURE AND OTHER </w:t>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t>208</w:t>
      </w:r>
    </w:p>
    <w:p w14:paraId="064B0CA1" w14:textId="6A19B1D4" w:rsidR="0006791B" w:rsidRDefault="000504E8" w:rsidP="00CD0893">
      <w:pPr>
        <w:spacing w:line="360" w:lineRule="auto"/>
        <w:ind w:left="1440"/>
        <w:rPr>
          <w:rFonts w:ascii="Times New Roman" w:hAnsi="Times New Roman" w:cs="Times New Roman"/>
          <w:sz w:val="24"/>
          <w:szCs w:val="24"/>
          <w:vertAlign w:val="baseline"/>
        </w:rPr>
      </w:pPr>
      <w:r>
        <w:rPr>
          <w:rFonts w:ascii="Times New Roman" w:hAnsi="Times New Roman" w:cs="Times New Roman"/>
          <w:sz w:val="24"/>
          <w:szCs w:val="24"/>
          <w:vertAlign w:val="baseline"/>
        </w:rPr>
        <w:t>CRUEL, INHUMAN OR DEGRADING PUNISHMENT (CAT)</w:t>
      </w:r>
    </w:p>
    <w:p w14:paraId="09FBF5B8" w14:textId="04B1AA0E" w:rsidR="000C220B" w:rsidRPr="0006791B" w:rsidRDefault="000504E8" w:rsidP="00C175FB">
      <w:pPr>
        <w:spacing w:line="360" w:lineRule="auto"/>
        <w:ind w:left="1440" w:hanging="1156"/>
        <w:rPr>
          <w:rFonts w:ascii="Times New Roman" w:hAnsi="Times New Roman" w:cs="Times New Roman"/>
          <w:sz w:val="24"/>
          <w:szCs w:val="24"/>
          <w:vertAlign w:val="baseline"/>
        </w:rPr>
      </w:pPr>
      <w:r w:rsidRPr="00D86A9F">
        <w:rPr>
          <w:rFonts w:ascii="Times New Roman" w:hAnsi="Times New Roman" w:cs="Times New Roman"/>
          <w:i/>
          <w:sz w:val="24"/>
          <w:szCs w:val="24"/>
          <w:vertAlign w:val="baseline"/>
        </w:rPr>
        <w:t xml:space="preserve">   </w:t>
      </w:r>
      <w:r w:rsidR="00B13974" w:rsidRPr="00D86A9F">
        <w:rPr>
          <w:rFonts w:ascii="Times New Roman" w:hAnsi="Times New Roman" w:cs="Times New Roman"/>
          <w:i/>
          <w:sz w:val="24"/>
          <w:szCs w:val="24"/>
          <w:vertAlign w:val="baseline"/>
        </w:rPr>
        <w:t>5</w:t>
      </w:r>
      <w:r w:rsidR="000C220B" w:rsidRPr="00D86A9F">
        <w:rPr>
          <w:rFonts w:ascii="Times New Roman" w:hAnsi="Times New Roman" w:cs="Times New Roman"/>
          <w:i/>
          <w:sz w:val="24"/>
          <w:szCs w:val="24"/>
          <w:vertAlign w:val="baseline"/>
        </w:rPr>
        <w:t>.6.1</w:t>
      </w:r>
      <w:r w:rsidR="000C220B" w:rsidRPr="00D86A9F">
        <w:rPr>
          <w:rFonts w:ascii="Times New Roman" w:hAnsi="Times New Roman" w:cs="Times New Roman"/>
          <w:i/>
          <w:sz w:val="24"/>
          <w:szCs w:val="24"/>
          <w:vertAlign w:val="baseline"/>
        </w:rPr>
        <w:tab/>
        <w:t>Compliance with CAT</w:t>
      </w:r>
      <w:r w:rsidR="0006791B">
        <w:rPr>
          <w:rFonts w:ascii="Times New Roman" w:hAnsi="Times New Roman" w:cs="Times New Roman"/>
          <w:i/>
          <w:sz w:val="24"/>
          <w:szCs w:val="24"/>
          <w:vertAlign w:val="baseline"/>
        </w:rPr>
        <w:tab/>
      </w:r>
      <w:r w:rsidR="0006791B">
        <w:rPr>
          <w:rFonts w:ascii="Times New Roman" w:hAnsi="Times New Roman" w:cs="Times New Roman"/>
          <w:i/>
          <w:sz w:val="24"/>
          <w:szCs w:val="24"/>
          <w:vertAlign w:val="baseline"/>
        </w:rPr>
        <w:tab/>
      </w:r>
      <w:r w:rsidR="0006791B">
        <w:rPr>
          <w:rFonts w:ascii="Times New Roman" w:hAnsi="Times New Roman" w:cs="Times New Roman"/>
          <w:i/>
          <w:sz w:val="24"/>
          <w:szCs w:val="24"/>
          <w:vertAlign w:val="baseline"/>
        </w:rPr>
        <w:tab/>
      </w:r>
      <w:r w:rsidR="0006791B">
        <w:rPr>
          <w:rFonts w:ascii="Times New Roman" w:hAnsi="Times New Roman" w:cs="Times New Roman"/>
          <w:i/>
          <w:sz w:val="24"/>
          <w:szCs w:val="24"/>
          <w:vertAlign w:val="baseline"/>
        </w:rPr>
        <w:tab/>
      </w:r>
      <w:r w:rsidR="0006791B">
        <w:rPr>
          <w:rFonts w:ascii="Times New Roman" w:hAnsi="Times New Roman" w:cs="Times New Roman"/>
          <w:i/>
          <w:sz w:val="24"/>
          <w:szCs w:val="24"/>
          <w:vertAlign w:val="baseline"/>
        </w:rPr>
        <w:tab/>
      </w:r>
      <w:r w:rsidR="0006791B">
        <w:rPr>
          <w:rFonts w:ascii="Times New Roman" w:hAnsi="Times New Roman" w:cs="Times New Roman"/>
          <w:i/>
          <w:sz w:val="24"/>
          <w:szCs w:val="24"/>
          <w:vertAlign w:val="baseline"/>
        </w:rPr>
        <w:tab/>
      </w:r>
      <w:r w:rsidR="0006791B">
        <w:rPr>
          <w:rFonts w:ascii="Times New Roman" w:hAnsi="Times New Roman" w:cs="Times New Roman"/>
          <w:i/>
          <w:sz w:val="24"/>
          <w:szCs w:val="24"/>
          <w:vertAlign w:val="baseline"/>
        </w:rPr>
        <w:tab/>
      </w:r>
      <w:r w:rsidR="0064696D">
        <w:rPr>
          <w:rFonts w:ascii="Times New Roman" w:hAnsi="Times New Roman" w:cs="Times New Roman"/>
          <w:sz w:val="24"/>
          <w:szCs w:val="24"/>
          <w:vertAlign w:val="baseline"/>
        </w:rPr>
        <w:t>213</w:t>
      </w:r>
    </w:p>
    <w:p w14:paraId="62427EB5" w14:textId="5254F5C7" w:rsidR="00E95C9A" w:rsidRPr="0006791B" w:rsidRDefault="00E95C9A" w:rsidP="00D4608E">
      <w:pPr>
        <w:spacing w:line="360" w:lineRule="auto"/>
        <w:ind w:left="1440" w:hanging="1156"/>
        <w:rPr>
          <w:rFonts w:ascii="Times New Roman" w:hAnsi="Times New Roman" w:cs="Times New Roman"/>
          <w:sz w:val="24"/>
          <w:szCs w:val="24"/>
          <w:vertAlign w:val="baseline"/>
        </w:rPr>
      </w:pPr>
      <w:r w:rsidRPr="00D86A9F">
        <w:rPr>
          <w:rFonts w:ascii="Times New Roman" w:hAnsi="Times New Roman" w:cs="Times New Roman"/>
          <w:i/>
          <w:sz w:val="24"/>
          <w:szCs w:val="24"/>
          <w:vertAlign w:val="baseline"/>
        </w:rPr>
        <w:t xml:space="preserve">   5.6.2</w:t>
      </w:r>
      <w:r>
        <w:rPr>
          <w:rFonts w:ascii="Times New Roman" w:hAnsi="Times New Roman" w:cs="Times New Roman"/>
          <w:sz w:val="24"/>
          <w:szCs w:val="24"/>
          <w:vertAlign w:val="baseline"/>
        </w:rPr>
        <w:tab/>
      </w:r>
      <w:r>
        <w:rPr>
          <w:rFonts w:ascii="Times New Roman" w:hAnsi="Times New Roman" w:cs="Times New Roman"/>
          <w:i/>
          <w:sz w:val="24"/>
          <w:szCs w:val="24"/>
          <w:vertAlign w:val="baseline"/>
        </w:rPr>
        <w:t>Evaluation of the CAT Committee</w:t>
      </w:r>
      <w:r w:rsidR="0006791B">
        <w:rPr>
          <w:rFonts w:ascii="Times New Roman" w:hAnsi="Times New Roman" w:cs="Times New Roman"/>
          <w:i/>
          <w:sz w:val="24"/>
          <w:szCs w:val="24"/>
          <w:vertAlign w:val="baseline"/>
        </w:rPr>
        <w:tab/>
      </w:r>
      <w:r w:rsidR="0006791B">
        <w:rPr>
          <w:rFonts w:ascii="Times New Roman" w:hAnsi="Times New Roman" w:cs="Times New Roman"/>
          <w:i/>
          <w:sz w:val="24"/>
          <w:szCs w:val="24"/>
          <w:vertAlign w:val="baseline"/>
        </w:rPr>
        <w:tab/>
      </w:r>
      <w:r w:rsidR="0006791B">
        <w:rPr>
          <w:rFonts w:ascii="Times New Roman" w:hAnsi="Times New Roman" w:cs="Times New Roman"/>
          <w:i/>
          <w:sz w:val="24"/>
          <w:szCs w:val="24"/>
          <w:vertAlign w:val="baseline"/>
        </w:rPr>
        <w:tab/>
      </w:r>
      <w:r w:rsidR="0006791B">
        <w:rPr>
          <w:rFonts w:ascii="Times New Roman" w:hAnsi="Times New Roman" w:cs="Times New Roman"/>
          <w:i/>
          <w:sz w:val="24"/>
          <w:szCs w:val="24"/>
          <w:vertAlign w:val="baseline"/>
        </w:rPr>
        <w:tab/>
      </w:r>
      <w:r w:rsidR="0006791B">
        <w:rPr>
          <w:rFonts w:ascii="Times New Roman" w:hAnsi="Times New Roman" w:cs="Times New Roman"/>
          <w:i/>
          <w:sz w:val="24"/>
          <w:szCs w:val="24"/>
          <w:vertAlign w:val="baseline"/>
        </w:rPr>
        <w:tab/>
      </w:r>
      <w:r w:rsidR="0064696D">
        <w:rPr>
          <w:rFonts w:ascii="Times New Roman" w:hAnsi="Times New Roman" w:cs="Times New Roman"/>
          <w:sz w:val="24"/>
          <w:szCs w:val="24"/>
          <w:vertAlign w:val="baseline"/>
        </w:rPr>
        <w:t>214</w:t>
      </w:r>
    </w:p>
    <w:p w14:paraId="4AFDEB95" w14:textId="76B88E24" w:rsidR="0006791B" w:rsidRDefault="00B13974" w:rsidP="00D4608E">
      <w:pPr>
        <w:ind w:left="1440" w:hanging="1156"/>
        <w:rPr>
          <w:rFonts w:ascii="Times New Roman" w:hAnsi="Times New Roman" w:cs="Times New Roman"/>
          <w:sz w:val="24"/>
          <w:szCs w:val="24"/>
          <w:vertAlign w:val="baseline"/>
        </w:rPr>
      </w:pPr>
      <w:r>
        <w:rPr>
          <w:rFonts w:ascii="Times New Roman" w:hAnsi="Times New Roman" w:cs="Times New Roman"/>
          <w:sz w:val="24"/>
          <w:szCs w:val="24"/>
          <w:vertAlign w:val="baseline"/>
        </w:rPr>
        <w:t>5</w:t>
      </w:r>
      <w:r w:rsidR="000C220B">
        <w:rPr>
          <w:rFonts w:ascii="Times New Roman" w:hAnsi="Times New Roman" w:cs="Times New Roman"/>
          <w:sz w:val="24"/>
          <w:szCs w:val="24"/>
          <w:vertAlign w:val="baseline"/>
        </w:rPr>
        <w:t>.7</w:t>
      </w:r>
      <w:r w:rsidR="000C220B">
        <w:rPr>
          <w:rFonts w:ascii="Times New Roman" w:hAnsi="Times New Roman" w:cs="Times New Roman"/>
          <w:sz w:val="24"/>
          <w:szCs w:val="24"/>
          <w:vertAlign w:val="baseline"/>
        </w:rPr>
        <w:tab/>
        <w:t>I</w:t>
      </w:r>
      <w:r w:rsidR="000504E8">
        <w:rPr>
          <w:rFonts w:ascii="Times New Roman" w:hAnsi="Times New Roman" w:cs="Times New Roman"/>
          <w:sz w:val="24"/>
          <w:szCs w:val="24"/>
          <w:vertAlign w:val="baseline"/>
        </w:rPr>
        <w:t>NTERNATIONAL COVENANT ON CIVIL AND POLITICAL</w:t>
      </w:r>
      <w:r w:rsidR="0064696D">
        <w:rPr>
          <w:rFonts w:ascii="Times New Roman" w:hAnsi="Times New Roman" w:cs="Times New Roman"/>
          <w:sz w:val="24"/>
          <w:szCs w:val="24"/>
          <w:vertAlign w:val="baseline"/>
        </w:rPr>
        <w:tab/>
        <w:t>214</w:t>
      </w:r>
    </w:p>
    <w:p w14:paraId="024F2743" w14:textId="62E0EE0F" w:rsidR="00CD0893" w:rsidRDefault="000504E8" w:rsidP="00CD0893">
      <w:pPr>
        <w:spacing w:line="360" w:lineRule="auto"/>
        <w:ind w:left="1440"/>
        <w:rPr>
          <w:rFonts w:ascii="Times New Roman" w:hAnsi="Times New Roman" w:cs="Times New Roman"/>
          <w:sz w:val="24"/>
          <w:szCs w:val="24"/>
          <w:vertAlign w:val="baseline"/>
        </w:rPr>
      </w:pPr>
      <w:r>
        <w:rPr>
          <w:rFonts w:ascii="Times New Roman" w:hAnsi="Times New Roman" w:cs="Times New Roman"/>
          <w:sz w:val="24"/>
          <w:szCs w:val="24"/>
          <w:vertAlign w:val="baseline"/>
        </w:rPr>
        <w:t>RIGHTS</w:t>
      </w:r>
      <w:r w:rsidR="000C220B">
        <w:rPr>
          <w:rFonts w:ascii="Times New Roman" w:hAnsi="Times New Roman" w:cs="Times New Roman"/>
          <w:sz w:val="24"/>
          <w:szCs w:val="24"/>
          <w:vertAlign w:val="baseline"/>
        </w:rPr>
        <w:t xml:space="preserve"> (ICCPR)</w:t>
      </w:r>
    </w:p>
    <w:p w14:paraId="1428E5A0" w14:textId="16CF3BE7" w:rsidR="000C220B" w:rsidRPr="0006791B" w:rsidRDefault="000504E8" w:rsidP="00C175FB">
      <w:pPr>
        <w:spacing w:line="360" w:lineRule="auto"/>
        <w:ind w:left="1440" w:hanging="1156"/>
        <w:rPr>
          <w:rFonts w:ascii="Times New Roman" w:hAnsi="Times New Roman" w:cs="Times New Roman"/>
          <w:sz w:val="24"/>
          <w:szCs w:val="24"/>
          <w:vertAlign w:val="baseline"/>
        </w:rPr>
      </w:pPr>
      <w:r w:rsidRPr="00D86A9F">
        <w:rPr>
          <w:rFonts w:ascii="Times New Roman" w:hAnsi="Times New Roman" w:cs="Times New Roman"/>
          <w:i/>
          <w:sz w:val="24"/>
          <w:szCs w:val="24"/>
          <w:vertAlign w:val="baseline"/>
        </w:rPr>
        <w:t xml:space="preserve">   </w:t>
      </w:r>
      <w:r w:rsidR="00B13974" w:rsidRPr="00D86A9F">
        <w:rPr>
          <w:rFonts w:ascii="Times New Roman" w:hAnsi="Times New Roman" w:cs="Times New Roman"/>
          <w:i/>
          <w:sz w:val="24"/>
          <w:szCs w:val="24"/>
          <w:vertAlign w:val="baseline"/>
        </w:rPr>
        <w:t>5</w:t>
      </w:r>
      <w:r w:rsidR="000C220B" w:rsidRPr="00D86A9F">
        <w:rPr>
          <w:rFonts w:ascii="Times New Roman" w:hAnsi="Times New Roman" w:cs="Times New Roman"/>
          <w:i/>
          <w:sz w:val="24"/>
          <w:szCs w:val="24"/>
          <w:vertAlign w:val="baseline"/>
        </w:rPr>
        <w:t>.7.1</w:t>
      </w:r>
      <w:r w:rsidR="000C220B" w:rsidRPr="00D86A9F">
        <w:rPr>
          <w:rFonts w:ascii="Times New Roman" w:hAnsi="Times New Roman" w:cs="Times New Roman"/>
          <w:i/>
          <w:sz w:val="24"/>
          <w:szCs w:val="24"/>
          <w:vertAlign w:val="baseline"/>
        </w:rPr>
        <w:tab/>
        <w:t>Compliance with ICCPR</w:t>
      </w:r>
      <w:r w:rsidR="0006791B">
        <w:rPr>
          <w:rFonts w:ascii="Times New Roman" w:hAnsi="Times New Roman" w:cs="Times New Roman"/>
          <w:i/>
          <w:sz w:val="24"/>
          <w:szCs w:val="24"/>
          <w:vertAlign w:val="baseline"/>
        </w:rPr>
        <w:tab/>
      </w:r>
      <w:r w:rsidR="0006791B">
        <w:rPr>
          <w:rFonts w:ascii="Times New Roman" w:hAnsi="Times New Roman" w:cs="Times New Roman"/>
          <w:i/>
          <w:sz w:val="24"/>
          <w:szCs w:val="24"/>
          <w:vertAlign w:val="baseline"/>
        </w:rPr>
        <w:tab/>
      </w:r>
      <w:r w:rsidR="0006791B">
        <w:rPr>
          <w:rFonts w:ascii="Times New Roman" w:hAnsi="Times New Roman" w:cs="Times New Roman"/>
          <w:i/>
          <w:sz w:val="24"/>
          <w:szCs w:val="24"/>
          <w:vertAlign w:val="baseline"/>
        </w:rPr>
        <w:tab/>
      </w:r>
      <w:r w:rsidR="0006791B">
        <w:rPr>
          <w:rFonts w:ascii="Times New Roman" w:hAnsi="Times New Roman" w:cs="Times New Roman"/>
          <w:i/>
          <w:sz w:val="24"/>
          <w:szCs w:val="24"/>
          <w:vertAlign w:val="baseline"/>
        </w:rPr>
        <w:tab/>
      </w:r>
      <w:r w:rsidR="0006791B">
        <w:rPr>
          <w:rFonts w:ascii="Times New Roman" w:hAnsi="Times New Roman" w:cs="Times New Roman"/>
          <w:i/>
          <w:sz w:val="24"/>
          <w:szCs w:val="24"/>
          <w:vertAlign w:val="baseline"/>
        </w:rPr>
        <w:tab/>
      </w:r>
      <w:r w:rsidR="0006791B">
        <w:rPr>
          <w:rFonts w:ascii="Times New Roman" w:hAnsi="Times New Roman" w:cs="Times New Roman"/>
          <w:i/>
          <w:sz w:val="24"/>
          <w:szCs w:val="24"/>
          <w:vertAlign w:val="baseline"/>
        </w:rPr>
        <w:tab/>
      </w:r>
      <w:r w:rsidR="0064696D">
        <w:rPr>
          <w:rFonts w:ascii="Times New Roman" w:hAnsi="Times New Roman" w:cs="Times New Roman"/>
          <w:sz w:val="24"/>
          <w:szCs w:val="24"/>
          <w:vertAlign w:val="baseline"/>
        </w:rPr>
        <w:t>217</w:t>
      </w:r>
    </w:p>
    <w:p w14:paraId="2E965409" w14:textId="71AA256A" w:rsidR="00CD0893" w:rsidRPr="0006791B" w:rsidRDefault="005974C6" w:rsidP="00CD0893">
      <w:pPr>
        <w:spacing w:line="360" w:lineRule="auto"/>
        <w:ind w:left="1440" w:hanging="1156"/>
        <w:rPr>
          <w:rFonts w:ascii="Times New Roman" w:hAnsi="Times New Roman" w:cs="Times New Roman"/>
          <w:sz w:val="24"/>
          <w:szCs w:val="24"/>
          <w:vertAlign w:val="baseline"/>
        </w:rPr>
      </w:pPr>
      <w:r w:rsidRPr="00D86A9F">
        <w:rPr>
          <w:rFonts w:ascii="Times New Roman" w:hAnsi="Times New Roman" w:cs="Times New Roman"/>
          <w:i/>
          <w:sz w:val="24"/>
          <w:szCs w:val="24"/>
          <w:vertAlign w:val="baseline"/>
        </w:rPr>
        <w:t xml:space="preserve">   5.7.2</w:t>
      </w:r>
      <w:r>
        <w:rPr>
          <w:rFonts w:ascii="Times New Roman" w:hAnsi="Times New Roman" w:cs="Times New Roman"/>
          <w:sz w:val="24"/>
          <w:szCs w:val="24"/>
          <w:vertAlign w:val="baseline"/>
        </w:rPr>
        <w:tab/>
      </w:r>
      <w:r>
        <w:rPr>
          <w:rFonts w:ascii="Times New Roman" w:hAnsi="Times New Roman" w:cs="Times New Roman"/>
          <w:i/>
          <w:sz w:val="24"/>
          <w:szCs w:val="24"/>
          <w:vertAlign w:val="baseline"/>
        </w:rPr>
        <w:t>Evaluation of the Human Rights Committee (CCPR)</w:t>
      </w:r>
      <w:r w:rsidR="0006791B">
        <w:rPr>
          <w:rFonts w:ascii="Times New Roman" w:hAnsi="Times New Roman" w:cs="Times New Roman"/>
          <w:i/>
          <w:sz w:val="24"/>
          <w:szCs w:val="24"/>
          <w:vertAlign w:val="baseline"/>
        </w:rPr>
        <w:tab/>
      </w:r>
      <w:r w:rsidR="0006791B">
        <w:rPr>
          <w:rFonts w:ascii="Times New Roman" w:hAnsi="Times New Roman" w:cs="Times New Roman"/>
          <w:i/>
          <w:sz w:val="24"/>
          <w:szCs w:val="24"/>
          <w:vertAlign w:val="baseline"/>
        </w:rPr>
        <w:tab/>
      </w:r>
      <w:r w:rsidR="0006791B">
        <w:rPr>
          <w:rFonts w:ascii="Times New Roman" w:hAnsi="Times New Roman" w:cs="Times New Roman"/>
          <w:i/>
          <w:sz w:val="24"/>
          <w:szCs w:val="24"/>
          <w:vertAlign w:val="baseline"/>
        </w:rPr>
        <w:tab/>
      </w:r>
      <w:r w:rsidR="0064696D">
        <w:rPr>
          <w:rFonts w:ascii="Times New Roman" w:hAnsi="Times New Roman" w:cs="Times New Roman"/>
          <w:sz w:val="24"/>
          <w:szCs w:val="24"/>
          <w:vertAlign w:val="baseline"/>
        </w:rPr>
        <w:t>219</w:t>
      </w:r>
    </w:p>
    <w:p w14:paraId="734745CC" w14:textId="35119F2E" w:rsidR="0006791B" w:rsidRDefault="00B13974" w:rsidP="00D4608E">
      <w:pPr>
        <w:ind w:left="1440" w:hanging="1156"/>
        <w:rPr>
          <w:rFonts w:ascii="Times New Roman" w:hAnsi="Times New Roman" w:cs="Times New Roman"/>
          <w:sz w:val="24"/>
          <w:szCs w:val="24"/>
          <w:vertAlign w:val="baseline"/>
        </w:rPr>
      </w:pPr>
      <w:r>
        <w:rPr>
          <w:rFonts w:ascii="Times New Roman" w:hAnsi="Times New Roman" w:cs="Times New Roman"/>
          <w:sz w:val="24"/>
          <w:szCs w:val="24"/>
          <w:vertAlign w:val="baseline"/>
        </w:rPr>
        <w:t>5</w:t>
      </w:r>
      <w:r w:rsidR="000C220B">
        <w:rPr>
          <w:rFonts w:ascii="Times New Roman" w:hAnsi="Times New Roman" w:cs="Times New Roman"/>
          <w:sz w:val="24"/>
          <w:szCs w:val="24"/>
          <w:vertAlign w:val="baseline"/>
        </w:rPr>
        <w:t>.8</w:t>
      </w:r>
      <w:r w:rsidR="000C220B">
        <w:rPr>
          <w:rFonts w:ascii="Times New Roman" w:hAnsi="Times New Roman" w:cs="Times New Roman"/>
          <w:sz w:val="24"/>
          <w:szCs w:val="24"/>
          <w:vertAlign w:val="baseline"/>
        </w:rPr>
        <w:tab/>
      </w:r>
      <w:r w:rsidR="00E044E2">
        <w:rPr>
          <w:rFonts w:ascii="Times New Roman" w:hAnsi="Times New Roman" w:cs="Times New Roman"/>
          <w:sz w:val="24"/>
          <w:szCs w:val="24"/>
          <w:vertAlign w:val="baseline"/>
        </w:rPr>
        <w:t xml:space="preserve">INTERNATIONAL COVENANT ON ECONOMIC, SOCIAL </w:t>
      </w:r>
      <w:r w:rsidR="0064696D">
        <w:rPr>
          <w:rFonts w:ascii="Times New Roman" w:hAnsi="Times New Roman" w:cs="Times New Roman"/>
          <w:sz w:val="24"/>
          <w:szCs w:val="24"/>
          <w:vertAlign w:val="baseline"/>
        </w:rPr>
        <w:tab/>
        <w:t>220</w:t>
      </w:r>
    </w:p>
    <w:p w14:paraId="3C0BC423" w14:textId="29C41D8C" w:rsidR="0006791B" w:rsidRDefault="00E044E2" w:rsidP="00CD0893">
      <w:pPr>
        <w:spacing w:line="360" w:lineRule="auto"/>
        <w:ind w:left="1440"/>
        <w:rPr>
          <w:rFonts w:ascii="Times New Roman" w:hAnsi="Times New Roman" w:cs="Times New Roman"/>
          <w:sz w:val="24"/>
          <w:szCs w:val="24"/>
          <w:vertAlign w:val="baseline"/>
        </w:rPr>
      </w:pPr>
      <w:r>
        <w:rPr>
          <w:rFonts w:ascii="Times New Roman" w:hAnsi="Times New Roman" w:cs="Times New Roman"/>
          <w:sz w:val="24"/>
          <w:szCs w:val="24"/>
          <w:vertAlign w:val="baseline"/>
        </w:rPr>
        <w:t>AN</w:t>
      </w:r>
      <w:r w:rsidR="0064696D">
        <w:rPr>
          <w:rFonts w:ascii="Times New Roman" w:hAnsi="Times New Roman" w:cs="Times New Roman"/>
          <w:sz w:val="24"/>
          <w:szCs w:val="24"/>
          <w:vertAlign w:val="baseline"/>
        </w:rPr>
        <w:t>D CULTURAL RIGHTS (ICESCR)</w:t>
      </w:r>
    </w:p>
    <w:p w14:paraId="4BE0DB6D" w14:textId="32C6616A" w:rsidR="000C220B" w:rsidRPr="0006791B" w:rsidRDefault="000504E8" w:rsidP="00C175FB">
      <w:pPr>
        <w:spacing w:line="360" w:lineRule="auto"/>
        <w:ind w:left="1440" w:hanging="1156"/>
        <w:rPr>
          <w:rFonts w:ascii="Times New Roman" w:hAnsi="Times New Roman" w:cs="Times New Roman"/>
          <w:sz w:val="24"/>
          <w:szCs w:val="24"/>
          <w:vertAlign w:val="baseline"/>
        </w:rPr>
      </w:pPr>
      <w:r w:rsidRPr="00D86A9F">
        <w:rPr>
          <w:rFonts w:ascii="Times New Roman" w:hAnsi="Times New Roman" w:cs="Times New Roman"/>
          <w:i/>
          <w:sz w:val="24"/>
          <w:szCs w:val="24"/>
          <w:vertAlign w:val="baseline"/>
        </w:rPr>
        <w:t xml:space="preserve">   </w:t>
      </w:r>
      <w:r w:rsidR="00B13974" w:rsidRPr="00D86A9F">
        <w:rPr>
          <w:rFonts w:ascii="Times New Roman" w:hAnsi="Times New Roman" w:cs="Times New Roman"/>
          <w:i/>
          <w:sz w:val="24"/>
          <w:szCs w:val="24"/>
          <w:vertAlign w:val="baseline"/>
        </w:rPr>
        <w:t>5</w:t>
      </w:r>
      <w:r w:rsidR="000C220B" w:rsidRPr="00D86A9F">
        <w:rPr>
          <w:rFonts w:ascii="Times New Roman" w:hAnsi="Times New Roman" w:cs="Times New Roman"/>
          <w:i/>
          <w:sz w:val="24"/>
          <w:szCs w:val="24"/>
          <w:vertAlign w:val="baseline"/>
        </w:rPr>
        <w:t>.8.1</w:t>
      </w:r>
      <w:r w:rsidR="000C220B" w:rsidRPr="00D86A9F">
        <w:rPr>
          <w:rFonts w:ascii="Times New Roman" w:hAnsi="Times New Roman" w:cs="Times New Roman"/>
          <w:i/>
          <w:sz w:val="24"/>
          <w:szCs w:val="24"/>
          <w:vertAlign w:val="baseline"/>
        </w:rPr>
        <w:tab/>
      </w:r>
      <w:r w:rsidR="00E044E2" w:rsidRPr="00D86A9F">
        <w:rPr>
          <w:rFonts w:ascii="Times New Roman" w:hAnsi="Times New Roman" w:cs="Times New Roman"/>
          <w:i/>
          <w:sz w:val="24"/>
          <w:szCs w:val="24"/>
          <w:vertAlign w:val="baseline"/>
        </w:rPr>
        <w:t xml:space="preserve">Committee on </w:t>
      </w:r>
      <w:r w:rsidR="00E044E2" w:rsidRPr="00D86A9F">
        <w:rPr>
          <w:rFonts w:ascii="Times New Roman" w:hAnsi="Times New Roman" w:cs="Times New Roman"/>
          <w:i/>
          <w:sz w:val="24"/>
          <w:szCs w:val="24"/>
          <w:vertAlign w:val="baseline"/>
        </w:rPr>
        <w:tab/>
        <w:t>Economic, Social and Cultural Rights (CESCR)</w:t>
      </w:r>
      <w:r w:rsidR="0006791B">
        <w:rPr>
          <w:rFonts w:ascii="Times New Roman" w:hAnsi="Times New Roman" w:cs="Times New Roman"/>
          <w:i/>
          <w:sz w:val="24"/>
          <w:szCs w:val="24"/>
          <w:vertAlign w:val="baseline"/>
        </w:rPr>
        <w:tab/>
      </w:r>
      <w:r w:rsidR="0064696D">
        <w:rPr>
          <w:rFonts w:ascii="Times New Roman" w:hAnsi="Times New Roman" w:cs="Times New Roman"/>
          <w:sz w:val="24"/>
          <w:szCs w:val="24"/>
          <w:vertAlign w:val="baseline"/>
        </w:rPr>
        <w:t>222</w:t>
      </w:r>
    </w:p>
    <w:p w14:paraId="7B426095" w14:textId="6B5E76AA" w:rsidR="0006791B" w:rsidRPr="0006791B" w:rsidRDefault="00E044E2" w:rsidP="0006791B">
      <w:pPr>
        <w:spacing w:line="276" w:lineRule="auto"/>
        <w:ind w:left="1440" w:hanging="1156"/>
        <w:rPr>
          <w:rFonts w:ascii="Times New Roman" w:hAnsi="Times New Roman" w:cs="Times New Roman"/>
          <w:sz w:val="24"/>
          <w:szCs w:val="24"/>
          <w:vertAlign w:val="baseline"/>
        </w:rPr>
      </w:pPr>
      <w:r w:rsidRPr="00D86A9F">
        <w:rPr>
          <w:rFonts w:ascii="Times New Roman" w:hAnsi="Times New Roman" w:cs="Times New Roman"/>
          <w:i/>
          <w:sz w:val="24"/>
          <w:szCs w:val="24"/>
          <w:vertAlign w:val="baseline"/>
        </w:rPr>
        <w:t xml:space="preserve">   5.8.2</w:t>
      </w:r>
      <w:r>
        <w:rPr>
          <w:rFonts w:ascii="Times New Roman" w:hAnsi="Times New Roman" w:cs="Times New Roman"/>
          <w:sz w:val="24"/>
          <w:szCs w:val="24"/>
          <w:vertAlign w:val="baseline"/>
        </w:rPr>
        <w:tab/>
      </w:r>
      <w:r>
        <w:rPr>
          <w:rFonts w:ascii="Times New Roman" w:hAnsi="Times New Roman" w:cs="Times New Roman"/>
          <w:i/>
          <w:sz w:val="24"/>
          <w:szCs w:val="24"/>
          <w:vertAlign w:val="baseline"/>
        </w:rPr>
        <w:t xml:space="preserve">Evaluation of the </w:t>
      </w:r>
      <w:r w:rsidRPr="00FC5C8A">
        <w:rPr>
          <w:rFonts w:ascii="Times New Roman" w:hAnsi="Times New Roman" w:cs="Times New Roman"/>
          <w:i/>
          <w:sz w:val="24"/>
          <w:szCs w:val="24"/>
          <w:vertAlign w:val="baseline"/>
        </w:rPr>
        <w:t xml:space="preserve">Committee on Economic, Social and Cultural </w:t>
      </w:r>
      <w:r w:rsidR="0006791B">
        <w:rPr>
          <w:rFonts w:ascii="Times New Roman" w:hAnsi="Times New Roman" w:cs="Times New Roman"/>
          <w:i/>
          <w:sz w:val="24"/>
          <w:szCs w:val="24"/>
          <w:vertAlign w:val="baseline"/>
        </w:rPr>
        <w:tab/>
      </w:r>
      <w:r w:rsidR="0064696D">
        <w:rPr>
          <w:rFonts w:ascii="Times New Roman" w:hAnsi="Times New Roman" w:cs="Times New Roman"/>
          <w:sz w:val="24"/>
          <w:szCs w:val="24"/>
          <w:vertAlign w:val="baseline"/>
        </w:rPr>
        <w:t>225</w:t>
      </w:r>
    </w:p>
    <w:p w14:paraId="31A1EB11" w14:textId="2BC3A7B9" w:rsidR="00CD0893" w:rsidRPr="00D4608E" w:rsidRDefault="00E044E2" w:rsidP="00CD0893">
      <w:pPr>
        <w:spacing w:line="360" w:lineRule="auto"/>
        <w:ind w:left="1440"/>
        <w:rPr>
          <w:rFonts w:ascii="Times New Roman" w:hAnsi="Times New Roman" w:cs="Times New Roman"/>
          <w:i/>
          <w:sz w:val="24"/>
          <w:szCs w:val="24"/>
          <w:vertAlign w:val="baseline"/>
        </w:rPr>
      </w:pPr>
      <w:r w:rsidRPr="00FC5C8A">
        <w:rPr>
          <w:rFonts w:ascii="Times New Roman" w:hAnsi="Times New Roman" w:cs="Times New Roman"/>
          <w:i/>
          <w:sz w:val="24"/>
          <w:szCs w:val="24"/>
          <w:vertAlign w:val="baseline"/>
        </w:rPr>
        <w:t>Rights</w:t>
      </w:r>
      <w:r>
        <w:rPr>
          <w:rFonts w:ascii="Times New Roman" w:hAnsi="Times New Roman" w:cs="Times New Roman"/>
          <w:i/>
          <w:sz w:val="24"/>
          <w:szCs w:val="24"/>
          <w:vertAlign w:val="baseline"/>
        </w:rPr>
        <w:t xml:space="preserve"> (CESCR)</w:t>
      </w:r>
    </w:p>
    <w:p w14:paraId="4C5363B5" w14:textId="40D7DC38" w:rsidR="00687E1F" w:rsidRDefault="00B13974" w:rsidP="00687E1F">
      <w:pPr>
        <w:tabs>
          <w:tab w:val="left" w:pos="7938"/>
        </w:tabs>
        <w:spacing w:line="360" w:lineRule="auto"/>
        <w:ind w:left="1444" w:hanging="1160"/>
        <w:rPr>
          <w:rFonts w:ascii="Times New Roman" w:hAnsi="Times New Roman" w:cs="Times New Roman"/>
          <w:sz w:val="24"/>
          <w:szCs w:val="24"/>
          <w:vertAlign w:val="baseline"/>
        </w:rPr>
      </w:pPr>
      <w:r>
        <w:rPr>
          <w:rFonts w:ascii="Times New Roman" w:hAnsi="Times New Roman" w:cs="Times New Roman"/>
          <w:sz w:val="24"/>
          <w:szCs w:val="24"/>
          <w:vertAlign w:val="baseline"/>
        </w:rPr>
        <w:t>5</w:t>
      </w:r>
      <w:r w:rsidR="000C220B">
        <w:rPr>
          <w:rFonts w:ascii="Times New Roman" w:hAnsi="Times New Roman" w:cs="Times New Roman"/>
          <w:sz w:val="24"/>
          <w:szCs w:val="24"/>
          <w:vertAlign w:val="baseline"/>
        </w:rPr>
        <w:t>.9</w:t>
      </w:r>
      <w:r w:rsidR="000C220B">
        <w:rPr>
          <w:rFonts w:ascii="Times New Roman" w:hAnsi="Times New Roman" w:cs="Times New Roman"/>
          <w:sz w:val="24"/>
          <w:szCs w:val="24"/>
          <w:vertAlign w:val="baseline"/>
        </w:rPr>
        <w:tab/>
      </w:r>
      <w:r w:rsidR="00626F3D">
        <w:rPr>
          <w:rFonts w:ascii="Times New Roman" w:hAnsi="Times New Roman" w:cs="Times New Roman"/>
          <w:sz w:val="24"/>
          <w:szCs w:val="24"/>
          <w:vertAlign w:val="baseline"/>
        </w:rPr>
        <w:t>HUMAN RIGHTS COUNCIL</w:t>
      </w:r>
      <w:r w:rsidR="0064696D">
        <w:rPr>
          <w:rFonts w:ascii="Times New Roman" w:hAnsi="Times New Roman" w:cs="Times New Roman"/>
          <w:sz w:val="24"/>
          <w:szCs w:val="24"/>
          <w:vertAlign w:val="baseline"/>
        </w:rPr>
        <w:tab/>
        <w:t>226</w:t>
      </w:r>
    </w:p>
    <w:p w14:paraId="528FC33C" w14:textId="051AB0EA" w:rsidR="000C220B" w:rsidRPr="00506E84" w:rsidRDefault="00CD0893" w:rsidP="00CD0893">
      <w:pPr>
        <w:tabs>
          <w:tab w:val="left" w:pos="7938"/>
        </w:tabs>
        <w:spacing w:line="360" w:lineRule="auto"/>
        <w:ind w:left="1444" w:hanging="1160"/>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   </w:t>
      </w:r>
      <w:r w:rsidR="00B13974" w:rsidRPr="00D86A9F">
        <w:rPr>
          <w:rFonts w:ascii="Times New Roman" w:hAnsi="Times New Roman" w:cs="Times New Roman"/>
          <w:i/>
          <w:sz w:val="24"/>
          <w:szCs w:val="24"/>
          <w:vertAlign w:val="baseline"/>
        </w:rPr>
        <w:t>5</w:t>
      </w:r>
      <w:r w:rsidR="000C220B" w:rsidRPr="00D86A9F">
        <w:rPr>
          <w:rFonts w:ascii="Times New Roman" w:hAnsi="Times New Roman" w:cs="Times New Roman"/>
          <w:i/>
          <w:sz w:val="24"/>
          <w:szCs w:val="24"/>
          <w:vertAlign w:val="baseline"/>
        </w:rPr>
        <w:t>.9.1</w:t>
      </w:r>
      <w:r w:rsidR="000C220B" w:rsidRPr="00D86A9F">
        <w:rPr>
          <w:rFonts w:ascii="Times New Roman" w:hAnsi="Times New Roman" w:cs="Times New Roman"/>
          <w:i/>
          <w:sz w:val="24"/>
          <w:szCs w:val="24"/>
          <w:vertAlign w:val="baseline"/>
        </w:rPr>
        <w:tab/>
      </w:r>
      <w:r w:rsidR="00626F3D" w:rsidRPr="00D86A9F">
        <w:rPr>
          <w:rFonts w:ascii="Times New Roman" w:hAnsi="Times New Roman" w:cs="Times New Roman"/>
          <w:i/>
          <w:sz w:val="24"/>
          <w:szCs w:val="24"/>
          <w:vertAlign w:val="baseline"/>
        </w:rPr>
        <w:t>Human Rights Council Advisory Committee</w:t>
      </w:r>
      <w:r w:rsidR="00506E84">
        <w:rPr>
          <w:rFonts w:ascii="Times New Roman" w:hAnsi="Times New Roman" w:cs="Times New Roman"/>
          <w:i/>
          <w:sz w:val="24"/>
          <w:szCs w:val="24"/>
          <w:vertAlign w:val="baseline"/>
        </w:rPr>
        <w:tab/>
      </w:r>
      <w:r w:rsidR="0064696D">
        <w:rPr>
          <w:rFonts w:ascii="Times New Roman" w:hAnsi="Times New Roman" w:cs="Times New Roman"/>
          <w:sz w:val="24"/>
          <w:szCs w:val="24"/>
          <w:vertAlign w:val="baseline"/>
        </w:rPr>
        <w:t>227</w:t>
      </w:r>
    </w:p>
    <w:p w14:paraId="73EDF8DD" w14:textId="158D4C38" w:rsidR="000504E8" w:rsidRPr="00506E84" w:rsidRDefault="00CD0893" w:rsidP="00506E84">
      <w:pPr>
        <w:spacing w:line="360" w:lineRule="auto"/>
        <w:ind w:left="1440" w:hanging="1156"/>
        <w:rPr>
          <w:rFonts w:ascii="Times New Roman" w:hAnsi="Times New Roman" w:cs="Times New Roman"/>
          <w:sz w:val="24"/>
          <w:szCs w:val="24"/>
          <w:vertAlign w:val="baseline"/>
        </w:rPr>
      </w:pPr>
      <w:r>
        <w:rPr>
          <w:rFonts w:ascii="Times New Roman" w:hAnsi="Times New Roman" w:cs="Times New Roman"/>
          <w:i/>
          <w:sz w:val="24"/>
          <w:szCs w:val="24"/>
          <w:vertAlign w:val="baseline"/>
        </w:rPr>
        <w:t xml:space="preserve">   </w:t>
      </w:r>
      <w:r w:rsidR="00626F3D" w:rsidRPr="00D86A9F">
        <w:rPr>
          <w:rFonts w:ascii="Times New Roman" w:hAnsi="Times New Roman" w:cs="Times New Roman"/>
          <w:i/>
          <w:sz w:val="24"/>
          <w:szCs w:val="24"/>
          <w:vertAlign w:val="baseline"/>
        </w:rPr>
        <w:t>5.9.2</w:t>
      </w:r>
      <w:r w:rsidR="00626F3D">
        <w:rPr>
          <w:rFonts w:ascii="Times New Roman" w:hAnsi="Times New Roman" w:cs="Times New Roman"/>
          <w:sz w:val="24"/>
          <w:szCs w:val="24"/>
          <w:vertAlign w:val="baseline"/>
        </w:rPr>
        <w:tab/>
      </w:r>
      <w:r w:rsidR="00626F3D">
        <w:rPr>
          <w:rFonts w:ascii="Times New Roman" w:hAnsi="Times New Roman" w:cs="Times New Roman"/>
          <w:i/>
          <w:sz w:val="24"/>
          <w:szCs w:val="24"/>
          <w:vertAlign w:val="baseline"/>
        </w:rPr>
        <w:t xml:space="preserve">Special </w:t>
      </w:r>
      <w:r w:rsidR="00F4338A">
        <w:rPr>
          <w:rFonts w:ascii="Times New Roman" w:hAnsi="Times New Roman" w:cs="Times New Roman"/>
          <w:i/>
          <w:sz w:val="24"/>
          <w:szCs w:val="24"/>
          <w:vertAlign w:val="baseline"/>
        </w:rPr>
        <w:t>Procedures (</w:t>
      </w:r>
      <w:r w:rsidR="00626F3D">
        <w:rPr>
          <w:rFonts w:ascii="Times New Roman" w:hAnsi="Times New Roman" w:cs="Times New Roman"/>
          <w:i/>
          <w:sz w:val="24"/>
          <w:szCs w:val="24"/>
          <w:vertAlign w:val="baseline"/>
        </w:rPr>
        <w:t>Rapporteurs</w:t>
      </w:r>
      <w:r w:rsidR="00F4338A">
        <w:rPr>
          <w:rFonts w:ascii="Times New Roman" w:hAnsi="Times New Roman" w:cs="Times New Roman"/>
          <w:i/>
          <w:sz w:val="24"/>
          <w:szCs w:val="24"/>
          <w:vertAlign w:val="baseline"/>
        </w:rPr>
        <w:t>)</w:t>
      </w:r>
      <w:r w:rsidR="00506E84">
        <w:rPr>
          <w:rFonts w:ascii="Times New Roman" w:hAnsi="Times New Roman" w:cs="Times New Roman"/>
          <w:i/>
          <w:sz w:val="24"/>
          <w:szCs w:val="24"/>
          <w:vertAlign w:val="baseline"/>
        </w:rPr>
        <w:tab/>
      </w:r>
      <w:r w:rsidR="00506E84">
        <w:rPr>
          <w:rFonts w:ascii="Times New Roman" w:hAnsi="Times New Roman" w:cs="Times New Roman"/>
          <w:i/>
          <w:sz w:val="24"/>
          <w:szCs w:val="24"/>
          <w:vertAlign w:val="baseline"/>
        </w:rPr>
        <w:tab/>
      </w:r>
      <w:r w:rsidR="00506E84">
        <w:rPr>
          <w:rFonts w:ascii="Times New Roman" w:hAnsi="Times New Roman" w:cs="Times New Roman"/>
          <w:i/>
          <w:sz w:val="24"/>
          <w:szCs w:val="24"/>
          <w:vertAlign w:val="baseline"/>
        </w:rPr>
        <w:tab/>
      </w:r>
      <w:r w:rsidR="00506E84">
        <w:rPr>
          <w:rFonts w:ascii="Times New Roman" w:hAnsi="Times New Roman" w:cs="Times New Roman"/>
          <w:i/>
          <w:sz w:val="24"/>
          <w:szCs w:val="24"/>
          <w:vertAlign w:val="baseline"/>
        </w:rPr>
        <w:tab/>
      </w:r>
      <w:r w:rsidR="00506E84">
        <w:rPr>
          <w:rFonts w:ascii="Times New Roman" w:hAnsi="Times New Roman" w:cs="Times New Roman"/>
          <w:i/>
          <w:sz w:val="24"/>
          <w:szCs w:val="24"/>
          <w:vertAlign w:val="baseline"/>
        </w:rPr>
        <w:tab/>
      </w:r>
      <w:r w:rsidR="0064696D">
        <w:rPr>
          <w:rFonts w:ascii="Times New Roman" w:hAnsi="Times New Roman" w:cs="Times New Roman"/>
          <w:sz w:val="24"/>
          <w:szCs w:val="24"/>
          <w:vertAlign w:val="baseline"/>
        </w:rPr>
        <w:t>229</w:t>
      </w:r>
    </w:p>
    <w:p w14:paraId="23B5AACD" w14:textId="03385D61" w:rsidR="000C220B" w:rsidRDefault="00B13974" w:rsidP="00C175FB">
      <w:pPr>
        <w:spacing w:line="360" w:lineRule="auto"/>
        <w:ind w:left="1440" w:hanging="1156"/>
        <w:rPr>
          <w:rFonts w:ascii="Times New Roman" w:hAnsi="Times New Roman" w:cs="Times New Roman"/>
          <w:sz w:val="24"/>
          <w:szCs w:val="24"/>
          <w:vertAlign w:val="baseline"/>
        </w:rPr>
      </w:pPr>
      <w:r>
        <w:rPr>
          <w:rFonts w:ascii="Times New Roman" w:hAnsi="Times New Roman" w:cs="Times New Roman"/>
          <w:sz w:val="24"/>
          <w:szCs w:val="24"/>
          <w:vertAlign w:val="baseline"/>
        </w:rPr>
        <w:t>5</w:t>
      </w:r>
      <w:r w:rsidR="000C220B">
        <w:rPr>
          <w:rFonts w:ascii="Times New Roman" w:hAnsi="Times New Roman" w:cs="Times New Roman"/>
          <w:sz w:val="24"/>
          <w:szCs w:val="24"/>
          <w:vertAlign w:val="baseline"/>
        </w:rPr>
        <w:t>.10</w:t>
      </w:r>
      <w:r w:rsidR="000C220B">
        <w:rPr>
          <w:rFonts w:ascii="Times New Roman" w:hAnsi="Times New Roman" w:cs="Times New Roman"/>
          <w:sz w:val="24"/>
          <w:szCs w:val="24"/>
          <w:vertAlign w:val="baseline"/>
        </w:rPr>
        <w:tab/>
      </w:r>
      <w:r w:rsidR="00626F3D">
        <w:rPr>
          <w:rFonts w:ascii="Times New Roman" w:hAnsi="Times New Roman" w:cs="Times New Roman"/>
          <w:sz w:val="24"/>
          <w:szCs w:val="24"/>
          <w:vertAlign w:val="baseline"/>
        </w:rPr>
        <w:t>UNIVERSAL PERIODIC REVIEW</w:t>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t>232</w:t>
      </w:r>
    </w:p>
    <w:p w14:paraId="610231CC" w14:textId="0799BB3E" w:rsidR="00E044E2" w:rsidRPr="00506E84" w:rsidRDefault="00711207" w:rsidP="00D4608E">
      <w:pPr>
        <w:spacing w:line="360" w:lineRule="auto"/>
        <w:ind w:left="1440" w:hanging="1156"/>
        <w:rPr>
          <w:rFonts w:ascii="Times New Roman" w:hAnsi="Times New Roman" w:cs="Times New Roman"/>
          <w:sz w:val="24"/>
          <w:szCs w:val="24"/>
          <w:vertAlign w:val="baseline"/>
        </w:rPr>
      </w:pPr>
      <w:r w:rsidRPr="00D86A9F">
        <w:rPr>
          <w:rFonts w:ascii="Times New Roman" w:hAnsi="Times New Roman" w:cs="Times New Roman"/>
          <w:i/>
          <w:sz w:val="24"/>
          <w:szCs w:val="24"/>
          <w:vertAlign w:val="baseline"/>
        </w:rPr>
        <w:t xml:space="preserve">   </w:t>
      </w:r>
      <w:r w:rsidR="00B13974" w:rsidRPr="00D86A9F">
        <w:rPr>
          <w:rFonts w:ascii="Times New Roman" w:hAnsi="Times New Roman" w:cs="Times New Roman"/>
          <w:i/>
          <w:sz w:val="24"/>
          <w:szCs w:val="24"/>
          <w:vertAlign w:val="baseline"/>
        </w:rPr>
        <w:t>5</w:t>
      </w:r>
      <w:r w:rsidR="000C220B" w:rsidRPr="00D86A9F">
        <w:rPr>
          <w:rFonts w:ascii="Times New Roman" w:hAnsi="Times New Roman" w:cs="Times New Roman"/>
          <w:i/>
          <w:sz w:val="24"/>
          <w:szCs w:val="24"/>
          <w:vertAlign w:val="baseline"/>
        </w:rPr>
        <w:t>.10.1</w:t>
      </w:r>
      <w:r w:rsidR="000C220B">
        <w:rPr>
          <w:rFonts w:ascii="Times New Roman" w:hAnsi="Times New Roman" w:cs="Times New Roman"/>
          <w:sz w:val="24"/>
          <w:szCs w:val="24"/>
          <w:vertAlign w:val="baseline"/>
        </w:rPr>
        <w:tab/>
      </w:r>
      <w:r w:rsidR="00626F3D" w:rsidRPr="002E77A5">
        <w:rPr>
          <w:rFonts w:ascii="Times New Roman" w:hAnsi="Times New Roman" w:cs="Times New Roman"/>
          <w:i/>
          <w:sz w:val="24"/>
          <w:szCs w:val="24"/>
          <w:vertAlign w:val="baseline"/>
        </w:rPr>
        <w:t>Universal Periodic Review Country Reports</w:t>
      </w:r>
      <w:r w:rsidR="00506E84">
        <w:rPr>
          <w:rFonts w:ascii="Times New Roman" w:hAnsi="Times New Roman" w:cs="Times New Roman"/>
          <w:i/>
          <w:sz w:val="24"/>
          <w:szCs w:val="24"/>
          <w:vertAlign w:val="baseline"/>
        </w:rPr>
        <w:tab/>
      </w:r>
      <w:r w:rsidR="00506E84">
        <w:rPr>
          <w:rFonts w:ascii="Times New Roman" w:hAnsi="Times New Roman" w:cs="Times New Roman"/>
          <w:i/>
          <w:sz w:val="24"/>
          <w:szCs w:val="24"/>
          <w:vertAlign w:val="baseline"/>
        </w:rPr>
        <w:tab/>
      </w:r>
      <w:r w:rsidR="00506E84">
        <w:rPr>
          <w:rFonts w:ascii="Times New Roman" w:hAnsi="Times New Roman" w:cs="Times New Roman"/>
          <w:i/>
          <w:sz w:val="24"/>
          <w:szCs w:val="24"/>
          <w:vertAlign w:val="baseline"/>
        </w:rPr>
        <w:tab/>
      </w:r>
      <w:r w:rsidR="00506E84">
        <w:rPr>
          <w:rFonts w:ascii="Times New Roman" w:hAnsi="Times New Roman" w:cs="Times New Roman"/>
          <w:i/>
          <w:sz w:val="24"/>
          <w:szCs w:val="24"/>
          <w:vertAlign w:val="baseline"/>
        </w:rPr>
        <w:tab/>
      </w:r>
      <w:r w:rsidR="0064696D">
        <w:rPr>
          <w:rFonts w:ascii="Times New Roman" w:hAnsi="Times New Roman" w:cs="Times New Roman"/>
          <w:sz w:val="24"/>
          <w:szCs w:val="24"/>
          <w:vertAlign w:val="baseline"/>
        </w:rPr>
        <w:t>233</w:t>
      </w:r>
    </w:p>
    <w:p w14:paraId="302C0614" w14:textId="31C307B3" w:rsidR="000C220B" w:rsidRDefault="00B13974" w:rsidP="00C175FB">
      <w:pPr>
        <w:spacing w:line="360" w:lineRule="auto"/>
        <w:ind w:left="1440" w:hanging="1156"/>
        <w:rPr>
          <w:rFonts w:ascii="Times New Roman" w:hAnsi="Times New Roman" w:cs="Times New Roman"/>
          <w:sz w:val="24"/>
          <w:szCs w:val="24"/>
          <w:vertAlign w:val="baseline"/>
        </w:rPr>
      </w:pPr>
      <w:r>
        <w:rPr>
          <w:rFonts w:ascii="Times New Roman" w:hAnsi="Times New Roman" w:cs="Times New Roman"/>
          <w:sz w:val="24"/>
          <w:szCs w:val="24"/>
          <w:vertAlign w:val="baseline"/>
        </w:rPr>
        <w:t>5</w:t>
      </w:r>
      <w:r w:rsidR="000C220B">
        <w:rPr>
          <w:rFonts w:ascii="Times New Roman" w:hAnsi="Times New Roman" w:cs="Times New Roman"/>
          <w:sz w:val="24"/>
          <w:szCs w:val="24"/>
          <w:vertAlign w:val="baseline"/>
        </w:rPr>
        <w:t>.11</w:t>
      </w:r>
      <w:r w:rsidR="000C220B">
        <w:rPr>
          <w:rFonts w:ascii="Times New Roman" w:hAnsi="Times New Roman" w:cs="Times New Roman"/>
          <w:sz w:val="24"/>
          <w:szCs w:val="24"/>
          <w:vertAlign w:val="baseline"/>
        </w:rPr>
        <w:tab/>
      </w:r>
      <w:r w:rsidR="00711207">
        <w:rPr>
          <w:rFonts w:ascii="Times New Roman" w:hAnsi="Times New Roman" w:cs="Times New Roman"/>
          <w:sz w:val="24"/>
          <w:szCs w:val="24"/>
          <w:vertAlign w:val="baseline"/>
        </w:rPr>
        <w:t>COMMISSION ON THE STATUS OF WOMEN</w:t>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t>237</w:t>
      </w:r>
    </w:p>
    <w:p w14:paraId="1615F359" w14:textId="20A51144" w:rsidR="000C220B" w:rsidRDefault="00B13974" w:rsidP="00C175FB">
      <w:pPr>
        <w:spacing w:line="360" w:lineRule="auto"/>
        <w:ind w:left="1440" w:hanging="1156"/>
        <w:rPr>
          <w:rFonts w:ascii="Times New Roman" w:hAnsi="Times New Roman" w:cs="Times New Roman"/>
          <w:sz w:val="24"/>
          <w:szCs w:val="24"/>
          <w:vertAlign w:val="baseline"/>
        </w:rPr>
      </w:pPr>
      <w:r>
        <w:rPr>
          <w:rFonts w:ascii="Times New Roman" w:hAnsi="Times New Roman" w:cs="Times New Roman"/>
          <w:sz w:val="24"/>
          <w:szCs w:val="24"/>
          <w:vertAlign w:val="baseline"/>
        </w:rPr>
        <w:t>5</w:t>
      </w:r>
      <w:r w:rsidR="000C220B">
        <w:rPr>
          <w:rFonts w:ascii="Times New Roman" w:hAnsi="Times New Roman" w:cs="Times New Roman"/>
          <w:sz w:val="24"/>
          <w:szCs w:val="24"/>
          <w:vertAlign w:val="baseline"/>
        </w:rPr>
        <w:t>.12</w:t>
      </w:r>
      <w:r w:rsidR="000C220B">
        <w:rPr>
          <w:rFonts w:ascii="Times New Roman" w:hAnsi="Times New Roman" w:cs="Times New Roman"/>
          <w:sz w:val="24"/>
          <w:szCs w:val="24"/>
          <w:vertAlign w:val="baseline"/>
        </w:rPr>
        <w:tab/>
        <w:t>UN W</w:t>
      </w:r>
      <w:r w:rsidR="00711207">
        <w:rPr>
          <w:rFonts w:ascii="Times New Roman" w:hAnsi="Times New Roman" w:cs="Times New Roman"/>
          <w:sz w:val="24"/>
          <w:szCs w:val="24"/>
          <w:vertAlign w:val="baseline"/>
        </w:rPr>
        <w:t>OMEN</w:t>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t>238</w:t>
      </w:r>
    </w:p>
    <w:p w14:paraId="7871BA6C" w14:textId="096360DB" w:rsidR="00532BC1" w:rsidRDefault="00B13974" w:rsidP="00532BC1">
      <w:pPr>
        <w:spacing w:line="276" w:lineRule="auto"/>
        <w:ind w:left="1440" w:hanging="1156"/>
        <w:rPr>
          <w:rFonts w:ascii="Times New Roman" w:hAnsi="Times New Roman" w:cs="Times New Roman"/>
          <w:sz w:val="24"/>
          <w:szCs w:val="24"/>
          <w:vertAlign w:val="baseline"/>
        </w:rPr>
      </w:pPr>
      <w:r>
        <w:rPr>
          <w:rFonts w:ascii="Times New Roman" w:hAnsi="Times New Roman" w:cs="Times New Roman"/>
          <w:sz w:val="24"/>
          <w:szCs w:val="24"/>
          <w:vertAlign w:val="baseline"/>
        </w:rPr>
        <w:t>5</w:t>
      </w:r>
      <w:r w:rsidR="000C220B">
        <w:rPr>
          <w:rFonts w:ascii="Times New Roman" w:hAnsi="Times New Roman" w:cs="Times New Roman"/>
          <w:sz w:val="24"/>
          <w:szCs w:val="24"/>
          <w:vertAlign w:val="baseline"/>
        </w:rPr>
        <w:t>.13</w:t>
      </w:r>
      <w:r w:rsidR="00711207">
        <w:rPr>
          <w:rFonts w:ascii="Times New Roman" w:hAnsi="Times New Roman" w:cs="Times New Roman"/>
          <w:sz w:val="24"/>
          <w:szCs w:val="24"/>
          <w:vertAlign w:val="baseline"/>
        </w:rPr>
        <w:tab/>
      </w:r>
      <w:r w:rsidR="00211982">
        <w:rPr>
          <w:rFonts w:ascii="Times New Roman" w:hAnsi="Times New Roman" w:cs="Times New Roman"/>
          <w:sz w:val="24"/>
          <w:szCs w:val="24"/>
          <w:vertAlign w:val="baseline"/>
        </w:rPr>
        <w:t>AFRICAN CHARTER ON HUMAN AND PEOPLE’S RIGHTS</w:t>
      </w:r>
      <w:r w:rsidR="0064696D">
        <w:rPr>
          <w:rFonts w:ascii="Times New Roman" w:hAnsi="Times New Roman" w:cs="Times New Roman"/>
          <w:sz w:val="24"/>
          <w:szCs w:val="24"/>
          <w:vertAlign w:val="baseline"/>
        </w:rPr>
        <w:tab/>
        <w:t>240</w:t>
      </w:r>
    </w:p>
    <w:p w14:paraId="218FB652" w14:textId="14D653E4" w:rsidR="000C220B" w:rsidRDefault="00211982" w:rsidP="00532BC1">
      <w:pPr>
        <w:spacing w:line="276" w:lineRule="auto"/>
        <w:ind w:left="1440"/>
        <w:rPr>
          <w:rFonts w:ascii="Times New Roman" w:hAnsi="Times New Roman" w:cs="Times New Roman"/>
          <w:sz w:val="24"/>
          <w:szCs w:val="24"/>
          <w:vertAlign w:val="baseline"/>
        </w:rPr>
      </w:pPr>
      <w:r>
        <w:rPr>
          <w:rFonts w:ascii="Times New Roman" w:hAnsi="Times New Roman" w:cs="Times New Roman"/>
          <w:sz w:val="24"/>
          <w:szCs w:val="24"/>
          <w:vertAlign w:val="baseline"/>
        </w:rPr>
        <w:t>(ACHPR)</w:t>
      </w:r>
    </w:p>
    <w:p w14:paraId="56791B7B" w14:textId="1B020783" w:rsidR="00711207" w:rsidRPr="00532BC1" w:rsidRDefault="00711207" w:rsidP="00D4608E">
      <w:pPr>
        <w:spacing w:line="360" w:lineRule="auto"/>
        <w:ind w:left="1440" w:hanging="1156"/>
        <w:rPr>
          <w:rFonts w:ascii="Times New Roman" w:hAnsi="Times New Roman" w:cs="Times New Roman"/>
          <w:sz w:val="24"/>
          <w:szCs w:val="24"/>
          <w:vertAlign w:val="baseline"/>
        </w:rPr>
      </w:pPr>
      <w:r w:rsidRPr="00D86A9F">
        <w:rPr>
          <w:rFonts w:ascii="Times New Roman" w:hAnsi="Times New Roman" w:cs="Times New Roman"/>
          <w:i/>
          <w:sz w:val="24"/>
          <w:szCs w:val="24"/>
          <w:vertAlign w:val="baseline"/>
        </w:rPr>
        <w:t xml:space="preserve">   </w:t>
      </w:r>
      <w:r w:rsidR="00B13974" w:rsidRPr="00D86A9F">
        <w:rPr>
          <w:rFonts w:ascii="Times New Roman" w:hAnsi="Times New Roman" w:cs="Times New Roman"/>
          <w:i/>
          <w:sz w:val="24"/>
          <w:szCs w:val="24"/>
          <w:vertAlign w:val="baseline"/>
        </w:rPr>
        <w:t>5</w:t>
      </w:r>
      <w:r w:rsidR="00211982" w:rsidRPr="00D86A9F">
        <w:rPr>
          <w:rFonts w:ascii="Times New Roman" w:hAnsi="Times New Roman" w:cs="Times New Roman"/>
          <w:i/>
          <w:sz w:val="24"/>
          <w:szCs w:val="24"/>
          <w:vertAlign w:val="baseline"/>
        </w:rPr>
        <w:t>.13.1</w:t>
      </w:r>
      <w:r w:rsidR="000C220B">
        <w:rPr>
          <w:rFonts w:ascii="Times New Roman" w:hAnsi="Times New Roman" w:cs="Times New Roman"/>
          <w:sz w:val="24"/>
          <w:szCs w:val="24"/>
          <w:vertAlign w:val="baseline"/>
        </w:rPr>
        <w:tab/>
      </w:r>
      <w:r w:rsidR="000C220B" w:rsidRPr="00FC5C8A">
        <w:rPr>
          <w:rFonts w:ascii="Times New Roman" w:hAnsi="Times New Roman" w:cs="Times New Roman"/>
          <w:i/>
          <w:sz w:val="24"/>
          <w:szCs w:val="24"/>
          <w:vertAlign w:val="baseline"/>
        </w:rPr>
        <w:t>Protocol to the ACHPR on the Rights of Women in Africa</w:t>
      </w:r>
      <w:r w:rsidR="00532BC1">
        <w:rPr>
          <w:rFonts w:ascii="Times New Roman" w:hAnsi="Times New Roman" w:cs="Times New Roman"/>
          <w:i/>
          <w:sz w:val="24"/>
          <w:szCs w:val="24"/>
          <w:vertAlign w:val="baseline"/>
        </w:rPr>
        <w:tab/>
      </w:r>
      <w:r w:rsidR="00532BC1">
        <w:rPr>
          <w:rFonts w:ascii="Times New Roman" w:hAnsi="Times New Roman" w:cs="Times New Roman"/>
          <w:i/>
          <w:sz w:val="24"/>
          <w:szCs w:val="24"/>
          <w:vertAlign w:val="baseline"/>
        </w:rPr>
        <w:tab/>
      </w:r>
      <w:r w:rsidR="0064696D">
        <w:rPr>
          <w:rFonts w:ascii="Times New Roman" w:hAnsi="Times New Roman" w:cs="Times New Roman"/>
          <w:sz w:val="24"/>
          <w:szCs w:val="24"/>
          <w:vertAlign w:val="baseline"/>
        </w:rPr>
        <w:t>241</w:t>
      </w:r>
    </w:p>
    <w:p w14:paraId="2F548197" w14:textId="2F45BCD0" w:rsidR="00532BC1" w:rsidRDefault="00B13974" w:rsidP="00532BC1">
      <w:pPr>
        <w:ind w:left="1440" w:hanging="1156"/>
        <w:rPr>
          <w:rFonts w:ascii="Times New Roman" w:hAnsi="Times New Roman" w:cs="Times New Roman"/>
          <w:sz w:val="24"/>
          <w:szCs w:val="24"/>
          <w:vertAlign w:val="baseline"/>
        </w:rPr>
      </w:pPr>
      <w:r>
        <w:rPr>
          <w:rFonts w:ascii="Times New Roman" w:hAnsi="Times New Roman" w:cs="Times New Roman"/>
          <w:sz w:val="24"/>
          <w:szCs w:val="24"/>
          <w:vertAlign w:val="baseline"/>
        </w:rPr>
        <w:t>5</w:t>
      </w:r>
      <w:r w:rsidR="000C220B">
        <w:rPr>
          <w:rFonts w:ascii="Times New Roman" w:hAnsi="Times New Roman" w:cs="Times New Roman"/>
          <w:sz w:val="24"/>
          <w:szCs w:val="24"/>
          <w:vertAlign w:val="baseline"/>
        </w:rPr>
        <w:t>.14</w:t>
      </w:r>
      <w:r w:rsidR="000C220B">
        <w:rPr>
          <w:rFonts w:ascii="Times New Roman" w:hAnsi="Times New Roman" w:cs="Times New Roman"/>
          <w:sz w:val="24"/>
          <w:szCs w:val="24"/>
          <w:vertAlign w:val="baseline"/>
        </w:rPr>
        <w:tab/>
      </w:r>
      <w:r w:rsidR="00711207">
        <w:rPr>
          <w:rFonts w:ascii="Times New Roman" w:hAnsi="Times New Roman" w:cs="Times New Roman"/>
          <w:sz w:val="24"/>
          <w:szCs w:val="24"/>
          <w:vertAlign w:val="baseline"/>
        </w:rPr>
        <w:t>CONCLUDING REMARKS</w:t>
      </w:r>
      <w:r w:rsidR="00F377BB">
        <w:rPr>
          <w:rFonts w:ascii="Times New Roman" w:hAnsi="Times New Roman" w:cs="Times New Roman"/>
          <w:sz w:val="24"/>
          <w:szCs w:val="24"/>
          <w:vertAlign w:val="baseline"/>
        </w:rPr>
        <w:t>: AN EVALUATION OF</w:t>
      </w:r>
      <w:r w:rsidR="00711207">
        <w:rPr>
          <w:rFonts w:ascii="Times New Roman" w:hAnsi="Times New Roman" w:cs="Times New Roman"/>
          <w:sz w:val="24"/>
          <w:szCs w:val="24"/>
          <w:vertAlign w:val="baseline"/>
        </w:rPr>
        <w:t xml:space="preserve"> THE EFFECTIVENESS OF INTERNATIONAL HUMAN RIGHTS</w:t>
      </w:r>
      <w:r w:rsidR="0064696D">
        <w:rPr>
          <w:rFonts w:ascii="Times New Roman" w:hAnsi="Times New Roman" w:cs="Times New Roman"/>
          <w:sz w:val="24"/>
          <w:szCs w:val="24"/>
          <w:vertAlign w:val="baseline"/>
        </w:rPr>
        <w:tab/>
        <w:t>244</w:t>
      </w:r>
    </w:p>
    <w:p w14:paraId="59610899" w14:textId="069D7AC3" w:rsidR="00C175FB" w:rsidRDefault="00711207" w:rsidP="00532BC1">
      <w:pPr>
        <w:ind w:left="1440"/>
        <w:rPr>
          <w:rFonts w:ascii="Times New Roman" w:hAnsi="Times New Roman" w:cs="Times New Roman"/>
          <w:sz w:val="24"/>
          <w:szCs w:val="24"/>
          <w:vertAlign w:val="baseline"/>
        </w:rPr>
      </w:pPr>
      <w:r>
        <w:rPr>
          <w:rFonts w:ascii="Times New Roman" w:hAnsi="Times New Roman" w:cs="Times New Roman"/>
          <w:sz w:val="24"/>
          <w:szCs w:val="24"/>
          <w:vertAlign w:val="baseline"/>
        </w:rPr>
        <w:t>LAW IN PROTECTING WOMEN FROM WITCHCRAFT ACCUSATIONS AND PERSECUTION</w:t>
      </w:r>
    </w:p>
    <w:p w14:paraId="3FB346A7" w14:textId="77777777" w:rsidR="00713985" w:rsidRDefault="00713985" w:rsidP="000A3B92">
      <w:pPr>
        <w:jc w:val="both"/>
        <w:rPr>
          <w:rFonts w:ascii="Times New Roman" w:hAnsi="Times New Roman" w:cs="Times New Roman"/>
          <w:b/>
          <w:sz w:val="24"/>
          <w:szCs w:val="24"/>
          <w:u w:val="single"/>
          <w:vertAlign w:val="baseline"/>
        </w:rPr>
      </w:pPr>
    </w:p>
    <w:p w14:paraId="2CA03B98" w14:textId="6122658D" w:rsidR="00F6684D" w:rsidRPr="00F6684D" w:rsidRDefault="00713985" w:rsidP="00F6684D">
      <w:pPr>
        <w:rPr>
          <w:rFonts w:ascii="Times New Roman" w:hAnsi="Times New Roman" w:cs="Times New Roman"/>
          <w:sz w:val="24"/>
          <w:szCs w:val="24"/>
          <w:vertAlign w:val="baseline"/>
        </w:rPr>
      </w:pPr>
      <w:r>
        <w:rPr>
          <w:rFonts w:ascii="Times New Roman" w:hAnsi="Times New Roman" w:cs="Times New Roman"/>
          <w:b/>
          <w:sz w:val="24"/>
          <w:szCs w:val="24"/>
          <w:vertAlign w:val="baseline"/>
        </w:rPr>
        <w:t>CHAPTER SIX – WITC</w:t>
      </w:r>
      <w:r w:rsidR="00F6684D">
        <w:rPr>
          <w:rFonts w:ascii="Times New Roman" w:hAnsi="Times New Roman" w:cs="Times New Roman"/>
          <w:b/>
          <w:sz w:val="24"/>
          <w:szCs w:val="24"/>
          <w:vertAlign w:val="baseline"/>
        </w:rPr>
        <w:t>HCRAFT, VIOLENCE AGAINST WOMEN,</w:t>
      </w:r>
      <w:r w:rsidR="00F6684D">
        <w:rPr>
          <w:rFonts w:ascii="Times New Roman" w:hAnsi="Times New Roman" w:cs="Times New Roman"/>
          <w:b/>
          <w:sz w:val="24"/>
          <w:szCs w:val="24"/>
          <w:vertAlign w:val="baseline"/>
        </w:rPr>
        <w:tab/>
      </w:r>
      <w:r w:rsidR="0064696D">
        <w:rPr>
          <w:rFonts w:ascii="Times New Roman" w:hAnsi="Times New Roman" w:cs="Times New Roman"/>
          <w:sz w:val="24"/>
          <w:szCs w:val="24"/>
          <w:vertAlign w:val="baseline"/>
        </w:rPr>
        <w:t>253</w:t>
      </w:r>
    </w:p>
    <w:p w14:paraId="45D4E4C2" w14:textId="1A1B0D5D" w:rsidR="00FA5FA3" w:rsidRDefault="00713985" w:rsidP="00F6684D">
      <w:pPr>
        <w:rPr>
          <w:rFonts w:ascii="Times New Roman" w:hAnsi="Times New Roman" w:cs="Times New Roman"/>
          <w:b/>
          <w:sz w:val="24"/>
          <w:szCs w:val="24"/>
          <w:vertAlign w:val="baseline"/>
        </w:rPr>
      </w:pPr>
      <w:r>
        <w:rPr>
          <w:rFonts w:ascii="Times New Roman" w:hAnsi="Times New Roman" w:cs="Times New Roman"/>
          <w:b/>
          <w:sz w:val="24"/>
          <w:szCs w:val="24"/>
          <w:vertAlign w:val="baseline"/>
        </w:rPr>
        <w:t xml:space="preserve">DOMESTIC LAWS AND LOCAL CUSTOMARY LAWS </w:t>
      </w:r>
    </w:p>
    <w:p w14:paraId="73D41700" w14:textId="77777777" w:rsidR="006C4419" w:rsidRPr="00A3130F" w:rsidRDefault="006C4419" w:rsidP="00A3130F">
      <w:pPr>
        <w:spacing w:line="360" w:lineRule="auto"/>
        <w:rPr>
          <w:rFonts w:ascii="Times New Roman" w:hAnsi="Times New Roman" w:cs="Times New Roman"/>
          <w:b/>
          <w:sz w:val="24"/>
          <w:szCs w:val="24"/>
          <w:vertAlign w:val="baseline"/>
        </w:rPr>
      </w:pPr>
    </w:p>
    <w:p w14:paraId="7356071D" w14:textId="0A65F800" w:rsidR="00FA5FA3" w:rsidRDefault="00B13974" w:rsidP="00FA5FA3">
      <w:pPr>
        <w:spacing w:line="360" w:lineRule="auto"/>
        <w:ind w:firstLine="284"/>
        <w:rPr>
          <w:rFonts w:ascii="Times New Roman" w:hAnsi="Times New Roman" w:cs="Times New Roman"/>
          <w:sz w:val="24"/>
          <w:szCs w:val="24"/>
          <w:vertAlign w:val="baseline"/>
        </w:rPr>
      </w:pPr>
      <w:r>
        <w:rPr>
          <w:rFonts w:ascii="Times New Roman" w:hAnsi="Times New Roman" w:cs="Times New Roman"/>
          <w:sz w:val="24"/>
          <w:szCs w:val="24"/>
          <w:vertAlign w:val="baseline"/>
        </w:rPr>
        <w:t>6</w:t>
      </w:r>
      <w:r w:rsidR="00FA5FA3">
        <w:rPr>
          <w:rFonts w:ascii="Times New Roman" w:hAnsi="Times New Roman" w:cs="Times New Roman"/>
          <w:sz w:val="24"/>
          <w:szCs w:val="24"/>
          <w:vertAlign w:val="baseline"/>
        </w:rPr>
        <w:t>.1</w:t>
      </w:r>
      <w:r w:rsidR="00FA5FA3">
        <w:rPr>
          <w:rFonts w:ascii="Times New Roman" w:hAnsi="Times New Roman" w:cs="Times New Roman"/>
          <w:sz w:val="24"/>
          <w:szCs w:val="24"/>
          <w:vertAlign w:val="baseline"/>
        </w:rPr>
        <w:tab/>
      </w:r>
      <w:r w:rsidR="00FA5FA3">
        <w:rPr>
          <w:rFonts w:ascii="Times New Roman" w:hAnsi="Times New Roman" w:cs="Times New Roman"/>
          <w:sz w:val="24"/>
          <w:szCs w:val="24"/>
          <w:vertAlign w:val="baseline"/>
        </w:rPr>
        <w:tab/>
        <w:t>I</w:t>
      </w:r>
      <w:r w:rsidR="00711207">
        <w:rPr>
          <w:rFonts w:ascii="Times New Roman" w:hAnsi="Times New Roman" w:cs="Times New Roman"/>
          <w:sz w:val="24"/>
          <w:szCs w:val="24"/>
          <w:vertAlign w:val="baseline"/>
        </w:rPr>
        <w:t>NTRODUCTION</w:t>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t>253</w:t>
      </w:r>
    </w:p>
    <w:p w14:paraId="1358D0E1" w14:textId="4908F4ED" w:rsidR="00FA5FA3" w:rsidRDefault="00B13974" w:rsidP="00FA5FA3">
      <w:pPr>
        <w:spacing w:line="360" w:lineRule="auto"/>
        <w:ind w:firstLine="284"/>
        <w:rPr>
          <w:rFonts w:ascii="Times New Roman" w:hAnsi="Times New Roman" w:cs="Times New Roman"/>
          <w:sz w:val="24"/>
          <w:szCs w:val="24"/>
          <w:vertAlign w:val="baseline"/>
        </w:rPr>
      </w:pPr>
      <w:r>
        <w:rPr>
          <w:rFonts w:ascii="Times New Roman" w:hAnsi="Times New Roman" w:cs="Times New Roman"/>
          <w:sz w:val="24"/>
          <w:szCs w:val="24"/>
          <w:vertAlign w:val="baseline"/>
        </w:rPr>
        <w:t>6</w:t>
      </w:r>
      <w:r w:rsidR="00FA5FA3">
        <w:rPr>
          <w:rFonts w:ascii="Times New Roman" w:hAnsi="Times New Roman" w:cs="Times New Roman"/>
          <w:sz w:val="24"/>
          <w:szCs w:val="24"/>
          <w:vertAlign w:val="baseline"/>
        </w:rPr>
        <w:t>.2</w:t>
      </w:r>
      <w:r w:rsidR="00FA5FA3">
        <w:rPr>
          <w:rFonts w:ascii="Times New Roman" w:hAnsi="Times New Roman" w:cs="Times New Roman"/>
          <w:sz w:val="24"/>
          <w:szCs w:val="24"/>
          <w:vertAlign w:val="baseline"/>
        </w:rPr>
        <w:tab/>
      </w:r>
      <w:r w:rsidR="00FA5FA3">
        <w:rPr>
          <w:rFonts w:ascii="Times New Roman" w:hAnsi="Times New Roman" w:cs="Times New Roman"/>
          <w:sz w:val="24"/>
          <w:szCs w:val="24"/>
          <w:vertAlign w:val="baseline"/>
        </w:rPr>
        <w:tab/>
        <w:t>T</w:t>
      </w:r>
      <w:r w:rsidR="00711207">
        <w:rPr>
          <w:rFonts w:ascii="Times New Roman" w:hAnsi="Times New Roman" w:cs="Times New Roman"/>
          <w:sz w:val="24"/>
          <w:szCs w:val="24"/>
          <w:vertAlign w:val="baseline"/>
        </w:rPr>
        <w:t>ERMINOLOGY</w:t>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t>253</w:t>
      </w:r>
    </w:p>
    <w:p w14:paraId="77A90947" w14:textId="283F0D88" w:rsidR="0064696D" w:rsidRDefault="00B13974" w:rsidP="0064696D">
      <w:pPr>
        <w:spacing w:line="276" w:lineRule="auto"/>
        <w:ind w:firstLine="284"/>
        <w:rPr>
          <w:rFonts w:ascii="Times New Roman" w:hAnsi="Times New Roman" w:cs="Times New Roman"/>
          <w:sz w:val="24"/>
          <w:szCs w:val="24"/>
          <w:vertAlign w:val="baseline"/>
        </w:rPr>
      </w:pPr>
      <w:r>
        <w:rPr>
          <w:rFonts w:ascii="Times New Roman" w:hAnsi="Times New Roman" w:cs="Times New Roman"/>
          <w:sz w:val="24"/>
          <w:szCs w:val="24"/>
          <w:vertAlign w:val="baseline"/>
        </w:rPr>
        <w:t>6</w:t>
      </w:r>
      <w:r w:rsidR="00FA5FA3">
        <w:rPr>
          <w:rFonts w:ascii="Times New Roman" w:hAnsi="Times New Roman" w:cs="Times New Roman"/>
          <w:sz w:val="24"/>
          <w:szCs w:val="24"/>
          <w:vertAlign w:val="baseline"/>
        </w:rPr>
        <w:t>.3</w:t>
      </w:r>
      <w:r w:rsidR="00FA5FA3">
        <w:rPr>
          <w:rFonts w:ascii="Times New Roman" w:hAnsi="Times New Roman" w:cs="Times New Roman"/>
          <w:sz w:val="24"/>
          <w:szCs w:val="24"/>
          <w:vertAlign w:val="baseline"/>
        </w:rPr>
        <w:tab/>
      </w:r>
      <w:r w:rsidR="00FA5FA3">
        <w:rPr>
          <w:rFonts w:ascii="Times New Roman" w:hAnsi="Times New Roman" w:cs="Times New Roman"/>
          <w:sz w:val="24"/>
          <w:szCs w:val="24"/>
          <w:vertAlign w:val="baseline"/>
        </w:rPr>
        <w:tab/>
      </w:r>
      <w:r w:rsidR="00711207">
        <w:rPr>
          <w:rFonts w:ascii="Times New Roman" w:hAnsi="Times New Roman" w:cs="Times New Roman"/>
          <w:sz w:val="24"/>
          <w:szCs w:val="24"/>
          <w:vertAlign w:val="baseline"/>
        </w:rPr>
        <w:t>LEGAL PLURALISM</w:t>
      </w:r>
      <w:r w:rsidR="0064696D">
        <w:rPr>
          <w:rFonts w:ascii="Times New Roman" w:hAnsi="Times New Roman" w:cs="Times New Roman"/>
          <w:sz w:val="24"/>
          <w:szCs w:val="24"/>
          <w:vertAlign w:val="baseline"/>
        </w:rPr>
        <w:t xml:space="preserve"> AND INTERNATIONAL HUMAN</w:t>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t>254</w:t>
      </w:r>
    </w:p>
    <w:p w14:paraId="4D3FCBB9" w14:textId="39E5F606" w:rsidR="009B7AF8" w:rsidRPr="00F6684D" w:rsidRDefault="0064696D" w:rsidP="0064696D">
      <w:pPr>
        <w:spacing w:line="276" w:lineRule="auto"/>
        <w:ind w:left="720" w:firstLine="720"/>
        <w:rPr>
          <w:rFonts w:ascii="Times New Roman" w:hAnsi="Times New Roman" w:cs="Times New Roman"/>
          <w:sz w:val="24"/>
          <w:szCs w:val="24"/>
          <w:vertAlign w:val="baseline"/>
        </w:rPr>
      </w:pPr>
      <w:r>
        <w:rPr>
          <w:rFonts w:ascii="Times New Roman" w:hAnsi="Times New Roman" w:cs="Times New Roman"/>
          <w:sz w:val="24"/>
          <w:szCs w:val="24"/>
          <w:vertAlign w:val="baseline"/>
        </w:rPr>
        <w:t>RIGHTS LAW</w:t>
      </w:r>
      <w:r>
        <w:rPr>
          <w:rFonts w:ascii="Times New Roman" w:hAnsi="Times New Roman" w:cs="Times New Roman"/>
          <w:sz w:val="24"/>
          <w:szCs w:val="24"/>
          <w:vertAlign w:val="baseline"/>
        </w:rPr>
        <w:tab/>
      </w:r>
      <w:r>
        <w:rPr>
          <w:rFonts w:ascii="Times New Roman" w:hAnsi="Times New Roman" w:cs="Times New Roman"/>
          <w:sz w:val="24"/>
          <w:szCs w:val="24"/>
          <w:vertAlign w:val="baseline"/>
        </w:rPr>
        <w:tab/>
      </w:r>
      <w:r>
        <w:rPr>
          <w:rFonts w:ascii="Times New Roman" w:hAnsi="Times New Roman" w:cs="Times New Roman"/>
          <w:sz w:val="24"/>
          <w:szCs w:val="24"/>
          <w:vertAlign w:val="baseline"/>
        </w:rPr>
        <w:tab/>
      </w:r>
      <w:r>
        <w:rPr>
          <w:rFonts w:ascii="Times New Roman" w:hAnsi="Times New Roman" w:cs="Times New Roman"/>
          <w:sz w:val="24"/>
          <w:szCs w:val="24"/>
          <w:vertAlign w:val="baseline"/>
        </w:rPr>
        <w:tab/>
      </w:r>
      <w:r>
        <w:rPr>
          <w:rFonts w:ascii="Times New Roman" w:hAnsi="Times New Roman" w:cs="Times New Roman"/>
          <w:sz w:val="24"/>
          <w:szCs w:val="24"/>
          <w:vertAlign w:val="baseline"/>
        </w:rPr>
        <w:tab/>
      </w:r>
      <w:r>
        <w:rPr>
          <w:rFonts w:ascii="Times New Roman" w:hAnsi="Times New Roman" w:cs="Times New Roman"/>
          <w:sz w:val="24"/>
          <w:szCs w:val="24"/>
          <w:vertAlign w:val="baseline"/>
        </w:rPr>
        <w:tab/>
      </w:r>
      <w:r>
        <w:rPr>
          <w:rFonts w:ascii="Times New Roman" w:hAnsi="Times New Roman" w:cs="Times New Roman"/>
          <w:sz w:val="24"/>
          <w:szCs w:val="24"/>
          <w:vertAlign w:val="baseline"/>
        </w:rPr>
        <w:tab/>
      </w:r>
    </w:p>
    <w:p w14:paraId="2B154515" w14:textId="0753C5F7" w:rsidR="00F6684D" w:rsidRDefault="00B13974" w:rsidP="00711207">
      <w:pPr>
        <w:ind w:firstLine="284"/>
        <w:rPr>
          <w:rFonts w:ascii="Times New Roman" w:hAnsi="Times New Roman" w:cs="Times New Roman"/>
          <w:sz w:val="24"/>
          <w:szCs w:val="24"/>
          <w:vertAlign w:val="baseline"/>
        </w:rPr>
      </w:pPr>
      <w:r>
        <w:rPr>
          <w:rFonts w:ascii="Times New Roman" w:hAnsi="Times New Roman" w:cs="Times New Roman"/>
          <w:sz w:val="24"/>
          <w:szCs w:val="24"/>
          <w:vertAlign w:val="baseline"/>
        </w:rPr>
        <w:t>6</w:t>
      </w:r>
      <w:r w:rsidR="003847FE">
        <w:rPr>
          <w:rFonts w:ascii="Times New Roman" w:hAnsi="Times New Roman" w:cs="Times New Roman"/>
          <w:sz w:val="24"/>
          <w:szCs w:val="24"/>
          <w:vertAlign w:val="baseline"/>
        </w:rPr>
        <w:t>.4</w:t>
      </w:r>
      <w:r w:rsidR="003847FE">
        <w:rPr>
          <w:rFonts w:ascii="Times New Roman" w:hAnsi="Times New Roman" w:cs="Times New Roman"/>
          <w:sz w:val="24"/>
          <w:szCs w:val="24"/>
          <w:vertAlign w:val="baseline"/>
        </w:rPr>
        <w:tab/>
      </w:r>
      <w:r w:rsidR="003847FE">
        <w:rPr>
          <w:rFonts w:ascii="Times New Roman" w:hAnsi="Times New Roman" w:cs="Times New Roman"/>
          <w:sz w:val="24"/>
          <w:szCs w:val="24"/>
          <w:vertAlign w:val="baseline"/>
        </w:rPr>
        <w:tab/>
      </w:r>
      <w:r w:rsidR="00711207">
        <w:rPr>
          <w:rFonts w:ascii="Times New Roman" w:hAnsi="Times New Roman" w:cs="Times New Roman"/>
          <w:sz w:val="24"/>
          <w:szCs w:val="24"/>
          <w:vertAlign w:val="baseline"/>
        </w:rPr>
        <w:t xml:space="preserve">RELATIONSHIP BETWEEN CUSTOMARY AND </w:t>
      </w:r>
      <w:r w:rsidR="00994944">
        <w:rPr>
          <w:rFonts w:ascii="Times New Roman" w:hAnsi="Times New Roman" w:cs="Times New Roman"/>
          <w:sz w:val="24"/>
          <w:szCs w:val="24"/>
          <w:vertAlign w:val="baseline"/>
        </w:rPr>
        <w:tab/>
      </w:r>
      <w:r w:rsidR="00994944">
        <w:rPr>
          <w:rFonts w:ascii="Times New Roman" w:hAnsi="Times New Roman" w:cs="Times New Roman"/>
          <w:sz w:val="24"/>
          <w:szCs w:val="24"/>
          <w:vertAlign w:val="baseline"/>
        </w:rPr>
        <w:tab/>
        <w:t>255</w:t>
      </w:r>
    </w:p>
    <w:p w14:paraId="479A5B63" w14:textId="4FA97D14" w:rsidR="00711207" w:rsidRDefault="00711207" w:rsidP="00F6684D">
      <w:pPr>
        <w:spacing w:line="360" w:lineRule="auto"/>
        <w:ind w:left="720" w:firstLine="720"/>
        <w:rPr>
          <w:rFonts w:ascii="Times New Roman" w:hAnsi="Times New Roman" w:cs="Times New Roman"/>
          <w:sz w:val="24"/>
          <w:szCs w:val="24"/>
          <w:vertAlign w:val="baseline"/>
        </w:rPr>
      </w:pPr>
      <w:r>
        <w:rPr>
          <w:rFonts w:ascii="Times New Roman" w:hAnsi="Times New Roman" w:cs="Times New Roman"/>
          <w:sz w:val="24"/>
          <w:szCs w:val="24"/>
          <w:vertAlign w:val="baseline"/>
        </w:rPr>
        <w:t>STATUTORY LAW</w:t>
      </w:r>
    </w:p>
    <w:p w14:paraId="66139A07" w14:textId="3C573E6A" w:rsidR="003847FE" w:rsidRDefault="00B13974" w:rsidP="00F6684D">
      <w:pPr>
        <w:spacing w:line="360" w:lineRule="auto"/>
        <w:ind w:firstLine="284"/>
        <w:rPr>
          <w:rFonts w:ascii="Times New Roman" w:hAnsi="Times New Roman" w:cs="Times New Roman"/>
          <w:sz w:val="24"/>
          <w:szCs w:val="24"/>
          <w:vertAlign w:val="baseline"/>
        </w:rPr>
      </w:pPr>
      <w:r>
        <w:rPr>
          <w:rFonts w:ascii="Times New Roman" w:hAnsi="Times New Roman" w:cs="Times New Roman"/>
          <w:sz w:val="24"/>
          <w:szCs w:val="24"/>
          <w:vertAlign w:val="baseline"/>
        </w:rPr>
        <w:t>6</w:t>
      </w:r>
      <w:r w:rsidR="003847FE">
        <w:rPr>
          <w:rFonts w:ascii="Times New Roman" w:hAnsi="Times New Roman" w:cs="Times New Roman"/>
          <w:sz w:val="24"/>
          <w:szCs w:val="24"/>
          <w:vertAlign w:val="baseline"/>
        </w:rPr>
        <w:t>.5</w:t>
      </w:r>
      <w:r w:rsidR="003847FE">
        <w:rPr>
          <w:rFonts w:ascii="Times New Roman" w:hAnsi="Times New Roman" w:cs="Times New Roman"/>
          <w:sz w:val="24"/>
          <w:szCs w:val="24"/>
          <w:vertAlign w:val="baseline"/>
        </w:rPr>
        <w:tab/>
      </w:r>
      <w:r w:rsidR="003847FE">
        <w:rPr>
          <w:rFonts w:ascii="Times New Roman" w:hAnsi="Times New Roman" w:cs="Times New Roman"/>
          <w:sz w:val="24"/>
          <w:szCs w:val="24"/>
          <w:vertAlign w:val="baseline"/>
        </w:rPr>
        <w:tab/>
      </w:r>
      <w:r w:rsidR="00711207">
        <w:rPr>
          <w:rFonts w:ascii="Times New Roman" w:hAnsi="Times New Roman" w:cs="Times New Roman"/>
          <w:sz w:val="24"/>
          <w:szCs w:val="24"/>
          <w:vertAlign w:val="baseline"/>
        </w:rPr>
        <w:t>NATIONAL LAWS OF GHANA</w:t>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t>260</w:t>
      </w:r>
    </w:p>
    <w:p w14:paraId="06AC3362" w14:textId="6D32F382" w:rsidR="003847FE" w:rsidRPr="00645C9D" w:rsidRDefault="00711207" w:rsidP="003847FE">
      <w:pPr>
        <w:spacing w:line="360" w:lineRule="auto"/>
        <w:ind w:firstLine="284"/>
        <w:rPr>
          <w:rFonts w:ascii="Times New Roman" w:hAnsi="Times New Roman" w:cs="Times New Roman"/>
          <w:sz w:val="24"/>
          <w:szCs w:val="24"/>
          <w:vertAlign w:val="baseline"/>
        </w:rPr>
      </w:pPr>
      <w:r w:rsidRPr="00D86A9F">
        <w:rPr>
          <w:rFonts w:ascii="Times New Roman" w:hAnsi="Times New Roman" w:cs="Times New Roman"/>
          <w:i/>
          <w:sz w:val="24"/>
          <w:szCs w:val="24"/>
          <w:vertAlign w:val="baseline"/>
        </w:rPr>
        <w:t xml:space="preserve">   </w:t>
      </w:r>
      <w:r w:rsidR="00B13974" w:rsidRPr="00D86A9F">
        <w:rPr>
          <w:rFonts w:ascii="Times New Roman" w:hAnsi="Times New Roman" w:cs="Times New Roman"/>
          <w:i/>
          <w:sz w:val="24"/>
          <w:szCs w:val="24"/>
          <w:vertAlign w:val="baseline"/>
        </w:rPr>
        <w:t>6</w:t>
      </w:r>
      <w:r w:rsidR="003847FE" w:rsidRPr="00D86A9F">
        <w:rPr>
          <w:rFonts w:ascii="Times New Roman" w:hAnsi="Times New Roman" w:cs="Times New Roman"/>
          <w:i/>
          <w:sz w:val="24"/>
          <w:szCs w:val="24"/>
          <w:vertAlign w:val="baseline"/>
        </w:rPr>
        <w:t>.5.1</w:t>
      </w:r>
      <w:r w:rsidR="003847FE" w:rsidRPr="00D86A9F">
        <w:rPr>
          <w:rFonts w:ascii="Times New Roman" w:hAnsi="Times New Roman" w:cs="Times New Roman"/>
          <w:i/>
          <w:sz w:val="24"/>
          <w:szCs w:val="24"/>
          <w:vertAlign w:val="baseline"/>
        </w:rPr>
        <w:tab/>
        <w:t>Customary Law</w:t>
      </w:r>
      <w:r w:rsidR="00645C9D">
        <w:rPr>
          <w:rFonts w:ascii="Times New Roman" w:hAnsi="Times New Roman" w:cs="Times New Roman"/>
          <w:i/>
          <w:sz w:val="24"/>
          <w:szCs w:val="24"/>
          <w:vertAlign w:val="baseline"/>
        </w:rPr>
        <w:tab/>
      </w:r>
      <w:r w:rsidR="00645C9D">
        <w:rPr>
          <w:rFonts w:ascii="Times New Roman" w:hAnsi="Times New Roman" w:cs="Times New Roman"/>
          <w:i/>
          <w:sz w:val="24"/>
          <w:szCs w:val="24"/>
          <w:vertAlign w:val="baseline"/>
        </w:rPr>
        <w:tab/>
      </w:r>
      <w:r w:rsidR="00645C9D">
        <w:rPr>
          <w:rFonts w:ascii="Times New Roman" w:hAnsi="Times New Roman" w:cs="Times New Roman"/>
          <w:i/>
          <w:sz w:val="24"/>
          <w:szCs w:val="24"/>
          <w:vertAlign w:val="baseline"/>
        </w:rPr>
        <w:tab/>
      </w:r>
      <w:r w:rsidR="00645C9D">
        <w:rPr>
          <w:rFonts w:ascii="Times New Roman" w:hAnsi="Times New Roman" w:cs="Times New Roman"/>
          <w:i/>
          <w:sz w:val="24"/>
          <w:szCs w:val="24"/>
          <w:vertAlign w:val="baseline"/>
        </w:rPr>
        <w:tab/>
      </w:r>
      <w:r w:rsidR="00645C9D">
        <w:rPr>
          <w:rFonts w:ascii="Times New Roman" w:hAnsi="Times New Roman" w:cs="Times New Roman"/>
          <w:i/>
          <w:sz w:val="24"/>
          <w:szCs w:val="24"/>
          <w:vertAlign w:val="baseline"/>
        </w:rPr>
        <w:tab/>
      </w:r>
      <w:r w:rsidR="00645C9D">
        <w:rPr>
          <w:rFonts w:ascii="Times New Roman" w:hAnsi="Times New Roman" w:cs="Times New Roman"/>
          <w:i/>
          <w:sz w:val="24"/>
          <w:szCs w:val="24"/>
          <w:vertAlign w:val="baseline"/>
        </w:rPr>
        <w:tab/>
      </w:r>
      <w:r w:rsidR="00994944">
        <w:rPr>
          <w:rFonts w:ascii="Times New Roman" w:hAnsi="Times New Roman" w:cs="Times New Roman"/>
          <w:sz w:val="24"/>
          <w:szCs w:val="24"/>
          <w:vertAlign w:val="baseline"/>
        </w:rPr>
        <w:tab/>
        <w:t>262</w:t>
      </w:r>
    </w:p>
    <w:p w14:paraId="42094053" w14:textId="45926CAA" w:rsidR="00645C9D" w:rsidRPr="00645C9D" w:rsidRDefault="00711207" w:rsidP="00645C9D">
      <w:pPr>
        <w:ind w:left="1440" w:hanging="1156"/>
        <w:rPr>
          <w:rFonts w:ascii="Times New Roman" w:hAnsi="Times New Roman" w:cs="Times New Roman"/>
          <w:sz w:val="24"/>
          <w:szCs w:val="24"/>
          <w:vertAlign w:val="baseline"/>
        </w:rPr>
      </w:pPr>
      <w:r w:rsidRPr="00D86A9F">
        <w:rPr>
          <w:rFonts w:ascii="Times New Roman" w:hAnsi="Times New Roman" w:cs="Times New Roman"/>
          <w:i/>
          <w:sz w:val="24"/>
          <w:szCs w:val="24"/>
          <w:vertAlign w:val="baseline"/>
        </w:rPr>
        <w:t xml:space="preserve">   </w:t>
      </w:r>
      <w:r w:rsidR="00B13974" w:rsidRPr="00D86A9F">
        <w:rPr>
          <w:rFonts w:ascii="Times New Roman" w:hAnsi="Times New Roman" w:cs="Times New Roman"/>
          <w:i/>
          <w:sz w:val="24"/>
          <w:szCs w:val="24"/>
          <w:vertAlign w:val="baseline"/>
        </w:rPr>
        <w:t>6</w:t>
      </w:r>
      <w:r w:rsidR="003847FE" w:rsidRPr="00D86A9F">
        <w:rPr>
          <w:rFonts w:ascii="Times New Roman" w:hAnsi="Times New Roman" w:cs="Times New Roman"/>
          <w:i/>
          <w:sz w:val="24"/>
          <w:szCs w:val="24"/>
          <w:vertAlign w:val="baseline"/>
        </w:rPr>
        <w:t>.5.2</w:t>
      </w:r>
      <w:r w:rsidR="003847FE">
        <w:rPr>
          <w:rFonts w:ascii="Times New Roman" w:hAnsi="Times New Roman" w:cs="Times New Roman"/>
          <w:sz w:val="24"/>
          <w:szCs w:val="24"/>
          <w:vertAlign w:val="baseline"/>
        </w:rPr>
        <w:tab/>
      </w:r>
      <w:r w:rsidR="00715316">
        <w:rPr>
          <w:rFonts w:ascii="Times New Roman" w:hAnsi="Times New Roman" w:cs="Times New Roman"/>
          <w:i/>
          <w:sz w:val="24"/>
          <w:szCs w:val="24"/>
          <w:vertAlign w:val="baseline"/>
        </w:rPr>
        <w:t>Relationship</w:t>
      </w:r>
      <w:r w:rsidR="003847FE" w:rsidRPr="00FC5C8A">
        <w:rPr>
          <w:rFonts w:ascii="Times New Roman" w:hAnsi="Times New Roman" w:cs="Times New Roman"/>
          <w:i/>
          <w:sz w:val="24"/>
          <w:szCs w:val="24"/>
          <w:vertAlign w:val="baseline"/>
        </w:rPr>
        <w:t xml:space="preserve"> Between Local Custo</w:t>
      </w:r>
      <w:r w:rsidR="00B13974" w:rsidRPr="00FC5C8A">
        <w:rPr>
          <w:rFonts w:ascii="Times New Roman" w:hAnsi="Times New Roman" w:cs="Times New Roman"/>
          <w:i/>
          <w:sz w:val="24"/>
          <w:szCs w:val="24"/>
          <w:vertAlign w:val="baseline"/>
        </w:rPr>
        <w:t>mary Laws and State Laws</w:t>
      </w:r>
      <w:r w:rsidR="00645C9D">
        <w:rPr>
          <w:rFonts w:ascii="Times New Roman" w:hAnsi="Times New Roman" w:cs="Times New Roman"/>
          <w:i/>
          <w:sz w:val="24"/>
          <w:szCs w:val="24"/>
          <w:vertAlign w:val="baseline"/>
        </w:rPr>
        <w:tab/>
      </w:r>
      <w:r w:rsidR="0064696D">
        <w:rPr>
          <w:rFonts w:ascii="Times New Roman" w:hAnsi="Times New Roman" w:cs="Times New Roman"/>
          <w:sz w:val="24"/>
          <w:szCs w:val="24"/>
          <w:vertAlign w:val="baseline"/>
        </w:rPr>
        <w:t>268</w:t>
      </w:r>
    </w:p>
    <w:p w14:paraId="00F59A65" w14:textId="23FD6CF4" w:rsidR="00711207" w:rsidRPr="00D4608E" w:rsidRDefault="00B13974" w:rsidP="00645C9D">
      <w:pPr>
        <w:spacing w:line="360" w:lineRule="auto"/>
        <w:ind w:left="1440"/>
        <w:rPr>
          <w:rFonts w:ascii="Times New Roman" w:hAnsi="Times New Roman" w:cs="Times New Roman"/>
          <w:i/>
          <w:sz w:val="24"/>
          <w:szCs w:val="24"/>
          <w:vertAlign w:val="baseline"/>
        </w:rPr>
      </w:pPr>
      <w:r w:rsidRPr="00FC5C8A">
        <w:rPr>
          <w:rFonts w:ascii="Times New Roman" w:hAnsi="Times New Roman" w:cs="Times New Roman"/>
          <w:i/>
          <w:sz w:val="24"/>
          <w:szCs w:val="24"/>
          <w:vertAlign w:val="baseline"/>
        </w:rPr>
        <w:t xml:space="preserve">in the </w:t>
      </w:r>
      <w:r w:rsidR="003847FE" w:rsidRPr="00FC5C8A">
        <w:rPr>
          <w:rFonts w:ascii="Times New Roman" w:hAnsi="Times New Roman" w:cs="Times New Roman"/>
          <w:i/>
          <w:sz w:val="24"/>
          <w:szCs w:val="24"/>
          <w:vertAlign w:val="baseline"/>
        </w:rPr>
        <w:t>Witchcraft Discourse</w:t>
      </w:r>
    </w:p>
    <w:p w14:paraId="55E08EA1" w14:textId="779BA0AA" w:rsidR="00661BBB" w:rsidRDefault="00B13974" w:rsidP="00661BBB">
      <w:pPr>
        <w:spacing w:line="360" w:lineRule="auto"/>
        <w:ind w:left="1440" w:hanging="1156"/>
        <w:rPr>
          <w:rFonts w:ascii="Times New Roman" w:hAnsi="Times New Roman" w:cs="Times New Roman"/>
          <w:sz w:val="24"/>
          <w:szCs w:val="24"/>
          <w:vertAlign w:val="baseline"/>
        </w:rPr>
      </w:pPr>
      <w:r>
        <w:rPr>
          <w:rFonts w:ascii="Times New Roman" w:hAnsi="Times New Roman" w:cs="Times New Roman"/>
          <w:sz w:val="24"/>
          <w:szCs w:val="24"/>
          <w:vertAlign w:val="baseline"/>
        </w:rPr>
        <w:t>6</w:t>
      </w:r>
      <w:r w:rsidR="00661BBB">
        <w:rPr>
          <w:rFonts w:ascii="Times New Roman" w:hAnsi="Times New Roman" w:cs="Times New Roman"/>
          <w:sz w:val="24"/>
          <w:szCs w:val="24"/>
          <w:vertAlign w:val="baseline"/>
        </w:rPr>
        <w:t>.6</w:t>
      </w:r>
      <w:r w:rsidR="00661BBB">
        <w:rPr>
          <w:rFonts w:ascii="Times New Roman" w:hAnsi="Times New Roman" w:cs="Times New Roman"/>
          <w:sz w:val="24"/>
          <w:szCs w:val="24"/>
          <w:vertAlign w:val="baseline"/>
        </w:rPr>
        <w:tab/>
      </w:r>
      <w:r w:rsidR="00711207">
        <w:rPr>
          <w:rFonts w:ascii="Times New Roman" w:hAnsi="Times New Roman" w:cs="Times New Roman"/>
          <w:sz w:val="24"/>
          <w:szCs w:val="24"/>
          <w:vertAlign w:val="baseline"/>
        </w:rPr>
        <w:t>NATIONAL LAWS OF INDIA</w:t>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t>272</w:t>
      </w:r>
    </w:p>
    <w:p w14:paraId="22CC944D" w14:textId="58E02D3D" w:rsidR="00661BBB" w:rsidRPr="00645C9D" w:rsidRDefault="00711207" w:rsidP="00661BBB">
      <w:pPr>
        <w:spacing w:line="360" w:lineRule="auto"/>
        <w:ind w:left="1440" w:hanging="1156"/>
        <w:rPr>
          <w:rFonts w:ascii="Times New Roman" w:hAnsi="Times New Roman" w:cs="Times New Roman"/>
          <w:sz w:val="24"/>
          <w:szCs w:val="24"/>
          <w:vertAlign w:val="baseline"/>
        </w:rPr>
      </w:pPr>
      <w:r w:rsidRPr="00D86A9F">
        <w:rPr>
          <w:rFonts w:ascii="Times New Roman" w:hAnsi="Times New Roman" w:cs="Times New Roman"/>
          <w:i/>
          <w:sz w:val="24"/>
          <w:szCs w:val="24"/>
          <w:vertAlign w:val="baseline"/>
        </w:rPr>
        <w:t xml:space="preserve">   </w:t>
      </w:r>
      <w:r w:rsidR="00B13974" w:rsidRPr="00D86A9F">
        <w:rPr>
          <w:rFonts w:ascii="Times New Roman" w:hAnsi="Times New Roman" w:cs="Times New Roman"/>
          <w:i/>
          <w:sz w:val="24"/>
          <w:szCs w:val="24"/>
          <w:vertAlign w:val="baseline"/>
        </w:rPr>
        <w:t>6</w:t>
      </w:r>
      <w:r w:rsidR="00661BBB" w:rsidRPr="00D86A9F">
        <w:rPr>
          <w:rFonts w:ascii="Times New Roman" w:hAnsi="Times New Roman" w:cs="Times New Roman"/>
          <w:i/>
          <w:sz w:val="24"/>
          <w:szCs w:val="24"/>
          <w:vertAlign w:val="baseline"/>
        </w:rPr>
        <w:t>.6.1</w:t>
      </w:r>
      <w:r w:rsidR="00661BBB" w:rsidRPr="00D86A9F">
        <w:rPr>
          <w:rFonts w:ascii="Times New Roman" w:hAnsi="Times New Roman" w:cs="Times New Roman"/>
          <w:i/>
          <w:sz w:val="24"/>
          <w:szCs w:val="24"/>
          <w:vertAlign w:val="baseline"/>
        </w:rPr>
        <w:tab/>
        <w:t>Customary Law</w:t>
      </w:r>
      <w:r w:rsidR="00645C9D">
        <w:rPr>
          <w:rFonts w:ascii="Times New Roman" w:hAnsi="Times New Roman" w:cs="Times New Roman"/>
          <w:i/>
          <w:sz w:val="24"/>
          <w:szCs w:val="24"/>
          <w:vertAlign w:val="baseline"/>
        </w:rPr>
        <w:tab/>
      </w:r>
      <w:r w:rsidR="00645C9D">
        <w:rPr>
          <w:rFonts w:ascii="Times New Roman" w:hAnsi="Times New Roman" w:cs="Times New Roman"/>
          <w:i/>
          <w:sz w:val="24"/>
          <w:szCs w:val="24"/>
          <w:vertAlign w:val="baseline"/>
        </w:rPr>
        <w:tab/>
      </w:r>
      <w:r w:rsidR="00645C9D">
        <w:rPr>
          <w:rFonts w:ascii="Times New Roman" w:hAnsi="Times New Roman" w:cs="Times New Roman"/>
          <w:i/>
          <w:sz w:val="24"/>
          <w:szCs w:val="24"/>
          <w:vertAlign w:val="baseline"/>
        </w:rPr>
        <w:tab/>
      </w:r>
      <w:r w:rsidR="00645C9D">
        <w:rPr>
          <w:rFonts w:ascii="Times New Roman" w:hAnsi="Times New Roman" w:cs="Times New Roman"/>
          <w:i/>
          <w:sz w:val="24"/>
          <w:szCs w:val="24"/>
          <w:vertAlign w:val="baseline"/>
        </w:rPr>
        <w:tab/>
      </w:r>
      <w:r w:rsidR="00645C9D">
        <w:rPr>
          <w:rFonts w:ascii="Times New Roman" w:hAnsi="Times New Roman" w:cs="Times New Roman"/>
          <w:i/>
          <w:sz w:val="24"/>
          <w:szCs w:val="24"/>
          <w:vertAlign w:val="baseline"/>
        </w:rPr>
        <w:tab/>
      </w:r>
      <w:r w:rsidR="00645C9D">
        <w:rPr>
          <w:rFonts w:ascii="Times New Roman" w:hAnsi="Times New Roman" w:cs="Times New Roman"/>
          <w:i/>
          <w:sz w:val="24"/>
          <w:szCs w:val="24"/>
          <w:vertAlign w:val="baseline"/>
        </w:rPr>
        <w:tab/>
      </w:r>
      <w:r w:rsidR="00645C9D">
        <w:rPr>
          <w:rFonts w:ascii="Times New Roman" w:hAnsi="Times New Roman" w:cs="Times New Roman"/>
          <w:i/>
          <w:sz w:val="24"/>
          <w:szCs w:val="24"/>
          <w:vertAlign w:val="baseline"/>
        </w:rPr>
        <w:tab/>
      </w:r>
      <w:r w:rsidR="00994944">
        <w:rPr>
          <w:rFonts w:ascii="Times New Roman" w:hAnsi="Times New Roman" w:cs="Times New Roman"/>
          <w:sz w:val="24"/>
          <w:szCs w:val="24"/>
          <w:vertAlign w:val="baseline"/>
        </w:rPr>
        <w:t>2</w:t>
      </w:r>
      <w:r w:rsidR="0064696D">
        <w:rPr>
          <w:rFonts w:ascii="Times New Roman" w:hAnsi="Times New Roman" w:cs="Times New Roman"/>
          <w:sz w:val="24"/>
          <w:szCs w:val="24"/>
          <w:vertAlign w:val="baseline"/>
        </w:rPr>
        <w:t>73</w:t>
      </w:r>
    </w:p>
    <w:p w14:paraId="4EE7FC89" w14:textId="13E036D2" w:rsidR="00661BBB" w:rsidRPr="00645C9D" w:rsidRDefault="00711207" w:rsidP="00661BBB">
      <w:pPr>
        <w:spacing w:line="360" w:lineRule="auto"/>
        <w:ind w:left="1440" w:hanging="1156"/>
        <w:rPr>
          <w:rFonts w:ascii="Times New Roman" w:hAnsi="Times New Roman" w:cs="Times New Roman"/>
          <w:sz w:val="24"/>
          <w:szCs w:val="24"/>
          <w:vertAlign w:val="baseline"/>
        </w:rPr>
      </w:pPr>
      <w:r w:rsidRPr="00D86A9F">
        <w:rPr>
          <w:rFonts w:ascii="Times New Roman" w:hAnsi="Times New Roman" w:cs="Times New Roman"/>
          <w:i/>
          <w:sz w:val="24"/>
          <w:szCs w:val="24"/>
          <w:vertAlign w:val="baseline"/>
        </w:rPr>
        <w:t xml:space="preserve">   </w:t>
      </w:r>
      <w:r w:rsidR="00B13974" w:rsidRPr="00D86A9F">
        <w:rPr>
          <w:rFonts w:ascii="Times New Roman" w:hAnsi="Times New Roman" w:cs="Times New Roman"/>
          <w:i/>
          <w:sz w:val="24"/>
          <w:szCs w:val="24"/>
          <w:vertAlign w:val="baseline"/>
        </w:rPr>
        <w:t>6</w:t>
      </w:r>
      <w:r w:rsidR="00661BBB" w:rsidRPr="00D86A9F">
        <w:rPr>
          <w:rFonts w:ascii="Times New Roman" w:hAnsi="Times New Roman" w:cs="Times New Roman"/>
          <w:i/>
          <w:sz w:val="24"/>
          <w:szCs w:val="24"/>
          <w:vertAlign w:val="baseline"/>
        </w:rPr>
        <w:t>.6.2</w:t>
      </w:r>
      <w:r w:rsidR="00661BBB" w:rsidRPr="00D86A9F">
        <w:rPr>
          <w:rFonts w:ascii="Times New Roman" w:hAnsi="Times New Roman" w:cs="Times New Roman"/>
          <w:i/>
          <w:sz w:val="24"/>
          <w:szCs w:val="24"/>
          <w:vertAlign w:val="baseline"/>
        </w:rPr>
        <w:tab/>
        <w:t>Personal Law</w:t>
      </w:r>
      <w:r w:rsidR="00645C9D">
        <w:rPr>
          <w:rFonts w:ascii="Times New Roman" w:hAnsi="Times New Roman" w:cs="Times New Roman"/>
          <w:i/>
          <w:sz w:val="24"/>
          <w:szCs w:val="24"/>
          <w:vertAlign w:val="baseline"/>
        </w:rPr>
        <w:tab/>
      </w:r>
      <w:r w:rsidR="00645C9D">
        <w:rPr>
          <w:rFonts w:ascii="Times New Roman" w:hAnsi="Times New Roman" w:cs="Times New Roman"/>
          <w:i/>
          <w:sz w:val="24"/>
          <w:szCs w:val="24"/>
          <w:vertAlign w:val="baseline"/>
        </w:rPr>
        <w:tab/>
      </w:r>
      <w:r w:rsidR="00645C9D">
        <w:rPr>
          <w:rFonts w:ascii="Times New Roman" w:hAnsi="Times New Roman" w:cs="Times New Roman"/>
          <w:i/>
          <w:sz w:val="24"/>
          <w:szCs w:val="24"/>
          <w:vertAlign w:val="baseline"/>
        </w:rPr>
        <w:tab/>
      </w:r>
      <w:r w:rsidR="00645C9D">
        <w:rPr>
          <w:rFonts w:ascii="Times New Roman" w:hAnsi="Times New Roman" w:cs="Times New Roman"/>
          <w:i/>
          <w:sz w:val="24"/>
          <w:szCs w:val="24"/>
          <w:vertAlign w:val="baseline"/>
        </w:rPr>
        <w:tab/>
      </w:r>
      <w:r w:rsidR="00645C9D">
        <w:rPr>
          <w:rFonts w:ascii="Times New Roman" w:hAnsi="Times New Roman" w:cs="Times New Roman"/>
          <w:i/>
          <w:sz w:val="24"/>
          <w:szCs w:val="24"/>
          <w:vertAlign w:val="baseline"/>
        </w:rPr>
        <w:tab/>
      </w:r>
      <w:r w:rsidR="00645C9D">
        <w:rPr>
          <w:rFonts w:ascii="Times New Roman" w:hAnsi="Times New Roman" w:cs="Times New Roman"/>
          <w:i/>
          <w:sz w:val="24"/>
          <w:szCs w:val="24"/>
          <w:vertAlign w:val="baseline"/>
        </w:rPr>
        <w:tab/>
      </w:r>
      <w:r w:rsidR="00645C9D">
        <w:rPr>
          <w:rFonts w:ascii="Times New Roman" w:hAnsi="Times New Roman" w:cs="Times New Roman"/>
          <w:i/>
          <w:sz w:val="24"/>
          <w:szCs w:val="24"/>
          <w:vertAlign w:val="baseline"/>
        </w:rPr>
        <w:tab/>
      </w:r>
      <w:r w:rsidR="00645C9D">
        <w:rPr>
          <w:rFonts w:ascii="Times New Roman" w:hAnsi="Times New Roman" w:cs="Times New Roman"/>
          <w:i/>
          <w:sz w:val="24"/>
          <w:szCs w:val="24"/>
          <w:vertAlign w:val="baseline"/>
        </w:rPr>
        <w:tab/>
      </w:r>
      <w:r w:rsidR="0064696D">
        <w:rPr>
          <w:rFonts w:ascii="Times New Roman" w:hAnsi="Times New Roman" w:cs="Times New Roman"/>
          <w:sz w:val="24"/>
          <w:szCs w:val="24"/>
          <w:vertAlign w:val="baseline"/>
        </w:rPr>
        <w:t>274</w:t>
      </w:r>
    </w:p>
    <w:p w14:paraId="09A1A3D8" w14:textId="748BE0DD" w:rsidR="00711207" w:rsidRPr="00645C9D" w:rsidRDefault="00711207" w:rsidP="00D4608E">
      <w:pPr>
        <w:spacing w:line="360" w:lineRule="auto"/>
        <w:ind w:left="1440" w:hanging="1156"/>
        <w:rPr>
          <w:rFonts w:ascii="Times New Roman" w:hAnsi="Times New Roman" w:cs="Times New Roman"/>
          <w:sz w:val="24"/>
          <w:szCs w:val="24"/>
          <w:vertAlign w:val="baseline"/>
        </w:rPr>
      </w:pPr>
      <w:r w:rsidRPr="00D86A9F">
        <w:rPr>
          <w:rFonts w:ascii="Times New Roman" w:hAnsi="Times New Roman" w:cs="Times New Roman"/>
          <w:i/>
          <w:sz w:val="24"/>
          <w:szCs w:val="24"/>
          <w:vertAlign w:val="baseline"/>
        </w:rPr>
        <w:t xml:space="preserve">   </w:t>
      </w:r>
      <w:r w:rsidR="00B13974" w:rsidRPr="00D86A9F">
        <w:rPr>
          <w:rFonts w:ascii="Times New Roman" w:hAnsi="Times New Roman" w:cs="Times New Roman"/>
          <w:i/>
          <w:sz w:val="24"/>
          <w:szCs w:val="24"/>
          <w:vertAlign w:val="baseline"/>
        </w:rPr>
        <w:t>6</w:t>
      </w:r>
      <w:r w:rsidR="00661BBB" w:rsidRPr="00D86A9F">
        <w:rPr>
          <w:rFonts w:ascii="Times New Roman" w:hAnsi="Times New Roman" w:cs="Times New Roman"/>
          <w:i/>
          <w:sz w:val="24"/>
          <w:szCs w:val="24"/>
          <w:vertAlign w:val="baseline"/>
        </w:rPr>
        <w:t>.6.3</w:t>
      </w:r>
      <w:r w:rsidR="00661BBB">
        <w:rPr>
          <w:rFonts w:ascii="Times New Roman" w:hAnsi="Times New Roman" w:cs="Times New Roman"/>
          <w:sz w:val="24"/>
          <w:szCs w:val="24"/>
          <w:vertAlign w:val="baseline"/>
        </w:rPr>
        <w:tab/>
      </w:r>
      <w:r w:rsidR="00661BBB" w:rsidRPr="00FC5C8A">
        <w:rPr>
          <w:rFonts w:ascii="Times New Roman" w:hAnsi="Times New Roman" w:cs="Times New Roman"/>
          <w:i/>
          <w:sz w:val="24"/>
          <w:szCs w:val="24"/>
          <w:vertAlign w:val="baseline"/>
        </w:rPr>
        <w:t>Witchcraft Laws</w:t>
      </w:r>
      <w:r w:rsidR="00645C9D">
        <w:rPr>
          <w:rFonts w:ascii="Times New Roman" w:hAnsi="Times New Roman" w:cs="Times New Roman"/>
          <w:i/>
          <w:sz w:val="24"/>
          <w:szCs w:val="24"/>
          <w:vertAlign w:val="baseline"/>
        </w:rPr>
        <w:tab/>
      </w:r>
      <w:r w:rsidR="00645C9D">
        <w:rPr>
          <w:rFonts w:ascii="Times New Roman" w:hAnsi="Times New Roman" w:cs="Times New Roman"/>
          <w:i/>
          <w:sz w:val="24"/>
          <w:szCs w:val="24"/>
          <w:vertAlign w:val="baseline"/>
        </w:rPr>
        <w:tab/>
      </w:r>
      <w:r w:rsidR="00645C9D">
        <w:rPr>
          <w:rFonts w:ascii="Times New Roman" w:hAnsi="Times New Roman" w:cs="Times New Roman"/>
          <w:i/>
          <w:sz w:val="24"/>
          <w:szCs w:val="24"/>
          <w:vertAlign w:val="baseline"/>
        </w:rPr>
        <w:tab/>
      </w:r>
      <w:r w:rsidR="00645C9D">
        <w:rPr>
          <w:rFonts w:ascii="Times New Roman" w:hAnsi="Times New Roman" w:cs="Times New Roman"/>
          <w:i/>
          <w:sz w:val="24"/>
          <w:szCs w:val="24"/>
          <w:vertAlign w:val="baseline"/>
        </w:rPr>
        <w:tab/>
      </w:r>
      <w:r w:rsidR="00645C9D">
        <w:rPr>
          <w:rFonts w:ascii="Times New Roman" w:hAnsi="Times New Roman" w:cs="Times New Roman"/>
          <w:i/>
          <w:sz w:val="24"/>
          <w:szCs w:val="24"/>
          <w:vertAlign w:val="baseline"/>
        </w:rPr>
        <w:tab/>
      </w:r>
      <w:r w:rsidR="00645C9D">
        <w:rPr>
          <w:rFonts w:ascii="Times New Roman" w:hAnsi="Times New Roman" w:cs="Times New Roman"/>
          <w:i/>
          <w:sz w:val="24"/>
          <w:szCs w:val="24"/>
          <w:vertAlign w:val="baseline"/>
        </w:rPr>
        <w:tab/>
      </w:r>
      <w:r w:rsidR="00645C9D">
        <w:rPr>
          <w:rFonts w:ascii="Times New Roman" w:hAnsi="Times New Roman" w:cs="Times New Roman"/>
          <w:i/>
          <w:sz w:val="24"/>
          <w:szCs w:val="24"/>
          <w:vertAlign w:val="baseline"/>
        </w:rPr>
        <w:tab/>
      </w:r>
      <w:r w:rsidR="0064696D">
        <w:rPr>
          <w:rFonts w:ascii="Times New Roman" w:hAnsi="Times New Roman" w:cs="Times New Roman"/>
          <w:sz w:val="24"/>
          <w:szCs w:val="24"/>
          <w:vertAlign w:val="baseline"/>
        </w:rPr>
        <w:t>278</w:t>
      </w:r>
    </w:p>
    <w:p w14:paraId="201BB93C" w14:textId="3A36AB32" w:rsidR="00661BBB" w:rsidRDefault="00B13974" w:rsidP="00661BBB">
      <w:pPr>
        <w:spacing w:line="360" w:lineRule="auto"/>
        <w:ind w:left="1440" w:hanging="1156"/>
        <w:rPr>
          <w:rFonts w:ascii="Times New Roman" w:hAnsi="Times New Roman" w:cs="Times New Roman"/>
          <w:sz w:val="24"/>
          <w:szCs w:val="24"/>
          <w:vertAlign w:val="baseline"/>
        </w:rPr>
      </w:pPr>
      <w:r>
        <w:rPr>
          <w:rFonts w:ascii="Times New Roman" w:hAnsi="Times New Roman" w:cs="Times New Roman"/>
          <w:sz w:val="24"/>
          <w:szCs w:val="24"/>
          <w:vertAlign w:val="baseline"/>
        </w:rPr>
        <w:t>6</w:t>
      </w:r>
      <w:r w:rsidR="00661BBB">
        <w:rPr>
          <w:rFonts w:ascii="Times New Roman" w:hAnsi="Times New Roman" w:cs="Times New Roman"/>
          <w:sz w:val="24"/>
          <w:szCs w:val="24"/>
          <w:vertAlign w:val="baseline"/>
        </w:rPr>
        <w:t>.7</w:t>
      </w:r>
      <w:r w:rsidR="00661BBB">
        <w:rPr>
          <w:rFonts w:ascii="Times New Roman" w:hAnsi="Times New Roman" w:cs="Times New Roman"/>
          <w:sz w:val="24"/>
          <w:szCs w:val="24"/>
          <w:vertAlign w:val="baseline"/>
        </w:rPr>
        <w:tab/>
      </w:r>
      <w:r w:rsidR="00711207">
        <w:rPr>
          <w:rFonts w:ascii="Times New Roman" w:hAnsi="Times New Roman" w:cs="Times New Roman"/>
          <w:sz w:val="24"/>
          <w:szCs w:val="24"/>
          <w:vertAlign w:val="baseline"/>
        </w:rPr>
        <w:t>NATIONAL LAWS OF NEPAL</w:t>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t>283</w:t>
      </w:r>
    </w:p>
    <w:p w14:paraId="61D3B7DB" w14:textId="196D786A" w:rsidR="00661BBB" w:rsidRPr="00645C9D" w:rsidRDefault="00711207" w:rsidP="00661BBB">
      <w:pPr>
        <w:spacing w:line="360" w:lineRule="auto"/>
        <w:ind w:left="1440" w:hanging="1156"/>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   </w:t>
      </w:r>
      <w:r w:rsidR="00B13974" w:rsidRPr="00D86A9F">
        <w:rPr>
          <w:rFonts w:ascii="Times New Roman" w:hAnsi="Times New Roman" w:cs="Times New Roman"/>
          <w:i/>
          <w:sz w:val="24"/>
          <w:szCs w:val="24"/>
          <w:vertAlign w:val="baseline"/>
        </w:rPr>
        <w:t>6</w:t>
      </w:r>
      <w:r w:rsidR="00661BBB" w:rsidRPr="00D86A9F">
        <w:rPr>
          <w:rFonts w:ascii="Times New Roman" w:hAnsi="Times New Roman" w:cs="Times New Roman"/>
          <w:i/>
          <w:sz w:val="24"/>
          <w:szCs w:val="24"/>
          <w:vertAlign w:val="baseline"/>
        </w:rPr>
        <w:t>.7.1</w:t>
      </w:r>
      <w:r w:rsidR="00661BBB" w:rsidRPr="00D86A9F">
        <w:rPr>
          <w:rFonts w:ascii="Times New Roman" w:hAnsi="Times New Roman" w:cs="Times New Roman"/>
          <w:i/>
          <w:sz w:val="24"/>
          <w:szCs w:val="24"/>
          <w:vertAlign w:val="baseline"/>
        </w:rPr>
        <w:tab/>
        <w:t>Personal Law</w:t>
      </w:r>
      <w:r w:rsidR="00645C9D">
        <w:rPr>
          <w:rFonts w:ascii="Times New Roman" w:hAnsi="Times New Roman" w:cs="Times New Roman"/>
          <w:i/>
          <w:sz w:val="24"/>
          <w:szCs w:val="24"/>
          <w:vertAlign w:val="baseline"/>
        </w:rPr>
        <w:tab/>
      </w:r>
      <w:r w:rsidR="00645C9D">
        <w:rPr>
          <w:rFonts w:ascii="Times New Roman" w:hAnsi="Times New Roman" w:cs="Times New Roman"/>
          <w:i/>
          <w:sz w:val="24"/>
          <w:szCs w:val="24"/>
          <w:vertAlign w:val="baseline"/>
        </w:rPr>
        <w:tab/>
      </w:r>
      <w:r w:rsidR="00645C9D">
        <w:rPr>
          <w:rFonts w:ascii="Times New Roman" w:hAnsi="Times New Roman" w:cs="Times New Roman"/>
          <w:i/>
          <w:sz w:val="24"/>
          <w:szCs w:val="24"/>
          <w:vertAlign w:val="baseline"/>
        </w:rPr>
        <w:tab/>
      </w:r>
      <w:r w:rsidR="00645C9D">
        <w:rPr>
          <w:rFonts w:ascii="Times New Roman" w:hAnsi="Times New Roman" w:cs="Times New Roman"/>
          <w:i/>
          <w:sz w:val="24"/>
          <w:szCs w:val="24"/>
          <w:vertAlign w:val="baseline"/>
        </w:rPr>
        <w:tab/>
      </w:r>
      <w:r w:rsidR="00645C9D">
        <w:rPr>
          <w:rFonts w:ascii="Times New Roman" w:hAnsi="Times New Roman" w:cs="Times New Roman"/>
          <w:i/>
          <w:sz w:val="24"/>
          <w:szCs w:val="24"/>
          <w:vertAlign w:val="baseline"/>
        </w:rPr>
        <w:tab/>
      </w:r>
      <w:r w:rsidR="00645C9D">
        <w:rPr>
          <w:rFonts w:ascii="Times New Roman" w:hAnsi="Times New Roman" w:cs="Times New Roman"/>
          <w:i/>
          <w:sz w:val="24"/>
          <w:szCs w:val="24"/>
          <w:vertAlign w:val="baseline"/>
        </w:rPr>
        <w:tab/>
      </w:r>
      <w:r w:rsidR="00645C9D">
        <w:rPr>
          <w:rFonts w:ascii="Times New Roman" w:hAnsi="Times New Roman" w:cs="Times New Roman"/>
          <w:i/>
          <w:sz w:val="24"/>
          <w:szCs w:val="24"/>
          <w:vertAlign w:val="baseline"/>
        </w:rPr>
        <w:tab/>
      </w:r>
      <w:r w:rsidR="00645C9D">
        <w:rPr>
          <w:rFonts w:ascii="Times New Roman" w:hAnsi="Times New Roman" w:cs="Times New Roman"/>
          <w:i/>
          <w:sz w:val="24"/>
          <w:szCs w:val="24"/>
          <w:vertAlign w:val="baseline"/>
        </w:rPr>
        <w:tab/>
      </w:r>
      <w:r w:rsidR="0064696D">
        <w:rPr>
          <w:rFonts w:ascii="Times New Roman" w:hAnsi="Times New Roman" w:cs="Times New Roman"/>
          <w:sz w:val="24"/>
          <w:szCs w:val="24"/>
          <w:vertAlign w:val="baseline"/>
        </w:rPr>
        <w:t>285</w:t>
      </w:r>
    </w:p>
    <w:p w14:paraId="1329093D" w14:textId="036ECC06" w:rsidR="00994944" w:rsidRPr="00645C9D" w:rsidRDefault="00711207" w:rsidP="00994944">
      <w:pPr>
        <w:spacing w:line="360" w:lineRule="auto"/>
        <w:ind w:left="1440" w:hanging="1156"/>
        <w:rPr>
          <w:rFonts w:ascii="Times New Roman" w:hAnsi="Times New Roman" w:cs="Times New Roman"/>
          <w:sz w:val="24"/>
          <w:szCs w:val="24"/>
          <w:vertAlign w:val="baseline"/>
        </w:rPr>
      </w:pPr>
      <w:r w:rsidRPr="00D86A9F">
        <w:rPr>
          <w:rFonts w:ascii="Times New Roman" w:hAnsi="Times New Roman" w:cs="Times New Roman"/>
          <w:i/>
          <w:sz w:val="24"/>
          <w:szCs w:val="24"/>
          <w:vertAlign w:val="baseline"/>
        </w:rPr>
        <w:t xml:space="preserve">   </w:t>
      </w:r>
      <w:r w:rsidR="00B13974" w:rsidRPr="00D86A9F">
        <w:rPr>
          <w:rFonts w:ascii="Times New Roman" w:hAnsi="Times New Roman" w:cs="Times New Roman"/>
          <w:i/>
          <w:sz w:val="24"/>
          <w:szCs w:val="24"/>
          <w:vertAlign w:val="baseline"/>
        </w:rPr>
        <w:t>6</w:t>
      </w:r>
      <w:r w:rsidR="00661BBB" w:rsidRPr="00D86A9F">
        <w:rPr>
          <w:rFonts w:ascii="Times New Roman" w:hAnsi="Times New Roman" w:cs="Times New Roman"/>
          <w:i/>
          <w:sz w:val="24"/>
          <w:szCs w:val="24"/>
          <w:vertAlign w:val="baseline"/>
        </w:rPr>
        <w:t>.7.2</w:t>
      </w:r>
      <w:r w:rsidR="00661BBB">
        <w:rPr>
          <w:rFonts w:ascii="Times New Roman" w:hAnsi="Times New Roman" w:cs="Times New Roman"/>
          <w:sz w:val="24"/>
          <w:szCs w:val="24"/>
          <w:vertAlign w:val="baseline"/>
        </w:rPr>
        <w:tab/>
      </w:r>
      <w:r w:rsidR="00661BBB" w:rsidRPr="00FC5C8A">
        <w:rPr>
          <w:rFonts w:ascii="Times New Roman" w:hAnsi="Times New Roman" w:cs="Times New Roman"/>
          <w:i/>
          <w:sz w:val="24"/>
          <w:szCs w:val="24"/>
          <w:vertAlign w:val="baseline"/>
        </w:rPr>
        <w:t>Witchcraft Laws</w:t>
      </w:r>
      <w:r w:rsidR="00645C9D">
        <w:rPr>
          <w:rFonts w:ascii="Times New Roman" w:hAnsi="Times New Roman" w:cs="Times New Roman"/>
          <w:i/>
          <w:sz w:val="24"/>
          <w:szCs w:val="24"/>
          <w:vertAlign w:val="baseline"/>
        </w:rPr>
        <w:tab/>
      </w:r>
      <w:r w:rsidR="00645C9D">
        <w:rPr>
          <w:rFonts w:ascii="Times New Roman" w:hAnsi="Times New Roman" w:cs="Times New Roman"/>
          <w:i/>
          <w:sz w:val="24"/>
          <w:szCs w:val="24"/>
          <w:vertAlign w:val="baseline"/>
        </w:rPr>
        <w:tab/>
      </w:r>
      <w:r w:rsidR="00645C9D">
        <w:rPr>
          <w:rFonts w:ascii="Times New Roman" w:hAnsi="Times New Roman" w:cs="Times New Roman"/>
          <w:i/>
          <w:sz w:val="24"/>
          <w:szCs w:val="24"/>
          <w:vertAlign w:val="baseline"/>
        </w:rPr>
        <w:tab/>
      </w:r>
      <w:r w:rsidR="00645C9D">
        <w:rPr>
          <w:rFonts w:ascii="Times New Roman" w:hAnsi="Times New Roman" w:cs="Times New Roman"/>
          <w:i/>
          <w:sz w:val="24"/>
          <w:szCs w:val="24"/>
          <w:vertAlign w:val="baseline"/>
        </w:rPr>
        <w:tab/>
      </w:r>
      <w:r w:rsidR="00645C9D">
        <w:rPr>
          <w:rFonts w:ascii="Times New Roman" w:hAnsi="Times New Roman" w:cs="Times New Roman"/>
          <w:i/>
          <w:sz w:val="24"/>
          <w:szCs w:val="24"/>
          <w:vertAlign w:val="baseline"/>
        </w:rPr>
        <w:tab/>
      </w:r>
      <w:r w:rsidR="00645C9D">
        <w:rPr>
          <w:rFonts w:ascii="Times New Roman" w:hAnsi="Times New Roman" w:cs="Times New Roman"/>
          <w:i/>
          <w:sz w:val="24"/>
          <w:szCs w:val="24"/>
          <w:vertAlign w:val="baseline"/>
        </w:rPr>
        <w:tab/>
      </w:r>
      <w:r w:rsidR="00645C9D">
        <w:rPr>
          <w:rFonts w:ascii="Times New Roman" w:hAnsi="Times New Roman" w:cs="Times New Roman"/>
          <w:i/>
          <w:sz w:val="24"/>
          <w:szCs w:val="24"/>
          <w:vertAlign w:val="baseline"/>
        </w:rPr>
        <w:tab/>
      </w:r>
      <w:r w:rsidR="0064696D">
        <w:rPr>
          <w:rFonts w:ascii="Times New Roman" w:hAnsi="Times New Roman" w:cs="Times New Roman"/>
          <w:sz w:val="24"/>
          <w:szCs w:val="24"/>
          <w:vertAlign w:val="baseline"/>
        </w:rPr>
        <w:t>286</w:t>
      </w:r>
    </w:p>
    <w:p w14:paraId="14A7D4FD" w14:textId="275554F9" w:rsidR="00661BBB" w:rsidRDefault="00B13974" w:rsidP="00661BBB">
      <w:pPr>
        <w:spacing w:line="360" w:lineRule="auto"/>
        <w:ind w:left="1440" w:hanging="1156"/>
        <w:rPr>
          <w:rFonts w:ascii="Times New Roman" w:hAnsi="Times New Roman" w:cs="Times New Roman"/>
          <w:sz w:val="24"/>
          <w:szCs w:val="24"/>
          <w:vertAlign w:val="baseline"/>
        </w:rPr>
      </w:pPr>
      <w:r>
        <w:rPr>
          <w:rFonts w:ascii="Times New Roman" w:hAnsi="Times New Roman" w:cs="Times New Roman"/>
          <w:sz w:val="24"/>
          <w:szCs w:val="24"/>
          <w:vertAlign w:val="baseline"/>
        </w:rPr>
        <w:t>6</w:t>
      </w:r>
      <w:r w:rsidR="00661BBB">
        <w:rPr>
          <w:rFonts w:ascii="Times New Roman" w:hAnsi="Times New Roman" w:cs="Times New Roman"/>
          <w:sz w:val="24"/>
          <w:szCs w:val="24"/>
          <w:vertAlign w:val="baseline"/>
        </w:rPr>
        <w:t>.3</w:t>
      </w:r>
      <w:r w:rsidR="00661BBB">
        <w:rPr>
          <w:rFonts w:ascii="Times New Roman" w:hAnsi="Times New Roman" w:cs="Times New Roman"/>
          <w:sz w:val="24"/>
          <w:szCs w:val="24"/>
          <w:vertAlign w:val="baseline"/>
        </w:rPr>
        <w:tab/>
      </w:r>
      <w:r w:rsidR="00711207">
        <w:rPr>
          <w:rFonts w:ascii="Times New Roman" w:hAnsi="Times New Roman" w:cs="Times New Roman"/>
          <w:sz w:val="24"/>
          <w:szCs w:val="24"/>
          <w:vertAlign w:val="baseline"/>
        </w:rPr>
        <w:t>NATIONAL LAWS OF PAPUA NEW GUINEA</w:t>
      </w:r>
      <w:r w:rsidR="00872ED7">
        <w:rPr>
          <w:rFonts w:ascii="Times New Roman" w:hAnsi="Times New Roman" w:cs="Times New Roman"/>
          <w:sz w:val="24"/>
          <w:szCs w:val="24"/>
          <w:vertAlign w:val="baseline"/>
        </w:rPr>
        <w:tab/>
      </w:r>
      <w:r w:rsidR="00872ED7">
        <w:rPr>
          <w:rFonts w:ascii="Times New Roman" w:hAnsi="Times New Roman" w:cs="Times New Roman"/>
          <w:sz w:val="24"/>
          <w:szCs w:val="24"/>
          <w:vertAlign w:val="baseline"/>
        </w:rPr>
        <w:tab/>
      </w:r>
      <w:r w:rsidR="00872ED7">
        <w:rPr>
          <w:rFonts w:ascii="Times New Roman" w:hAnsi="Times New Roman" w:cs="Times New Roman"/>
          <w:sz w:val="24"/>
          <w:szCs w:val="24"/>
          <w:vertAlign w:val="baseline"/>
        </w:rPr>
        <w:tab/>
        <w:t>2</w:t>
      </w:r>
      <w:r w:rsidR="0064696D">
        <w:rPr>
          <w:rFonts w:ascii="Times New Roman" w:hAnsi="Times New Roman" w:cs="Times New Roman"/>
          <w:sz w:val="24"/>
          <w:szCs w:val="24"/>
          <w:vertAlign w:val="baseline"/>
        </w:rPr>
        <w:t>89</w:t>
      </w:r>
    </w:p>
    <w:p w14:paraId="5B0905D7" w14:textId="763B08B5" w:rsidR="00711207" w:rsidRPr="00645C9D" w:rsidRDefault="00711207" w:rsidP="00D4608E">
      <w:pPr>
        <w:spacing w:line="360" w:lineRule="auto"/>
        <w:ind w:left="1440" w:hanging="1156"/>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   </w:t>
      </w:r>
      <w:r w:rsidR="00B13974" w:rsidRPr="00D86A9F">
        <w:rPr>
          <w:rFonts w:ascii="Times New Roman" w:hAnsi="Times New Roman" w:cs="Times New Roman"/>
          <w:i/>
          <w:sz w:val="24"/>
          <w:szCs w:val="24"/>
          <w:vertAlign w:val="baseline"/>
        </w:rPr>
        <w:t>6</w:t>
      </w:r>
      <w:r w:rsidR="00661BBB" w:rsidRPr="00D86A9F">
        <w:rPr>
          <w:rFonts w:ascii="Times New Roman" w:hAnsi="Times New Roman" w:cs="Times New Roman"/>
          <w:i/>
          <w:sz w:val="24"/>
          <w:szCs w:val="24"/>
          <w:vertAlign w:val="baseline"/>
        </w:rPr>
        <w:t>.3.1</w:t>
      </w:r>
      <w:r w:rsidR="00661BBB" w:rsidRPr="00D86A9F">
        <w:rPr>
          <w:rFonts w:ascii="Times New Roman" w:hAnsi="Times New Roman" w:cs="Times New Roman"/>
          <w:i/>
          <w:sz w:val="24"/>
          <w:szCs w:val="24"/>
          <w:vertAlign w:val="baseline"/>
        </w:rPr>
        <w:tab/>
      </w:r>
      <w:r w:rsidR="00661BBB" w:rsidRPr="00FC5C8A">
        <w:rPr>
          <w:rFonts w:ascii="Times New Roman" w:hAnsi="Times New Roman" w:cs="Times New Roman"/>
          <w:i/>
          <w:sz w:val="24"/>
          <w:szCs w:val="24"/>
          <w:vertAlign w:val="baseline"/>
        </w:rPr>
        <w:t>Witchcraft Laws</w:t>
      </w:r>
      <w:r w:rsidR="00645C9D">
        <w:rPr>
          <w:rFonts w:ascii="Times New Roman" w:hAnsi="Times New Roman" w:cs="Times New Roman"/>
          <w:i/>
          <w:sz w:val="24"/>
          <w:szCs w:val="24"/>
          <w:vertAlign w:val="baseline"/>
        </w:rPr>
        <w:tab/>
      </w:r>
      <w:r w:rsidR="00645C9D">
        <w:rPr>
          <w:rFonts w:ascii="Times New Roman" w:hAnsi="Times New Roman" w:cs="Times New Roman"/>
          <w:i/>
          <w:sz w:val="24"/>
          <w:szCs w:val="24"/>
          <w:vertAlign w:val="baseline"/>
        </w:rPr>
        <w:tab/>
      </w:r>
      <w:r w:rsidR="00645C9D">
        <w:rPr>
          <w:rFonts w:ascii="Times New Roman" w:hAnsi="Times New Roman" w:cs="Times New Roman"/>
          <w:i/>
          <w:sz w:val="24"/>
          <w:szCs w:val="24"/>
          <w:vertAlign w:val="baseline"/>
        </w:rPr>
        <w:tab/>
      </w:r>
      <w:r w:rsidR="00645C9D">
        <w:rPr>
          <w:rFonts w:ascii="Times New Roman" w:hAnsi="Times New Roman" w:cs="Times New Roman"/>
          <w:i/>
          <w:sz w:val="24"/>
          <w:szCs w:val="24"/>
          <w:vertAlign w:val="baseline"/>
        </w:rPr>
        <w:tab/>
      </w:r>
      <w:r w:rsidR="00645C9D">
        <w:rPr>
          <w:rFonts w:ascii="Times New Roman" w:hAnsi="Times New Roman" w:cs="Times New Roman"/>
          <w:i/>
          <w:sz w:val="24"/>
          <w:szCs w:val="24"/>
          <w:vertAlign w:val="baseline"/>
        </w:rPr>
        <w:tab/>
      </w:r>
      <w:r w:rsidR="00645C9D">
        <w:rPr>
          <w:rFonts w:ascii="Times New Roman" w:hAnsi="Times New Roman" w:cs="Times New Roman"/>
          <w:i/>
          <w:sz w:val="24"/>
          <w:szCs w:val="24"/>
          <w:vertAlign w:val="baseline"/>
        </w:rPr>
        <w:tab/>
      </w:r>
      <w:r w:rsidR="00645C9D">
        <w:rPr>
          <w:rFonts w:ascii="Times New Roman" w:hAnsi="Times New Roman" w:cs="Times New Roman"/>
          <w:i/>
          <w:sz w:val="24"/>
          <w:szCs w:val="24"/>
          <w:vertAlign w:val="baseline"/>
        </w:rPr>
        <w:tab/>
      </w:r>
      <w:r w:rsidR="0064696D">
        <w:rPr>
          <w:rFonts w:ascii="Times New Roman" w:hAnsi="Times New Roman" w:cs="Times New Roman"/>
          <w:sz w:val="24"/>
          <w:szCs w:val="24"/>
          <w:vertAlign w:val="baseline"/>
        </w:rPr>
        <w:t>292</w:t>
      </w:r>
    </w:p>
    <w:p w14:paraId="211C4490" w14:textId="4EB432EB" w:rsidR="00FD029D" w:rsidRDefault="00B13974" w:rsidP="00713985">
      <w:pPr>
        <w:spacing w:line="360" w:lineRule="auto"/>
        <w:ind w:left="1440" w:hanging="1156"/>
        <w:rPr>
          <w:rFonts w:ascii="Times New Roman" w:hAnsi="Times New Roman" w:cs="Times New Roman"/>
          <w:sz w:val="24"/>
          <w:szCs w:val="24"/>
          <w:vertAlign w:val="baseline"/>
        </w:rPr>
      </w:pPr>
      <w:r>
        <w:rPr>
          <w:rFonts w:ascii="Times New Roman" w:hAnsi="Times New Roman" w:cs="Times New Roman"/>
          <w:sz w:val="24"/>
          <w:szCs w:val="24"/>
          <w:vertAlign w:val="baseline"/>
        </w:rPr>
        <w:t>6</w:t>
      </w:r>
      <w:r w:rsidR="00661BBB">
        <w:rPr>
          <w:rFonts w:ascii="Times New Roman" w:hAnsi="Times New Roman" w:cs="Times New Roman"/>
          <w:sz w:val="24"/>
          <w:szCs w:val="24"/>
          <w:vertAlign w:val="baseline"/>
        </w:rPr>
        <w:t>.4</w:t>
      </w:r>
      <w:r w:rsidR="00661BBB">
        <w:rPr>
          <w:rFonts w:ascii="Times New Roman" w:hAnsi="Times New Roman" w:cs="Times New Roman"/>
          <w:sz w:val="24"/>
          <w:szCs w:val="24"/>
          <w:vertAlign w:val="baseline"/>
        </w:rPr>
        <w:tab/>
      </w:r>
      <w:r w:rsidR="00711207">
        <w:rPr>
          <w:rFonts w:ascii="Times New Roman" w:hAnsi="Times New Roman" w:cs="Times New Roman"/>
          <w:sz w:val="24"/>
          <w:szCs w:val="24"/>
          <w:vertAlign w:val="baseline"/>
        </w:rPr>
        <w:t>CONCLUSION</w:t>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t>296</w:t>
      </w:r>
    </w:p>
    <w:p w14:paraId="547F0DFF" w14:textId="77777777" w:rsidR="00FD029D" w:rsidRDefault="00FD029D" w:rsidP="00FD029D">
      <w:pPr>
        <w:spacing w:line="360" w:lineRule="auto"/>
        <w:rPr>
          <w:rFonts w:ascii="Times New Roman" w:hAnsi="Times New Roman" w:cs="Times New Roman"/>
          <w:sz w:val="24"/>
          <w:szCs w:val="24"/>
          <w:vertAlign w:val="baseline"/>
        </w:rPr>
      </w:pPr>
    </w:p>
    <w:p w14:paraId="2948C6A1" w14:textId="43E8D096" w:rsidR="00FD029D" w:rsidRPr="007C47C1" w:rsidRDefault="00D86A9F" w:rsidP="00FD029D">
      <w:pPr>
        <w:spacing w:line="360" w:lineRule="auto"/>
        <w:rPr>
          <w:rFonts w:ascii="Times New Roman" w:hAnsi="Times New Roman" w:cs="Times New Roman"/>
          <w:sz w:val="24"/>
          <w:szCs w:val="24"/>
          <w:vertAlign w:val="baseline"/>
        </w:rPr>
      </w:pPr>
      <w:r>
        <w:rPr>
          <w:rFonts w:ascii="Times New Roman" w:hAnsi="Times New Roman" w:cs="Times New Roman"/>
          <w:b/>
          <w:sz w:val="24"/>
          <w:szCs w:val="24"/>
          <w:vertAlign w:val="baseline"/>
        </w:rPr>
        <w:t>CHAPTER</w:t>
      </w:r>
      <w:r w:rsidR="00713985">
        <w:rPr>
          <w:rFonts w:ascii="Times New Roman" w:hAnsi="Times New Roman" w:cs="Times New Roman"/>
          <w:b/>
          <w:sz w:val="24"/>
          <w:szCs w:val="24"/>
          <w:vertAlign w:val="baseline"/>
        </w:rPr>
        <w:t xml:space="preserve"> SEVEN </w:t>
      </w:r>
      <w:r w:rsidR="007C47C1">
        <w:rPr>
          <w:rFonts w:ascii="Times New Roman" w:hAnsi="Times New Roman" w:cs="Times New Roman"/>
          <w:b/>
          <w:sz w:val="24"/>
          <w:szCs w:val="24"/>
          <w:vertAlign w:val="baseline"/>
        </w:rPr>
        <w:t>–</w:t>
      </w:r>
      <w:r w:rsidR="00713985">
        <w:rPr>
          <w:rFonts w:ascii="Times New Roman" w:hAnsi="Times New Roman" w:cs="Times New Roman"/>
          <w:b/>
          <w:sz w:val="24"/>
          <w:szCs w:val="24"/>
          <w:vertAlign w:val="baseline"/>
        </w:rPr>
        <w:t xml:space="preserve"> CONCLUSION</w:t>
      </w:r>
      <w:r w:rsidR="007C47C1">
        <w:rPr>
          <w:rFonts w:ascii="Times New Roman" w:hAnsi="Times New Roman" w:cs="Times New Roman"/>
          <w:b/>
          <w:sz w:val="24"/>
          <w:szCs w:val="24"/>
          <w:vertAlign w:val="baseline"/>
        </w:rPr>
        <w:tab/>
      </w:r>
      <w:r w:rsidR="007C47C1">
        <w:rPr>
          <w:rFonts w:ascii="Times New Roman" w:hAnsi="Times New Roman" w:cs="Times New Roman"/>
          <w:b/>
          <w:sz w:val="24"/>
          <w:szCs w:val="24"/>
          <w:vertAlign w:val="baseline"/>
        </w:rPr>
        <w:tab/>
      </w:r>
      <w:r w:rsidR="007C47C1">
        <w:rPr>
          <w:rFonts w:ascii="Times New Roman" w:hAnsi="Times New Roman" w:cs="Times New Roman"/>
          <w:b/>
          <w:sz w:val="24"/>
          <w:szCs w:val="24"/>
          <w:vertAlign w:val="baseline"/>
        </w:rPr>
        <w:tab/>
      </w:r>
      <w:r w:rsidR="007C47C1">
        <w:rPr>
          <w:rFonts w:ascii="Times New Roman" w:hAnsi="Times New Roman" w:cs="Times New Roman"/>
          <w:b/>
          <w:sz w:val="24"/>
          <w:szCs w:val="24"/>
          <w:vertAlign w:val="baseline"/>
        </w:rPr>
        <w:tab/>
      </w:r>
      <w:r w:rsidR="007C47C1">
        <w:rPr>
          <w:rFonts w:ascii="Times New Roman" w:hAnsi="Times New Roman" w:cs="Times New Roman"/>
          <w:b/>
          <w:sz w:val="24"/>
          <w:szCs w:val="24"/>
          <w:vertAlign w:val="baseline"/>
        </w:rPr>
        <w:tab/>
      </w:r>
      <w:r w:rsidR="007C47C1">
        <w:rPr>
          <w:rFonts w:ascii="Times New Roman" w:hAnsi="Times New Roman" w:cs="Times New Roman"/>
          <w:b/>
          <w:sz w:val="24"/>
          <w:szCs w:val="24"/>
          <w:vertAlign w:val="baseline"/>
        </w:rPr>
        <w:tab/>
      </w:r>
      <w:r w:rsidR="0064696D">
        <w:rPr>
          <w:rFonts w:ascii="Times New Roman" w:hAnsi="Times New Roman" w:cs="Times New Roman"/>
          <w:sz w:val="24"/>
          <w:szCs w:val="24"/>
          <w:vertAlign w:val="baseline"/>
        </w:rPr>
        <w:t>299</w:t>
      </w:r>
    </w:p>
    <w:p w14:paraId="0BA02DB8" w14:textId="77777777" w:rsidR="006C4419" w:rsidRDefault="006C4419" w:rsidP="00FD029D">
      <w:pPr>
        <w:spacing w:line="360" w:lineRule="auto"/>
        <w:rPr>
          <w:rFonts w:ascii="Times New Roman" w:hAnsi="Times New Roman" w:cs="Times New Roman"/>
          <w:b/>
          <w:sz w:val="24"/>
          <w:szCs w:val="24"/>
          <w:vertAlign w:val="baseline"/>
        </w:rPr>
      </w:pPr>
    </w:p>
    <w:p w14:paraId="15417F33" w14:textId="18D3A1C7" w:rsidR="000A3B92" w:rsidRDefault="00B13974" w:rsidP="006C4419">
      <w:pPr>
        <w:spacing w:line="360" w:lineRule="auto"/>
        <w:ind w:left="284"/>
        <w:rPr>
          <w:rFonts w:ascii="Times New Roman" w:hAnsi="Times New Roman" w:cs="Times New Roman"/>
          <w:sz w:val="24"/>
          <w:szCs w:val="24"/>
          <w:vertAlign w:val="baseline"/>
        </w:rPr>
      </w:pPr>
      <w:r>
        <w:rPr>
          <w:rFonts w:ascii="Times New Roman" w:hAnsi="Times New Roman" w:cs="Times New Roman"/>
          <w:sz w:val="24"/>
          <w:szCs w:val="24"/>
          <w:vertAlign w:val="baseline"/>
        </w:rPr>
        <w:t>7</w:t>
      </w:r>
      <w:r w:rsidR="006C4419">
        <w:rPr>
          <w:rFonts w:ascii="Times New Roman" w:hAnsi="Times New Roman" w:cs="Times New Roman"/>
          <w:sz w:val="24"/>
          <w:szCs w:val="24"/>
          <w:vertAlign w:val="baseline"/>
        </w:rPr>
        <w:t>.1</w:t>
      </w:r>
      <w:r w:rsidR="006C4419">
        <w:rPr>
          <w:rFonts w:ascii="Times New Roman" w:hAnsi="Times New Roman" w:cs="Times New Roman"/>
          <w:sz w:val="24"/>
          <w:szCs w:val="24"/>
          <w:vertAlign w:val="baseline"/>
        </w:rPr>
        <w:tab/>
      </w:r>
      <w:r w:rsidR="006C4419">
        <w:rPr>
          <w:rFonts w:ascii="Times New Roman" w:hAnsi="Times New Roman" w:cs="Times New Roman"/>
          <w:sz w:val="24"/>
          <w:szCs w:val="24"/>
          <w:vertAlign w:val="baseline"/>
        </w:rPr>
        <w:tab/>
      </w:r>
      <w:r w:rsidR="000A3B92">
        <w:rPr>
          <w:rFonts w:ascii="Times New Roman" w:hAnsi="Times New Roman" w:cs="Times New Roman"/>
          <w:sz w:val="24"/>
          <w:szCs w:val="24"/>
          <w:vertAlign w:val="baseline"/>
        </w:rPr>
        <w:t>RECOMMENDATIONS</w:t>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t>315</w:t>
      </w:r>
    </w:p>
    <w:p w14:paraId="418BD780" w14:textId="265AFA7B" w:rsidR="006C4419" w:rsidRDefault="000A3B92" w:rsidP="006C4419">
      <w:pPr>
        <w:spacing w:line="360" w:lineRule="auto"/>
        <w:ind w:left="284"/>
        <w:rPr>
          <w:rFonts w:ascii="Times New Roman" w:hAnsi="Times New Roman" w:cs="Times New Roman"/>
          <w:sz w:val="24"/>
          <w:szCs w:val="24"/>
          <w:vertAlign w:val="baseline"/>
        </w:rPr>
      </w:pPr>
      <w:r>
        <w:rPr>
          <w:rFonts w:ascii="Times New Roman" w:hAnsi="Times New Roman" w:cs="Times New Roman"/>
          <w:sz w:val="24"/>
          <w:szCs w:val="24"/>
          <w:vertAlign w:val="baseline"/>
        </w:rPr>
        <w:t>7.2</w:t>
      </w:r>
      <w:r>
        <w:rPr>
          <w:rFonts w:ascii="Times New Roman" w:hAnsi="Times New Roman" w:cs="Times New Roman"/>
          <w:sz w:val="24"/>
          <w:szCs w:val="24"/>
          <w:vertAlign w:val="baseline"/>
        </w:rPr>
        <w:tab/>
      </w:r>
      <w:r>
        <w:rPr>
          <w:rFonts w:ascii="Times New Roman" w:hAnsi="Times New Roman" w:cs="Times New Roman"/>
          <w:sz w:val="24"/>
          <w:szCs w:val="24"/>
          <w:vertAlign w:val="baseline"/>
        </w:rPr>
        <w:tab/>
      </w:r>
      <w:r w:rsidR="006C4419">
        <w:rPr>
          <w:rFonts w:ascii="Times New Roman" w:hAnsi="Times New Roman" w:cs="Times New Roman"/>
          <w:sz w:val="24"/>
          <w:szCs w:val="24"/>
          <w:vertAlign w:val="baseline"/>
        </w:rPr>
        <w:t>S</w:t>
      </w:r>
      <w:r>
        <w:rPr>
          <w:rFonts w:ascii="Times New Roman" w:hAnsi="Times New Roman" w:cs="Times New Roman"/>
          <w:sz w:val="24"/>
          <w:szCs w:val="24"/>
          <w:vertAlign w:val="baseline"/>
        </w:rPr>
        <w:t>IGNIFIC</w:t>
      </w:r>
      <w:r w:rsidR="00994944">
        <w:rPr>
          <w:rFonts w:ascii="Times New Roman" w:hAnsi="Times New Roman" w:cs="Times New Roman"/>
          <w:sz w:val="24"/>
          <w:szCs w:val="24"/>
          <w:vertAlign w:val="baseline"/>
        </w:rPr>
        <w:t>ANCE AND</w:t>
      </w:r>
      <w:r w:rsidR="0064696D">
        <w:rPr>
          <w:rFonts w:ascii="Times New Roman" w:hAnsi="Times New Roman" w:cs="Times New Roman"/>
          <w:sz w:val="24"/>
          <w:szCs w:val="24"/>
          <w:vertAlign w:val="baseline"/>
        </w:rPr>
        <w:t xml:space="preserve"> ORIGINALITY OF THE RESEARCH</w:t>
      </w:r>
      <w:r w:rsidR="0064696D">
        <w:rPr>
          <w:rFonts w:ascii="Times New Roman" w:hAnsi="Times New Roman" w:cs="Times New Roman"/>
          <w:sz w:val="24"/>
          <w:szCs w:val="24"/>
          <w:vertAlign w:val="baseline"/>
        </w:rPr>
        <w:tab/>
        <w:t>318</w:t>
      </w:r>
    </w:p>
    <w:p w14:paraId="575AD0B6" w14:textId="62E75522" w:rsidR="006C4419" w:rsidRDefault="00B13974" w:rsidP="000A3B92">
      <w:pPr>
        <w:spacing w:line="360" w:lineRule="auto"/>
        <w:ind w:left="284"/>
        <w:rPr>
          <w:rFonts w:ascii="Times New Roman" w:hAnsi="Times New Roman" w:cs="Times New Roman"/>
          <w:sz w:val="24"/>
          <w:szCs w:val="24"/>
          <w:vertAlign w:val="baseline"/>
        </w:rPr>
      </w:pPr>
      <w:r>
        <w:rPr>
          <w:rFonts w:ascii="Times New Roman" w:hAnsi="Times New Roman" w:cs="Times New Roman"/>
          <w:sz w:val="24"/>
          <w:szCs w:val="24"/>
          <w:vertAlign w:val="baseline"/>
        </w:rPr>
        <w:t>7</w:t>
      </w:r>
      <w:r w:rsidR="00994944">
        <w:rPr>
          <w:rFonts w:ascii="Times New Roman" w:hAnsi="Times New Roman" w:cs="Times New Roman"/>
          <w:sz w:val="24"/>
          <w:szCs w:val="24"/>
          <w:vertAlign w:val="baseline"/>
        </w:rPr>
        <w:t>.3</w:t>
      </w:r>
      <w:r w:rsidR="006C4419">
        <w:rPr>
          <w:rFonts w:ascii="Times New Roman" w:hAnsi="Times New Roman" w:cs="Times New Roman"/>
          <w:sz w:val="24"/>
          <w:szCs w:val="24"/>
          <w:vertAlign w:val="baseline"/>
        </w:rPr>
        <w:tab/>
      </w:r>
      <w:r w:rsidR="006C4419">
        <w:rPr>
          <w:rFonts w:ascii="Times New Roman" w:hAnsi="Times New Roman" w:cs="Times New Roman"/>
          <w:sz w:val="24"/>
          <w:szCs w:val="24"/>
          <w:vertAlign w:val="baseline"/>
        </w:rPr>
        <w:tab/>
        <w:t>F</w:t>
      </w:r>
      <w:r w:rsidR="000A3B92">
        <w:rPr>
          <w:rFonts w:ascii="Times New Roman" w:hAnsi="Times New Roman" w:cs="Times New Roman"/>
          <w:sz w:val="24"/>
          <w:szCs w:val="24"/>
          <w:vertAlign w:val="baseline"/>
        </w:rPr>
        <w:t>URTHER STUDY</w:t>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r>
      <w:r w:rsidR="0064696D">
        <w:rPr>
          <w:rFonts w:ascii="Times New Roman" w:hAnsi="Times New Roman" w:cs="Times New Roman"/>
          <w:sz w:val="24"/>
          <w:szCs w:val="24"/>
          <w:vertAlign w:val="baseline"/>
        </w:rPr>
        <w:tab/>
        <w:t>318</w:t>
      </w:r>
    </w:p>
    <w:p w14:paraId="688BFB80" w14:textId="77777777" w:rsidR="000A3B92" w:rsidRDefault="000A3B92" w:rsidP="000A3B92">
      <w:pPr>
        <w:spacing w:line="360" w:lineRule="auto"/>
        <w:rPr>
          <w:rFonts w:ascii="Times New Roman" w:hAnsi="Times New Roman" w:cs="Times New Roman"/>
          <w:sz w:val="24"/>
          <w:szCs w:val="24"/>
          <w:vertAlign w:val="baseline"/>
        </w:rPr>
      </w:pPr>
    </w:p>
    <w:p w14:paraId="4985FCEA" w14:textId="77777777" w:rsidR="000A3B92" w:rsidRDefault="000A3B92" w:rsidP="000A3B92">
      <w:pPr>
        <w:spacing w:line="480" w:lineRule="auto"/>
        <w:rPr>
          <w:rFonts w:ascii="Times New Roman" w:hAnsi="Times New Roman" w:cs="Times New Roman"/>
          <w:b/>
          <w:sz w:val="24"/>
          <w:szCs w:val="24"/>
          <w:vertAlign w:val="baseline"/>
        </w:rPr>
      </w:pPr>
    </w:p>
    <w:p w14:paraId="5D3C5B9A" w14:textId="79A530EA" w:rsidR="000A3B92" w:rsidRPr="007C47C1" w:rsidRDefault="000A3B92" w:rsidP="000A3B92">
      <w:pPr>
        <w:spacing w:line="480" w:lineRule="auto"/>
        <w:rPr>
          <w:rFonts w:ascii="Times New Roman" w:hAnsi="Times New Roman" w:cs="Times New Roman"/>
          <w:sz w:val="24"/>
          <w:szCs w:val="24"/>
          <w:vertAlign w:val="baseline"/>
        </w:rPr>
      </w:pPr>
      <w:r>
        <w:rPr>
          <w:rFonts w:ascii="Times New Roman" w:hAnsi="Times New Roman" w:cs="Times New Roman"/>
          <w:b/>
          <w:sz w:val="24"/>
          <w:szCs w:val="24"/>
          <w:vertAlign w:val="baseline"/>
        </w:rPr>
        <w:t>TABLE OF CASES</w:t>
      </w:r>
      <w:r w:rsidR="007C47C1">
        <w:rPr>
          <w:rFonts w:ascii="Times New Roman" w:hAnsi="Times New Roman" w:cs="Times New Roman"/>
          <w:b/>
          <w:sz w:val="24"/>
          <w:szCs w:val="24"/>
          <w:vertAlign w:val="baseline"/>
        </w:rPr>
        <w:tab/>
      </w:r>
      <w:r w:rsidR="007C47C1">
        <w:rPr>
          <w:rFonts w:ascii="Times New Roman" w:hAnsi="Times New Roman" w:cs="Times New Roman"/>
          <w:b/>
          <w:sz w:val="24"/>
          <w:szCs w:val="24"/>
          <w:vertAlign w:val="baseline"/>
        </w:rPr>
        <w:tab/>
      </w:r>
      <w:r w:rsidR="007C47C1">
        <w:rPr>
          <w:rFonts w:ascii="Times New Roman" w:hAnsi="Times New Roman" w:cs="Times New Roman"/>
          <w:b/>
          <w:sz w:val="24"/>
          <w:szCs w:val="24"/>
          <w:vertAlign w:val="baseline"/>
        </w:rPr>
        <w:tab/>
      </w:r>
      <w:r w:rsidR="007C47C1">
        <w:rPr>
          <w:rFonts w:ascii="Times New Roman" w:hAnsi="Times New Roman" w:cs="Times New Roman"/>
          <w:b/>
          <w:sz w:val="24"/>
          <w:szCs w:val="24"/>
          <w:vertAlign w:val="baseline"/>
        </w:rPr>
        <w:tab/>
      </w:r>
      <w:r w:rsidR="007C47C1">
        <w:rPr>
          <w:rFonts w:ascii="Times New Roman" w:hAnsi="Times New Roman" w:cs="Times New Roman"/>
          <w:b/>
          <w:sz w:val="24"/>
          <w:szCs w:val="24"/>
          <w:vertAlign w:val="baseline"/>
        </w:rPr>
        <w:tab/>
      </w:r>
      <w:r w:rsidR="007C47C1">
        <w:rPr>
          <w:rFonts w:ascii="Times New Roman" w:hAnsi="Times New Roman" w:cs="Times New Roman"/>
          <w:b/>
          <w:sz w:val="24"/>
          <w:szCs w:val="24"/>
          <w:vertAlign w:val="baseline"/>
        </w:rPr>
        <w:tab/>
      </w:r>
      <w:r w:rsidR="007C47C1">
        <w:rPr>
          <w:rFonts w:ascii="Times New Roman" w:hAnsi="Times New Roman" w:cs="Times New Roman"/>
          <w:b/>
          <w:sz w:val="24"/>
          <w:szCs w:val="24"/>
          <w:vertAlign w:val="baseline"/>
        </w:rPr>
        <w:tab/>
      </w:r>
      <w:r w:rsidR="007C47C1">
        <w:rPr>
          <w:rFonts w:ascii="Times New Roman" w:hAnsi="Times New Roman" w:cs="Times New Roman"/>
          <w:b/>
          <w:sz w:val="24"/>
          <w:szCs w:val="24"/>
          <w:vertAlign w:val="baseline"/>
        </w:rPr>
        <w:tab/>
      </w:r>
      <w:r w:rsidR="007C47C1">
        <w:rPr>
          <w:rFonts w:ascii="Times New Roman" w:hAnsi="Times New Roman" w:cs="Times New Roman"/>
          <w:b/>
          <w:sz w:val="24"/>
          <w:szCs w:val="24"/>
          <w:vertAlign w:val="baseline"/>
        </w:rPr>
        <w:tab/>
      </w:r>
      <w:r w:rsidR="0064696D">
        <w:rPr>
          <w:rFonts w:ascii="Times New Roman" w:hAnsi="Times New Roman" w:cs="Times New Roman"/>
          <w:sz w:val="24"/>
          <w:szCs w:val="24"/>
          <w:vertAlign w:val="baseline"/>
        </w:rPr>
        <w:t>320</w:t>
      </w:r>
    </w:p>
    <w:p w14:paraId="6F9317AE" w14:textId="63EC151B" w:rsidR="000A3B92" w:rsidRPr="007C47C1" w:rsidRDefault="000A3B92" w:rsidP="000A3B92">
      <w:pPr>
        <w:spacing w:line="480" w:lineRule="auto"/>
        <w:rPr>
          <w:rFonts w:ascii="Times New Roman" w:hAnsi="Times New Roman" w:cs="Times New Roman"/>
          <w:sz w:val="24"/>
          <w:szCs w:val="24"/>
          <w:vertAlign w:val="baseline"/>
        </w:rPr>
      </w:pPr>
      <w:r>
        <w:rPr>
          <w:rFonts w:ascii="Times New Roman" w:hAnsi="Times New Roman" w:cs="Times New Roman"/>
          <w:b/>
          <w:sz w:val="24"/>
          <w:szCs w:val="24"/>
          <w:vertAlign w:val="baseline"/>
        </w:rPr>
        <w:t>TABLE OF STATUTES</w:t>
      </w:r>
      <w:r w:rsidR="007C47C1">
        <w:rPr>
          <w:rFonts w:ascii="Times New Roman" w:hAnsi="Times New Roman" w:cs="Times New Roman"/>
          <w:b/>
          <w:sz w:val="24"/>
          <w:szCs w:val="24"/>
          <w:vertAlign w:val="baseline"/>
        </w:rPr>
        <w:tab/>
      </w:r>
      <w:r w:rsidR="007C47C1">
        <w:rPr>
          <w:rFonts w:ascii="Times New Roman" w:hAnsi="Times New Roman" w:cs="Times New Roman"/>
          <w:b/>
          <w:sz w:val="24"/>
          <w:szCs w:val="24"/>
          <w:vertAlign w:val="baseline"/>
        </w:rPr>
        <w:tab/>
      </w:r>
      <w:r w:rsidR="007C47C1">
        <w:rPr>
          <w:rFonts w:ascii="Times New Roman" w:hAnsi="Times New Roman" w:cs="Times New Roman"/>
          <w:b/>
          <w:sz w:val="24"/>
          <w:szCs w:val="24"/>
          <w:vertAlign w:val="baseline"/>
        </w:rPr>
        <w:tab/>
      </w:r>
      <w:r w:rsidR="007C47C1">
        <w:rPr>
          <w:rFonts w:ascii="Times New Roman" w:hAnsi="Times New Roman" w:cs="Times New Roman"/>
          <w:b/>
          <w:sz w:val="24"/>
          <w:szCs w:val="24"/>
          <w:vertAlign w:val="baseline"/>
        </w:rPr>
        <w:tab/>
      </w:r>
      <w:r w:rsidR="007C47C1">
        <w:rPr>
          <w:rFonts w:ascii="Times New Roman" w:hAnsi="Times New Roman" w:cs="Times New Roman"/>
          <w:b/>
          <w:sz w:val="24"/>
          <w:szCs w:val="24"/>
          <w:vertAlign w:val="baseline"/>
        </w:rPr>
        <w:tab/>
      </w:r>
      <w:r w:rsidR="007C47C1">
        <w:rPr>
          <w:rFonts w:ascii="Times New Roman" w:hAnsi="Times New Roman" w:cs="Times New Roman"/>
          <w:b/>
          <w:sz w:val="24"/>
          <w:szCs w:val="24"/>
          <w:vertAlign w:val="baseline"/>
        </w:rPr>
        <w:tab/>
      </w:r>
      <w:r w:rsidR="007C47C1">
        <w:rPr>
          <w:rFonts w:ascii="Times New Roman" w:hAnsi="Times New Roman" w:cs="Times New Roman"/>
          <w:b/>
          <w:sz w:val="24"/>
          <w:szCs w:val="24"/>
          <w:vertAlign w:val="baseline"/>
        </w:rPr>
        <w:tab/>
      </w:r>
      <w:r w:rsidR="007C47C1">
        <w:rPr>
          <w:rFonts w:ascii="Times New Roman" w:hAnsi="Times New Roman" w:cs="Times New Roman"/>
          <w:b/>
          <w:sz w:val="24"/>
          <w:szCs w:val="24"/>
          <w:vertAlign w:val="baseline"/>
        </w:rPr>
        <w:tab/>
      </w:r>
      <w:r w:rsidR="0064696D">
        <w:rPr>
          <w:rFonts w:ascii="Times New Roman" w:hAnsi="Times New Roman" w:cs="Times New Roman"/>
          <w:sz w:val="24"/>
          <w:szCs w:val="24"/>
          <w:vertAlign w:val="baseline"/>
        </w:rPr>
        <w:t>321</w:t>
      </w:r>
    </w:p>
    <w:p w14:paraId="1ED22DCC" w14:textId="5F88A46E" w:rsidR="007C47C1" w:rsidRPr="007C47C1" w:rsidRDefault="000A3B92" w:rsidP="007C47C1">
      <w:pPr>
        <w:rPr>
          <w:rFonts w:ascii="Times New Roman" w:hAnsi="Times New Roman" w:cs="Times New Roman"/>
          <w:sz w:val="24"/>
          <w:szCs w:val="24"/>
          <w:vertAlign w:val="baseline"/>
        </w:rPr>
      </w:pPr>
      <w:r>
        <w:rPr>
          <w:rFonts w:ascii="Times New Roman" w:hAnsi="Times New Roman" w:cs="Times New Roman"/>
          <w:b/>
          <w:sz w:val="24"/>
          <w:szCs w:val="24"/>
          <w:vertAlign w:val="baseline"/>
        </w:rPr>
        <w:t xml:space="preserve">INTERNATIONAL AND REGIONAL HUMAN RIGHTS </w:t>
      </w:r>
      <w:r w:rsidR="007C47C1">
        <w:rPr>
          <w:rFonts w:ascii="Times New Roman" w:hAnsi="Times New Roman" w:cs="Times New Roman"/>
          <w:b/>
          <w:sz w:val="24"/>
          <w:szCs w:val="24"/>
          <w:vertAlign w:val="baseline"/>
        </w:rPr>
        <w:tab/>
      </w:r>
      <w:r w:rsidR="007C47C1">
        <w:rPr>
          <w:rFonts w:ascii="Times New Roman" w:hAnsi="Times New Roman" w:cs="Times New Roman"/>
          <w:b/>
          <w:sz w:val="24"/>
          <w:szCs w:val="24"/>
          <w:vertAlign w:val="baseline"/>
        </w:rPr>
        <w:tab/>
      </w:r>
      <w:r w:rsidR="007C47C1">
        <w:rPr>
          <w:rFonts w:ascii="Times New Roman" w:hAnsi="Times New Roman" w:cs="Times New Roman"/>
          <w:b/>
          <w:sz w:val="24"/>
          <w:szCs w:val="24"/>
          <w:vertAlign w:val="baseline"/>
        </w:rPr>
        <w:tab/>
      </w:r>
      <w:r w:rsidR="0064696D">
        <w:rPr>
          <w:rFonts w:ascii="Times New Roman" w:hAnsi="Times New Roman" w:cs="Times New Roman"/>
          <w:sz w:val="24"/>
          <w:szCs w:val="24"/>
          <w:vertAlign w:val="baseline"/>
        </w:rPr>
        <w:t>323</w:t>
      </w:r>
    </w:p>
    <w:p w14:paraId="2092EA84" w14:textId="49FEA21E" w:rsidR="000A3B92" w:rsidRPr="007C47C1" w:rsidRDefault="000A3B92" w:rsidP="007C47C1">
      <w:pPr>
        <w:rPr>
          <w:rFonts w:ascii="Times New Roman" w:hAnsi="Times New Roman" w:cs="Times New Roman"/>
          <w:b/>
          <w:sz w:val="24"/>
          <w:szCs w:val="24"/>
          <w:vertAlign w:val="baseline"/>
        </w:rPr>
      </w:pPr>
      <w:r>
        <w:rPr>
          <w:rFonts w:ascii="Times New Roman" w:hAnsi="Times New Roman" w:cs="Times New Roman"/>
          <w:b/>
          <w:sz w:val="24"/>
          <w:szCs w:val="24"/>
          <w:vertAlign w:val="baseline"/>
        </w:rPr>
        <w:t>INSTRUMENTS</w:t>
      </w:r>
      <w:r w:rsidR="007C47C1">
        <w:rPr>
          <w:rFonts w:ascii="Times New Roman" w:hAnsi="Times New Roman" w:cs="Times New Roman"/>
          <w:b/>
          <w:sz w:val="24"/>
          <w:szCs w:val="24"/>
          <w:vertAlign w:val="baseline"/>
        </w:rPr>
        <w:tab/>
      </w:r>
      <w:r w:rsidR="007C47C1">
        <w:rPr>
          <w:rFonts w:ascii="Times New Roman" w:hAnsi="Times New Roman" w:cs="Times New Roman"/>
          <w:b/>
          <w:sz w:val="24"/>
          <w:szCs w:val="24"/>
          <w:vertAlign w:val="baseline"/>
        </w:rPr>
        <w:tab/>
      </w:r>
      <w:r w:rsidR="007C47C1">
        <w:rPr>
          <w:rFonts w:ascii="Times New Roman" w:hAnsi="Times New Roman" w:cs="Times New Roman"/>
          <w:b/>
          <w:sz w:val="24"/>
          <w:szCs w:val="24"/>
          <w:vertAlign w:val="baseline"/>
        </w:rPr>
        <w:tab/>
      </w:r>
      <w:r w:rsidR="007C47C1">
        <w:rPr>
          <w:rFonts w:ascii="Times New Roman" w:hAnsi="Times New Roman" w:cs="Times New Roman"/>
          <w:b/>
          <w:sz w:val="24"/>
          <w:szCs w:val="24"/>
          <w:vertAlign w:val="baseline"/>
        </w:rPr>
        <w:tab/>
      </w:r>
      <w:r w:rsidR="007C47C1">
        <w:rPr>
          <w:rFonts w:ascii="Times New Roman" w:hAnsi="Times New Roman" w:cs="Times New Roman"/>
          <w:b/>
          <w:sz w:val="24"/>
          <w:szCs w:val="24"/>
          <w:vertAlign w:val="baseline"/>
        </w:rPr>
        <w:tab/>
      </w:r>
      <w:r w:rsidR="007C47C1">
        <w:rPr>
          <w:rFonts w:ascii="Times New Roman" w:hAnsi="Times New Roman" w:cs="Times New Roman"/>
          <w:b/>
          <w:sz w:val="24"/>
          <w:szCs w:val="24"/>
          <w:vertAlign w:val="baseline"/>
        </w:rPr>
        <w:tab/>
      </w:r>
      <w:r w:rsidR="007C47C1">
        <w:rPr>
          <w:rFonts w:ascii="Times New Roman" w:hAnsi="Times New Roman" w:cs="Times New Roman"/>
          <w:b/>
          <w:sz w:val="24"/>
          <w:szCs w:val="24"/>
          <w:vertAlign w:val="baseline"/>
        </w:rPr>
        <w:tab/>
      </w:r>
      <w:r w:rsidR="007C47C1">
        <w:rPr>
          <w:rFonts w:ascii="Times New Roman" w:hAnsi="Times New Roman" w:cs="Times New Roman"/>
          <w:b/>
          <w:sz w:val="24"/>
          <w:szCs w:val="24"/>
          <w:vertAlign w:val="baseline"/>
        </w:rPr>
        <w:tab/>
      </w:r>
      <w:r w:rsidR="007C47C1">
        <w:rPr>
          <w:rFonts w:ascii="Times New Roman" w:hAnsi="Times New Roman" w:cs="Times New Roman"/>
          <w:b/>
          <w:sz w:val="24"/>
          <w:szCs w:val="24"/>
          <w:vertAlign w:val="baseline"/>
        </w:rPr>
        <w:tab/>
      </w:r>
    </w:p>
    <w:p w14:paraId="25727857" w14:textId="77777777" w:rsidR="007C47C1" w:rsidRDefault="007C47C1" w:rsidP="000A3B92">
      <w:pPr>
        <w:spacing w:line="480" w:lineRule="auto"/>
        <w:rPr>
          <w:rFonts w:ascii="Times New Roman" w:hAnsi="Times New Roman" w:cs="Times New Roman"/>
          <w:b/>
          <w:sz w:val="24"/>
          <w:szCs w:val="24"/>
          <w:vertAlign w:val="baseline"/>
        </w:rPr>
      </w:pPr>
    </w:p>
    <w:p w14:paraId="3FF6F345" w14:textId="365AA1B5" w:rsidR="006C4419" w:rsidRPr="007C47C1" w:rsidRDefault="00713985" w:rsidP="000A3B92">
      <w:pPr>
        <w:spacing w:line="480" w:lineRule="auto"/>
        <w:rPr>
          <w:rFonts w:ascii="Times New Roman" w:hAnsi="Times New Roman" w:cs="Times New Roman"/>
          <w:sz w:val="24"/>
          <w:szCs w:val="24"/>
          <w:vertAlign w:val="baseline"/>
        </w:rPr>
        <w:sectPr w:rsidR="006C4419" w:rsidRPr="007C47C1" w:rsidSect="00EA2769">
          <w:pgSz w:w="11900" w:h="16840"/>
          <w:pgMar w:top="1418" w:right="1418" w:bottom="1418" w:left="2155" w:header="708" w:footer="708" w:gutter="0"/>
          <w:cols w:space="708"/>
          <w:docGrid w:linePitch="360"/>
        </w:sectPr>
      </w:pPr>
      <w:r>
        <w:rPr>
          <w:rFonts w:ascii="Times New Roman" w:hAnsi="Times New Roman" w:cs="Times New Roman"/>
          <w:b/>
          <w:sz w:val="24"/>
          <w:szCs w:val="24"/>
          <w:vertAlign w:val="baseline"/>
        </w:rPr>
        <w:t>BIBLIOGRAPHY</w:t>
      </w:r>
      <w:r w:rsidR="007C47C1">
        <w:rPr>
          <w:rFonts w:ascii="Times New Roman" w:hAnsi="Times New Roman" w:cs="Times New Roman"/>
          <w:b/>
          <w:sz w:val="24"/>
          <w:szCs w:val="24"/>
          <w:vertAlign w:val="baseline"/>
        </w:rPr>
        <w:tab/>
      </w:r>
      <w:r w:rsidR="007C47C1">
        <w:rPr>
          <w:rFonts w:ascii="Times New Roman" w:hAnsi="Times New Roman" w:cs="Times New Roman"/>
          <w:b/>
          <w:sz w:val="24"/>
          <w:szCs w:val="24"/>
          <w:vertAlign w:val="baseline"/>
        </w:rPr>
        <w:tab/>
      </w:r>
      <w:r w:rsidR="007C47C1">
        <w:rPr>
          <w:rFonts w:ascii="Times New Roman" w:hAnsi="Times New Roman" w:cs="Times New Roman"/>
          <w:b/>
          <w:sz w:val="24"/>
          <w:szCs w:val="24"/>
          <w:vertAlign w:val="baseline"/>
        </w:rPr>
        <w:tab/>
      </w:r>
      <w:r w:rsidR="007C47C1">
        <w:rPr>
          <w:rFonts w:ascii="Times New Roman" w:hAnsi="Times New Roman" w:cs="Times New Roman"/>
          <w:b/>
          <w:sz w:val="24"/>
          <w:szCs w:val="24"/>
          <w:vertAlign w:val="baseline"/>
        </w:rPr>
        <w:tab/>
      </w:r>
      <w:r w:rsidR="007C47C1">
        <w:rPr>
          <w:rFonts w:ascii="Times New Roman" w:hAnsi="Times New Roman" w:cs="Times New Roman"/>
          <w:b/>
          <w:sz w:val="24"/>
          <w:szCs w:val="24"/>
          <w:vertAlign w:val="baseline"/>
        </w:rPr>
        <w:tab/>
      </w:r>
      <w:r w:rsidR="007C47C1">
        <w:rPr>
          <w:rFonts w:ascii="Times New Roman" w:hAnsi="Times New Roman" w:cs="Times New Roman"/>
          <w:b/>
          <w:sz w:val="24"/>
          <w:szCs w:val="24"/>
          <w:vertAlign w:val="baseline"/>
        </w:rPr>
        <w:tab/>
      </w:r>
      <w:r w:rsidR="007C47C1">
        <w:rPr>
          <w:rFonts w:ascii="Times New Roman" w:hAnsi="Times New Roman" w:cs="Times New Roman"/>
          <w:b/>
          <w:sz w:val="24"/>
          <w:szCs w:val="24"/>
          <w:vertAlign w:val="baseline"/>
        </w:rPr>
        <w:tab/>
      </w:r>
      <w:r w:rsidR="007C47C1">
        <w:rPr>
          <w:rFonts w:ascii="Times New Roman" w:hAnsi="Times New Roman" w:cs="Times New Roman"/>
          <w:b/>
          <w:sz w:val="24"/>
          <w:szCs w:val="24"/>
          <w:vertAlign w:val="baseline"/>
        </w:rPr>
        <w:tab/>
      </w:r>
      <w:r w:rsidR="007C47C1">
        <w:rPr>
          <w:rFonts w:ascii="Times New Roman" w:hAnsi="Times New Roman" w:cs="Times New Roman"/>
          <w:b/>
          <w:sz w:val="24"/>
          <w:szCs w:val="24"/>
          <w:vertAlign w:val="baseline"/>
        </w:rPr>
        <w:tab/>
      </w:r>
      <w:r w:rsidR="0064696D">
        <w:rPr>
          <w:rFonts w:ascii="Times New Roman" w:hAnsi="Times New Roman" w:cs="Times New Roman"/>
          <w:sz w:val="24"/>
          <w:szCs w:val="24"/>
          <w:vertAlign w:val="baseline"/>
        </w:rPr>
        <w:t>324</w:t>
      </w:r>
    </w:p>
    <w:p w14:paraId="7FC0900D" w14:textId="77777777" w:rsidR="00B92C8B" w:rsidRDefault="00B92C8B" w:rsidP="00614AA9">
      <w:pPr>
        <w:jc w:val="center"/>
        <w:rPr>
          <w:rFonts w:ascii="Times New Roman" w:hAnsi="Times New Roman" w:cs="Times New Roman"/>
          <w:b/>
          <w:sz w:val="28"/>
          <w:szCs w:val="28"/>
          <w:u w:val="single"/>
          <w:vertAlign w:val="baseline"/>
        </w:rPr>
      </w:pPr>
      <w:r w:rsidRPr="000B4BF0">
        <w:rPr>
          <w:rFonts w:ascii="Times New Roman" w:hAnsi="Times New Roman" w:cs="Times New Roman"/>
          <w:b/>
          <w:sz w:val="28"/>
          <w:szCs w:val="28"/>
          <w:u w:val="single"/>
          <w:vertAlign w:val="baseline"/>
        </w:rPr>
        <w:t>List of Abbreviations</w:t>
      </w:r>
    </w:p>
    <w:p w14:paraId="196341CE" w14:textId="77777777" w:rsidR="00B92C8B" w:rsidRDefault="00B92C8B" w:rsidP="00B92C8B">
      <w:pPr>
        <w:jc w:val="center"/>
        <w:rPr>
          <w:rFonts w:ascii="Times New Roman" w:hAnsi="Times New Roman" w:cs="Times New Roman"/>
          <w:b/>
          <w:sz w:val="28"/>
          <w:szCs w:val="28"/>
          <w:u w:val="single"/>
          <w:vertAlign w:val="baseline"/>
        </w:rPr>
      </w:pPr>
    </w:p>
    <w:p w14:paraId="0FE031B6" w14:textId="77777777" w:rsidR="00B92C8B" w:rsidRDefault="00B92C8B" w:rsidP="00B92C8B">
      <w:pPr>
        <w:spacing w:line="480" w:lineRule="auto"/>
        <w:ind w:left="1440" w:hanging="1440"/>
        <w:rPr>
          <w:rFonts w:ascii="Times New Roman" w:hAnsi="Times New Roman" w:cs="Times New Roman"/>
          <w:sz w:val="24"/>
          <w:szCs w:val="24"/>
          <w:vertAlign w:val="baseline"/>
        </w:rPr>
      </w:pPr>
    </w:p>
    <w:p w14:paraId="26DFDD99" w14:textId="77777777" w:rsidR="00B92C8B" w:rsidRDefault="00B92C8B" w:rsidP="00B92C8B">
      <w:pPr>
        <w:spacing w:line="480" w:lineRule="auto"/>
        <w:ind w:left="1440" w:hanging="1440"/>
        <w:rPr>
          <w:rFonts w:ascii="Times New Roman" w:hAnsi="Times New Roman" w:cs="Times New Roman"/>
          <w:sz w:val="24"/>
          <w:szCs w:val="24"/>
          <w:vertAlign w:val="baseline"/>
        </w:rPr>
      </w:pPr>
      <w:r>
        <w:rPr>
          <w:rFonts w:ascii="Times New Roman" w:hAnsi="Times New Roman" w:cs="Times New Roman"/>
          <w:sz w:val="24"/>
          <w:szCs w:val="24"/>
          <w:vertAlign w:val="baseline"/>
        </w:rPr>
        <w:t>ACHPR</w:t>
      </w:r>
      <w:r>
        <w:rPr>
          <w:rFonts w:ascii="Times New Roman" w:hAnsi="Times New Roman" w:cs="Times New Roman"/>
          <w:sz w:val="24"/>
          <w:szCs w:val="24"/>
          <w:vertAlign w:val="baseline"/>
        </w:rPr>
        <w:tab/>
        <w:t>African Charter on Human and People’s Rights</w:t>
      </w:r>
    </w:p>
    <w:p w14:paraId="7544FF2F" w14:textId="77777777" w:rsidR="00B92C8B" w:rsidRDefault="00B92C8B" w:rsidP="00B92C8B">
      <w:pPr>
        <w:spacing w:line="480" w:lineRule="auto"/>
        <w:ind w:left="1440" w:hanging="1440"/>
        <w:rPr>
          <w:rFonts w:ascii="Times New Roman" w:hAnsi="Times New Roman" w:cs="Times New Roman"/>
          <w:sz w:val="24"/>
          <w:szCs w:val="24"/>
          <w:vertAlign w:val="baseline"/>
        </w:rPr>
      </w:pPr>
      <w:r>
        <w:rPr>
          <w:rFonts w:ascii="Times New Roman" w:hAnsi="Times New Roman" w:cs="Times New Roman"/>
          <w:sz w:val="24"/>
          <w:szCs w:val="24"/>
          <w:vertAlign w:val="baseline"/>
        </w:rPr>
        <w:t>AIDS</w:t>
      </w:r>
      <w:r>
        <w:rPr>
          <w:rFonts w:ascii="Times New Roman" w:hAnsi="Times New Roman" w:cs="Times New Roman"/>
          <w:sz w:val="24"/>
          <w:szCs w:val="24"/>
          <w:vertAlign w:val="baseline"/>
        </w:rPr>
        <w:tab/>
        <w:t>Acquired Immune Deficiency Syndrome</w:t>
      </w:r>
    </w:p>
    <w:p w14:paraId="72FEAEA6" w14:textId="77777777" w:rsidR="00B92C8B" w:rsidRDefault="00B92C8B" w:rsidP="00B92C8B">
      <w:pPr>
        <w:spacing w:line="480" w:lineRule="auto"/>
        <w:ind w:left="1440" w:hanging="1440"/>
        <w:rPr>
          <w:rFonts w:ascii="Times New Roman" w:hAnsi="Times New Roman" w:cs="Times New Roman"/>
          <w:sz w:val="24"/>
          <w:szCs w:val="24"/>
          <w:vertAlign w:val="baseline"/>
        </w:rPr>
      </w:pPr>
      <w:r>
        <w:rPr>
          <w:rFonts w:ascii="Times New Roman" w:hAnsi="Times New Roman" w:cs="Times New Roman"/>
          <w:sz w:val="24"/>
          <w:szCs w:val="24"/>
          <w:vertAlign w:val="baseline"/>
        </w:rPr>
        <w:t>CAT</w:t>
      </w:r>
      <w:r>
        <w:rPr>
          <w:rFonts w:ascii="Times New Roman" w:hAnsi="Times New Roman" w:cs="Times New Roman"/>
          <w:sz w:val="24"/>
          <w:szCs w:val="24"/>
          <w:vertAlign w:val="baseline"/>
        </w:rPr>
        <w:tab/>
        <w:t>Convention against Torture</w:t>
      </w:r>
    </w:p>
    <w:p w14:paraId="2F7F0AD2" w14:textId="77777777" w:rsidR="00B92C8B" w:rsidRDefault="00B92C8B" w:rsidP="00B92C8B">
      <w:pPr>
        <w:spacing w:line="480" w:lineRule="auto"/>
        <w:ind w:left="1440" w:hanging="1440"/>
        <w:rPr>
          <w:rFonts w:ascii="Times New Roman" w:hAnsi="Times New Roman" w:cs="Times New Roman"/>
          <w:sz w:val="24"/>
          <w:szCs w:val="24"/>
          <w:vertAlign w:val="baseline"/>
        </w:rPr>
      </w:pPr>
      <w:r>
        <w:rPr>
          <w:rFonts w:ascii="Times New Roman" w:hAnsi="Times New Roman" w:cs="Times New Roman"/>
          <w:sz w:val="24"/>
          <w:szCs w:val="24"/>
          <w:vertAlign w:val="baseline"/>
        </w:rPr>
        <w:t>CCPR</w:t>
      </w:r>
      <w:r>
        <w:rPr>
          <w:rFonts w:ascii="Times New Roman" w:hAnsi="Times New Roman" w:cs="Times New Roman"/>
          <w:sz w:val="24"/>
          <w:szCs w:val="24"/>
          <w:vertAlign w:val="baseline"/>
        </w:rPr>
        <w:tab/>
        <w:t>Human Rights Committee</w:t>
      </w:r>
    </w:p>
    <w:p w14:paraId="37CEDF26" w14:textId="77777777" w:rsidR="00B92C8B" w:rsidRDefault="00B92C8B" w:rsidP="00B92C8B">
      <w:pPr>
        <w:spacing w:line="480" w:lineRule="auto"/>
        <w:ind w:left="1440" w:hanging="1440"/>
        <w:rPr>
          <w:rFonts w:ascii="Times New Roman" w:hAnsi="Times New Roman" w:cs="Times New Roman"/>
          <w:sz w:val="24"/>
          <w:szCs w:val="24"/>
          <w:vertAlign w:val="baseline"/>
        </w:rPr>
      </w:pPr>
      <w:r>
        <w:rPr>
          <w:rFonts w:ascii="Times New Roman" w:hAnsi="Times New Roman" w:cs="Times New Roman"/>
          <w:sz w:val="24"/>
          <w:szCs w:val="24"/>
          <w:vertAlign w:val="baseline"/>
        </w:rPr>
        <w:t>CEDAW</w:t>
      </w:r>
      <w:r>
        <w:rPr>
          <w:rFonts w:ascii="Times New Roman" w:hAnsi="Times New Roman" w:cs="Times New Roman"/>
          <w:sz w:val="24"/>
          <w:szCs w:val="24"/>
          <w:vertAlign w:val="baseline"/>
        </w:rPr>
        <w:tab/>
        <w:t>Convention on the Elimination of All Forms of Discrimination Against Women</w:t>
      </w:r>
    </w:p>
    <w:p w14:paraId="16538BE0" w14:textId="77777777" w:rsidR="00B92C8B" w:rsidRDefault="00B92C8B" w:rsidP="00B92C8B">
      <w:pPr>
        <w:spacing w:line="480" w:lineRule="auto"/>
        <w:ind w:left="1440" w:hanging="1440"/>
        <w:rPr>
          <w:rFonts w:ascii="Times New Roman" w:hAnsi="Times New Roman" w:cs="Times New Roman"/>
          <w:sz w:val="24"/>
          <w:szCs w:val="24"/>
          <w:vertAlign w:val="baseline"/>
        </w:rPr>
      </w:pPr>
      <w:r>
        <w:rPr>
          <w:rFonts w:ascii="Times New Roman" w:hAnsi="Times New Roman" w:cs="Times New Roman"/>
          <w:sz w:val="24"/>
          <w:szCs w:val="24"/>
          <w:vertAlign w:val="baseline"/>
        </w:rPr>
        <w:t>CHRAJ</w:t>
      </w:r>
      <w:r>
        <w:rPr>
          <w:rFonts w:ascii="Times New Roman" w:hAnsi="Times New Roman" w:cs="Times New Roman"/>
          <w:sz w:val="24"/>
          <w:szCs w:val="24"/>
          <w:vertAlign w:val="baseline"/>
        </w:rPr>
        <w:tab/>
        <w:t>Commission on Human Rights and Administrative Justice</w:t>
      </w:r>
    </w:p>
    <w:p w14:paraId="1E29C667" w14:textId="77777777" w:rsidR="00B92C8B" w:rsidRDefault="00B92C8B" w:rsidP="00B92C8B">
      <w:pPr>
        <w:spacing w:line="480" w:lineRule="auto"/>
        <w:ind w:left="1440" w:hanging="1440"/>
        <w:rPr>
          <w:rFonts w:ascii="Times New Roman" w:hAnsi="Times New Roman" w:cs="Times New Roman"/>
          <w:sz w:val="24"/>
          <w:szCs w:val="24"/>
          <w:vertAlign w:val="baseline"/>
        </w:rPr>
      </w:pPr>
      <w:r>
        <w:rPr>
          <w:rFonts w:ascii="Times New Roman" w:hAnsi="Times New Roman" w:cs="Times New Roman"/>
          <w:sz w:val="24"/>
          <w:szCs w:val="24"/>
          <w:vertAlign w:val="baseline"/>
        </w:rPr>
        <w:t>CSM</w:t>
      </w:r>
      <w:r>
        <w:rPr>
          <w:rFonts w:ascii="Times New Roman" w:hAnsi="Times New Roman" w:cs="Times New Roman"/>
          <w:sz w:val="24"/>
          <w:szCs w:val="24"/>
          <w:vertAlign w:val="baseline"/>
        </w:rPr>
        <w:tab/>
        <w:t>Cerebral Spinal Meningitis</w:t>
      </w:r>
    </w:p>
    <w:p w14:paraId="43AD0F78" w14:textId="77777777" w:rsidR="00B92C8B" w:rsidRDefault="00B92C8B" w:rsidP="00B92C8B">
      <w:pPr>
        <w:spacing w:line="480" w:lineRule="auto"/>
        <w:ind w:left="1440" w:hanging="1440"/>
        <w:rPr>
          <w:rFonts w:ascii="Times New Roman" w:hAnsi="Times New Roman" w:cs="Times New Roman"/>
          <w:sz w:val="24"/>
          <w:szCs w:val="24"/>
          <w:vertAlign w:val="baseline"/>
        </w:rPr>
      </w:pPr>
      <w:r>
        <w:rPr>
          <w:rFonts w:ascii="Times New Roman" w:hAnsi="Times New Roman" w:cs="Times New Roman"/>
          <w:sz w:val="24"/>
          <w:szCs w:val="24"/>
          <w:vertAlign w:val="baseline"/>
        </w:rPr>
        <w:t>CSW</w:t>
      </w:r>
      <w:r>
        <w:rPr>
          <w:rFonts w:ascii="Times New Roman" w:hAnsi="Times New Roman" w:cs="Times New Roman"/>
          <w:sz w:val="24"/>
          <w:szCs w:val="24"/>
          <w:vertAlign w:val="baseline"/>
        </w:rPr>
        <w:tab/>
        <w:t>Commission on the Status of Women</w:t>
      </w:r>
    </w:p>
    <w:p w14:paraId="61375552" w14:textId="77777777" w:rsidR="00B92C8B" w:rsidRDefault="00B92C8B" w:rsidP="00B92C8B">
      <w:pPr>
        <w:spacing w:line="480" w:lineRule="auto"/>
        <w:ind w:left="1440" w:hanging="1440"/>
        <w:rPr>
          <w:rFonts w:ascii="Times New Roman" w:hAnsi="Times New Roman" w:cs="Times New Roman"/>
          <w:sz w:val="24"/>
          <w:szCs w:val="24"/>
          <w:vertAlign w:val="baseline"/>
        </w:rPr>
      </w:pPr>
      <w:r>
        <w:rPr>
          <w:rFonts w:ascii="Times New Roman" w:hAnsi="Times New Roman" w:cs="Times New Roman"/>
          <w:sz w:val="24"/>
          <w:szCs w:val="24"/>
          <w:vertAlign w:val="baseline"/>
        </w:rPr>
        <w:t>DEVAW</w:t>
      </w:r>
      <w:r>
        <w:rPr>
          <w:rFonts w:ascii="Times New Roman" w:hAnsi="Times New Roman" w:cs="Times New Roman"/>
          <w:sz w:val="24"/>
          <w:szCs w:val="24"/>
          <w:vertAlign w:val="baseline"/>
        </w:rPr>
        <w:tab/>
        <w:t>Declaration on the Elimination of Violence Against Women</w:t>
      </w:r>
    </w:p>
    <w:p w14:paraId="0317F364" w14:textId="7B715719" w:rsidR="00A436A8" w:rsidRDefault="00A436A8" w:rsidP="00B92C8B">
      <w:pPr>
        <w:spacing w:line="480" w:lineRule="auto"/>
        <w:ind w:left="1440" w:hanging="1440"/>
        <w:rPr>
          <w:rFonts w:ascii="Times New Roman" w:hAnsi="Times New Roman" w:cs="Times New Roman"/>
          <w:sz w:val="24"/>
          <w:szCs w:val="24"/>
          <w:vertAlign w:val="baseline"/>
        </w:rPr>
      </w:pPr>
      <w:r>
        <w:rPr>
          <w:rFonts w:ascii="Times New Roman" w:hAnsi="Times New Roman" w:cs="Times New Roman"/>
          <w:sz w:val="24"/>
          <w:szCs w:val="24"/>
          <w:vertAlign w:val="baseline"/>
        </w:rPr>
        <w:t>ECtHR</w:t>
      </w:r>
      <w:r>
        <w:rPr>
          <w:rFonts w:ascii="Times New Roman" w:hAnsi="Times New Roman" w:cs="Times New Roman"/>
          <w:sz w:val="24"/>
          <w:szCs w:val="24"/>
          <w:vertAlign w:val="baseline"/>
        </w:rPr>
        <w:tab/>
        <w:t>European Court of Human Rights</w:t>
      </w:r>
    </w:p>
    <w:p w14:paraId="22D105C1" w14:textId="77777777" w:rsidR="00B92C8B" w:rsidRDefault="00B92C8B" w:rsidP="00B92C8B">
      <w:pPr>
        <w:spacing w:line="480" w:lineRule="auto"/>
        <w:ind w:left="1440" w:hanging="1440"/>
        <w:rPr>
          <w:rFonts w:ascii="Times New Roman" w:hAnsi="Times New Roman" w:cs="Times New Roman"/>
          <w:sz w:val="24"/>
          <w:szCs w:val="24"/>
          <w:vertAlign w:val="baseline"/>
        </w:rPr>
      </w:pPr>
      <w:r>
        <w:rPr>
          <w:rFonts w:ascii="Times New Roman" w:hAnsi="Times New Roman" w:cs="Times New Roman"/>
          <w:sz w:val="24"/>
          <w:szCs w:val="24"/>
          <w:vertAlign w:val="baseline"/>
        </w:rPr>
        <w:t>ECOSOC</w:t>
      </w:r>
      <w:r>
        <w:rPr>
          <w:rFonts w:ascii="Times New Roman" w:hAnsi="Times New Roman" w:cs="Times New Roman"/>
          <w:sz w:val="24"/>
          <w:szCs w:val="24"/>
          <w:vertAlign w:val="baseline"/>
        </w:rPr>
        <w:tab/>
        <w:t>United Nations Economic and Social Council</w:t>
      </w:r>
    </w:p>
    <w:p w14:paraId="3D0C5B43" w14:textId="1E15E88B" w:rsidR="007163BF" w:rsidRDefault="007163BF" w:rsidP="00B92C8B">
      <w:pPr>
        <w:spacing w:line="480" w:lineRule="auto"/>
        <w:ind w:left="1440" w:hanging="1440"/>
        <w:rPr>
          <w:rFonts w:ascii="Times New Roman" w:hAnsi="Times New Roman" w:cs="Times New Roman"/>
          <w:sz w:val="24"/>
          <w:szCs w:val="24"/>
          <w:vertAlign w:val="baseline"/>
        </w:rPr>
      </w:pPr>
      <w:r>
        <w:rPr>
          <w:rFonts w:ascii="Times New Roman" w:hAnsi="Times New Roman" w:cs="Times New Roman"/>
          <w:sz w:val="24"/>
          <w:szCs w:val="24"/>
          <w:vertAlign w:val="baseline"/>
        </w:rPr>
        <w:t>ESP</w:t>
      </w:r>
      <w:r>
        <w:rPr>
          <w:rFonts w:ascii="Times New Roman" w:hAnsi="Times New Roman" w:cs="Times New Roman"/>
          <w:sz w:val="24"/>
          <w:szCs w:val="24"/>
          <w:vertAlign w:val="baseline"/>
        </w:rPr>
        <w:tab/>
        <w:t>Extrasensory Perception</w:t>
      </w:r>
    </w:p>
    <w:p w14:paraId="47D68438" w14:textId="77777777" w:rsidR="00B92C8B" w:rsidRDefault="00B92C8B" w:rsidP="00B92C8B">
      <w:pPr>
        <w:spacing w:line="480" w:lineRule="auto"/>
        <w:ind w:left="1440" w:hanging="1440"/>
        <w:rPr>
          <w:rFonts w:ascii="Times New Roman" w:hAnsi="Times New Roman" w:cs="Times New Roman"/>
          <w:sz w:val="24"/>
          <w:szCs w:val="24"/>
          <w:vertAlign w:val="baseline"/>
        </w:rPr>
      </w:pPr>
      <w:r>
        <w:rPr>
          <w:rFonts w:ascii="Times New Roman" w:hAnsi="Times New Roman" w:cs="Times New Roman"/>
          <w:sz w:val="24"/>
          <w:szCs w:val="24"/>
          <w:vertAlign w:val="baseline"/>
        </w:rPr>
        <w:t>FGM</w:t>
      </w:r>
      <w:r>
        <w:rPr>
          <w:rFonts w:ascii="Times New Roman" w:hAnsi="Times New Roman" w:cs="Times New Roman"/>
          <w:sz w:val="24"/>
          <w:szCs w:val="24"/>
          <w:vertAlign w:val="baseline"/>
        </w:rPr>
        <w:tab/>
        <w:t>Female Genital Mutilation</w:t>
      </w:r>
    </w:p>
    <w:p w14:paraId="0B9B40A6" w14:textId="77777777" w:rsidR="00B92C8B" w:rsidRDefault="00B92C8B" w:rsidP="00B92C8B">
      <w:pPr>
        <w:spacing w:line="480" w:lineRule="auto"/>
        <w:rPr>
          <w:rFonts w:ascii="Times New Roman" w:hAnsi="Times New Roman" w:cs="Times New Roman"/>
          <w:sz w:val="24"/>
          <w:szCs w:val="24"/>
          <w:vertAlign w:val="baseline"/>
        </w:rPr>
      </w:pPr>
      <w:r>
        <w:rPr>
          <w:rFonts w:ascii="Times New Roman" w:hAnsi="Times New Roman" w:cs="Times New Roman"/>
          <w:sz w:val="24"/>
          <w:szCs w:val="24"/>
          <w:vertAlign w:val="baseline"/>
        </w:rPr>
        <w:t>GA</w:t>
      </w:r>
      <w:r>
        <w:rPr>
          <w:rFonts w:ascii="Times New Roman" w:hAnsi="Times New Roman" w:cs="Times New Roman"/>
          <w:sz w:val="24"/>
          <w:szCs w:val="24"/>
          <w:vertAlign w:val="baseline"/>
        </w:rPr>
        <w:tab/>
      </w:r>
      <w:r>
        <w:rPr>
          <w:rFonts w:ascii="Times New Roman" w:hAnsi="Times New Roman" w:cs="Times New Roman"/>
          <w:sz w:val="24"/>
          <w:szCs w:val="24"/>
          <w:vertAlign w:val="baseline"/>
        </w:rPr>
        <w:tab/>
        <w:t>General Assembly</w:t>
      </w:r>
    </w:p>
    <w:p w14:paraId="5E0BCDC9" w14:textId="77777777" w:rsidR="00B92C8B" w:rsidRDefault="00B92C8B" w:rsidP="00B92C8B">
      <w:pPr>
        <w:spacing w:line="480" w:lineRule="auto"/>
        <w:rPr>
          <w:rFonts w:ascii="Times New Roman" w:hAnsi="Times New Roman" w:cs="Times New Roman"/>
          <w:sz w:val="24"/>
          <w:szCs w:val="24"/>
          <w:vertAlign w:val="baseline"/>
        </w:rPr>
      </w:pPr>
      <w:r>
        <w:rPr>
          <w:rFonts w:ascii="Times New Roman" w:hAnsi="Times New Roman" w:cs="Times New Roman"/>
          <w:sz w:val="24"/>
          <w:szCs w:val="24"/>
          <w:vertAlign w:val="baseline"/>
        </w:rPr>
        <w:t>HIV</w:t>
      </w:r>
      <w:r>
        <w:rPr>
          <w:rFonts w:ascii="Times New Roman" w:hAnsi="Times New Roman" w:cs="Times New Roman"/>
          <w:sz w:val="24"/>
          <w:szCs w:val="24"/>
          <w:vertAlign w:val="baseline"/>
        </w:rPr>
        <w:tab/>
      </w:r>
      <w:r>
        <w:rPr>
          <w:rFonts w:ascii="Times New Roman" w:hAnsi="Times New Roman" w:cs="Times New Roman"/>
          <w:sz w:val="24"/>
          <w:szCs w:val="24"/>
          <w:vertAlign w:val="baseline"/>
        </w:rPr>
        <w:tab/>
        <w:t>Human Immunodeficiency Virus</w:t>
      </w:r>
    </w:p>
    <w:p w14:paraId="05E27BAE" w14:textId="77777777" w:rsidR="00B92C8B" w:rsidRDefault="00B92C8B" w:rsidP="00B92C8B">
      <w:pPr>
        <w:spacing w:line="480" w:lineRule="auto"/>
        <w:rPr>
          <w:rFonts w:ascii="Times New Roman" w:hAnsi="Times New Roman" w:cs="Times New Roman"/>
          <w:sz w:val="24"/>
          <w:szCs w:val="24"/>
          <w:vertAlign w:val="baseline"/>
        </w:rPr>
      </w:pPr>
      <w:r>
        <w:rPr>
          <w:rFonts w:ascii="Times New Roman" w:hAnsi="Times New Roman" w:cs="Times New Roman"/>
          <w:sz w:val="24"/>
          <w:szCs w:val="24"/>
          <w:vertAlign w:val="baseline"/>
        </w:rPr>
        <w:t>HRC</w:t>
      </w:r>
      <w:r>
        <w:rPr>
          <w:rFonts w:ascii="Times New Roman" w:hAnsi="Times New Roman" w:cs="Times New Roman"/>
          <w:sz w:val="24"/>
          <w:szCs w:val="24"/>
          <w:vertAlign w:val="baseline"/>
        </w:rPr>
        <w:tab/>
      </w:r>
      <w:r>
        <w:rPr>
          <w:rFonts w:ascii="Times New Roman" w:hAnsi="Times New Roman" w:cs="Times New Roman"/>
          <w:sz w:val="24"/>
          <w:szCs w:val="24"/>
          <w:vertAlign w:val="baseline"/>
        </w:rPr>
        <w:tab/>
        <w:t>Human Rights Council</w:t>
      </w:r>
    </w:p>
    <w:p w14:paraId="5CAF65A7" w14:textId="77777777" w:rsidR="00B92C8B" w:rsidRDefault="00B92C8B" w:rsidP="00B92C8B">
      <w:pPr>
        <w:spacing w:line="480" w:lineRule="auto"/>
        <w:rPr>
          <w:rFonts w:ascii="Times New Roman" w:hAnsi="Times New Roman" w:cs="Times New Roman"/>
          <w:sz w:val="24"/>
          <w:szCs w:val="24"/>
          <w:vertAlign w:val="baseline"/>
        </w:rPr>
      </w:pPr>
      <w:r>
        <w:rPr>
          <w:rFonts w:ascii="Times New Roman" w:hAnsi="Times New Roman" w:cs="Times New Roman"/>
          <w:sz w:val="24"/>
          <w:szCs w:val="24"/>
          <w:vertAlign w:val="baseline"/>
        </w:rPr>
        <w:t>ICCPR</w:t>
      </w:r>
      <w:r>
        <w:rPr>
          <w:rFonts w:ascii="Times New Roman" w:hAnsi="Times New Roman" w:cs="Times New Roman"/>
          <w:sz w:val="24"/>
          <w:szCs w:val="24"/>
          <w:vertAlign w:val="baseline"/>
        </w:rPr>
        <w:tab/>
      </w:r>
      <w:r>
        <w:rPr>
          <w:rFonts w:ascii="Times New Roman" w:hAnsi="Times New Roman" w:cs="Times New Roman"/>
          <w:sz w:val="24"/>
          <w:szCs w:val="24"/>
          <w:vertAlign w:val="baseline"/>
        </w:rPr>
        <w:tab/>
        <w:t>International Covenant on Civil and Political Rights</w:t>
      </w:r>
    </w:p>
    <w:p w14:paraId="4FDB8E49" w14:textId="7588A07A" w:rsidR="00B92C8B" w:rsidRDefault="00B92C8B" w:rsidP="00B92C8B">
      <w:pPr>
        <w:spacing w:line="480" w:lineRule="auto"/>
        <w:rPr>
          <w:rFonts w:ascii="Times New Roman" w:hAnsi="Times New Roman" w:cs="Times New Roman"/>
          <w:sz w:val="24"/>
          <w:szCs w:val="24"/>
          <w:vertAlign w:val="baseline"/>
        </w:rPr>
      </w:pPr>
      <w:r>
        <w:rPr>
          <w:rFonts w:ascii="Times New Roman" w:hAnsi="Times New Roman" w:cs="Times New Roman"/>
          <w:sz w:val="24"/>
          <w:szCs w:val="24"/>
          <w:vertAlign w:val="baseline"/>
        </w:rPr>
        <w:t>ICHR</w:t>
      </w:r>
      <w:r w:rsidR="00495542">
        <w:rPr>
          <w:rFonts w:ascii="Times New Roman" w:hAnsi="Times New Roman" w:cs="Times New Roman"/>
          <w:sz w:val="24"/>
          <w:szCs w:val="24"/>
          <w:vertAlign w:val="baseline"/>
        </w:rPr>
        <w:t>P</w:t>
      </w:r>
      <w:r>
        <w:rPr>
          <w:rFonts w:ascii="Times New Roman" w:hAnsi="Times New Roman" w:cs="Times New Roman"/>
          <w:sz w:val="24"/>
          <w:szCs w:val="24"/>
          <w:vertAlign w:val="baseline"/>
        </w:rPr>
        <w:tab/>
      </w:r>
      <w:r>
        <w:rPr>
          <w:rFonts w:ascii="Times New Roman" w:hAnsi="Times New Roman" w:cs="Times New Roman"/>
          <w:sz w:val="24"/>
          <w:szCs w:val="24"/>
          <w:vertAlign w:val="baseline"/>
        </w:rPr>
        <w:tab/>
        <w:t>International Council on Human Rights</w:t>
      </w:r>
      <w:r w:rsidR="00495542">
        <w:rPr>
          <w:rFonts w:ascii="Times New Roman" w:hAnsi="Times New Roman" w:cs="Times New Roman"/>
          <w:sz w:val="24"/>
          <w:szCs w:val="24"/>
          <w:vertAlign w:val="baseline"/>
        </w:rPr>
        <w:t xml:space="preserve"> Policy</w:t>
      </w:r>
    </w:p>
    <w:p w14:paraId="34EE5F76" w14:textId="77777777" w:rsidR="00B92C8B" w:rsidRDefault="00B92C8B" w:rsidP="00B92C8B">
      <w:pPr>
        <w:spacing w:line="480" w:lineRule="auto"/>
        <w:rPr>
          <w:rFonts w:ascii="Times New Roman" w:hAnsi="Times New Roman" w:cs="Times New Roman"/>
          <w:sz w:val="24"/>
          <w:szCs w:val="24"/>
          <w:vertAlign w:val="baseline"/>
        </w:rPr>
      </w:pPr>
      <w:r>
        <w:rPr>
          <w:rFonts w:ascii="Times New Roman" w:hAnsi="Times New Roman" w:cs="Times New Roman"/>
          <w:sz w:val="24"/>
          <w:szCs w:val="24"/>
          <w:vertAlign w:val="baseline"/>
        </w:rPr>
        <w:t>IHEU</w:t>
      </w:r>
      <w:r>
        <w:rPr>
          <w:rFonts w:ascii="Times New Roman" w:hAnsi="Times New Roman" w:cs="Times New Roman"/>
          <w:sz w:val="24"/>
          <w:szCs w:val="24"/>
          <w:vertAlign w:val="baseline"/>
        </w:rPr>
        <w:tab/>
      </w:r>
      <w:r>
        <w:rPr>
          <w:rFonts w:ascii="Times New Roman" w:hAnsi="Times New Roman" w:cs="Times New Roman"/>
          <w:sz w:val="24"/>
          <w:szCs w:val="24"/>
          <w:vertAlign w:val="baseline"/>
        </w:rPr>
        <w:tab/>
        <w:t>International Humanist and Ethical Union</w:t>
      </w:r>
    </w:p>
    <w:p w14:paraId="37D0FCA5" w14:textId="77777777" w:rsidR="00B92C8B" w:rsidRDefault="00B92C8B" w:rsidP="00B92C8B">
      <w:pPr>
        <w:spacing w:line="480" w:lineRule="auto"/>
        <w:rPr>
          <w:rFonts w:ascii="Times New Roman" w:hAnsi="Times New Roman" w:cs="Times New Roman"/>
          <w:sz w:val="24"/>
          <w:szCs w:val="24"/>
          <w:vertAlign w:val="baseline"/>
        </w:rPr>
      </w:pPr>
      <w:r>
        <w:rPr>
          <w:rFonts w:ascii="Times New Roman" w:hAnsi="Times New Roman" w:cs="Times New Roman"/>
          <w:sz w:val="24"/>
          <w:szCs w:val="24"/>
          <w:vertAlign w:val="baseline"/>
        </w:rPr>
        <w:t>ICESCR</w:t>
      </w:r>
      <w:r>
        <w:rPr>
          <w:rFonts w:ascii="Times New Roman" w:hAnsi="Times New Roman" w:cs="Times New Roman"/>
          <w:sz w:val="24"/>
          <w:szCs w:val="24"/>
          <w:vertAlign w:val="baseline"/>
        </w:rPr>
        <w:tab/>
        <w:t>International Covenant on Economic Social and Cultural Rights</w:t>
      </w:r>
    </w:p>
    <w:p w14:paraId="67792A6B" w14:textId="77777777" w:rsidR="00B92C8B" w:rsidRDefault="00B92C8B" w:rsidP="00B92C8B">
      <w:pPr>
        <w:spacing w:line="480" w:lineRule="auto"/>
        <w:rPr>
          <w:rFonts w:ascii="Times New Roman" w:hAnsi="Times New Roman" w:cs="Times New Roman"/>
          <w:sz w:val="24"/>
          <w:szCs w:val="24"/>
          <w:vertAlign w:val="baseline"/>
        </w:rPr>
      </w:pPr>
      <w:r>
        <w:rPr>
          <w:rFonts w:ascii="Times New Roman" w:hAnsi="Times New Roman" w:cs="Times New Roman"/>
          <w:sz w:val="24"/>
          <w:szCs w:val="24"/>
          <w:vertAlign w:val="baseline"/>
        </w:rPr>
        <w:t>MOGSCP</w:t>
      </w:r>
      <w:r>
        <w:rPr>
          <w:rFonts w:ascii="Times New Roman" w:hAnsi="Times New Roman" w:cs="Times New Roman"/>
          <w:sz w:val="24"/>
          <w:szCs w:val="24"/>
          <w:vertAlign w:val="baseline"/>
        </w:rPr>
        <w:tab/>
        <w:t>Ministry of Gender, Children and Social Protection</w:t>
      </w:r>
    </w:p>
    <w:p w14:paraId="2E5D3AF7" w14:textId="77777777" w:rsidR="00B92C8B" w:rsidRDefault="00B92C8B" w:rsidP="00B92C8B">
      <w:pPr>
        <w:spacing w:line="480" w:lineRule="auto"/>
        <w:rPr>
          <w:rFonts w:ascii="Times New Roman" w:hAnsi="Times New Roman" w:cs="Times New Roman"/>
          <w:sz w:val="24"/>
          <w:szCs w:val="24"/>
          <w:vertAlign w:val="baseline"/>
        </w:rPr>
      </w:pPr>
      <w:r>
        <w:rPr>
          <w:rFonts w:ascii="Times New Roman" w:hAnsi="Times New Roman" w:cs="Times New Roman"/>
          <w:sz w:val="24"/>
          <w:szCs w:val="24"/>
          <w:vertAlign w:val="baseline"/>
        </w:rPr>
        <w:t>MOWAC</w:t>
      </w:r>
      <w:r>
        <w:rPr>
          <w:rFonts w:ascii="Times New Roman" w:hAnsi="Times New Roman" w:cs="Times New Roman"/>
          <w:sz w:val="24"/>
          <w:szCs w:val="24"/>
          <w:vertAlign w:val="baseline"/>
        </w:rPr>
        <w:tab/>
        <w:t>Ministry of Women and Children’s Affairs</w:t>
      </w:r>
    </w:p>
    <w:p w14:paraId="49ABE561" w14:textId="77777777" w:rsidR="00B92C8B" w:rsidRDefault="00B92C8B" w:rsidP="00B92C8B">
      <w:pPr>
        <w:spacing w:line="480" w:lineRule="auto"/>
        <w:rPr>
          <w:rFonts w:ascii="Times New Roman" w:hAnsi="Times New Roman" w:cs="Times New Roman"/>
          <w:sz w:val="24"/>
          <w:szCs w:val="24"/>
          <w:vertAlign w:val="baseline"/>
        </w:rPr>
      </w:pPr>
      <w:r>
        <w:rPr>
          <w:rFonts w:ascii="Times New Roman" w:hAnsi="Times New Roman" w:cs="Times New Roman"/>
          <w:sz w:val="24"/>
          <w:szCs w:val="24"/>
          <w:vertAlign w:val="baseline"/>
        </w:rPr>
        <w:t>NCCE</w:t>
      </w:r>
      <w:r>
        <w:rPr>
          <w:rFonts w:ascii="Times New Roman" w:hAnsi="Times New Roman" w:cs="Times New Roman"/>
          <w:sz w:val="24"/>
          <w:szCs w:val="24"/>
          <w:vertAlign w:val="baseline"/>
        </w:rPr>
        <w:tab/>
      </w:r>
      <w:r>
        <w:rPr>
          <w:rFonts w:ascii="Times New Roman" w:hAnsi="Times New Roman" w:cs="Times New Roman"/>
          <w:sz w:val="24"/>
          <w:szCs w:val="24"/>
          <w:vertAlign w:val="baseline"/>
        </w:rPr>
        <w:tab/>
        <w:t>National Commission for Civic Education</w:t>
      </w:r>
    </w:p>
    <w:p w14:paraId="628B974C" w14:textId="77777777" w:rsidR="00B92C8B" w:rsidRDefault="00B92C8B" w:rsidP="00B92C8B">
      <w:pPr>
        <w:spacing w:line="480" w:lineRule="auto"/>
        <w:rPr>
          <w:rFonts w:ascii="Times New Roman" w:hAnsi="Times New Roman" w:cs="Times New Roman"/>
          <w:sz w:val="24"/>
          <w:szCs w:val="24"/>
          <w:vertAlign w:val="baseline"/>
        </w:rPr>
      </w:pPr>
      <w:r>
        <w:rPr>
          <w:rFonts w:ascii="Times New Roman" w:hAnsi="Times New Roman" w:cs="Times New Roman"/>
          <w:sz w:val="24"/>
          <w:szCs w:val="24"/>
          <w:vertAlign w:val="baseline"/>
        </w:rPr>
        <w:t>NCW</w:t>
      </w:r>
      <w:r>
        <w:rPr>
          <w:rFonts w:ascii="Times New Roman" w:hAnsi="Times New Roman" w:cs="Times New Roman"/>
          <w:sz w:val="24"/>
          <w:szCs w:val="24"/>
          <w:vertAlign w:val="baseline"/>
        </w:rPr>
        <w:tab/>
      </w:r>
      <w:r>
        <w:rPr>
          <w:rFonts w:ascii="Times New Roman" w:hAnsi="Times New Roman" w:cs="Times New Roman"/>
          <w:sz w:val="24"/>
          <w:szCs w:val="24"/>
          <w:vertAlign w:val="baseline"/>
        </w:rPr>
        <w:tab/>
        <w:t>National Commission for Women</w:t>
      </w:r>
    </w:p>
    <w:p w14:paraId="20382F61" w14:textId="77777777" w:rsidR="00B92C8B" w:rsidRDefault="00B92C8B" w:rsidP="00B92C8B">
      <w:pPr>
        <w:spacing w:line="480" w:lineRule="auto"/>
        <w:rPr>
          <w:rFonts w:ascii="Times New Roman" w:hAnsi="Times New Roman" w:cs="Times New Roman"/>
          <w:sz w:val="24"/>
          <w:szCs w:val="24"/>
          <w:vertAlign w:val="baseline"/>
        </w:rPr>
      </w:pPr>
      <w:r>
        <w:rPr>
          <w:rFonts w:ascii="Times New Roman" w:hAnsi="Times New Roman" w:cs="Times New Roman"/>
          <w:sz w:val="24"/>
          <w:szCs w:val="24"/>
          <w:vertAlign w:val="baseline"/>
        </w:rPr>
        <w:t>NGO</w:t>
      </w:r>
      <w:r>
        <w:rPr>
          <w:rFonts w:ascii="Times New Roman" w:hAnsi="Times New Roman" w:cs="Times New Roman"/>
          <w:sz w:val="24"/>
          <w:szCs w:val="24"/>
          <w:vertAlign w:val="baseline"/>
        </w:rPr>
        <w:tab/>
      </w:r>
      <w:r>
        <w:rPr>
          <w:rFonts w:ascii="Times New Roman" w:hAnsi="Times New Roman" w:cs="Times New Roman"/>
          <w:sz w:val="24"/>
          <w:szCs w:val="24"/>
          <w:vertAlign w:val="baseline"/>
        </w:rPr>
        <w:tab/>
        <w:t>Non Governmental Organisation</w:t>
      </w:r>
    </w:p>
    <w:p w14:paraId="267E5DE1" w14:textId="77777777" w:rsidR="00B92C8B" w:rsidRDefault="00B92C8B" w:rsidP="00B92C8B">
      <w:pPr>
        <w:spacing w:line="480" w:lineRule="auto"/>
        <w:rPr>
          <w:rFonts w:ascii="Times New Roman" w:hAnsi="Times New Roman" w:cs="Times New Roman"/>
          <w:sz w:val="24"/>
          <w:szCs w:val="24"/>
          <w:vertAlign w:val="baseline"/>
        </w:rPr>
      </w:pPr>
      <w:r>
        <w:rPr>
          <w:rFonts w:ascii="Times New Roman" w:hAnsi="Times New Roman" w:cs="Times New Roman"/>
          <w:sz w:val="24"/>
          <w:szCs w:val="24"/>
          <w:vertAlign w:val="baseline"/>
        </w:rPr>
        <w:t>OBD</w:t>
      </w:r>
      <w:r>
        <w:rPr>
          <w:rFonts w:ascii="Times New Roman" w:hAnsi="Times New Roman" w:cs="Times New Roman"/>
          <w:sz w:val="24"/>
          <w:szCs w:val="24"/>
          <w:vertAlign w:val="baseline"/>
        </w:rPr>
        <w:tab/>
      </w:r>
      <w:r>
        <w:rPr>
          <w:rFonts w:ascii="Times New Roman" w:hAnsi="Times New Roman" w:cs="Times New Roman"/>
          <w:sz w:val="24"/>
          <w:szCs w:val="24"/>
          <w:vertAlign w:val="baseline"/>
        </w:rPr>
        <w:tab/>
        <w:t>Other Backward Classes</w:t>
      </w:r>
    </w:p>
    <w:p w14:paraId="58E438B5" w14:textId="77777777" w:rsidR="00B92C8B" w:rsidRDefault="00B92C8B" w:rsidP="00B92C8B">
      <w:pPr>
        <w:spacing w:line="480" w:lineRule="auto"/>
        <w:rPr>
          <w:rFonts w:ascii="Times New Roman" w:hAnsi="Times New Roman" w:cs="Times New Roman"/>
          <w:sz w:val="24"/>
          <w:szCs w:val="24"/>
          <w:vertAlign w:val="baseline"/>
        </w:rPr>
      </w:pPr>
      <w:r>
        <w:rPr>
          <w:rFonts w:ascii="Times New Roman" w:hAnsi="Times New Roman" w:cs="Times New Roman"/>
          <w:sz w:val="24"/>
          <w:szCs w:val="24"/>
          <w:vertAlign w:val="baseline"/>
        </w:rPr>
        <w:t>PNG</w:t>
      </w:r>
      <w:r>
        <w:rPr>
          <w:rFonts w:ascii="Times New Roman" w:hAnsi="Times New Roman" w:cs="Times New Roman"/>
          <w:sz w:val="24"/>
          <w:szCs w:val="24"/>
          <w:vertAlign w:val="baseline"/>
        </w:rPr>
        <w:tab/>
      </w:r>
      <w:r>
        <w:rPr>
          <w:rFonts w:ascii="Times New Roman" w:hAnsi="Times New Roman" w:cs="Times New Roman"/>
          <w:sz w:val="24"/>
          <w:szCs w:val="24"/>
          <w:vertAlign w:val="baseline"/>
        </w:rPr>
        <w:tab/>
        <w:t>Papua New Guinea</w:t>
      </w:r>
    </w:p>
    <w:p w14:paraId="46606BE5" w14:textId="77777777" w:rsidR="00B92C8B" w:rsidRDefault="00B92C8B" w:rsidP="00B92C8B">
      <w:pPr>
        <w:spacing w:line="480" w:lineRule="auto"/>
        <w:rPr>
          <w:rFonts w:ascii="Times New Roman" w:hAnsi="Times New Roman" w:cs="Times New Roman"/>
          <w:sz w:val="24"/>
          <w:szCs w:val="24"/>
          <w:vertAlign w:val="baseline"/>
        </w:rPr>
      </w:pPr>
      <w:r>
        <w:rPr>
          <w:rFonts w:ascii="Times New Roman" w:hAnsi="Times New Roman" w:cs="Times New Roman"/>
          <w:sz w:val="24"/>
          <w:szCs w:val="24"/>
          <w:vertAlign w:val="baseline"/>
        </w:rPr>
        <w:t>PPR Nepal</w:t>
      </w:r>
      <w:r>
        <w:rPr>
          <w:rFonts w:ascii="Times New Roman" w:hAnsi="Times New Roman" w:cs="Times New Roman"/>
          <w:sz w:val="24"/>
          <w:szCs w:val="24"/>
          <w:vertAlign w:val="baseline"/>
        </w:rPr>
        <w:tab/>
        <w:t>Forum for the Protection of People’s Rights, Nepal</w:t>
      </w:r>
    </w:p>
    <w:p w14:paraId="7C17F87E" w14:textId="77777777" w:rsidR="00B92C8B" w:rsidRDefault="00B92C8B" w:rsidP="00B92C8B">
      <w:pPr>
        <w:spacing w:line="480" w:lineRule="auto"/>
        <w:rPr>
          <w:rFonts w:ascii="Times New Roman" w:hAnsi="Times New Roman" w:cs="Times New Roman"/>
          <w:sz w:val="24"/>
          <w:szCs w:val="24"/>
          <w:vertAlign w:val="baseline"/>
        </w:rPr>
      </w:pPr>
      <w:r>
        <w:rPr>
          <w:rFonts w:ascii="Times New Roman" w:hAnsi="Times New Roman" w:cs="Times New Roman"/>
          <w:sz w:val="24"/>
          <w:szCs w:val="24"/>
          <w:vertAlign w:val="baseline"/>
        </w:rPr>
        <w:t>SR</w:t>
      </w:r>
      <w:r>
        <w:rPr>
          <w:rFonts w:ascii="Times New Roman" w:hAnsi="Times New Roman" w:cs="Times New Roman"/>
          <w:sz w:val="24"/>
          <w:szCs w:val="24"/>
          <w:vertAlign w:val="baseline"/>
        </w:rPr>
        <w:tab/>
      </w:r>
      <w:r>
        <w:rPr>
          <w:rFonts w:ascii="Times New Roman" w:hAnsi="Times New Roman" w:cs="Times New Roman"/>
          <w:sz w:val="24"/>
          <w:szCs w:val="24"/>
          <w:vertAlign w:val="baseline"/>
        </w:rPr>
        <w:tab/>
        <w:t>Special Rapporteur</w:t>
      </w:r>
    </w:p>
    <w:p w14:paraId="3EA504D7" w14:textId="77777777" w:rsidR="00B92C8B" w:rsidRDefault="00B92C8B" w:rsidP="00B92C8B">
      <w:pPr>
        <w:spacing w:line="480" w:lineRule="auto"/>
        <w:rPr>
          <w:rFonts w:ascii="Times New Roman" w:hAnsi="Times New Roman" w:cs="Times New Roman"/>
          <w:sz w:val="24"/>
          <w:szCs w:val="24"/>
          <w:vertAlign w:val="baseline"/>
        </w:rPr>
      </w:pPr>
      <w:r>
        <w:rPr>
          <w:rFonts w:ascii="Times New Roman" w:hAnsi="Times New Roman" w:cs="Times New Roman"/>
          <w:sz w:val="24"/>
          <w:szCs w:val="24"/>
          <w:vertAlign w:val="baseline"/>
        </w:rPr>
        <w:t>UDHR</w:t>
      </w:r>
      <w:r>
        <w:rPr>
          <w:rFonts w:ascii="Times New Roman" w:hAnsi="Times New Roman" w:cs="Times New Roman"/>
          <w:sz w:val="24"/>
          <w:szCs w:val="24"/>
          <w:vertAlign w:val="baseline"/>
        </w:rPr>
        <w:tab/>
      </w:r>
      <w:r>
        <w:rPr>
          <w:rFonts w:ascii="Times New Roman" w:hAnsi="Times New Roman" w:cs="Times New Roman"/>
          <w:sz w:val="24"/>
          <w:szCs w:val="24"/>
          <w:vertAlign w:val="baseline"/>
        </w:rPr>
        <w:tab/>
        <w:t>Universal Declaration of Human Rights</w:t>
      </w:r>
    </w:p>
    <w:p w14:paraId="5BB78ABD" w14:textId="77777777" w:rsidR="00B92C8B" w:rsidRDefault="00B92C8B" w:rsidP="00B92C8B">
      <w:pPr>
        <w:spacing w:line="480" w:lineRule="auto"/>
        <w:rPr>
          <w:rFonts w:ascii="Times New Roman" w:hAnsi="Times New Roman" w:cs="Times New Roman"/>
          <w:sz w:val="24"/>
          <w:szCs w:val="24"/>
          <w:vertAlign w:val="baseline"/>
        </w:rPr>
      </w:pPr>
      <w:r>
        <w:rPr>
          <w:rFonts w:ascii="Times New Roman" w:hAnsi="Times New Roman" w:cs="Times New Roman"/>
          <w:sz w:val="24"/>
          <w:szCs w:val="24"/>
          <w:vertAlign w:val="baseline"/>
        </w:rPr>
        <w:t>UN</w:t>
      </w:r>
      <w:r>
        <w:rPr>
          <w:rFonts w:ascii="Times New Roman" w:hAnsi="Times New Roman" w:cs="Times New Roman"/>
          <w:sz w:val="24"/>
          <w:szCs w:val="24"/>
          <w:vertAlign w:val="baseline"/>
        </w:rPr>
        <w:tab/>
      </w:r>
      <w:r>
        <w:rPr>
          <w:rFonts w:ascii="Times New Roman" w:hAnsi="Times New Roman" w:cs="Times New Roman"/>
          <w:sz w:val="24"/>
          <w:szCs w:val="24"/>
          <w:vertAlign w:val="baseline"/>
        </w:rPr>
        <w:tab/>
        <w:t>United Nations</w:t>
      </w:r>
    </w:p>
    <w:p w14:paraId="2B525E50" w14:textId="77777777" w:rsidR="00B92C8B" w:rsidRDefault="00B92C8B" w:rsidP="00B92C8B">
      <w:pPr>
        <w:spacing w:line="480" w:lineRule="auto"/>
        <w:rPr>
          <w:rFonts w:ascii="Times New Roman" w:hAnsi="Times New Roman" w:cs="Times New Roman"/>
          <w:sz w:val="24"/>
          <w:szCs w:val="24"/>
          <w:vertAlign w:val="baseline"/>
        </w:rPr>
      </w:pPr>
      <w:r>
        <w:rPr>
          <w:rFonts w:ascii="Times New Roman" w:hAnsi="Times New Roman" w:cs="Times New Roman"/>
          <w:sz w:val="24"/>
          <w:szCs w:val="24"/>
          <w:vertAlign w:val="baseline"/>
        </w:rPr>
        <w:t>UNAIDS</w:t>
      </w:r>
      <w:r>
        <w:rPr>
          <w:rFonts w:ascii="Times New Roman" w:hAnsi="Times New Roman" w:cs="Times New Roman"/>
          <w:sz w:val="24"/>
          <w:szCs w:val="24"/>
          <w:vertAlign w:val="baseline"/>
        </w:rPr>
        <w:tab/>
        <w:t>Joint United Nations Programme on HIV/AIDS</w:t>
      </w:r>
    </w:p>
    <w:p w14:paraId="11F8DAE3" w14:textId="77777777" w:rsidR="00B92C8B" w:rsidRDefault="00B92C8B" w:rsidP="00B92C8B">
      <w:pPr>
        <w:spacing w:line="480" w:lineRule="auto"/>
        <w:rPr>
          <w:rFonts w:ascii="Times New Roman" w:hAnsi="Times New Roman" w:cs="Times New Roman"/>
          <w:sz w:val="24"/>
          <w:szCs w:val="24"/>
          <w:vertAlign w:val="baseline"/>
        </w:rPr>
      </w:pPr>
      <w:r>
        <w:rPr>
          <w:rFonts w:ascii="Times New Roman" w:hAnsi="Times New Roman" w:cs="Times New Roman"/>
          <w:sz w:val="24"/>
          <w:szCs w:val="24"/>
          <w:vertAlign w:val="baseline"/>
        </w:rPr>
        <w:t>UNDP</w:t>
      </w:r>
      <w:r>
        <w:rPr>
          <w:rFonts w:ascii="Times New Roman" w:hAnsi="Times New Roman" w:cs="Times New Roman"/>
          <w:sz w:val="24"/>
          <w:szCs w:val="24"/>
          <w:vertAlign w:val="baseline"/>
        </w:rPr>
        <w:tab/>
      </w:r>
      <w:r>
        <w:rPr>
          <w:rFonts w:ascii="Times New Roman" w:hAnsi="Times New Roman" w:cs="Times New Roman"/>
          <w:sz w:val="24"/>
          <w:szCs w:val="24"/>
          <w:vertAlign w:val="baseline"/>
        </w:rPr>
        <w:tab/>
        <w:t>United Nations Development Programme</w:t>
      </w:r>
    </w:p>
    <w:p w14:paraId="12F1F64F" w14:textId="77777777" w:rsidR="00B92C8B" w:rsidRDefault="00B92C8B" w:rsidP="00B92C8B">
      <w:pPr>
        <w:spacing w:line="480" w:lineRule="auto"/>
        <w:rPr>
          <w:rFonts w:ascii="Times New Roman" w:hAnsi="Times New Roman" w:cs="Times New Roman"/>
          <w:sz w:val="24"/>
          <w:szCs w:val="24"/>
          <w:vertAlign w:val="baseline"/>
        </w:rPr>
      </w:pPr>
      <w:r>
        <w:rPr>
          <w:rFonts w:ascii="Times New Roman" w:hAnsi="Times New Roman" w:cs="Times New Roman"/>
          <w:sz w:val="24"/>
          <w:szCs w:val="24"/>
          <w:vertAlign w:val="baseline"/>
        </w:rPr>
        <w:t>UNICEF</w:t>
      </w:r>
      <w:r>
        <w:rPr>
          <w:rFonts w:ascii="Times New Roman" w:hAnsi="Times New Roman" w:cs="Times New Roman"/>
          <w:sz w:val="24"/>
          <w:szCs w:val="24"/>
          <w:vertAlign w:val="baseline"/>
        </w:rPr>
        <w:tab/>
        <w:t>United Nations International Children’s Emergency Fund</w:t>
      </w:r>
    </w:p>
    <w:p w14:paraId="6782DEE2" w14:textId="77777777" w:rsidR="00B92C8B" w:rsidRDefault="00B92C8B" w:rsidP="00655C14">
      <w:pPr>
        <w:ind w:left="1440" w:hanging="1440"/>
        <w:rPr>
          <w:rFonts w:ascii="Times New Roman" w:hAnsi="Times New Roman" w:cs="Times New Roman"/>
          <w:sz w:val="24"/>
          <w:szCs w:val="24"/>
          <w:vertAlign w:val="baseline"/>
        </w:rPr>
      </w:pPr>
      <w:r>
        <w:rPr>
          <w:rFonts w:ascii="Times New Roman" w:hAnsi="Times New Roman" w:cs="Times New Roman"/>
          <w:sz w:val="24"/>
          <w:szCs w:val="24"/>
          <w:vertAlign w:val="baseline"/>
        </w:rPr>
        <w:t>UN Women</w:t>
      </w:r>
      <w:r>
        <w:rPr>
          <w:rFonts w:ascii="Times New Roman" w:hAnsi="Times New Roman" w:cs="Times New Roman"/>
          <w:sz w:val="24"/>
          <w:szCs w:val="24"/>
          <w:vertAlign w:val="baseline"/>
        </w:rPr>
        <w:tab/>
        <w:t>United Nations Entity for Gender Equality and the Empowerment of Women</w:t>
      </w:r>
    </w:p>
    <w:p w14:paraId="778392DC" w14:textId="77777777" w:rsidR="00655C14" w:rsidRDefault="00655C14" w:rsidP="00655C14">
      <w:pPr>
        <w:ind w:left="1440" w:hanging="1440"/>
        <w:rPr>
          <w:rFonts w:ascii="Times New Roman" w:hAnsi="Times New Roman" w:cs="Times New Roman"/>
          <w:sz w:val="24"/>
          <w:szCs w:val="24"/>
          <w:vertAlign w:val="baseline"/>
        </w:rPr>
      </w:pPr>
    </w:p>
    <w:p w14:paraId="22AD680F" w14:textId="77777777" w:rsidR="00B92C8B" w:rsidRDefault="00B92C8B" w:rsidP="00B92C8B">
      <w:pPr>
        <w:spacing w:line="480" w:lineRule="auto"/>
        <w:rPr>
          <w:rFonts w:ascii="Times New Roman" w:hAnsi="Times New Roman" w:cs="Times New Roman"/>
          <w:sz w:val="24"/>
          <w:szCs w:val="24"/>
          <w:vertAlign w:val="baseline"/>
        </w:rPr>
      </w:pPr>
      <w:r>
        <w:rPr>
          <w:rFonts w:ascii="Times New Roman" w:hAnsi="Times New Roman" w:cs="Times New Roman"/>
          <w:sz w:val="24"/>
          <w:szCs w:val="24"/>
          <w:vertAlign w:val="baseline"/>
        </w:rPr>
        <w:t>UPR</w:t>
      </w:r>
      <w:r>
        <w:rPr>
          <w:rFonts w:ascii="Times New Roman" w:hAnsi="Times New Roman" w:cs="Times New Roman"/>
          <w:sz w:val="24"/>
          <w:szCs w:val="24"/>
          <w:vertAlign w:val="baseline"/>
        </w:rPr>
        <w:tab/>
      </w:r>
      <w:r>
        <w:rPr>
          <w:rFonts w:ascii="Times New Roman" w:hAnsi="Times New Roman" w:cs="Times New Roman"/>
          <w:sz w:val="24"/>
          <w:szCs w:val="24"/>
          <w:vertAlign w:val="baseline"/>
        </w:rPr>
        <w:tab/>
        <w:t>Universal Periodic Review</w:t>
      </w:r>
    </w:p>
    <w:p w14:paraId="717DC6C3" w14:textId="77777777" w:rsidR="00B92C8B" w:rsidRDefault="00B92C8B" w:rsidP="00B92C8B">
      <w:pPr>
        <w:spacing w:line="480" w:lineRule="auto"/>
        <w:rPr>
          <w:rFonts w:ascii="Times New Roman" w:hAnsi="Times New Roman" w:cs="Times New Roman"/>
          <w:sz w:val="24"/>
          <w:szCs w:val="24"/>
          <w:vertAlign w:val="baseline"/>
        </w:rPr>
      </w:pPr>
      <w:r>
        <w:rPr>
          <w:rFonts w:ascii="Times New Roman" w:hAnsi="Times New Roman" w:cs="Times New Roman"/>
          <w:sz w:val="24"/>
          <w:szCs w:val="24"/>
          <w:vertAlign w:val="baseline"/>
        </w:rPr>
        <w:t>VAW</w:t>
      </w:r>
      <w:r>
        <w:rPr>
          <w:rFonts w:ascii="Times New Roman" w:hAnsi="Times New Roman" w:cs="Times New Roman"/>
          <w:sz w:val="24"/>
          <w:szCs w:val="24"/>
          <w:vertAlign w:val="baseline"/>
        </w:rPr>
        <w:tab/>
      </w:r>
      <w:r>
        <w:rPr>
          <w:rFonts w:ascii="Times New Roman" w:hAnsi="Times New Roman" w:cs="Times New Roman"/>
          <w:sz w:val="24"/>
          <w:szCs w:val="24"/>
          <w:vertAlign w:val="baseline"/>
        </w:rPr>
        <w:tab/>
        <w:t>Violence Against Women</w:t>
      </w:r>
    </w:p>
    <w:p w14:paraId="013F1357" w14:textId="77777777" w:rsidR="00B92C8B" w:rsidRDefault="00B92C8B" w:rsidP="00B92C8B">
      <w:pPr>
        <w:spacing w:line="480" w:lineRule="auto"/>
        <w:rPr>
          <w:rFonts w:ascii="Times New Roman" w:hAnsi="Times New Roman" w:cs="Times New Roman"/>
          <w:sz w:val="24"/>
          <w:szCs w:val="24"/>
          <w:vertAlign w:val="baseline"/>
        </w:rPr>
      </w:pPr>
      <w:r>
        <w:rPr>
          <w:rFonts w:ascii="Times New Roman" w:hAnsi="Times New Roman" w:cs="Times New Roman"/>
          <w:sz w:val="24"/>
          <w:szCs w:val="24"/>
          <w:vertAlign w:val="baseline"/>
        </w:rPr>
        <w:t>WAP</w:t>
      </w:r>
      <w:r>
        <w:rPr>
          <w:rFonts w:ascii="Times New Roman" w:hAnsi="Times New Roman" w:cs="Times New Roman"/>
          <w:sz w:val="24"/>
          <w:szCs w:val="24"/>
          <w:vertAlign w:val="baseline"/>
        </w:rPr>
        <w:tab/>
      </w:r>
      <w:r>
        <w:rPr>
          <w:rFonts w:ascii="Times New Roman" w:hAnsi="Times New Roman" w:cs="Times New Roman"/>
          <w:sz w:val="24"/>
          <w:szCs w:val="24"/>
          <w:vertAlign w:val="baseline"/>
        </w:rPr>
        <w:tab/>
        <w:t>Witchcraft Accusations and Persecution</w:t>
      </w:r>
    </w:p>
    <w:p w14:paraId="6BD5A4AE" w14:textId="77777777" w:rsidR="00B92C8B" w:rsidRPr="000B4BF0" w:rsidRDefault="00B92C8B" w:rsidP="00B92C8B">
      <w:pPr>
        <w:spacing w:line="480" w:lineRule="auto"/>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WHRIN</w:t>
      </w:r>
      <w:r>
        <w:rPr>
          <w:rFonts w:ascii="Times New Roman" w:hAnsi="Times New Roman" w:cs="Times New Roman"/>
          <w:sz w:val="24"/>
          <w:szCs w:val="24"/>
          <w:vertAlign w:val="baseline"/>
        </w:rPr>
        <w:tab/>
        <w:t>Witchcraft and Human Rights Information Network</w:t>
      </w:r>
    </w:p>
    <w:p w14:paraId="2B25046A" w14:textId="3840C8EF" w:rsidR="00B53404" w:rsidRDefault="00B53404">
      <w:pPr>
        <w:rPr>
          <w:rFonts w:ascii="Times New Roman" w:hAnsi="Times New Roman" w:cs="Times New Roman"/>
          <w:b/>
          <w:sz w:val="28"/>
          <w:szCs w:val="28"/>
          <w:vertAlign w:val="baseline"/>
        </w:rPr>
      </w:pPr>
      <w:r>
        <w:rPr>
          <w:rFonts w:ascii="Times New Roman" w:hAnsi="Times New Roman" w:cs="Times New Roman"/>
          <w:b/>
          <w:sz w:val="28"/>
          <w:szCs w:val="28"/>
          <w:vertAlign w:val="baseline"/>
        </w:rPr>
        <w:br w:type="page"/>
      </w:r>
    </w:p>
    <w:p w14:paraId="28695823" w14:textId="77777777" w:rsidR="009C6997" w:rsidRPr="009C6997" w:rsidRDefault="009C6997" w:rsidP="00C25EF6">
      <w:pPr>
        <w:spacing w:line="480" w:lineRule="auto"/>
        <w:jc w:val="both"/>
        <w:rPr>
          <w:rFonts w:ascii="Times New Roman" w:hAnsi="Times New Roman" w:cs="Times New Roman"/>
          <w:b/>
          <w:sz w:val="28"/>
          <w:szCs w:val="28"/>
          <w:vertAlign w:val="baseline"/>
        </w:rPr>
        <w:sectPr w:rsidR="009C6997" w:rsidRPr="009C6997" w:rsidSect="00EA2769">
          <w:pgSz w:w="11900" w:h="16840"/>
          <w:pgMar w:top="1418" w:right="1418" w:bottom="1418" w:left="2155" w:header="708" w:footer="708" w:gutter="0"/>
          <w:cols w:space="708"/>
          <w:docGrid w:linePitch="360"/>
        </w:sectPr>
      </w:pPr>
    </w:p>
    <w:p w14:paraId="7E8D92B6" w14:textId="5DD62BA7" w:rsidR="00B53404" w:rsidRPr="00431B94" w:rsidRDefault="00B53404" w:rsidP="00B53404">
      <w:pPr>
        <w:jc w:val="center"/>
        <w:rPr>
          <w:rFonts w:ascii="Times New Roman" w:hAnsi="Times New Roman" w:cs="Times New Roman"/>
          <w:b/>
          <w:sz w:val="28"/>
          <w:szCs w:val="28"/>
          <w:u w:val="single"/>
          <w:vertAlign w:val="baseline"/>
        </w:rPr>
      </w:pPr>
      <w:r w:rsidRPr="00431B94">
        <w:rPr>
          <w:rFonts w:ascii="Times New Roman" w:hAnsi="Times New Roman" w:cs="Times New Roman"/>
          <w:b/>
          <w:sz w:val="28"/>
          <w:szCs w:val="28"/>
          <w:u w:val="single"/>
          <w:vertAlign w:val="baseline"/>
        </w:rPr>
        <w:t>Glossary of Terms</w:t>
      </w:r>
    </w:p>
    <w:p w14:paraId="1842551E" w14:textId="77777777" w:rsidR="00B53404" w:rsidRPr="00431B94" w:rsidRDefault="00B53404" w:rsidP="00B53404">
      <w:pPr>
        <w:jc w:val="center"/>
        <w:rPr>
          <w:rFonts w:ascii="Times New Roman" w:hAnsi="Times New Roman" w:cs="Times New Roman"/>
          <w:b/>
          <w:sz w:val="28"/>
          <w:szCs w:val="28"/>
          <w:u w:val="single"/>
          <w:vertAlign w:val="baseline"/>
        </w:rPr>
      </w:pPr>
    </w:p>
    <w:p w14:paraId="43C82342" w14:textId="77777777" w:rsidR="00B53404" w:rsidRDefault="00B53404" w:rsidP="00B53404">
      <w:pPr>
        <w:ind w:left="1440" w:hanging="1440"/>
        <w:jc w:val="both"/>
        <w:rPr>
          <w:rFonts w:ascii="Times New Roman" w:hAnsi="Times New Roman" w:cs="Times New Roman"/>
          <w:sz w:val="24"/>
          <w:szCs w:val="24"/>
          <w:vertAlign w:val="baseline"/>
        </w:rPr>
      </w:pPr>
      <w:r w:rsidRPr="00431B94">
        <w:rPr>
          <w:rFonts w:ascii="Times New Roman" w:hAnsi="Times New Roman" w:cs="Times New Roman"/>
          <w:b/>
          <w:sz w:val="24"/>
          <w:szCs w:val="24"/>
          <w:vertAlign w:val="baseline"/>
        </w:rPr>
        <w:t>Adivasi:</w:t>
      </w:r>
      <w:r w:rsidRPr="00431B94">
        <w:rPr>
          <w:rFonts w:ascii="Times New Roman" w:hAnsi="Times New Roman" w:cs="Times New Roman"/>
          <w:sz w:val="24"/>
          <w:szCs w:val="24"/>
          <w:vertAlign w:val="baseline"/>
        </w:rPr>
        <w:tab/>
      </w:r>
      <w:r w:rsidRPr="00431B94">
        <w:rPr>
          <w:rFonts w:ascii="Times New Roman" w:hAnsi="Times New Roman" w:cs="Times New Roman"/>
          <w:sz w:val="24"/>
          <w:szCs w:val="24"/>
          <w:vertAlign w:val="baseline"/>
        </w:rPr>
        <w:tab/>
        <w:t>Scheduled Tribes</w:t>
      </w:r>
    </w:p>
    <w:p w14:paraId="6FFD8021" w14:textId="77777777" w:rsidR="00B53404" w:rsidRPr="00431B94" w:rsidRDefault="00B53404" w:rsidP="00B53404">
      <w:pPr>
        <w:ind w:left="1440" w:hanging="1440"/>
        <w:jc w:val="both"/>
        <w:rPr>
          <w:rFonts w:ascii="Times New Roman" w:hAnsi="Times New Roman" w:cs="Times New Roman"/>
          <w:sz w:val="24"/>
          <w:szCs w:val="24"/>
          <w:vertAlign w:val="baseline"/>
        </w:rPr>
      </w:pPr>
    </w:p>
    <w:p w14:paraId="14D5409D" w14:textId="10E4ADFD" w:rsidR="007973EB" w:rsidRDefault="007973EB" w:rsidP="007973EB">
      <w:pPr>
        <w:ind w:left="2160" w:hanging="2160"/>
        <w:jc w:val="both"/>
        <w:rPr>
          <w:rFonts w:ascii="Times New Roman" w:hAnsi="Times New Roman" w:cs="Times New Roman"/>
          <w:b/>
          <w:sz w:val="24"/>
          <w:szCs w:val="24"/>
          <w:vertAlign w:val="baseline"/>
        </w:rPr>
      </w:pPr>
      <w:r w:rsidRPr="007973EB">
        <w:rPr>
          <w:rFonts w:ascii="Times New Roman" w:hAnsi="Times New Roman" w:cs="Times New Roman"/>
          <w:b/>
          <w:sz w:val="24"/>
          <w:szCs w:val="24"/>
          <w:vertAlign w:val="baseline"/>
        </w:rPr>
        <w:t>Aghori</w:t>
      </w:r>
      <w:r>
        <w:rPr>
          <w:rFonts w:ascii="Times New Roman" w:hAnsi="Times New Roman" w:cs="Times New Roman"/>
          <w:b/>
          <w:sz w:val="24"/>
          <w:szCs w:val="24"/>
          <w:vertAlign w:val="baseline"/>
        </w:rPr>
        <w:t>:</w:t>
      </w:r>
      <w:r>
        <w:rPr>
          <w:vertAlign w:val="baseline"/>
        </w:rPr>
        <w:tab/>
      </w:r>
      <w:r w:rsidR="00954485">
        <w:rPr>
          <w:rFonts w:ascii="Times New Roman" w:hAnsi="Times New Roman" w:cs="Times New Roman"/>
          <w:sz w:val="24"/>
          <w:szCs w:val="24"/>
          <w:vertAlign w:val="baseline"/>
        </w:rPr>
        <w:t>A</w:t>
      </w:r>
      <w:r w:rsidRPr="007973EB">
        <w:rPr>
          <w:rFonts w:ascii="Times New Roman" w:hAnsi="Times New Roman" w:cs="Times New Roman"/>
          <w:sz w:val="24"/>
          <w:szCs w:val="24"/>
          <w:vertAlign w:val="baseline"/>
          <w:lang w:val="en-US"/>
        </w:rPr>
        <w:t xml:space="preserve"> tribe of monks from Varanasi, India who engage in cannibalistic rituals and live near cremation/burial sites. They are believed to have the ability to predict the future and perform evil prophecies</w:t>
      </w:r>
    </w:p>
    <w:p w14:paraId="541C7C4F" w14:textId="77777777" w:rsidR="007973EB" w:rsidRDefault="007973EB" w:rsidP="00B53404">
      <w:pPr>
        <w:ind w:left="1440" w:hanging="1440"/>
        <w:jc w:val="both"/>
        <w:rPr>
          <w:rFonts w:ascii="Times New Roman" w:hAnsi="Times New Roman" w:cs="Times New Roman"/>
          <w:b/>
          <w:sz w:val="24"/>
          <w:szCs w:val="24"/>
          <w:vertAlign w:val="baseline"/>
        </w:rPr>
      </w:pPr>
    </w:p>
    <w:p w14:paraId="6B295411" w14:textId="77777777" w:rsidR="00B53404" w:rsidRDefault="00B53404" w:rsidP="00B53404">
      <w:pPr>
        <w:ind w:left="1440" w:hanging="1440"/>
        <w:jc w:val="both"/>
        <w:rPr>
          <w:rFonts w:ascii="Times New Roman" w:hAnsi="Times New Roman" w:cs="Times New Roman"/>
          <w:sz w:val="24"/>
          <w:szCs w:val="24"/>
          <w:vertAlign w:val="baseline"/>
        </w:rPr>
      </w:pPr>
      <w:r w:rsidRPr="00431B94">
        <w:rPr>
          <w:rFonts w:ascii="Times New Roman" w:hAnsi="Times New Roman" w:cs="Times New Roman"/>
          <w:b/>
          <w:sz w:val="24"/>
          <w:szCs w:val="24"/>
          <w:vertAlign w:val="baseline"/>
        </w:rPr>
        <w:t>Asuras:</w:t>
      </w:r>
      <w:r w:rsidRPr="00431B94">
        <w:rPr>
          <w:rFonts w:ascii="Times New Roman" w:hAnsi="Times New Roman" w:cs="Times New Roman"/>
          <w:sz w:val="24"/>
          <w:szCs w:val="24"/>
          <w:vertAlign w:val="baseline"/>
        </w:rPr>
        <w:tab/>
      </w:r>
      <w:r w:rsidRPr="00431B94">
        <w:rPr>
          <w:rFonts w:ascii="Times New Roman" w:hAnsi="Times New Roman" w:cs="Times New Roman"/>
          <w:sz w:val="24"/>
          <w:szCs w:val="24"/>
          <w:vertAlign w:val="baseline"/>
        </w:rPr>
        <w:tab/>
        <w:t>Powerful demons (Hinduism)</w:t>
      </w:r>
    </w:p>
    <w:p w14:paraId="2B8B078A" w14:textId="77777777" w:rsidR="00B53404" w:rsidRPr="00431B94" w:rsidRDefault="00B53404" w:rsidP="00B53404">
      <w:pPr>
        <w:ind w:left="1440" w:hanging="1440"/>
        <w:jc w:val="both"/>
        <w:rPr>
          <w:rFonts w:ascii="Times New Roman" w:hAnsi="Times New Roman" w:cs="Times New Roman"/>
          <w:sz w:val="24"/>
          <w:szCs w:val="24"/>
          <w:vertAlign w:val="baseline"/>
        </w:rPr>
      </w:pPr>
    </w:p>
    <w:p w14:paraId="0FACFA40" w14:textId="2FF3903D" w:rsidR="00B53404" w:rsidRDefault="00B53404" w:rsidP="00B53404">
      <w:pPr>
        <w:ind w:left="2160" w:hanging="2160"/>
        <w:jc w:val="both"/>
        <w:rPr>
          <w:rFonts w:ascii="Times New Roman" w:hAnsi="Times New Roman" w:cs="Times New Roman"/>
          <w:sz w:val="24"/>
          <w:szCs w:val="24"/>
          <w:vertAlign w:val="baseline"/>
        </w:rPr>
      </w:pPr>
      <w:r w:rsidRPr="00431B94">
        <w:rPr>
          <w:rFonts w:ascii="Times New Roman" w:hAnsi="Times New Roman" w:cs="Times New Roman"/>
          <w:b/>
          <w:sz w:val="24"/>
          <w:szCs w:val="24"/>
          <w:vertAlign w:val="baseline"/>
        </w:rPr>
        <w:t>Benge:</w:t>
      </w:r>
      <w:r w:rsidRPr="00431B94">
        <w:rPr>
          <w:rFonts w:ascii="Times New Roman" w:hAnsi="Times New Roman" w:cs="Times New Roman"/>
          <w:sz w:val="24"/>
          <w:szCs w:val="24"/>
          <w:vertAlign w:val="baseline"/>
        </w:rPr>
        <w:tab/>
        <w:t>Red powder contrived from a forest creeper mixed with w</w:t>
      </w:r>
      <w:r>
        <w:rPr>
          <w:rFonts w:ascii="Times New Roman" w:hAnsi="Times New Roman" w:cs="Times New Roman"/>
          <w:sz w:val="24"/>
          <w:szCs w:val="24"/>
          <w:vertAlign w:val="baseline"/>
        </w:rPr>
        <w:t>ater to form poisonous mixture, known as a p</w:t>
      </w:r>
      <w:r w:rsidRPr="00431B94">
        <w:rPr>
          <w:rFonts w:ascii="Times New Roman" w:hAnsi="Times New Roman" w:cs="Times New Roman"/>
          <w:sz w:val="24"/>
          <w:szCs w:val="24"/>
          <w:vertAlign w:val="baseline"/>
        </w:rPr>
        <w:t>oison oracle</w:t>
      </w:r>
    </w:p>
    <w:p w14:paraId="7A0916CE" w14:textId="77777777" w:rsidR="00B53404" w:rsidRDefault="00B53404" w:rsidP="00B53404">
      <w:pPr>
        <w:ind w:left="2160" w:hanging="2160"/>
        <w:jc w:val="both"/>
        <w:rPr>
          <w:rFonts w:ascii="Times New Roman" w:hAnsi="Times New Roman" w:cs="Times New Roman"/>
          <w:sz w:val="24"/>
          <w:szCs w:val="24"/>
          <w:vertAlign w:val="baseline"/>
        </w:rPr>
      </w:pPr>
    </w:p>
    <w:p w14:paraId="49BCC775" w14:textId="77777777" w:rsidR="00B53404" w:rsidRPr="00AC05C1" w:rsidRDefault="00B53404" w:rsidP="00B53404">
      <w:pPr>
        <w:ind w:left="2160" w:hanging="2160"/>
        <w:jc w:val="both"/>
        <w:rPr>
          <w:rFonts w:ascii="Times New Roman" w:hAnsi="Times New Roman" w:cs="Times New Roman"/>
          <w:sz w:val="24"/>
          <w:szCs w:val="24"/>
          <w:vertAlign w:val="baseline"/>
        </w:rPr>
      </w:pPr>
      <w:r>
        <w:rPr>
          <w:rFonts w:ascii="Times New Roman" w:hAnsi="Times New Roman" w:cs="Times New Roman"/>
          <w:b/>
          <w:sz w:val="24"/>
          <w:szCs w:val="24"/>
          <w:vertAlign w:val="baseline"/>
        </w:rPr>
        <w:t>Black magic:</w:t>
      </w:r>
      <w:r>
        <w:rPr>
          <w:rFonts w:ascii="Times New Roman" w:hAnsi="Times New Roman" w:cs="Times New Roman"/>
          <w:b/>
          <w:sz w:val="24"/>
          <w:szCs w:val="24"/>
          <w:vertAlign w:val="baseline"/>
        </w:rPr>
        <w:tab/>
      </w:r>
      <w:r>
        <w:rPr>
          <w:rFonts w:ascii="Times New Roman" w:hAnsi="Times New Roman" w:cs="Times New Roman"/>
          <w:sz w:val="24"/>
          <w:szCs w:val="24"/>
          <w:vertAlign w:val="baseline"/>
        </w:rPr>
        <w:t>Magic involving the summoning of evil spirits for evil purposes</w:t>
      </w:r>
    </w:p>
    <w:p w14:paraId="6A3CBFA0" w14:textId="77777777" w:rsidR="00B53404" w:rsidRDefault="00B53404" w:rsidP="00B53404">
      <w:pPr>
        <w:ind w:left="2160" w:hanging="2160"/>
        <w:jc w:val="both"/>
        <w:rPr>
          <w:rFonts w:ascii="Times New Roman" w:hAnsi="Times New Roman" w:cs="Times New Roman"/>
          <w:sz w:val="24"/>
          <w:szCs w:val="24"/>
          <w:vertAlign w:val="baseline"/>
        </w:rPr>
      </w:pPr>
    </w:p>
    <w:p w14:paraId="37903B16" w14:textId="77777777" w:rsidR="00B53404" w:rsidRDefault="00B53404" w:rsidP="00B53404">
      <w:pPr>
        <w:ind w:left="2160" w:hanging="2160"/>
        <w:jc w:val="both"/>
        <w:rPr>
          <w:rFonts w:ascii="Times New Roman" w:hAnsi="Times New Roman" w:cs="Times New Roman"/>
          <w:sz w:val="24"/>
          <w:szCs w:val="24"/>
          <w:vertAlign w:val="baseline"/>
        </w:rPr>
      </w:pPr>
      <w:r>
        <w:rPr>
          <w:rFonts w:ascii="Times New Roman" w:hAnsi="Times New Roman" w:cs="Times New Roman"/>
          <w:b/>
          <w:sz w:val="24"/>
          <w:szCs w:val="24"/>
          <w:vertAlign w:val="baseline"/>
        </w:rPr>
        <w:t>Caste system:</w:t>
      </w:r>
      <w:r>
        <w:rPr>
          <w:rFonts w:ascii="Times New Roman" w:hAnsi="Times New Roman" w:cs="Times New Roman"/>
          <w:b/>
          <w:sz w:val="24"/>
          <w:szCs w:val="24"/>
          <w:vertAlign w:val="baseline"/>
        </w:rPr>
        <w:tab/>
      </w:r>
      <w:r>
        <w:rPr>
          <w:rFonts w:ascii="Times New Roman" w:hAnsi="Times New Roman" w:cs="Times New Roman"/>
          <w:sz w:val="24"/>
          <w:szCs w:val="24"/>
          <w:vertAlign w:val="baseline"/>
        </w:rPr>
        <w:t>A hereditary class structure present within Hinduism</w:t>
      </w:r>
    </w:p>
    <w:p w14:paraId="33378C4A" w14:textId="77777777" w:rsidR="00B53404" w:rsidRPr="00741E1B" w:rsidRDefault="00B53404" w:rsidP="00B53404">
      <w:pPr>
        <w:ind w:left="2160" w:hanging="216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 </w:t>
      </w:r>
    </w:p>
    <w:p w14:paraId="0426C304" w14:textId="0EA3971C" w:rsidR="008F40F3" w:rsidRDefault="008F40F3" w:rsidP="00B53404">
      <w:pPr>
        <w:ind w:left="2160" w:hanging="2160"/>
        <w:jc w:val="both"/>
        <w:rPr>
          <w:rFonts w:ascii="Times New Roman" w:hAnsi="Times New Roman" w:cs="Times New Roman"/>
          <w:b/>
          <w:sz w:val="24"/>
          <w:szCs w:val="24"/>
          <w:vertAlign w:val="baseline"/>
        </w:rPr>
      </w:pPr>
      <w:r>
        <w:rPr>
          <w:rFonts w:ascii="Times New Roman" w:hAnsi="Times New Roman" w:cs="Times New Roman"/>
          <w:b/>
          <w:sz w:val="24"/>
          <w:szCs w:val="24"/>
          <w:vertAlign w:val="baseline"/>
        </w:rPr>
        <w:t>Cathars:</w:t>
      </w:r>
      <w:r>
        <w:rPr>
          <w:rFonts w:ascii="Times New Roman" w:hAnsi="Times New Roman" w:cs="Times New Roman"/>
          <w:b/>
          <w:sz w:val="24"/>
          <w:szCs w:val="24"/>
          <w:vertAlign w:val="baseline"/>
        </w:rPr>
        <w:tab/>
      </w:r>
      <w:r>
        <w:rPr>
          <w:rFonts w:ascii="Times New Roman" w:hAnsi="Times New Roman" w:cs="Times New Roman"/>
          <w:sz w:val="24"/>
          <w:szCs w:val="24"/>
          <w:vertAlign w:val="baseline"/>
        </w:rPr>
        <w:t>A</w:t>
      </w:r>
      <w:r w:rsidRPr="008F40F3">
        <w:rPr>
          <w:rFonts w:ascii="Times New Roman" w:hAnsi="Times New Roman" w:cs="Times New Roman"/>
          <w:sz w:val="24"/>
          <w:szCs w:val="24"/>
          <w:vertAlign w:val="baseline"/>
        </w:rPr>
        <w:t xml:space="preserve"> heretical medieval Christian sect which professed a form of Manichaean dualism, the battle between good and evil, and sought to achieve great spiritual purity</w:t>
      </w:r>
    </w:p>
    <w:p w14:paraId="5E142A72" w14:textId="77777777" w:rsidR="008F40F3" w:rsidRDefault="008F40F3" w:rsidP="00B53404">
      <w:pPr>
        <w:ind w:left="2160" w:hanging="2160"/>
        <w:jc w:val="both"/>
        <w:rPr>
          <w:rFonts w:ascii="Times New Roman" w:hAnsi="Times New Roman" w:cs="Times New Roman"/>
          <w:b/>
          <w:sz w:val="24"/>
          <w:szCs w:val="24"/>
          <w:vertAlign w:val="baseline"/>
        </w:rPr>
      </w:pPr>
    </w:p>
    <w:p w14:paraId="33692195" w14:textId="3DA91147" w:rsidR="00385CB2" w:rsidRDefault="00B53404" w:rsidP="00B53404">
      <w:pPr>
        <w:ind w:left="2160" w:hanging="2160"/>
        <w:jc w:val="both"/>
        <w:rPr>
          <w:rFonts w:ascii="Times New Roman" w:hAnsi="Times New Roman" w:cs="Times New Roman"/>
          <w:sz w:val="24"/>
          <w:szCs w:val="24"/>
          <w:vertAlign w:val="baseline"/>
        </w:rPr>
      </w:pPr>
      <w:r>
        <w:rPr>
          <w:rFonts w:ascii="Times New Roman" w:hAnsi="Times New Roman" w:cs="Times New Roman"/>
          <w:b/>
          <w:sz w:val="24"/>
          <w:szCs w:val="24"/>
          <w:vertAlign w:val="baseline"/>
        </w:rPr>
        <w:t>Chaupadi:</w:t>
      </w:r>
      <w:r>
        <w:rPr>
          <w:rFonts w:ascii="Times New Roman" w:hAnsi="Times New Roman" w:cs="Times New Roman"/>
          <w:b/>
          <w:sz w:val="24"/>
          <w:szCs w:val="24"/>
          <w:vertAlign w:val="baseline"/>
        </w:rPr>
        <w:tab/>
      </w:r>
      <w:r w:rsidR="00385CB2">
        <w:rPr>
          <w:rFonts w:ascii="Times New Roman" w:hAnsi="Times New Roman" w:cs="Times New Roman"/>
          <w:sz w:val="24"/>
          <w:szCs w:val="24"/>
          <w:vertAlign w:val="baseline"/>
        </w:rPr>
        <w:t xml:space="preserve">Social tradition in Nepal where women are </w:t>
      </w:r>
      <w:r w:rsidR="000F24F1">
        <w:rPr>
          <w:rFonts w:ascii="Times New Roman" w:hAnsi="Times New Roman" w:cs="Times New Roman"/>
          <w:sz w:val="24"/>
          <w:szCs w:val="24"/>
          <w:vertAlign w:val="baseline"/>
        </w:rPr>
        <w:t xml:space="preserve">sent to live in animal sheds and are </w:t>
      </w:r>
      <w:r w:rsidR="00385CB2">
        <w:rPr>
          <w:rFonts w:ascii="Times New Roman" w:hAnsi="Times New Roman" w:cs="Times New Roman"/>
          <w:sz w:val="24"/>
          <w:szCs w:val="24"/>
          <w:vertAlign w:val="baseline"/>
        </w:rPr>
        <w:t>deemed untouchable</w:t>
      </w:r>
      <w:r w:rsidR="000F24F1">
        <w:rPr>
          <w:rFonts w:ascii="Times New Roman" w:hAnsi="Times New Roman" w:cs="Times New Roman"/>
          <w:sz w:val="24"/>
          <w:szCs w:val="24"/>
          <w:vertAlign w:val="baseline"/>
        </w:rPr>
        <w:t xml:space="preserve"> when menstruating. They</w:t>
      </w:r>
      <w:r w:rsidR="00385CB2">
        <w:rPr>
          <w:rFonts w:ascii="Times New Roman" w:hAnsi="Times New Roman" w:cs="Times New Roman"/>
          <w:sz w:val="24"/>
          <w:szCs w:val="24"/>
          <w:vertAlign w:val="baseline"/>
        </w:rPr>
        <w:t xml:space="preserve"> are prevented from participating in family activities, entering the home or eating foods other than dry food, salt and rice during menstruation</w:t>
      </w:r>
    </w:p>
    <w:p w14:paraId="2DE98194" w14:textId="77777777" w:rsidR="00B53404" w:rsidRPr="00736466" w:rsidRDefault="00B53404" w:rsidP="00B53404">
      <w:pPr>
        <w:ind w:left="2160" w:hanging="2160"/>
        <w:jc w:val="both"/>
        <w:rPr>
          <w:rFonts w:ascii="Times New Roman" w:hAnsi="Times New Roman" w:cs="Times New Roman"/>
          <w:sz w:val="24"/>
          <w:szCs w:val="24"/>
          <w:vertAlign w:val="baseline"/>
        </w:rPr>
      </w:pPr>
    </w:p>
    <w:p w14:paraId="721CD4B8" w14:textId="77777777" w:rsidR="00B53404" w:rsidRDefault="00B53404" w:rsidP="00B53404">
      <w:pPr>
        <w:ind w:left="1440" w:hanging="1440"/>
        <w:jc w:val="both"/>
        <w:rPr>
          <w:rFonts w:ascii="Times New Roman" w:hAnsi="Times New Roman" w:cs="Times New Roman"/>
          <w:sz w:val="24"/>
          <w:szCs w:val="24"/>
          <w:vertAlign w:val="baseline"/>
        </w:rPr>
      </w:pPr>
      <w:r w:rsidRPr="00431B94">
        <w:rPr>
          <w:rFonts w:ascii="Times New Roman" w:hAnsi="Times New Roman" w:cs="Times New Roman"/>
          <w:b/>
          <w:sz w:val="24"/>
          <w:szCs w:val="24"/>
          <w:vertAlign w:val="baseline"/>
        </w:rPr>
        <w:t>Daayan:</w:t>
      </w:r>
      <w:r w:rsidRPr="00431B94">
        <w:rPr>
          <w:rFonts w:ascii="Times New Roman" w:hAnsi="Times New Roman" w:cs="Times New Roman"/>
          <w:sz w:val="24"/>
          <w:szCs w:val="24"/>
          <w:vertAlign w:val="baseline"/>
        </w:rPr>
        <w:tab/>
      </w:r>
      <w:r w:rsidRPr="00431B94">
        <w:rPr>
          <w:rFonts w:ascii="Times New Roman" w:hAnsi="Times New Roman" w:cs="Times New Roman"/>
          <w:sz w:val="24"/>
          <w:szCs w:val="24"/>
          <w:vertAlign w:val="baseline"/>
        </w:rPr>
        <w:tab/>
        <w:t>Witch (Hinduism)</w:t>
      </w:r>
    </w:p>
    <w:p w14:paraId="57197B65" w14:textId="77777777" w:rsidR="00B53404" w:rsidRPr="00431B94" w:rsidRDefault="00B53404" w:rsidP="00B53404">
      <w:pPr>
        <w:ind w:left="1440" w:hanging="1440"/>
        <w:jc w:val="both"/>
        <w:rPr>
          <w:rFonts w:ascii="Times New Roman" w:hAnsi="Times New Roman" w:cs="Times New Roman"/>
          <w:sz w:val="24"/>
          <w:szCs w:val="24"/>
          <w:vertAlign w:val="baseline"/>
        </w:rPr>
      </w:pPr>
    </w:p>
    <w:p w14:paraId="079FC8E8" w14:textId="77777777" w:rsidR="00B53404" w:rsidRDefault="00B53404" w:rsidP="00B53404">
      <w:pPr>
        <w:ind w:left="1440" w:hanging="1440"/>
        <w:jc w:val="both"/>
        <w:rPr>
          <w:rFonts w:ascii="Times New Roman" w:hAnsi="Times New Roman" w:cs="Times New Roman"/>
          <w:sz w:val="24"/>
          <w:szCs w:val="24"/>
          <w:vertAlign w:val="baseline"/>
        </w:rPr>
      </w:pPr>
      <w:r w:rsidRPr="00431B94">
        <w:rPr>
          <w:rFonts w:ascii="Times New Roman" w:hAnsi="Times New Roman" w:cs="Times New Roman"/>
          <w:b/>
          <w:sz w:val="24"/>
          <w:szCs w:val="24"/>
          <w:vertAlign w:val="baseline"/>
        </w:rPr>
        <w:t>Dakini:</w:t>
      </w:r>
      <w:r w:rsidRPr="00431B94">
        <w:rPr>
          <w:rFonts w:ascii="Times New Roman" w:hAnsi="Times New Roman" w:cs="Times New Roman"/>
          <w:sz w:val="24"/>
          <w:szCs w:val="24"/>
          <w:vertAlign w:val="baseline"/>
        </w:rPr>
        <w:tab/>
      </w:r>
      <w:r w:rsidRPr="00431B94">
        <w:rPr>
          <w:rFonts w:ascii="Times New Roman" w:hAnsi="Times New Roman" w:cs="Times New Roman"/>
          <w:sz w:val="24"/>
          <w:szCs w:val="24"/>
          <w:vertAlign w:val="baseline"/>
        </w:rPr>
        <w:tab/>
        <w:t>Female supernatural being (Sanskrit)</w:t>
      </w:r>
    </w:p>
    <w:p w14:paraId="17EB1F63" w14:textId="77777777" w:rsidR="00B53404" w:rsidRPr="00431B94" w:rsidRDefault="00B53404" w:rsidP="00B53404">
      <w:pPr>
        <w:ind w:left="1440" w:hanging="1440"/>
        <w:jc w:val="both"/>
        <w:rPr>
          <w:rFonts w:ascii="Times New Roman" w:hAnsi="Times New Roman" w:cs="Times New Roman"/>
          <w:sz w:val="24"/>
          <w:szCs w:val="24"/>
          <w:vertAlign w:val="baseline"/>
        </w:rPr>
      </w:pPr>
    </w:p>
    <w:p w14:paraId="321FC7CC" w14:textId="77777777" w:rsidR="00B53404" w:rsidRDefault="00B53404" w:rsidP="00B53404">
      <w:pPr>
        <w:ind w:left="2160" w:hanging="2160"/>
        <w:jc w:val="both"/>
        <w:rPr>
          <w:rFonts w:ascii="Times New Roman" w:hAnsi="Times New Roman" w:cs="Times New Roman"/>
          <w:sz w:val="24"/>
          <w:szCs w:val="24"/>
          <w:vertAlign w:val="baseline"/>
        </w:rPr>
      </w:pPr>
      <w:r w:rsidRPr="00431B94">
        <w:rPr>
          <w:rFonts w:ascii="Times New Roman" w:hAnsi="Times New Roman" w:cs="Times New Roman"/>
          <w:b/>
          <w:sz w:val="24"/>
          <w:szCs w:val="24"/>
          <w:vertAlign w:val="baseline"/>
        </w:rPr>
        <w:t>Dalit:</w:t>
      </w:r>
      <w:r w:rsidRPr="00431B94">
        <w:rPr>
          <w:rFonts w:ascii="Times New Roman" w:hAnsi="Times New Roman" w:cs="Times New Roman"/>
          <w:sz w:val="24"/>
          <w:szCs w:val="24"/>
          <w:vertAlign w:val="baseline"/>
        </w:rPr>
        <w:tab/>
        <w:t>Oppressed or Untouchable. Member of caste system located outside of the four main castes</w:t>
      </w:r>
    </w:p>
    <w:p w14:paraId="0840A4BF" w14:textId="77777777" w:rsidR="00B53404" w:rsidRPr="00431B94" w:rsidRDefault="00B53404" w:rsidP="00B53404">
      <w:pPr>
        <w:ind w:left="2160" w:hanging="2160"/>
        <w:jc w:val="both"/>
        <w:rPr>
          <w:rFonts w:ascii="Times New Roman" w:hAnsi="Times New Roman" w:cs="Times New Roman"/>
          <w:sz w:val="24"/>
          <w:szCs w:val="24"/>
          <w:vertAlign w:val="baseline"/>
        </w:rPr>
      </w:pPr>
    </w:p>
    <w:p w14:paraId="32FCD960" w14:textId="77777777" w:rsidR="00B53404" w:rsidRDefault="00B53404" w:rsidP="00B53404">
      <w:pPr>
        <w:ind w:left="1440" w:hanging="1440"/>
        <w:jc w:val="both"/>
        <w:rPr>
          <w:rFonts w:ascii="Times New Roman" w:hAnsi="Times New Roman" w:cs="Times New Roman"/>
          <w:sz w:val="24"/>
          <w:szCs w:val="24"/>
          <w:vertAlign w:val="baseline"/>
        </w:rPr>
      </w:pPr>
      <w:r w:rsidRPr="00431B94">
        <w:rPr>
          <w:rFonts w:ascii="Times New Roman" w:hAnsi="Times New Roman" w:cs="Times New Roman"/>
          <w:b/>
          <w:sz w:val="24"/>
          <w:szCs w:val="24"/>
          <w:vertAlign w:val="baseline"/>
        </w:rPr>
        <w:t>Deliverance:</w:t>
      </w:r>
      <w:r w:rsidRPr="00431B94">
        <w:rPr>
          <w:rFonts w:ascii="Times New Roman" w:hAnsi="Times New Roman" w:cs="Times New Roman"/>
          <w:sz w:val="24"/>
          <w:szCs w:val="24"/>
          <w:vertAlign w:val="baseline"/>
        </w:rPr>
        <w:tab/>
      </w:r>
      <w:r w:rsidRPr="00431B94">
        <w:rPr>
          <w:rFonts w:ascii="Times New Roman" w:hAnsi="Times New Roman" w:cs="Times New Roman"/>
          <w:sz w:val="24"/>
          <w:szCs w:val="24"/>
          <w:vertAlign w:val="baseline"/>
        </w:rPr>
        <w:tab/>
        <w:t>The act of being set free from demons or evil spirits</w:t>
      </w:r>
    </w:p>
    <w:p w14:paraId="292C153D" w14:textId="77777777" w:rsidR="00B53404" w:rsidRPr="00431B94" w:rsidRDefault="00B53404" w:rsidP="00B53404">
      <w:pPr>
        <w:ind w:left="1440" w:hanging="1440"/>
        <w:jc w:val="both"/>
        <w:rPr>
          <w:rFonts w:ascii="Times New Roman" w:hAnsi="Times New Roman" w:cs="Times New Roman"/>
          <w:sz w:val="24"/>
          <w:szCs w:val="24"/>
          <w:vertAlign w:val="baseline"/>
        </w:rPr>
      </w:pPr>
    </w:p>
    <w:p w14:paraId="1B378514" w14:textId="77777777" w:rsidR="00B53404" w:rsidRDefault="00B53404" w:rsidP="00B53404">
      <w:pPr>
        <w:ind w:left="1440" w:hanging="1440"/>
        <w:jc w:val="both"/>
        <w:rPr>
          <w:rFonts w:ascii="Times New Roman" w:hAnsi="Times New Roman" w:cs="Times New Roman"/>
          <w:sz w:val="24"/>
          <w:szCs w:val="24"/>
          <w:vertAlign w:val="baseline"/>
        </w:rPr>
      </w:pPr>
      <w:r w:rsidRPr="00431B94">
        <w:rPr>
          <w:rFonts w:ascii="Times New Roman" w:hAnsi="Times New Roman" w:cs="Times New Roman"/>
          <w:b/>
          <w:sz w:val="24"/>
          <w:szCs w:val="24"/>
          <w:vertAlign w:val="baseline"/>
        </w:rPr>
        <w:t>Defanging:</w:t>
      </w:r>
      <w:r w:rsidRPr="00431B94">
        <w:rPr>
          <w:rFonts w:ascii="Times New Roman" w:hAnsi="Times New Roman" w:cs="Times New Roman"/>
          <w:sz w:val="24"/>
          <w:szCs w:val="24"/>
          <w:vertAlign w:val="baseline"/>
        </w:rPr>
        <w:tab/>
      </w:r>
      <w:r w:rsidRPr="00431B94">
        <w:rPr>
          <w:rFonts w:ascii="Times New Roman" w:hAnsi="Times New Roman" w:cs="Times New Roman"/>
          <w:sz w:val="24"/>
          <w:szCs w:val="24"/>
          <w:vertAlign w:val="baseline"/>
        </w:rPr>
        <w:tab/>
        <w:t>Removal of teeth</w:t>
      </w:r>
    </w:p>
    <w:p w14:paraId="3BF9016B" w14:textId="77777777" w:rsidR="00B53404" w:rsidRDefault="00B53404" w:rsidP="00B53404">
      <w:pPr>
        <w:ind w:left="1440" w:hanging="1440"/>
        <w:jc w:val="both"/>
        <w:rPr>
          <w:rFonts w:ascii="Times New Roman" w:hAnsi="Times New Roman" w:cs="Times New Roman"/>
          <w:sz w:val="24"/>
          <w:szCs w:val="24"/>
          <w:vertAlign w:val="baseline"/>
        </w:rPr>
      </w:pPr>
    </w:p>
    <w:p w14:paraId="5AB845B4" w14:textId="77777777" w:rsidR="00B53404" w:rsidRDefault="00B53404" w:rsidP="00B53404">
      <w:pPr>
        <w:ind w:left="1440" w:hanging="1440"/>
        <w:jc w:val="both"/>
        <w:rPr>
          <w:rFonts w:ascii="Times New Roman" w:hAnsi="Times New Roman" w:cs="Times New Roman"/>
          <w:sz w:val="24"/>
          <w:szCs w:val="24"/>
          <w:vertAlign w:val="baseline"/>
        </w:rPr>
      </w:pPr>
      <w:r>
        <w:rPr>
          <w:rFonts w:ascii="Times New Roman" w:hAnsi="Times New Roman" w:cs="Times New Roman"/>
          <w:b/>
          <w:sz w:val="24"/>
          <w:szCs w:val="24"/>
          <w:vertAlign w:val="baseline"/>
        </w:rPr>
        <w:t>Demonology:</w:t>
      </w:r>
      <w:r>
        <w:rPr>
          <w:rFonts w:ascii="Times New Roman" w:hAnsi="Times New Roman" w:cs="Times New Roman"/>
          <w:b/>
          <w:sz w:val="24"/>
          <w:szCs w:val="24"/>
          <w:vertAlign w:val="baseline"/>
        </w:rPr>
        <w:tab/>
      </w:r>
      <w:r>
        <w:rPr>
          <w:rFonts w:ascii="Times New Roman" w:hAnsi="Times New Roman" w:cs="Times New Roman"/>
          <w:b/>
          <w:sz w:val="24"/>
          <w:szCs w:val="24"/>
          <w:vertAlign w:val="baseline"/>
        </w:rPr>
        <w:tab/>
      </w:r>
      <w:r>
        <w:rPr>
          <w:rFonts w:ascii="Times New Roman" w:hAnsi="Times New Roman" w:cs="Times New Roman"/>
          <w:sz w:val="24"/>
          <w:szCs w:val="24"/>
          <w:vertAlign w:val="baseline"/>
        </w:rPr>
        <w:t>The study of demons or demonic beliefs</w:t>
      </w:r>
    </w:p>
    <w:p w14:paraId="6A56F071" w14:textId="77777777" w:rsidR="00B53404" w:rsidRDefault="00B53404" w:rsidP="00B53404">
      <w:pPr>
        <w:ind w:left="1440" w:hanging="1440"/>
        <w:jc w:val="both"/>
        <w:rPr>
          <w:rFonts w:ascii="Times New Roman" w:hAnsi="Times New Roman" w:cs="Times New Roman"/>
          <w:sz w:val="24"/>
          <w:szCs w:val="24"/>
          <w:vertAlign w:val="baseline"/>
        </w:rPr>
      </w:pPr>
    </w:p>
    <w:p w14:paraId="24530807" w14:textId="77777777" w:rsidR="00B53404" w:rsidRDefault="00B53404" w:rsidP="00B53404">
      <w:pPr>
        <w:ind w:left="2160" w:hanging="2160"/>
        <w:jc w:val="both"/>
        <w:rPr>
          <w:rFonts w:ascii="Times New Roman" w:hAnsi="Times New Roman" w:cs="Times New Roman"/>
          <w:sz w:val="24"/>
          <w:szCs w:val="24"/>
          <w:vertAlign w:val="baseline"/>
        </w:rPr>
      </w:pPr>
      <w:r>
        <w:rPr>
          <w:rFonts w:ascii="Times New Roman" w:hAnsi="Times New Roman" w:cs="Times New Roman"/>
          <w:b/>
          <w:sz w:val="24"/>
          <w:szCs w:val="24"/>
          <w:vertAlign w:val="baseline"/>
        </w:rPr>
        <w:t>Deuki:</w:t>
      </w:r>
      <w:r>
        <w:rPr>
          <w:rFonts w:ascii="Times New Roman" w:hAnsi="Times New Roman" w:cs="Times New Roman"/>
          <w:b/>
          <w:sz w:val="24"/>
          <w:szCs w:val="24"/>
          <w:vertAlign w:val="baseline"/>
        </w:rPr>
        <w:tab/>
      </w:r>
      <w:r>
        <w:rPr>
          <w:rFonts w:ascii="Times New Roman" w:hAnsi="Times New Roman" w:cs="Times New Roman"/>
          <w:sz w:val="24"/>
          <w:szCs w:val="24"/>
          <w:vertAlign w:val="baseline"/>
        </w:rPr>
        <w:t xml:space="preserve">Ancient custom practiced in far western region of Nepal, where young girls are offered to the local Hindu temple to gain religious merit </w:t>
      </w:r>
    </w:p>
    <w:p w14:paraId="2067BA61" w14:textId="77777777" w:rsidR="00B53404" w:rsidRDefault="00B53404" w:rsidP="00B53404">
      <w:pPr>
        <w:ind w:left="2160" w:hanging="2160"/>
        <w:jc w:val="both"/>
        <w:rPr>
          <w:rFonts w:ascii="Times New Roman" w:hAnsi="Times New Roman" w:cs="Times New Roman"/>
          <w:sz w:val="24"/>
          <w:szCs w:val="24"/>
          <w:vertAlign w:val="baseline"/>
        </w:rPr>
      </w:pPr>
    </w:p>
    <w:p w14:paraId="4665D9CE" w14:textId="77777777" w:rsidR="00B53404" w:rsidRPr="00ED79F2" w:rsidRDefault="00B53404" w:rsidP="00B53404">
      <w:pPr>
        <w:ind w:left="2160" w:hanging="2160"/>
        <w:jc w:val="both"/>
        <w:rPr>
          <w:rFonts w:ascii="Times New Roman" w:hAnsi="Times New Roman" w:cs="Times New Roman"/>
          <w:b/>
          <w:sz w:val="24"/>
          <w:szCs w:val="24"/>
          <w:vertAlign w:val="baseline"/>
        </w:rPr>
      </w:pPr>
      <w:r>
        <w:rPr>
          <w:rFonts w:ascii="Times New Roman" w:hAnsi="Times New Roman" w:cs="Times New Roman"/>
          <w:b/>
          <w:sz w:val="24"/>
          <w:szCs w:val="24"/>
          <w:vertAlign w:val="baseline"/>
        </w:rPr>
        <w:t>Devadasi:</w:t>
      </w:r>
      <w:r>
        <w:rPr>
          <w:rFonts w:ascii="Times New Roman" w:hAnsi="Times New Roman" w:cs="Times New Roman"/>
          <w:b/>
          <w:sz w:val="24"/>
          <w:szCs w:val="24"/>
          <w:vertAlign w:val="baseline"/>
        </w:rPr>
        <w:tab/>
      </w:r>
      <w:r>
        <w:rPr>
          <w:rFonts w:ascii="Times New Roman" w:hAnsi="Times New Roman" w:cs="Times New Roman"/>
          <w:sz w:val="24"/>
          <w:szCs w:val="24"/>
          <w:vertAlign w:val="baseline"/>
        </w:rPr>
        <w:t>Ancient Indian custom where young girls are offered to the local Hindu temple to gain religious merit</w:t>
      </w:r>
    </w:p>
    <w:p w14:paraId="4C618103" w14:textId="77777777" w:rsidR="00B53404" w:rsidRDefault="00B53404" w:rsidP="00B53404">
      <w:pPr>
        <w:ind w:left="2160" w:hanging="2160"/>
        <w:jc w:val="both"/>
        <w:rPr>
          <w:rFonts w:ascii="Times New Roman" w:hAnsi="Times New Roman" w:cs="Times New Roman"/>
          <w:sz w:val="24"/>
          <w:szCs w:val="24"/>
          <w:vertAlign w:val="baseline"/>
        </w:rPr>
      </w:pPr>
    </w:p>
    <w:p w14:paraId="539F2D60" w14:textId="77777777" w:rsidR="00B53404" w:rsidRPr="00180D5E" w:rsidRDefault="00B53404" w:rsidP="00B53404">
      <w:pPr>
        <w:ind w:left="2160" w:hanging="2160"/>
        <w:jc w:val="both"/>
        <w:rPr>
          <w:rFonts w:ascii="Times New Roman" w:hAnsi="Times New Roman" w:cs="Times New Roman"/>
          <w:sz w:val="24"/>
          <w:szCs w:val="24"/>
          <w:vertAlign w:val="baseline"/>
        </w:rPr>
      </w:pPr>
      <w:r>
        <w:rPr>
          <w:rFonts w:ascii="Times New Roman" w:hAnsi="Times New Roman" w:cs="Times New Roman"/>
          <w:b/>
          <w:sz w:val="24"/>
          <w:szCs w:val="24"/>
          <w:vertAlign w:val="baseline"/>
        </w:rPr>
        <w:t>Dhan-Khaane:</w:t>
      </w:r>
      <w:r>
        <w:rPr>
          <w:rFonts w:ascii="Times New Roman" w:hAnsi="Times New Roman" w:cs="Times New Roman"/>
          <w:b/>
          <w:sz w:val="24"/>
          <w:szCs w:val="24"/>
          <w:vertAlign w:val="baseline"/>
        </w:rPr>
        <w:tab/>
      </w:r>
      <w:r>
        <w:rPr>
          <w:rFonts w:ascii="Times New Roman" w:hAnsi="Times New Roman" w:cs="Times New Roman"/>
          <w:sz w:val="24"/>
          <w:szCs w:val="24"/>
          <w:vertAlign w:val="baseline"/>
        </w:rPr>
        <w:t>Nepalese practice of taking money from the bride’s family</w:t>
      </w:r>
    </w:p>
    <w:p w14:paraId="1C9C9B30" w14:textId="77777777" w:rsidR="00B53404" w:rsidRPr="007A1865" w:rsidRDefault="00B53404" w:rsidP="00B53404">
      <w:pPr>
        <w:ind w:left="1440" w:hanging="1440"/>
        <w:jc w:val="both"/>
        <w:rPr>
          <w:rFonts w:ascii="Times New Roman" w:hAnsi="Times New Roman" w:cs="Times New Roman"/>
          <w:sz w:val="24"/>
          <w:szCs w:val="24"/>
          <w:vertAlign w:val="baseline"/>
        </w:rPr>
      </w:pPr>
    </w:p>
    <w:p w14:paraId="3EFA35B6" w14:textId="77777777" w:rsidR="00B53404" w:rsidRDefault="00B53404" w:rsidP="00B53404">
      <w:pPr>
        <w:ind w:left="2160" w:hanging="2160"/>
        <w:jc w:val="both"/>
        <w:rPr>
          <w:rFonts w:ascii="Times New Roman" w:hAnsi="Times New Roman" w:cs="Times New Roman"/>
          <w:sz w:val="24"/>
          <w:szCs w:val="24"/>
          <w:vertAlign w:val="baseline"/>
        </w:rPr>
      </w:pPr>
      <w:r w:rsidRPr="00431B94">
        <w:rPr>
          <w:rFonts w:ascii="Times New Roman" w:hAnsi="Times New Roman" w:cs="Times New Roman"/>
          <w:b/>
          <w:sz w:val="24"/>
          <w:szCs w:val="24"/>
          <w:vertAlign w:val="baseline"/>
        </w:rPr>
        <w:t>Divination:</w:t>
      </w:r>
      <w:r w:rsidRPr="00431B94">
        <w:rPr>
          <w:rFonts w:ascii="Times New Roman" w:hAnsi="Times New Roman" w:cs="Times New Roman"/>
          <w:sz w:val="24"/>
          <w:szCs w:val="24"/>
          <w:vertAlign w:val="baseline"/>
        </w:rPr>
        <w:t xml:space="preserve"> </w:t>
      </w:r>
      <w:r w:rsidRPr="00431B94">
        <w:rPr>
          <w:rFonts w:ascii="Times New Roman" w:hAnsi="Times New Roman" w:cs="Times New Roman"/>
          <w:sz w:val="24"/>
          <w:szCs w:val="24"/>
          <w:vertAlign w:val="baseline"/>
        </w:rPr>
        <w:tab/>
        <w:t>The art of obtaining information about the future via communication with the supernatural</w:t>
      </w:r>
    </w:p>
    <w:p w14:paraId="2DF13905" w14:textId="77777777" w:rsidR="00D90C6D" w:rsidRDefault="00D90C6D" w:rsidP="00B53404">
      <w:pPr>
        <w:ind w:left="2160" w:hanging="2160"/>
        <w:jc w:val="both"/>
        <w:rPr>
          <w:rFonts w:ascii="Times New Roman" w:hAnsi="Times New Roman" w:cs="Times New Roman"/>
          <w:sz w:val="24"/>
          <w:szCs w:val="24"/>
          <w:vertAlign w:val="baseline"/>
        </w:rPr>
      </w:pPr>
    </w:p>
    <w:p w14:paraId="1FEB6694" w14:textId="23DCF97D" w:rsidR="00B53404" w:rsidRPr="00672137" w:rsidRDefault="00B53404" w:rsidP="00B53404">
      <w:pPr>
        <w:ind w:left="2160" w:hanging="2160"/>
        <w:rPr>
          <w:rFonts w:ascii="Times New Roman" w:hAnsi="Times New Roman" w:cs="Times New Roman"/>
          <w:sz w:val="24"/>
          <w:szCs w:val="24"/>
          <w:vertAlign w:val="baseline"/>
        </w:rPr>
      </w:pPr>
      <w:r w:rsidRPr="0000100A">
        <w:rPr>
          <w:rFonts w:ascii="Times New Roman" w:hAnsi="Times New Roman" w:cs="Times New Roman"/>
          <w:b/>
          <w:sz w:val="24"/>
          <w:szCs w:val="24"/>
          <w:vertAlign w:val="baseline"/>
        </w:rPr>
        <w:t>Dualism</w:t>
      </w:r>
      <w:r>
        <w:rPr>
          <w:rFonts w:ascii="Times New Roman" w:hAnsi="Times New Roman" w:cs="Times New Roman"/>
          <w:b/>
          <w:sz w:val="24"/>
          <w:szCs w:val="24"/>
          <w:vertAlign w:val="baseline"/>
        </w:rPr>
        <w:t>:</w:t>
      </w:r>
      <w:r>
        <w:rPr>
          <w:rFonts w:ascii="Times New Roman" w:hAnsi="Times New Roman" w:cs="Times New Roman"/>
          <w:b/>
          <w:sz w:val="24"/>
          <w:szCs w:val="24"/>
          <w:vertAlign w:val="baseline"/>
        </w:rPr>
        <w:tab/>
      </w:r>
      <w:r>
        <w:rPr>
          <w:rFonts w:ascii="Times New Roman" w:hAnsi="Times New Roman" w:cs="Times New Roman"/>
          <w:sz w:val="24"/>
          <w:szCs w:val="24"/>
          <w:vertAlign w:val="baseline"/>
        </w:rPr>
        <w:t>T</w:t>
      </w:r>
      <w:r w:rsidRPr="00672137">
        <w:rPr>
          <w:rFonts w:ascii="Times New Roman" w:hAnsi="Times New Roman" w:cs="Times New Roman"/>
          <w:sz w:val="24"/>
          <w:szCs w:val="24"/>
          <w:vertAlign w:val="baseline"/>
        </w:rPr>
        <w:t>he belief that the universe comprises of two basic oppos</w:t>
      </w:r>
      <w:r w:rsidR="00D90C6D">
        <w:rPr>
          <w:rFonts w:ascii="Times New Roman" w:hAnsi="Times New Roman" w:cs="Times New Roman"/>
          <w:sz w:val="24"/>
          <w:szCs w:val="24"/>
          <w:vertAlign w:val="baseline"/>
        </w:rPr>
        <w:t>ing principles of good and evil</w:t>
      </w:r>
    </w:p>
    <w:p w14:paraId="24CAFEFA" w14:textId="77777777" w:rsidR="00B53404" w:rsidRPr="00431B94" w:rsidRDefault="00B53404" w:rsidP="00B53404">
      <w:pPr>
        <w:ind w:left="2160" w:hanging="2160"/>
        <w:jc w:val="both"/>
        <w:rPr>
          <w:rFonts w:ascii="Times New Roman" w:hAnsi="Times New Roman" w:cs="Times New Roman"/>
          <w:sz w:val="24"/>
          <w:szCs w:val="24"/>
          <w:vertAlign w:val="baseline"/>
        </w:rPr>
      </w:pPr>
    </w:p>
    <w:p w14:paraId="1AA4940A" w14:textId="77777777" w:rsidR="00B53404" w:rsidRDefault="00B53404" w:rsidP="00B53404">
      <w:pPr>
        <w:ind w:left="2160" w:hanging="2160"/>
        <w:jc w:val="both"/>
        <w:rPr>
          <w:rFonts w:ascii="Times New Roman" w:hAnsi="Times New Roman" w:cs="Times New Roman"/>
          <w:sz w:val="24"/>
          <w:szCs w:val="24"/>
          <w:vertAlign w:val="baseline"/>
        </w:rPr>
      </w:pPr>
      <w:r w:rsidRPr="00431B94">
        <w:rPr>
          <w:rFonts w:ascii="Times New Roman" w:hAnsi="Times New Roman" w:cs="Times New Roman"/>
          <w:b/>
          <w:sz w:val="24"/>
          <w:szCs w:val="24"/>
          <w:vertAlign w:val="baseline"/>
        </w:rPr>
        <w:t>Exorcism:</w:t>
      </w:r>
      <w:r w:rsidRPr="00431B94">
        <w:rPr>
          <w:rFonts w:ascii="Times New Roman" w:hAnsi="Times New Roman" w:cs="Times New Roman"/>
          <w:sz w:val="24"/>
          <w:szCs w:val="24"/>
          <w:vertAlign w:val="baseline"/>
        </w:rPr>
        <w:tab/>
        <w:t>Religious/Spiritual practice of removing demons and spiritual entities from people possessed by these</w:t>
      </w:r>
    </w:p>
    <w:p w14:paraId="36D00798" w14:textId="77777777" w:rsidR="00B53404" w:rsidRPr="00431B94" w:rsidRDefault="00B53404" w:rsidP="00B53404">
      <w:pPr>
        <w:ind w:left="2160" w:hanging="2160"/>
        <w:jc w:val="both"/>
        <w:rPr>
          <w:rFonts w:ascii="Times New Roman" w:hAnsi="Times New Roman" w:cs="Times New Roman"/>
          <w:sz w:val="24"/>
          <w:szCs w:val="24"/>
          <w:vertAlign w:val="baseline"/>
        </w:rPr>
      </w:pPr>
    </w:p>
    <w:p w14:paraId="65C02264" w14:textId="77777777" w:rsidR="00B53404" w:rsidRDefault="00B53404" w:rsidP="00B53404">
      <w:pPr>
        <w:ind w:left="1440" w:hanging="1440"/>
        <w:jc w:val="both"/>
        <w:rPr>
          <w:rFonts w:ascii="Times New Roman" w:hAnsi="Times New Roman" w:cs="Times New Roman"/>
          <w:sz w:val="24"/>
          <w:szCs w:val="24"/>
          <w:vertAlign w:val="baseline"/>
        </w:rPr>
      </w:pPr>
      <w:r w:rsidRPr="00431B94">
        <w:rPr>
          <w:rFonts w:ascii="Times New Roman" w:hAnsi="Times New Roman" w:cs="Times New Roman"/>
          <w:b/>
          <w:sz w:val="24"/>
          <w:szCs w:val="24"/>
          <w:vertAlign w:val="baseline"/>
        </w:rPr>
        <w:t>Evil:</w:t>
      </w:r>
      <w:r w:rsidRPr="00431B94">
        <w:rPr>
          <w:rFonts w:ascii="Times New Roman" w:hAnsi="Times New Roman" w:cs="Times New Roman"/>
          <w:sz w:val="24"/>
          <w:szCs w:val="24"/>
          <w:vertAlign w:val="baseline"/>
        </w:rPr>
        <w:t xml:space="preserve"> </w:t>
      </w:r>
      <w:r w:rsidRPr="00431B94">
        <w:rPr>
          <w:rFonts w:ascii="Times New Roman" w:hAnsi="Times New Roman" w:cs="Times New Roman"/>
          <w:sz w:val="24"/>
          <w:szCs w:val="24"/>
          <w:vertAlign w:val="baseline"/>
        </w:rPr>
        <w:tab/>
      </w:r>
      <w:r w:rsidRPr="00431B94">
        <w:rPr>
          <w:rFonts w:ascii="Times New Roman" w:hAnsi="Times New Roman" w:cs="Times New Roman"/>
          <w:sz w:val="24"/>
          <w:szCs w:val="24"/>
          <w:vertAlign w:val="baseline"/>
        </w:rPr>
        <w:tab/>
        <w:t>The antithesis of good in all its principal senses</w:t>
      </w:r>
    </w:p>
    <w:p w14:paraId="16F43DCF" w14:textId="77777777" w:rsidR="00B53404" w:rsidRPr="00431B94" w:rsidRDefault="00B53404" w:rsidP="00B53404">
      <w:pPr>
        <w:ind w:left="1440" w:hanging="1440"/>
        <w:jc w:val="both"/>
        <w:rPr>
          <w:rFonts w:ascii="Times New Roman" w:hAnsi="Times New Roman" w:cs="Times New Roman"/>
          <w:sz w:val="24"/>
          <w:szCs w:val="24"/>
          <w:vertAlign w:val="baseline"/>
        </w:rPr>
      </w:pPr>
    </w:p>
    <w:p w14:paraId="32F3DBC2" w14:textId="77777777" w:rsidR="00B53404" w:rsidRDefault="00B53404" w:rsidP="00B53404">
      <w:pPr>
        <w:ind w:left="2160" w:hanging="2160"/>
        <w:jc w:val="both"/>
        <w:rPr>
          <w:rFonts w:ascii="Times New Roman" w:hAnsi="Times New Roman" w:cs="Times New Roman"/>
          <w:sz w:val="24"/>
          <w:szCs w:val="24"/>
          <w:vertAlign w:val="baseline"/>
        </w:rPr>
      </w:pPr>
      <w:r w:rsidRPr="00431B94">
        <w:rPr>
          <w:rFonts w:ascii="Times New Roman" w:hAnsi="Times New Roman" w:cs="Times New Roman"/>
          <w:b/>
          <w:sz w:val="24"/>
          <w:szCs w:val="24"/>
          <w:vertAlign w:val="baseline"/>
        </w:rPr>
        <w:t>Evil Eye:</w:t>
      </w:r>
      <w:r w:rsidRPr="00431B94">
        <w:rPr>
          <w:rFonts w:ascii="Times New Roman" w:hAnsi="Times New Roman" w:cs="Times New Roman"/>
          <w:sz w:val="24"/>
          <w:szCs w:val="24"/>
          <w:vertAlign w:val="baseline"/>
        </w:rPr>
        <w:tab/>
        <w:t>Belief that someone can project harm by simply looking at another individual or their property</w:t>
      </w:r>
    </w:p>
    <w:p w14:paraId="504265BC" w14:textId="77777777" w:rsidR="00B53404" w:rsidRPr="00431B94" w:rsidRDefault="00B53404" w:rsidP="00B53404">
      <w:pPr>
        <w:ind w:left="2160" w:hanging="2160"/>
        <w:jc w:val="both"/>
        <w:rPr>
          <w:rFonts w:ascii="Times New Roman" w:hAnsi="Times New Roman" w:cs="Times New Roman"/>
          <w:sz w:val="24"/>
          <w:szCs w:val="24"/>
          <w:vertAlign w:val="baseline"/>
        </w:rPr>
      </w:pPr>
    </w:p>
    <w:p w14:paraId="1E45C959" w14:textId="38CB6D61" w:rsidR="00B53404" w:rsidRDefault="00B53404" w:rsidP="00B53404">
      <w:pPr>
        <w:ind w:left="2160" w:hanging="2160"/>
        <w:jc w:val="both"/>
        <w:rPr>
          <w:rFonts w:ascii="Times New Roman" w:eastAsia="Times New Roman" w:hAnsi="Times New Roman" w:cs="Times New Roman"/>
          <w:sz w:val="24"/>
          <w:szCs w:val="24"/>
          <w:vertAlign w:val="baseline"/>
        </w:rPr>
      </w:pPr>
      <w:r w:rsidRPr="00431B94">
        <w:rPr>
          <w:rFonts w:ascii="Times New Roman" w:hAnsi="Times New Roman" w:cs="Times New Roman"/>
          <w:b/>
          <w:sz w:val="24"/>
          <w:szCs w:val="24"/>
          <w:vertAlign w:val="baseline"/>
        </w:rPr>
        <w:t>Hausman:</w:t>
      </w:r>
      <w:r w:rsidRPr="00431B94">
        <w:rPr>
          <w:rFonts w:ascii="Times New Roman" w:hAnsi="Times New Roman" w:cs="Times New Roman"/>
          <w:sz w:val="24"/>
          <w:szCs w:val="24"/>
          <w:vertAlign w:val="baseline"/>
        </w:rPr>
        <w:tab/>
      </w:r>
      <w:r w:rsidRPr="00431B94">
        <w:rPr>
          <w:rFonts w:ascii="Times New Roman" w:eastAsia="Times New Roman" w:hAnsi="Times New Roman" w:cs="Times New Roman"/>
          <w:sz w:val="24"/>
          <w:szCs w:val="24"/>
          <w:vertAlign w:val="baseline"/>
        </w:rPr>
        <w:t xml:space="preserve">House specifically for males in the Highlands of Papua New Guinea. They are kept away from the female population found in the main village and are very significant to every village, clan and tribe, where elders </w:t>
      </w:r>
      <w:r w:rsidR="00D90C6D">
        <w:rPr>
          <w:rFonts w:ascii="Times New Roman" w:eastAsia="Times New Roman" w:hAnsi="Times New Roman" w:cs="Times New Roman"/>
          <w:sz w:val="24"/>
          <w:szCs w:val="24"/>
          <w:vertAlign w:val="baseline"/>
        </w:rPr>
        <w:t>teach cultural norms and values</w:t>
      </w:r>
    </w:p>
    <w:p w14:paraId="764A0BF5" w14:textId="77777777" w:rsidR="00B53404" w:rsidRPr="00431B94" w:rsidRDefault="00B53404" w:rsidP="00B53404">
      <w:pPr>
        <w:ind w:left="2160" w:hanging="2160"/>
        <w:jc w:val="both"/>
        <w:rPr>
          <w:rFonts w:ascii="Times New Roman" w:hAnsi="Times New Roman" w:cs="Times New Roman"/>
          <w:sz w:val="24"/>
          <w:szCs w:val="24"/>
          <w:vertAlign w:val="baseline"/>
        </w:rPr>
      </w:pPr>
    </w:p>
    <w:p w14:paraId="11B9B1CA" w14:textId="77777777" w:rsidR="00B53404" w:rsidRDefault="00B53404" w:rsidP="00B53404">
      <w:pPr>
        <w:ind w:left="1440" w:hanging="1440"/>
        <w:jc w:val="both"/>
        <w:rPr>
          <w:rFonts w:ascii="Times New Roman" w:hAnsi="Times New Roman" w:cs="Times New Roman"/>
          <w:sz w:val="24"/>
          <w:szCs w:val="24"/>
          <w:vertAlign w:val="baseline"/>
        </w:rPr>
      </w:pPr>
      <w:r w:rsidRPr="00431B94">
        <w:rPr>
          <w:rFonts w:ascii="Times New Roman" w:hAnsi="Times New Roman" w:cs="Times New Roman"/>
          <w:b/>
          <w:sz w:val="24"/>
          <w:szCs w:val="24"/>
          <w:vertAlign w:val="baseline"/>
        </w:rPr>
        <w:t>Iblis:</w:t>
      </w:r>
      <w:r w:rsidRPr="00431B94">
        <w:rPr>
          <w:rFonts w:ascii="Times New Roman" w:hAnsi="Times New Roman" w:cs="Times New Roman"/>
          <w:sz w:val="24"/>
          <w:szCs w:val="24"/>
          <w:vertAlign w:val="baseline"/>
        </w:rPr>
        <w:tab/>
      </w:r>
      <w:r w:rsidRPr="00431B94">
        <w:rPr>
          <w:rFonts w:ascii="Times New Roman" w:hAnsi="Times New Roman" w:cs="Times New Roman"/>
          <w:sz w:val="24"/>
          <w:szCs w:val="24"/>
          <w:vertAlign w:val="baseline"/>
        </w:rPr>
        <w:tab/>
        <w:t>Arabic word for Devil</w:t>
      </w:r>
    </w:p>
    <w:p w14:paraId="1BE6488F" w14:textId="77777777" w:rsidR="00B53404" w:rsidRDefault="00B53404" w:rsidP="00B53404">
      <w:pPr>
        <w:ind w:left="1440" w:hanging="1440"/>
        <w:jc w:val="both"/>
        <w:rPr>
          <w:rFonts w:ascii="Times New Roman" w:hAnsi="Times New Roman" w:cs="Times New Roman"/>
          <w:sz w:val="24"/>
          <w:szCs w:val="24"/>
          <w:vertAlign w:val="baseline"/>
        </w:rPr>
      </w:pPr>
    </w:p>
    <w:p w14:paraId="6C7A55F0" w14:textId="77777777" w:rsidR="00B53404" w:rsidRPr="00736466" w:rsidRDefault="00B53404" w:rsidP="00B53404">
      <w:pPr>
        <w:ind w:left="2160" w:hanging="2160"/>
        <w:jc w:val="both"/>
        <w:rPr>
          <w:rFonts w:ascii="Times New Roman" w:hAnsi="Times New Roman" w:cs="Times New Roman"/>
          <w:sz w:val="24"/>
          <w:szCs w:val="24"/>
          <w:vertAlign w:val="baseline"/>
        </w:rPr>
      </w:pPr>
      <w:r>
        <w:rPr>
          <w:rFonts w:ascii="Times New Roman" w:hAnsi="Times New Roman" w:cs="Times New Roman"/>
          <w:b/>
          <w:sz w:val="24"/>
          <w:szCs w:val="24"/>
          <w:vertAlign w:val="baseline"/>
        </w:rPr>
        <w:t>Jhuma:</w:t>
      </w:r>
      <w:r>
        <w:rPr>
          <w:rFonts w:ascii="Times New Roman" w:hAnsi="Times New Roman" w:cs="Times New Roman"/>
          <w:b/>
          <w:sz w:val="24"/>
          <w:szCs w:val="24"/>
          <w:vertAlign w:val="baseline"/>
        </w:rPr>
        <w:tab/>
      </w:r>
      <w:r>
        <w:rPr>
          <w:rFonts w:ascii="Times New Roman" w:hAnsi="Times New Roman" w:cs="Times New Roman"/>
          <w:sz w:val="24"/>
          <w:szCs w:val="24"/>
          <w:vertAlign w:val="baseline"/>
        </w:rPr>
        <w:t>The practice of separating a daughter from her family and placing her in the service of a Buddhist monastery</w:t>
      </w:r>
    </w:p>
    <w:p w14:paraId="2C3FB6AC" w14:textId="77777777" w:rsidR="00B53404" w:rsidRPr="00431B94" w:rsidRDefault="00B53404" w:rsidP="00B53404">
      <w:pPr>
        <w:ind w:left="1440" w:hanging="1440"/>
        <w:jc w:val="both"/>
        <w:rPr>
          <w:rFonts w:ascii="Times New Roman" w:hAnsi="Times New Roman" w:cs="Times New Roman"/>
          <w:sz w:val="24"/>
          <w:szCs w:val="24"/>
          <w:vertAlign w:val="baseline"/>
        </w:rPr>
      </w:pPr>
    </w:p>
    <w:p w14:paraId="234FC046" w14:textId="77777777" w:rsidR="00B53404" w:rsidRDefault="00B53404" w:rsidP="00B53404">
      <w:pPr>
        <w:ind w:left="1440" w:hanging="1440"/>
        <w:jc w:val="both"/>
        <w:rPr>
          <w:rFonts w:ascii="Times New Roman" w:hAnsi="Times New Roman" w:cs="Times New Roman"/>
          <w:sz w:val="24"/>
          <w:szCs w:val="24"/>
          <w:vertAlign w:val="baseline"/>
        </w:rPr>
      </w:pPr>
      <w:r w:rsidRPr="00431B94">
        <w:rPr>
          <w:rFonts w:ascii="Times New Roman" w:hAnsi="Times New Roman" w:cs="Times New Roman"/>
          <w:b/>
          <w:sz w:val="24"/>
          <w:szCs w:val="24"/>
          <w:vertAlign w:val="baseline"/>
        </w:rPr>
        <w:t>Jinn:</w:t>
      </w:r>
      <w:r w:rsidRPr="00431B94">
        <w:rPr>
          <w:rFonts w:ascii="Times New Roman" w:hAnsi="Times New Roman" w:cs="Times New Roman"/>
          <w:sz w:val="24"/>
          <w:szCs w:val="24"/>
          <w:vertAlign w:val="baseline"/>
        </w:rPr>
        <w:tab/>
      </w:r>
      <w:r w:rsidRPr="00431B94">
        <w:rPr>
          <w:rFonts w:ascii="Times New Roman" w:hAnsi="Times New Roman" w:cs="Times New Roman"/>
          <w:sz w:val="24"/>
          <w:szCs w:val="24"/>
          <w:vertAlign w:val="baseline"/>
        </w:rPr>
        <w:tab/>
        <w:t>Spirit (Islam)</w:t>
      </w:r>
    </w:p>
    <w:p w14:paraId="45900476" w14:textId="77777777" w:rsidR="00B53404" w:rsidRDefault="00B53404" w:rsidP="00B53404">
      <w:pPr>
        <w:jc w:val="both"/>
        <w:rPr>
          <w:rFonts w:ascii="Times New Roman" w:hAnsi="Times New Roman" w:cs="Times New Roman"/>
          <w:sz w:val="24"/>
          <w:szCs w:val="24"/>
          <w:vertAlign w:val="baseline"/>
        </w:rPr>
      </w:pPr>
    </w:p>
    <w:p w14:paraId="41080433" w14:textId="77777777" w:rsidR="00B53404" w:rsidRDefault="00B53404" w:rsidP="00B53404">
      <w:pPr>
        <w:ind w:left="2160" w:hanging="2160"/>
        <w:jc w:val="both"/>
        <w:rPr>
          <w:rFonts w:ascii="Times New Roman" w:hAnsi="Times New Roman" w:cs="Times New Roman"/>
          <w:sz w:val="24"/>
          <w:szCs w:val="24"/>
          <w:vertAlign w:val="baseline"/>
          <w:lang w:val="en-US"/>
        </w:rPr>
      </w:pPr>
      <w:r>
        <w:rPr>
          <w:rFonts w:ascii="Times New Roman" w:hAnsi="Times New Roman" w:cs="Times New Roman"/>
          <w:b/>
          <w:sz w:val="24"/>
          <w:szCs w:val="24"/>
          <w:vertAlign w:val="baseline"/>
        </w:rPr>
        <w:t>Jus cogens:</w:t>
      </w:r>
      <w:r>
        <w:rPr>
          <w:rFonts w:ascii="Times New Roman" w:hAnsi="Times New Roman" w:cs="Times New Roman"/>
          <w:b/>
          <w:sz w:val="24"/>
          <w:szCs w:val="24"/>
          <w:vertAlign w:val="baseline"/>
        </w:rPr>
        <w:tab/>
      </w:r>
      <w:r w:rsidRPr="00C25B44">
        <w:rPr>
          <w:rFonts w:ascii="Times New Roman" w:hAnsi="Times New Roman" w:cs="Times New Roman"/>
          <w:sz w:val="24"/>
          <w:szCs w:val="24"/>
          <w:vertAlign w:val="baseline"/>
          <w:lang w:val="en-US"/>
        </w:rPr>
        <w:t>Latin terminology meaning ‘compelling law’ describing a body of peremptory norms from which no derogation is permitted</w:t>
      </w:r>
    </w:p>
    <w:p w14:paraId="6B95F07E" w14:textId="77777777" w:rsidR="00B53404" w:rsidRPr="00C25B44" w:rsidRDefault="00B53404" w:rsidP="00B53404">
      <w:pPr>
        <w:ind w:left="2160" w:hanging="2160"/>
        <w:jc w:val="both"/>
        <w:rPr>
          <w:rFonts w:ascii="Times New Roman" w:hAnsi="Times New Roman" w:cs="Times New Roman"/>
          <w:b/>
          <w:sz w:val="24"/>
          <w:szCs w:val="24"/>
          <w:vertAlign w:val="baseline"/>
        </w:rPr>
      </w:pPr>
    </w:p>
    <w:p w14:paraId="7237F50D" w14:textId="77777777" w:rsidR="00B53404" w:rsidRDefault="00B53404" w:rsidP="00B53404">
      <w:pPr>
        <w:ind w:left="1440" w:hanging="1440"/>
        <w:jc w:val="both"/>
        <w:rPr>
          <w:rFonts w:ascii="Times New Roman" w:hAnsi="Times New Roman" w:cs="Times New Roman"/>
          <w:sz w:val="24"/>
          <w:szCs w:val="24"/>
          <w:vertAlign w:val="baseline"/>
        </w:rPr>
      </w:pPr>
      <w:r w:rsidRPr="00431B94">
        <w:rPr>
          <w:rFonts w:ascii="Times New Roman" w:hAnsi="Times New Roman" w:cs="Times New Roman"/>
          <w:b/>
          <w:sz w:val="24"/>
          <w:szCs w:val="24"/>
          <w:vertAlign w:val="baseline"/>
        </w:rPr>
        <w:t>Juju:</w:t>
      </w:r>
      <w:r w:rsidRPr="00431B94">
        <w:rPr>
          <w:rFonts w:ascii="Times New Roman" w:hAnsi="Times New Roman" w:cs="Times New Roman"/>
          <w:sz w:val="24"/>
          <w:szCs w:val="24"/>
          <w:vertAlign w:val="baseline"/>
        </w:rPr>
        <w:tab/>
      </w:r>
      <w:r w:rsidRPr="00431B94">
        <w:rPr>
          <w:rFonts w:ascii="Times New Roman" w:hAnsi="Times New Roman" w:cs="Times New Roman"/>
          <w:sz w:val="24"/>
          <w:szCs w:val="24"/>
          <w:vertAlign w:val="baseline"/>
        </w:rPr>
        <w:tab/>
        <w:t>Black Magic (West African)</w:t>
      </w:r>
    </w:p>
    <w:p w14:paraId="67C0E77C" w14:textId="77777777" w:rsidR="00B53404" w:rsidRDefault="00B53404" w:rsidP="00B53404">
      <w:pPr>
        <w:ind w:left="1440" w:hanging="1440"/>
        <w:jc w:val="both"/>
        <w:rPr>
          <w:rFonts w:ascii="Times New Roman" w:hAnsi="Times New Roman" w:cs="Times New Roman"/>
          <w:sz w:val="24"/>
          <w:szCs w:val="24"/>
          <w:vertAlign w:val="baseline"/>
        </w:rPr>
      </w:pPr>
    </w:p>
    <w:p w14:paraId="6E7D724F" w14:textId="77777777" w:rsidR="00B53404" w:rsidRDefault="00B53404" w:rsidP="00B53404">
      <w:pPr>
        <w:ind w:left="1440" w:hanging="1440"/>
        <w:jc w:val="both"/>
        <w:rPr>
          <w:rFonts w:ascii="Times New Roman" w:hAnsi="Times New Roman" w:cs="Times New Roman"/>
          <w:b/>
          <w:sz w:val="24"/>
          <w:szCs w:val="24"/>
          <w:vertAlign w:val="baseline"/>
        </w:rPr>
      </w:pPr>
      <w:r>
        <w:rPr>
          <w:rFonts w:ascii="Times New Roman" w:hAnsi="Times New Roman" w:cs="Times New Roman"/>
          <w:b/>
          <w:sz w:val="24"/>
          <w:szCs w:val="24"/>
          <w:vertAlign w:val="baseline"/>
        </w:rPr>
        <w:t>Local customary</w:t>
      </w:r>
    </w:p>
    <w:p w14:paraId="5D9740FA" w14:textId="77777777" w:rsidR="00B53404" w:rsidRPr="00B31CE5" w:rsidRDefault="00B53404" w:rsidP="00B53404">
      <w:pPr>
        <w:ind w:left="2160" w:hanging="2160"/>
        <w:jc w:val="both"/>
        <w:rPr>
          <w:rFonts w:ascii="Times New Roman" w:hAnsi="Times New Roman" w:cs="Times New Roman"/>
          <w:b/>
          <w:sz w:val="24"/>
          <w:szCs w:val="24"/>
          <w:vertAlign w:val="baseline"/>
        </w:rPr>
      </w:pPr>
      <w:r>
        <w:rPr>
          <w:rFonts w:ascii="Times New Roman" w:hAnsi="Times New Roman" w:cs="Times New Roman"/>
          <w:b/>
          <w:sz w:val="24"/>
          <w:szCs w:val="24"/>
          <w:vertAlign w:val="baseline"/>
        </w:rPr>
        <w:t>Laws:</w:t>
      </w:r>
      <w:r>
        <w:rPr>
          <w:rFonts w:ascii="Times New Roman" w:hAnsi="Times New Roman" w:cs="Times New Roman"/>
          <w:b/>
          <w:sz w:val="24"/>
          <w:szCs w:val="24"/>
          <w:vertAlign w:val="baseline"/>
        </w:rPr>
        <w:tab/>
      </w:r>
      <w:r>
        <w:rPr>
          <w:rFonts w:ascii="Times New Roman" w:hAnsi="Times New Roman" w:cs="Times New Roman"/>
          <w:sz w:val="24"/>
          <w:szCs w:val="24"/>
          <w:vertAlign w:val="baseline"/>
        </w:rPr>
        <w:t xml:space="preserve">Laws or standards </w:t>
      </w:r>
      <w:r w:rsidRPr="00B31CE5">
        <w:rPr>
          <w:rFonts w:ascii="Times New Roman" w:eastAsia="Times New Roman" w:hAnsi="Times New Roman" w:cs="Times New Roman"/>
          <w:color w:val="000000"/>
          <w:sz w:val="24"/>
          <w:szCs w:val="24"/>
          <w:shd w:val="clear" w:color="auto" w:fill="FFFFFF"/>
          <w:vertAlign w:val="baseline"/>
        </w:rPr>
        <w:t xml:space="preserve">based on traditional and religious </w:t>
      </w:r>
      <w:r>
        <w:rPr>
          <w:rFonts w:ascii="Times New Roman" w:eastAsia="Times New Roman" w:hAnsi="Times New Roman" w:cs="Times New Roman"/>
          <w:color w:val="000000"/>
          <w:sz w:val="24"/>
          <w:szCs w:val="24"/>
          <w:shd w:val="clear" w:color="auto" w:fill="FFFFFF"/>
          <w:vertAlign w:val="baseline"/>
        </w:rPr>
        <w:t xml:space="preserve">values that </w:t>
      </w:r>
      <w:r w:rsidRPr="00B31CE5">
        <w:rPr>
          <w:rFonts w:ascii="Times New Roman" w:eastAsia="Times New Roman" w:hAnsi="Times New Roman" w:cs="Times New Roman"/>
          <w:color w:val="000000"/>
          <w:sz w:val="24"/>
          <w:szCs w:val="24"/>
          <w:shd w:val="clear" w:color="auto" w:fill="FFFFFF"/>
          <w:vertAlign w:val="baseline"/>
        </w:rPr>
        <w:t>have become established within specific communities</w:t>
      </w:r>
    </w:p>
    <w:p w14:paraId="0EA48F77" w14:textId="77777777" w:rsidR="00B53404" w:rsidRPr="00431B94" w:rsidRDefault="00B53404" w:rsidP="00B53404">
      <w:pPr>
        <w:ind w:left="1440" w:hanging="1440"/>
        <w:jc w:val="both"/>
        <w:rPr>
          <w:rFonts w:ascii="Times New Roman" w:hAnsi="Times New Roman" w:cs="Times New Roman"/>
          <w:sz w:val="24"/>
          <w:szCs w:val="24"/>
          <w:vertAlign w:val="baseline"/>
        </w:rPr>
      </w:pPr>
    </w:p>
    <w:p w14:paraId="5A207722" w14:textId="77777777" w:rsidR="00B53404" w:rsidRDefault="00B53404" w:rsidP="00B53404">
      <w:pPr>
        <w:jc w:val="both"/>
        <w:rPr>
          <w:rFonts w:ascii="Times New Roman" w:hAnsi="Times New Roman" w:cs="Times New Roman"/>
          <w:i/>
          <w:sz w:val="24"/>
          <w:szCs w:val="24"/>
          <w:vertAlign w:val="baseline"/>
        </w:rPr>
      </w:pPr>
      <w:r w:rsidRPr="00431B94">
        <w:rPr>
          <w:rFonts w:ascii="Times New Roman" w:hAnsi="Times New Roman" w:cs="Times New Roman"/>
          <w:b/>
          <w:sz w:val="24"/>
          <w:szCs w:val="24"/>
          <w:vertAlign w:val="baseline"/>
        </w:rPr>
        <w:t>Malefica:</w:t>
      </w:r>
      <w:r w:rsidRPr="00431B94">
        <w:rPr>
          <w:rFonts w:ascii="Times New Roman" w:hAnsi="Times New Roman" w:cs="Times New Roman"/>
          <w:sz w:val="24"/>
          <w:szCs w:val="24"/>
          <w:vertAlign w:val="baseline"/>
        </w:rPr>
        <w:tab/>
      </w:r>
      <w:r w:rsidRPr="00431B94">
        <w:rPr>
          <w:rFonts w:ascii="Times New Roman" w:hAnsi="Times New Roman" w:cs="Times New Roman"/>
          <w:sz w:val="24"/>
          <w:szCs w:val="24"/>
          <w:vertAlign w:val="baseline"/>
        </w:rPr>
        <w:tab/>
        <w:t xml:space="preserve">Feminine form of </w:t>
      </w:r>
      <w:r w:rsidRPr="00431B94">
        <w:rPr>
          <w:rFonts w:ascii="Times New Roman" w:hAnsi="Times New Roman" w:cs="Times New Roman"/>
          <w:i/>
          <w:sz w:val="24"/>
          <w:szCs w:val="24"/>
          <w:vertAlign w:val="baseline"/>
        </w:rPr>
        <w:t>Maleficium</w:t>
      </w:r>
    </w:p>
    <w:p w14:paraId="2A874851" w14:textId="77777777" w:rsidR="00B53404" w:rsidRPr="00431B94" w:rsidRDefault="00B53404" w:rsidP="00B53404">
      <w:pPr>
        <w:jc w:val="both"/>
        <w:rPr>
          <w:rFonts w:ascii="Times New Roman" w:hAnsi="Times New Roman" w:cs="Times New Roman"/>
          <w:sz w:val="24"/>
          <w:szCs w:val="24"/>
          <w:vertAlign w:val="baseline"/>
        </w:rPr>
      </w:pPr>
    </w:p>
    <w:p w14:paraId="22EE13A9" w14:textId="77777777" w:rsidR="00B53404" w:rsidRDefault="00B53404" w:rsidP="00B53404">
      <w:pPr>
        <w:jc w:val="both"/>
        <w:rPr>
          <w:rFonts w:ascii="Times New Roman" w:hAnsi="Times New Roman" w:cs="Times New Roman"/>
          <w:sz w:val="24"/>
          <w:szCs w:val="24"/>
          <w:vertAlign w:val="baseline"/>
        </w:rPr>
      </w:pPr>
      <w:r w:rsidRPr="00431B94">
        <w:rPr>
          <w:rFonts w:ascii="Times New Roman" w:hAnsi="Times New Roman" w:cs="Times New Roman"/>
          <w:b/>
          <w:sz w:val="24"/>
          <w:szCs w:val="24"/>
          <w:vertAlign w:val="baseline"/>
        </w:rPr>
        <w:t>Maleficium:</w:t>
      </w:r>
      <w:r w:rsidRPr="00431B94">
        <w:rPr>
          <w:rFonts w:ascii="Times New Roman" w:hAnsi="Times New Roman" w:cs="Times New Roman"/>
          <w:b/>
          <w:sz w:val="24"/>
          <w:szCs w:val="24"/>
          <w:vertAlign w:val="baseline"/>
        </w:rPr>
        <w:tab/>
      </w:r>
      <w:r w:rsidRPr="00431B94">
        <w:rPr>
          <w:rFonts w:ascii="Times New Roman" w:hAnsi="Times New Roman" w:cs="Times New Roman"/>
          <w:sz w:val="24"/>
          <w:szCs w:val="24"/>
          <w:vertAlign w:val="baseline"/>
        </w:rPr>
        <w:tab/>
        <w:t>Malicious harm or witchcraft</w:t>
      </w:r>
    </w:p>
    <w:p w14:paraId="2274F1C5" w14:textId="77777777" w:rsidR="00B53404" w:rsidRPr="00431B94" w:rsidRDefault="00B53404" w:rsidP="00B53404">
      <w:pPr>
        <w:jc w:val="both"/>
        <w:rPr>
          <w:rFonts w:ascii="Times New Roman" w:hAnsi="Times New Roman" w:cs="Times New Roman"/>
          <w:sz w:val="24"/>
          <w:szCs w:val="24"/>
          <w:vertAlign w:val="baseline"/>
        </w:rPr>
      </w:pPr>
    </w:p>
    <w:p w14:paraId="7B6BCEF5" w14:textId="77777777" w:rsidR="00B53404" w:rsidRDefault="00B53404" w:rsidP="00B53404">
      <w:pPr>
        <w:ind w:left="1440" w:hanging="1440"/>
        <w:jc w:val="both"/>
        <w:rPr>
          <w:rFonts w:ascii="Times New Roman" w:hAnsi="Times New Roman" w:cs="Times New Roman"/>
          <w:i/>
          <w:sz w:val="24"/>
          <w:szCs w:val="24"/>
          <w:vertAlign w:val="baseline"/>
        </w:rPr>
      </w:pPr>
      <w:r w:rsidRPr="00431B94">
        <w:rPr>
          <w:rFonts w:ascii="Times New Roman" w:hAnsi="Times New Roman" w:cs="Times New Roman"/>
          <w:b/>
          <w:sz w:val="24"/>
          <w:szCs w:val="24"/>
          <w:vertAlign w:val="baseline"/>
        </w:rPr>
        <w:t>Maleficus:</w:t>
      </w:r>
      <w:r w:rsidRPr="00431B94">
        <w:rPr>
          <w:rFonts w:ascii="Times New Roman" w:hAnsi="Times New Roman" w:cs="Times New Roman"/>
          <w:b/>
          <w:sz w:val="24"/>
          <w:szCs w:val="24"/>
          <w:vertAlign w:val="baseline"/>
        </w:rPr>
        <w:tab/>
      </w:r>
      <w:r w:rsidRPr="00431B94">
        <w:rPr>
          <w:rFonts w:ascii="Times New Roman" w:hAnsi="Times New Roman" w:cs="Times New Roman"/>
          <w:sz w:val="24"/>
          <w:szCs w:val="24"/>
          <w:vertAlign w:val="baseline"/>
        </w:rPr>
        <w:tab/>
        <w:t xml:space="preserve">Masculine form of </w:t>
      </w:r>
      <w:r w:rsidRPr="00431B94">
        <w:rPr>
          <w:rFonts w:ascii="Times New Roman" w:hAnsi="Times New Roman" w:cs="Times New Roman"/>
          <w:i/>
          <w:sz w:val="24"/>
          <w:szCs w:val="24"/>
          <w:vertAlign w:val="baseline"/>
        </w:rPr>
        <w:t>Maleficium</w:t>
      </w:r>
    </w:p>
    <w:p w14:paraId="71EF7647" w14:textId="77777777" w:rsidR="00B53404" w:rsidRPr="00431B94" w:rsidRDefault="00B53404" w:rsidP="00B53404">
      <w:pPr>
        <w:ind w:left="1440" w:hanging="1440"/>
        <w:jc w:val="both"/>
        <w:rPr>
          <w:rFonts w:ascii="Times New Roman" w:hAnsi="Times New Roman" w:cs="Times New Roman"/>
          <w:sz w:val="24"/>
          <w:szCs w:val="24"/>
          <w:vertAlign w:val="baseline"/>
        </w:rPr>
      </w:pPr>
    </w:p>
    <w:p w14:paraId="398DD9E4" w14:textId="6F2FFD46" w:rsidR="00B53404" w:rsidRDefault="00B53404" w:rsidP="00163DA2">
      <w:pPr>
        <w:ind w:left="2160" w:hanging="2160"/>
        <w:jc w:val="both"/>
        <w:rPr>
          <w:rFonts w:ascii="Times New Roman" w:hAnsi="Times New Roman" w:cs="Times New Roman"/>
          <w:sz w:val="24"/>
          <w:szCs w:val="24"/>
          <w:vertAlign w:val="baseline"/>
        </w:rPr>
      </w:pPr>
      <w:r w:rsidRPr="00431B94">
        <w:rPr>
          <w:rFonts w:ascii="Times New Roman" w:hAnsi="Times New Roman" w:cs="Times New Roman"/>
          <w:b/>
          <w:sz w:val="24"/>
          <w:szCs w:val="24"/>
          <w:vertAlign w:val="baseline"/>
        </w:rPr>
        <w:t>Marginalisation:</w:t>
      </w:r>
      <w:r w:rsidRPr="00431B94">
        <w:rPr>
          <w:rFonts w:ascii="Times New Roman" w:hAnsi="Times New Roman" w:cs="Times New Roman"/>
          <w:sz w:val="24"/>
          <w:szCs w:val="24"/>
          <w:vertAlign w:val="baseline"/>
        </w:rPr>
        <w:t xml:space="preserve"> </w:t>
      </w:r>
      <w:r w:rsidRPr="00431B94">
        <w:rPr>
          <w:rFonts w:ascii="Times New Roman" w:hAnsi="Times New Roman" w:cs="Times New Roman"/>
          <w:sz w:val="24"/>
          <w:szCs w:val="24"/>
          <w:vertAlign w:val="baseline"/>
        </w:rPr>
        <w:tab/>
        <w:t>The</w:t>
      </w:r>
      <w:r>
        <w:rPr>
          <w:rFonts w:ascii="Times New Roman" w:hAnsi="Times New Roman" w:cs="Times New Roman"/>
          <w:sz w:val="24"/>
          <w:szCs w:val="24"/>
          <w:vertAlign w:val="baseline"/>
        </w:rPr>
        <w:t xml:space="preserve"> relegation of individuals or </w:t>
      </w:r>
      <w:r w:rsidRPr="00431B94">
        <w:rPr>
          <w:rFonts w:ascii="Times New Roman" w:hAnsi="Times New Roman" w:cs="Times New Roman"/>
          <w:sz w:val="24"/>
          <w:szCs w:val="24"/>
          <w:vertAlign w:val="baseline"/>
        </w:rPr>
        <w:t>groups of individua</w:t>
      </w:r>
      <w:r>
        <w:rPr>
          <w:rFonts w:ascii="Times New Roman" w:hAnsi="Times New Roman" w:cs="Times New Roman"/>
          <w:sz w:val="24"/>
          <w:szCs w:val="24"/>
          <w:vertAlign w:val="baseline"/>
        </w:rPr>
        <w:t>ls to the fringes of society with the intention of subordinating and isolating them from</w:t>
      </w:r>
      <w:r w:rsidRPr="00431B94">
        <w:rPr>
          <w:rFonts w:ascii="Times New Roman" w:hAnsi="Times New Roman" w:cs="Times New Roman"/>
          <w:sz w:val="24"/>
          <w:szCs w:val="24"/>
          <w:vertAlign w:val="baseline"/>
        </w:rPr>
        <w:t xml:space="preserve"> the rest of the group.</w:t>
      </w:r>
      <w:r>
        <w:rPr>
          <w:rFonts w:ascii="Times New Roman" w:hAnsi="Times New Roman" w:cs="Times New Roman"/>
          <w:sz w:val="24"/>
          <w:szCs w:val="24"/>
          <w:vertAlign w:val="baseline"/>
        </w:rPr>
        <w:t xml:space="preserve"> M</w:t>
      </w:r>
      <w:r w:rsidRPr="00431B94">
        <w:rPr>
          <w:rFonts w:ascii="Times New Roman" w:hAnsi="Times New Roman" w:cs="Times New Roman"/>
          <w:sz w:val="24"/>
          <w:szCs w:val="24"/>
          <w:vertAlign w:val="baseline"/>
        </w:rPr>
        <w:t>embers of the marginalised group are often denied access to rights, often connected to the characteristics shared within this group, for example, gender, social class, religious beliefs etc.; thus, the group is prevented from participating fully in all aspects of economic, political, social and cultural life</w:t>
      </w:r>
      <w:r w:rsidRPr="00431B94">
        <w:rPr>
          <w:rStyle w:val="FootnoteReference"/>
          <w:rFonts w:ascii="Times New Roman" w:hAnsi="Times New Roman" w:cs="Times New Roman"/>
          <w:sz w:val="24"/>
          <w:szCs w:val="24"/>
        </w:rPr>
        <w:footnoteReference w:id="1"/>
      </w:r>
      <w:r w:rsidRPr="00431B94">
        <w:rPr>
          <w:rFonts w:ascii="Times New Roman" w:hAnsi="Times New Roman" w:cs="Times New Roman"/>
          <w:sz w:val="24"/>
          <w:szCs w:val="24"/>
          <w:vertAlign w:val="baseline"/>
        </w:rPr>
        <w:t xml:space="preserve"> </w:t>
      </w:r>
    </w:p>
    <w:p w14:paraId="22451492" w14:textId="77777777" w:rsidR="00A354AC" w:rsidRPr="00431B94" w:rsidRDefault="00A354AC" w:rsidP="00163DA2">
      <w:pPr>
        <w:ind w:left="2160" w:hanging="2160"/>
        <w:jc w:val="both"/>
        <w:rPr>
          <w:rFonts w:ascii="Times New Roman" w:hAnsi="Times New Roman" w:cs="Times New Roman"/>
          <w:sz w:val="24"/>
          <w:szCs w:val="24"/>
          <w:vertAlign w:val="baseline"/>
        </w:rPr>
      </w:pPr>
    </w:p>
    <w:p w14:paraId="11ECD15A" w14:textId="6AEEDAFA" w:rsidR="00B53404" w:rsidRDefault="00B53404" w:rsidP="00B53404">
      <w:pPr>
        <w:rPr>
          <w:rFonts w:ascii="Times New Roman" w:hAnsi="Times New Roman" w:cs="Times New Roman"/>
          <w:sz w:val="24"/>
          <w:szCs w:val="24"/>
          <w:vertAlign w:val="baseline"/>
        </w:rPr>
      </w:pPr>
      <w:r w:rsidRPr="00DF6435">
        <w:rPr>
          <w:rFonts w:ascii="Times New Roman" w:hAnsi="Times New Roman" w:cs="Times New Roman"/>
          <w:b/>
          <w:sz w:val="24"/>
          <w:szCs w:val="24"/>
          <w:vertAlign w:val="baseline"/>
        </w:rPr>
        <w:t>Monotheism</w:t>
      </w:r>
      <w:r>
        <w:rPr>
          <w:rFonts w:ascii="Times New Roman" w:hAnsi="Times New Roman" w:cs="Times New Roman"/>
          <w:sz w:val="24"/>
          <w:szCs w:val="24"/>
          <w:vertAlign w:val="baseline"/>
        </w:rPr>
        <w:t>:</w:t>
      </w:r>
      <w:r>
        <w:rPr>
          <w:rFonts w:ascii="Times New Roman" w:hAnsi="Times New Roman" w:cs="Times New Roman"/>
          <w:sz w:val="24"/>
          <w:szCs w:val="24"/>
          <w:vertAlign w:val="baseline"/>
        </w:rPr>
        <w:tab/>
      </w:r>
      <w:r>
        <w:rPr>
          <w:rFonts w:ascii="Times New Roman" w:hAnsi="Times New Roman" w:cs="Times New Roman"/>
          <w:sz w:val="24"/>
          <w:szCs w:val="24"/>
          <w:vertAlign w:val="baseline"/>
        </w:rPr>
        <w:tab/>
        <w:t>T</w:t>
      </w:r>
      <w:r w:rsidR="00D90C6D">
        <w:rPr>
          <w:rFonts w:ascii="Times New Roman" w:hAnsi="Times New Roman" w:cs="Times New Roman"/>
          <w:sz w:val="24"/>
          <w:szCs w:val="24"/>
          <w:vertAlign w:val="baseline"/>
        </w:rPr>
        <w:t>he belief in one God</w:t>
      </w:r>
    </w:p>
    <w:p w14:paraId="45283526" w14:textId="77777777" w:rsidR="00B53404" w:rsidRPr="00431B94" w:rsidRDefault="00B53404" w:rsidP="00B53404">
      <w:pPr>
        <w:ind w:left="1440" w:hanging="1440"/>
        <w:jc w:val="both"/>
        <w:rPr>
          <w:rFonts w:ascii="Times New Roman" w:hAnsi="Times New Roman" w:cs="Times New Roman"/>
          <w:sz w:val="24"/>
          <w:szCs w:val="24"/>
          <w:vertAlign w:val="baseline"/>
        </w:rPr>
      </w:pPr>
    </w:p>
    <w:p w14:paraId="328BC946" w14:textId="77777777" w:rsidR="00B53404" w:rsidRDefault="00B53404" w:rsidP="00B53404">
      <w:pPr>
        <w:ind w:left="1440" w:hanging="1440"/>
        <w:jc w:val="both"/>
        <w:rPr>
          <w:rFonts w:ascii="Times New Roman" w:hAnsi="Times New Roman" w:cs="Times New Roman"/>
          <w:sz w:val="24"/>
          <w:szCs w:val="24"/>
          <w:vertAlign w:val="baseline"/>
        </w:rPr>
      </w:pPr>
      <w:r w:rsidRPr="00431B94">
        <w:rPr>
          <w:rFonts w:ascii="Times New Roman" w:hAnsi="Times New Roman" w:cs="Times New Roman"/>
          <w:b/>
          <w:sz w:val="24"/>
          <w:szCs w:val="24"/>
          <w:vertAlign w:val="baseline"/>
        </w:rPr>
        <w:t>Muti:</w:t>
      </w:r>
      <w:r w:rsidRPr="00431B94">
        <w:rPr>
          <w:rFonts w:ascii="Times New Roman" w:hAnsi="Times New Roman" w:cs="Times New Roman"/>
          <w:sz w:val="24"/>
          <w:szCs w:val="24"/>
          <w:vertAlign w:val="baseline"/>
        </w:rPr>
        <w:tab/>
      </w:r>
      <w:r w:rsidRPr="00431B94">
        <w:rPr>
          <w:rFonts w:ascii="Times New Roman" w:hAnsi="Times New Roman" w:cs="Times New Roman"/>
          <w:sz w:val="24"/>
          <w:szCs w:val="24"/>
          <w:vertAlign w:val="baseline"/>
        </w:rPr>
        <w:tab/>
        <w:t>Form of traditional magic medicine (South Africa)</w:t>
      </w:r>
    </w:p>
    <w:p w14:paraId="37B54D6F" w14:textId="77777777" w:rsidR="00B53404" w:rsidRPr="00431B94" w:rsidRDefault="00B53404" w:rsidP="00B53404">
      <w:pPr>
        <w:ind w:left="1440" w:hanging="1440"/>
        <w:jc w:val="both"/>
        <w:rPr>
          <w:rFonts w:ascii="Times New Roman" w:hAnsi="Times New Roman" w:cs="Times New Roman"/>
          <w:sz w:val="24"/>
          <w:szCs w:val="24"/>
          <w:vertAlign w:val="baseline"/>
        </w:rPr>
      </w:pPr>
    </w:p>
    <w:p w14:paraId="41686E58" w14:textId="77777777" w:rsidR="00B53404" w:rsidRDefault="00B53404" w:rsidP="00B53404">
      <w:pPr>
        <w:ind w:left="1440" w:hanging="1440"/>
        <w:jc w:val="both"/>
        <w:rPr>
          <w:rFonts w:ascii="Times New Roman" w:hAnsi="Times New Roman" w:cs="Times New Roman"/>
          <w:sz w:val="24"/>
          <w:szCs w:val="24"/>
          <w:vertAlign w:val="baseline"/>
        </w:rPr>
      </w:pPr>
      <w:r w:rsidRPr="00431B94">
        <w:rPr>
          <w:rFonts w:ascii="Times New Roman" w:hAnsi="Times New Roman" w:cs="Times New Roman"/>
          <w:b/>
          <w:sz w:val="24"/>
          <w:szCs w:val="24"/>
          <w:vertAlign w:val="baseline"/>
        </w:rPr>
        <w:t>Necklacing:</w:t>
      </w:r>
      <w:r w:rsidRPr="00431B94">
        <w:rPr>
          <w:rFonts w:ascii="Times New Roman" w:hAnsi="Times New Roman" w:cs="Times New Roman"/>
          <w:sz w:val="24"/>
          <w:szCs w:val="24"/>
          <w:vertAlign w:val="baseline"/>
        </w:rPr>
        <w:tab/>
      </w:r>
      <w:r w:rsidRPr="00431B94">
        <w:rPr>
          <w:rFonts w:ascii="Times New Roman" w:hAnsi="Times New Roman" w:cs="Times New Roman"/>
          <w:sz w:val="24"/>
          <w:szCs w:val="24"/>
          <w:vertAlign w:val="baseline"/>
        </w:rPr>
        <w:tab/>
        <w:t>Placing a tyre around someone/thing and setting it alight</w:t>
      </w:r>
    </w:p>
    <w:p w14:paraId="5E5E09B2" w14:textId="77777777" w:rsidR="00B53404" w:rsidRPr="00431B94" w:rsidRDefault="00B53404" w:rsidP="00B53404">
      <w:pPr>
        <w:ind w:left="1440" w:hanging="1440"/>
        <w:jc w:val="both"/>
        <w:rPr>
          <w:rFonts w:ascii="Times New Roman" w:hAnsi="Times New Roman" w:cs="Times New Roman"/>
          <w:sz w:val="24"/>
          <w:szCs w:val="24"/>
          <w:vertAlign w:val="baseline"/>
        </w:rPr>
      </w:pPr>
    </w:p>
    <w:p w14:paraId="58A6E8CD" w14:textId="680770DC" w:rsidR="00B53404" w:rsidRPr="00672137" w:rsidRDefault="00B53404" w:rsidP="00B53404">
      <w:pPr>
        <w:ind w:left="2160" w:hanging="2160"/>
        <w:rPr>
          <w:rFonts w:ascii="Times New Roman" w:hAnsi="Times New Roman" w:cs="Times New Roman"/>
          <w:sz w:val="24"/>
          <w:szCs w:val="24"/>
          <w:vertAlign w:val="baseline"/>
        </w:rPr>
      </w:pPr>
      <w:r w:rsidRPr="003A1195">
        <w:rPr>
          <w:rFonts w:ascii="Times New Roman" w:hAnsi="Times New Roman" w:cs="Times New Roman"/>
          <w:b/>
          <w:sz w:val="24"/>
          <w:szCs w:val="24"/>
          <w:vertAlign w:val="baseline"/>
        </w:rPr>
        <w:t>Pantheism</w:t>
      </w:r>
      <w:r>
        <w:rPr>
          <w:rFonts w:ascii="Times New Roman" w:hAnsi="Times New Roman" w:cs="Times New Roman"/>
          <w:sz w:val="24"/>
          <w:szCs w:val="24"/>
          <w:vertAlign w:val="baseline"/>
        </w:rPr>
        <w:t>:</w:t>
      </w:r>
      <w:r>
        <w:rPr>
          <w:rFonts w:ascii="Times New Roman" w:hAnsi="Times New Roman" w:cs="Times New Roman"/>
          <w:sz w:val="24"/>
          <w:szCs w:val="24"/>
          <w:vertAlign w:val="baseline"/>
        </w:rPr>
        <w:tab/>
        <w:t>T</w:t>
      </w:r>
      <w:r w:rsidRPr="00672137">
        <w:rPr>
          <w:rFonts w:ascii="Times New Roman" w:hAnsi="Times New Roman" w:cs="Times New Roman"/>
          <w:sz w:val="24"/>
          <w:szCs w:val="24"/>
          <w:vertAlign w:val="baseline"/>
        </w:rPr>
        <w:t xml:space="preserve">he belief that regards the universe as a manifestation </w:t>
      </w:r>
      <w:r>
        <w:rPr>
          <w:rFonts w:ascii="Times New Roman" w:hAnsi="Times New Roman" w:cs="Times New Roman"/>
          <w:sz w:val="24"/>
          <w:szCs w:val="24"/>
          <w:vertAlign w:val="baseline"/>
        </w:rPr>
        <w:t>of God i.e. n</w:t>
      </w:r>
      <w:r w:rsidRPr="00672137">
        <w:rPr>
          <w:rFonts w:ascii="Times New Roman" w:hAnsi="Times New Roman" w:cs="Times New Roman"/>
          <w:sz w:val="24"/>
          <w:szCs w:val="24"/>
          <w:vertAlign w:val="baseline"/>
        </w:rPr>
        <w:t>o b</w:t>
      </w:r>
      <w:r w:rsidR="00D90C6D">
        <w:rPr>
          <w:rFonts w:ascii="Times New Roman" w:hAnsi="Times New Roman" w:cs="Times New Roman"/>
          <w:sz w:val="24"/>
          <w:szCs w:val="24"/>
          <w:vertAlign w:val="baseline"/>
        </w:rPr>
        <w:t>elief in an anthropomorphic God</w:t>
      </w:r>
    </w:p>
    <w:p w14:paraId="163DD2F9" w14:textId="77777777" w:rsidR="00B53404" w:rsidRDefault="00B53404" w:rsidP="00B53404">
      <w:pPr>
        <w:ind w:left="2160" w:hanging="2160"/>
        <w:jc w:val="both"/>
        <w:rPr>
          <w:rFonts w:ascii="Times New Roman" w:hAnsi="Times New Roman" w:cs="Times New Roman"/>
          <w:b/>
          <w:sz w:val="24"/>
          <w:szCs w:val="24"/>
          <w:vertAlign w:val="baseline"/>
        </w:rPr>
      </w:pPr>
    </w:p>
    <w:p w14:paraId="5CD34D68" w14:textId="0081922D" w:rsidR="00B53404" w:rsidRPr="00431B94" w:rsidRDefault="00B53404" w:rsidP="00B53404">
      <w:pPr>
        <w:ind w:left="2160" w:hanging="2160"/>
        <w:jc w:val="both"/>
        <w:rPr>
          <w:rFonts w:ascii="Times New Roman" w:hAnsi="Times New Roman" w:cs="Times New Roman"/>
          <w:sz w:val="24"/>
          <w:szCs w:val="24"/>
          <w:u w:val="single"/>
          <w:vertAlign w:val="baseline"/>
        </w:rPr>
      </w:pPr>
      <w:r w:rsidRPr="00431B94">
        <w:rPr>
          <w:rFonts w:ascii="Times New Roman" w:hAnsi="Times New Roman" w:cs="Times New Roman"/>
          <w:b/>
          <w:sz w:val="24"/>
          <w:szCs w:val="24"/>
          <w:vertAlign w:val="baseline"/>
        </w:rPr>
        <w:t xml:space="preserve">Patriarchy: </w:t>
      </w:r>
      <w:r w:rsidRPr="00431B94">
        <w:rPr>
          <w:rFonts w:ascii="Times New Roman" w:hAnsi="Times New Roman" w:cs="Times New Roman"/>
          <w:b/>
          <w:sz w:val="24"/>
          <w:szCs w:val="24"/>
          <w:vertAlign w:val="baseline"/>
        </w:rPr>
        <w:tab/>
      </w:r>
      <w:r w:rsidRPr="00431B94">
        <w:rPr>
          <w:rFonts w:ascii="Times New Roman" w:hAnsi="Times New Roman" w:cs="Times New Roman"/>
          <w:sz w:val="24"/>
          <w:szCs w:val="24"/>
          <w:vertAlign w:val="baseline"/>
        </w:rPr>
        <w:t xml:space="preserve">The manifestation and institutionalization of male dominance over women and children in the family and the extension of male dominance over women in society in </w:t>
      </w:r>
      <w:r w:rsidRPr="00431B94">
        <w:rPr>
          <w:rFonts w:ascii="Times New Roman" w:hAnsi="Times New Roman" w:cs="Times New Roman" w:hint="eastAsia"/>
          <w:sz w:val="24"/>
          <w:szCs w:val="24"/>
          <w:vertAlign w:val="baseline"/>
        </w:rPr>
        <w:t>general</w:t>
      </w:r>
      <w:r w:rsidRPr="00431B94">
        <w:rPr>
          <w:rStyle w:val="FootnoteReference"/>
          <w:rFonts w:ascii="Times New Roman" w:hAnsi="Times New Roman" w:cs="Times New Roman"/>
          <w:sz w:val="24"/>
          <w:szCs w:val="24"/>
        </w:rPr>
        <w:footnoteReference w:id="2"/>
      </w:r>
    </w:p>
    <w:p w14:paraId="314D7C67" w14:textId="77777777" w:rsidR="00B53404" w:rsidRPr="00431B94" w:rsidRDefault="00B53404" w:rsidP="00B53404">
      <w:pPr>
        <w:ind w:left="1440" w:hanging="1440"/>
        <w:jc w:val="both"/>
        <w:rPr>
          <w:rFonts w:ascii="Times New Roman" w:hAnsi="Times New Roman" w:cs="Times New Roman"/>
          <w:sz w:val="24"/>
          <w:szCs w:val="24"/>
          <w:vertAlign w:val="baseline"/>
        </w:rPr>
      </w:pPr>
      <w:r w:rsidRPr="00431B94">
        <w:rPr>
          <w:rFonts w:ascii="Times New Roman" w:hAnsi="Times New Roman" w:cs="Times New Roman"/>
          <w:sz w:val="24"/>
          <w:szCs w:val="24"/>
          <w:vertAlign w:val="baseline"/>
        </w:rPr>
        <w:tab/>
      </w:r>
    </w:p>
    <w:p w14:paraId="04AA4B4C" w14:textId="77777777" w:rsidR="00B53404" w:rsidRDefault="00B53404" w:rsidP="00B53404">
      <w:pPr>
        <w:ind w:left="1440" w:hanging="1440"/>
        <w:jc w:val="both"/>
        <w:rPr>
          <w:rFonts w:ascii="Times New Roman" w:hAnsi="Times New Roman" w:cs="Times New Roman"/>
          <w:sz w:val="24"/>
          <w:szCs w:val="24"/>
          <w:vertAlign w:val="baseline"/>
        </w:rPr>
      </w:pPr>
      <w:r w:rsidRPr="00431B94">
        <w:rPr>
          <w:rFonts w:ascii="Times New Roman" w:hAnsi="Times New Roman" w:cs="Times New Roman"/>
          <w:b/>
          <w:sz w:val="24"/>
          <w:szCs w:val="24"/>
          <w:vertAlign w:val="baseline"/>
        </w:rPr>
        <w:t>Payback:</w:t>
      </w:r>
      <w:r>
        <w:rPr>
          <w:rFonts w:ascii="Times New Roman" w:hAnsi="Times New Roman" w:cs="Times New Roman"/>
          <w:sz w:val="24"/>
          <w:szCs w:val="24"/>
          <w:vertAlign w:val="baseline"/>
        </w:rPr>
        <w:tab/>
      </w:r>
      <w:r>
        <w:rPr>
          <w:rFonts w:ascii="Times New Roman" w:hAnsi="Times New Roman" w:cs="Times New Roman"/>
          <w:sz w:val="24"/>
          <w:szCs w:val="24"/>
          <w:vertAlign w:val="baseline"/>
        </w:rPr>
        <w:tab/>
      </w:r>
      <w:r w:rsidRPr="00431B94">
        <w:rPr>
          <w:rFonts w:ascii="Times New Roman" w:hAnsi="Times New Roman" w:cs="Times New Roman"/>
          <w:sz w:val="24"/>
          <w:szCs w:val="24"/>
          <w:vertAlign w:val="baseline"/>
        </w:rPr>
        <w:t>Form of retaliation</w:t>
      </w:r>
    </w:p>
    <w:p w14:paraId="141747DA" w14:textId="77777777" w:rsidR="00B53404" w:rsidRDefault="00B53404" w:rsidP="00B53404">
      <w:pPr>
        <w:ind w:left="1440" w:hanging="1440"/>
        <w:jc w:val="both"/>
        <w:rPr>
          <w:rFonts w:ascii="Times New Roman" w:hAnsi="Times New Roman" w:cs="Times New Roman"/>
          <w:sz w:val="24"/>
          <w:szCs w:val="24"/>
          <w:vertAlign w:val="baseline"/>
        </w:rPr>
      </w:pPr>
    </w:p>
    <w:p w14:paraId="5C2C343C" w14:textId="4E09FC09" w:rsidR="00B53404" w:rsidRPr="00083378" w:rsidRDefault="00B53404" w:rsidP="00B53404">
      <w:pPr>
        <w:ind w:left="2160" w:hanging="2160"/>
        <w:jc w:val="both"/>
        <w:rPr>
          <w:rFonts w:ascii="Times New Roman" w:hAnsi="Times New Roman" w:cs="Times New Roman"/>
          <w:sz w:val="24"/>
          <w:szCs w:val="24"/>
          <w:vertAlign w:val="baseline"/>
        </w:rPr>
      </w:pPr>
      <w:r>
        <w:rPr>
          <w:rFonts w:ascii="Times New Roman" w:hAnsi="Times New Roman" w:cs="Times New Roman"/>
          <w:b/>
          <w:sz w:val="24"/>
          <w:szCs w:val="24"/>
          <w:vertAlign w:val="baseline"/>
        </w:rPr>
        <w:t>Personal laws:</w:t>
      </w:r>
      <w:r>
        <w:rPr>
          <w:rFonts w:ascii="Times New Roman" w:hAnsi="Times New Roman" w:cs="Times New Roman"/>
          <w:sz w:val="24"/>
          <w:szCs w:val="24"/>
          <w:vertAlign w:val="baseline"/>
        </w:rPr>
        <w:tab/>
      </w:r>
      <w:r>
        <w:rPr>
          <w:rFonts w:ascii="Times New Roman" w:eastAsia="Times New Roman" w:hAnsi="Times New Roman" w:cs="Times New Roman"/>
          <w:color w:val="000000"/>
          <w:sz w:val="24"/>
          <w:szCs w:val="24"/>
          <w:shd w:val="clear" w:color="auto" w:fill="FFFFFF"/>
          <w:vertAlign w:val="baseline"/>
        </w:rPr>
        <w:t>P</w:t>
      </w:r>
      <w:r w:rsidRPr="00083378">
        <w:rPr>
          <w:rFonts w:ascii="Times New Roman" w:eastAsia="Times New Roman" w:hAnsi="Times New Roman" w:cs="Times New Roman"/>
          <w:color w:val="000000"/>
          <w:sz w:val="24"/>
          <w:szCs w:val="24"/>
          <w:shd w:val="clear" w:color="auto" w:fill="FFFFFF"/>
          <w:vertAlign w:val="baseline"/>
        </w:rPr>
        <w:t>ersonal laws are region-specific to South Asia</w:t>
      </w:r>
      <w:r>
        <w:rPr>
          <w:rFonts w:ascii="Times New Roman" w:eastAsia="Times New Roman" w:hAnsi="Times New Roman" w:cs="Times New Roman"/>
          <w:color w:val="000000"/>
          <w:sz w:val="24"/>
          <w:szCs w:val="24"/>
          <w:shd w:val="clear" w:color="auto" w:fill="FFFFFF"/>
          <w:vertAlign w:val="baseline"/>
        </w:rPr>
        <w:t>, pertaining to matters of family law</w:t>
      </w:r>
      <w:r w:rsidRPr="00083378">
        <w:rPr>
          <w:rFonts w:ascii="Times New Roman" w:eastAsia="Times New Roman" w:hAnsi="Times New Roman" w:cs="Times New Roman"/>
          <w:color w:val="000000"/>
          <w:sz w:val="24"/>
          <w:szCs w:val="24"/>
          <w:shd w:val="clear" w:color="auto" w:fill="FFFFFF"/>
          <w:vertAlign w:val="baseline"/>
        </w:rPr>
        <w:t xml:space="preserve"> and are explicitly divided in terms of religion or ethnicity</w:t>
      </w:r>
    </w:p>
    <w:p w14:paraId="26DCCAEC" w14:textId="77777777" w:rsidR="00B53404" w:rsidRPr="00431B94" w:rsidRDefault="00B53404" w:rsidP="00B53404">
      <w:pPr>
        <w:jc w:val="both"/>
        <w:rPr>
          <w:rFonts w:ascii="Times New Roman" w:hAnsi="Times New Roman" w:cs="Times New Roman"/>
          <w:sz w:val="24"/>
          <w:szCs w:val="24"/>
          <w:vertAlign w:val="baseline"/>
        </w:rPr>
      </w:pPr>
    </w:p>
    <w:p w14:paraId="1DB3BF04" w14:textId="7016C44F" w:rsidR="00412787" w:rsidRPr="00412787" w:rsidRDefault="00412787" w:rsidP="0000703F">
      <w:pPr>
        <w:spacing w:line="336" w:lineRule="atLeast"/>
        <w:ind w:left="2160" w:hanging="2160"/>
        <w:rPr>
          <w:rFonts w:ascii="Helvetica Neue" w:eastAsia="Times New Roman" w:hAnsi="Helvetica Neue" w:cs="Times New Roman"/>
          <w:color w:val="333333"/>
          <w:sz w:val="24"/>
          <w:szCs w:val="24"/>
        </w:rPr>
      </w:pPr>
      <w:r>
        <w:rPr>
          <w:rFonts w:ascii="Times New Roman" w:hAnsi="Times New Roman" w:cs="Times New Roman"/>
          <w:b/>
          <w:sz w:val="24"/>
          <w:szCs w:val="24"/>
          <w:vertAlign w:val="baseline"/>
        </w:rPr>
        <w:t>Pricker:</w:t>
      </w:r>
      <w:r>
        <w:rPr>
          <w:rFonts w:ascii="Times New Roman" w:hAnsi="Times New Roman" w:cs="Times New Roman"/>
          <w:b/>
          <w:sz w:val="24"/>
          <w:szCs w:val="24"/>
          <w:vertAlign w:val="baseline"/>
        </w:rPr>
        <w:tab/>
      </w:r>
      <w:r>
        <w:rPr>
          <w:rFonts w:ascii="Times New Roman" w:hAnsi="Times New Roman" w:cs="Times New Roman"/>
          <w:sz w:val="24"/>
          <w:szCs w:val="24"/>
          <w:vertAlign w:val="baseline"/>
        </w:rPr>
        <w:t>A person who looked for a ‘witch’s mark’ (section of the skin that does not bleed) by pricking the skin with a needle in order to ascertain whether the person was a witch</w:t>
      </w:r>
    </w:p>
    <w:p w14:paraId="188D2541" w14:textId="77777777" w:rsidR="00412787" w:rsidRDefault="00412787" w:rsidP="00B53404">
      <w:pPr>
        <w:ind w:left="2160" w:hanging="2160"/>
        <w:jc w:val="both"/>
        <w:rPr>
          <w:rFonts w:ascii="Times New Roman" w:hAnsi="Times New Roman" w:cs="Times New Roman"/>
          <w:b/>
          <w:sz w:val="24"/>
          <w:szCs w:val="24"/>
          <w:vertAlign w:val="baseline"/>
        </w:rPr>
      </w:pPr>
    </w:p>
    <w:p w14:paraId="7F619380" w14:textId="2DE6849A" w:rsidR="00B53404" w:rsidRDefault="00B53404" w:rsidP="00B53404">
      <w:pPr>
        <w:ind w:left="2160" w:hanging="2160"/>
        <w:jc w:val="both"/>
        <w:rPr>
          <w:rFonts w:ascii="Times New Roman" w:hAnsi="Times New Roman" w:cs="Times New Roman"/>
          <w:sz w:val="24"/>
          <w:szCs w:val="24"/>
          <w:vertAlign w:val="baseline"/>
        </w:rPr>
      </w:pPr>
      <w:r w:rsidRPr="00E41C31">
        <w:rPr>
          <w:rFonts w:ascii="Times New Roman" w:hAnsi="Times New Roman" w:cs="Times New Roman"/>
          <w:b/>
          <w:sz w:val="24"/>
          <w:szCs w:val="24"/>
          <w:vertAlign w:val="baseline"/>
        </w:rPr>
        <w:t>Polytheism</w:t>
      </w:r>
      <w:r>
        <w:rPr>
          <w:rFonts w:ascii="Times New Roman" w:hAnsi="Times New Roman" w:cs="Times New Roman"/>
          <w:sz w:val="24"/>
          <w:szCs w:val="24"/>
          <w:vertAlign w:val="baseline"/>
        </w:rPr>
        <w:t>:</w:t>
      </w:r>
      <w:r>
        <w:rPr>
          <w:rFonts w:ascii="Times New Roman" w:hAnsi="Times New Roman" w:cs="Times New Roman"/>
          <w:sz w:val="24"/>
          <w:szCs w:val="24"/>
          <w:vertAlign w:val="baseline"/>
        </w:rPr>
        <w:tab/>
        <w:t>T</w:t>
      </w:r>
      <w:r w:rsidRPr="00672137">
        <w:rPr>
          <w:rFonts w:ascii="Times New Roman" w:hAnsi="Times New Roman" w:cs="Times New Roman"/>
          <w:sz w:val="24"/>
          <w:szCs w:val="24"/>
          <w:vertAlign w:val="baseline"/>
        </w:rPr>
        <w:t xml:space="preserve">he worship or belief in multiple gods usually assembled into a pantheon of gods and goddesses, along with their own religions and rituals. Polytheists do not always worship all the gods equally, but can be </w:t>
      </w:r>
      <w:r w:rsidRPr="00E41C31">
        <w:rPr>
          <w:rFonts w:ascii="Times New Roman" w:hAnsi="Times New Roman" w:cs="Times New Roman"/>
          <w:b/>
          <w:sz w:val="24"/>
          <w:szCs w:val="24"/>
          <w:vertAlign w:val="baseline"/>
        </w:rPr>
        <w:t>henotheists</w:t>
      </w:r>
      <w:r w:rsidRPr="00672137">
        <w:rPr>
          <w:rFonts w:ascii="Times New Roman" w:hAnsi="Times New Roman" w:cs="Times New Roman"/>
          <w:sz w:val="24"/>
          <w:szCs w:val="24"/>
          <w:vertAlign w:val="baseline"/>
        </w:rPr>
        <w:t xml:space="preserve">, specializing in the worship of one particular god, or </w:t>
      </w:r>
      <w:r w:rsidRPr="00E41C31">
        <w:rPr>
          <w:rFonts w:ascii="Times New Roman" w:hAnsi="Times New Roman" w:cs="Times New Roman"/>
          <w:b/>
          <w:sz w:val="24"/>
          <w:szCs w:val="24"/>
          <w:vertAlign w:val="baseline"/>
        </w:rPr>
        <w:t>kathenotheists</w:t>
      </w:r>
      <w:r>
        <w:rPr>
          <w:rFonts w:ascii="Times New Roman" w:hAnsi="Times New Roman" w:cs="Times New Roman"/>
          <w:sz w:val="24"/>
          <w:szCs w:val="24"/>
          <w:vertAlign w:val="baseline"/>
        </w:rPr>
        <w:t>,</w:t>
      </w:r>
      <w:r w:rsidRPr="00672137">
        <w:rPr>
          <w:rFonts w:ascii="Times New Roman" w:hAnsi="Times New Roman" w:cs="Times New Roman"/>
          <w:sz w:val="24"/>
          <w:szCs w:val="24"/>
          <w:vertAlign w:val="baseline"/>
        </w:rPr>
        <w:t xml:space="preserve"> worshiping dif</w:t>
      </w:r>
      <w:r w:rsidR="00D90C6D">
        <w:rPr>
          <w:rFonts w:ascii="Times New Roman" w:hAnsi="Times New Roman" w:cs="Times New Roman"/>
          <w:sz w:val="24"/>
          <w:szCs w:val="24"/>
          <w:vertAlign w:val="baseline"/>
        </w:rPr>
        <w:t>ferent gods at different times</w:t>
      </w:r>
    </w:p>
    <w:p w14:paraId="200D67C9" w14:textId="77777777" w:rsidR="00A354AC" w:rsidRPr="00672137" w:rsidRDefault="00A354AC" w:rsidP="00B53404">
      <w:pPr>
        <w:ind w:left="2160" w:hanging="2160"/>
        <w:jc w:val="both"/>
        <w:rPr>
          <w:rFonts w:ascii="Times New Roman" w:hAnsi="Times New Roman" w:cs="Times New Roman"/>
          <w:sz w:val="24"/>
          <w:szCs w:val="24"/>
          <w:vertAlign w:val="baseline"/>
        </w:rPr>
      </w:pPr>
    </w:p>
    <w:p w14:paraId="3FBC9F43" w14:textId="77777777" w:rsidR="00D51FE1" w:rsidRDefault="00D51FE1" w:rsidP="00D51FE1">
      <w:pPr>
        <w:jc w:val="both"/>
        <w:rPr>
          <w:rFonts w:ascii="Times New Roman" w:hAnsi="Times New Roman" w:cs="Times New Roman"/>
          <w:b/>
          <w:sz w:val="24"/>
          <w:szCs w:val="24"/>
          <w:vertAlign w:val="baseline"/>
        </w:rPr>
      </w:pPr>
      <w:r w:rsidRPr="00D51FE1">
        <w:rPr>
          <w:rFonts w:ascii="Times New Roman" w:hAnsi="Times New Roman" w:cs="Times New Roman"/>
          <w:b/>
          <w:sz w:val="24"/>
          <w:szCs w:val="24"/>
          <w:vertAlign w:val="baseline"/>
        </w:rPr>
        <w:t xml:space="preserve">Protestant </w:t>
      </w:r>
    </w:p>
    <w:p w14:paraId="59820930" w14:textId="7F79D950" w:rsidR="00D51FE1" w:rsidRPr="00D51FE1" w:rsidRDefault="00D51FE1" w:rsidP="00D51FE1">
      <w:pPr>
        <w:ind w:left="2160" w:hanging="2160"/>
        <w:jc w:val="both"/>
        <w:rPr>
          <w:rFonts w:ascii="Times New Roman" w:hAnsi="Times New Roman" w:cs="Times New Roman"/>
          <w:b/>
          <w:sz w:val="24"/>
          <w:szCs w:val="24"/>
          <w:vertAlign w:val="baseline"/>
        </w:rPr>
      </w:pPr>
      <w:r w:rsidRPr="00D51FE1">
        <w:rPr>
          <w:rFonts w:ascii="Times New Roman" w:hAnsi="Times New Roman" w:cs="Times New Roman"/>
          <w:b/>
          <w:sz w:val="24"/>
          <w:szCs w:val="24"/>
          <w:vertAlign w:val="baseline"/>
        </w:rPr>
        <w:t>Reformation</w:t>
      </w:r>
      <w:r>
        <w:rPr>
          <w:rFonts w:ascii="Times New Roman" w:hAnsi="Times New Roman" w:cs="Times New Roman"/>
          <w:b/>
          <w:sz w:val="24"/>
          <w:szCs w:val="24"/>
          <w:vertAlign w:val="baseline"/>
        </w:rPr>
        <w:t>:</w:t>
      </w:r>
      <w:r w:rsidRPr="00D51FE1">
        <w:rPr>
          <w:rFonts w:ascii="Times New Roman" w:hAnsi="Times New Roman" w:cs="Times New Roman"/>
          <w:b/>
          <w:sz w:val="24"/>
          <w:szCs w:val="24"/>
          <w:vertAlign w:val="baseline"/>
        </w:rPr>
        <w:t xml:space="preserve"> </w:t>
      </w:r>
      <w:r>
        <w:rPr>
          <w:rFonts w:ascii="Times New Roman" w:hAnsi="Times New Roman" w:cs="Times New Roman"/>
          <w:b/>
          <w:sz w:val="24"/>
          <w:szCs w:val="24"/>
          <w:vertAlign w:val="baseline"/>
        </w:rPr>
        <w:tab/>
      </w:r>
      <w:r w:rsidRPr="00D51FE1">
        <w:rPr>
          <w:rFonts w:ascii="Times New Roman" w:hAnsi="Times New Roman" w:cs="Times New Roman"/>
          <w:sz w:val="24"/>
          <w:szCs w:val="24"/>
          <w:vertAlign w:val="baseline"/>
        </w:rPr>
        <w:t>16th century European movement aimed at the reformation of the beliefs and practices of the Roman Catholic Church. As hopes of reformation diminished, Protestants separated from Roman Catholicism, resulting in the diverse formation of protestant denominations seen today. For example, Lutheran Churches in Germany, Scandinavia, Reformed churches in Switzerland and the Netherlands, Presbyterian churches in Scotland, and the Anglican Church in England</w:t>
      </w:r>
    </w:p>
    <w:p w14:paraId="6CA76C99" w14:textId="77777777" w:rsidR="00D51FE1" w:rsidRDefault="00D51FE1" w:rsidP="00B53404">
      <w:pPr>
        <w:ind w:left="2160" w:hanging="2160"/>
        <w:jc w:val="both"/>
        <w:rPr>
          <w:rFonts w:ascii="Times New Roman" w:hAnsi="Times New Roman" w:cs="Times New Roman"/>
          <w:b/>
          <w:sz w:val="24"/>
          <w:szCs w:val="24"/>
          <w:vertAlign w:val="baseline"/>
        </w:rPr>
      </w:pPr>
    </w:p>
    <w:p w14:paraId="001692EC" w14:textId="77777777" w:rsidR="00B53404" w:rsidRDefault="00B53404" w:rsidP="00B53404">
      <w:pPr>
        <w:ind w:left="2160" w:hanging="2160"/>
        <w:jc w:val="both"/>
        <w:rPr>
          <w:rFonts w:ascii="Times New Roman" w:hAnsi="Times New Roman" w:cs="Times New Roman"/>
          <w:sz w:val="24"/>
          <w:szCs w:val="24"/>
          <w:vertAlign w:val="baseline"/>
        </w:rPr>
      </w:pPr>
      <w:r w:rsidRPr="00431B94">
        <w:rPr>
          <w:rFonts w:ascii="Times New Roman" w:hAnsi="Times New Roman" w:cs="Times New Roman"/>
          <w:b/>
          <w:sz w:val="24"/>
          <w:szCs w:val="24"/>
          <w:vertAlign w:val="baseline"/>
        </w:rPr>
        <w:t>Ritual:</w:t>
      </w:r>
      <w:r w:rsidRPr="00431B94">
        <w:rPr>
          <w:rFonts w:ascii="Times New Roman" w:hAnsi="Times New Roman" w:cs="Times New Roman"/>
          <w:sz w:val="24"/>
          <w:szCs w:val="24"/>
          <w:vertAlign w:val="baseline"/>
        </w:rPr>
        <w:tab/>
        <w:t>A religious or solemn ceremony consisting of a series of actions performed according to a prescribed order</w:t>
      </w:r>
    </w:p>
    <w:p w14:paraId="7D0F19B5" w14:textId="77777777" w:rsidR="00B53404" w:rsidRPr="00431B94" w:rsidRDefault="00B53404" w:rsidP="00B53404">
      <w:pPr>
        <w:ind w:left="2160" w:hanging="2160"/>
        <w:jc w:val="both"/>
        <w:rPr>
          <w:rFonts w:ascii="Times New Roman" w:hAnsi="Times New Roman" w:cs="Times New Roman"/>
          <w:sz w:val="24"/>
          <w:szCs w:val="24"/>
          <w:vertAlign w:val="baseline"/>
        </w:rPr>
      </w:pPr>
    </w:p>
    <w:p w14:paraId="475A3AE0" w14:textId="77777777" w:rsidR="00B53404" w:rsidRDefault="00B53404" w:rsidP="00B53404">
      <w:pPr>
        <w:ind w:left="1440" w:hanging="1440"/>
        <w:jc w:val="both"/>
        <w:rPr>
          <w:rFonts w:ascii="Times New Roman" w:hAnsi="Times New Roman" w:cs="Times New Roman"/>
          <w:sz w:val="24"/>
          <w:szCs w:val="24"/>
          <w:vertAlign w:val="baseline"/>
        </w:rPr>
      </w:pPr>
      <w:r w:rsidRPr="00431B94">
        <w:rPr>
          <w:rFonts w:ascii="Times New Roman" w:hAnsi="Times New Roman" w:cs="Times New Roman"/>
          <w:b/>
          <w:sz w:val="24"/>
          <w:szCs w:val="24"/>
          <w:vertAlign w:val="baseline"/>
        </w:rPr>
        <w:t>Sabbats:</w:t>
      </w:r>
      <w:r w:rsidRPr="00431B94">
        <w:rPr>
          <w:rFonts w:ascii="Times New Roman" w:hAnsi="Times New Roman" w:cs="Times New Roman"/>
          <w:sz w:val="24"/>
          <w:szCs w:val="24"/>
          <w:vertAlign w:val="baseline"/>
        </w:rPr>
        <w:tab/>
      </w:r>
      <w:r w:rsidRPr="00431B94">
        <w:rPr>
          <w:rFonts w:ascii="Times New Roman" w:hAnsi="Times New Roman" w:cs="Times New Roman"/>
          <w:sz w:val="24"/>
          <w:szCs w:val="24"/>
          <w:vertAlign w:val="baseline"/>
        </w:rPr>
        <w:tab/>
        <w:t>Midnight gatherings</w:t>
      </w:r>
    </w:p>
    <w:p w14:paraId="6B91903E" w14:textId="77777777" w:rsidR="00B53404" w:rsidRPr="00431B94" w:rsidRDefault="00B53404" w:rsidP="00B53404">
      <w:pPr>
        <w:ind w:left="1440" w:hanging="1440"/>
        <w:jc w:val="both"/>
        <w:rPr>
          <w:rFonts w:ascii="Times New Roman" w:hAnsi="Times New Roman" w:cs="Times New Roman"/>
          <w:sz w:val="24"/>
          <w:szCs w:val="24"/>
          <w:vertAlign w:val="baseline"/>
        </w:rPr>
      </w:pPr>
    </w:p>
    <w:p w14:paraId="4A5797CE" w14:textId="77777777" w:rsidR="00B53404" w:rsidRDefault="00B53404" w:rsidP="00B53404">
      <w:pPr>
        <w:ind w:left="1440" w:hanging="1440"/>
        <w:jc w:val="both"/>
        <w:rPr>
          <w:rFonts w:ascii="Times New Roman" w:hAnsi="Times New Roman" w:cs="Times New Roman"/>
          <w:sz w:val="24"/>
          <w:szCs w:val="24"/>
          <w:vertAlign w:val="baseline"/>
        </w:rPr>
      </w:pPr>
      <w:r w:rsidRPr="00431B94">
        <w:rPr>
          <w:rFonts w:ascii="Times New Roman" w:hAnsi="Times New Roman" w:cs="Times New Roman"/>
          <w:b/>
          <w:sz w:val="24"/>
          <w:szCs w:val="24"/>
          <w:vertAlign w:val="baseline"/>
        </w:rPr>
        <w:t>Sanguma:</w:t>
      </w:r>
      <w:r w:rsidRPr="00431B94">
        <w:rPr>
          <w:rFonts w:ascii="Times New Roman" w:hAnsi="Times New Roman" w:cs="Times New Roman"/>
          <w:sz w:val="24"/>
          <w:szCs w:val="24"/>
          <w:vertAlign w:val="baseline"/>
        </w:rPr>
        <w:tab/>
      </w:r>
      <w:r w:rsidRPr="00431B94">
        <w:rPr>
          <w:rFonts w:ascii="Times New Roman" w:hAnsi="Times New Roman" w:cs="Times New Roman"/>
          <w:sz w:val="24"/>
          <w:szCs w:val="24"/>
          <w:vertAlign w:val="baseline"/>
        </w:rPr>
        <w:tab/>
        <w:t>Witchcraft / Sorcery (Papua New Guinea)</w:t>
      </w:r>
    </w:p>
    <w:p w14:paraId="1D67884A" w14:textId="77777777" w:rsidR="00B53404" w:rsidRDefault="00B53404" w:rsidP="00B53404">
      <w:pPr>
        <w:ind w:left="1440" w:hanging="1440"/>
        <w:jc w:val="both"/>
        <w:rPr>
          <w:rFonts w:ascii="Times New Roman" w:hAnsi="Times New Roman" w:cs="Times New Roman"/>
          <w:sz w:val="24"/>
          <w:szCs w:val="24"/>
          <w:vertAlign w:val="baseline"/>
        </w:rPr>
      </w:pPr>
    </w:p>
    <w:p w14:paraId="27E4392E" w14:textId="77777777" w:rsidR="00B53404" w:rsidRPr="00945C06" w:rsidRDefault="00B53404" w:rsidP="00B53404">
      <w:pPr>
        <w:ind w:left="2160" w:hanging="2160"/>
        <w:jc w:val="both"/>
        <w:rPr>
          <w:rFonts w:ascii="Times New Roman" w:hAnsi="Times New Roman" w:cs="Times New Roman"/>
          <w:sz w:val="24"/>
          <w:szCs w:val="24"/>
          <w:vertAlign w:val="baseline"/>
        </w:rPr>
      </w:pPr>
      <w:r>
        <w:rPr>
          <w:rFonts w:ascii="Times New Roman" w:hAnsi="Times New Roman" w:cs="Times New Roman"/>
          <w:b/>
          <w:sz w:val="24"/>
          <w:szCs w:val="24"/>
          <w:vertAlign w:val="baseline"/>
        </w:rPr>
        <w:t>Sati:</w:t>
      </w:r>
      <w:r>
        <w:rPr>
          <w:rFonts w:ascii="Times New Roman" w:hAnsi="Times New Roman" w:cs="Times New Roman"/>
          <w:b/>
          <w:sz w:val="24"/>
          <w:szCs w:val="24"/>
          <w:vertAlign w:val="baseline"/>
        </w:rPr>
        <w:tab/>
      </w:r>
      <w:r>
        <w:rPr>
          <w:rFonts w:ascii="Times New Roman" w:hAnsi="Times New Roman" w:cs="Times New Roman"/>
          <w:sz w:val="24"/>
          <w:szCs w:val="24"/>
          <w:vertAlign w:val="baseline"/>
        </w:rPr>
        <w:t xml:space="preserve">Ancient Indian custom where widows </w:t>
      </w:r>
      <w:r w:rsidRPr="00945C06">
        <w:rPr>
          <w:rFonts w:ascii="Times New Roman" w:hAnsi="Times New Roman" w:cs="Times New Roman"/>
          <w:sz w:val="24"/>
          <w:szCs w:val="24"/>
          <w:vertAlign w:val="baseline"/>
        </w:rPr>
        <w:t>sacrifice</w:t>
      </w:r>
      <w:r>
        <w:rPr>
          <w:rFonts w:ascii="Times New Roman" w:hAnsi="Times New Roman" w:cs="Times New Roman"/>
          <w:sz w:val="24"/>
          <w:szCs w:val="24"/>
          <w:vertAlign w:val="baseline"/>
        </w:rPr>
        <w:t xml:space="preserve"> themselves on their husbands funeral pyre</w:t>
      </w:r>
    </w:p>
    <w:p w14:paraId="79725952" w14:textId="77777777" w:rsidR="00B53404" w:rsidRPr="00431B94" w:rsidRDefault="00B53404" w:rsidP="00B53404">
      <w:pPr>
        <w:ind w:left="1440" w:hanging="1440"/>
        <w:jc w:val="both"/>
        <w:rPr>
          <w:rFonts w:ascii="Times New Roman" w:hAnsi="Times New Roman" w:cs="Times New Roman"/>
          <w:sz w:val="24"/>
          <w:szCs w:val="24"/>
          <w:vertAlign w:val="baseline"/>
        </w:rPr>
      </w:pPr>
    </w:p>
    <w:p w14:paraId="32D9A729" w14:textId="77777777" w:rsidR="00B53404" w:rsidRDefault="00B53404" w:rsidP="00B53404">
      <w:pPr>
        <w:ind w:left="1440" w:hanging="1440"/>
        <w:jc w:val="both"/>
        <w:rPr>
          <w:rFonts w:ascii="Times New Roman" w:hAnsi="Times New Roman" w:cs="Times New Roman"/>
          <w:sz w:val="24"/>
          <w:szCs w:val="24"/>
          <w:vertAlign w:val="baseline"/>
        </w:rPr>
      </w:pPr>
      <w:r w:rsidRPr="00431B94">
        <w:rPr>
          <w:rFonts w:ascii="Times New Roman" w:hAnsi="Times New Roman" w:cs="Times New Roman"/>
          <w:b/>
          <w:sz w:val="24"/>
          <w:szCs w:val="24"/>
          <w:vertAlign w:val="baseline"/>
        </w:rPr>
        <w:t>Shaman:</w:t>
      </w:r>
      <w:r w:rsidRPr="00431B94">
        <w:rPr>
          <w:rFonts w:ascii="Times New Roman" w:hAnsi="Times New Roman" w:cs="Times New Roman"/>
          <w:sz w:val="24"/>
          <w:szCs w:val="24"/>
          <w:vertAlign w:val="baseline"/>
        </w:rPr>
        <w:tab/>
      </w:r>
      <w:r w:rsidRPr="00431B94">
        <w:rPr>
          <w:rFonts w:ascii="Times New Roman" w:hAnsi="Times New Roman" w:cs="Times New Roman"/>
          <w:sz w:val="24"/>
          <w:szCs w:val="24"/>
          <w:vertAlign w:val="baseline"/>
        </w:rPr>
        <w:tab/>
        <w:t>Religious specialist (originating from Siberia)</w:t>
      </w:r>
    </w:p>
    <w:p w14:paraId="62EE99D9" w14:textId="77777777" w:rsidR="00B53404" w:rsidRPr="00431B94" w:rsidRDefault="00B53404" w:rsidP="00B53404">
      <w:pPr>
        <w:ind w:left="1440" w:hanging="1440"/>
        <w:jc w:val="both"/>
        <w:rPr>
          <w:rFonts w:ascii="Times New Roman" w:hAnsi="Times New Roman" w:cs="Times New Roman"/>
          <w:sz w:val="24"/>
          <w:szCs w:val="24"/>
          <w:vertAlign w:val="baseline"/>
        </w:rPr>
      </w:pPr>
    </w:p>
    <w:p w14:paraId="7690FE62" w14:textId="77777777" w:rsidR="00B53404" w:rsidRPr="00431B94" w:rsidRDefault="00B53404" w:rsidP="00B53404">
      <w:pPr>
        <w:ind w:left="1440" w:hanging="1440"/>
        <w:jc w:val="both"/>
        <w:rPr>
          <w:rFonts w:ascii="Times New Roman" w:hAnsi="Times New Roman" w:cs="Times New Roman"/>
          <w:sz w:val="24"/>
          <w:szCs w:val="24"/>
          <w:vertAlign w:val="baseline"/>
        </w:rPr>
      </w:pPr>
      <w:r w:rsidRPr="00431B94">
        <w:rPr>
          <w:rFonts w:ascii="Times New Roman" w:hAnsi="Times New Roman" w:cs="Times New Roman"/>
          <w:b/>
          <w:sz w:val="24"/>
          <w:szCs w:val="24"/>
          <w:vertAlign w:val="baseline"/>
        </w:rPr>
        <w:t>Shaytan:</w:t>
      </w:r>
      <w:r w:rsidRPr="00431B94">
        <w:rPr>
          <w:rFonts w:ascii="Times New Roman" w:hAnsi="Times New Roman" w:cs="Times New Roman"/>
          <w:sz w:val="24"/>
          <w:szCs w:val="24"/>
          <w:vertAlign w:val="baseline"/>
        </w:rPr>
        <w:tab/>
      </w:r>
      <w:r w:rsidRPr="00431B94">
        <w:rPr>
          <w:rFonts w:ascii="Times New Roman" w:hAnsi="Times New Roman" w:cs="Times New Roman"/>
          <w:sz w:val="24"/>
          <w:szCs w:val="24"/>
          <w:vertAlign w:val="baseline"/>
        </w:rPr>
        <w:tab/>
        <w:t>Arabic word for Devil</w:t>
      </w:r>
    </w:p>
    <w:p w14:paraId="337BECAA" w14:textId="77777777" w:rsidR="00B53404" w:rsidRPr="00431B94" w:rsidRDefault="00B53404" w:rsidP="00B53404">
      <w:pPr>
        <w:ind w:left="1440" w:hanging="1440"/>
        <w:jc w:val="both"/>
        <w:rPr>
          <w:rFonts w:ascii="Times New Roman" w:hAnsi="Times New Roman" w:cs="Times New Roman"/>
          <w:sz w:val="24"/>
          <w:szCs w:val="24"/>
          <w:vertAlign w:val="baseline"/>
        </w:rPr>
      </w:pPr>
    </w:p>
    <w:p w14:paraId="3433015D" w14:textId="77777777" w:rsidR="00B53404" w:rsidRDefault="00B53404" w:rsidP="00B53404">
      <w:pPr>
        <w:ind w:left="2160" w:hanging="2160"/>
        <w:jc w:val="both"/>
        <w:rPr>
          <w:rFonts w:ascii="Times New Roman" w:hAnsi="Times New Roman" w:cs="Times New Roman"/>
          <w:sz w:val="24"/>
          <w:szCs w:val="24"/>
          <w:vertAlign w:val="baseline"/>
        </w:rPr>
      </w:pPr>
      <w:r w:rsidRPr="00431B94">
        <w:rPr>
          <w:rFonts w:ascii="Times New Roman" w:hAnsi="Times New Roman" w:cs="Times New Roman"/>
          <w:b/>
          <w:sz w:val="24"/>
          <w:szCs w:val="24"/>
          <w:vertAlign w:val="baseline"/>
        </w:rPr>
        <w:t>Superstition:</w:t>
      </w:r>
      <w:r w:rsidRPr="00431B94">
        <w:rPr>
          <w:rFonts w:ascii="Times New Roman" w:hAnsi="Times New Roman" w:cs="Times New Roman"/>
          <w:sz w:val="24"/>
          <w:szCs w:val="24"/>
          <w:vertAlign w:val="baseline"/>
        </w:rPr>
        <w:tab/>
        <w:t>A belief providing the relief of anxiety through an irrational perception of the causal relation</w:t>
      </w:r>
      <w:r>
        <w:rPr>
          <w:rFonts w:ascii="Times New Roman" w:hAnsi="Times New Roman" w:cs="Times New Roman"/>
          <w:sz w:val="24"/>
          <w:szCs w:val="24"/>
          <w:vertAlign w:val="baseline"/>
        </w:rPr>
        <w:t>ship between action and outcome</w:t>
      </w:r>
    </w:p>
    <w:p w14:paraId="23C80AD4" w14:textId="77777777" w:rsidR="00B53404" w:rsidRPr="00431B94" w:rsidRDefault="00B53404" w:rsidP="00B53404">
      <w:pPr>
        <w:ind w:left="2160" w:hanging="2160"/>
        <w:jc w:val="both"/>
        <w:rPr>
          <w:rFonts w:ascii="Times New Roman" w:hAnsi="Times New Roman" w:cs="Times New Roman"/>
          <w:sz w:val="24"/>
          <w:szCs w:val="24"/>
          <w:vertAlign w:val="baseline"/>
        </w:rPr>
      </w:pPr>
    </w:p>
    <w:p w14:paraId="4C5429C7" w14:textId="77777777" w:rsidR="00B53404" w:rsidRDefault="00B53404" w:rsidP="00B53404">
      <w:pPr>
        <w:ind w:left="2160" w:hanging="2160"/>
        <w:jc w:val="both"/>
        <w:rPr>
          <w:rFonts w:ascii="Times New Roman" w:hAnsi="Times New Roman" w:cs="Times New Roman"/>
          <w:sz w:val="24"/>
          <w:szCs w:val="24"/>
          <w:vertAlign w:val="baseline"/>
        </w:rPr>
      </w:pPr>
      <w:r w:rsidRPr="00431B94">
        <w:rPr>
          <w:rFonts w:ascii="Times New Roman" w:hAnsi="Times New Roman" w:cs="Times New Roman"/>
          <w:b/>
          <w:sz w:val="24"/>
          <w:szCs w:val="24"/>
          <w:vertAlign w:val="baseline"/>
        </w:rPr>
        <w:t>Tindana:</w:t>
      </w:r>
      <w:r w:rsidRPr="00431B94">
        <w:rPr>
          <w:rFonts w:ascii="Times New Roman" w:hAnsi="Times New Roman" w:cs="Times New Roman"/>
          <w:sz w:val="24"/>
          <w:szCs w:val="24"/>
          <w:vertAlign w:val="baseline"/>
        </w:rPr>
        <w:t xml:space="preserve"> </w:t>
      </w:r>
      <w:r w:rsidRPr="00431B94">
        <w:rPr>
          <w:rFonts w:ascii="Times New Roman" w:hAnsi="Times New Roman" w:cs="Times New Roman"/>
          <w:sz w:val="24"/>
          <w:szCs w:val="24"/>
          <w:vertAlign w:val="baseline"/>
        </w:rPr>
        <w:tab/>
        <w:t>Chiefs/Priests with the ability to cleanse people accused of witchcraft (Africa)</w:t>
      </w:r>
    </w:p>
    <w:p w14:paraId="53D38B10" w14:textId="77777777" w:rsidR="00B53404" w:rsidRDefault="00B53404" w:rsidP="00B53404">
      <w:pPr>
        <w:ind w:left="2160" w:hanging="2160"/>
        <w:jc w:val="both"/>
        <w:rPr>
          <w:rFonts w:ascii="Times New Roman" w:hAnsi="Times New Roman" w:cs="Times New Roman"/>
          <w:sz w:val="24"/>
          <w:szCs w:val="24"/>
          <w:vertAlign w:val="baseline"/>
        </w:rPr>
      </w:pPr>
    </w:p>
    <w:p w14:paraId="0E7FBDBC" w14:textId="77777777" w:rsidR="006B4B07" w:rsidRDefault="00B53404" w:rsidP="00B53404">
      <w:pPr>
        <w:ind w:left="2160" w:hanging="2160"/>
        <w:jc w:val="both"/>
        <w:rPr>
          <w:rFonts w:eastAsia="Times New Roman" w:cs="Times New Roman"/>
          <w:color w:val="000000"/>
          <w:vertAlign w:val="baseline"/>
        </w:rPr>
      </w:pPr>
      <w:r>
        <w:rPr>
          <w:rFonts w:ascii="Times New Roman" w:hAnsi="Times New Roman" w:cs="Times New Roman"/>
          <w:b/>
          <w:sz w:val="24"/>
          <w:szCs w:val="24"/>
          <w:vertAlign w:val="baseline"/>
        </w:rPr>
        <w:t>Trokosi:</w:t>
      </w:r>
      <w:r>
        <w:rPr>
          <w:rFonts w:ascii="Times New Roman" w:hAnsi="Times New Roman" w:cs="Times New Roman"/>
          <w:b/>
          <w:sz w:val="24"/>
          <w:szCs w:val="24"/>
          <w:vertAlign w:val="baseline"/>
        </w:rPr>
        <w:tab/>
      </w:r>
      <w:r>
        <w:rPr>
          <w:rFonts w:ascii="Times New Roman" w:hAnsi="Times New Roman" w:cs="Times New Roman"/>
          <w:sz w:val="24"/>
          <w:szCs w:val="24"/>
          <w:vertAlign w:val="baseline"/>
        </w:rPr>
        <w:t>Meaning ‘slaves of the Gods.’ Ghanaian practice whereby virgin girls are given to village priests in order to appease the Gods for crimes committed by family members</w:t>
      </w:r>
      <w:r w:rsidR="006B4B07" w:rsidRPr="006B4B07">
        <w:rPr>
          <w:rFonts w:eastAsia="Times New Roman" w:cs="Times New Roman"/>
          <w:color w:val="000000"/>
          <w:vertAlign w:val="baseline"/>
        </w:rPr>
        <w:t xml:space="preserve"> </w:t>
      </w:r>
    </w:p>
    <w:p w14:paraId="672E196C" w14:textId="77777777" w:rsidR="00B53404" w:rsidRPr="000A5B23" w:rsidRDefault="00B53404" w:rsidP="006B4B07">
      <w:pPr>
        <w:jc w:val="both"/>
        <w:rPr>
          <w:rFonts w:ascii="Times New Roman" w:hAnsi="Times New Roman" w:cs="Times New Roman"/>
          <w:sz w:val="24"/>
          <w:szCs w:val="24"/>
          <w:vertAlign w:val="baseline"/>
        </w:rPr>
      </w:pPr>
    </w:p>
    <w:p w14:paraId="6E9240D6" w14:textId="77777777" w:rsidR="00B53404" w:rsidRDefault="00B53404" w:rsidP="00B53404">
      <w:pPr>
        <w:ind w:left="2160" w:hanging="2160"/>
        <w:jc w:val="both"/>
        <w:rPr>
          <w:rFonts w:ascii="Times New Roman" w:hAnsi="Times New Roman" w:cs="Times New Roman"/>
          <w:sz w:val="24"/>
          <w:szCs w:val="24"/>
          <w:vertAlign w:val="baseline"/>
        </w:rPr>
      </w:pPr>
      <w:r w:rsidRPr="00431B94">
        <w:rPr>
          <w:rFonts w:ascii="Times New Roman" w:hAnsi="Times New Roman" w:cs="Times New Roman"/>
          <w:b/>
          <w:sz w:val="24"/>
          <w:szCs w:val="24"/>
          <w:vertAlign w:val="baseline"/>
        </w:rPr>
        <w:t>Wantok:</w:t>
      </w:r>
      <w:r w:rsidRPr="00431B94">
        <w:rPr>
          <w:rFonts w:ascii="Times New Roman" w:hAnsi="Times New Roman" w:cs="Times New Roman"/>
          <w:sz w:val="24"/>
          <w:szCs w:val="24"/>
          <w:vertAlign w:val="baseline"/>
        </w:rPr>
        <w:tab/>
        <w:t>Tradition based on solidarity where members of tribes protect each other from external threats (Papua New Guinea)</w:t>
      </w:r>
    </w:p>
    <w:p w14:paraId="7BCE5490" w14:textId="77777777" w:rsidR="00B53404" w:rsidRPr="00431B94" w:rsidRDefault="00B53404" w:rsidP="00B53404">
      <w:pPr>
        <w:ind w:left="2160" w:hanging="2160"/>
        <w:jc w:val="both"/>
        <w:rPr>
          <w:rFonts w:ascii="Times New Roman" w:hAnsi="Times New Roman" w:cs="Times New Roman"/>
          <w:sz w:val="24"/>
          <w:szCs w:val="24"/>
          <w:vertAlign w:val="baseline"/>
        </w:rPr>
      </w:pPr>
    </w:p>
    <w:p w14:paraId="358F1E36" w14:textId="77777777" w:rsidR="00B53404" w:rsidRDefault="00B53404" w:rsidP="00B53404">
      <w:pPr>
        <w:ind w:left="2160" w:hanging="2160"/>
        <w:jc w:val="both"/>
        <w:rPr>
          <w:rFonts w:ascii="Times New Roman" w:hAnsi="Times New Roman" w:cs="Times New Roman"/>
          <w:sz w:val="24"/>
          <w:szCs w:val="24"/>
          <w:vertAlign w:val="baseline"/>
        </w:rPr>
      </w:pPr>
      <w:r w:rsidRPr="00431B94">
        <w:rPr>
          <w:rFonts w:ascii="Times New Roman" w:hAnsi="Times New Roman" w:cs="Times New Roman"/>
          <w:b/>
          <w:sz w:val="24"/>
          <w:szCs w:val="24"/>
          <w:vertAlign w:val="baseline"/>
        </w:rPr>
        <w:t>Witchcraft:</w:t>
      </w:r>
      <w:r w:rsidRPr="00431B94">
        <w:rPr>
          <w:rFonts w:ascii="Times New Roman" w:hAnsi="Times New Roman" w:cs="Times New Roman"/>
          <w:sz w:val="24"/>
          <w:szCs w:val="24"/>
          <w:vertAlign w:val="baseline"/>
        </w:rPr>
        <w:t xml:space="preserve"> </w:t>
      </w:r>
      <w:r w:rsidRPr="00431B94">
        <w:rPr>
          <w:rFonts w:ascii="Times New Roman" w:hAnsi="Times New Roman" w:cs="Times New Roman"/>
          <w:sz w:val="24"/>
          <w:szCs w:val="24"/>
          <w:vertAlign w:val="baseline"/>
        </w:rPr>
        <w:tab/>
        <w:t xml:space="preserve">A natural philosophy by which the relations between men and unfortunate events are explained and a ready and stereotyped means of reacting to such events. </w:t>
      </w:r>
    </w:p>
    <w:p w14:paraId="4E86C7DF" w14:textId="77777777" w:rsidR="00B53404" w:rsidRPr="00431B94" w:rsidRDefault="00B53404" w:rsidP="00B53404">
      <w:pPr>
        <w:ind w:left="2160" w:hanging="2160"/>
        <w:jc w:val="both"/>
        <w:rPr>
          <w:rFonts w:ascii="Times New Roman" w:hAnsi="Times New Roman" w:cs="Times New Roman"/>
          <w:sz w:val="24"/>
          <w:szCs w:val="24"/>
          <w:vertAlign w:val="baseline"/>
        </w:rPr>
      </w:pPr>
    </w:p>
    <w:p w14:paraId="23AE9014" w14:textId="77777777" w:rsidR="00B53404" w:rsidRDefault="00B53404" w:rsidP="00B53404">
      <w:pPr>
        <w:ind w:left="1440" w:hanging="1440"/>
        <w:jc w:val="both"/>
        <w:rPr>
          <w:rFonts w:ascii="Times New Roman" w:hAnsi="Times New Roman" w:cs="Times New Roman"/>
          <w:sz w:val="24"/>
          <w:szCs w:val="24"/>
          <w:vertAlign w:val="baseline"/>
        </w:rPr>
      </w:pPr>
      <w:r w:rsidRPr="00431B94">
        <w:rPr>
          <w:rFonts w:ascii="Times New Roman" w:hAnsi="Times New Roman" w:cs="Times New Roman"/>
          <w:b/>
          <w:sz w:val="24"/>
          <w:szCs w:val="24"/>
          <w:vertAlign w:val="baseline"/>
        </w:rPr>
        <w:t>Witchcraft beliefs:</w:t>
      </w:r>
      <w:r w:rsidRPr="00431B94">
        <w:rPr>
          <w:rFonts w:ascii="Times New Roman" w:hAnsi="Times New Roman" w:cs="Times New Roman"/>
          <w:sz w:val="24"/>
          <w:szCs w:val="24"/>
          <w:vertAlign w:val="baseline"/>
        </w:rPr>
        <w:tab/>
        <w:t>A system of values, which regulate hum</w:t>
      </w:r>
      <w:r>
        <w:rPr>
          <w:rFonts w:ascii="Times New Roman" w:hAnsi="Times New Roman" w:cs="Times New Roman"/>
          <w:sz w:val="24"/>
          <w:szCs w:val="24"/>
          <w:vertAlign w:val="baseline"/>
        </w:rPr>
        <w:t>an conduct</w:t>
      </w:r>
    </w:p>
    <w:p w14:paraId="7ADA0F7A" w14:textId="77777777" w:rsidR="00B53404" w:rsidRPr="00431B94" w:rsidRDefault="00B53404" w:rsidP="00B53404">
      <w:pPr>
        <w:ind w:left="1440" w:hanging="1440"/>
        <w:jc w:val="both"/>
        <w:rPr>
          <w:rFonts w:ascii="Times New Roman" w:hAnsi="Times New Roman" w:cs="Times New Roman"/>
          <w:sz w:val="24"/>
          <w:szCs w:val="24"/>
          <w:vertAlign w:val="baseline"/>
        </w:rPr>
      </w:pPr>
    </w:p>
    <w:p w14:paraId="1A90AEB6" w14:textId="77777777" w:rsidR="00B53404" w:rsidRPr="00431B94" w:rsidRDefault="00B53404" w:rsidP="00B53404">
      <w:pPr>
        <w:ind w:left="2160" w:hanging="2160"/>
        <w:jc w:val="both"/>
        <w:rPr>
          <w:rFonts w:ascii="Times New Roman" w:hAnsi="Times New Roman" w:cs="Times New Roman"/>
          <w:sz w:val="24"/>
          <w:szCs w:val="24"/>
          <w:vertAlign w:val="baseline"/>
        </w:rPr>
      </w:pPr>
      <w:r w:rsidRPr="00431B94">
        <w:rPr>
          <w:rFonts w:ascii="Times New Roman" w:hAnsi="Times New Roman" w:cs="Times New Roman"/>
          <w:b/>
          <w:sz w:val="24"/>
          <w:szCs w:val="24"/>
          <w:vertAlign w:val="baseline"/>
        </w:rPr>
        <w:t>Witchdoctor:</w:t>
      </w:r>
      <w:r w:rsidRPr="00431B94">
        <w:rPr>
          <w:rFonts w:ascii="Times New Roman" w:hAnsi="Times New Roman" w:cs="Times New Roman"/>
          <w:sz w:val="24"/>
          <w:szCs w:val="24"/>
          <w:vertAlign w:val="baseline"/>
        </w:rPr>
        <w:tab/>
        <w:t>Religious specialist who identifies, cures and protects society from witchcraft</w:t>
      </w:r>
    </w:p>
    <w:p w14:paraId="3B8B4B78" w14:textId="77777777" w:rsidR="00B53404" w:rsidRPr="00431B94" w:rsidRDefault="00B53404" w:rsidP="00B53404">
      <w:pPr>
        <w:ind w:left="1440" w:hanging="1440"/>
        <w:jc w:val="both"/>
        <w:rPr>
          <w:rFonts w:ascii="Times New Roman" w:hAnsi="Times New Roman" w:cs="Times New Roman"/>
          <w:sz w:val="24"/>
          <w:szCs w:val="24"/>
          <w:vertAlign w:val="baseline"/>
        </w:rPr>
      </w:pPr>
    </w:p>
    <w:p w14:paraId="77D586B7" w14:textId="047EFE70" w:rsidR="00B53404" w:rsidRDefault="00B53404" w:rsidP="00B53404">
      <w:pPr>
        <w:rPr>
          <w:rFonts w:ascii="Times New Roman" w:hAnsi="Times New Roman" w:cs="Times New Roman"/>
          <w:sz w:val="24"/>
          <w:szCs w:val="24"/>
          <w:vertAlign w:val="baseline"/>
        </w:rPr>
      </w:pPr>
      <w:r w:rsidRPr="00431B94">
        <w:rPr>
          <w:rFonts w:ascii="Times New Roman" w:hAnsi="Times New Roman" w:cs="Times New Roman"/>
          <w:b/>
          <w:sz w:val="24"/>
          <w:szCs w:val="24"/>
          <w:vertAlign w:val="baseline"/>
        </w:rPr>
        <w:t>Yetzer Hara:</w:t>
      </w:r>
      <w:r w:rsidRPr="00431B94">
        <w:rPr>
          <w:rFonts w:ascii="Times New Roman" w:hAnsi="Times New Roman" w:cs="Times New Roman"/>
          <w:b/>
          <w:sz w:val="24"/>
          <w:szCs w:val="24"/>
          <w:vertAlign w:val="baseline"/>
        </w:rPr>
        <w:tab/>
      </w:r>
      <w:r w:rsidRPr="00431B94">
        <w:rPr>
          <w:rFonts w:ascii="Times New Roman" w:hAnsi="Times New Roman" w:cs="Times New Roman"/>
          <w:sz w:val="24"/>
          <w:szCs w:val="24"/>
          <w:vertAlign w:val="baseline"/>
        </w:rPr>
        <w:tab/>
        <w:t xml:space="preserve">Jewish </w:t>
      </w:r>
      <w:r w:rsidR="00C63E20">
        <w:rPr>
          <w:rFonts w:ascii="Times New Roman" w:hAnsi="Times New Roman" w:cs="Times New Roman"/>
          <w:sz w:val="24"/>
          <w:szCs w:val="24"/>
          <w:vertAlign w:val="baseline"/>
        </w:rPr>
        <w:t>notion of evil inclinatio</w:t>
      </w:r>
      <w:r w:rsidR="0048601A">
        <w:rPr>
          <w:rFonts w:ascii="Times New Roman" w:hAnsi="Times New Roman" w:cs="Times New Roman"/>
          <w:sz w:val="24"/>
          <w:szCs w:val="24"/>
          <w:vertAlign w:val="baseline"/>
        </w:rPr>
        <w:t>n</w:t>
      </w:r>
    </w:p>
    <w:p w14:paraId="784ADF12" w14:textId="77777777" w:rsidR="006B4B07" w:rsidRDefault="006B4B07" w:rsidP="00B53404">
      <w:pPr>
        <w:rPr>
          <w:rFonts w:ascii="Times New Roman" w:hAnsi="Times New Roman" w:cs="Times New Roman"/>
          <w:sz w:val="24"/>
          <w:szCs w:val="24"/>
          <w:vertAlign w:val="baseline"/>
        </w:rPr>
        <w:sectPr w:rsidR="006B4B07" w:rsidSect="00EA2769">
          <w:pgSz w:w="11900" w:h="16840"/>
          <w:pgMar w:top="1418" w:right="1418" w:bottom="1418" w:left="2155" w:header="708" w:footer="708" w:gutter="0"/>
          <w:cols w:space="708"/>
          <w:docGrid w:linePitch="360"/>
        </w:sectPr>
      </w:pPr>
    </w:p>
    <w:p w14:paraId="4C56F570" w14:textId="4378285E" w:rsidR="007E494A" w:rsidRPr="006A3816" w:rsidRDefault="007E494A" w:rsidP="007E494A">
      <w:pPr>
        <w:jc w:val="center"/>
        <w:rPr>
          <w:rFonts w:ascii="Times New Roman" w:hAnsi="Times New Roman" w:cs="Times New Roman"/>
          <w:b/>
          <w:sz w:val="28"/>
          <w:szCs w:val="28"/>
          <w:u w:val="single"/>
          <w:vertAlign w:val="baseline"/>
        </w:rPr>
      </w:pPr>
      <w:r w:rsidRPr="006A3816">
        <w:rPr>
          <w:rFonts w:ascii="Times New Roman" w:hAnsi="Times New Roman" w:cs="Times New Roman"/>
          <w:b/>
          <w:sz w:val="28"/>
          <w:szCs w:val="28"/>
          <w:u w:val="single"/>
          <w:vertAlign w:val="baseline"/>
        </w:rPr>
        <w:t>Introduction</w:t>
      </w:r>
    </w:p>
    <w:p w14:paraId="4BEF82FF" w14:textId="77777777" w:rsidR="007E494A" w:rsidRDefault="007E494A" w:rsidP="007E494A">
      <w:pPr>
        <w:spacing w:line="480" w:lineRule="auto"/>
        <w:jc w:val="both"/>
        <w:rPr>
          <w:rFonts w:ascii="Times New Roman" w:hAnsi="Times New Roman" w:cs="Times New Roman"/>
          <w:sz w:val="24"/>
          <w:szCs w:val="24"/>
          <w:vertAlign w:val="baseline"/>
        </w:rPr>
      </w:pPr>
    </w:p>
    <w:p w14:paraId="3E814335" w14:textId="5D3FD754" w:rsidR="007E494A" w:rsidRDefault="007E494A" w:rsidP="00C668C2">
      <w:pPr>
        <w:spacing w:line="480" w:lineRule="auto"/>
        <w:ind w:firstLine="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Historically, alleged witches have been drowned, hung, and burned alive for their ‘crimes.’ The witchcraft trials of the 16</w:t>
      </w:r>
      <w:r w:rsidRPr="000409A3">
        <w:rPr>
          <w:rFonts w:ascii="Times New Roman" w:hAnsi="Times New Roman" w:cs="Times New Roman"/>
          <w:sz w:val="24"/>
          <w:szCs w:val="24"/>
        </w:rPr>
        <w:t>th</w:t>
      </w:r>
      <w:r>
        <w:rPr>
          <w:rFonts w:ascii="Times New Roman" w:hAnsi="Times New Roman" w:cs="Times New Roman"/>
          <w:sz w:val="24"/>
          <w:szCs w:val="24"/>
          <w:vertAlign w:val="baseline"/>
        </w:rPr>
        <w:t xml:space="preserve"> to 18</w:t>
      </w:r>
      <w:r w:rsidRPr="000409A3">
        <w:rPr>
          <w:rFonts w:ascii="Times New Roman" w:hAnsi="Times New Roman" w:cs="Times New Roman"/>
          <w:sz w:val="24"/>
          <w:szCs w:val="24"/>
        </w:rPr>
        <w:t>th</w:t>
      </w:r>
      <w:r>
        <w:rPr>
          <w:rFonts w:ascii="Times New Roman" w:hAnsi="Times New Roman" w:cs="Times New Roman"/>
          <w:sz w:val="24"/>
          <w:szCs w:val="24"/>
          <w:vertAlign w:val="baseline"/>
        </w:rPr>
        <w:t xml:space="preserve"> century are a dominant feature of European history. Yet, whilst many believe witchcraft to be a thing of the past, the persecution of alleged witches continues, with prevalence, within contemporary society. Belief in witchcraft encompasses religion, culture and superstition, and is based on the linked concepts of fear and evil. Superstition is a misconception that specific behaviour can influence unrelated events. Thus, superstition creates a link b</w:t>
      </w:r>
      <w:r w:rsidR="00655C14">
        <w:rPr>
          <w:rFonts w:ascii="Times New Roman" w:hAnsi="Times New Roman" w:cs="Times New Roman"/>
          <w:sz w:val="24"/>
          <w:szCs w:val="24"/>
          <w:vertAlign w:val="baseline"/>
        </w:rPr>
        <w:t>etween an action and an outcome,</w:t>
      </w:r>
      <w:r>
        <w:rPr>
          <w:rFonts w:ascii="Times New Roman" w:hAnsi="Times New Roman" w:cs="Times New Roman"/>
          <w:sz w:val="24"/>
          <w:szCs w:val="24"/>
          <w:vertAlign w:val="baseline"/>
        </w:rPr>
        <w:t xml:space="preserve"> whereas, in reality, there is no causal link whatsoever. The belief in witchcraft is, thus, a culmination of all three concepts, superstition, evil and fear. This thesis will seek to examine all three concepts in detail</w:t>
      </w:r>
      <w:r w:rsidR="00DB6026">
        <w:rPr>
          <w:rFonts w:ascii="Times New Roman" w:hAnsi="Times New Roman" w:cs="Times New Roman"/>
          <w:sz w:val="24"/>
          <w:szCs w:val="24"/>
          <w:vertAlign w:val="baseline"/>
        </w:rPr>
        <w:t>,</w:t>
      </w:r>
      <w:r>
        <w:rPr>
          <w:rFonts w:ascii="Times New Roman" w:hAnsi="Times New Roman" w:cs="Times New Roman"/>
          <w:sz w:val="24"/>
          <w:szCs w:val="24"/>
          <w:vertAlign w:val="baseline"/>
        </w:rPr>
        <w:t xml:space="preserve"> in order to fully understand the basis of witchcraft beliefs and accusations. Witchcraft enables people to manipulate others beliefs into thinking that someone or something else is responsible.</w:t>
      </w:r>
      <w:r w:rsidRPr="00BF53B1">
        <w:rPr>
          <w:rFonts w:ascii="Times New Roman" w:hAnsi="Times New Roman" w:cs="Times New Roman"/>
          <w:sz w:val="24"/>
          <w:szCs w:val="24"/>
          <w:vertAlign w:val="baseline"/>
        </w:rPr>
        <w:t xml:space="preserve"> </w:t>
      </w:r>
      <w:r>
        <w:rPr>
          <w:rFonts w:ascii="Times New Roman" w:hAnsi="Times New Roman" w:cs="Times New Roman"/>
          <w:sz w:val="24"/>
          <w:szCs w:val="24"/>
          <w:vertAlign w:val="baseline"/>
        </w:rPr>
        <w:t xml:space="preserve">Thus, witchcraft regulates the conduct of society, through fear. It provides a discourse, which explains why things happen and what can be done to rectify the situation. Yet what the witchcraft discourse fails to do is ascertain how these things happen. </w:t>
      </w:r>
    </w:p>
    <w:p w14:paraId="7FFC2888" w14:textId="77777777" w:rsidR="007E494A" w:rsidRDefault="007E494A" w:rsidP="007E494A">
      <w:pPr>
        <w:spacing w:line="360" w:lineRule="auto"/>
        <w:jc w:val="both"/>
        <w:rPr>
          <w:rFonts w:ascii="Times New Roman" w:hAnsi="Times New Roman" w:cs="Times New Roman"/>
          <w:sz w:val="24"/>
          <w:szCs w:val="24"/>
          <w:vertAlign w:val="baseline"/>
        </w:rPr>
      </w:pPr>
    </w:p>
    <w:p w14:paraId="07ABF946" w14:textId="70CA3348" w:rsidR="007E494A" w:rsidRDefault="007E494A" w:rsidP="0039062E">
      <w:pPr>
        <w:spacing w:line="480" w:lineRule="auto"/>
        <w:ind w:firstLine="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Belief in witchcraft is prevalent. Witches are alleged to possess inherent supernatural powers that are used predominantly to create evil or misfortune. The range of events blamed on witchcraft is extensive; illness, the inability to have children, accidents, loss or destruction of property, droughts, floods and fires are just some occurrences blamed on witches. Of course, there are always those people in society who are willing to propagate such beliefs for self-gain. Aggrieved family members and witchdoctor</w:t>
      </w:r>
      <w:r w:rsidR="00255EFB">
        <w:rPr>
          <w:rFonts w:ascii="Times New Roman" w:hAnsi="Times New Roman" w:cs="Times New Roman"/>
          <w:sz w:val="24"/>
          <w:szCs w:val="24"/>
          <w:vertAlign w:val="baseline"/>
        </w:rPr>
        <w:t>s are often the primary accusers</w:t>
      </w:r>
      <w:r>
        <w:rPr>
          <w:rFonts w:ascii="Times New Roman" w:hAnsi="Times New Roman" w:cs="Times New Roman"/>
          <w:sz w:val="24"/>
          <w:szCs w:val="24"/>
          <w:vertAlign w:val="baseline"/>
        </w:rPr>
        <w:t xml:space="preserve">. Within those communities where witchdoctors are often the only form of medical treatment it is understood that their work is largely beneficial to society, as they perform their work openly and publicly, unlike witches, who </w:t>
      </w:r>
      <w:r w:rsidR="00F057B0">
        <w:rPr>
          <w:rFonts w:ascii="Times New Roman" w:hAnsi="Times New Roman" w:cs="Times New Roman"/>
          <w:sz w:val="24"/>
          <w:szCs w:val="24"/>
          <w:vertAlign w:val="baseline"/>
        </w:rPr>
        <w:t xml:space="preserve">allegedly </w:t>
      </w:r>
      <w:r>
        <w:rPr>
          <w:rFonts w:ascii="Times New Roman" w:hAnsi="Times New Roman" w:cs="Times New Roman"/>
          <w:sz w:val="24"/>
          <w:szCs w:val="24"/>
          <w:vertAlign w:val="baseline"/>
        </w:rPr>
        <w:t xml:space="preserve">perform all their work secretly throughout the night. Witches are almost always female. This was the case historically, and remains so today. The subordinate status of women as the weaker sex, who therefore must be more susceptible to witchcraft influences, still permeates throughout contemporary society. </w:t>
      </w:r>
      <w:r w:rsidR="001B1E60">
        <w:rPr>
          <w:rFonts w:ascii="Times New Roman" w:hAnsi="Times New Roman" w:cs="Times New Roman"/>
          <w:sz w:val="24"/>
          <w:szCs w:val="24"/>
          <w:vertAlign w:val="baseline"/>
        </w:rPr>
        <w:t xml:space="preserve"> As this thesis deals with a critical examination of the rights of women, the theoretical framework that informs this work is feminist theory</w:t>
      </w:r>
      <w:r w:rsidR="00D01C72">
        <w:rPr>
          <w:rFonts w:ascii="Times New Roman" w:hAnsi="Times New Roman" w:cs="Times New Roman"/>
          <w:sz w:val="24"/>
          <w:szCs w:val="24"/>
          <w:vertAlign w:val="baseline"/>
        </w:rPr>
        <w:t>, specifically feminist legal methodology</w:t>
      </w:r>
      <w:r w:rsidR="001B1E60">
        <w:rPr>
          <w:rFonts w:ascii="Times New Roman" w:hAnsi="Times New Roman" w:cs="Times New Roman"/>
          <w:sz w:val="24"/>
          <w:szCs w:val="24"/>
          <w:vertAlign w:val="baseline"/>
        </w:rPr>
        <w:t>.</w:t>
      </w:r>
      <w:r w:rsidR="00D01C72">
        <w:rPr>
          <w:rFonts w:ascii="Times New Roman" w:hAnsi="Times New Roman" w:cs="Times New Roman"/>
          <w:sz w:val="24"/>
          <w:szCs w:val="24"/>
          <w:vertAlign w:val="baseline"/>
        </w:rPr>
        <w:t xml:space="preserve"> Feminist theory is the exploration of inequality in respect of gender relations and is utilised to understand how gender inequality manifests itself in both the public sphere and in the private sphere. This will be discussed in more detail within the methodology section in chapter one.</w:t>
      </w:r>
    </w:p>
    <w:p w14:paraId="6B869C50" w14:textId="77777777" w:rsidR="007E494A" w:rsidRDefault="007E494A" w:rsidP="007E494A">
      <w:pPr>
        <w:spacing w:line="360" w:lineRule="auto"/>
        <w:jc w:val="both"/>
        <w:rPr>
          <w:rFonts w:ascii="Times New Roman" w:hAnsi="Times New Roman" w:cs="Times New Roman"/>
          <w:sz w:val="24"/>
          <w:szCs w:val="24"/>
          <w:vertAlign w:val="baseline"/>
        </w:rPr>
      </w:pPr>
    </w:p>
    <w:p w14:paraId="26279782" w14:textId="1A0EF678" w:rsidR="007E494A" w:rsidRDefault="00AF7654" w:rsidP="00AF7654">
      <w:pPr>
        <w:spacing w:line="480" w:lineRule="auto"/>
        <w:ind w:firstLine="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The main focus of this thesis is to examine the content, effectiveness and limitations of the human rights framework regarding witchcraft accusations and persecution. On examination of the contemporary belief in witchcraft, </w:t>
      </w:r>
      <w:r w:rsidR="007E494A">
        <w:rPr>
          <w:rFonts w:ascii="Times New Roman" w:hAnsi="Times New Roman" w:cs="Times New Roman"/>
          <w:sz w:val="24"/>
          <w:szCs w:val="24"/>
          <w:vertAlign w:val="baseline"/>
        </w:rPr>
        <w:t>this thesis wi</w:t>
      </w:r>
      <w:r>
        <w:rPr>
          <w:rFonts w:ascii="Times New Roman" w:hAnsi="Times New Roman" w:cs="Times New Roman"/>
          <w:sz w:val="24"/>
          <w:szCs w:val="24"/>
          <w:vertAlign w:val="baseline"/>
        </w:rPr>
        <w:t xml:space="preserve">ll seek to answer the following main </w:t>
      </w:r>
      <w:r w:rsidR="00C01119">
        <w:rPr>
          <w:rFonts w:ascii="Times New Roman" w:hAnsi="Times New Roman" w:cs="Times New Roman"/>
          <w:sz w:val="24"/>
          <w:szCs w:val="24"/>
          <w:vertAlign w:val="baseline"/>
        </w:rPr>
        <w:t xml:space="preserve">research </w:t>
      </w:r>
      <w:r w:rsidR="007E494A">
        <w:rPr>
          <w:rFonts w:ascii="Times New Roman" w:hAnsi="Times New Roman" w:cs="Times New Roman"/>
          <w:sz w:val="24"/>
          <w:szCs w:val="24"/>
          <w:vertAlign w:val="baseline"/>
        </w:rPr>
        <w:t xml:space="preserve">question; to what extent are witchcraft accusations and persecutions used as a </w:t>
      </w:r>
      <w:r w:rsidR="007E494A" w:rsidRPr="00A41EC5">
        <w:rPr>
          <w:rFonts w:ascii="Times New Roman" w:hAnsi="Times New Roman" w:cs="Times New Roman"/>
          <w:sz w:val="24"/>
          <w:szCs w:val="24"/>
          <w:vertAlign w:val="baseline"/>
        </w:rPr>
        <w:t>marginalisation mechanism of women, in order to preserve patriarchal norms</w:t>
      </w:r>
      <w:r w:rsidR="007E494A">
        <w:rPr>
          <w:rFonts w:ascii="Times New Roman" w:hAnsi="Times New Roman" w:cs="Times New Roman"/>
          <w:sz w:val="24"/>
          <w:szCs w:val="24"/>
          <w:vertAlign w:val="baseline"/>
        </w:rPr>
        <w:t xml:space="preserve">? </w:t>
      </w:r>
      <w:r w:rsidR="00C01119">
        <w:rPr>
          <w:rFonts w:ascii="Times New Roman" w:hAnsi="Times New Roman" w:cs="Times New Roman"/>
          <w:sz w:val="24"/>
          <w:szCs w:val="24"/>
          <w:vertAlign w:val="baseline"/>
        </w:rPr>
        <w:t>Whilst this is the main research question, there are also subsequent research questions, which</w:t>
      </w:r>
      <w:r w:rsidR="008C2A2B">
        <w:rPr>
          <w:rFonts w:ascii="Times New Roman" w:hAnsi="Times New Roman" w:cs="Times New Roman"/>
          <w:sz w:val="24"/>
          <w:szCs w:val="24"/>
          <w:vertAlign w:val="baseline"/>
        </w:rPr>
        <w:t xml:space="preserve"> flow, as a consequence, </w:t>
      </w:r>
      <w:r w:rsidR="00A208DC">
        <w:rPr>
          <w:rFonts w:ascii="Times New Roman" w:hAnsi="Times New Roman" w:cs="Times New Roman"/>
          <w:sz w:val="24"/>
          <w:szCs w:val="24"/>
          <w:vertAlign w:val="baseline"/>
        </w:rPr>
        <w:t>from the main research question and</w:t>
      </w:r>
      <w:r w:rsidR="00C01119">
        <w:rPr>
          <w:rFonts w:ascii="Times New Roman" w:hAnsi="Times New Roman" w:cs="Times New Roman"/>
          <w:sz w:val="24"/>
          <w:szCs w:val="24"/>
          <w:vertAlign w:val="baseline"/>
        </w:rPr>
        <w:t xml:space="preserve"> will be discussed </w:t>
      </w:r>
      <w:r>
        <w:rPr>
          <w:rFonts w:ascii="Times New Roman" w:hAnsi="Times New Roman" w:cs="Times New Roman"/>
          <w:sz w:val="24"/>
          <w:szCs w:val="24"/>
          <w:vertAlign w:val="baseline"/>
        </w:rPr>
        <w:t xml:space="preserve">accordingly, </w:t>
      </w:r>
      <w:r w:rsidR="00C01119">
        <w:rPr>
          <w:rFonts w:ascii="Times New Roman" w:hAnsi="Times New Roman" w:cs="Times New Roman"/>
          <w:sz w:val="24"/>
          <w:szCs w:val="24"/>
          <w:vertAlign w:val="baseline"/>
        </w:rPr>
        <w:t xml:space="preserve">in the paragraphs below. </w:t>
      </w:r>
      <w:r w:rsidR="007E494A">
        <w:rPr>
          <w:rFonts w:ascii="Times New Roman" w:hAnsi="Times New Roman" w:cs="Times New Roman"/>
          <w:sz w:val="24"/>
          <w:szCs w:val="24"/>
          <w:vertAlign w:val="baseline"/>
        </w:rPr>
        <w:t>Marginalisation, as a concept, is a way of relegating individuals or groups of individuals, in order to isolate and subordinate them from the rest of the group.</w:t>
      </w:r>
      <w:r w:rsidR="007E494A">
        <w:rPr>
          <w:rStyle w:val="FootnoteReference"/>
          <w:rFonts w:ascii="Times New Roman" w:hAnsi="Times New Roman" w:cs="Times New Roman"/>
          <w:sz w:val="24"/>
          <w:szCs w:val="24"/>
        </w:rPr>
        <w:footnoteReference w:id="3"/>
      </w:r>
      <w:r w:rsidR="007E494A">
        <w:rPr>
          <w:rFonts w:ascii="Times New Roman" w:hAnsi="Times New Roman" w:cs="Times New Roman"/>
          <w:sz w:val="24"/>
          <w:szCs w:val="24"/>
          <w:vertAlign w:val="baseline"/>
        </w:rPr>
        <w:t xml:space="preserve">  Marginalised groups are often denied access to rights, often connected to the characteristics shared within this group, for example, gender, social class, religious beliefs etc. Thus, the group, in this instance, women, are prevented from participating fully in all aspects of economic, social, political and cultural life.</w:t>
      </w:r>
      <w:r w:rsidR="007E494A">
        <w:rPr>
          <w:rStyle w:val="FootnoteReference"/>
          <w:rFonts w:ascii="Times New Roman" w:hAnsi="Times New Roman" w:cs="Times New Roman"/>
          <w:sz w:val="24"/>
          <w:szCs w:val="24"/>
        </w:rPr>
        <w:footnoteReference w:id="4"/>
      </w:r>
      <w:r w:rsidR="007E494A">
        <w:rPr>
          <w:rFonts w:ascii="Times New Roman" w:hAnsi="Times New Roman" w:cs="Times New Roman"/>
          <w:sz w:val="24"/>
          <w:szCs w:val="24"/>
          <w:vertAlign w:val="baseline"/>
        </w:rPr>
        <w:t xml:space="preserve"> </w:t>
      </w:r>
    </w:p>
    <w:p w14:paraId="57EC262D" w14:textId="77777777" w:rsidR="007E494A" w:rsidRDefault="007E494A" w:rsidP="007E494A">
      <w:pPr>
        <w:spacing w:line="360" w:lineRule="auto"/>
        <w:jc w:val="both"/>
        <w:rPr>
          <w:rFonts w:ascii="Times New Roman" w:hAnsi="Times New Roman" w:cs="Times New Roman"/>
          <w:sz w:val="24"/>
          <w:szCs w:val="24"/>
          <w:vertAlign w:val="baseline"/>
        </w:rPr>
      </w:pPr>
    </w:p>
    <w:p w14:paraId="19815EEC" w14:textId="1B092862" w:rsidR="007E494A" w:rsidRPr="001C3E8C" w:rsidRDefault="007E494A" w:rsidP="009D6416">
      <w:pPr>
        <w:spacing w:line="480" w:lineRule="auto"/>
        <w:ind w:firstLine="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Legally, witchcraft accusations and persecution (WAP) </w:t>
      </w:r>
      <w:r w:rsidR="00476470">
        <w:rPr>
          <w:rFonts w:ascii="Times New Roman" w:hAnsi="Times New Roman" w:cs="Times New Roman"/>
          <w:sz w:val="24"/>
          <w:szCs w:val="24"/>
          <w:vertAlign w:val="baseline"/>
        </w:rPr>
        <w:t xml:space="preserve">threaten or </w:t>
      </w:r>
      <w:r>
        <w:rPr>
          <w:rFonts w:ascii="Times New Roman" w:hAnsi="Times New Roman" w:cs="Times New Roman"/>
          <w:sz w:val="24"/>
          <w:szCs w:val="24"/>
          <w:vertAlign w:val="baseline"/>
        </w:rPr>
        <w:t>violate a variety of human rights. Yet, the issue appears to have been largely ignored by the internationa</w:t>
      </w:r>
      <w:r w:rsidR="00476470">
        <w:rPr>
          <w:rFonts w:ascii="Times New Roman" w:hAnsi="Times New Roman" w:cs="Times New Roman"/>
          <w:sz w:val="24"/>
          <w:szCs w:val="24"/>
          <w:vertAlign w:val="baseline"/>
        </w:rPr>
        <w:t>l community. Due to the feminist</w:t>
      </w:r>
      <w:r>
        <w:rPr>
          <w:rFonts w:ascii="Times New Roman" w:hAnsi="Times New Roman" w:cs="Times New Roman"/>
          <w:sz w:val="24"/>
          <w:szCs w:val="24"/>
          <w:vertAlign w:val="baseline"/>
        </w:rPr>
        <w:t xml:space="preserve"> focus of this thesis, the Convention on the Elimination of Discrimination Against Women (CEDAW) will be examined in order to assess the effectiveness of the ‘Women’s Convention’ in protecting women from WAP. However, </w:t>
      </w:r>
      <w:r w:rsidR="009D6416">
        <w:rPr>
          <w:rFonts w:ascii="Times New Roman" w:hAnsi="Times New Roman" w:cs="Times New Roman"/>
          <w:sz w:val="24"/>
          <w:szCs w:val="24"/>
          <w:vertAlign w:val="baseline"/>
        </w:rPr>
        <w:t>there will also be an examination and</w:t>
      </w:r>
      <w:r w:rsidR="00AA7B11">
        <w:rPr>
          <w:rFonts w:ascii="Times New Roman" w:hAnsi="Times New Roman" w:cs="Times New Roman"/>
          <w:sz w:val="24"/>
          <w:szCs w:val="24"/>
          <w:vertAlign w:val="baseline"/>
        </w:rPr>
        <w:t xml:space="preserve"> feminist analysis of </w:t>
      </w:r>
      <w:r>
        <w:rPr>
          <w:rFonts w:ascii="Times New Roman" w:hAnsi="Times New Roman" w:cs="Times New Roman"/>
          <w:sz w:val="24"/>
          <w:szCs w:val="24"/>
          <w:vertAlign w:val="baseline"/>
        </w:rPr>
        <w:t xml:space="preserve">further instruments of international human </w:t>
      </w:r>
      <w:r w:rsidR="009D6416">
        <w:rPr>
          <w:rFonts w:ascii="Times New Roman" w:hAnsi="Times New Roman" w:cs="Times New Roman"/>
          <w:sz w:val="24"/>
          <w:szCs w:val="24"/>
          <w:vertAlign w:val="baseline"/>
        </w:rPr>
        <w:t>rights law</w:t>
      </w:r>
      <w:r>
        <w:rPr>
          <w:rFonts w:ascii="Times New Roman" w:hAnsi="Times New Roman" w:cs="Times New Roman"/>
          <w:sz w:val="24"/>
          <w:szCs w:val="24"/>
          <w:vertAlign w:val="baseline"/>
        </w:rPr>
        <w:t>, in order to assess whether WAP violates provisions under the International Convention on Civil and Political Rights (ICCPR), the International Covenant on Economic, Social and Cultural Rights (ICESCR) and the Convention Against Torture (CAT).</w:t>
      </w:r>
      <w:r w:rsidR="006422CB">
        <w:rPr>
          <w:rFonts w:ascii="Times New Roman" w:hAnsi="Times New Roman" w:cs="Times New Roman"/>
          <w:sz w:val="24"/>
          <w:szCs w:val="24"/>
          <w:vertAlign w:val="baseline"/>
        </w:rPr>
        <w:t xml:space="preserve"> </w:t>
      </w:r>
      <w:r>
        <w:rPr>
          <w:rFonts w:ascii="Times New Roman" w:hAnsi="Times New Roman" w:cs="Times New Roman"/>
          <w:sz w:val="24"/>
          <w:szCs w:val="24"/>
          <w:vertAlign w:val="baseline"/>
        </w:rPr>
        <w:t>Thus, this thesis will endeavour to answer a second question; h</w:t>
      </w:r>
      <w:r w:rsidRPr="001C3E8C">
        <w:rPr>
          <w:rFonts w:ascii="Times New Roman" w:hAnsi="Times New Roman" w:cs="Times New Roman"/>
          <w:sz w:val="24"/>
          <w:szCs w:val="24"/>
          <w:vertAlign w:val="baseline"/>
        </w:rPr>
        <w:t>ow effective is CEDAW and other instruments of International Human Rights Law in protecting women from witchcraft related violence and persecution?</w:t>
      </w:r>
    </w:p>
    <w:p w14:paraId="13233DA8" w14:textId="77777777" w:rsidR="007E494A" w:rsidRDefault="007E494A" w:rsidP="007E494A">
      <w:pPr>
        <w:spacing w:line="480" w:lineRule="auto"/>
        <w:jc w:val="both"/>
        <w:rPr>
          <w:rFonts w:ascii="Times New Roman" w:hAnsi="Times New Roman" w:cs="Times New Roman"/>
          <w:sz w:val="24"/>
          <w:szCs w:val="24"/>
          <w:vertAlign w:val="baseline"/>
        </w:rPr>
      </w:pPr>
    </w:p>
    <w:p w14:paraId="4A01192B" w14:textId="4DDD2CB0" w:rsidR="007E494A" w:rsidRDefault="007E494A" w:rsidP="0039062E">
      <w:pPr>
        <w:spacing w:line="480" w:lineRule="auto"/>
        <w:ind w:firstLine="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This thesis will also examine the legal asp</w:t>
      </w:r>
      <w:r w:rsidR="0055281E">
        <w:rPr>
          <w:rFonts w:ascii="Times New Roman" w:hAnsi="Times New Roman" w:cs="Times New Roman"/>
          <w:sz w:val="24"/>
          <w:szCs w:val="24"/>
          <w:vertAlign w:val="baseline"/>
        </w:rPr>
        <w:t xml:space="preserve">ect of WAP on a national level, </w:t>
      </w:r>
      <w:r>
        <w:rPr>
          <w:rFonts w:ascii="Times New Roman" w:hAnsi="Times New Roman" w:cs="Times New Roman"/>
          <w:sz w:val="24"/>
          <w:szCs w:val="24"/>
          <w:vertAlign w:val="baseline"/>
        </w:rPr>
        <w:t>specifically</w:t>
      </w:r>
      <w:r w:rsidR="0055281E">
        <w:rPr>
          <w:rFonts w:ascii="Times New Roman" w:hAnsi="Times New Roman" w:cs="Times New Roman"/>
          <w:sz w:val="24"/>
          <w:szCs w:val="24"/>
          <w:vertAlign w:val="baseline"/>
        </w:rPr>
        <w:t xml:space="preserve"> concentrating on</w:t>
      </w:r>
      <w:r>
        <w:rPr>
          <w:rFonts w:ascii="Times New Roman" w:hAnsi="Times New Roman" w:cs="Times New Roman"/>
          <w:sz w:val="24"/>
          <w:szCs w:val="24"/>
          <w:vertAlign w:val="baseline"/>
        </w:rPr>
        <w:t xml:space="preserve"> </w:t>
      </w:r>
      <w:r w:rsidR="0055281E">
        <w:rPr>
          <w:rFonts w:ascii="Times New Roman" w:hAnsi="Times New Roman" w:cs="Times New Roman"/>
          <w:sz w:val="24"/>
          <w:szCs w:val="24"/>
          <w:vertAlign w:val="baseline"/>
        </w:rPr>
        <w:t xml:space="preserve">Ghana, Papua New Guinea, Nepal and India, by </w:t>
      </w:r>
      <w:r>
        <w:rPr>
          <w:rFonts w:ascii="Times New Roman" w:hAnsi="Times New Roman" w:cs="Times New Roman"/>
          <w:sz w:val="24"/>
          <w:szCs w:val="24"/>
          <w:vertAlign w:val="baseline"/>
        </w:rPr>
        <w:t xml:space="preserve">focusing on impediments to women’s rights created by culture, tradition and discriminatory local customary laws, which remain dominated by systems of patriarchy throughout all aspects of society. It will examine national laws specific to WAP, </w:t>
      </w:r>
      <w:r w:rsidR="00375182">
        <w:rPr>
          <w:rFonts w:ascii="Times New Roman" w:hAnsi="Times New Roman" w:cs="Times New Roman"/>
          <w:sz w:val="24"/>
          <w:szCs w:val="24"/>
          <w:vertAlign w:val="baseline"/>
        </w:rPr>
        <w:t>building on the recognition of legal pluralism,</w:t>
      </w:r>
      <w:r w:rsidR="009A1552">
        <w:rPr>
          <w:rStyle w:val="FootnoteReference"/>
          <w:rFonts w:ascii="Times New Roman" w:hAnsi="Times New Roman" w:cs="Times New Roman"/>
          <w:sz w:val="24"/>
          <w:szCs w:val="24"/>
        </w:rPr>
        <w:footnoteReference w:id="5"/>
      </w:r>
      <w:r w:rsidR="00375182">
        <w:rPr>
          <w:rFonts w:ascii="Times New Roman" w:hAnsi="Times New Roman" w:cs="Times New Roman"/>
          <w:sz w:val="24"/>
          <w:szCs w:val="24"/>
          <w:vertAlign w:val="baseline"/>
        </w:rPr>
        <w:t xml:space="preserve"> and will</w:t>
      </w:r>
      <w:r w:rsidR="009A1552">
        <w:rPr>
          <w:rFonts w:ascii="Times New Roman" w:hAnsi="Times New Roman" w:cs="Times New Roman"/>
          <w:sz w:val="24"/>
          <w:szCs w:val="24"/>
          <w:vertAlign w:val="baseline"/>
        </w:rPr>
        <w:t>,</w:t>
      </w:r>
      <w:r w:rsidR="00375182">
        <w:rPr>
          <w:rFonts w:ascii="Times New Roman" w:hAnsi="Times New Roman" w:cs="Times New Roman"/>
          <w:sz w:val="24"/>
          <w:szCs w:val="24"/>
          <w:vertAlign w:val="baseline"/>
        </w:rPr>
        <w:t xml:space="preserve"> </w:t>
      </w:r>
      <w:r w:rsidR="009A1552">
        <w:rPr>
          <w:rFonts w:ascii="Times New Roman" w:hAnsi="Times New Roman" w:cs="Times New Roman"/>
          <w:sz w:val="24"/>
          <w:szCs w:val="24"/>
          <w:vertAlign w:val="baseline"/>
        </w:rPr>
        <w:t xml:space="preserve">subsequently, </w:t>
      </w:r>
      <w:r w:rsidR="00375182">
        <w:rPr>
          <w:rFonts w:ascii="Times New Roman" w:hAnsi="Times New Roman" w:cs="Times New Roman"/>
          <w:sz w:val="24"/>
          <w:szCs w:val="24"/>
          <w:vertAlign w:val="baseline"/>
        </w:rPr>
        <w:t>assess</w:t>
      </w:r>
      <w:r>
        <w:rPr>
          <w:rFonts w:ascii="Times New Roman" w:hAnsi="Times New Roman" w:cs="Times New Roman"/>
          <w:sz w:val="24"/>
          <w:szCs w:val="24"/>
          <w:vertAlign w:val="baseline"/>
        </w:rPr>
        <w:t xml:space="preserve"> the </w:t>
      </w:r>
      <w:r w:rsidR="009A1552">
        <w:rPr>
          <w:rFonts w:ascii="Times New Roman" w:hAnsi="Times New Roman" w:cs="Times New Roman"/>
          <w:sz w:val="24"/>
          <w:szCs w:val="24"/>
          <w:vertAlign w:val="baseline"/>
        </w:rPr>
        <w:t xml:space="preserve">effectiveness of these laws, </w:t>
      </w:r>
      <w:r>
        <w:rPr>
          <w:rFonts w:ascii="Times New Roman" w:hAnsi="Times New Roman" w:cs="Times New Roman"/>
          <w:sz w:val="24"/>
          <w:szCs w:val="24"/>
          <w:vertAlign w:val="baseline"/>
        </w:rPr>
        <w:t>examining why, despite the introduction of specific legislation, there remains a prevalence, if not an increase in the number of WAP related incidents.</w:t>
      </w:r>
    </w:p>
    <w:p w14:paraId="4784E7DD" w14:textId="77777777" w:rsidR="00DD2628" w:rsidRDefault="00DD2628" w:rsidP="006422CB">
      <w:pPr>
        <w:spacing w:line="480" w:lineRule="auto"/>
        <w:jc w:val="both"/>
        <w:rPr>
          <w:rFonts w:ascii="Times New Roman" w:hAnsi="Times New Roman" w:cs="Times New Roman"/>
          <w:sz w:val="24"/>
          <w:szCs w:val="24"/>
          <w:vertAlign w:val="baseline"/>
        </w:rPr>
      </w:pPr>
    </w:p>
    <w:p w14:paraId="495EEB14" w14:textId="596D2FF0" w:rsidR="006422CB" w:rsidRPr="007B67E0" w:rsidRDefault="007E494A" w:rsidP="006422CB">
      <w:pPr>
        <w:spacing w:line="480" w:lineRule="auto"/>
        <w:jc w:val="both"/>
        <w:rPr>
          <w:rFonts w:ascii="Times New Roman" w:hAnsi="Times New Roman" w:cs="Times New Roman"/>
          <w:b/>
          <w:sz w:val="24"/>
          <w:szCs w:val="24"/>
          <w:u w:val="single"/>
          <w:vertAlign w:val="baseline"/>
        </w:rPr>
      </w:pPr>
      <w:r w:rsidRPr="00636621">
        <w:rPr>
          <w:rFonts w:ascii="Times New Roman" w:hAnsi="Times New Roman" w:cs="Times New Roman"/>
          <w:b/>
          <w:sz w:val="24"/>
          <w:szCs w:val="24"/>
          <w:u w:val="single"/>
          <w:vertAlign w:val="baseline"/>
        </w:rPr>
        <w:t>Aims/Objectives of the Research</w:t>
      </w:r>
    </w:p>
    <w:p w14:paraId="009033F4" w14:textId="3DC78588" w:rsidR="007E494A" w:rsidRDefault="007E494A" w:rsidP="006422CB">
      <w:pPr>
        <w:spacing w:line="480" w:lineRule="auto"/>
        <w:ind w:firstLine="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The aim of this thesis is to raise awareness of witchcraft accusations and persecutions within contemporary society by specifically examining the phenomenon of witchcraft and the negative implications witchcraft accusations have on women globally. Moreover this thesis aims to test a hypothesis; essentially, are witchcraft accusations and persecution being used as a marginalisation mechanism of women. Thus, this thesis seeks to ascertain to what extent witchcraft accusations are used to marginalise women, within patriarchal societies. Moreover, this thesis examines WAP within the context of international human rights law. The creation and development of the human rights system, is undoubtedly one of the greatest accomplishments of the international community</w:t>
      </w:r>
      <w:r w:rsidR="003D7C56">
        <w:rPr>
          <w:rFonts w:ascii="Times New Roman" w:hAnsi="Times New Roman" w:cs="Times New Roman"/>
          <w:sz w:val="24"/>
          <w:szCs w:val="24"/>
          <w:vertAlign w:val="baseline"/>
        </w:rPr>
        <w:t xml:space="preserve"> in the past century</w:t>
      </w:r>
      <w:r>
        <w:rPr>
          <w:rFonts w:ascii="Times New Roman" w:hAnsi="Times New Roman" w:cs="Times New Roman"/>
          <w:sz w:val="24"/>
          <w:szCs w:val="24"/>
          <w:vertAlign w:val="baseline"/>
        </w:rPr>
        <w:t>. Yet, it appears that human rights violations, specifically incidents of WAP are on the increase. Consequently, this thesis assesses the effectiveness of international human rights law and the protection afforded to women subjected to witchcraft accusations and persecutions.</w:t>
      </w:r>
    </w:p>
    <w:p w14:paraId="3725D9CE" w14:textId="77777777" w:rsidR="007E494A" w:rsidRDefault="007E494A" w:rsidP="007E494A">
      <w:pPr>
        <w:spacing w:line="360" w:lineRule="auto"/>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 </w:t>
      </w:r>
    </w:p>
    <w:p w14:paraId="18C14B77" w14:textId="0E9854D4" w:rsidR="007E494A" w:rsidRPr="007B67E0" w:rsidRDefault="007E494A" w:rsidP="007B67E0">
      <w:pPr>
        <w:spacing w:line="480" w:lineRule="auto"/>
        <w:jc w:val="both"/>
        <w:rPr>
          <w:rFonts w:ascii="Times New Roman" w:hAnsi="Times New Roman" w:cs="Times New Roman"/>
          <w:b/>
          <w:sz w:val="24"/>
          <w:szCs w:val="24"/>
          <w:u w:val="single"/>
          <w:vertAlign w:val="baseline"/>
        </w:rPr>
      </w:pPr>
      <w:r w:rsidRPr="00844974">
        <w:rPr>
          <w:rFonts w:ascii="Times New Roman" w:hAnsi="Times New Roman" w:cs="Times New Roman"/>
          <w:b/>
          <w:sz w:val="24"/>
          <w:szCs w:val="24"/>
          <w:u w:val="single"/>
          <w:vertAlign w:val="baseline"/>
        </w:rPr>
        <w:t>Case Studies</w:t>
      </w:r>
    </w:p>
    <w:p w14:paraId="3FCE3077" w14:textId="589D9B2F" w:rsidR="007E494A" w:rsidRDefault="007E494A" w:rsidP="006422CB">
      <w:pPr>
        <w:spacing w:line="480" w:lineRule="auto"/>
        <w:ind w:firstLine="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In order</w:t>
      </w:r>
      <w:r w:rsidR="00961230">
        <w:rPr>
          <w:rFonts w:ascii="Times New Roman" w:hAnsi="Times New Roman" w:cs="Times New Roman"/>
          <w:sz w:val="24"/>
          <w:szCs w:val="24"/>
          <w:vertAlign w:val="baseline"/>
        </w:rPr>
        <w:t xml:space="preserve"> to complete this research, the</w:t>
      </w:r>
      <w:r>
        <w:rPr>
          <w:rFonts w:ascii="Times New Roman" w:hAnsi="Times New Roman" w:cs="Times New Roman"/>
          <w:sz w:val="24"/>
          <w:szCs w:val="24"/>
          <w:vertAlign w:val="baseline"/>
        </w:rPr>
        <w:t xml:space="preserve"> thesis will focus on four states, India, Ghana, Nepal and Papua New Guinea. </w:t>
      </w:r>
      <w:r w:rsidRPr="003E7D40">
        <w:rPr>
          <w:rFonts w:ascii="Times New Roman" w:eastAsia="Calibri" w:hAnsi="Times New Roman" w:cs="Times New Roman"/>
          <w:bCs/>
          <w:sz w:val="24"/>
          <w:szCs w:val="24"/>
          <w:vertAlign w:val="baseline"/>
        </w:rPr>
        <w:t xml:space="preserve">These four </w:t>
      </w:r>
      <w:r w:rsidR="008751E8">
        <w:rPr>
          <w:rFonts w:ascii="Times New Roman" w:eastAsia="Calibri" w:hAnsi="Times New Roman" w:cs="Times New Roman"/>
          <w:bCs/>
          <w:sz w:val="24"/>
          <w:szCs w:val="24"/>
          <w:vertAlign w:val="baseline"/>
        </w:rPr>
        <w:t>countries were chosen primarily</w:t>
      </w:r>
      <w:r w:rsidRPr="003E7D40">
        <w:rPr>
          <w:rFonts w:ascii="Times New Roman" w:eastAsia="Calibri" w:hAnsi="Times New Roman" w:cs="Times New Roman"/>
          <w:bCs/>
          <w:sz w:val="24"/>
          <w:szCs w:val="24"/>
          <w:vertAlign w:val="baseline"/>
        </w:rPr>
        <w:t xml:space="preserve"> due to the prevalence of </w:t>
      </w:r>
      <w:r>
        <w:rPr>
          <w:rFonts w:ascii="Times New Roman" w:eastAsia="Calibri" w:hAnsi="Times New Roman" w:cs="Times New Roman"/>
          <w:bCs/>
          <w:sz w:val="24"/>
          <w:szCs w:val="24"/>
          <w:vertAlign w:val="baseline"/>
        </w:rPr>
        <w:t>WAP</w:t>
      </w:r>
      <w:r w:rsidRPr="003E7D40">
        <w:rPr>
          <w:rFonts w:ascii="Times New Roman" w:eastAsia="Calibri" w:hAnsi="Times New Roman" w:cs="Times New Roman"/>
          <w:bCs/>
          <w:sz w:val="24"/>
          <w:szCs w:val="24"/>
          <w:vertAlign w:val="baseline"/>
        </w:rPr>
        <w:t xml:space="preserve"> with</w:t>
      </w:r>
      <w:r w:rsidR="008751E8">
        <w:rPr>
          <w:rFonts w:ascii="Times New Roman" w:eastAsia="Calibri" w:hAnsi="Times New Roman" w:cs="Times New Roman"/>
          <w:bCs/>
          <w:sz w:val="24"/>
          <w:szCs w:val="24"/>
          <w:vertAlign w:val="baseline"/>
        </w:rPr>
        <w:t>in</w:t>
      </w:r>
      <w:r w:rsidRPr="003E7D40">
        <w:rPr>
          <w:rFonts w:ascii="Times New Roman" w:eastAsia="Calibri" w:hAnsi="Times New Roman" w:cs="Times New Roman"/>
          <w:bCs/>
          <w:sz w:val="24"/>
          <w:szCs w:val="24"/>
          <w:vertAlign w:val="baseline"/>
        </w:rPr>
        <w:t xml:space="preserve"> all four countries, but also, due to their cultural diversity. Rather than focusing in-depth on one or two specific countries, I decided to expand the focus over these four countries, so that my thesis would represent a more comparative study of witchcraft within different cultures. This allowed me </w:t>
      </w:r>
      <w:r w:rsidRPr="003E7D40">
        <w:rPr>
          <w:rFonts w:ascii="Times New Roman" w:hAnsi="Times New Roman" w:cs="Times New Roman"/>
          <w:sz w:val="24"/>
          <w:szCs w:val="24"/>
          <w:vertAlign w:val="baseline"/>
        </w:rPr>
        <w:t>to examine how the witchcraft discourse manifests itself within different societies, identifying any common themes and differences, in order to ascertain whether a) the nature of the witchcraft discourse is inherently gendered b) how effective is the law, both national and international human rights law, in protecting women from witchcraft related violence and persecution and c) whether witchcraft accusations are used as a marginalisation mechanism of women, in order to preserve patriarchal norms.</w:t>
      </w:r>
    </w:p>
    <w:p w14:paraId="1E2B72FE" w14:textId="77777777" w:rsidR="006422CB" w:rsidRPr="006422CB" w:rsidRDefault="006422CB" w:rsidP="006422CB">
      <w:pPr>
        <w:spacing w:line="480" w:lineRule="auto"/>
        <w:ind w:firstLine="720"/>
        <w:jc w:val="both"/>
        <w:rPr>
          <w:rFonts w:ascii="Times New Roman" w:hAnsi="Times New Roman" w:cs="Times New Roman"/>
          <w:sz w:val="24"/>
          <w:szCs w:val="24"/>
          <w:vertAlign w:val="baseline"/>
        </w:rPr>
      </w:pPr>
    </w:p>
    <w:p w14:paraId="23D67A7C" w14:textId="04FAF620" w:rsidR="007E494A" w:rsidRDefault="007E494A" w:rsidP="007B67E0">
      <w:pPr>
        <w:spacing w:line="480" w:lineRule="auto"/>
        <w:jc w:val="both"/>
        <w:rPr>
          <w:rFonts w:ascii="Times New Roman" w:hAnsi="Times New Roman" w:cs="Times New Roman"/>
          <w:b/>
          <w:sz w:val="24"/>
          <w:szCs w:val="24"/>
          <w:u w:val="single"/>
          <w:vertAlign w:val="baseline"/>
        </w:rPr>
      </w:pPr>
      <w:r w:rsidRPr="00636621">
        <w:rPr>
          <w:rFonts w:ascii="Times New Roman" w:hAnsi="Times New Roman" w:cs="Times New Roman"/>
          <w:b/>
          <w:sz w:val="24"/>
          <w:szCs w:val="24"/>
          <w:u w:val="single"/>
          <w:vertAlign w:val="baseline"/>
        </w:rPr>
        <w:t>Rationale and Justification for Study</w:t>
      </w:r>
    </w:p>
    <w:p w14:paraId="76259A4B" w14:textId="5CD406C1" w:rsidR="007E494A" w:rsidRPr="006A3816" w:rsidRDefault="007E494A" w:rsidP="007B67E0">
      <w:pPr>
        <w:spacing w:line="480" w:lineRule="auto"/>
        <w:ind w:firstLine="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Whilst there has been considerable literature and debate surrounding the issue of violence against women, it is submitted that there is a lack of awareness of witchcraft violence </w:t>
      </w:r>
      <w:r>
        <w:rPr>
          <w:rFonts w:ascii="Times New Roman" w:hAnsi="Times New Roman" w:cs="Times New Roman"/>
          <w:i/>
          <w:sz w:val="24"/>
          <w:szCs w:val="24"/>
          <w:vertAlign w:val="baseline"/>
        </w:rPr>
        <w:t>per se.</w:t>
      </w:r>
      <w:r>
        <w:rPr>
          <w:rFonts w:ascii="Times New Roman" w:hAnsi="Times New Roman" w:cs="Times New Roman"/>
          <w:sz w:val="24"/>
          <w:szCs w:val="24"/>
          <w:vertAlign w:val="baseline"/>
        </w:rPr>
        <w:t xml:space="preserve"> Moreover, current research into witchcraft violence is habitually centred on children.</w:t>
      </w:r>
      <w:r>
        <w:rPr>
          <w:rStyle w:val="FootnoteReference"/>
          <w:rFonts w:ascii="Times New Roman" w:hAnsi="Times New Roman" w:cs="Times New Roman"/>
          <w:sz w:val="24"/>
          <w:szCs w:val="24"/>
        </w:rPr>
        <w:footnoteReference w:id="6"/>
      </w:r>
      <w:r>
        <w:rPr>
          <w:rFonts w:ascii="Times New Roman" w:hAnsi="Times New Roman" w:cs="Times New Roman"/>
          <w:sz w:val="24"/>
          <w:szCs w:val="24"/>
          <w:vertAlign w:val="baseline"/>
        </w:rPr>
        <w:t xml:space="preserve"> Witchcraft violence against women is an area, which is currently under-researched, yet it is progressively becoming one of the most pervasive forms of violence facing women to-date. Thus, I believe more research is needed on the subject of gender-specific witchcraft related violence, within the field of human rights law, in order to highlight the need for grea</w:t>
      </w:r>
      <w:r w:rsidR="005A2FC3">
        <w:rPr>
          <w:rFonts w:ascii="Times New Roman" w:hAnsi="Times New Roman" w:cs="Times New Roman"/>
          <w:sz w:val="24"/>
          <w:szCs w:val="24"/>
          <w:vertAlign w:val="baseline"/>
        </w:rPr>
        <w:t xml:space="preserve">ter legal protection. Thus, this </w:t>
      </w:r>
      <w:r>
        <w:rPr>
          <w:rFonts w:ascii="Times New Roman" w:hAnsi="Times New Roman" w:cs="Times New Roman"/>
          <w:sz w:val="24"/>
          <w:szCs w:val="24"/>
          <w:vertAlign w:val="baseline"/>
        </w:rPr>
        <w:t xml:space="preserve">thesis will not only be original, but will also be an important </w:t>
      </w:r>
      <w:r w:rsidR="005A2FC3">
        <w:rPr>
          <w:rFonts w:ascii="Times New Roman" w:hAnsi="Times New Roman" w:cs="Times New Roman"/>
          <w:sz w:val="24"/>
          <w:szCs w:val="24"/>
          <w:vertAlign w:val="baseline"/>
        </w:rPr>
        <w:t xml:space="preserve">contribution to </w:t>
      </w:r>
      <w:r>
        <w:rPr>
          <w:rFonts w:ascii="Times New Roman" w:hAnsi="Times New Roman" w:cs="Times New Roman"/>
          <w:sz w:val="24"/>
          <w:szCs w:val="24"/>
          <w:vertAlign w:val="baseline"/>
        </w:rPr>
        <w:t>research in the field of women’s rights.</w:t>
      </w:r>
    </w:p>
    <w:p w14:paraId="2CF694BA" w14:textId="77777777" w:rsidR="0039062E" w:rsidRDefault="0039062E" w:rsidP="007E494A">
      <w:pPr>
        <w:spacing w:line="360" w:lineRule="auto"/>
        <w:jc w:val="both"/>
        <w:rPr>
          <w:rFonts w:ascii="Times New Roman" w:hAnsi="Times New Roman" w:cs="Times New Roman"/>
          <w:b/>
          <w:sz w:val="24"/>
          <w:szCs w:val="24"/>
          <w:u w:val="single"/>
          <w:vertAlign w:val="baseline"/>
        </w:rPr>
      </w:pPr>
    </w:p>
    <w:p w14:paraId="2A2C8255" w14:textId="77777777" w:rsidR="003F18A5" w:rsidRDefault="003F18A5" w:rsidP="007E494A">
      <w:pPr>
        <w:spacing w:line="360" w:lineRule="auto"/>
        <w:jc w:val="both"/>
        <w:rPr>
          <w:rFonts w:ascii="Times New Roman" w:hAnsi="Times New Roman" w:cs="Times New Roman"/>
          <w:b/>
          <w:sz w:val="24"/>
          <w:szCs w:val="24"/>
          <w:u w:val="single"/>
          <w:vertAlign w:val="baseline"/>
        </w:rPr>
      </w:pPr>
    </w:p>
    <w:p w14:paraId="0890BAD8" w14:textId="77777777" w:rsidR="003F18A5" w:rsidRDefault="003F18A5" w:rsidP="007E494A">
      <w:pPr>
        <w:spacing w:line="360" w:lineRule="auto"/>
        <w:jc w:val="both"/>
        <w:rPr>
          <w:rFonts w:ascii="Times New Roman" w:hAnsi="Times New Roman" w:cs="Times New Roman"/>
          <w:b/>
          <w:sz w:val="24"/>
          <w:szCs w:val="24"/>
          <w:u w:val="single"/>
          <w:vertAlign w:val="baseline"/>
        </w:rPr>
      </w:pPr>
    </w:p>
    <w:p w14:paraId="5A764685" w14:textId="77777777" w:rsidR="006422CB" w:rsidRDefault="007E494A" w:rsidP="006422CB">
      <w:pPr>
        <w:spacing w:line="480" w:lineRule="auto"/>
        <w:jc w:val="both"/>
        <w:rPr>
          <w:rFonts w:ascii="Times New Roman" w:hAnsi="Times New Roman" w:cs="Times New Roman"/>
          <w:b/>
          <w:sz w:val="24"/>
          <w:szCs w:val="24"/>
          <w:u w:val="single"/>
          <w:vertAlign w:val="baseline"/>
        </w:rPr>
      </w:pPr>
      <w:r w:rsidRPr="00636621">
        <w:rPr>
          <w:rFonts w:ascii="Times New Roman" w:hAnsi="Times New Roman" w:cs="Times New Roman"/>
          <w:b/>
          <w:sz w:val="24"/>
          <w:szCs w:val="24"/>
          <w:u w:val="single"/>
          <w:vertAlign w:val="baseline"/>
        </w:rPr>
        <w:t>Overview of the Chapters</w:t>
      </w:r>
    </w:p>
    <w:p w14:paraId="2031DF7B" w14:textId="4179464C" w:rsidR="007E494A" w:rsidRPr="006422CB" w:rsidRDefault="007E494A" w:rsidP="006422CB">
      <w:pPr>
        <w:spacing w:line="480" w:lineRule="auto"/>
        <w:ind w:firstLine="720"/>
        <w:jc w:val="both"/>
        <w:rPr>
          <w:rFonts w:ascii="Times New Roman" w:hAnsi="Times New Roman" w:cs="Times New Roman"/>
          <w:b/>
          <w:sz w:val="24"/>
          <w:szCs w:val="24"/>
          <w:u w:val="single"/>
          <w:vertAlign w:val="baseline"/>
        </w:rPr>
      </w:pPr>
      <w:r>
        <w:rPr>
          <w:rFonts w:ascii="Times New Roman" w:hAnsi="Times New Roman" w:cs="Times New Roman"/>
          <w:sz w:val="24"/>
          <w:szCs w:val="24"/>
          <w:vertAlign w:val="baseline"/>
        </w:rPr>
        <w:t xml:space="preserve">This thesis seeks to build upon the literature already present within the area of witchcraft accusations and persecution against women and challenge, from a feminist perspective, the patriarchal systems, which dominate cultural beliefs. Thus, the </w:t>
      </w:r>
      <w:r w:rsidR="005A2FC3">
        <w:rPr>
          <w:rFonts w:ascii="Times New Roman" w:hAnsi="Times New Roman" w:cs="Times New Roman"/>
          <w:sz w:val="24"/>
          <w:szCs w:val="24"/>
          <w:vertAlign w:val="baseline"/>
        </w:rPr>
        <w:t xml:space="preserve">main </w:t>
      </w:r>
      <w:r>
        <w:rPr>
          <w:rFonts w:ascii="Times New Roman" w:hAnsi="Times New Roman" w:cs="Times New Roman"/>
          <w:sz w:val="24"/>
          <w:szCs w:val="24"/>
          <w:vertAlign w:val="baseline"/>
        </w:rPr>
        <w:t>r</w:t>
      </w:r>
      <w:r w:rsidR="005A2FC3">
        <w:rPr>
          <w:rFonts w:ascii="Times New Roman" w:hAnsi="Times New Roman" w:cs="Times New Roman"/>
          <w:sz w:val="24"/>
          <w:szCs w:val="24"/>
          <w:vertAlign w:val="baseline"/>
        </w:rPr>
        <w:t xml:space="preserve">esearch methodology used </w:t>
      </w:r>
      <w:r>
        <w:rPr>
          <w:rFonts w:ascii="Times New Roman" w:hAnsi="Times New Roman" w:cs="Times New Roman"/>
          <w:sz w:val="24"/>
          <w:szCs w:val="24"/>
          <w:vertAlign w:val="baseline"/>
        </w:rPr>
        <w:t>will be a feminist</w:t>
      </w:r>
      <w:r w:rsidR="00BF0A2E">
        <w:rPr>
          <w:rFonts w:ascii="Times New Roman" w:hAnsi="Times New Roman" w:cs="Times New Roman"/>
          <w:sz w:val="24"/>
          <w:szCs w:val="24"/>
          <w:vertAlign w:val="baseline"/>
        </w:rPr>
        <w:t xml:space="preserve"> legal</w:t>
      </w:r>
      <w:r>
        <w:rPr>
          <w:rFonts w:ascii="Times New Roman" w:hAnsi="Times New Roman" w:cs="Times New Roman"/>
          <w:sz w:val="24"/>
          <w:szCs w:val="24"/>
          <w:vertAlign w:val="baseline"/>
        </w:rPr>
        <w:t xml:space="preserve"> methodology. </w:t>
      </w:r>
      <w:r w:rsidR="005A2FC3">
        <w:rPr>
          <w:rFonts w:ascii="Times New Roman" w:hAnsi="Times New Roman" w:cs="Times New Roman"/>
          <w:sz w:val="24"/>
          <w:szCs w:val="24"/>
          <w:vertAlign w:val="baseline"/>
        </w:rPr>
        <w:t xml:space="preserve">In </w:t>
      </w:r>
      <w:r>
        <w:rPr>
          <w:rFonts w:ascii="Times New Roman" w:hAnsi="Times New Roman" w:cs="Times New Roman"/>
          <w:sz w:val="24"/>
          <w:szCs w:val="24"/>
          <w:vertAlign w:val="baseline"/>
        </w:rPr>
        <w:t xml:space="preserve">order to observe how the law affects the lives of women, I </w:t>
      </w:r>
      <w:r w:rsidR="005A2FC3">
        <w:rPr>
          <w:rFonts w:ascii="Times New Roman" w:hAnsi="Times New Roman" w:cs="Times New Roman"/>
          <w:sz w:val="24"/>
          <w:szCs w:val="24"/>
          <w:vertAlign w:val="baseline"/>
        </w:rPr>
        <w:t>hold</w:t>
      </w:r>
      <w:r>
        <w:rPr>
          <w:rFonts w:ascii="Times New Roman" w:hAnsi="Times New Roman" w:cs="Times New Roman"/>
          <w:sz w:val="24"/>
          <w:szCs w:val="24"/>
          <w:vertAlign w:val="baseline"/>
        </w:rPr>
        <w:t xml:space="preserve"> that a feminist approach is most valuable and appropriate, in order to ascertain the reality behind the narrative and then, subsequently, to criticise the same. Although the primary field of this dissertation is law, there will be a requirement for an interdisciplinary approach, drawing on feminist commentary from within the disciplines of law, sociology, anthropology and politics in order to embrace the importance of cross-cultural enquiry. Thus, some disciplines will be utilised more than others within different chapters.</w:t>
      </w:r>
    </w:p>
    <w:p w14:paraId="34574408" w14:textId="77777777" w:rsidR="007E494A" w:rsidRDefault="007E494A" w:rsidP="007E494A">
      <w:pPr>
        <w:spacing w:line="480" w:lineRule="auto"/>
        <w:jc w:val="both"/>
        <w:rPr>
          <w:rFonts w:ascii="Times New Roman" w:hAnsi="Times New Roman" w:cs="Times New Roman"/>
          <w:sz w:val="24"/>
          <w:szCs w:val="24"/>
          <w:vertAlign w:val="baseline"/>
        </w:rPr>
      </w:pPr>
    </w:p>
    <w:p w14:paraId="44996A05" w14:textId="22DC093E" w:rsidR="007E494A" w:rsidRDefault="007E494A" w:rsidP="00E66D94">
      <w:pPr>
        <w:spacing w:line="480" w:lineRule="auto"/>
        <w:ind w:firstLine="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The first chapter will be fundamentally theoretical, discussing the methodology that will be utilised throughout this thesis. The second chapter will explore the concepts of superstition and evil. This chapter will initially </w:t>
      </w:r>
      <w:r w:rsidR="002F7B17">
        <w:rPr>
          <w:rFonts w:ascii="Times New Roman" w:hAnsi="Times New Roman" w:cs="Times New Roman"/>
          <w:sz w:val="24"/>
          <w:szCs w:val="24"/>
          <w:vertAlign w:val="baseline"/>
        </w:rPr>
        <w:t>analyse the concept</w:t>
      </w:r>
      <w:r>
        <w:rPr>
          <w:rFonts w:ascii="Times New Roman" w:hAnsi="Times New Roman" w:cs="Times New Roman"/>
          <w:sz w:val="24"/>
          <w:szCs w:val="24"/>
          <w:vertAlign w:val="baseline"/>
        </w:rPr>
        <w:t xml:space="preserve"> of superstition. It will discuss definitions of superstition, before categorising the different types of practices that fall under the umbrella of superstition. The latter half of the chapter will examine t</w:t>
      </w:r>
      <w:r w:rsidR="006F18DC">
        <w:rPr>
          <w:rFonts w:ascii="Times New Roman" w:hAnsi="Times New Roman" w:cs="Times New Roman"/>
          <w:sz w:val="24"/>
          <w:szCs w:val="24"/>
          <w:vertAlign w:val="baseline"/>
        </w:rPr>
        <w:t>he concept of evil, which</w:t>
      </w:r>
      <w:r>
        <w:rPr>
          <w:rFonts w:ascii="Times New Roman" w:hAnsi="Times New Roman" w:cs="Times New Roman"/>
          <w:sz w:val="24"/>
          <w:szCs w:val="24"/>
          <w:vertAlign w:val="baseline"/>
        </w:rPr>
        <w:t xml:space="preserve"> will be traced historically, before investigating the link between evil and agency. This chapter is necessary for this thesis for a number of reasons. Primarily, </w:t>
      </w:r>
      <w:r w:rsidR="006F18DC">
        <w:rPr>
          <w:rFonts w:ascii="Times New Roman" w:hAnsi="Times New Roman" w:cs="Times New Roman"/>
          <w:sz w:val="24"/>
          <w:szCs w:val="24"/>
          <w:vertAlign w:val="baseline"/>
        </w:rPr>
        <w:t>it</w:t>
      </w:r>
      <w:r>
        <w:rPr>
          <w:rFonts w:ascii="Times New Roman" w:hAnsi="Times New Roman" w:cs="Times New Roman"/>
          <w:sz w:val="24"/>
          <w:szCs w:val="24"/>
          <w:vertAlign w:val="baseline"/>
        </w:rPr>
        <w:t xml:space="preserve"> will highlight and acknowledge the link between evil, superstition and witchcraft. Secondly, without this </w:t>
      </w:r>
      <w:r w:rsidR="006F18DC">
        <w:rPr>
          <w:rFonts w:ascii="Times New Roman" w:hAnsi="Times New Roman" w:cs="Times New Roman"/>
          <w:sz w:val="24"/>
          <w:szCs w:val="24"/>
          <w:vertAlign w:val="baseline"/>
        </w:rPr>
        <w:t>discussion</w:t>
      </w:r>
      <w:r>
        <w:rPr>
          <w:rFonts w:ascii="Times New Roman" w:hAnsi="Times New Roman" w:cs="Times New Roman"/>
          <w:sz w:val="24"/>
          <w:szCs w:val="24"/>
          <w:vertAlign w:val="baseline"/>
        </w:rPr>
        <w:t xml:space="preserve"> it would be impossible to fully understand the basis of witchcraft beliefs. Thirdly, this chapter provides the foundation for the more detailed discussion of witchcraft in chapter three.</w:t>
      </w:r>
    </w:p>
    <w:p w14:paraId="2B55457B" w14:textId="77777777" w:rsidR="000B50BD" w:rsidRDefault="000B50BD" w:rsidP="00E66D94">
      <w:pPr>
        <w:spacing w:line="480" w:lineRule="auto"/>
        <w:ind w:firstLine="720"/>
        <w:jc w:val="both"/>
        <w:rPr>
          <w:rFonts w:ascii="Times New Roman" w:hAnsi="Times New Roman" w:cs="Times New Roman"/>
          <w:sz w:val="24"/>
          <w:szCs w:val="24"/>
          <w:vertAlign w:val="baseline"/>
        </w:rPr>
      </w:pPr>
    </w:p>
    <w:p w14:paraId="4C8510F1" w14:textId="6762B8FC" w:rsidR="007E494A" w:rsidRDefault="007E494A" w:rsidP="0039062E">
      <w:pPr>
        <w:spacing w:line="480" w:lineRule="auto"/>
        <w:ind w:firstLine="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The third chapter will examine the phenomenon of witchcraft. It will initially explore </w:t>
      </w:r>
      <w:r w:rsidR="00A61657">
        <w:rPr>
          <w:rFonts w:ascii="Times New Roman" w:hAnsi="Times New Roman" w:cs="Times New Roman"/>
          <w:sz w:val="24"/>
          <w:szCs w:val="24"/>
          <w:vertAlign w:val="baseline"/>
        </w:rPr>
        <w:t xml:space="preserve">its </w:t>
      </w:r>
      <w:r>
        <w:rPr>
          <w:rFonts w:ascii="Times New Roman" w:hAnsi="Times New Roman" w:cs="Times New Roman"/>
          <w:sz w:val="24"/>
          <w:szCs w:val="24"/>
          <w:vertAlign w:val="baseline"/>
        </w:rPr>
        <w:t>history, before examining the phenomenon of witchcraft within the 21</w:t>
      </w:r>
      <w:r w:rsidRPr="00803516">
        <w:rPr>
          <w:rFonts w:ascii="Times New Roman" w:hAnsi="Times New Roman" w:cs="Times New Roman"/>
          <w:sz w:val="24"/>
          <w:szCs w:val="24"/>
        </w:rPr>
        <w:t>st</w:t>
      </w:r>
      <w:r>
        <w:rPr>
          <w:rFonts w:ascii="Times New Roman" w:hAnsi="Times New Roman" w:cs="Times New Roman"/>
          <w:sz w:val="24"/>
          <w:szCs w:val="24"/>
          <w:vertAlign w:val="baseline"/>
        </w:rPr>
        <w:t xml:space="preserve"> century. This will involve a</w:t>
      </w:r>
      <w:r w:rsidR="00A61657">
        <w:rPr>
          <w:rFonts w:ascii="Times New Roman" w:hAnsi="Times New Roman" w:cs="Times New Roman"/>
          <w:sz w:val="24"/>
          <w:szCs w:val="24"/>
          <w:vertAlign w:val="baseline"/>
        </w:rPr>
        <w:t>nalysis of differing terminologies</w:t>
      </w:r>
      <w:r>
        <w:rPr>
          <w:rFonts w:ascii="Times New Roman" w:hAnsi="Times New Roman" w:cs="Times New Roman"/>
          <w:sz w:val="24"/>
          <w:szCs w:val="24"/>
          <w:vertAlign w:val="baseline"/>
        </w:rPr>
        <w:t xml:space="preserve"> associated with witchcraft in order to ascertain a working definition that will be used throughout the thesis. The chapter will then consider three explanations for the existence of witchcraft beliefs before, subsequently examining the dynamics of witchcraft accusations, the perpetrators and propagators of witchcraft beliefs and the social repercussions of witchcraft accusations. The purpose of this chapter is to primarily identify the nature of witchcraft within society, before providing an understanding of where the witchcraft came from, what it is and how it</w:t>
      </w:r>
      <w:r w:rsidR="00A61657">
        <w:rPr>
          <w:rFonts w:ascii="Times New Roman" w:hAnsi="Times New Roman" w:cs="Times New Roman"/>
          <w:sz w:val="24"/>
          <w:szCs w:val="24"/>
          <w:vertAlign w:val="baseline"/>
        </w:rPr>
        <w:t xml:space="preserve"> is believed to work</w:t>
      </w:r>
      <w:r>
        <w:rPr>
          <w:rFonts w:ascii="Times New Roman" w:hAnsi="Times New Roman" w:cs="Times New Roman"/>
          <w:sz w:val="24"/>
          <w:szCs w:val="24"/>
          <w:vertAlign w:val="baseline"/>
        </w:rPr>
        <w:t>. Thus, it is imperative to primarily identify the nature of witchcraft within society, as without identification, interpretation of the phenomena and its impact on women would be impossible.</w:t>
      </w:r>
    </w:p>
    <w:p w14:paraId="27E7C033" w14:textId="77777777" w:rsidR="007E494A" w:rsidRDefault="007E494A" w:rsidP="007E494A">
      <w:pPr>
        <w:spacing w:line="480" w:lineRule="auto"/>
        <w:jc w:val="both"/>
        <w:rPr>
          <w:rFonts w:ascii="Times New Roman" w:hAnsi="Times New Roman" w:cs="Times New Roman"/>
          <w:sz w:val="24"/>
          <w:szCs w:val="24"/>
          <w:vertAlign w:val="baseline"/>
        </w:rPr>
      </w:pPr>
    </w:p>
    <w:p w14:paraId="00C5256B" w14:textId="0F308538" w:rsidR="007E494A" w:rsidRDefault="007E494A" w:rsidP="0039062E">
      <w:pPr>
        <w:spacing w:line="480" w:lineRule="auto"/>
        <w:ind w:firstLine="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The fourth chapter will examine the gendering of witchcraft. It will examine how and why women are accused of witchcraft and the effects of such accusations on the enjoyment of human rights. The relationship between violence against women and the traditions of culture and custom will be examined, focusing explicitly on witchcraft accusations, in order to ascertain whether </w:t>
      </w:r>
      <w:r w:rsidR="004120B6">
        <w:rPr>
          <w:rFonts w:ascii="Times New Roman" w:hAnsi="Times New Roman" w:cs="Times New Roman"/>
          <w:sz w:val="24"/>
          <w:szCs w:val="24"/>
          <w:vertAlign w:val="baseline"/>
        </w:rPr>
        <w:t>such</w:t>
      </w:r>
      <w:r>
        <w:rPr>
          <w:rFonts w:ascii="Times New Roman" w:hAnsi="Times New Roman" w:cs="Times New Roman"/>
          <w:sz w:val="24"/>
          <w:szCs w:val="24"/>
          <w:vertAlign w:val="baseline"/>
        </w:rPr>
        <w:t xml:space="preserve"> accusations are used as a marginalising tool, to keep women within their traditional roles in society. In order to ascertain this, this chapter will focus on my four case studies, Ghana, Nepal, India and Papua New Guinea to examine the way the witchcraft discourse manifests itself within different societies. Thus, common themes and di</w:t>
      </w:r>
      <w:r w:rsidR="00534E2E">
        <w:rPr>
          <w:rFonts w:ascii="Times New Roman" w:hAnsi="Times New Roman" w:cs="Times New Roman"/>
          <w:sz w:val="24"/>
          <w:szCs w:val="24"/>
          <w:vertAlign w:val="baseline"/>
        </w:rPr>
        <w:t xml:space="preserve">fferences within this </w:t>
      </w:r>
      <w:r>
        <w:rPr>
          <w:rFonts w:ascii="Times New Roman" w:hAnsi="Times New Roman" w:cs="Times New Roman"/>
          <w:sz w:val="24"/>
          <w:szCs w:val="24"/>
          <w:vertAlign w:val="baseline"/>
        </w:rPr>
        <w:t>discourse will be identified and examined in order to see whether the nature of the witchcraft discourse is inherently gendered.</w:t>
      </w:r>
    </w:p>
    <w:p w14:paraId="263938E3" w14:textId="77777777" w:rsidR="007E494A" w:rsidRDefault="007E494A" w:rsidP="007E494A">
      <w:pPr>
        <w:spacing w:line="480" w:lineRule="auto"/>
        <w:jc w:val="both"/>
        <w:rPr>
          <w:rFonts w:ascii="Times New Roman" w:hAnsi="Times New Roman" w:cs="Times New Roman"/>
          <w:sz w:val="24"/>
          <w:szCs w:val="24"/>
          <w:vertAlign w:val="baseline"/>
        </w:rPr>
      </w:pPr>
    </w:p>
    <w:p w14:paraId="7C482D16" w14:textId="5C4CF9E6" w:rsidR="007E494A" w:rsidRDefault="007E494A" w:rsidP="00BE3914">
      <w:pPr>
        <w:spacing w:line="480" w:lineRule="auto"/>
        <w:ind w:firstLine="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The fifth chapter will explore the protection of women’s rights under international human rights law. It will examine international and regional human rights instruments relevant to witchcraft accusations and persecution of women. It will then study related United Nations and intergover</w:t>
      </w:r>
      <w:r w:rsidR="005257A3">
        <w:rPr>
          <w:rFonts w:ascii="Times New Roman" w:hAnsi="Times New Roman" w:cs="Times New Roman"/>
          <w:sz w:val="24"/>
          <w:szCs w:val="24"/>
          <w:vertAlign w:val="baseline"/>
        </w:rPr>
        <w:t>nmental bodies and their jurisprudence</w:t>
      </w:r>
      <w:r>
        <w:rPr>
          <w:rFonts w:ascii="Times New Roman" w:hAnsi="Times New Roman" w:cs="Times New Roman"/>
          <w:sz w:val="24"/>
          <w:szCs w:val="24"/>
          <w:vertAlign w:val="baseline"/>
        </w:rPr>
        <w:t xml:space="preserve"> on witchcraft in relation to India, Ne</w:t>
      </w:r>
      <w:r w:rsidR="00BE3914">
        <w:rPr>
          <w:rFonts w:ascii="Times New Roman" w:hAnsi="Times New Roman" w:cs="Times New Roman"/>
          <w:sz w:val="24"/>
          <w:szCs w:val="24"/>
          <w:vertAlign w:val="baseline"/>
        </w:rPr>
        <w:t xml:space="preserve">pal, Ghana and Papua New Guinea, analysing these provisions from a feminist perspective, </w:t>
      </w:r>
      <w:r>
        <w:rPr>
          <w:rFonts w:ascii="Times New Roman" w:hAnsi="Times New Roman" w:cs="Times New Roman"/>
          <w:sz w:val="24"/>
          <w:szCs w:val="24"/>
          <w:vertAlign w:val="baseline"/>
        </w:rPr>
        <w:t>in order to assess the effectiveness of international human rights law in protecting women from witchcra</w:t>
      </w:r>
      <w:r w:rsidR="00BE3914">
        <w:rPr>
          <w:rFonts w:ascii="Times New Roman" w:hAnsi="Times New Roman" w:cs="Times New Roman"/>
          <w:sz w:val="24"/>
          <w:szCs w:val="24"/>
          <w:vertAlign w:val="baseline"/>
        </w:rPr>
        <w:t xml:space="preserve">ft accusations and persecutions. </w:t>
      </w:r>
    </w:p>
    <w:p w14:paraId="77F69B6A" w14:textId="77777777" w:rsidR="007E494A" w:rsidRDefault="007E494A" w:rsidP="007E494A">
      <w:pPr>
        <w:spacing w:line="480" w:lineRule="auto"/>
        <w:jc w:val="both"/>
        <w:rPr>
          <w:rFonts w:ascii="Times New Roman" w:hAnsi="Times New Roman" w:cs="Times New Roman"/>
          <w:sz w:val="24"/>
          <w:szCs w:val="24"/>
          <w:vertAlign w:val="baseline"/>
        </w:rPr>
      </w:pPr>
    </w:p>
    <w:p w14:paraId="4AB521D3" w14:textId="40465AE1" w:rsidR="007E494A" w:rsidRDefault="007E494A" w:rsidP="0039062E">
      <w:pPr>
        <w:spacing w:line="480" w:lineRule="auto"/>
        <w:ind w:firstLine="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Following on from the previous chapter, chapter six will look at the issues surrounding the legal protection of women from witchcraft </w:t>
      </w:r>
      <w:r w:rsidR="00103141">
        <w:rPr>
          <w:rFonts w:ascii="Times New Roman" w:hAnsi="Times New Roman" w:cs="Times New Roman"/>
          <w:sz w:val="24"/>
          <w:szCs w:val="24"/>
          <w:vertAlign w:val="baseline"/>
        </w:rPr>
        <w:t xml:space="preserve">accusations and persecution, evaluating the domestic provisions and </w:t>
      </w:r>
      <w:r>
        <w:rPr>
          <w:rFonts w:ascii="Times New Roman" w:hAnsi="Times New Roman" w:cs="Times New Roman"/>
          <w:sz w:val="24"/>
          <w:szCs w:val="24"/>
          <w:vertAlign w:val="baseline"/>
        </w:rPr>
        <w:t>the enforcement of existing legislation on a national level. Focusing on the four states, Nepal, India, Ghana and Papua New Guinea, this chapter will examine the barriers to women’s rights on a domestic level, posed by culture, tradition and local customary laws, dominated by patriarchal attitudes and stereotypes that defend and propagate the witchcraft discourse.</w:t>
      </w:r>
    </w:p>
    <w:p w14:paraId="21DF8049" w14:textId="77777777" w:rsidR="007E494A" w:rsidRDefault="007E494A" w:rsidP="007E494A">
      <w:pPr>
        <w:spacing w:line="480" w:lineRule="auto"/>
        <w:jc w:val="both"/>
        <w:rPr>
          <w:rFonts w:ascii="Times New Roman" w:hAnsi="Times New Roman" w:cs="Times New Roman"/>
          <w:sz w:val="24"/>
          <w:szCs w:val="24"/>
          <w:vertAlign w:val="baseline"/>
        </w:rPr>
      </w:pPr>
    </w:p>
    <w:p w14:paraId="164921D3" w14:textId="39E9D17B" w:rsidR="007E494A" w:rsidRDefault="007E494A" w:rsidP="0039062E">
      <w:pPr>
        <w:spacing w:line="480" w:lineRule="auto"/>
        <w:ind w:firstLine="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Chapter seven is the concluding chapter of the thesis.</w:t>
      </w:r>
      <w:r w:rsidRPr="00BF6015">
        <w:rPr>
          <w:rFonts w:ascii="Times New Roman" w:hAnsi="Times New Roman" w:cs="Times New Roman"/>
          <w:sz w:val="24"/>
          <w:szCs w:val="24"/>
          <w:vertAlign w:val="baseline"/>
        </w:rPr>
        <w:t xml:space="preserve"> </w:t>
      </w:r>
      <w:r>
        <w:rPr>
          <w:rFonts w:ascii="Times New Roman" w:hAnsi="Times New Roman" w:cs="Times New Roman"/>
          <w:sz w:val="24"/>
          <w:szCs w:val="24"/>
          <w:vertAlign w:val="baseline"/>
        </w:rPr>
        <w:t xml:space="preserve">It will provide a summary of all the arguments referred to in the preceding chapters, before re-visiting my original hypothesis, namely the assertion that WAP is being used as a marginalisation mechanism against women. </w:t>
      </w:r>
      <w:r w:rsidR="00C071DB">
        <w:rPr>
          <w:rFonts w:ascii="Times New Roman" w:hAnsi="Times New Roman" w:cs="Times New Roman"/>
          <w:sz w:val="24"/>
          <w:szCs w:val="24"/>
          <w:vertAlign w:val="baseline"/>
        </w:rPr>
        <w:t xml:space="preserve">It will offer answers to my research </w:t>
      </w:r>
      <w:r w:rsidR="00B2421B">
        <w:rPr>
          <w:rFonts w:ascii="Times New Roman" w:hAnsi="Times New Roman" w:cs="Times New Roman"/>
          <w:sz w:val="24"/>
          <w:szCs w:val="24"/>
          <w:vertAlign w:val="baseline"/>
        </w:rPr>
        <w:t>questions and make recommendations on how to improve the law.</w:t>
      </w:r>
      <w:r w:rsidR="00C071DB">
        <w:rPr>
          <w:rFonts w:ascii="Times New Roman" w:hAnsi="Times New Roman" w:cs="Times New Roman"/>
          <w:sz w:val="24"/>
          <w:szCs w:val="24"/>
          <w:vertAlign w:val="baseline"/>
        </w:rPr>
        <w:t xml:space="preserve"> </w:t>
      </w:r>
      <w:r>
        <w:rPr>
          <w:rFonts w:ascii="Times New Roman" w:hAnsi="Times New Roman" w:cs="Times New Roman"/>
          <w:sz w:val="24"/>
          <w:szCs w:val="24"/>
          <w:vertAlign w:val="baseline"/>
        </w:rPr>
        <w:t>This chapter will then examine any limitations to the research, before demonstrating its significance and originality. Finally, it will provide recommendations for areas of further study emanating from this research.</w:t>
      </w:r>
    </w:p>
    <w:p w14:paraId="0EA36310" w14:textId="77777777" w:rsidR="007E494A" w:rsidRPr="000F3925" w:rsidRDefault="007E494A" w:rsidP="007E494A">
      <w:pPr>
        <w:spacing w:line="480" w:lineRule="auto"/>
        <w:jc w:val="both"/>
        <w:rPr>
          <w:rFonts w:ascii="Times New Roman" w:hAnsi="Times New Roman" w:cs="Times New Roman"/>
          <w:sz w:val="24"/>
          <w:szCs w:val="24"/>
          <w:vertAlign w:val="baseline"/>
        </w:rPr>
      </w:pPr>
    </w:p>
    <w:p w14:paraId="357623DA" w14:textId="183E4E61" w:rsidR="00956664" w:rsidRDefault="00956664" w:rsidP="00C25EF6">
      <w:pPr>
        <w:spacing w:line="480" w:lineRule="auto"/>
        <w:jc w:val="both"/>
        <w:rPr>
          <w:rFonts w:ascii="Times New Roman" w:hAnsi="Times New Roman" w:cs="Times New Roman"/>
          <w:sz w:val="28"/>
          <w:szCs w:val="28"/>
          <w:vertAlign w:val="baseline"/>
        </w:rPr>
      </w:pPr>
    </w:p>
    <w:p w14:paraId="00224BBE" w14:textId="77777777" w:rsidR="00E71B23" w:rsidRDefault="00E71B23" w:rsidP="006F4248">
      <w:pPr>
        <w:jc w:val="center"/>
        <w:rPr>
          <w:rFonts w:ascii="Times New Roman" w:hAnsi="Times New Roman" w:cs="Times New Roman"/>
          <w:b/>
          <w:sz w:val="28"/>
          <w:szCs w:val="28"/>
          <w:u w:val="single"/>
        </w:rPr>
        <w:sectPr w:rsidR="00E71B23" w:rsidSect="00EA2769">
          <w:pgSz w:w="11900" w:h="16840"/>
          <w:pgMar w:top="1418" w:right="1418" w:bottom="1418" w:left="2155" w:header="708" w:footer="708" w:gutter="0"/>
          <w:cols w:space="708"/>
          <w:docGrid w:linePitch="360"/>
        </w:sectPr>
      </w:pPr>
    </w:p>
    <w:p w14:paraId="2094A2F3" w14:textId="4D74425A" w:rsidR="006F4248" w:rsidRPr="00E71B23" w:rsidRDefault="006F4248" w:rsidP="006F4248">
      <w:pPr>
        <w:jc w:val="center"/>
        <w:rPr>
          <w:rFonts w:ascii="Times New Roman" w:hAnsi="Times New Roman" w:cs="Times New Roman"/>
          <w:b/>
          <w:sz w:val="28"/>
          <w:szCs w:val="28"/>
          <w:u w:val="single"/>
          <w:vertAlign w:val="baseline"/>
        </w:rPr>
      </w:pPr>
      <w:r w:rsidRPr="00E71B23">
        <w:rPr>
          <w:rFonts w:ascii="Times New Roman" w:hAnsi="Times New Roman" w:cs="Times New Roman"/>
          <w:b/>
          <w:sz w:val="28"/>
          <w:szCs w:val="28"/>
          <w:u w:val="single"/>
          <w:vertAlign w:val="baseline"/>
        </w:rPr>
        <w:t>Chapter One - Research Methodology</w:t>
      </w:r>
    </w:p>
    <w:p w14:paraId="013BF7E8" w14:textId="77777777" w:rsidR="006F4248" w:rsidRPr="00E71B23" w:rsidRDefault="006F4248" w:rsidP="006F4248">
      <w:pPr>
        <w:rPr>
          <w:rFonts w:ascii="Times New Roman" w:hAnsi="Times New Roman" w:cs="Times New Roman"/>
          <w:b/>
          <w:sz w:val="24"/>
          <w:szCs w:val="24"/>
          <w:u w:val="single"/>
          <w:vertAlign w:val="baseline"/>
        </w:rPr>
      </w:pPr>
    </w:p>
    <w:p w14:paraId="74A23886" w14:textId="77777777" w:rsidR="006F4248" w:rsidRPr="00E71B23" w:rsidRDefault="006F4248" w:rsidP="006F4248">
      <w:pPr>
        <w:spacing w:line="360" w:lineRule="auto"/>
        <w:jc w:val="both"/>
        <w:rPr>
          <w:rFonts w:ascii="Times New Roman" w:hAnsi="Times New Roman" w:cs="Times New Roman"/>
          <w:b/>
          <w:sz w:val="24"/>
          <w:szCs w:val="24"/>
          <w:u w:val="single"/>
          <w:vertAlign w:val="baseline"/>
        </w:rPr>
      </w:pPr>
    </w:p>
    <w:p w14:paraId="0E5F6432" w14:textId="56569F69" w:rsidR="006F4248" w:rsidRPr="00E71B23" w:rsidRDefault="002A24FF" w:rsidP="006F4248">
      <w:pPr>
        <w:spacing w:after="200" w:line="360" w:lineRule="auto"/>
        <w:jc w:val="both"/>
        <w:rPr>
          <w:rFonts w:ascii="Times New Roman" w:eastAsia="Calibri" w:hAnsi="Times New Roman" w:cs="Times New Roman"/>
          <w:b/>
          <w:sz w:val="24"/>
          <w:szCs w:val="24"/>
          <w:u w:val="single"/>
          <w:vertAlign w:val="baseline"/>
        </w:rPr>
      </w:pPr>
      <w:r>
        <w:rPr>
          <w:rFonts w:ascii="Times New Roman" w:eastAsia="Calibri" w:hAnsi="Times New Roman" w:cs="Times New Roman"/>
          <w:b/>
          <w:sz w:val="24"/>
          <w:szCs w:val="24"/>
          <w:u w:val="single"/>
          <w:vertAlign w:val="baseline"/>
        </w:rPr>
        <w:t>1</w:t>
      </w:r>
      <w:r w:rsidR="00897B94">
        <w:rPr>
          <w:rFonts w:ascii="Times New Roman" w:eastAsia="Calibri" w:hAnsi="Times New Roman" w:cs="Times New Roman"/>
          <w:b/>
          <w:sz w:val="24"/>
          <w:szCs w:val="24"/>
          <w:u w:val="single"/>
          <w:vertAlign w:val="baseline"/>
        </w:rPr>
        <w:t>.1 INTRODUCTION</w:t>
      </w:r>
    </w:p>
    <w:p w14:paraId="7E7E9DFA" w14:textId="5E7CF07D" w:rsidR="008C478C" w:rsidRDefault="006F4248" w:rsidP="008C478C">
      <w:pPr>
        <w:spacing w:after="200" w:line="480" w:lineRule="auto"/>
        <w:ind w:firstLine="720"/>
        <w:jc w:val="both"/>
        <w:rPr>
          <w:rFonts w:ascii="Times New Roman" w:eastAsia="Calibri" w:hAnsi="Times New Roman" w:cs="Times New Roman"/>
          <w:sz w:val="24"/>
          <w:szCs w:val="24"/>
          <w:vertAlign w:val="baseline"/>
        </w:rPr>
      </w:pPr>
      <w:r w:rsidRPr="00E71B23">
        <w:rPr>
          <w:rFonts w:ascii="Times New Roman" w:eastAsia="Calibri" w:hAnsi="Times New Roman" w:cs="Times New Roman"/>
          <w:sz w:val="24"/>
          <w:szCs w:val="24"/>
          <w:vertAlign w:val="baseline"/>
        </w:rPr>
        <w:t>Despite decades of international concern regarding the status of women, and the adoption by the United Nations of the Convention on the Elimination of the Discrimination against Women (CEDAW), in 1979, violence against women remains prevalent. The key principles enshrined within the United Nations Charter are those of equality and non-discrimination. Paradoxically, feminist restructuring of women’s rights, resulting in the creation of the CEDAW and the Commission on the Status of Women (CSW), has allowed other UN human rights institutions to overlook the gender dimension of their own instruments, thereby disregarding issues such as sexual abuse, violence against women and cultural exploitation.</w:t>
      </w:r>
      <w:r w:rsidRPr="00E71B23">
        <w:rPr>
          <w:rStyle w:val="FootnoteReference"/>
          <w:rFonts w:ascii="Times New Roman" w:eastAsia="Calibri" w:hAnsi="Times New Roman" w:cs="Times New Roman"/>
          <w:sz w:val="24"/>
          <w:szCs w:val="24"/>
        </w:rPr>
        <w:footnoteReference w:id="7"/>
      </w:r>
      <w:r w:rsidRPr="00E71B23">
        <w:rPr>
          <w:rFonts w:ascii="Times New Roman" w:eastAsia="Calibri" w:hAnsi="Times New Roman" w:cs="Times New Roman"/>
          <w:sz w:val="24"/>
          <w:szCs w:val="24"/>
        </w:rPr>
        <w:t xml:space="preserve"> </w:t>
      </w:r>
      <w:r w:rsidRPr="00E71B23">
        <w:rPr>
          <w:rFonts w:ascii="Times New Roman" w:eastAsia="Calibri" w:hAnsi="Times New Roman" w:cs="Times New Roman"/>
          <w:sz w:val="24"/>
          <w:szCs w:val="24"/>
          <w:vertAlign w:val="baseline"/>
        </w:rPr>
        <w:t xml:space="preserve">Furthermore, </w:t>
      </w:r>
      <w:r w:rsidRPr="00E71B23">
        <w:rPr>
          <w:rFonts w:ascii="Times New Roman" w:eastAsia="Calibri" w:hAnsi="Times New Roman" w:cs="Times New Roman"/>
          <w:bCs/>
          <w:sz w:val="24"/>
          <w:szCs w:val="24"/>
          <w:vertAlign w:val="baseline"/>
        </w:rPr>
        <w:t>contentions that the public application of international human rights law overlooks issues within the private sphere, have strengthened feminist critiques of the masculine construction, and, consequently, feminine exclusion of human rights.</w:t>
      </w:r>
      <w:r w:rsidRPr="00E71B23">
        <w:rPr>
          <w:rStyle w:val="FootnoteReference"/>
          <w:rFonts w:ascii="Times New Roman" w:eastAsia="Calibri" w:hAnsi="Times New Roman" w:cs="Times New Roman"/>
          <w:bCs/>
          <w:sz w:val="24"/>
          <w:szCs w:val="24"/>
        </w:rPr>
        <w:footnoteReference w:id="8"/>
      </w:r>
      <w:r w:rsidRPr="00E71B23">
        <w:rPr>
          <w:rFonts w:ascii="Times New Roman" w:eastAsia="Calibri" w:hAnsi="Times New Roman" w:cs="Times New Roman"/>
          <w:bCs/>
          <w:sz w:val="24"/>
          <w:szCs w:val="24"/>
        </w:rPr>
        <w:t xml:space="preserve"> </w:t>
      </w:r>
      <w:r w:rsidRPr="00E71B23">
        <w:rPr>
          <w:rFonts w:ascii="Times New Roman" w:eastAsia="Calibri" w:hAnsi="Times New Roman" w:cs="Times New Roman"/>
          <w:sz w:val="24"/>
          <w:szCs w:val="24"/>
          <w:vertAlign w:val="baseline"/>
        </w:rPr>
        <w:t>As a result, international human rights law has found itself confronted with the challenge of being both pertinent and credible, with respect to improving the positions in which many women, throughout the world, find themselves. The conflict between culture and gender equality is possibly one of the most problematic aspects of international human rights, withi</w:t>
      </w:r>
      <w:r w:rsidR="00D211F3">
        <w:rPr>
          <w:rFonts w:ascii="Times New Roman" w:eastAsia="Calibri" w:hAnsi="Times New Roman" w:cs="Times New Roman"/>
          <w:sz w:val="24"/>
          <w:szCs w:val="24"/>
          <w:vertAlign w:val="baseline"/>
        </w:rPr>
        <w:t xml:space="preserve">n the confrontation between </w:t>
      </w:r>
      <w:r w:rsidRPr="00E71B23">
        <w:rPr>
          <w:rFonts w:ascii="Times New Roman" w:eastAsia="Calibri" w:hAnsi="Times New Roman" w:cs="Times New Roman"/>
          <w:sz w:val="24"/>
          <w:szCs w:val="24"/>
          <w:vertAlign w:val="baseline"/>
        </w:rPr>
        <w:t>universalism and cultural relativism.</w:t>
      </w:r>
      <w:r w:rsidRPr="00E71B23">
        <w:rPr>
          <w:rStyle w:val="FootnoteReference"/>
          <w:rFonts w:ascii="Times New Roman" w:eastAsia="Calibri" w:hAnsi="Times New Roman" w:cs="Times New Roman"/>
          <w:sz w:val="24"/>
          <w:szCs w:val="24"/>
        </w:rPr>
        <w:footnoteReference w:id="9"/>
      </w:r>
      <w:r w:rsidR="00D211F3">
        <w:rPr>
          <w:rFonts w:ascii="Times New Roman" w:eastAsia="Calibri" w:hAnsi="Times New Roman" w:cs="Times New Roman"/>
          <w:sz w:val="24"/>
          <w:szCs w:val="24"/>
          <w:vertAlign w:val="baseline"/>
        </w:rPr>
        <w:t xml:space="preserve"> Whilst this thesis does not deal directly with this specific debate, it does, however, deal with issues pertinent to universalism and cultural relativism.</w:t>
      </w:r>
      <w:r w:rsidR="008C478C">
        <w:rPr>
          <w:rFonts w:ascii="Times New Roman" w:eastAsia="Calibri" w:hAnsi="Times New Roman" w:cs="Times New Roman"/>
          <w:sz w:val="24"/>
          <w:szCs w:val="24"/>
          <w:vertAlign w:val="baseline"/>
        </w:rPr>
        <w:t xml:space="preserve"> Thus, it is necessary </w:t>
      </w:r>
      <w:r w:rsidR="008C478C" w:rsidRPr="008C478C">
        <w:rPr>
          <w:rFonts w:ascii="Times New Roman" w:eastAsia="Calibri" w:hAnsi="Times New Roman" w:cs="Times New Roman"/>
          <w:sz w:val="24"/>
          <w:szCs w:val="24"/>
          <w:vertAlign w:val="baseline"/>
        </w:rPr>
        <w:t>at this point</w:t>
      </w:r>
      <w:r w:rsidR="008C478C">
        <w:rPr>
          <w:rFonts w:ascii="Times New Roman" w:eastAsia="Calibri" w:hAnsi="Times New Roman" w:cs="Times New Roman"/>
          <w:sz w:val="24"/>
          <w:szCs w:val="24"/>
          <w:vertAlign w:val="baseline"/>
        </w:rPr>
        <w:t>, to briefly</w:t>
      </w:r>
      <w:r w:rsidR="00F8475E">
        <w:rPr>
          <w:rFonts w:ascii="Times New Roman" w:eastAsia="Calibri" w:hAnsi="Times New Roman" w:cs="Times New Roman"/>
          <w:sz w:val="24"/>
          <w:szCs w:val="24"/>
          <w:vertAlign w:val="baseline"/>
        </w:rPr>
        <w:t xml:space="preserve"> discuss the concept of</w:t>
      </w:r>
      <w:r w:rsidR="008C478C">
        <w:rPr>
          <w:rFonts w:ascii="Times New Roman" w:eastAsia="Calibri" w:hAnsi="Times New Roman" w:cs="Times New Roman"/>
          <w:sz w:val="24"/>
          <w:szCs w:val="24"/>
          <w:vertAlign w:val="baseline"/>
        </w:rPr>
        <w:t xml:space="preserve"> legal pluralism</w:t>
      </w:r>
      <w:r w:rsidR="00F8475E">
        <w:rPr>
          <w:rFonts w:ascii="Times New Roman" w:eastAsia="Calibri" w:hAnsi="Times New Roman" w:cs="Times New Roman"/>
          <w:sz w:val="24"/>
          <w:szCs w:val="24"/>
          <w:vertAlign w:val="baseline"/>
        </w:rPr>
        <w:t>.</w:t>
      </w:r>
    </w:p>
    <w:p w14:paraId="400AD5AB" w14:textId="12E7B192" w:rsidR="008C478C" w:rsidRPr="008C3633" w:rsidRDefault="008C478C" w:rsidP="008C478C">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 xml:space="preserve">1.2 </w:t>
      </w:r>
      <w:r w:rsidRPr="008C3633">
        <w:rPr>
          <w:rFonts w:ascii="Times New Roman" w:hAnsi="Times New Roman" w:cs="Times New Roman"/>
          <w:b/>
          <w:sz w:val="24"/>
          <w:szCs w:val="24"/>
          <w:u w:val="single"/>
          <w:vertAlign w:val="baseline"/>
        </w:rPr>
        <w:t>L</w:t>
      </w:r>
      <w:r>
        <w:rPr>
          <w:rFonts w:ascii="Times New Roman" w:hAnsi="Times New Roman" w:cs="Times New Roman"/>
          <w:b/>
          <w:sz w:val="24"/>
          <w:szCs w:val="24"/>
          <w:u w:val="single"/>
          <w:vertAlign w:val="baseline"/>
        </w:rPr>
        <w:t xml:space="preserve">EGAL PLURALISM </w:t>
      </w:r>
    </w:p>
    <w:p w14:paraId="7AB3E213" w14:textId="77777777" w:rsidR="008C478C" w:rsidRDefault="008C478C" w:rsidP="008C478C">
      <w:pPr>
        <w:spacing w:line="480" w:lineRule="auto"/>
        <w:ind w:firstLine="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Legal pluralism can be generally defined as, ‘a situation in which two or more legal systems coexist in the same social field.’</w:t>
      </w:r>
      <w:r w:rsidRPr="008C3633">
        <w:rPr>
          <w:rFonts w:ascii="Times New Roman" w:hAnsi="Times New Roman" w:cs="Times New Roman"/>
          <w:sz w:val="24"/>
          <w:szCs w:val="24"/>
        </w:rPr>
        <w:footnoteReference w:id="10"/>
      </w:r>
      <w:r w:rsidRPr="008C3633">
        <w:rPr>
          <w:rFonts w:ascii="Times New Roman" w:hAnsi="Times New Roman" w:cs="Times New Roman"/>
          <w:sz w:val="24"/>
          <w:szCs w:val="24"/>
          <w:vertAlign w:val="baseline"/>
        </w:rPr>
        <w:t xml:space="preserve"> As Davies observes, ‘at the basic level … legal pluralism consist of descriptive analyses of dual or multiple laws or legal systems in particular areas of the world.’</w:t>
      </w:r>
      <w:r w:rsidRPr="008C3633">
        <w:rPr>
          <w:rFonts w:ascii="Times New Roman" w:hAnsi="Times New Roman" w:cs="Times New Roman"/>
          <w:sz w:val="24"/>
          <w:szCs w:val="24"/>
        </w:rPr>
        <w:footnoteReference w:id="11"/>
      </w:r>
      <w:r w:rsidRPr="008C3633">
        <w:rPr>
          <w:rFonts w:ascii="Times New Roman" w:hAnsi="Times New Roman" w:cs="Times New Roman"/>
          <w:sz w:val="24"/>
          <w:szCs w:val="24"/>
          <w:vertAlign w:val="baseline"/>
        </w:rPr>
        <w:t xml:space="preserve"> Legal pluralism was originally identified and studied, anthropologically, in relation to colonial and postcolonial societies, where it is common for ‘imposed legal systems to co-exist and interconnect with customary, indigenous and/or religious law.’</w:t>
      </w:r>
      <w:r w:rsidRPr="008C3633">
        <w:rPr>
          <w:rFonts w:ascii="Times New Roman" w:hAnsi="Times New Roman" w:cs="Times New Roman"/>
          <w:sz w:val="24"/>
          <w:szCs w:val="24"/>
        </w:rPr>
        <w:footnoteReference w:id="12"/>
      </w:r>
      <w:r w:rsidRPr="008C3633">
        <w:rPr>
          <w:rFonts w:ascii="Times New Roman" w:hAnsi="Times New Roman" w:cs="Times New Roman"/>
          <w:sz w:val="24"/>
          <w:szCs w:val="24"/>
          <w:vertAlign w:val="baseline"/>
        </w:rPr>
        <w:t xml:space="preserve"> As Provost and Sheppard explain, </w:t>
      </w:r>
    </w:p>
    <w:p w14:paraId="3DAF05CF" w14:textId="77777777" w:rsidR="008C478C" w:rsidRPr="008C3633" w:rsidRDefault="008C478C" w:rsidP="008C478C">
      <w:pPr>
        <w:spacing w:line="480" w:lineRule="auto"/>
        <w:ind w:firstLine="720"/>
        <w:jc w:val="both"/>
        <w:rPr>
          <w:rFonts w:ascii="Times New Roman" w:hAnsi="Times New Roman" w:cs="Times New Roman"/>
          <w:sz w:val="24"/>
          <w:szCs w:val="24"/>
          <w:vertAlign w:val="baseline"/>
        </w:rPr>
      </w:pPr>
    </w:p>
    <w:p w14:paraId="61F4F4C0" w14:textId="77777777" w:rsidR="008C478C" w:rsidRPr="008C3633" w:rsidRDefault="008C478C" w:rsidP="008C478C">
      <w:pPr>
        <w:spacing w:line="480" w:lineRule="auto"/>
        <w:ind w:left="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Legal pluralism … grew out of the anthropological analysis of the ways in which traditional communities structured their collective lives prior to and following colonization, and highlighted the existence of norms and customary laws, which played a role, parallel to that of the formal law in colonizing nations.</w:t>
      </w:r>
      <w:r w:rsidRPr="008C3633">
        <w:rPr>
          <w:rFonts w:ascii="Times New Roman" w:hAnsi="Times New Roman" w:cs="Times New Roman"/>
          <w:sz w:val="24"/>
          <w:szCs w:val="24"/>
        </w:rPr>
        <w:footnoteReference w:id="13"/>
      </w:r>
    </w:p>
    <w:p w14:paraId="0D5E61B7" w14:textId="77777777" w:rsidR="008C478C" w:rsidRPr="008C3633" w:rsidRDefault="008C478C" w:rsidP="008C478C">
      <w:pPr>
        <w:spacing w:line="480" w:lineRule="auto"/>
        <w:jc w:val="both"/>
        <w:rPr>
          <w:rFonts w:ascii="Times New Roman" w:hAnsi="Times New Roman" w:cs="Times New Roman"/>
          <w:sz w:val="24"/>
          <w:szCs w:val="24"/>
          <w:vertAlign w:val="baseline"/>
        </w:rPr>
      </w:pPr>
    </w:p>
    <w:p w14:paraId="78D75589" w14:textId="199D0A57" w:rsidR="008C478C" w:rsidRPr="008C3633" w:rsidRDefault="008C478C" w:rsidP="008C478C">
      <w:pPr>
        <w:spacing w:line="480" w:lineRule="auto"/>
        <w:ind w:firstLine="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 xml:space="preserve">However, academics have extended the concept of legal pluralism to include </w:t>
      </w:r>
      <w:r>
        <w:rPr>
          <w:rFonts w:ascii="Times New Roman" w:hAnsi="Times New Roman" w:cs="Times New Roman"/>
          <w:sz w:val="24"/>
          <w:szCs w:val="24"/>
          <w:vertAlign w:val="baseline"/>
        </w:rPr>
        <w:t>the idea of</w:t>
      </w:r>
      <w:r w:rsidRPr="008C3633">
        <w:rPr>
          <w:rFonts w:ascii="Times New Roman" w:hAnsi="Times New Roman" w:cs="Times New Roman"/>
          <w:sz w:val="24"/>
          <w:szCs w:val="24"/>
          <w:vertAlign w:val="baseline"/>
        </w:rPr>
        <w:t xml:space="preserve"> ‘states apparently governed by a single state-based legal system, where non-state normative systems often co-exist with state law, sometimes competing with it for authority over citizens.’</w:t>
      </w:r>
      <w:r w:rsidRPr="008C3633">
        <w:rPr>
          <w:rFonts w:ascii="Times New Roman" w:hAnsi="Times New Roman" w:cs="Times New Roman"/>
          <w:sz w:val="24"/>
          <w:szCs w:val="24"/>
        </w:rPr>
        <w:footnoteReference w:id="14"/>
      </w:r>
      <w:r w:rsidRPr="008C3633">
        <w:rPr>
          <w:rFonts w:ascii="Times New Roman" w:hAnsi="Times New Roman" w:cs="Times New Roman"/>
          <w:sz w:val="24"/>
          <w:szCs w:val="24"/>
          <w:vertAlign w:val="baseline"/>
        </w:rPr>
        <w:t xml:space="preserve"> Legal pluralism is a ‘complex and multifaceted concept’</w:t>
      </w:r>
      <w:r w:rsidRPr="008C3633">
        <w:rPr>
          <w:rFonts w:ascii="Times New Roman" w:hAnsi="Times New Roman" w:cs="Times New Roman"/>
          <w:sz w:val="24"/>
          <w:szCs w:val="24"/>
        </w:rPr>
        <w:footnoteReference w:id="15"/>
      </w:r>
      <w:r w:rsidRPr="008C3633">
        <w:rPr>
          <w:rFonts w:ascii="Times New Roman" w:hAnsi="Times New Roman" w:cs="Times New Roman"/>
          <w:sz w:val="24"/>
          <w:szCs w:val="24"/>
          <w:vertAlign w:val="baseline"/>
        </w:rPr>
        <w:t xml:space="preserve"> producing large amounts of academic literature</w:t>
      </w:r>
      <w:r w:rsidRPr="008C3633">
        <w:rPr>
          <w:rFonts w:ascii="Times New Roman" w:hAnsi="Times New Roman" w:cs="Times New Roman"/>
          <w:sz w:val="24"/>
          <w:szCs w:val="24"/>
        </w:rPr>
        <w:footnoteReference w:id="16"/>
      </w:r>
      <w:r w:rsidRPr="008C3633">
        <w:rPr>
          <w:rFonts w:ascii="Times New Roman" w:hAnsi="Times New Roman" w:cs="Times New Roman"/>
          <w:sz w:val="24"/>
          <w:szCs w:val="24"/>
          <w:vertAlign w:val="baseline"/>
        </w:rPr>
        <w:t xml:space="preserve"> from multiple academic fields, such as anthropology, sociology, political science and socio-legal studies. Thus, an in depth analysis of legal pluralism is beyond the scope of this thesis. For the purposes of this thesis, legal pluralism will be discussed in relation to the relationship legal pluralism has with religious freedom and human rights</w:t>
      </w:r>
      <w:r w:rsidR="00D85E0A">
        <w:rPr>
          <w:rFonts w:ascii="Times New Roman" w:hAnsi="Times New Roman" w:cs="Times New Roman"/>
          <w:sz w:val="24"/>
          <w:szCs w:val="24"/>
          <w:vertAlign w:val="baseline"/>
        </w:rPr>
        <w:t xml:space="preserve"> in Chapter six</w:t>
      </w:r>
      <w:r w:rsidRPr="008C3633">
        <w:rPr>
          <w:rFonts w:ascii="Times New Roman" w:hAnsi="Times New Roman" w:cs="Times New Roman"/>
          <w:sz w:val="24"/>
          <w:szCs w:val="24"/>
          <w:vertAlign w:val="baseline"/>
        </w:rPr>
        <w:t>,</w:t>
      </w:r>
      <w:r w:rsidR="00D85E0A">
        <w:rPr>
          <w:rStyle w:val="FootnoteReference"/>
          <w:rFonts w:ascii="Times New Roman" w:hAnsi="Times New Roman" w:cs="Times New Roman"/>
          <w:sz w:val="24"/>
          <w:szCs w:val="24"/>
        </w:rPr>
        <w:footnoteReference w:id="17"/>
      </w:r>
      <w:r w:rsidRPr="008C3633">
        <w:rPr>
          <w:rFonts w:ascii="Times New Roman" w:hAnsi="Times New Roman" w:cs="Times New Roman"/>
          <w:sz w:val="24"/>
          <w:szCs w:val="24"/>
          <w:vertAlign w:val="baseline"/>
        </w:rPr>
        <w:t xml:space="preserve"> specifically the potential conflict between religious and local customary laws and the limitations that these systems of law have on the personal freedom of women.</w:t>
      </w:r>
      <w:r w:rsidRPr="008C3633">
        <w:rPr>
          <w:rFonts w:ascii="Times New Roman" w:hAnsi="Times New Roman" w:cs="Times New Roman"/>
          <w:sz w:val="24"/>
          <w:szCs w:val="24"/>
        </w:rPr>
        <w:footnoteReference w:id="18"/>
      </w:r>
      <w:r w:rsidRPr="008C3633">
        <w:rPr>
          <w:rFonts w:ascii="Times New Roman" w:hAnsi="Times New Roman" w:cs="Times New Roman"/>
          <w:sz w:val="24"/>
          <w:szCs w:val="24"/>
          <w:vertAlign w:val="baseline"/>
        </w:rPr>
        <w:t xml:space="preserve"> </w:t>
      </w:r>
    </w:p>
    <w:p w14:paraId="40380454" w14:textId="77777777" w:rsidR="008C478C" w:rsidRPr="00E814A9" w:rsidRDefault="008C478C" w:rsidP="00E814A9">
      <w:pPr>
        <w:spacing w:after="200" w:line="480" w:lineRule="auto"/>
        <w:ind w:firstLine="720"/>
        <w:jc w:val="both"/>
        <w:rPr>
          <w:rFonts w:ascii="Times New Roman" w:eastAsia="Calibri" w:hAnsi="Times New Roman" w:cs="Times New Roman"/>
          <w:sz w:val="24"/>
          <w:szCs w:val="24"/>
          <w:vertAlign w:val="baseline"/>
        </w:rPr>
      </w:pPr>
    </w:p>
    <w:p w14:paraId="476EB18C" w14:textId="19AC201E" w:rsidR="006F4248" w:rsidRPr="00E814A9" w:rsidRDefault="002A24FF" w:rsidP="00E814A9">
      <w:pPr>
        <w:spacing w:after="200" w:line="480" w:lineRule="auto"/>
        <w:jc w:val="both"/>
        <w:rPr>
          <w:rFonts w:ascii="Times New Roman" w:eastAsia="Calibri" w:hAnsi="Times New Roman" w:cs="Times New Roman"/>
          <w:bCs/>
          <w:sz w:val="24"/>
          <w:szCs w:val="24"/>
          <w:vertAlign w:val="baseline"/>
        </w:rPr>
      </w:pPr>
      <w:r>
        <w:rPr>
          <w:rFonts w:ascii="Times New Roman" w:hAnsi="Times New Roman" w:cs="Times New Roman"/>
          <w:b/>
          <w:sz w:val="24"/>
          <w:szCs w:val="24"/>
          <w:u w:val="single"/>
          <w:vertAlign w:val="baseline"/>
        </w:rPr>
        <w:t>1</w:t>
      </w:r>
      <w:r w:rsidR="00A62818">
        <w:rPr>
          <w:rFonts w:ascii="Times New Roman" w:hAnsi="Times New Roman" w:cs="Times New Roman"/>
          <w:b/>
          <w:sz w:val="24"/>
          <w:szCs w:val="24"/>
          <w:u w:val="single"/>
          <w:vertAlign w:val="baseline"/>
        </w:rPr>
        <w:t>.3</w:t>
      </w:r>
      <w:r w:rsidR="00BF0A2E">
        <w:rPr>
          <w:rFonts w:ascii="Times New Roman" w:hAnsi="Times New Roman" w:cs="Times New Roman"/>
          <w:b/>
          <w:sz w:val="24"/>
          <w:szCs w:val="24"/>
          <w:u w:val="single"/>
          <w:vertAlign w:val="baseline"/>
        </w:rPr>
        <w:t xml:space="preserve"> THEORETICAL PERSPECTIVES</w:t>
      </w:r>
    </w:p>
    <w:p w14:paraId="7C9E19D4" w14:textId="0F1F97F8" w:rsidR="006F4248" w:rsidRPr="00E71B23" w:rsidRDefault="006F4248" w:rsidP="006F4248">
      <w:pPr>
        <w:tabs>
          <w:tab w:val="left" w:pos="709"/>
        </w:tabs>
        <w:spacing w:line="480" w:lineRule="auto"/>
        <w:jc w:val="both"/>
        <w:rPr>
          <w:rFonts w:ascii="Times New Roman" w:eastAsia="Calibri" w:hAnsi="Times New Roman" w:cs="Times New Roman"/>
          <w:sz w:val="24"/>
          <w:szCs w:val="24"/>
          <w:vertAlign w:val="baseline"/>
        </w:rPr>
      </w:pPr>
      <w:r w:rsidRPr="00E71B23">
        <w:rPr>
          <w:rFonts w:ascii="Times New Roman" w:hAnsi="Times New Roman" w:cs="Times New Roman"/>
          <w:sz w:val="24"/>
          <w:szCs w:val="24"/>
          <w:vertAlign w:val="baseline"/>
        </w:rPr>
        <w:tab/>
        <w:t xml:space="preserve">This thesis examines the concepts of superstition, evil, witchcraft and gender together with an examination of both national and international law. It draws on a combination of primary and secondary sources of legal materials. However, due to the lack of academic research on </w:t>
      </w:r>
      <w:r w:rsidR="00FC483D">
        <w:rPr>
          <w:rFonts w:ascii="Times New Roman" w:hAnsi="Times New Roman" w:cs="Times New Roman"/>
          <w:sz w:val="24"/>
          <w:szCs w:val="24"/>
          <w:vertAlign w:val="baseline"/>
        </w:rPr>
        <w:t>WAP</w:t>
      </w:r>
      <w:r w:rsidRPr="00E71B23">
        <w:rPr>
          <w:rFonts w:ascii="Times New Roman" w:hAnsi="Times New Roman" w:cs="Times New Roman"/>
          <w:sz w:val="24"/>
          <w:szCs w:val="24"/>
          <w:vertAlign w:val="baseline"/>
        </w:rPr>
        <w:t xml:space="preserve"> this thesis utilises a wide range of other sources of information such as government documents, media reports, NGO reports and a variety of electronic sources. Because of the complexity of the topic, there is a requirement for an interdisciplinary approach, drawing on feminist commentary from within the disciplines of anthropology, history, sociology, law and politics in order to embrace the importance of cross-cultural enquiry. </w:t>
      </w:r>
      <w:r w:rsidR="00A83A50">
        <w:rPr>
          <w:rFonts w:ascii="Times New Roman" w:hAnsi="Times New Roman" w:cs="Times New Roman"/>
          <w:sz w:val="24"/>
          <w:szCs w:val="24"/>
          <w:vertAlign w:val="baseline"/>
        </w:rPr>
        <w:t>However, as the main focus of this thesis is law, t</w:t>
      </w:r>
      <w:r w:rsidRPr="00E71B23">
        <w:rPr>
          <w:rFonts w:ascii="Times New Roman" w:hAnsi="Times New Roman" w:cs="Times New Roman"/>
          <w:sz w:val="24"/>
          <w:szCs w:val="24"/>
          <w:vertAlign w:val="baseline"/>
        </w:rPr>
        <w:t xml:space="preserve">he methodology underpinning this dissertation is, thus, a feminist </w:t>
      </w:r>
      <w:r w:rsidR="00AC56E4">
        <w:rPr>
          <w:rFonts w:ascii="Times New Roman" w:hAnsi="Times New Roman" w:cs="Times New Roman"/>
          <w:sz w:val="24"/>
          <w:szCs w:val="24"/>
          <w:vertAlign w:val="baseline"/>
        </w:rPr>
        <w:t xml:space="preserve">legal </w:t>
      </w:r>
      <w:r w:rsidRPr="00E71B23">
        <w:rPr>
          <w:rFonts w:ascii="Times New Roman" w:hAnsi="Times New Roman" w:cs="Times New Roman"/>
          <w:sz w:val="24"/>
          <w:szCs w:val="24"/>
          <w:vertAlign w:val="baseline"/>
        </w:rPr>
        <w:t xml:space="preserve">methodology, drawing from radical feminist jurisprudence, and, in particular, the works of </w:t>
      </w:r>
      <w:r w:rsidRPr="00E71B23">
        <w:rPr>
          <w:rFonts w:ascii="Times New Roman" w:eastAsia="Calibri" w:hAnsi="Times New Roman" w:cs="Times New Roman"/>
          <w:sz w:val="24"/>
          <w:szCs w:val="24"/>
          <w:vertAlign w:val="baseline"/>
        </w:rPr>
        <w:t>Catharine MacKinnon,</w:t>
      </w:r>
      <w:r w:rsidRPr="00E71B23">
        <w:rPr>
          <w:rStyle w:val="FootnoteReference"/>
          <w:rFonts w:ascii="Times New Roman" w:eastAsia="Calibri" w:hAnsi="Times New Roman" w:cs="Times New Roman"/>
          <w:sz w:val="24"/>
          <w:szCs w:val="24"/>
        </w:rPr>
        <w:footnoteReference w:id="19"/>
      </w:r>
      <w:r w:rsidRPr="00E71B23">
        <w:rPr>
          <w:rFonts w:ascii="Times New Roman" w:eastAsia="Calibri" w:hAnsi="Times New Roman" w:cs="Times New Roman"/>
          <w:sz w:val="24"/>
          <w:szCs w:val="24"/>
          <w:vertAlign w:val="baseline"/>
        </w:rPr>
        <w:t xml:space="preserve"> Hilary Charlesworth</w:t>
      </w:r>
      <w:r w:rsidRPr="00E71B23">
        <w:rPr>
          <w:rStyle w:val="FootnoteReference"/>
          <w:rFonts w:ascii="Times New Roman" w:eastAsia="Calibri" w:hAnsi="Times New Roman" w:cs="Times New Roman"/>
          <w:sz w:val="24"/>
          <w:szCs w:val="24"/>
        </w:rPr>
        <w:footnoteReference w:id="20"/>
      </w:r>
      <w:r w:rsidRPr="00E71B23">
        <w:rPr>
          <w:rFonts w:ascii="Times New Roman" w:eastAsia="Calibri" w:hAnsi="Times New Roman" w:cs="Times New Roman"/>
          <w:sz w:val="24"/>
          <w:szCs w:val="24"/>
          <w:vertAlign w:val="baseline"/>
        </w:rPr>
        <w:t xml:space="preserve"> and Christine Chinkin.</w:t>
      </w:r>
      <w:r w:rsidRPr="00E71B23">
        <w:rPr>
          <w:rStyle w:val="FootnoteReference"/>
          <w:rFonts w:ascii="Times New Roman" w:eastAsia="Calibri" w:hAnsi="Times New Roman" w:cs="Times New Roman"/>
          <w:sz w:val="24"/>
          <w:szCs w:val="24"/>
        </w:rPr>
        <w:footnoteReference w:id="21"/>
      </w:r>
      <w:r w:rsidRPr="00E71B23">
        <w:rPr>
          <w:rFonts w:ascii="Times New Roman" w:eastAsia="Calibri" w:hAnsi="Times New Roman" w:cs="Times New Roman"/>
          <w:sz w:val="24"/>
          <w:szCs w:val="24"/>
        </w:rPr>
        <w:t xml:space="preserve"> </w:t>
      </w:r>
      <w:r w:rsidRPr="00E71B23">
        <w:rPr>
          <w:rFonts w:ascii="Times New Roman" w:eastAsia="Calibri" w:hAnsi="Times New Roman" w:cs="Times New Roman"/>
          <w:sz w:val="24"/>
          <w:szCs w:val="24"/>
          <w:vertAlign w:val="baseline"/>
        </w:rPr>
        <w:t xml:space="preserve">A </w:t>
      </w:r>
      <w:r w:rsidR="00AC56E4">
        <w:rPr>
          <w:rFonts w:ascii="Times New Roman" w:eastAsia="Calibri" w:hAnsi="Times New Roman" w:cs="Times New Roman"/>
          <w:sz w:val="24"/>
          <w:szCs w:val="24"/>
          <w:vertAlign w:val="baseline"/>
        </w:rPr>
        <w:t xml:space="preserve">legal </w:t>
      </w:r>
      <w:r w:rsidRPr="00E71B23">
        <w:rPr>
          <w:rFonts w:ascii="Times New Roman" w:eastAsia="Calibri" w:hAnsi="Times New Roman" w:cs="Times New Roman"/>
          <w:sz w:val="24"/>
          <w:szCs w:val="24"/>
          <w:vertAlign w:val="baseline"/>
        </w:rPr>
        <w:t>feminist methodology is essential for this thesis for a number of reasons. Primarily,</w:t>
      </w:r>
      <w:r w:rsidRPr="00E71B23">
        <w:rPr>
          <w:rFonts w:ascii="Times New Roman" w:eastAsia="Calibri" w:hAnsi="Times New Roman" w:cs="Times New Roman"/>
          <w:i/>
          <w:sz w:val="24"/>
          <w:szCs w:val="24"/>
          <w:vertAlign w:val="baseline"/>
        </w:rPr>
        <w:t xml:space="preserve"> </w:t>
      </w:r>
      <w:r w:rsidRPr="00E71B23">
        <w:rPr>
          <w:rFonts w:ascii="Times New Roman" w:eastAsia="Calibri" w:hAnsi="Times New Roman" w:cs="Times New Roman"/>
          <w:sz w:val="24"/>
          <w:szCs w:val="24"/>
          <w:vertAlign w:val="baseline"/>
        </w:rPr>
        <w:t>this thesis deals with a critical examination of the specific rights accorded to women, with the intention of protecting them from violent</w:t>
      </w:r>
      <w:r w:rsidR="00B46504">
        <w:rPr>
          <w:rFonts w:ascii="Times New Roman" w:eastAsia="Calibri" w:hAnsi="Times New Roman" w:cs="Times New Roman"/>
          <w:sz w:val="24"/>
          <w:szCs w:val="24"/>
          <w:vertAlign w:val="baseline"/>
        </w:rPr>
        <w:t xml:space="preserve"> forms of discrimination, such as</w:t>
      </w:r>
      <w:r w:rsidRPr="00E71B23">
        <w:rPr>
          <w:rFonts w:ascii="Times New Roman" w:eastAsia="Calibri" w:hAnsi="Times New Roman" w:cs="Times New Roman"/>
          <w:sz w:val="24"/>
          <w:szCs w:val="24"/>
          <w:vertAlign w:val="baseline"/>
        </w:rPr>
        <w:t xml:space="preserve"> WAP. As observed by MacKinnon, attempting to place violence against women under the traditional scope of international human rights law, whose composition has been constructed upon the silence of women, is therefore impractical.</w:t>
      </w:r>
      <w:r w:rsidRPr="009A1251">
        <w:rPr>
          <w:rStyle w:val="FootnoteReference"/>
          <w:rFonts w:ascii="Times New Roman" w:eastAsia="Calibri" w:hAnsi="Times New Roman" w:cs="Times New Roman"/>
          <w:sz w:val="24"/>
          <w:szCs w:val="24"/>
        </w:rPr>
        <w:footnoteReference w:id="22"/>
      </w:r>
      <w:r w:rsidRPr="009A1251">
        <w:rPr>
          <w:rFonts w:ascii="Times New Roman" w:eastAsia="Calibri" w:hAnsi="Times New Roman" w:cs="Times New Roman"/>
          <w:sz w:val="24"/>
          <w:szCs w:val="24"/>
        </w:rPr>
        <w:t xml:space="preserve"> </w:t>
      </w:r>
      <w:r w:rsidRPr="00E71B23">
        <w:rPr>
          <w:rFonts w:ascii="Times New Roman" w:eastAsia="Calibri" w:hAnsi="Times New Roman" w:cs="Times New Roman"/>
          <w:sz w:val="24"/>
          <w:szCs w:val="24"/>
          <w:vertAlign w:val="baseline"/>
        </w:rPr>
        <w:t>Thus, it is essential to conceive a female identity, in order to reveal the false neutrality of the law, with reference to the discrimination of women, and, to challenge the status quo, namely that the state is jurisprudentially male.</w:t>
      </w:r>
      <w:r w:rsidRPr="009A1251">
        <w:rPr>
          <w:rStyle w:val="FootnoteReference"/>
          <w:rFonts w:ascii="Times New Roman" w:eastAsia="Calibri" w:hAnsi="Times New Roman" w:cs="Times New Roman"/>
          <w:sz w:val="24"/>
          <w:szCs w:val="24"/>
        </w:rPr>
        <w:footnoteReference w:id="23"/>
      </w:r>
    </w:p>
    <w:p w14:paraId="5851CF47" w14:textId="77777777" w:rsidR="006F4248" w:rsidRPr="00E71B23" w:rsidRDefault="006F4248" w:rsidP="006F4248">
      <w:pPr>
        <w:tabs>
          <w:tab w:val="left" w:pos="344"/>
        </w:tabs>
        <w:spacing w:line="360" w:lineRule="auto"/>
        <w:jc w:val="both"/>
        <w:rPr>
          <w:rFonts w:ascii="Times New Roman" w:eastAsia="Calibri" w:hAnsi="Times New Roman" w:cs="Times New Roman"/>
          <w:i/>
          <w:sz w:val="24"/>
          <w:szCs w:val="24"/>
          <w:vertAlign w:val="baseline"/>
        </w:rPr>
      </w:pPr>
    </w:p>
    <w:p w14:paraId="5589BAF9" w14:textId="397967E8" w:rsidR="006F4248" w:rsidRPr="00E71B23" w:rsidRDefault="006F4248" w:rsidP="006F4248">
      <w:pPr>
        <w:spacing w:after="200" w:line="480" w:lineRule="auto"/>
        <w:ind w:firstLine="720"/>
        <w:jc w:val="both"/>
        <w:rPr>
          <w:rFonts w:ascii="Times New Roman" w:eastAsia="Calibri" w:hAnsi="Times New Roman" w:cs="Times New Roman"/>
          <w:sz w:val="24"/>
          <w:szCs w:val="24"/>
          <w:vertAlign w:val="baseline"/>
        </w:rPr>
      </w:pPr>
      <w:r w:rsidRPr="00E71B23">
        <w:rPr>
          <w:rFonts w:ascii="Times New Roman" w:eastAsia="Calibri" w:hAnsi="Times New Roman" w:cs="Times New Roman"/>
          <w:sz w:val="24"/>
          <w:szCs w:val="24"/>
          <w:vertAlign w:val="baseline"/>
        </w:rPr>
        <w:t>The feminist movement</w:t>
      </w:r>
      <w:r w:rsidRPr="009A1251">
        <w:rPr>
          <w:rStyle w:val="FootnoteReference"/>
          <w:rFonts w:ascii="Times New Roman" w:eastAsia="Calibri" w:hAnsi="Times New Roman" w:cs="Times New Roman"/>
          <w:sz w:val="24"/>
          <w:szCs w:val="24"/>
        </w:rPr>
        <w:footnoteReference w:id="24"/>
      </w:r>
      <w:r w:rsidRPr="009A1251">
        <w:rPr>
          <w:rFonts w:ascii="Times New Roman" w:eastAsia="Calibri" w:hAnsi="Times New Roman" w:cs="Times New Roman"/>
          <w:sz w:val="24"/>
          <w:szCs w:val="24"/>
        </w:rPr>
        <w:t xml:space="preserve"> </w:t>
      </w:r>
      <w:r w:rsidRPr="00E71B23">
        <w:rPr>
          <w:rFonts w:ascii="Times New Roman" w:eastAsia="Calibri" w:hAnsi="Times New Roman" w:cs="Times New Roman"/>
          <w:sz w:val="24"/>
          <w:szCs w:val="24"/>
          <w:vertAlign w:val="baseline"/>
        </w:rPr>
        <w:t>has exposed inadequacies within international law, at both its conception and in later developments, revealing the jurisprudentially masculine characteristics inherent within the system, which prevent women’s assimilatio</w:t>
      </w:r>
      <w:r w:rsidR="009A1251">
        <w:rPr>
          <w:rFonts w:ascii="Times New Roman" w:eastAsia="Calibri" w:hAnsi="Times New Roman" w:cs="Times New Roman"/>
          <w:sz w:val="24"/>
          <w:szCs w:val="24"/>
          <w:vertAlign w:val="baseline"/>
        </w:rPr>
        <w:t>n.</w:t>
      </w:r>
      <w:r w:rsidRPr="009A1251">
        <w:rPr>
          <w:rStyle w:val="FootnoteReference"/>
          <w:rFonts w:ascii="Times New Roman" w:eastAsia="Calibri" w:hAnsi="Times New Roman" w:cs="Times New Roman"/>
          <w:sz w:val="24"/>
          <w:szCs w:val="24"/>
        </w:rPr>
        <w:footnoteReference w:id="25"/>
      </w:r>
      <w:r w:rsidRPr="00E71B23">
        <w:rPr>
          <w:rFonts w:ascii="Times New Roman" w:eastAsia="Calibri" w:hAnsi="Times New Roman" w:cs="Times New Roman"/>
          <w:sz w:val="24"/>
          <w:szCs w:val="24"/>
          <w:vertAlign w:val="baseline"/>
        </w:rPr>
        <w:t xml:space="preserve"> Men have developed international human rights and the legal instruments, which protect them.</w:t>
      </w:r>
      <w:r w:rsidRPr="009A1251">
        <w:rPr>
          <w:rStyle w:val="FootnoteReference"/>
          <w:rFonts w:ascii="Times New Roman" w:eastAsia="Calibri" w:hAnsi="Times New Roman" w:cs="Times New Roman"/>
          <w:sz w:val="24"/>
          <w:szCs w:val="24"/>
        </w:rPr>
        <w:footnoteReference w:id="26"/>
      </w:r>
      <w:r w:rsidRPr="009A1251">
        <w:rPr>
          <w:rFonts w:ascii="Times New Roman" w:eastAsia="Calibri" w:hAnsi="Times New Roman" w:cs="Times New Roman"/>
          <w:sz w:val="24"/>
          <w:szCs w:val="24"/>
        </w:rPr>
        <w:t xml:space="preserve"> </w:t>
      </w:r>
      <w:r w:rsidRPr="00E71B23">
        <w:rPr>
          <w:rFonts w:ascii="Times New Roman" w:eastAsia="Calibri" w:hAnsi="Times New Roman" w:cs="Times New Roman"/>
          <w:sz w:val="24"/>
          <w:szCs w:val="24"/>
          <w:vertAlign w:val="baseline"/>
        </w:rPr>
        <w:t xml:space="preserve">Accordingly, they have not been created to be receptive to the experiences of women. </w:t>
      </w:r>
      <w:r w:rsidRPr="00E71B23">
        <w:rPr>
          <w:rFonts w:ascii="Times New Roman" w:eastAsia="Calibri" w:hAnsi="Times New Roman" w:cs="Times New Roman"/>
          <w:bCs/>
          <w:sz w:val="24"/>
          <w:szCs w:val="24"/>
          <w:vertAlign w:val="baseline"/>
        </w:rPr>
        <w:t>This is particularly noticeable when examining the socially constructed concept of gender.</w:t>
      </w:r>
      <w:r w:rsidR="00E743AD">
        <w:rPr>
          <w:rStyle w:val="FootnoteReference"/>
          <w:rFonts w:ascii="Times New Roman" w:eastAsia="Calibri" w:hAnsi="Times New Roman" w:cs="Times New Roman"/>
          <w:bCs/>
          <w:sz w:val="24"/>
          <w:szCs w:val="24"/>
        </w:rPr>
        <w:footnoteReference w:id="27"/>
      </w:r>
      <w:r w:rsidRPr="00E71B23">
        <w:rPr>
          <w:rFonts w:ascii="Times New Roman" w:eastAsia="Calibri" w:hAnsi="Times New Roman" w:cs="Times New Roman"/>
          <w:bCs/>
          <w:sz w:val="24"/>
          <w:szCs w:val="24"/>
          <w:vertAlign w:val="baseline"/>
        </w:rPr>
        <w:t xml:space="preserve"> As defined by McCammon and Knox, gender refers to much more than the simplistic outlook that one is either a male or a female,</w:t>
      </w:r>
    </w:p>
    <w:p w14:paraId="667E35C9" w14:textId="11507FC7" w:rsidR="00BE2E2B" w:rsidRDefault="006F4248" w:rsidP="00EA3655">
      <w:pPr>
        <w:spacing w:after="200" w:line="480" w:lineRule="auto"/>
        <w:ind w:left="720"/>
        <w:jc w:val="both"/>
        <w:rPr>
          <w:rFonts w:ascii="Times New Roman" w:eastAsia="Calibri" w:hAnsi="Times New Roman" w:cs="Times New Roman"/>
          <w:bCs/>
          <w:sz w:val="24"/>
          <w:szCs w:val="24"/>
          <w:vertAlign w:val="baseline"/>
        </w:rPr>
      </w:pPr>
      <w:r w:rsidRPr="00E71B23">
        <w:rPr>
          <w:rFonts w:ascii="Times New Roman" w:eastAsia="Calibri" w:hAnsi="Times New Roman" w:cs="Times New Roman"/>
          <w:bCs/>
          <w:sz w:val="24"/>
          <w:szCs w:val="24"/>
          <w:vertAlign w:val="baseline"/>
        </w:rPr>
        <w:t>Gender refers to the social and psychological characteristics associated with being female or male. Characteristics typically associated with being female gender include being gentle, emotional and cooperative; characteristics typically associated with the male gender include being aggressive, rational and competitive.</w:t>
      </w:r>
      <w:r w:rsidRPr="00A7473D">
        <w:rPr>
          <w:rStyle w:val="FootnoteReference"/>
          <w:rFonts w:ascii="Times New Roman" w:eastAsia="Calibri" w:hAnsi="Times New Roman" w:cs="Times New Roman"/>
          <w:bCs/>
          <w:sz w:val="24"/>
          <w:szCs w:val="24"/>
        </w:rPr>
        <w:footnoteReference w:id="28"/>
      </w:r>
    </w:p>
    <w:p w14:paraId="32411C59" w14:textId="246CE6C4" w:rsidR="00D548A8" w:rsidRPr="00EA3655" w:rsidRDefault="006F4248" w:rsidP="00D548A8">
      <w:pPr>
        <w:spacing w:after="200" w:line="480" w:lineRule="auto"/>
        <w:ind w:firstLine="720"/>
        <w:jc w:val="both"/>
        <w:rPr>
          <w:rFonts w:ascii="Times New Roman" w:eastAsia="Calibri" w:hAnsi="Times New Roman" w:cs="Times New Roman"/>
          <w:bCs/>
          <w:i/>
          <w:sz w:val="24"/>
          <w:szCs w:val="24"/>
          <w:vertAlign w:val="baseline"/>
        </w:rPr>
      </w:pPr>
      <w:r w:rsidRPr="00E71B23">
        <w:rPr>
          <w:rFonts w:ascii="Times New Roman" w:eastAsia="Calibri" w:hAnsi="Times New Roman" w:cs="Times New Roman"/>
          <w:bCs/>
          <w:sz w:val="24"/>
          <w:szCs w:val="24"/>
          <w:vertAlign w:val="baseline"/>
        </w:rPr>
        <w:t>Where sex refers to the biological difference between being male or female, gender is a term, which has been socially constructed, dependent on social categories other than sex.</w:t>
      </w:r>
      <w:r w:rsidRPr="00D25277">
        <w:rPr>
          <w:rStyle w:val="FootnoteReference"/>
          <w:rFonts w:ascii="Times New Roman" w:eastAsia="Calibri" w:hAnsi="Times New Roman" w:cs="Times New Roman"/>
          <w:bCs/>
          <w:sz w:val="24"/>
          <w:szCs w:val="24"/>
        </w:rPr>
        <w:footnoteReference w:id="29"/>
      </w:r>
      <w:r w:rsidRPr="00E71B23">
        <w:rPr>
          <w:rFonts w:ascii="Times New Roman" w:eastAsia="Calibri" w:hAnsi="Times New Roman" w:cs="Times New Roman"/>
          <w:bCs/>
          <w:sz w:val="24"/>
          <w:szCs w:val="24"/>
          <w:vertAlign w:val="baseline"/>
        </w:rPr>
        <w:t xml:space="preserve"> As observed by Kramer, ‘social construction</w:t>
      </w:r>
      <w:r w:rsidR="00570B0F">
        <w:rPr>
          <w:rFonts w:ascii="Times New Roman" w:eastAsia="Calibri" w:hAnsi="Times New Roman" w:cs="Times New Roman"/>
          <w:bCs/>
          <w:sz w:val="24"/>
          <w:szCs w:val="24"/>
          <w:vertAlign w:val="baseline"/>
        </w:rPr>
        <w:t xml:space="preserve"> </w:t>
      </w:r>
      <w:r w:rsidRPr="00E71B23">
        <w:rPr>
          <w:rFonts w:ascii="Times New Roman" w:eastAsia="Calibri" w:hAnsi="Times New Roman" w:cs="Times New Roman"/>
          <w:bCs/>
          <w:sz w:val="24"/>
          <w:szCs w:val="24"/>
          <w:vertAlign w:val="baseline"/>
        </w:rPr>
        <w:t>…</w:t>
      </w:r>
      <w:r w:rsidR="00570B0F">
        <w:rPr>
          <w:rFonts w:ascii="Times New Roman" w:eastAsia="Calibri" w:hAnsi="Times New Roman" w:cs="Times New Roman"/>
          <w:bCs/>
          <w:sz w:val="24"/>
          <w:szCs w:val="24"/>
          <w:vertAlign w:val="baseline"/>
        </w:rPr>
        <w:t xml:space="preserve"> </w:t>
      </w:r>
      <w:r w:rsidRPr="00E71B23">
        <w:rPr>
          <w:rFonts w:ascii="Times New Roman" w:eastAsia="Calibri" w:hAnsi="Times New Roman" w:cs="Times New Roman"/>
          <w:bCs/>
          <w:sz w:val="24"/>
          <w:szCs w:val="24"/>
          <w:vertAlign w:val="baseline"/>
        </w:rPr>
        <w:t>refers to the practice of perceiving and defining aspects of people and situations inconsistently, to force our observations to fit our social beliefs.’</w:t>
      </w:r>
      <w:r w:rsidRPr="00D25277">
        <w:rPr>
          <w:rStyle w:val="FootnoteReference"/>
          <w:rFonts w:ascii="Times New Roman" w:eastAsia="Calibri" w:hAnsi="Times New Roman" w:cs="Times New Roman"/>
          <w:bCs/>
          <w:sz w:val="24"/>
          <w:szCs w:val="24"/>
        </w:rPr>
        <w:footnoteReference w:id="30"/>
      </w:r>
      <w:r w:rsidRPr="00D25277">
        <w:rPr>
          <w:rFonts w:ascii="Times New Roman" w:eastAsia="Calibri" w:hAnsi="Times New Roman" w:cs="Times New Roman"/>
          <w:bCs/>
          <w:sz w:val="24"/>
          <w:szCs w:val="24"/>
        </w:rPr>
        <w:t xml:space="preserve"> </w:t>
      </w:r>
      <w:r w:rsidRPr="00E71B23">
        <w:rPr>
          <w:rFonts w:ascii="Times New Roman" w:eastAsia="Calibri" w:hAnsi="Times New Roman" w:cs="Times New Roman"/>
          <w:bCs/>
          <w:sz w:val="24"/>
          <w:szCs w:val="24"/>
          <w:vertAlign w:val="baseline"/>
        </w:rPr>
        <w:t>Therefore, it is not the difference</w:t>
      </w:r>
      <w:r w:rsidRPr="00E71B23">
        <w:rPr>
          <w:rFonts w:ascii="Times New Roman" w:eastAsia="Calibri" w:hAnsi="Times New Roman" w:cs="Times New Roman"/>
          <w:bCs/>
          <w:i/>
          <w:sz w:val="24"/>
          <w:szCs w:val="24"/>
          <w:vertAlign w:val="baseline"/>
        </w:rPr>
        <w:t xml:space="preserve"> per se</w:t>
      </w:r>
      <w:r w:rsidRPr="00E71B23">
        <w:rPr>
          <w:rFonts w:ascii="Times New Roman" w:eastAsia="Calibri" w:hAnsi="Times New Roman" w:cs="Times New Roman"/>
          <w:bCs/>
          <w:sz w:val="24"/>
          <w:szCs w:val="24"/>
          <w:vertAlign w:val="baseline"/>
        </w:rPr>
        <w:t xml:space="preserve">; it is the way in which the difference is portrayed within society. </w:t>
      </w:r>
      <w:r w:rsidRPr="00E71B23">
        <w:rPr>
          <w:rFonts w:ascii="Times New Roman" w:eastAsia="Calibri" w:hAnsi="Times New Roman" w:cs="Times New Roman"/>
          <w:sz w:val="24"/>
          <w:szCs w:val="24"/>
          <w:vertAlign w:val="baseline"/>
        </w:rPr>
        <w:t>As Charlesworth notes, ‘ideas about “femininity” and “masculinity” are incorporated into international legal rules and structures, silencing women’s voices and reinforcing the globally observed dominion of women by men.’</w:t>
      </w:r>
      <w:r w:rsidRPr="00D25277">
        <w:rPr>
          <w:rStyle w:val="FootnoteReference"/>
          <w:rFonts w:ascii="Times New Roman" w:eastAsia="Calibri" w:hAnsi="Times New Roman" w:cs="Times New Roman"/>
          <w:sz w:val="24"/>
          <w:szCs w:val="24"/>
        </w:rPr>
        <w:footnoteReference w:id="31"/>
      </w:r>
      <w:r w:rsidRPr="00E71B23">
        <w:rPr>
          <w:rFonts w:ascii="Times New Roman" w:eastAsia="Calibri" w:hAnsi="Times New Roman" w:cs="Times New Roman"/>
          <w:sz w:val="24"/>
          <w:szCs w:val="24"/>
          <w:vertAlign w:val="baseline"/>
        </w:rPr>
        <w:t xml:space="preserve"> </w:t>
      </w:r>
      <w:r w:rsidRPr="00E71B23">
        <w:rPr>
          <w:rFonts w:ascii="Times New Roman" w:eastAsia="Calibri" w:hAnsi="Times New Roman" w:cs="Times New Roman"/>
          <w:bCs/>
          <w:sz w:val="24"/>
          <w:szCs w:val="24"/>
          <w:vertAlign w:val="baseline"/>
        </w:rPr>
        <w:t>Charlesworth contends that it is these gendered interpretations, relied upon by the international human rights system, which have overemphasised women’s role as a mother and wife, thus, relegating women to the private sphere.</w:t>
      </w:r>
      <w:r w:rsidRPr="00D25277">
        <w:rPr>
          <w:rStyle w:val="FootnoteReference"/>
          <w:rFonts w:ascii="Times New Roman" w:eastAsia="Calibri" w:hAnsi="Times New Roman" w:cs="Times New Roman"/>
          <w:bCs/>
          <w:sz w:val="24"/>
          <w:szCs w:val="24"/>
        </w:rPr>
        <w:footnoteReference w:id="32"/>
      </w:r>
      <w:r w:rsidRPr="00E71B23">
        <w:rPr>
          <w:rFonts w:ascii="Times New Roman" w:eastAsia="Calibri" w:hAnsi="Times New Roman" w:cs="Times New Roman"/>
          <w:bCs/>
          <w:i/>
          <w:sz w:val="24"/>
          <w:szCs w:val="24"/>
          <w:vertAlign w:val="baseline"/>
        </w:rPr>
        <w:t xml:space="preserve"> </w:t>
      </w:r>
    </w:p>
    <w:p w14:paraId="4B070CE0" w14:textId="6885C663" w:rsidR="00DD5391" w:rsidRPr="00D548A8" w:rsidRDefault="006F4248" w:rsidP="00DD5391">
      <w:pPr>
        <w:spacing w:after="200" w:line="480" w:lineRule="auto"/>
        <w:ind w:firstLine="720"/>
        <w:jc w:val="both"/>
        <w:rPr>
          <w:rFonts w:ascii="Times New Roman" w:eastAsia="Calibri" w:hAnsi="Times New Roman" w:cs="Times New Roman"/>
          <w:sz w:val="24"/>
          <w:szCs w:val="24"/>
          <w:vertAlign w:val="baseline"/>
        </w:rPr>
      </w:pPr>
      <w:r w:rsidRPr="00E71B23">
        <w:rPr>
          <w:rFonts w:ascii="Times New Roman" w:eastAsia="Calibri" w:hAnsi="Times New Roman" w:cs="Times New Roman"/>
          <w:sz w:val="24"/>
          <w:szCs w:val="24"/>
          <w:vertAlign w:val="baseline"/>
        </w:rPr>
        <w:t>Analysis of the public/private distinction is a recurrent theme within feminist research.</w:t>
      </w:r>
      <w:r w:rsidRPr="00D25277">
        <w:rPr>
          <w:rStyle w:val="FootnoteReference"/>
          <w:rFonts w:ascii="Times New Roman" w:eastAsia="Calibri" w:hAnsi="Times New Roman" w:cs="Times New Roman"/>
          <w:sz w:val="24"/>
          <w:szCs w:val="24"/>
        </w:rPr>
        <w:footnoteReference w:id="33"/>
      </w:r>
      <w:r w:rsidRPr="00D25277">
        <w:rPr>
          <w:rFonts w:ascii="Times New Roman" w:eastAsia="Calibri" w:hAnsi="Times New Roman" w:cs="Times New Roman"/>
          <w:sz w:val="24"/>
          <w:szCs w:val="24"/>
        </w:rPr>
        <w:t xml:space="preserve"> </w:t>
      </w:r>
      <w:r w:rsidRPr="00E71B23">
        <w:rPr>
          <w:rFonts w:ascii="Times New Roman" w:eastAsia="Calibri" w:hAnsi="Times New Roman" w:cs="Times New Roman"/>
          <w:sz w:val="24"/>
          <w:szCs w:val="24"/>
          <w:vertAlign w:val="baseline"/>
        </w:rPr>
        <w:t>The dichotomy is central to liberal feminism. Liberal feminism identifies sexual equality with equal treatment, rejecting the idea that the law should endure or recognise any inherent differences between men and women. Hence, the law should remain objective and ethical, remedying any disadvantages that women may suffer under the requisite of equal treatment. Liberal feminists have fought for law reform within the international sphere, however, their focus, to remove the barriers women face, is predominantly concerned within the public sphere. For liberalists, the distinction between public and private spheres operates generally and neutrally with respect to women.</w:t>
      </w:r>
      <w:r w:rsidRPr="00AA608B">
        <w:rPr>
          <w:rStyle w:val="FootnoteReference"/>
          <w:rFonts w:ascii="Times New Roman" w:eastAsia="Calibri" w:hAnsi="Times New Roman" w:cs="Times New Roman"/>
          <w:sz w:val="24"/>
          <w:szCs w:val="24"/>
        </w:rPr>
        <w:footnoteReference w:id="34"/>
      </w:r>
      <w:r w:rsidRPr="00E71B23">
        <w:rPr>
          <w:rFonts w:ascii="Times New Roman" w:eastAsia="Calibri" w:hAnsi="Times New Roman" w:cs="Times New Roman"/>
          <w:sz w:val="24"/>
          <w:szCs w:val="24"/>
          <w:vertAlign w:val="baseline"/>
        </w:rPr>
        <w:t xml:space="preserve"> This approach describes a considerable expanse of the existing women’s international human rights law, as noted within the International Covenant on Civil and Political Rights and the International Covenant on Economic, Social and Cultural Rights,</w:t>
      </w:r>
      <w:r w:rsidRPr="00AA608B">
        <w:rPr>
          <w:rStyle w:val="FootnoteReference"/>
          <w:rFonts w:ascii="Times New Roman" w:eastAsia="Calibri" w:hAnsi="Times New Roman" w:cs="Times New Roman"/>
          <w:sz w:val="24"/>
          <w:szCs w:val="24"/>
        </w:rPr>
        <w:footnoteReference w:id="35"/>
      </w:r>
      <w:r w:rsidRPr="00E71B23">
        <w:rPr>
          <w:rFonts w:ascii="Times New Roman" w:eastAsia="Calibri" w:hAnsi="Times New Roman" w:cs="Times New Roman"/>
          <w:sz w:val="24"/>
          <w:szCs w:val="24"/>
          <w:vertAlign w:val="baseline"/>
        </w:rPr>
        <w:t xml:space="preserve"> the norm of non-discrimination is to place women on an equal footing with men in the public sphere.</w:t>
      </w:r>
      <w:r w:rsidRPr="00E71B23">
        <w:rPr>
          <w:rFonts w:ascii="Times New Roman" w:eastAsia="Calibri" w:hAnsi="Times New Roman" w:cs="Times New Roman"/>
          <w:bCs/>
          <w:sz w:val="24"/>
          <w:szCs w:val="24"/>
          <w:vertAlign w:val="baseline"/>
        </w:rPr>
        <w:t xml:space="preserve"> </w:t>
      </w:r>
      <w:r w:rsidRPr="00E71B23">
        <w:rPr>
          <w:rFonts w:ascii="Times New Roman" w:eastAsia="Calibri" w:hAnsi="Times New Roman" w:cs="Times New Roman"/>
          <w:sz w:val="24"/>
          <w:szCs w:val="24"/>
          <w:vertAlign w:val="baseline"/>
        </w:rPr>
        <w:t>However, as noted by Charlesworth, this somewhat broad definition of discrimination is correspondingly contained in CEDAW.</w:t>
      </w:r>
      <w:r w:rsidRPr="00AA608B">
        <w:rPr>
          <w:rStyle w:val="FootnoteReference"/>
          <w:rFonts w:ascii="Times New Roman" w:eastAsia="Calibri" w:hAnsi="Times New Roman" w:cs="Times New Roman"/>
          <w:sz w:val="24"/>
          <w:szCs w:val="24"/>
        </w:rPr>
        <w:footnoteReference w:id="36"/>
      </w:r>
      <w:r w:rsidRPr="00E71B23">
        <w:rPr>
          <w:rFonts w:ascii="Times New Roman" w:eastAsia="Calibri" w:hAnsi="Times New Roman" w:cs="Times New Roman"/>
          <w:sz w:val="24"/>
          <w:szCs w:val="24"/>
          <w:vertAlign w:val="baseline"/>
        </w:rPr>
        <w:t xml:space="preserve"> Thus, with CEDAW’s focus on the public sphere and subsequent limited lack of recognition of women’s oppression within the private sphere, CEDAW implicitly reinforces the male-centred view of equality and discrimination, which contributes to women’s inequality.</w:t>
      </w:r>
      <w:r w:rsidRPr="00AA608B">
        <w:rPr>
          <w:rStyle w:val="FootnoteReference"/>
          <w:rFonts w:ascii="Times New Roman" w:eastAsia="Calibri" w:hAnsi="Times New Roman" w:cs="Times New Roman"/>
          <w:sz w:val="24"/>
          <w:szCs w:val="24"/>
        </w:rPr>
        <w:footnoteReference w:id="37"/>
      </w:r>
      <w:r w:rsidRPr="00AA608B">
        <w:rPr>
          <w:rFonts w:ascii="Times New Roman" w:eastAsia="Calibri" w:hAnsi="Times New Roman" w:cs="Times New Roman"/>
          <w:sz w:val="24"/>
          <w:szCs w:val="24"/>
        </w:rPr>
        <w:t xml:space="preserve"> </w:t>
      </w:r>
      <w:r w:rsidRPr="00E71B23">
        <w:rPr>
          <w:rFonts w:ascii="Times New Roman" w:eastAsia="Calibri" w:hAnsi="Times New Roman" w:cs="Times New Roman"/>
          <w:sz w:val="24"/>
          <w:szCs w:val="24"/>
          <w:vertAlign w:val="baseline"/>
        </w:rPr>
        <w:tab/>
      </w:r>
    </w:p>
    <w:p w14:paraId="029817E3" w14:textId="1FD90A8D" w:rsidR="00D548A8" w:rsidRPr="00E71B23" w:rsidRDefault="006F4248" w:rsidP="00D548A8">
      <w:pPr>
        <w:spacing w:after="200" w:line="480" w:lineRule="auto"/>
        <w:ind w:firstLine="720"/>
        <w:jc w:val="both"/>
        <w:rPr>
          <w:rFonts w:ascii="Times New Roman" w:eastAsia="Calibri" w:hAnsi="Times New Roman" w:cs="Times New Roman"/>
          <w:sz w:val="24"/>
          <w:szCs w:val="24"/>
          <w:vertAlign w:val="baseline"/>
        </w:rPr>
      </w:pPr>
      <w:r w:rsidRPr="00E71B23">
        <w:rPr>
          <w:rFonts w:ascii="Times New Roman" w:eastAsia="Calibri" w:hAnsi="Times New Roman" w:cs="Times New Roman"/>
          <w:sz w:val="24"/>
          <w:szCs w:val="24"/>
          <w:vertAlign w:val="baseline"/>
        </w:rPr>
        <w:t>For radical feminists such as Charlesworth and MacKinnon, equality is an issue of power, subordination and patriarchy, the latter being a universal system of male values, which have been displayed differently both historically and culturally.</w:t>
      </w:r>
      <w:r w:rsidRPr="00AA608B">
        <w:rPr>
          <w:rStyle w:val="FootnoteReference"/>
          <w:rFonts w:ascii="Times New Roman" w:eastAsia="Calibri" w:hAnsi="Times New Roman" w:cs="Times New Roman"/>
          <w:sz w:val="24"/>
          <w:szCs w:val="24"/>
        </w:rPr>
        <w:footnoteReference w:id="38"/>
      </w:r>
      <w:r w:rsidRPr="00AA608B">
        <w:rPr>
          <w:rFonts w:ascii="Times New Roman" w:eastAsia="Calibri" w:hAnsi="Times New Roman" w:cs="Times New Roman"/>
          <w:sz w:val="24"/>
          <w:szCs w:val="24"/>
        </w:rPr>
        <w:t xml:space="preserve"> </w:t>
      </w:r>
      <w:r w:rsidRPr="00E71B23">
        <w:rPr>
          <w:rFonts w:ascii="Times New Roman" w:eastAsia="Calibri" w:hAnsi="Times New Roman" w:cs="Times New Roman"/>
          <w:sz w:val="24"/>
          <w:szCs w:val="24"/>
          <w:vertAlign w:val="baseline"/>
        </w:rPr>
        <w:t>As described by Bleier,</w:t>
      </w:r>
    </w:p>
    <w:p w14:paraId="6F18BC13" w14:textId="22F40543" w:rsidR="00DD5391" w:rsidRPr="00163DA2" w:rsidRDefault="006F4248" w:rsidP="00DD5391">
      <w:pPr>
        <w:spacing w:after="200" w:line="480" w:lineRule="auto"/>
        <w:ind w:left="720"/>
        <w:jc w:val="both"/>
        <w:rPr>
          <w:rFonts w:ascii="Times New Roman" w:eastAsia="Calibri" w:hAnsi="Times New Roman" w:cs="Times New Roman"/>
          <w:sz w:val="24"/>
          <w:szCs w:val="24"/>
          <w:vertAlign w:val="baseline"/>
        </w:rPr>
      </w:pPr>
      <w:r w:rsidRPr="00E71B23">
        <w:rPr>
          <w:rFonts w:ascii="Times New Roman" w:eastAsia="Calibri" w:hAnsi="Times New Roman" w:cs="Times New Roman"/>
          <w:sz w:val="24"/>
          <w:szCs w:val="24"/>
          <w:vertAlign w:val="baseline"/>
        </w:rPr>
        <w:t>By patriarchy I mean the historic system of male dominance, a system committed to the maintenance and reinforcement of male hegemony in all aspects of life – personal and private privilege and power as well as public… Its institutions direct and protect the distribution of power and privilege to those who are male...Patriarchy takes different forms and develops specific supporting institutions and ideologies during different historical periods and political economies.</w:t>
      </w:r>
      <w:r w:rsidRPr="00AA608B">
        <w:rPr>
          <w:rStyle w:val="FootnoteReference"/>
          <w:rFonts w:ascii="Times New Roman" w:eastAsia="Calibri" w:hAnsi="Times New Roman" w:cs="Times New Roman"/>
          <w:sz w:val="24"/>
          <w:szCs w:val="24"/>
        </w:rPr>
        <w:footnoteReference w:id="39"/>
      </w:r>
    </w:p>
    <w:p w14:paraId="162418FB" w14:textId="10AF8166" w:rsidR="00D548A8" w:rsidRDefault="006F4248" w:rsidP="00DD5391">
      <w:pPr>
        <w:spacing w:after="200" w:line="480" w:lineRule="auto"/>
        <w:ind w:firstLine="720"/>
        <w:jc w:val="both"/>
        <w:rPr>
          <w:rFonts w:ascii="Times New Roman" w:eastAsia="Calibri" w:hAnsi="Times New Roman" w:cs="Times New Roman"/>
          <w:sz w:val="24"/>
          <w:szCs w:val="24"/>
          <w:vertAlign w:val="baseline"/>
        </w:rPr>
      </w:pPr>
      <w:r w:rsidRPr="00E71B23">
        <w:rPr>
          <w:rFonts w:ascii="Times New Roman" w:eastAsia="Calibri" w:hAnsi="Times New Roman" w:cs="Times New Roman"/>
          <w:sz w:val="24"/>
          <w:szCs w:val="24"/>
          <w:vertAlign w:val="baseline"/>
        </w:rPr>
        <w:t>Hence, the concept of sex inequality lies not within the problem of artificial barriers and unequally realised rights, but as a consequence of the deliberate oppression of women by a socially constructed patriarchal society; one, as argued by radical feminism, that is reinforced by liberal law.</w:t>
      </w:r>
      <w:r w:rsidRPr="00AA608B">
        <w:rPr>
          <w:rStyle w:val="FootnoteReference"/>
          <w:rFonts w:ascii="Times New Roman" w:eastAsia="Calibri" w:hAnsi="Times New Roman" w:cs="Times New Roman"/>
          <w:sz w:val="24"/>
          <w:szCs w:val="24"/>
        </w:rPr>
        <w:footnoteReference w:id="40"/>
      </w:r>
      <w:r w:rsidRPr="00AA608B">
        <w:rPr>
          <w:rFonts w:ascii="Times New Roman" w:eastAsia="Calibri" w:hAnsi="Times New Roman" w:cs="Times New Roman"/>
          <w:sz w:val="24"/>
          <w:szCs w:val="24"/>
        </w:rPr>
        <w:t xml:space="preserve"> </w:t>
      </w:r>
      <w:r w:rsidRPr="00E71B23">
        <w:rPr>
          <w:rFonts w:ascii="Times New Roman" w:eastAsia="Calibri" w:hAnsi="Times New Roman" w:cs="Times New Roman"/>
          <w:sz w:val="24"/>
          <w:szCs w:val="24"/>
          <w:vertAlign w:val="baseline"/>
        </w:rPr>
        <w:t>Emerging from the Enlightenment personality, where emphasis was placed on individualism, political freedom and citizens' rights, liberal feminism first found widespread expression during the nineteenth century in Western societies.</w:t>
      </w:r>
      <w:r w:rsidRPr="005D4517">
        <w:rPr>
          <w:rStyle w:val="FootnoteReference"/>
          <w:rFonts w:ascii="Times New Roman" w:eastAsia="Calibri" w:hAnsi="Times New Roman" w:cs="Times New Roman"/>
          <w:sz w:val="24"/>
          <w:szCs w:val="24"/>
        </w:rPr>
        <w:footnoteReference w:id="41"/>
      </w:r>
      <w:r w:rsidRPr="00E71B23">
        <w:rPr>
          <w:rFonts w:ascii="Times New Roman" w:eastAsia="Calibri" w:hAnsi="Times New Roman" w:cs="Times New Roman"/>
          <w:sz w:val="24"/>
          <w:szCs w:val="24"/>
          <w:vertAlign w:val="baseline"/>
        </w:rPr>
        <w:t xml:space="preserve"> The liberal feminist argument contends that all laws and basic rights should apply equally to both men and women, considering women as individuals, equal to men in the capacities for autonomy and rationality.</w:t>
      </w:r>
      <w:r w:rsidRPr="005D4517">
        <w:rPr>
          <w:rStyle w:val="FootnoteReference"/>
          <w:rFonts w:ascii="Times New Roman" w:eastAsia="Calibri" w:hAnsi="Times New Roman" w:cs="Times New Roman"/>
          <w:sz w:val="24"/>
          <w:szCs w:val="24"/>
        </w:rPr>
        <w:footnoteReference w:id="42"/>
      </w:r>
      <w:r w:rsidRPr="00E71B23">
        <w:rPr>
          <w:rFonts w:ascii="Times New Roman" w:eastAsia="Calibri" w:hAnsi="Times New Roman" w:cs="Times New Roman"/>
          <w:sz w:val="24"/>
          <w:szCs w:val="24"/>
          <w:vertAlign w:val="baseline"/>
        </w:rPr>
        <w:t xml:space="preserve"> Thus, liberal feminists argue for the elimination of artificial barriers to women's advancement, in the public sphere, contending that such barriers violate the core liberal ideals of equality and opportunity.</w:t>
      </w:r>
      <w:r w:rsidRPr="005D4517">
        <w:rPr>
          <w:rStyle w:val="FootnoteReference"/>
          <w:rFonts w:ascii="Times New Roman" w:eastAsia="Calibri" w:hAnsi="Times New Roman" w:cs="Times New Roman"/>
          <w:sz w:val="24"/>
          <w:szCs w:val="24"/>
        </w:rPr>
        <w:footnoteReference w:id="43"/>
      </w:r>
      <w:r w:rsidRPr="00E71B23">
        <w:rPr>
          <w:rFonts w:ascii="Times New Roman" w:eastAsia="Calibri" w:hAnsi="Times New Roman" w:cs="Times New Roman"/>
          <w:sz w:val="24"/>
          <w:szCs w:val="24"/>
          <w:vertAlign w:val="baseline"/>
        </w:rPr>
        <w:t xml:space="preserve"> Once removed, liberal feminists reason that women will achieve power and standing to the extent of their individual capabilities.</w:t>
      </w:r>
      <w:r w:rsidRPr="005D4517">
        <w:rPr>
          <w:rStyle w:val="FootnoteReference"/>
          <w:rFonts w:ascii="Times New Roman" w:eastAsia="Calibri" w:hAnsi="Times New Roman" w:cs="Times New Roman"/>
          <w:sz w:val="24"/>
          <w:szCs w:val="24"/>
        </w:rPr>
        <w:footnoteReference w:id="44"/>
      </w:r>
      <w:r w:rsidRPr="00E71B23">
        <w:rPr>
          <w:rFonts w:ascii="Times New Roman" w:eastAsia="Calibri" w:hAnsi="Times New Roman" w:cs="Times New Roman"/>
          <w:sz w:val="24"/>
          <w:szCs w:val="24"/>
          <w:vertAlign w:val="baseline"/>
        </w:rPr>
        <w:t xml:space="preserve"> For liberal feminists, the separation between public and private spheres operates neutrally; the public sphere represents ‘rationality, culture and intellectual endeavour’</w:t>
      </w:r>
      <w:r w:rsidRPr="005D4517">
        <w:rPr>
          <w:rStyle w:val="FootnoteReference"/>
          <w:rFonts w:ascii="Times New Roman" w:eastAsia="Calibri" w:hAnsi="Times New Roman" w:cs="Times New Roman"/>
          <w:sz w:val="24"/>
          <w:szCs w:val="24"/>
        </w:rPr>
        <w:footnoteReference w:id="45"/>
      </w:r>
      <w:r w:rsidRPr="00E71B23">
        <w:rPr>
          <w:rFonts w:ascii="Times New Roman" w:eastAsia="Calibri" w:hAnsi="Times New Roman" w:cs="Times New Roman"/>
          <w:sz w:val="24"/>
          <w:szCs w:val="24"/>
          <w:vertAlign w:val="baseline"/>
        </w:rPr>
        <w:t xml:space="preserve"> whilst the private sphere epitomises ‘nature, nurture and non-rationality.’</w:t>
      </w:r>
      <w:r w:rsidRPr="005D4517">
        <w:rPr>
          <w:rStyle w:val="FootnoteReference"/>
          <w:rFonts w:ascii="Times New Roman" w:eastAsia="Calibri" w:hAnsi="Times New Roman" w:cs="Times New Roman"/>
          <w:sz w:val="24"/>
          <w:szCs w:val="24"/>
        </w:rPr>
        <w:footnoteReference w:id="46"/>
      </w:r>
      <w:r w:rsidRPr="00E71B23">
        <w:rPr>
          <w:rFonts w:ascii="Times New Roman" w:eastAsia="Calibri" w:hAnsi="Times New Roman" w:cs="Times New Roman"/>
          <w:sz w:val="24"/>
          <w:szCs w:val="24"/>
          <w:vertAlign w:val="baseline"/>
        </w:rPr>
        <w:t xml:space="preserve"> However, what liberalism fails to recognise is how the public and private sphere are interrelated, how the public sphere influences the private sphere and, thus, how private choices are restricted.</w:t>
      </w:r>
      <w:r w:rsidRPr="006821E1">
        <w:rPr>
          <w:rStyle w:val="FootnoteReference"/>
          <w:rFonts w:ascii="Times New Roman" w:eastAsia="Calibri" w:hAnsi="Times New Roman" w:cs="Times New Roman"/>
          <w:sz w:val="24"/>
          <w:szCs w:val="24"/>
        </w:rPr>
        <w:footnoteReference w:id="47"/>
      </w:r>
    </w:p>
    <w:p w14:paraId="01DF0E6F" w14:textId="647687B5" w:rsidR="00D548A8" w:rsidRPr="00E71B23" w:rsidRDefault="006F4248" w:rsidP="00D548A8">
      <w:pPr>
        <w:spacing w:after="200" w:line="480" w:lineRule="auto"/>
        <w:ind w:firstLine="720"/>
        <w:jc w:val="both"/>
        <w:rPr>
          <w:rFonts w:ascii="Times New Roman" w:eastAsia="Calibri" w:hAnsi="Times New Roman" w:cs="Times New Roman"/>
          <w:sz w:val="24"/>
          <w:szCs w:val="24"/>
          <w:vertAlign w:val="baseline"/>
        </w:rPr>
      </w:pPr>
      <w:r w:rsidRPr="00E71B23">
        <w:rPr>
          <w:rFonts w:ascii="Times New Roman" w:eastAsia="Calibri" w:hAnsi="Times New Roman" w:cs="Times New Roman"/>
          <w:sz w:val="24"/>
          <w:szCs w:val="24"/>
          <w:vertAlign w:val="baseline"/>
        </w:rPr>
        <w:t>For radical feminists such as MacKinnon,</w:t>
      </w:r>
      <w:r w:rsidRPr="006821E1">
        <w:rPr>
          <w:rStyle w:val="FootnoteReference"/>
          <w:rFonts w:ascii="Times New Roman" w:eastAsia="Calibri" w:hAnsi="Times New Roman" w:cs="Times New Roman"/>
          <w:sz w:val="24"/>
          <w:szCs w:val="24"/>
        </w:rPr>
        <w:footnoteReference w:id="48"/>
      </w:r>
      <w:r w:rsidRPr="00E71B23">
        <w:rPr>
          <w:rFonts w:ascii="Times New Roman" w:eastAsia="Calibri" w:hAnsi="Times New Roman" w:cs="Times New Roman"/>
          <w:sz w:val="24"/>
          <w:szCs w:val="24"/>
          <w:vertAlign w:val="baseline"/>
        </w:rPr>
        <w:t xml:space="preserve"> and for the approach of this dissertation, this distinction is where liberalism has failed to emancipate women. For women, the private sphere sanctions violence and abuse. As noted by MacKinnon,</w:t>
      </w:r>
    </w:p>
    <w:p w14:paraId="2478D819" w14:textId="335C9A48" w:rsidR="00DD5391" w:rsidRDefault="006F4248" w:rsidP="003F18A5">
      <w:pPr>
        <w:spacing w:after="200" w:line="480" w:lineRule="auto"/>
        <w:ind w:left="720"/>
        <w:jc w:val="both"/>
        <w:rPr>
          <w:rFonts w:ascii="Times New Roman" w:eastAsia="Calibri" w:hAnsi="Times New Roman" w:cs="Times New Roman"/>
          <w:sz w:val="24"/>
          <w:szCs w:val="24"/>
          <w:vertAlign w:val="baseline"/>
        </w:rPr>
      </w:pPr>
      <w:r w:rsidRPr="00E71B23">
        <w:rPr>
          <w:rFonts w:ascii="Times New Roman" w:eastAsia="Calibri" w:hAnsi="Times New Roman" w:cs="Times New Roman"/>
          <w:sz w:val="24"/>
          <w:szCs w:val="24"/>
          <w:vertAlign w:val="baseline"/>
        </w:rPr>
        <w:t>Over time, women have been economically exploited, relegated to domestic slavery, forced into motherhood, sexually objectified, physically abused…deprived of a voice and authentic culture, and disenfranchised and excluded from public life. Women</w:t>
      </w:r>
      <w:r w:rsidR="009B12B1">
        <w:rPr>
          <w:rFonts w:ascii="Times New Roman" w:eastAsia="Calibri" w:hAnsi="Times New Roman" w:cs="Times New Roman"/>
          <w:sz w:val="24"/>
          <w:szCs w:val="24"/>
          <w:vertAlign w:val="baseline"/>
        </w:rPr>
        <w:t xml:space="preserve"> </w:t>
      </w:r>
      <w:r w:rsidRPr="00E71B23">
        <w:rPr>
          <w:rFonts w:ascii="Times New Roman" w:eastAsia="Calibri" w:hAnsi="Times New Roman" w:cs="Times New Roman"/>
          <w:sz w:val="24"/>
          <w:szCs w:val="24"/>
          <w:vertAlign w:val="baseline"/>
        </w:rPr>
        <w:t>…</w:t>
      </w:r>
      <w:r w:rsidR="009B12B1">
        <w:rPr>
          <w:rFonts w:ascii="Times New Roman" w:eastAsia="Calibri" w:hAnsi="Times New Roman" w:cs="Times New Roman"/>
          <w:sz w:val="24"/>
          <w:szCs w:val="24"/>
          <w:vertAlign w:val="baseline"/>
        </w:rPr>
        <w:t xml:space="preserve"> </w:t>
      </w:r>
      <w:r w:rsidRPr="00E71B23">
        <w:rPr>
          <w:rFonts w:ascii="Times New Roman" w:eastAsia="Calibri" w:hAnsi="Times New Roman" w:cs="Times New Roman"/>
          <w:sz w:val="24"/>
          <w:szCs w:val="24"/>
          <w:vertAlign w:val="baseline"/>
        </w:rPr>
        <w:t xml:space="preserve">have systematically been subjected to physical insecurity; targeted for sexual denigration and violence; depersonalized and denigrated; deprived of respect, credibility, and resources; and silenced-and denied public presence, voice, and representation of their interests. Men as men have generally not had these things done to </w:t>
      </w:r>
      <w:r w:rsidR="00956E88" w:rsidRPr="00E71B23">
        <w:rPr>
          <w:rFonts w:ascii="Times New Roman" w:eastAsia="Calibri" w:hAnsi="Times New Roman" w:cs="Times New Roman"/>
          <w:sz w:val="24"/>
          <w:szCs w:val="24"/>
          <w:vertAlign w:val="baseline"/>
        </w:rPr>
        <w:t>them</w:t>
      </w:r>
      <w:r w:rsidR="00956E88">
        <w:rPr>
          <w:rFonts w:ascii="Times New Roman" w:eastAsia="Calibri" w:hAnsi="Times New Roman" w:cs="Times New Roman"/>
          <w:sz w:val="24"/>
          <w:szCs w:val="24"/>
          <w:vertAlign w:val="baseline"/>
        </w:rPr>
        <w:t xml:space="preserve">.... </w:t>
      </w:r>
      <w:r w:rsidRPr="00E71B23">
        <w:rPr>
          <w:rFonts w:ascii="Times New Roman" w:eastAsia="Calibri" w:hAnsi="Times New Roman" w:cs="Times New Roman"/>
          <w:sz w:val="24"/>
          <w:szCs w:val="24"/>
          <w:vertAlign w:val="baseline"/>
        </w:rPr>
        <w:t>Men have done these things to women.</w:t>
      </w:r>
      <w:r w:rsidRPr="006821E1">
        <w:rPr>
          <w:rStyle w:val="FootnoteReference"/>
          <w:rFonts w:ascii="Times New Roman" w:eastAsia="Calibri" w:hAnsi="Times New Roman" w:cs="Times New Roman"/>
          <w:sz w:val="24"/>
          <w:szCs w:val="24"/>
        </w:rPr>
        <w:footnoteReference w:id="49"/>
      </w:r>
    </w:p>
    <w:p w14:paraId="659BF826" w14:textId="5BFC3141" w:rsidR="00D548A8" w:rsidRPr="00DD5391" w:rsidRDefault="006F4248" w:rsidP="00DD5391">
      <w:pPr>
        <w:spacing w:after="200" w:line="480" w:lineRule="auto"/>
        <w:ind w:firstLine="720"/>
        <w:jc w:val="both"/>
        <w:rPr>
          <w:rFonts w:ascii="Times New Roman" w:eastAsia="Calibri" w:hAnsi="Times New Roman" w:cs="Times New Roman"/>
          <w:sz w:val="24"/>
          <w:szCs w:val="24"/>
          <w:vertAlign w:val="baseline"/>
        </w:rPr>
      </w:pPr>
      <w:r w:rsidRPr="00E71B23">
        <w:rPr>
          <w:rFonts w:ascii="Times New Roman" w:eastAsia="Calibri" w:hAnsi="Times New Roman" w:cs="Times New Roman"/>
          <w:sz w:val="24"/>
          <w:szCs w:val="24"/>
          <w:vertAlign w:val="baseline"/>
        </w:rPr>
        <w:t>For MacKinnon, the gender-neutral approach of liberal feminism is unworkable</w:t>
      </w:r>
      <w:r w:rsidR="009B12B1">
        <w:rPr>
          <w:rFonts w:ascii="Times New Roman" w:eastAsia="Calibri" w:hAnsi="Times New Roman" w:cs="Times New Roman"/>
          <w:sz w:val="24"/>
          <w:szCs w:val="24"/>
          <w:vertAlign w:val="baseline"/>
        </w:rPr>
        <w:t>,</w:t>
      </w:r>
      <w:r w:rsidRPr="00E71B23">
        <w:rPr>
          <w:rFonts w:ascii="Times New Roman" w:eastAsia="Calibri" w:hAnsi="Times New Roman" w:cs="Times New Roman"/>
          <w:sz w:val="24"/>
          <w:szCs w:val="24"/>
          <w:vertAlign w:val="baseline"/>
        </w:rPr>
        <w:t xml:space="preserve"> as the legal values of gender equality, neutrality and objectivity disguise the inherently male perspective on which these are based.</w:t>
      </w:r>
      <w:r w:rsidRPr="006821E1">
        <w:rPr>
          <w:rStyle w:val="FootnoteReference"/>
          <w:rFonts w:ascii="Times New Roman" w:eastAsia="Calibri" w:hAnsi="Times New Roman" w:cs="Times New Roman"/>
          <w:sz w:val="24"/>
          <w:szCs w:val="24"/>
        </w:rPr>
        <w:footnoteReference w:id="50"/>
      </w:r>
      <w:r w:rsidRPr="006821E1">
        <w:rPr>
          <w:rFonts w:ascii="Times New Roman" w:eastAsia="Calibri" w:hAnsi="Times New Roman" w:cs="Times New Roman"/>
          <w:sz w:val="24"/>
          <w:szCs w:val="24"/>
        </w:rPr>
        <w:t xml:space="preserve"> </w:t>
      </w:r>
      <w:r w:rsidRPr="00E71B23">
        <w:rPr>
          <w:rFonts w:ascii="Times New Roman" w:eastAsia="Calibri" w:hAnsi="Times New Roman" w:cs="Times New Roman"/>
          <w:sz w:val="24"/>
          <w:szCs w:val="24"/>
          <w:vertAlign w:val="baseline"/>
        </w:rPr>
        <w:t>MacKinnon bases this assertion upon the conviction that the law in general, together with traditional legal theory, is androcentric; therefore, legal reasoning enforces men's control over women.</w:t>
      </w:r>
      <w:r w:rsidRPr="006821E1">
        <w:rPr>
          <w:rStyle w:val="FootnoteReference"/>
          <w:rFonts w:ascii="Times New Roman" w:eastAsia="Calibri" w:hAnsi="Times New Roman" w:cs="Times New Roman"/>
          <w:sz w:val="24"/>
          <w:szCs w:val="24"/>
        </w:rPr>
        <w:footnoteReference w:id="51"/>
      </w:r>
      <w:r w:rsidRPr="006821E1">
        <w:rPr>
          <w:rFonts w:ascii="Times New Roman" w:eastAsia="Calibri" w:hAnsi="Times New Roman" w:cs="Times New Roman"/>
          <w:sz w:val="24"/>
          <w:szCs w:val="24"/>
        </w:rPr>
        <w:t xml:space="preserve"> </w:t>
      </w:r>
      <w:r w:rsidR="008830C9">
        <w:rPr>
          <w:rFonts w:ascii="Times New Roman" w:eastAsia="Calibri" w:hAnsi="Times New Roman" w:cs="Times New Roman"/>
          <w:sz w:val="24"/>
          <w:szCs w:val="24"/>
        </w:rPr>
        <w:t xml:space="preserve"> </w:t>
      </w:r>
      <w:r w:rsidR="00EA3655">
        <w:rPr>
          <w:rFonts w:ascii="Times New Roman" w:eastAsia="Calibri" w:hAnsi="Times New Roman" w:cs="Times New Roman"/>
          <w:sz w:val="24"/>
          <w:szCs w:val="24"/>
          <w:vertAlign w:val="baseline"/>
        </w:rPr>
        <w:t>She asse</w:t>
      </w:r>
      <w:r w:rsidR="000C671B">
        <w:rPr>
          <w:rFonts w:ascii="Times New Roman" w:eastAsia="Calibri" w:hAnsi="Times New Roman" w:cs="Times New Roman"/>
          <w:sz w:val="24"/>
          <w:szCs w:val="24"/>
          <w:vertAlign w:val="baseline"/>
        </w:rPr>
        <w:t>rts that the male ‘strategy’ is</w:t>
      </w:r>
      <w:r w:rsidR="00EA3655">
        <w:rPr>
          <w:rFonts w:ascii="Times New Roman" w:eastAsia="Calibri" w:hAnsi="Times New Roman" w:cs="Times New Roman"/>
          <w:sz w:val="24"/>
          <w:szCs w:val="24"/>
          <w:vertAlign w:val="baseline"/>
        </w:rPr>
        <w:t xml:space="preserve"> to primarily establ</w:t>
      </w:r>
      <w:r w:rsidR="00490F1E">
        <w:rPr>
          <w:rFonts w:ascii="Times New Roman" w:eastAsia="Calibri" w:hAnsi="Times New Roman" w:cs="Times New Roman"/>
          <w:sz w:val="24"/>
          <w:szCs w:val="24"/>
          <w:vertAlign w:val="baseline"/>
        </w:rPr>
        <w:t xml:space="preserve">ish an unequal society, before </w:t>
      </w:r>
      <w:r w:rsidR="00EA3655">
        <w:rPr>
          <w:rFonts w:ascii="Times New Roman" w:eastAsia="Calibri" w:hAnsi="Times New Roman" w:cs="Times New Roman"/>
          <w:sz w:val="24"/>
          <w:szCs w:val="24"/>
          <w:vertAlign w:val="baseline"/>
        </w:rPr>
        <w:t xml:space="preserve">subsequently </w:t>
      </w:r>
      <w:r w:rsidR="00490F1E">
        <w:rPr>
          <w:rFonts w:ascii="Times New Roman" w:eastAsia="Calibri" w:hAnsi="Times New Roman" w:cs="Times New Roman"/>
          <w:sz w:val="24"/>
          <w:szCs w:val="24"/>
          <w:vertAlign w:val="baseline"/>
        </w:rPr>
        <w:t>constructing</w:t>
      </w:r>
      <w:r w:rsidR="00EA3655">
        <w:rPr>
          <w:rFonts w:ascii="Times New Roman" w:eastAsia="Calibri" w:hAnsi="Times New Roman" w:cs="Times New Roman"/>
          <w:sz w:val="24"/>
          <w:szCs w:val="24"/>
          <w:vertAlign w:val="baseline"/>
        </w:rPr>
        <w:t xml:space="preserve"> the law</w:t>
      </w:r>
      <w:r w:rsidR="00490F1E">
        <w:rPr>
          <w:rFonts w:ascii="Times New Roman" w:eastAsia="Calibri" w:hAnsi="Times New Roman" w:cs="Times New Roman"/>
          <w:sz w:val="24"/>
          <w:szCs w:val="24"/>
          <w:vertAlign w:val="baseline"/>
        </w:rPr>
        <w:t>, including the law of equality,</w:t>
      </w:r>
      <w:r w:rsidR="00EA3655">
        <w:rPr>
          <w:rFonts w:ascii="Times New Roman" w:eastAsia="Calibri" w:hAnsi="Times New Roman" w:cs="Times New Roman"/>
          <w:sz w:val="24"/>
          <w:szCs w:val="24"/>
          <w:vertAlign w:val="baseline"/>
        </w:rPr>
        <w:t xml:space="preserve"> around this</w:t>
      </w:r>
      <w:r w:rsidR="00490F1E">
        <w:rPr>
          <w:rFonts w:ascii="Times New Roman" w:eastAsia="Calibri" w:hAnsi="Times New Roman" w:cs="Times New Roman"/>
          <w:sz w:val="24"/>
          <w:szCs w:val="24"/>
          <w:vertAlign w:val="baseline"/>
        </w:rPr>
        <w:t xml:space="preserve"> society</w:t>
      </w:r>
      <w:r w:rsidR="00EA3655">
        <w:rPr>
          <w:rFonts w:ascii="Times New Roman" w:eastAsia="Calibri" w:hAnsi="Times New Roman" w:cs="Times New Roman"/>
          <w:sz w:val="24"/>
          <w:szCs w:val="24"/>
          <w:vertAlign w:val="baseline"/>
        </w:rPr>
        <w:t xml:space="preserve"> so that the state is able to legitimatise it</w:t>
      </w:r>
      <w:r w:rsidR="00490F1E">
        <w:rPr>
          <w:rFonts w:ascii="Times New Roman" w:eastAsia="Calibri" w:hAnsi="Times New Roman" w:cs="Times New Roman"/>
          <w:sz w:val="24"/>
          <w:szCs w:val="24"/>
          <w:vertAlign w:val="baseline"/>
        </w:rPr>
        <w:t>self through ‘non-interference with the status quo.’</w:t>
      </w:r>
      <w:r w:rsidRPr="00615CE4">
        <w:rPr>
          <w:rStyle w:val="FootnoteReference"/>
          <w:rFonts w:ascii="Times New Roman" w:eastAsia="Calibri" w:hAnsi="Times New Roman" w:cs="Times New Roman"/>
          <w:sz w:val="24"/>
          <w:szCs w:val="24"/>
        </w:rPr>
        <w:footnoteReference w:id="52"/>
      </w:r>
      <w:r w:rsidR="000C671B">
        <w:rPr>
          <w:rFonts w:ascii="Times New Roman" w:eastAsia="Calibri" w:hAnsi="Times New Roman" w:cs="Times New Roman"/>
          <w:sz w:val="24"/>
          <w:szCs w:val="24"/>
          <w:vertAlign w:val="baseline"/>
        </w:rPr>
        <w:t xml:space="preserve"> </w:t>
      </w:r>
      <w:r w:rsidRPr="00E71B23">
        <w:rPr>
          <w:rFonts w:ascii="Times New Roman" w:eastAsia="Calibri" w:hAnsi="Times New Roman" w:cs="Times New Roman"/>
          <w:sz w:val="24"/>
          <w:szCs w:val="24"/>
          <w:vertAlign w:val="baseline"/>
        </w:rPr>
        <w:t>Thus, liberal feminism fails to recognise that male domination ‘actually destroys the possibility of autonomy, indeed of individual selfhood, for all women.’</w:t>
      </w:r>
      <w:r w:rsidRPr="00615CE4">
        <w:rPr>
          <w:rStyle w:val="FootnoteReference"/>
          <w:rFonts w:ascii="Times New Roman" w:eastAsia="Calibri" w:hAnsi="Times New Roman" w:cs="Times New Roman"/>
          <w:sz w:val="24"/>
          <w:szCs w:val="24"/>
        </w:rPr>
        <w:footnoteReference w:id="53"/>
      </w:r>
      <w:r w:rsidRPr="00615CE4">
        <w:rPr>
          <w:rFonts w:ascii="Times New Roman" w:eastAsia="Calibri" w:hAnsi="Times New Roman" w:cs="Times New Roman"/>
          <w:sz w:val="24"/>
          <w:szCs w:val="24"/>
        </w:rPr>
        <w:t xml:space="preserve"> </w:t>
      </w:r>
      <w:r w:rsidRPr="00E71B23">
        <w:rPr>
          <w:rFonts w:ascii="Times New Roman" w:eastAsia="Calibri" w:hAnsi="Times New Roman" w:cs="Times New Roman"/>
          <w:sz w:val="24"/>
          <w:szCs w:val="24"/>
          <w:vertAlign w:val="baseline"/>
        </w:rPr>
        <w:t>As MacKinnon states,</w:t>
      </w:r>
    </w:p>
    <w:p w14:paraId="39577F79" w14:textId="6CC21E0B" w:rsidR="00DD5391" w:rsidRDefault="006F4248" w:rsidP="00DD5391">
      <w:pPr>
        <w:spacing w:after="200" w:line="480" w:lineRule="auto"/>
        <w:ind w:left="720"/>
        <w:jc w:val="both"/>
        <w:rPr>
          <w:rFonts w:ascii="Times New Roman" w:eastAsia="Calibri" w:hAnsi="Times New Roman" w:cs="Times New Roman"/>
          <w:sz w:val="24"/>
          <w:szCs w:val="24"/>
          <w:vertAlign w:val="baseline"/>
        </w:rPr>
      </w:pPr>
      <w:r w:rsidRPr="00E71B23">
        <w:rPr>
          <w:rFonts w:ascii="Times New Roman" w:eastAsia="Calibri" w:hAnsi="Times New Roman" w:cs="Times New Roman"/>
          <w:sz w:val="24"/>
          <w:szCs w:val="24"/>
          <w:vertAlign w:val="baseline"/>
        </w:rPr>
        <w:t>No</w:t>
      </w:r>
      <w:r w:rsidRPr="00E71B23">
        <w:rPr>
          <w:rFonts w:ascii="Times New Roman" w:eastAsia="Calibri" w:hAnsi="Times New Roman" w:cs="Times New Roman"/>
          <w:b/>
          <w:bCs/>
          <w:sz w:val="24"/>
          <w:szCs w:val="24"/>
          <w:vertAlign w:val="baseline"/>
        </w:rPr>
        <w:t xml:space="preserve"> </w:t>
      </w:r>
      <w:r w:rsidRPr="00E71B23">
        <w:rPr>
          <w:rFonts w:ascii="Times New Roman" w:eastAsia="Calibri" w:hAnsi="Times New Roman" w:cs="Times New Roman"/>
          <w:sz w:val="24"/>
          <w:szCs w:val="24"/>
          <w:vertAlign w:val="baseline"/>
        </w:rPr>
        <w:t>law gives husbands the right to batter their wives. This has not been necessary, since there is nothing to stop them. No law silences women. This has not been necessary, for women are previously silenced in society. No law guarantees that women will forever remain the social unequal of men. This is not necessary, because the law guaranteeing sex equality requires, in an unequal society, that before one can be equal legally, one must be equal socially.</w:t>
      </w:r>
      <w:r w:rsidRPr="00615CE4">
        <w:rPr>
          <w:rStyle w:val="FootnoteReference"/>
          <w:rFonts w:ascii="Times New Roman" w:eastAsia="Calibri" w:hAnsi="Times New Roman" w:cs="Times New Roman"/>
          <w:sz w:val="24"/>
          <w:szCs w:val="24"/>
        </w:rPr>
        <w:footnoteReference w:id="54"/>
      </w:r>
    </w:p>
    <w:p w14:paraId="2ADE1282" w14:textId="77777777" w:rsidR="00DD5391" w:rsidRDefault="00DD5391" w:rsidP="00DD5391">
      <w:pPr>
        <w:spacing w:after="200" w:line="480" w:lineRule="auto"/>
        <w:ind w:left="720"/>
        <w:jc w:val="both"/>
        <w:rPr>
          <w:rFonts w:ascii="Times New Roman" w:eastAsia="Calibri" w:hAnsi="Times New Roman" w:cs="Times New Roman"/>
          <w:sz w:val="24"/>
          <w:szCs w:val="24"/>
          <w:vertAlign w:val="baseline"/>
        </w:rPr>
      </w:pPr>
    </w:p>
    <w:p w14:paraId="74FA6EB7" w14:textId="02977D46" w:rsidR="009B12B1" w:rsidRDefault="006F4248" w:rsidP="003F18A5">
      <w:pPr>
        <w:spacing w:after="200" w:line="480" w:lineRule="auto"/>
        <w:ind w:firstLine="720"/>
        <w:jc w:val="both"/>
        <w:rPr>
          <w:rFonts w:ascii="Times New Roman" w:eastAsia="Calibri" w:hAnsi="Times New Roman" w:cs="Times New Roman"/>
          <w:sz w:val="24"/>
          <w:szCs w:val="24"/>
          <w:vertAlign w:val="baseline"/>
        </w:rPr>
      </w:pPr>
      <w:r w:rsidRPr="00E71B23">
        <w:rPr>
          <w:rFonts w:ascii="Times New Roman" w:eastAsia="Calibri" w:hAnsi="Times New Roman" w:cs="Times New Roman"/>
          <w:sz w:val="24"/>
          <w:szCs w:val="24"/>
          <w:vertAlign w:val="baseline"/>
        </w:rPr>
        <w:t>It is accepted that radical feminism may be criticised. A conceptual problem for radical feminism is that of essentialism, due to its assumption of commonality, radical feminism displays a lack of acknowledgement of difference, particularly as regards class, ethnicity, and sexuality, thus, creating an area of disagreement between western and third world feminism.</w:t>
      </w:r>
      <w:r w:rsidRPr="00615CE4">
        <w:rPr>
          <w:rStyle w:val="FootnoteReference"/>
          <w:rFonts w:ascii="Times New Roman" w:eastAsia="Calibri" w:hAnsi="Times New Roman" w:cs="Times New Roman"/>
          <w:sz w:val="24"/>
          <w:szCs w:val="24"/>
        </w:rPr>
        <w:footnoteReference w:id="55"/>
      </w:r>
      <w:r w:rsidRPr="00615CE4">
        <w:rPr>
          <w:rFonts w:ascii="Times New Roman" w:eastAsia="Calibri" w:hAnsi="Times New Roman" w:cs="Times New Roman"/>
          <w:sz w:val="24"/>
          <w:szCs w:val="24"/>
        </w:rPr>
        <w:t xml:space="preserve"> </w:t>
      </w:r>
      <w:r w:rsidRPr="00E71B23">
        <w:rPr>
          <w:rFonts w:ascii="Times New Roman" w:eastAsia="Calibri" w:hAnsi="Times New Roman" w:cs="Times New Roman"/>
          <w:sz w:val="24"/>
          <w:szCs w:val="24"/>
          <w:vertAlign w:val="baseline"/>
        </w:rPr>
        <w:t>As noted by Spelman, ‘the focus on women “as women” has addressed only one group of women, namely white middle-class women of Western industrialised countries.’</w:t>
      </w:r>
      <w:r w:rsidRPr="00615CE4">
        <w:rPr>
          <w:rStyle w:val="FootnoteReference"/>
          <w:rFonts w:ascii="Times New Roman" w:eastAsia="Calibri" w:hAnsi="Times New Roman" w:cs="Times New Roman"/>
          <w:sz w:val="24"/>
          <w:szCs w:val="24"/>
        </w:rPr>
        <w:footnoteReference w:id="56"/>
      </w:r>
      <w:r w:rsidRPr="00615CE4">
        <w:rPr>
          <w:rFonts w:ascii="Times New Roman" w:eastAsia="Calibri" w:hAnsi="Times New Roman" w:cs="Times New Roman"/>
          <w:sz w:val="24"/>
          <w:szCs w:val="24"/>
        </w:rPr>
        <w:t xml:space="preserve"> </w:t>
      </w:r>
      <w:r w:rsidRPr="00E71B23">
        <w:rPr>
          <w:rFonts w:ascii="Times New Roman" w:eastAsia="Calibri" w:hAnsi="Times New Roman" w:cs="Times New Roman"/>
          <w:sz w:val="24"/>
          <w:szCs w:val="24"/>
          <w:vertAlign w:val="baseline"/>
        </w:rPr>
        <w:t>Such criticisms must, therefore, be taken into account when applying radical feminism to the lives of non-western women. In order to address criticism against Western feminism, it is necessary to identify and describe the specific forms of feminism specific to those states discussed throughout this thesis; India, Papua New Guinea, Nepal and Ghana.</w:t>
      </w:r>
    </w:p>
    <w:p w14:paraId="344431B1" w14:textId="4796765F" w:rsidR="00D548A8" w:rsidRPr="00E71B23" w:rsidRDefault="006F4248" w:rsidP="00DD5391">
      <w:pPr>
        <w:spacing w:after="200" w:line="480" w:lineRule="auto"/>
        <w:ind w:firstLine="720"/>
        <w:jc w:val="both"/>
        <w:rPr>
          <w:rFonts w:ascii="Times New Roman" w:eastAsia="Calibri" w:hAnsi="Times New Roman" w:cs="Times New Roman"/>
          <w:sz w:val="24"/>
          <w:szCs w:val="24"/>
          <w:vertAlign w:val="baseline"/>
        </w:rPr>
      </w:pPr>
      <w:r w:rsidRPr="00E71B23">
        <w:rPr>
          <w:rFonts w:ascii="Times New Roman" w:eastAsia="Calibri" w:hAnsi="Times New Roman" w:cs="Times New Roman"/>
          <w:sz w:val="24"/>
          <w:szCs w:val="24"/>
          <w:vertAlign w:val="baseline"/>
        </w:rPr>
        <w:t>Within India, there are two specific types of feminism, Islamic feminism and Indian feminism.</w:t>
      </w:r>
      <w:r w:rsidRPr="00277FBC">
        <w:rPr>
          <w:rStyle w:val="FootnoteReference"/>
          <w:rFonts w:ascii="Times New Roman" w:eastAsia="Calibri" w:hAnsi="Times New Roman" w:cs="Times New Roman"/>
          <w:sz w:val="24"/>
          <w:szCs w:val="24"/>
        </w:rPr>
        <w:footnoteReference w:id="57"/>
      </w:r>
      <w:r w:rsidRPr="00E71B23">
        <w:rPr>
          <w:rFonts w:ascii="Times New Roman" w:eastAsia="Calibri" w:hAnsi="Times New Roman" w:cs="Times New Roman"/>
          <w:sz w:val="24"/>
          <w:szCs w:val="24"/>
          <w:vertAlign w:val="baseline"/>
        </w:rPr>
        <w:t xml:space="preserve"> There are many similarities between Islamic and Indian feminism, both were influenced by western feminist debates, adapting their debates creatively and relating these issues on local and national levels.</w:t>
      </w:r>
      <w:r w:rsidRPr="00277FBC">
        <w:rPr>
          <w:rStyle w:val="FootnoteReference"/>
          <w:rFonts w:ascii="Times New Roman" w:eastAsia="Calibri" w:hAnsi="Times New Roman" w:cs="Times New Roman"/>
          <w:sz w:val="24"/>
          <w:szCs w:val="24"/>
        </w:rPr>
        <w:footnoteReference w:id="58"/>
      </w:r>
      <w:r w:rsidRPr="00277FBC">
        <w:rPr>
          <w:rFonts w:ascii="Times New Roman" w:eastAsia="Calibri" w:hAnsi="Times New Roman" w:cs="Times New Roman"/>
          <w:sz w:val="24"/>
          <w:szCs w:val="24"/>
        </w:rPr>
        <w:t xml:space="preserve"> </w:t>
      </w:r>
      <w:r w:rsidRPr="00E71B23">
        <w:rPr>
          <w:rFonts w:ascii="Times New Roman" w:eastAsia="Calibri" w:hAnsi="Times New Roman" w:cs="Times New Roman"/>
          <w:sz w:val="24"/>
          <w:szCs w:val="24"/>
          <w:vertAlign w:val="baseline"/>
        </w:rPr>
        <w:t>The key difference between the two is religious orientation.</w:t>
      </w:r>
      <w:r w:rsidRPr="00277FBC">
        <w:rPr>
          <w:rStyle w:val="FootnoteReference"/>
          <w:rFonts w:ascii="Times New Roman" w:eastAsia="Calibri" w:hAnsi="Times New Roman" w:cs="Times New Roman"/>
          <w:sz w:val="24"/>
          <w:szCs w:val="24"/>
        </w:rPr>
        <w:footnoteReference w:id="59"/>
      </w:r>
      <w:r w:rsidRPr="00E71B23">
        <w:rPr>
          <w:rFonts w:ascii="Times New Roman" w:eastAsia="Calibri" w:hAnsi="Times New Roman" w:cs="Times New Roman"/>
          <w:sz w:val="24"/>
          <w:szCs w:val="24"/>
          <w:vertAlign w:val="baseline"/>
        </w:rPr>
        <w:t xml:space="preserve"> Islamic feminism, is concerned with the equality of women within an Islamic framework. As defined by Badran,</w:t>
      </w:r>
    </w:p>
    <w:p w14:paraId="6F3013A1" w14:textId="226DFD6D" w:rsidR="00DD5391" w:rsidRDefault="006F4248" w:rsidP="00DD5391">
      <w:pPr>
        <w:spacing w:after="200" w:line="480" w:lineRule="auto"/>
        <w:ind w:left="720"/>
        <w:jc w:val="both"/>
        <w:rPr>
          <w:rFonts w:ascii="Times New Roman" w:eastAsia="Calibri" w:hAnsi="Times New Roman" w:cs="Times New Roman"/>
          <w:sz w:val="24"/>
          <w:szCs w:val="24"/>
          <w:vertAlign w:val="baseline"/>
        </w:rPr>
      </w:pPr>
      <w:r w:rsidRPr="00E71B23">
        <w:rPr>
          <w:rFonts w:ascii="Times New Roman" w:eastAsia="Calibri" w:hAnsi="Times New Roman" w:cs="Times New Roman"/>
          <w:sz w:val="24"/>
          <w:szCs w:val="24"/>
          <w:vertAlign w:val="baseline"/>
        </w:rPr>
        <w:t>It is a feminist discourse and practice articulated within an Islamic paradigm. Islamic feminism, which derives its understanding and mandate from the Qur'an, seeks rights and justice for women, and for men, in the totality of their existence… Islamic feminism advocates women's rights, gender equality, and social justice using Islamic discourse as its paramount discourse.</w:t>
      </w:r>
      <w:r w:rsidRPr="00277FBC">
        <w:rPr>
          <w:rStyle w:val="FootnoteReference"/>
          <w:rFonts w:ascii="Times New Roman" w:eastAsia="Calibri" w:hAnsi="Times New Roman" w:cs="Times New Roman"/>
          <w:sz w:val="24"/>
          <w:szCs w:val="24"/>
        </w:rPr>
        <w:footnoteReference w:id="60"/>
      </w:r>
    </w:p>
    <w:p w14:paraId="3310E997" w14:textId="77777777" w:rsidR="00DD5391" w:rsidRPr="00E71B23" w:rsidRDefault="00DD5391" w:rsidP="00DD5391">
      <w:pPr>
        <w:spacing w:after="200" w:line="480" w:lineRule="auto"/>
        <w:ind w:left="720"/>
        <w:jc w:val="both"/>
        <w:rPr>
          <w:rFonts w:ascii="Times New Roman" w:eastAsia="Calibri" w:hAnsi="Times New Roman" w:cs="Times New Roman"/>
          <w:sz w:val="24"/>
          <w:szCs w:val="24"/>
          <w:vertAlign w:val="baseline"/>
        </w:rPr>
      </w:pPr>
    </w:p>
    <w:p w14:paraId="410153A1" w14:textId="4DF74C8C" w:rsidR="00D548A8" w:rsidRDefault="006F4248" w:rsidP="00DD5391">
      <w:pPr>
        <w:spacing w:after="200" w:line="480" w:lineRule="auto"/>
        <w:ind w:firstLine="720"/>
        <w:jc w:val="both"/>
        <w:rPr>
          <w:rFonts w:ascii="Times New Roman" w:eastAsia="Calibri" w:hAnsi="Times New Roman" w:cs="Times New Roman"/>
          <w:sz w:val="24"/>
          <w:szCs w:val="24"/>
          <w:vertAlign w:val="baseline"/>
        </w:rPr>
      </w:pPr>
      <w:r w:rsidRPr="00E71B23">
        <w:rPr>
          <w:rFonts w:ascii="Times New Roman" w:eastAsia="Calibri" w:hAnsi="Times New Roman" w:cs="Times New Roman"/>
          <w:sz w:val="24"/>
          <w:szCs w:val="24"/>
          <w:vertAlign w:val="baseline"/>
        </w:rPr>
        <w:t>Similarly, Indian feminism advocates gender equality and social justice, however, within a Hindu framework. As with Western feminism, there are many influential feminists within India.</w:t>
      </w:r>
      <w:r w:rsidRPr="00277FBC">
        <w:rPr>
          <w:rStyle w:val="FootnoteReference"/>
          <w:rFonts w:ascii="Times New Roman" w:eastAsia="Calibri" w:hAnsi="Times New Roman" w:cs="Times New Roman"/>
          <w:sz w:val="24"/>
          <w:szCs w:val="24"/>
        </w:rPr>
        <w:footnoteReference w:id="61"/>
      </w:r>
      <w:r w:rsidRPr="00E71B23">
        <w:rPr>
          <w:rFonts w:ascii="Times New Roman" w:eastAsia="Calibri" w:hAnsi="Times New Roman" w:cs="Times New Roman"/>
          <w:sz w:val="24"/>
          <w:szCs w:val="24"/>
          <w:vertAlign w:val="baseline"/>
        </w:rPr>
        <w:t xml:space="preserve"> However, within India, the behaviour of women continues to form the focus of public attention, intensified by ‘globalised lifestyles and the seeming erosion of “traditional” values.’</w:t>
      </w:r>
      <w:r w:rsidRPr="00277FBC">
        <w:rPr>
          <w:rStyle w:val="FootnoteReference"/>
          <w:rFonts w:ascii="Times New Roman" w:eastAsia="Calibri" w:hAnsi="Times New Roman" w:cs="Times New Roman"/>
          <w:sz w:val="24"/>
          <w:szCs w:val="24"/>
        </w:rPr>
        <w:footnoteReference w:id="62"/>
      </w:r>
      <w:r w:rsidRPr="00E71B23">
        <w:rPr>
          <w:rFonts w:ascii="Times New Roman" w:eastAsia="Calibri" w:hAnsi="Times New Roman" w:cs="Times New Roman"/>
          <w:sz w:val="24"/>
          <w:szCs w:val="24"/>
          <w:vertAlign w:val="baseline"/>
        </w:rPr>
        <w:t xml:space="preserve"> As noted by Rao, ‘as traditional values are dissolving, modern values are not widely accepted. Many Indian men are outraged at the idea of women having the same freedoms they have.’</w:t>
      </w:r>
      <w:r w:rsidRPr="00277FBC">
        <w:rPr>
          <w:rStyle w:val="FootnoteReference"/>
          <w:rFonts w:ascii="Times New Roman" w:eastAsia="Calibri" w:hAnsi="Times New Roman" w:cs="Times New Roman"/>
          <w:sz w:val="24"/>
          <w:szCs w:val="24"/>
        </w:rPr>
        <w:footnoteReference w:id="63"/>
      </w:r>
    </w:p>
    <w:p w14:paraId="73F0F42D" w14:textId="77777777" w:rsidR="009B12B1" w:rsidRPr="00E71B23" w:rsidRDefault="009B12B1" w:rsidP="00DD5391">
      <w:pPr>
        <w:spacing w:after="200" w:line="480" w:lineRule="auto"/>
        <w:ind w:firstLine="720"/>
        <w:jc w:val="both"/>
        <w:rPr>
          <w:rFonts w:ascii="Times New Roman" w:eastAsia="Calibri" w:hAnsi="Times New Roman" w:cs="Times New Roman"/>
          <w:sz w:val="24"/>
          <w:szCs w:val="24"/>
          <w:vertAlign w:val="baseline"/>
        </w:rPr>
      </w:pPr>
    </w:p>
    <w:p w14:paraId="4FB324A0" w14:textId="2C4B6459" w:rsidR="006F0E3C" w:rsidRDefault="006F4248" w:rsidP="00FD5F99">
      <w:pPr>
        <w:spacing w:after="200" w:line="480" w:lineRule="auto"/>
        <w:ind w:firstLine="720"/>
        <w:jc w:val="both"/>
        <w:rPr>
          <w:rFonts w:ascii="Times New Roman" w:eastAsia="Calibri" w:hAnsi="Times New Roman" w:cs="Times New Roman"/>
          <w:sz w:val="24"/>
          <w:szCs w:val="24"/>
          <w:vertAlign w:val="baseline"/>
        </w:rPr>
      </w:pPr>
      <w:r w:rsidRPr="00E71B23">
        <w:rPr>
          <w:rFonts w:ascii="Times New Roman" w:eastAsia="Calibri" w:hAnsi="Times New Roman" w:cs="Times New Roman"/>
          <w:sz w:val="24"/>
          <w:szCs w:val="24"/>
          <w:vertAlign w:val="baseline"/>
        </w:rPr>
        <w:t>Like Indian fem</w:t>
      </w:r>
      <w:r w:rsidR="000C671B">
        <w:rPr>
          <w:rFonts w:ascii="Times New Roman" w:eastAsia="Calibri" w:hAnsi="Times New Roman" w:cs="Times New Roman"/>
          <w:sz w:val="24"/>
          <w:szCs w:val="24"/>
          <w:vertAlign w:val="baseline"/>
        </w:rPr>
        <w:t>inism, Nepali feminism advocates</w:t>
      </w:r>
      <w:r w:rsidRPr="00E71B23">
        <w:rPr>
          <w:rFonts w:ascii="Times New Roman" w:eastAsia="Calibri" w:hAnsi="Times New Roman" w:cs="Times New Roman"/>
          <w:sz w:val="24"/>
          <w:szCs w:val="24"/>
          <w:vertAlign w:val="baseline"/>
        </w:rPr>
        <w:t xml:space="preserve"> gender equality and social justice, largely within a Hindu framework. Prior to 2006, Nepal had been ruled by the monarchy in which, ‘repression, gross violence of human rights, blatant abuses of state power and resources, abuses of authority, tense relations with </w:t>
      </w:r>
      <w:r w:rsidR="000C671B">
        <w:rPr>
          <w:rFonts w:ascii="Times New Roman" w:eastAsia="Calibri" w:hAnsi="Times New Roman" w:cs="Times New Roman"/>
          <w:sz w:val="24"/>
          <w:szCs w:val="24"/>
          <w:vertAlign w:val="baseline"/>
        </w:rPr>
        <w:t xml:space="preserve">the </w:t>
      </w:r>
      <w:r w:rsidRPr="00E71B23">
        <w:rPr>
          <w:rFonts w:ascii="Times New Roman" w:eastAsia="Calibri" w:hAnsi="Times New Roman" w:cs="Times New Roman"/>
          <w:sz w:val="24"/>
          <w:szCs w:val="24"/>
          <w:vertAlign w:val="baseline"/>
        </w:rPr>
        <w:t>international community became remarkable features of the king’s direct rule.’</w:t>
      </w:r>
      <w:r w:rsidRPr="00940000">
        <w:rPr>
          <w:rStyle w:val="FootnoteReference"/>
          <w:rFonts w:ascii="Times New Roman" w:eastAsia="Calibri" w:hAnsi="Times New Roman" w:cs="Times New Roman"/>
          <w:sz w:val="24"/>
          <w:szCs w:val="24"/>
        </w:rPr>
        <w:footnoteReference w:id="64"/>
      </w:r>
      <w:r w:rsidRPr="00E71B23">
        <w:rPr>
          <w:rFonts w:ascii="Times New Roman" w:eastAsia="Calibri" w:hAnsi="Times New Roman" w:cs="Times New Roman"/>
          <w:sz w:val="24"/>
          <w:szCs w:val="24"/>
          <w:vertAlign w:val="baseline"/>
        </w:rPr>
        <w:t xml:space="preserve"> However, following the success of the Communist Party and People’s movement in 2006, in overthrowing the monarchy and restoring democracy to Nepal, those </w:t>
      </w:r>
      <w:r w:rsidR="000C671B">
        <w:rPr>
          <w:rFonts w:ascii="Times New Roman" w:eastAsia="Calibri" w:hAnsi="Times New Roman" w:cs="Times New Roman"/>
          <w:sz w:val="24"/>
          <w:szCs w:val="24"/>
          <w:vertAlign w:val="baseline"/>
        </w:rPr>
        <w:t xml:space="preserve">ethnic and religious </w:t>
      </w:r>
      <w:r w:rsidRPr="00E71B23">
        <w:rPr>
          <w:rFonts w:ascii="Times New Roman" w:eastAsia="Calibri" w:hAnsi="Times New Roman" w:cs="Times New Roman"/>
          <w:sz w:val="24"/>
          <w:szCs w:val="24"/>
          <w:vertAlign w:val="baseline"/>
        </w:rPr>
        <w:t>groups that had been repressed for centuries came to the forefront. Within the women’s movement there are four main groups of feminism, divided amongst caste, ethnicity and religious lines, Dalits,</w:t>
      </w:r>
      <w:r w:rsidRPr="00940000">
        <w:rPr>
          <w:rStyle w:val="FootnoteReference"/>
          <w:rFonts w:ascii="Times New Roman" w:eastAsia="Calibri" w:hAnsi="Times New Roman" w:cs="Times New Roman"/>
          <w:sz w:val="24"/>
          <w:szCs w:val="24"/>
        </w:rPr>
        <w:footnoteReference w:id="65"/>
      </w:r>
      <w:r w:rsidRPr="00940000">
        <w:rPr>
          <w:rFonts w:ascii="Times New Roman" w:eastAsia="Calibri" w:hAnsi="Times New Roman" w:cs="Times New Roman"/>
          <w:sz w:val="24"/>
          <w:szCs w:val="24"/>
        </w:rPr>
        <w:t xml:space="preserve"> </w:t>
      </w:r>
      <w:r w:rsidRPr="00E71B23">
        <w:rPr>
          <w:rFonts w:ascii="Times New Roman" w:eastAsia="Calibri" w:hAnsi="Times New Roman" w:cs="Times New Roman"/>
          <w:sz w:val="24"/>
          <w:szCs w:val="24"/>
          <w:vertAlign w:val="baseline"/>
        </w:rPr>
        <w:t>Jajantis,</w:t>
      </w:r>
      <w:r w:rsidRPr="00940000">
        <w:rPr>
          <w:rStyle w:val="FootnoteReference"/>
          <w:rFonts w:ascii="Times New Roman" w:eastAsia="Calibri" w:hAnsi="Times New Roman" w:cs="Times New Roman"/>
          <w:sz w:val="24"/>
          <w:szCs w:val="24"/>
        </w:rPr>
        <w:footnoteReference w:id="66"/>
      </w:r>
      <w:r w:rsidRPr="00940000">
        <w:rPr>
          <w:rFonts w:ascii="Times New Roman" w:eastAsia="Calibri" w:hAnsi="Times New Roman" w:cs="Times New Roman"/>
          <w:sz w:val="24"/>
          <w:szCs w:val="24"/>
        </w:rPr>
        <w:t xml:space="preserve"> </w:t>
      </w:r>
      <w:r w:rsidRPr="00E71B23">
        <w:rPr>
          <w:rFonts w:ascii="Times New Roman" w:eastAsia="Calibri" w:hAnsi="Times New Roman" w:cs="Times New Roman"/>
          <w:sz w:val="24"/>
          <w:szCs w:val="24"/>
          <w:vertAlign w:val="baseline"/>
        </w:rPr>
        <w:t>Madhesis</w:t>
      </w:r>
      <w:r w:rsidRPr="00940000">
        <w:rPr>
          <w:rStyle w:val="FootnoteReference"/>
          <w:rFonts w:ascii="Times New Roman" w:eastAsia="Calibri" w:hAnsi="Times New Roman" w:cs="Times New Roman"/>
          <w:sz w:val="24"/>
          <w:szCs w:val="24"/>
        </w:rPr>
        <w:footnoteReference w:id="67"/>
      </w:r>
      <w:r w:rsidRPr="00940000">
        <w:rPr>
          <w:rFonts w:ascii="Times New Roman" w:eastAsia="Calibri" w:hAnsi="Times New Roman" w:cs="Times New Roman"/>
          <w:sz w:val="24"/>
          <w:szCs w:val="24"/>
        </w:rPr>
        <w:t xml:space="preserve"> </w:t>
      </w:r>
      <w:r w:rsidRPr="00E71B23">
        <w:rPr>
          <w:rFonts w:ascii="Times New Roman" w:eastAsia="Calibri" w:hAnsi="Times New Roman" w:cs="Times New Roman"/>
          <w:sz w:val="24"/>
          <w:szCs w:val="24"/>
          <w:vertAlign w:val="baseline"/>
        </w:rPr>
        <w:t>and Muslims.</w:t>
      </w:r>
      <w:r w:rsidRPr="00940000">
        <w:rPr>
          <w:rStyle w:val="FootnoteReference"/>
          <w:rFonts w:ascii="Times New Roman" w:eastAsia="Calibri" w:hAnsi="Times New Roman" w:cs="Times New Roman"/>
          <w:sz w:val="24"/>
          <w:szCs w:val="24"/>
        </w:rPr>
        <w:footnoteReference w:id="68"/>
      </w:r>
      <w:r w:rsidRPr="00E71B23">
        <w:rPr>
          <w:rFonts w:ascii="Times New Roman" w:eastAsia="Calibri" w:hAnsi="Times New Roman" w:cs="Times New Roman"/>
          <w:sz w:val="24"/>
          <w:szCs w:val="24"/>
          <w:vertAlign w:val="baseline"/>
        </w:rPr>
        <w:t xml:space="preserve"> Whilst all four have the same focus, each looks at the issue of gender equality and social justice from their own specific perspective. However, as Rita Thapa</w:t>
      </w:r>
      <w:r w:rsidRPr="00940000">
        <w:rPr>
          <w:rStyle w:val="FootnoteReference"/>
          <w:rFonts w:ascii="Times New Roman" w:eastAsia="Calibri" w:hAnsi="Times New Roman" w:cs="Times New Roman"/>
          <w:sz w:val="24"/>
          <w:szCs w:val="24"/>
        </w:rPr>
        <w:footnoteReference w:id="69"/>
      </w:r>
      <w:r w:rsidRPr="00E71B23">
        <w:rPr>
          <w:rFonts w:ascii="Times New Roman" w:eastAsia="Calibri" w:hAnsi="Times New Roman" w:cs="Times New Roman"/>
          <w:sz w:val="24"/>
          <w:szCs w:val="24"/>
          <w:vertAlign w:val="baseline"/>
        </w:rPr>
        <w:t xml:space="preserve"> documents, ‘even calling oneself a feminist in Nepal could lead to problems. Being a “feminist” can imply breaking with Nepali tradition and culture and favouring a more western lifestyle, being “loose” in character or even a “home-breaker.”</w:t>
      </w:r>
      <w:r w:rsidRPr="00940000">
        <w:rPr>
          <w:rStyle w:val="FootnoteReference"/>
          <w:rFonts w:ascii="Times New Roman" w:eastAsia="Calibri" w:hAnsi="Times New Roman" w:cs="Times New Roman"/>
          <w:sz w:val="24"/>
          <w:szCs w:val="24"/>
        </w:rPr>
        <w:footnoteReference w:id="70"/>
      </w:r>
    </w:p>
    <w:p w14:paraId="6AF2296B" w14:textId="77777777" w:rsidR="00D548A8" w:rsidRDefault="00D548A8" w:rsidP="00FD5F99">
      <w:pPr>
        <w:spacing w:after="200" w:line="480" w:lineRule="auto"/>
        <w:ind w:firstLine="720"/>
        <w:jc w:val="both"/>
        <w:rPr>
          <w:rFonts w:ascii="Times New Roman" w:eastAsia="Calibri" w:hAnsi="Times New Roman" w:cs="Times New Roman"/>
          <w:sz w:val="24"/>
          <w:szCs w:val="24"/>
          <w:vertAlign w:val="baseline"/>
        </w:rPr>
      </w:pPr>
    </w:p>
    <w:p w14:paraId="672BD738" w14:textId="234076B2" w:rsidR="00D548A8" w:rsidRDefault="006F4248" w:rsidP="00DD5391">
      <w:pPr>
        <w:spacing w:after="200" w:line="480" w:lineRule="auto"/>
        <w:ind w:firstLine="720"/>
        <w:jc w:val="both"/>
        <w:rPr>
          <w:rFonts w:ascii="Times New Roman" w:eastAsia="Calibri" w:hAnsi="Times New Roman" w:cs="Times New Roman"/>
          <w:sz w:val="24"/>
          <w:szCs w:val="24"/>
          <w:vertAlign w:val="baseline"/>
        </w:rPr>
      </w:pPr>
      <w:r w:rsidRPr="00E71B23">
        <w:rPr>
          <w:rFonts w:ascii="Times New Roman" w:eastAsia="Calibri" w:hAnsi="Times New Roman" w:cs="Times New Roman"/>
          <w:sz w:val="24"/>
          <w:szCs w:val="24"/>
          <w:vertAlign w:val="baseline"/>
        </w:rPr>
        <w:t>Due to the largely indigenous nature of Papua New Guinea, the country remains predominantly tribal and clan based, with women bound by village, clan, lineage and tribal affinities.</w:t>
      </w:r>
      <w:r w:rsidRPr="00B92D5C">
        <w:rPr>
          <w:rStyle w:val="FootnoteReference"/>
          <w:rFonts w:ascii="Times New Roman" w:eastAsia="Calibri" w:hAnsi="Times New Roman" w:cs="Times New Roman"/>
          <w:sz w:val="24"/>
          <w:szCs w:val="24"/>
        </w:rPr>
        <w:footnoteReference w:id="71"/>
      </w:r>
      <w:r w:rsidRPr="00B92D5C">
        <w:rPr>
          <w:rFonts w:ascii="Times New Roman" w:eastAsia="Calibri" w:hAnsi="Times New Roman" w:cs="Times New Roman"/>
          <w:sz w:val="24"/>
          <w:szCs w:val="24"/>
        </w:rPr>
        <w:t xml:space="preserve"> </w:t>
      </w:r>
      <w:r w:rsidRPr="00E71B23">
        <w:rPr>
          <w:rFonts w:ascii="Times New Roman" w:eastAsia="Calibri" w:hAnsi="Times New Roman" w:cs="Times New Roman"/>
          <w:sz w:val="24"/>
          <w:szCs w:val="24"/>
          <w:vertAlign w:val="baseline"/>
        </w:rPr>
        <w:t>However, due to the large Christian majority in PNG, women’s programmes are run throughout PNG by different churches,</w:t>
      </w:r>
      <w:r w:rsidRPr="00B92D5C">
        <w:rPr>
          <w:rStyle w:val="FootnoteReference"/>
          <w:rFonts w:ascii="Times New Roman" w:eastAsia="Calibri" w:hAnsi="Times New Roman" w:cs="Times New Roman"/>
          <w:sz w:val="24"/>
          <w:szCs w:val="24"/>
        </w:rPr>
        <w:footnoteReference w:id="72"/>
      </w:r>
      <w:r w:rsidRPr="00B92D5C">
        <w:rPr>
          <w:rFonts w:ascii="Times New Roman" w:eastAsia="Calibri" w:hAnsi="Times New Roman" w:cs="Times New Roman"/>
          <w:sz w:val="24"/>
          <w:szCs w:val="24"/>
        </w:rPr>
        <w:t xml:space="preserve"> </w:t>
      </w:r>
      <w:r w:rsidRPr="00E71B23">
        <w:rPr>
          <w:rFonts w:ascii="Times New Roman" w:eastAsia="Calibri" w:hAnsi="Times New Roman" w:cs="Times New Roman"/>
          <w:sz w:val="24"/>
          <w:szCs w:val="24"/>
          <w:vertAlign w:val="baseline"/>
        </w:rPr>
        <w:t>alongside a variety of feminist NGOs, focusing on different issues such as socioeconomic justice,</w:t>
      </w:r>
      <w:r w:rsidRPr="00B92D5C">
        <w:rPr>
          <w:rStyle w:val="FootnoteReference"/>
          <w:rFonts w:ascii="Times New Roman" w:eastAsia="Calibri" w:hAnsi="Times New Roman" w:cs="Times New Roman"/>
          <w:sz w:val="24"/>
          <w:szCs w:val="24"/>
        </w:rPr>
        <w:footnoteReference w:id="73"/>
      </w:r>
      <w:r w:rsidRPr="00B92D5C">
        <w:rPr>
          <w:rFonts w:ascii="Times New Roman" w:eastAsia="Calibri" w:hAnsi="Times New Roman" w:cs="Times New Roman"/>
          <w:sz w:val="24"/>
          <w:szCs w:val="24"/>
        </w:rPr>
        <w:t xml:space="preserve"> </w:t>
      </w:r>
      <w:r w:rsidRPr="00E71B23">
        <w:rPr>
          <w:rFonts w:ascii="Times New Roman" w:eastAsia="Calibri" w:hAnsi="Times New Roman" w:cs="Times New Roman"/>
          <w:sz w:val="24"/>
          <w:szCs w:val="24"/>
          <w:vertAlign w:val="baseline"/>
        </w:rPr>
        <w:t>education, housing, welfare and refugee support,</w:t>
      </w:r>
      <w:r w:rsidRPr="00B92D5C">
        <w:rPr>
          <w:rStyle w:val="FootnoteReference"/>
          <w:rFonts w:ascii="Times New Roman" w:eastAsia="Calibri" w:hAnsi="Times New Roman" w:cs="Times New Roman"/>
          <w:sz w:val="24"/>
          <w:szCs w:val="24"/>
        </w:rPr>
        <w:footnoteReference w:id="74"/>
      </w:r>
      <w:r w:rsidRPr="00B92D5C">
        <w:rPr>
          <w:rFonts w:ascii="Times New Roman" w:eastAsia="Calibri" w:hAnsi="Times New Roman" w:cs="Times New Roman"/>
          <w:sz w:val="24"/>
          <w:szCs w:val="24"/>
        </w:rPr>
        <w:t xml:space="preserve"> </w:t>
      </w:r>
      <w:r w:rsidRPr="00E71B23">
        <w:rPr>
          <w:rFonts w:ascii="Times New Roman" w:eastAsia="Calibri" w:hAnsi="Times New Roman" w:cs="Times New Roman"/>
          <w:sz w:val="24"/>
          <w:szCs w:val="24"/>
          <w:vertAlign w:val="baseline"/>
        </w:rPr>
        <w:t>politics</w:t>
      </w:r>
      <w:r w:rsidRPr="00B92D5C">
        <w:rPr>
          <w:rStyle w:val="FootnoteReference"/>
          <w:rFonts w:ascii="Times New Roman" w:eastAsia="Calibri" w:hAnsi="Times New Roman" w:cs="Times New Roman"/>
          <w:sz w:val="24"/>
          <w:szCs w:val="24"/>
        </w:rPr>
        <w:footnoteReference w:id="75"/>
      </w:r>
      <w:r w:rsidRPr="00B92D5C">
        <w:rPr>
          <w:rFonts w:ascii="Times New Roman" w:eastAsia="Calibri" w:hAnsi="Times New Roman" w:cs="Times New Roman"/>
          <w:sz w:val="24"/>
          <w:szCs w:val="24"/>
        </w:rPr>
        <w:t xml:space="preserve"> </w:t>
      </w:r>
      <w:r w:rsidRPr="00E71B23">
        <w:rPr>
          <w:rFonts w:ascii="Times New Roman" w:eastAsia="Calibri" w:hAnsi="Times New Roman" w:cs="Times New Roman"/>
          <w:sz w:val="24"/>
          <w:szCs w:val="24"/>
          <w:vertAlign w:val="baseline"/>
        </w:rPr>
        <w:t>and gender equality.</w:t>
      </w:r>
      <w:r w:rsidRPr="00B92D5C">
        <w:rPr>
          <w:rStyle w:val="FootnoteReference"/>
          <w:rFonts w:ascii="Times New Roman" w:eastAsia="Calibri" w:hAnsi="Times New Roman" w:cs="Times New Roman"/>
          <w:sz w:val="24"/>
          <w:szCs w:val="24"/>
        </w:rPr>
        <w:footnoteReference w:id="76"/>
      </w:r>
      <w:r w:rsidRPr="00B92D5C">
        <w:rPr>
          <w:rFonts w:ascii="Times New Roman" w:eastAsia="Calibri" w:hAnsi="Times New Roman" w:cs="Times New Roman"/>
          <w:sz w:val="24"/>
          <w:szCs w:val="24"/>
        </w:rPr>
        <w:t xml:space="preserve"> </w:t>
      </w:r>
      <w:r w:rsidRPr="00E71B23">
        <w:rPr>
          <w:rFonts w:ascii="Times New Roman" w:eastAsia="Calibri" w:hAnsi="Times New Roman" w:cs="Times New Roman"/>
          <w:sz w:val="24"/>
          <w:szCs w:val="24"/>
          <w:vertAlign w:val="baseline"/>
        </w:rPr>
        <w:t>Whilst there are many feminist activists in PNG, two in particular have been singled out by the UN</w:t>
      </w:r>
      <w:r w:rsidRPr="00B92D5C">
        <w:rPr>
          <w:rStyle w:val="FootnoteReference"/>
          <w:rFonts w:ascii="Times New Roman" w:eastAsia="Calibri" w:hAnsi="Times New Roman" w:cs="Times New Roman"/>
          <w:sz w:val="24"/>
          <w:szCs w:val="24"/>
        </w:rPr>
        <w:footnoteReference w:id="77"/>
      </w:r>
      <w:r w:rsidRPr="00B92D5C">
        <w:rPr>
          <w:rFonts w:ascii="Times New Roman" w:eastAsia="Calibri" w:hAnsi="Times New Roman" w:cs="Times New Roman"/>
          <w:sz w:val="24"/>
          <w:szCs w:val="24"/>
        </w:rPr>
        <w:t xml:space="preserve"> </w:t>
      </w:r>
      <w:r w:rsidRPr="00E71B23">
        <w:rPr>
          <w:rFonts w:ascii="Times New Roman" w:eastAsia="Calibri" w:hAnsi="Times New Roman" w:cs="Times New Roman"/>
          <w:sz w:val="24"/>
          <w:szCs w:val="24"/>
          <w:vertAlign w:val="baseline"/>
        </w:rPr>
        <w:t>for their work in defending the rights of women, Monica Paulus who works with the Highlands Women’s Human Rights Defenders Network</w:t>
      </w:r>
      <w:r w:rsidRPr="00B92D5C">
        <w:rPr>
          <w:rStyle w:val="FootnoteReference"/>
          <w:rFonts w:ascii="Times New Roman" w:eastAsia="Calibri" w:hAnsi="Times New Roman" w:cs="Times New Roman"/>
          <w:sz w:val="24"/>
          <w:szCs w:val="24"/>
        </w:rPr>
        <w:footnoteReference w:id="78"/>
      </w:r>
      <w:r w:rsidRPr="00B92D5C">
        <w:rPr>
          <w:rFonts w:ascii="Times New Roman" w:eastAsia="Calibri" w:hAnsi="Times New Roman" w:cs="Times New Roman"/>
          <w:sz w:val="24"/>
          <w:szCs w:val="24"/>
        </w:rPr>
        <w:t xml:space="preserve"> </w:t>
      </w:r>
      <w:r w:rsidRPr="00E71B23">
        <w:rPr>
          <w:rFonts w:ascii="Times New Roman" w:eastAsia="Calibri" w:hAnsi="Times New Roman" w:cs="Times New Roman"/>
          <w:sz w:val="24"/>
          <w:szCs w:val="24"/>
          <w:vertAlign w:val="baseline"/>
        </w:rPr>
        <w:t>and Mary Kini, founder of Kup Women for Peace.</w:t>
      </w:r>
      <w:r w:rsidRPr="00B92D5C">
        <w:rPr>
          <w:rStyle w:val="FootnoteReference"/>
          <w:rFonts w:ascii="Times New Roman" w:eastAsia="Calibri" w:hAnsi="Times New Roman" w:cs="Times New Roman"/>
          <w:sz w:val="24"/>
          <w:szCs w:val="24"/>
        </w:rPr>
        <w:footnoteReference w:id="79"/>
      </w:r>
      <w:r w:rsidRPr="00B92D5C">
        <w:rPr>
          <w:rFonts w:ascii="Times New Roman" w:eastAsia="Calibri" w:hAnsi="Times New Roman" w:cs="Times New Roman"/>
          <w:sz w:val="24"/>
          <w:szCs w:val="24"/>
        </w:rPr>
        <w:t xml:space="preserve"> </w:t>
      </w:r>
      <w:r w:rsidRPr="00E71B23">
        <w:rPr>
          <w:rFonts w:ascii="Times New Roman" w:eastAsia="Calibri" w:hAnsi="Times New Roman" w:cs="Times New Roman"/>
          <w:sz w:val="24"/>
          <w:szCs w:val="24"/>
          <w:vertAlign w:val="baseline"/>
        </w:rPr>
        <w:t>After years of intense tribal fighting within her community, Mary Kini teamed up with two other women from enemy tribes in order to mobilise others to bring peace to the area. Ten years later and following the establishment of Kup Women for Peace, the area of Kup is now ‘a land of peace.’</w:t>
      </w:r>
      <w:r w:rsidRPr="00B92D5C">
        <w:rPr>
          <w:rStyle w:val="FootnoteReference"/>
          <w:rFonts w:ascii="Times New Roman" w:eastAsia="Calibri" w:hAnsi="Times New Roman" w:cs="Times New Roman"/>
          <w:sz w:val="24"/>
          <w:szCs w:val="24"/>
        </w:rPr>
        <w:footnoteReference w:id="80"/>
      </w:r>
      <w:r w:rsidRPr="00E71B23">
        <w:rPr>
          <w:rFonts w:ascii="Times New Roman" w:eastAsia="Calibri" w:hAnsi="Times New Roman" w:cs="Times New Roman"/>
          <w:sz w:val="24"/>
          <w:szCs w:val="24"/>
          <w:vertAlign w:val="baseline"/>
        </w:rPr>
        <w:t xml:space="preserve"> Monica Paulus, who was accused of witchcraft, losing her home and all her possessions, now assists victims of WAP, providing them with food, safety and representation in court.</w:t>
      </w:r>
      <w:r w:rsidRPr="00733352">
        <w:rPr>
          <w:rStyle w:val="FootnoteReference"/>
          <w:rFonts w:ascii="Times New Roman" w:eastAsia="Calibri" w:hAnsi="Times New Roman" w:cs="Times New Roman"/>
          <w:sz w:val="24"/>
          <w:szCs w:val="24"/>
        </w:rPr>
        <w:footnoteReference w:id="81"/>
      </w:r>
      <w:r w:rsidRPr="00E71B23">
        <w:rPr>
          <w:rFonts w:ascii="Times New Roman" w:eastAsia="Calibri" w:hAnsi="Times New Roman" w:cs="Times New Roman"/>
          <w:sz w:val="24"/>
          <w:szCs w:val="24"/>
          <w:vertAlign w:val="baseline"/>
        </w:rPr>
        <w:t xml:space="preserve"> She is described by Amnesty International as one of ‘the bravest women in the world.’</w:t>
      </w:r>
      <w:r w:rsidRPr="00733352">
        <w:rPr>
          <w:rStyle w:val="FootnoteReference"/>
          <w:rFonts w:ascii="Times New Roman" w:eastAsia="Calibri" w:hAnsi="Times New Roman" w:cs="Times New Roman"/>
          <w:sz w:val="24"/>
          <w:szCs w:val="24"/>
        </w:rPr>
        <w:footnoteReference w:id="82"/>
      </w:r>
    </w:p>
    <w:p w14:paraId="7DD45908" w14:textId="77777777" w:rsidR="009B12B1" w:rsidRPr="00E71B23" w:rsidRDefault="009B12B1" w:rsidP="00DD5391">
      <w:pPr>
        <w:spacing w:after="200" w:line="480" w:lineRule="auto"/>
        <w:ind w:firstLine="720"/>
        <w:jc w:val="both"/>
        <w:rPr>
          <w:rFonts w:ascii="Times New Roman" w:eastAsia="Calibri" w:hAnsi="Times New Roman" w:cs="Times New Roman"/>
          <w:sz w:val="24"/>
          <w:szCs w:val="24"/>
          <w:vertAlign w:val="baseline"/>
        </w:rPr>
      </w:pPr>
    </w:p>
    <w:p w14:paraId="3DDE7F8F" w14:textId="7B164A5A" w:rsidR="00D548A8" w:rsidRPr="00E71B23" w:rsidRDefault="006F4248" w:rsidP="00DD5391">
      <w:pPr>
        <w:spacing w:after="200" w:line="480" w:lineRule="auto"/>
        <w:ind w:firstLine="720"/>
        <w:jc w:val="both"/>
        <w:rPr>
          <w:rFonts w:ascii="Times New Roman" w:eastAsia="Calibri" w:hAnsi="Times New Roman" w:cs="Times New Roman"/>
          <w:sz w:val="24"/>
          <w:szCs w:val="24"/>
          <w:vertAlign w:val="baseline"/>
        </w:rPr>
      </w:pPr>
      <w:r w:rsidRPr="00E71B23">
        <w:rPr>
          <w:rFonts w:ascii="Times New Roman" w:eastAsia="Calibri" w:hAnsi="Times New Roman" w:cs="Times New Roman"/>
          <w:sz w:val="24"/>
          <w:szCs w:val="24"/>
          <w:vertAlign w:val="baseline"/>
        </w:rPr>
        <w:t>Due to a lack of literature on feminism in Ghana, I have chosen, instead to discuss African feminism, as Ghana sits within African culture. In Africa, ‘everything is stratified by gender.’</w:t>
      </w:r>
      <w:r w:rsidRPr="00733352">
        <w:rPr>
          <w:rStyle w:val="FootnoteReference"/>
          <w:rFonts w:ascii="Times New Roman" w:eastAsia="Calibri" w:hAnsi="Times New Roman" w:cs="Times New Roman"/>
          <w:sz w:val="24"/>
          <w:szCs w:val="24"/>
        </w:rPr>
        <w:footnoteReference w:id="83"/>
      </w:r>
      <w:r w:rsidRPr="00733352">
        <w:rPr>
          <w:rFonts w:ascii="Times New Roman" w:eastAsia="Calibri" w:hAnsi="Times New Roman" w:cs="Times New Roman"/>
          <w:sz w:val="24"/>
          <w:szCs w:val="24"/>
        </w:rPr>
        <w:t xml:space="preserve"> </w:t>
      </w:r>
      <w:r w:rsidRPr="00E71B23">
        <w:rPr>
          <w:rFonts w:ascii="Times New Roman" w:eastAsia="Calibri" w:hAnsi="Times New Roman" w:cs="Times New Roman"/>
          <w:sz w:val="24"/>
          <w:szCs w:val="24"/>
          <w:vertAlign w:val="baseline"/>
        </w:rPr>
        <w:t xml:space="preserve">As observed by Salami, </w:t>
      </w:r>
    </w:p>
    <w:p w14:paraId="39395E4A" w14:textId="044A20AB" w:rsidR="00163DA2" w:rsidRDefault="006F4248" w:rsidP="00163DA2">
      <w:pPr>
        <w:spacing w:line="480" w:lineRule="auto"/>
        <w:ind w:left="720"/>
        <w:jc w:val="both"/>
        <w:rPr>
          <w:rFonts w:ascii="Times New Roman" w:eastAsia="Times New Roman" w:hAnsi="Times New Roman" w:cs="Times New Roman"/>
          <w:color w:val="333333"/>
          <w:sz w:val="24"/>
          <w:szCs w:val="24"/>
          <w:shd w:val="clear" w:color="auto" w:fill="FFFFFF"/>
          <w:vertAlign w:val="baseline"/>
        </w:rPr>
      </w:pPr>
      <w:r w:rsidRPr="00E71B23">
        <w:rPr>
          <w:rFonts w:ascii="Times New Roman" w:eastAsia="Times New Roman" w:hAnsi="Times New Roman" w:cs="Times New Roman"/>
          <w:color w:val="333333"/>
          <w:sz w:val="24"/>
          <w:szCs w:val="24"/>
          <w:shd w:val="clear" w:color="auto" w:fill="FFFFFF"/>
          <w:vertAlign w:val="baseline"/>
        </w:rPr>
        <w:t>Inequality of the sexes is of high proportions in African societies. Not only because of issues such as female genital mutilation (FGM), sexual abuse, violence against women or unequal access to land or education. But also because women are systemically disempowered in their private lives, where men are the head of the family.</w:t>
      </w:r>
      <w:r w:rsidRPr="00733352">
        <w:rPr>
          <w:rStyle w:val="FootnoteReference"/>
          <w:rFonts w:ascii="Times New Roman" w:eastAsia="Times New Roman" w:hAnsi="Times New Roman" w:cs="Times New Roman"/>
          <w:color w:val="333333"/>
          <w:sz w:val="24"/>
          <w:szCs w:val="24"/>
          <w:shd w:val="clear" w:color="auto" w:fill="FFFFFF"/>
        </w:rPr>
        <w:footnoteReference w:id="84"/>
      </w:r>
    </w:p>
    <w:p w14:paraId="1F2112AC" w14:textId="77777777" w:rsidR="00163DA2" w:rsidRPr="00163DA2" w:rsidRDefault="00163DA2" w:rsidP="00163DA2">
      <w:pPr>
        <w:spacing w:line="480" w:lineRule="auto"/>
        <w:ind w:left="720"/>
        <w:jc w:val="both"/>
        <w:rPr>
          <w:rFonts w:ascii="Times New Roman" w:eastAsia="Times New Roman" w:hAnsi="Times New Roman" w:cs="Times New Roman"/>
          <w:sz w:val="24"/>
          <w:szCs w:val="24"/>
          <w:vertAlign w:val="baseline"/>
        </w:rPr>
      </w:pPr>
    </w:p>
    <w:p w14:paraId="17EC682C" w14:textId="1BD062D9" w:rsidR="00D548A8" w:rsidRPr="00E71B23" w:rsidRDefault="006F4248" w:rsidP="00D548A8">
      <w:pPr>
        <w:spacing w:after="200" w:line="480" w:lineRule="auto"/>
        <w:ind w:firstLine="720"/>
        <w:jc w:val="both"/>
        <w:rPr>
          <w:rFonts w:ascii="Times New Roman" w:eastAsia="Calibri" w:hAnsi="Times New Roman" w:cs="Times New Roman"/>
          <w:sz w:val="24"/>
          <w:szCs w:val="24"/>
          <w:vertAlign w:val="baseline"/>
        </w:rPr>
      </w:pPr>
      <w:r w:rsidRPr="00E71B23">
        <w:rPr>
          <w:rFonts w:ascii="Times New Roman" w:eastAsia="Calibri" w:hAnsi="Times New Roman" w:cs="Times New Roman"/>
          <w:sz w:val="24"/>
          <w:szCs w:val="24"/>
          <w:vertAlign w:val="baseline"/>
        </w:rPr>
        <w:t>Thus, African feminism centres on the issue of patriarchy and the cultural forces that preserve tradition. As observed by Sachikonye, there are two distinct forms of African feminism, intellectual feminism and popular feminism.</w:t>
      </w:r>
      <w:r w:rsidRPr="00733352">
        <w:rPr>
          <w:rStyle w:val="FootnoteReference"/>
          <w:rFonts w:ascii="Times New Roman" w:eastAsia="Calibri" w:hAnsi="Times New Roman" w:cs="Times New Roman"/>
          <w:sz w:val="24"/>
          <w:szCs w:val="24"/>
        </w:rPr>
        <w:footnoteReference w:id="85"/>
      </w:r>
      <w:r w:rsidRPr="00733352">
        <w:rPr>
          <w:rFonts w:ascii="Times New Roman" w:eastAsia="Calibri" w:hAnsi="Times New Roman" w:cs="Times New Roman"/>
          <w:sz w:val="24"/>
          <w:szCs w:val="24"/>
        </w:rPr>
        <w:t xml:space="preserve"> </w:t>
      </w:r>
      <w:r w:rsidRPr="00E71B23">
        <w:rPr>
          <w:rFonts w:ascii="Times New Roman" w:eastAsia="Calibri" w:hAnsi="Times New Roman" w:cs="Times New Roman"/>
          <w:sz w:val="24"/>
          <w:szCs w:val="24"/>
          <w:vertAlign w:val="baseline"/>
        </w:rPr>
        <w:t>Intellectual feminism is highly influenced by Western feminism, usually promoted by educated urban African women, who condemn aspects of African culture, ‘an attitude that echoes the paternalistic attitude and tone of Western women towards African women.’</w:t>
      </w:r>
      <w:r w:rsidRPr="004F584A">
        <w:rPr>
          <w:rStyle w:val="FootnoteReference"/>
          <w:rFonts w:ascii="Times New Roman" w:eastAsia="Calibri" w:hAnsi="Times New Roman" w:cs="Times New Roman"/>
          <w:sz w:val="24"/>
          <w:szCs w:val="24"/>
        </w:rPr>
        <w:footnoteReference w:id="86"/>
      </w:r>
      <w:r w:rsidRPr="004F584A">
        <w:rPr>
          <w:rFonts w:ascii="Times New Roman" w:eastAsia="Calibri" w:hAnsi="Times New Roman" w:cs="Times New Roman"/>
          <w:sz w:val="24"/>
          <w:szCs w:val="24"/>
        </w:rPr>
        <w:t xml:space="preserve"> </w:t>
      </w:r>
      <w:r w:rsidRPr="00E71B23">
        <w:rPr>
          <w:rFonts w:ascii="Times New Roman" w:eastAsia="Calibri" w:hAnsi="Times New Roman" w:cs="Times New Roman"/>
          <w:sz w:val="24"/>
          <w:szCs w:val="24"/>
          <w:vertAlign w:val="baseline"/>
        </w:rPr>
        <w:t>Conversely, popular feminism is rooted ‘in the culture and lived experience of African women.’</w:t>
      </w:r>
      <w:r w:rsidRPr="004F584A">
        <w:rPr>
          <w:rStyle w:val="FootnoteReference"/>
          <w:rFonts w:ascii="Times New Roman" w:eastAsia="Calibri" w:hAnsi="Times New Roman" w:cs="Times New Roman"/>
          <w:sz w:val="24"/>
          <w:szCs w:val="24"/>
        </w:rPr>
        <w:footnoteReference w:id="87"/>
      </w:r>
      <w:r w:rsidRPr="004F584A">
        <w:rPr>
          <w:rFonts w:ascii="Times New Roman" w:eastAsia="Calibri" w:hAnsi="Times New Roman" w:cs="Times New Roman"/>
          <w:sz w:val="24"/>
          <w:szCs w:val="24"/>
        </w:rPr>
        <w:t xml:space="preserve"> </w:t>
      </w:r>
      <w:r w:rsidRPr="00E71B23">
        <w:rPr>
          <w:rFonts w:ascii="Times New Roman" w:eastAsia="Calibri" w:hAnsi="Times New Roman" w:cs="Times New Roman"/>
          <w:sz w:val="24"/>
          <w:szCs w:val="24"/>
          <w:vertAlign w:val="baseline"/>
        </w:rPr>
        <w:t>As Sachikonye explains, ‘popular feminism (as the name suggests) caters for the majority of African women, some of whom are not necessarily literate.’</w:t>
      </w:r>
      <w:r w:rsidRPr="004F584A">
        <w:rPr>
          <w:rStyle w:val="FootnoteReference"/>
          <w:rFonts w:ascii="Times New Roman" w:eastAsia="Calibri" w:hAnsi="Times New Roman" w:cs="Times New Roman"/>
          <w:sz w:val="24"/>
          <w:szCs w:val="24"/>
        </w:rPr>
        <w:footnoteReference w:id="88"/>
      </w:r>
      <w:r w:rsidRPr="004F584A">
        <w:rPr>
          <w:rFonts w:ascii="Times New Roman" w:eastAsia="Calibri" w:hAnsi="Times New Roman" w:cs="Times New Roman"/>
          <w:sz w:val="24"/>
          <w:szCs w:val="24"/>
        </w:rPr>
        <w:t xml:space="preserve"> </w:t>
      </w:r>
      <w:r w:rsidRPr="00E71B23">
        <w:rPr>
          <w:rFonts w:ascii="Times New Roman" w:eastAsia="Calibri" w:hAnsi="Times New Roman" w:cs="Times New Roman"/>
          <w:sz w:val="24"/>
          <w:szCs w:val="24"/>
          <w:vertAlign w:val="baseline"/>
        </w:rPr>
        <w:t>Thus, popular feminism appeals to those women who consider their culture to be vitally important to their identity.</w:t>
      </w:r>
      <w:r w:rsidRPr="004F584A">
        <w:rPr>
          <w:rStyle w:val="FootnoteReference"/>
          <w:rFonts w:ascii="Times New Roman" w:eastAsia="Calibri" w:hAnsi="Times New Roman" w:cs="Times New Roman"/>
          <w:sz w:val="24"/>
          <w:szCs w:val="24"/>
        </w:rPr>
        <w:footnoteReference w:id="89"/>
      </w:r>
      <w:r w:rsidRPr="004F584A">
        <w:rPr>
          <w:rFonts w:ascii="Times New Roman" w:eastAsia="Calibri" w:hAnsi="Times New Roman" w:cs="Times New Roman"/>
          <w:sz w:val="24"/>
          <w:szCs w:val="24"/>
        </w:rPr>
        <w:t xml:space="preserve"> </w:t>
      </w:r>
      <w:r w:rsidRPr="00E71B23">
        <w:rPr>
          <w:rFonts w:ascii="Times New Roman" w:eastAsia="Calibri" w:hAnsi="Times New Roman" w:cs="Times New Roman"/>
          <w:sz w:val="24"/>
          <w:szCs w:val="24"/>
          <w:vertAlign w:val="baseline"/>
        </w:rPr>
        <w:t xml:space="preserve">Whilst the two strands of feminism are inherently different, both are important and are united in the same objective. As observed by Zizeck, </w:t>
      </w:r>
    </w:p>
    <w:p w14:paraId="70650505" w14:textId="33EE9236" w:rsidR="00E814A9" w:rsidRDefault="006F4248" w:rsidP="00DD5391">
      <w:pPr>
        <w:spacing w:after="200" w:line="480" w:lineRule="auto"/>
        <w:ind w:left="720"/>
        <w:jc w:val="both"/>
        <w:rPr>
          <w:rFonts w:ascii="Times New Roman" w:eastAsia="Calibri" w:hAnsi="Times New Roman" w:cs="Times New Roman"/>
          <w:sz w:val="24"/>
          <w:szCs w:val="24"/>
          <w:vertAlign w:val="baseline"/>
        </w:rPr>
      </w:pPr>
      <w:r w:rsidRPr="00E71B23">
        <w:rPr>
          <w:rFonts w:ascii="Times New Roman" w:eastAsia="Calibri" w:hAnsi="Times New Roman" w:cs="Times New Roman"/>
          <w:sz w:val="24"/>
          <w:szCs w:val="24"/>
          <w:vertAlign w:val="baseline"/>
        </w:rPr>
        <w:t>Within every particular culture, individuals do suffer, women do protest when forced to undergo clitoridectomy, and these protests against the parochial constraints of one’s culture are formulated from the standpoint of universality … What unites us is the same struggle … in spite of our differences, we can identify the basic antagonism or antagonistic struggle, in which we are both caught … and join forces in the same struggle.</w:t>
      </w:r>
      <w:r w:rsidRPr="004F584A">
        <w:rPr>
          <w:rStyle w:val="FootnoteReference"/>
          <w:rFonts w:ascii="Times New Roman" w:eastAsia="Calibri" w:hAnsi="Times New Roman" w:cs="Times New Roman"/>
          <w:sz w:val="24"/>
          <w:szCs w:val="24"/>
        </w:rPr>
        <w:footnoteReference w:id="90"/>
      </w:r>
    </w:p>
    <w:p w14:paraId="626BEBCB" w14:textId="77777777" w:rsidR="00DD5391" w:rsidRPr="00DD5391" w:rsidRDefault="00DD5391" w:rsidP="00DD5391">
      <w:pPr>
        <w:spacing w:after="200" w:line="480" w:lineRule="auto"/>
        <w:ind w:left="720"/>
        <w:jc w:val="both"/>
        <w:rPr>
          <w:rFonts w:ascii="Times New Roman" w:eastAsia="Calibri" w:hAnsi="Times New Roman" w:cs="Times New Roman"/>
          <w:sz w:val="24"/>
          <w:szCs w:val="24"/>
          <w:vertAlign w:val="baseline"/>
        </w:rPr>
      </w:pPr>
    </w:p>
    <w:p w14:paraId="287955B3" w14:textId="77777777" w:rsidR="002E4A3F" w:rsidRDefault="006F4248" w:rsidP="009B12B1">
      <w:pPr>
        <w:spacing w:after="200" w:line="480" w:lineRule="auto"/>
        <w:ind w:firstLine="720"/>
        <w:jc w:val="both"/>
        <w:rPr>
          <w:rFonts w:ascii="Times New Roman" w:eastAsia="Calibri" w:hAnsi="Times New Roman" w:cs="Times New Roman"/>
          <w:bCs/>
          <w:sz w:val="24"/>
          <w:szCs w:val="24"/>
        </w:rPr>
      </w:pPr>
      <w:r w:rsidRPr="00E71B23">
        <w:rPr>
          <w:rFonts w:ascii="Times New Roman" w:eastAsia="Calibri" w:hAnsi="Times New Roman" w:cs="Times New Roman"/>
          <w:bCs/>
          <w:sz w:val="24"/>
          <w:szCs w:val="24"/>
          <w:vertAlign w:val="baseline"/>
        </w:rPr>
        <w:t>The differing strands of feminism, discussed above, all encourage a re-evaluation of the masculine values inherent within international human rights law. It could be suggested that international human rights law should adopt a combination of approaches in order to combat the struggle against women’s oppression. As Charlesworth observes, the liberal model of non-discrimination offers the transformation of the formal language of power but offers women limited remedies against equality.</w:t>
      </w:r>
      <w:r w:rsidRPr="009258F5">
        <w:rPr>
          <w:rStyle w:val="FootnoteReference"/>
          <w:rFonts w:ascii="Times New Roman" w:eastAsia="Calibri" w:hAnsi="Times New Roman" w:cs="Times New Roman"/>
          <w:bCs/>
          <w:sz w:val="24"/>
          <w:szCs w:val="24"/>
        </w:rPr>
        <w:footnoteReference w:id="91"/>
      </w:r>
      <w:r w:rsidRPr="009258F5">
        <w:rPr>
          <w:rFonts w:ascii="Times New Roman" w:eastAsia="Calibri" w:hAnsi="Times New Roman" w:cs="Times New Roman"/>
          <w:bCs/>
          <w:sz w:val="24"/>
          <w:szCs w:val="24"/>
        </w:rPr>
        <w:t xml:space="preserve"> </w:t>
      </w:r>
      <w:r w:rsidRPr="00E71B23">
        <w:rPr>
          <w:rFonts w:ascii="Times New Roman" w:eastAsia="Calibri" w:hAnsi="Times New Roman" w:cs="Times New Roman"/>
          <w:bCs/>
          <w:sz w:val="24"/>
          <w:szCs w:val="24"/>
          <w:vertAlign w:val="baseline"/>
        </w:rPr>
        <w:t>Attempting to balance the gendered character of international human rights, as noted within radical feminism, by introducing and defining a distinct category for women’s rights, would offer an alternative to the pre-existing monolithic concepts of inequality. Furthermore, the understanding of the hierarchical relations of power and subsequent subordination of women, endorsed by the law, suggests a need for legitimisation and much needed reform of the international human rights system.</w:t>
      </w:r>
      <w:r w:rsidRPr="009258F5">
        <w:rPr>
          <w:rStyle w:val="FootnoteReference"/>
          <w:rFonts w:ascii="Times New Roman" w:eastAsia="Calibri" w:hAnsi="Times New Roman" w:cs="Times New Roman"/>
          <w:bCs/>
          <w:sz w:val="24"/>
          <w:szCs w:val="24"/>
        </w:rPr>
        <w:footnoteReference w:id="92"/>
      </w:r>
      <w:r w:rsidRPr="009258F5">
        <w:rPr>
          <w:rFonts w:ascii="Times New Roman" w:eastAsia="Calibri" w:hAnsi="Times New Roman" w:cs="Times New Roman"/>
          <w:bCs/>
          <w:sz w:val="24"/>
          <w:szCs w:val="24"/>
        </w:rPr>
        <w:t xml:space="preserve"> </w:t>
      </w:r>
    </w:p>
    <w:p w14:paraId="0BAEA251" w14:textId="06F041E0" w:rsidR="002E4A3F" w:rsidRDefault="006F4248" w:rsidP="00F44C2C">
      <w:pPr>
        <w:spacing w:after="200" w:line="480" w:lineRule="auto"/>
        <w:ind w:firstLine="720"/>
        <w:jc w:val="both"/>
        <w:rPr>
          <w:rFonts w:ascii="Times New Roman" w:eastAsia="Calibri" w:hAnsi="Times New Roman" w:cs="Times New Roman"/>
          <w:bCs/>
          <w:sz w:val="24"/>
          <w:szCs w:val="24"/>
          <w:vertAlign w:val="baseline"/>
        </w:rPr>
      </w:pPr>
      <w:r w:rsidRPr="00E71B23">
        <w:rPr>
          <w:rFonts w:ascii="Times New Roman" w:eastAsia="Calibri" w:hAnsi="Times New Roman" w:cs="Times New Roman"/>
          <w:bCs/>
          <w:sz w:val="24"/>
          <w:szCs w:val="24"/>
          <w:vertAlign w:val="baseline"/>
        </w:rPr>
        <w:t>It is submitted that, due to the cultural concern of the disserta</w:t>
      </w:r>
      <w:r w:rsidR="009B12B1">
        <w:rPr>
          <w:rFonts w:ascii="Times New Roman" w:eastAsia="Calibri" w:hAnsi="Times New Roman" w:cs="Times New Roman"/>
          <w:bCs/>
          <w:sz w:val="24"/>
          <w:szCs w:val="24"/>
          <w:vertAlign w:val="baseline"/>
        </w:rPr>
        <w:t>tion, an amalgamation of</w:t>
      </w:r>
      <w:r w:rsidRPr="00E71B23">
        <w:rPr>
          <w:rFonts w:ascii="Times New Roman" w:eastAsia="Calibri" w:hAnsi="Times New Roman" w:cs="Times New Roman"/>
          <w:bCs/>
          <w:sz w:val="24"/>
          <w:szCs w:val="24"/>
          <w:vertAlign w:val="baseline"/>
        </w:rPr>
        <w:t xml:space="preserve"> liberal and radical approaches have been utilised. However, it is acknowledged that the orientation of this dissertation favours radical feminist jurisprudence. </w:t>
      </w:r>
      <w:r w:rsidR="00C32C32">
        <w:rPr>
          <w:rFonts w:ascii="Times New Roman" w:eastAsia="Calibri" w:hAnsi="Times New Roman" w:cs="Times New Roman"/>
          <w:bCs/>
          <w:sz w:val="24"/>
          <w:szCs w:val="24"/>
          <w:vertAlign w:val="baseline"/>
        </w:rPr>
        <w:t>Whilst both liberal and radical feminism both seek to e</w:t>
      </w:r>
      <w:r w:rsidR="002666E6">
        <w:rPr>
          <w:rFonts w:ascii="Times New Roman" w:eastAsia="Calibri" w:hAnsi="Times New Roman" w:cs="Times New Roman"/>
          <w:bCs/>
          <w:sz w:val="24"/>
          <w:szCs w:val="24"/>
          <w:vertAlign w:val="baseline"/>
        </w:rPr>
        <w:t xml:space="preserve">nd patriarchy in society, </w:t>
      </w:r>
      <w:r w:rsidR="00D0454A">
        <w:rPr>
          <w:rFonts w:ascii="Times New Roman" w:eastAsia="Calibri" w:hAnsi="Times New Roman" w:cs="Times New Roman"/>
          <w:bCs/>
          <w:sz w:val="24"/>
          <w:szCs w:val="24"/>
          <w:vertAlign w:val="baseline"/>
        </w:rPr>
        <w:t>my understanding of the difference between the two lies in their understanding of equality. For liberal feminism, equality means access to, and equality in, the public sphere, whilst radical feminism acknowledges that the systematic and social dominance of women occurs, primarily, within the private sphere.</w:t>
      </w:r>
      <w:r w:rsidR="00E36DEB">
        <w:rPr>
          <w:rFonts w:ascii="Times New Roman" w:eastAsia="Calibri" w:hAnsi="Times New Roman" w:cs="Times New Roman"/>
          <w:bCs/>
          <w:sz w:val="24"/>
          <w:szCs w:val="24"/>
          <w:vertAlign w:val="baseline"/>
        </w:rPr>
        <w:t xml:space="preserve"> For me, this is why this thesis favours radical feminism. It pri</w:t>
      </w:r>
      <w:r w:rsidR="00E528B1">
        <w:rPr>
          <w:rFonts w:ascii="Times New Roman" w:eastAsia="Calibri" w:hAnsi="Times New Roman" w:cs="Times New Roman"/>
          <w:bCs/>
          <w:sz w:val="24"/>
          <w:szCs w:val="24"/>
          <w:vertAlign w:val="baseline"/>
        </w:rPr>
        <w:t>oritises the private sphere and opposes</w:t>
      </w:r>
      <w:r w:rsidR="00E36DEB">
        <w:rPr>
          <w:rFonts w:ascii="Times New Roman" w:eastAsia="Calibri" w:hAnsi="Times New Roman" w:cs="Times New Roman"/>
          <w:bCs/>
          <w:sz w:val="24"/>
          <w:szCs w:val="24"/>
          <w:vertAlign w:val="baseline"/>
        </w:rPr>
        <w:t xml:space="preserve"> political and social organisation</w:t>
      </w:r>
      <w:r w:rsidR="00BB72E6">
        <w:rPr>
          <w:rFonts w:ascii="Times New Roman" w:eastAsia="Calibri" w:hAnsi="Times New Roman" w:cs="Times New Roman"/>
          <w:bCs/>
          <w:sz w:val="24"/>
          <w:szCs w:val="24"/>
          <w:vertAlign w:val="baseline"/>
        </w:rPr>
        <w:t>, due to its inherent links</w:t>
      </w:r>
      <w:r w:rsidR="00E36DEB">
        <w:rPr>
          <w:rFonts w:ascii="Times New Roman" w:eastAsia="Calibri" w:hAnsi="Times New Roman" w:cs="Times New Roman"/>
          <w:bCs/>
          <w:sz w:val="24"/>
          <w:szCs w:val="24"/>
          <w:vertAlign w:val="baseline"/>
        </w:rPr>
        <w:t xml:space="preserve"> to patriarchy.</w:t>
      </w:r>
    </w:p>
    <w:p w14:paraId="3851FFE9" w14:textId="44690341" w:rsidR="00D548A8" w:rsidRDefault="006F4248" w:rsidP="009B12B1">
      <w:pPr>
        <w:spacing w:after="200" w:line="480" w:lineRule="auto"/>
        <w:ind w:firstLine="720"/>
        <w:jc w:val="both"/>
        <w:rPr>
          <w:rFonts w:ascii="Times New Roman" w:eastAsia="Calibri" w:hAnsi="Times New Roman" w:cs="Times New Roman"/>
          <w:bCs/>
          <w:sz w:val="24"/>
          <w:szCs w:val="24"/>
        </w:rPr>
      </w:pPr>
      <w:r w:rsidRPr="00E71B23">
        <w:rPr>
          <w:rFonts w:ascii="Times New Roman" w:eastAsia="Calibri" w:hAnsi="Times New Roman" w:cs="Times New Roman"/>
          <w:sz w:val="24"/>
          <w:szCs w:val="24"/>
          <w:vertAlign w:val="baseline"/>
        </w:rPr>
        <w:t xml:space="preserve">Whilst it is accepted that radical feminism is largely drawn from western sources, which may, on the one hand, limit cultural relevance, it is also recognised that violence against women </w:t>
      </w:r>
      <w:r w:rsidRPr="00E71B23">
        <w:rPr>
          <w:rFonts w:ascii="Times New Roman" w:eastAsia="Calibri" w:hAnsi="Times New Roman" w:cs="Times New Roman"/>
          <w:i/>
          <w:sz w:val="24"/>
          <w:szCs w:val="24"/>
          <w:vertAlign w:val="baseline"/>
        </w:rPr>
        <w:t xml:space="preserve">per se </w:t>
      </w:r>
      <w:r w:rsidRPr="00E71B23">
        <w:rPr>
          <w:rFonts w:ascii="Times New Roman" w:eastAsia="Calibri" w:hAnsi="Times New Roman" w:cs="Times New Roman"/>
          <w:sz w:val="24"/>
          <w:szCs w:val="24"/>
          <w:vertAlign w:val="baseline"/>
        </w:rPr>
        <w:t>is not a phenomenon that merely limits itself to particular societies.</w:t>
      </w:r>
      <w:r w:rsidRPr="00E71B23">
        <w:rPr>
          <w:rFonts w:ascii="Times New Roman" w:eastAsia="Calibri" w:hAnsi="Times New Roman" w:cs="Times New Roman"/>
          <w:bCs/>
          <w:sz w:val="24"/>
          <w:szCs w:val="24"/>
          <w:vertAlign w:val="baseline"/>
        </w:rPr>
        <w:t xml:space="preserve"> It is important to acknowledge that examining a </w:t>
      </w:r>
      <w:r w:rsidR="009B12B1">
        <w:rPr>
          <w:rFonts w:ascii="Times New Roman" w:eastAsia="Calibri" w:hAnsi="Times New Roman" w:cs="Times New Roman"/>
          <w:bCs/>
          <w:sz w:val="24"/>
          <w:szCs w:val="24"/>
          <w:vertAlign w:val="baseline"/>
        </w:rPr>
        <w:t xml:space="preserve">foreign culture is challenging. </w:t>
      </w:r>
      <w:r w:rsidRPr="00E71B23">
        <w:rPr>
          <w:rFonts w:ascii="Times New Roman" w:eastAsia="Calibri" w:hAnsi="Times New Roman" w:cs="Times New Roman"/>
          <w:bCs/>
          <w:sz w:val="24"/>
          <w:szCs w:val="24"/>
          <w:vertAlign w:val="baseline"/>
        </w:rPr>
        <w:t xml:space="preserve">As a researcher, it is important that you </w:t>
      </w:r>
      <w:r w:rsidR="00C15353">
        <w:rPr>
          <w:rFonts w:ascii="Times New Roman" w:eastAsia="Calibri" w:hAnsi="Times New Roman" w:cs="Times New Roman"/>
          <w:bCs/>
          <w:sz w:val="24"/>
          <w:szCs w:val="24"/>
          <w:vertAlign w:val="baseline"/>
        </w:rPr>
        <w:t xml:space="preserve">are </w:t>
      </w:r>
      <w:r w:rsidRPr="00E71B23">
        <w:rPr>
          <w:rFonts w:ascii="Times New Roman" w:eastAsia="Calibri" w:hAnsi="Times New Roman" w:cs="Times New Roman"/>
          <w:bCs/>
          <w:sz w:val="24"/>
          <w:szCs w:val="24"/>
          <w:vertAlign w:val="baseline"/>
        </w:rPr>
        <w:t>aware that your own bias and perceptions can permeate your research.</w:t>
      </w:r>
      <w:r w:rsidRPr="009258F5">
        <w:rPr>
          <w:rStyle w:val="FootnoteReference"/>
          <w:rFonts w:ascii="Times New Roman" w:eastAsia="Calibri" w:hAnsi="Times New Roman" w:cs="Times New Roman"/>
          <w:bCs/>
          <w:sz w:val="24"/>
          <w:szCs w:val="24"/>
        </w:rPr>
        <w:footnoteReference w:id="93"/>
      </w:r>
      <w:r w:rsidRPr="00E71B23">
        <w:rPr>
          <w:rFonts w:ascii="Times New Roman" w:eastAsia="Calibri" w:hAnsi="Times New Roman" w:cs="Times New Roman"/>
          <w:bCs/>
          <w:sz w:val="24"/>
          <w:szCs w:val="24"/>
          <w:vertAlign w:val="baseline"/>
        </w:rPr>
        <w:t xml:space="preserve"> However, for a researcher, researching the subject of witchcraft, the requirement to become involved becomes mandatory. To stay detached is a failure to comprehend what is actually ‘at stake in a witchcraft crisis.’</w:t>
      </w:r>
      <w:r w:rsidRPr="009258F5">
        <w:rPr>
          <w:rStyle w:val="FootnoteReference"/>
          <w:rFonts w:ascii="Times New Roman" w:eastAsia="Calibri" w:hAnsi="Times New Roman" w:cs="Times New Roman"/>
          <w:bCs/>
          <w:sz w:val="24"/>
          <w:szCs w:val="24"/>
        </w:rPr>
        <w:footnoteReference w:id="94"/>
      </w:r>
      <w:r w:rsidRPr="009258F5">
        <w:rPr>
          <w:rFonts w:ascii="Times New Roman" w:eastAsia="Calibri" w:hAnsi="Times New Roman" w:cs="Times New Roman"/>
          <w:bCs/>
          <w:sz w:val="24"/>
          <w:szCs w:val="24"/>
        </w:rPr>
        <w:t xml:space="preserve"> </w:t>
      </w:r>
      <w:r w:rsidRPr="00E71B23">
        <w:rPr>
          <w:rFonts w:ascii="Times New Roman" w:eastAsia="Calibri" w:hAnsi="Times New Roman" w:cs="Times New Roman"/>
          <w:bCs/>
          <w:sz w:val="24"/>
          <w:szCs w:val="24"/>
          <w:vertAlign w:val="baseline"/>
        </w:rPr>
        <w:t>It is not enough to simply desire information; the crux is one of understanding.</w:t>
      </w:r>
      <w:r w:rsidRPr="00E71B23">
        <w:rPr>
          <w:rFonts w:ascii="Times New Roman" w:hAnsi="Times New Roman" w:cs="Times New Roman"/>
          <w:sz w:val="24"/>
          <w:szCs w:val="24"/>
          <w:vertAlign w:val="baseline"/>
        </w:rPr>
        <w:t xml:space="preserve"> </w:t>
      </w:r>
      <w:r w:rsidRPr="00E71B23">
        <w:rPr>
          <w:rFonts w:ascii="Times New Roman" w:eastAsia="Calibri" w:hAnsi="Times New Roman" w:cs="Times New Roman"/>
          <w:bCs/>
          <w:sz w:val="24"/>
          <w:szCs w:val="24"/>
          <w:vertAlign w:val="baseline"/>
        </w:rPr>
        <w:t>As observed by Blecourt, ‘one of the most outstanding differences between historical and present-day witchcraft is the incorporation of the present-day researcher in the witchcraft discourse.’</w:t>
      </w:r>
      <w:r w:rsidRPr="00F20C32">
        <w:rPr>
          <w:rStyle w:val="FootnoteReference"/>
          <w:rFonts w:ascii="Times New Roman" w:eastAsia="Calibri" w:hAnsi="Times New Roman" w:cs="Times New Roman"/>
          <w:bCs/>
          <w:sz w:val="24"/>
          <w:szCs w:val="24"/>
        </w:rPr>
        <w:footnoteReference w:id="95"/>
      </w:r>
      <w:r w:rsidRPr="00F20C32">
        <w:rPr>
          <w:rFonts w:ascii="Times New Roman" w:eastAsia="Calibri" w:hAnsi="Times New Roman" w:cs="Times New Roman"/>
          <w:bCs/>
          <w:sz w:val="24"/>
          <w:szCs w:val="24"/>
        </w:rPr>
        <w:t xml:space="preserve"> </w:t>
      </w:r>
    </w:p>
    <w:p w14:paraId="5CD1CE42" w14:textId="77777777" w:rsidR="009B12B1" w:rsidRPr="009B12B1" w:rsidRDefault="009B12B1" w:rsidP="009B12B1">
      <w:pPr>
        <w:spacing w:after="200" w:line="480" w:lineRule="auto"/>
        <w:ind w:firstLine="720"/>
        <w:jc w:val="both"/>
        <w:rPr>
          <w:rFonts w:ascii="Times New Roman" w:eastAsia="Calibri" w:hAnsi="Times New Roman" w:cs="Times New Roman"/>
          <w:bCs/>
          <w:sz w:val="24"/>
          <w:szCs w:val="24"/>
          <w:vertAlign w:val="baseline"/>
        </w:rPr>
      </w:pPr>
    </w:p>
    <w:p w14:paraId="3CD35A12" w14:textId="1F6E833A" w:rsidR="00D548A8" w:rsidRPr="00E71B23" w:rsidRDefault="006F4248" w:rsidP="00DD5391">
      <w:pPr>
        <w:spacing w:after="200" w:line="480" w:lineRule="auto"/>
        <w:ind w:firstLine="720"/>
        <w:jc w:val="both"/>
        <w:rPr>
          <w:rFonts w:ascii="Times New Roman" w:eastAsia="Calibri" w:hAnsi="Times New Roman" w:cs="Times New Roman"/>
          <w:sz w:val="24"/>
          <w:szCs w:val="24"/>
          <w:vertAlign w:val="baseline"/>
        </w:rPr>
      </w:pPr>
      <w:r w:rsidRPr="00E71B23">
        <w:rPr>
          <w:rFonts w:ascii="Times New Roman" w:eastAsia="Calibri" w:hAnsi="Times New Roman" w:cs="Times New Roman"/>
          <w:sz w:val="24"/>
          <w:szCs w:val="24"/>
          <w:vertAlign w:val="baseline"/>
        </w:rPr>
        <w:t>Differences in race, class and ethnicity will inevitably lead to disagreement between feminist theorists, due to the feminism’s grounding in the experiences of women globally. However, it is important to note that despite these differences, the system of patriarchy, although exhibited differently within different societies, remains universal in its devaluation and oppression of women. As noted by Antrobus,</w:t>
      </w:r>
    </w:p>
    <w:p w14:paraId="6E7E8627" w14:textId="484C5891" w:rsidR="00E814A9" w:rsidRDefault="006F4248" w:rsidP="00DD5391">
      <w:pPr>
        <w:spacing w:after="200" w:line="480" w:lineRule="auto"/>
        <w:ind w:left="720"/>
        <w:jc w:val="both"/>
        <w:rPr>
          <w:rFonts w:ascii="Times New Roman" w:eastAsia="Calibri" w:hAnsi="Times New Roman" w:cs="Times New Roman"/>
          <w:sz w:val="24"/>
          <w:szCs w:val="24"/>
          <w:vertAlign w:val="baseline"/>
        </w:rPr>
      </w:pPr>
      <w:r w:rsidRPr="00E71B23">
        <w:rPr>
          <w:rFonts w:ascii="Times New Roman" w:eastAsia="Calibri" w:hAnsi="Times New Roman" w:cs="Times New Roman"/>
          <w:sz w:val="24"/>
          <w:szCs w:val="24"/>
          <w:vertAlign w:val="baseline"/>
        </w:rPr>
        <w:t>Although we are divided by race, class, culture and geography, our hope lies in our commonalities…rich or poor we are vulnerable to violence...all women must be seen as a part of the diversity and richness of a movement that seeks change in the relationships of superiority and inferiority, domination and subordination, between women and men in a patriarchal world.</w:t>
      </w:r>
      <w:r w:rsidRPr="00F20C32">
        <w:rPr>
          <w:rStyle w:val="FootnoteReference"/>
          <w:rFonts w:ascii="Times New Roman" w:eastAsia="Calibri" w:hAnsi="Times New Roman" w:cs="Times New Roman"/>
          <w:sz w:val="24"/>
          <w:szCs w:val="24"/>
        </w:rPr>
        <w:footnoteReference w:id="96"/>
      </w:r>
    </w:p>
    <w:p w14:paraId="6141C434" w14:textId="77777777" w:rsidR="00DD5391" w:rsidRPr="00DD5391" w:rsidRDefault="00DD5391" w:rsidP="00DD5391">
      <w:pPr>
        <w:spacing w:after="200" w:line="480" w:lineRule="auto"/>
        <w:ind w:left="720"/>
        <w:jc w:val="both"/>
        <w:rPr>
          <w:rFonts w:ascii="Times New Roman" w:eastAsia="Calibri" w:hAnsi="Times New Roman" w:cs="Times New Roman"/>
          <w:sz w:val="24"/>
          <w:szCs w:val="24"/>
          <w:vertAlign w:val="baseline"/>
        </w:rPr>
      </w:pPr>
    </w:p>
    <w:p w14:paraId="133348DF" w14:textId="4CFC8BB0" w:rsidR="00D548A8" w:rsidRDefault="006F4248" w:rsidP="00DD5391">
      <w:pPr>
        <w:spacing w:after="200" w:line="480" w:lineRule="auto"/>
        <w:ind w:firstLine="720"/>
        <w:jc w:val="both"/>
        <w:rPr>
          <w:rFonts w:ascii="Times New Roman" w:eastAsia="Calibri" w:hAnsi="Times New Roman" w:cs="Times New Roman"/>
          <w:bCs/>
          <w:sz w:val="24"/>
          <w:szCs w:val="24"/>
        </w:rPr>
      </w:pPr>
      <w:r w:rsidRPr="00E71B23">
        <w:rPr>
          <w:rFonts w:ascii="Times New Roman" w:eastAsia="Calibri" w:hAnsi="Times New Roman" w:cs="Times New Roman"/>
          <w:bCs/>
          <w:sz w:val="24"/>
          <w:szCs w:val="24"/>
          <w:vertAlign w:val="baseline"/>
        </w:rPr>
        <w:t xml:space="preserve">The ability to speak collectively, as women, is supported by </w:t>
      </w:r>
      <w:r w:rsidR="0000703F" w:rsidRPr="00E71B23">
        <w:rPr>
          <w:rFonts w:ascii="Times New Roman" w:eastAsia="Calibri" w:hAnsi="Times New Roman" w:cs="Times New Roman"/>
          <w:bCs/>
          <w:sz w:val="24"/>
          <w:szCs w:val="24"/>
          <w:vertAlign w:val="baseline"/>
        </w:rPr>
        <w:t>Charlesworth;</w:t>
      </w:r>
      <w:r w:rsidRPr="00E71B23">
        <w:rPr>
          <w:rFonts w:ascii="Times New Roman" w:eastAsia="Calibri" w:hAnsi="Times New Roman" w:cs="Times New Roman"/>
          <w:bCs/>
          <w:sz w:val="24"/>
          <w:szCs w:val="24"/>
          <w:vertAlign w:val="baseline"/>
        </w:rPr>
        <w:t xml:space="preserve"> ‘we can speak as women in an international context</w:t>
      </w:r>
      <w:r w:rsidR="009B12B1">
        <w:rPr>
          <w:rFonts w:ascii="Times New Roman" w:eastAsia="Calibri" w:hAnsi="Times New Roman" w:cs="Times New Roman"/>
          <w:bCs/>
          <w:sz w:val="24"/>
          <w:szCs w:val="24"/>
          <w:vertAlign w:val="baseline"/>
        </w:rPr>
        <w:t xml:space="preserve"> </w:t>
      </w:r>
      <w:r w:rsidRPr="00E71B23">
        <w:rPr>
          <w:rFonts w:ascii="Times New Roman" w:eastAsia="Calibri" w:hAnsi="Times New Roman" w:cs="Times New Roman"/>
          <w:bCs/>
          <w:sz w:val="24"/>
          <w:szCs w:val="24"/>
          <w:vertAlign w:val="baseline"/>
        </w:rPr>
        <w:t>…</w:t>
      </w:r>
      <w:r w:rsidR="009B12B1">
        <w:rPr>
          <w:rFonts w:ascii="Times New Roman" w:eastAsia="Calibri" w:hAnsi="Times New Roman" w:cs="Times New Roman"/>
          <w:bCs/>
          <w:sz w:val="24"/>
          <w:szCs w:val="24"/>
          <w:vertAlign w:val="baseline"/>
        </w:rPr>
        <w:t xml:space="preserve"> </w:t>
      </w:r>
      <w:r w:rsidRPr="00E71B23">
        <w:rPr>
          <w:rFonts w:ascii="Times New Roman" w:eastAsia="Calibri" w:hAnsi="Times New Roman" w:cs="Times New Roman"/>
          <w:bCs/>
          <w:sz w:val="24"/>
          <w:szCs w:val="24"/>
          <w:vertAlign w:val="baseline"/>
        </w:rPr>
        <w:t>it is possible to describe women as having a collective social history of disempowerment, exploitation and subordination, extending to the present.’</w:t>
      </w:r>
      <w:r w:rsidRPr="00F20C32">
        <w:rPr>
          <w:rStyle w:val="FootnoteReference"/>
          <w:rFonts w:ascii="Times New Roman" w:eastAsia="Calibri" w:hAnsi="Times New Roman" w:cs="Times New Roman"/>
          <w:bCs/>
          <w:sz w:val="24"/>
          <w:szCs w:val="24"/>
        </w:rPr>
        <w:footnoteReference w:id="97"/>
      </w:r>
      <w:r w:rsidR="00957ECE">
        <w:rPr>
          <w:rFonts w:ascii="Times New Roman" w:eastAsia="Calibri" w:hAnsi="Times New Roman" w:cs="Times New Roman"/>
          <w:bCs/>
          <w:sz w:val="24"/>
          <w:szCs w:val="24"/>
          <w:vertAlign w:val="baseline"/>
        </w:rPr>
        <w:t xml:space="preserve"> </w:t>
      </w:r>
      <w:r w:rsidRPr="00E71B23">
        <w:rPr>
          <w:rFonts w:ascii="Times New Roman" w:eastAsia="Calibri" w:hAnsi="Times New Roman" w:cs="Times New Roman"/>
          <w:bCs/>
          <w:sz w:val="24"/>
          <w:szCs w:val="24"/>
          <w:vertAlign w:val="baseline"/>
        </w:rPr>
        <w:t>On a conceptual level, the universalism of women’s rights is contentious within feminist dialogue. As noted by Coomaraswamy, within many Asian societies the human rights discourse is weak, for the reason that it benefits Western liberated independent women.</w:t>
      </w:r>
      <w:r w:rsidRPr="0094277E">
        <w:rPr>
          <w:rStyle w:val="FootnoteReference"/>
          <w:rFonts w:ascii="Times New Roman" w:eastAsia="Calibri" w:hAnsi="Times New Roman" w:cs="Times New Roman"/>
          <w:bCs/>
          <w:sz w:val="24"/>
          <w:szCs w:val="24"/>
        </w:rPr>
        <w:footnoteReference w:id="98"/>
      </w:r>
      <w:r w:rsidRPr="00E71B23">
        <w:rPr>
          <w:rFonts w:ascii="Times New Roman" w:eastAsia="Calibri" w:hAnsi="Times New Roman" w:cs="Times New Roman"/>
          <w:bCs/>
          <w:sz w:val="24"/>
          <w:szCs w:val="24"/>
          <w:vertAlign w:val="baseline"/>
        </w:rPr>
        <w:t xml:space="preserve"> This is conceivably illustrated within the most contentious and subsequently most important provision of CEDAW, Article 16.</w:t>
      </w:r>
      <w:r w:rsidRPr="0094277E">
        <w:rPr>
          <w:rStyle w:val="FootnoteReference"/>
          <w:rFonts w:ascii="Times New Roman" w:eastAsia="Calibri" w:hAnsi="Times New Roman" w:cs="Times New Roman"/>
          <w:bCs/>
          <w:sz w:val="24"/>
          <w:szCs w:val="24"/>
        </w:rPr>
        <w:footnoteReference w:id="99"/>
      </w:r>
      <w:r w:rsidRPr="00E71B23">
        <w:rPr>
          <w:rFonts w:ascii="Times New Roman" w:eastAsia="Calibri" w:hAnsi="Times New Roman" w:cs="Times New Roman"/>
          <w:bCs/>
          <w:sz w:val="24"/>
          <w:szCs w:val="24"/>
          <w:vertAlign w:val="baseline"/>
        </w:rPr>
        <w:t xml:space="preserve"> Consequently, in states such as India and Ghana, the emphasis on conventional family values, suggests that the majority of women, remain restricted by their societal ties.</w:t>
      </w:r>
      <w:r w:rsidRPr="0094277E">
        <w:rPr>
          <w:rStyle w:val="FootnoteReference"/>
          <w:rFonts w:ascii="Times New Roman" w:eastAsia="Calibri" w:hAnsi="Times New Roman" w:cs="Times New Roman"/>
          <w:bCs/>
          <w:sz w:val="24"/>
          <w:szCs w:val="24"/>
        </w:rPr>
        <w:footnoteReference w:id="100"/>
      </w:r>
      <w:r w:rsidRPr="0094277E">
        <w:rPr>
          <w:rFonts w:ascii="Times New Roman" w:eastAsia="Calibri" w:hAnsi="Times New Roman" w:cs="Times New Roman"/>
          <w:bCs/>
          <w:sz w:val="24"/>
          <w:szCs w:val="24"/>
        </w:rPr>
        <w:t xml:space="preserve"> </w:t>
      </w:r>
      <w:r w:rsidRPr="00E71B23">
        <w:rPr>
          <w:rFonts w:ascii="Times New Roman" w:eastAsia="Calibri" w:hAnsi="Times New Roman" w:cs="Times New Roman"/>
          <w:bCs/>
          <w:sz w:val="24"/>
          <w:szCs w:val="24"/>
          <w:vertAlign w:val="baseline"/>
        </w:rPr>
        <w:t>It is, therefore, crucial to emphasise the need to reassess women’s universal human rights, with respect to those societies, where a woman’s rights are attached to her by context of her caste, class and her ethnic group</w:t>
      </w:r>
      <w:r w:rsidRPr="0094277E">
        <w:rPr>
          <w:rFonts w:ascii="Times New Roman" w:eastAsia="Calibri" w:hAnsi="Times New Roman" w:cs="Times New Roman"/>
          <w:bCs/>
          <w:sz w:val="24"/>
          <w:szCs w:val="24"/>
          <w:vertAlign w:val="baseline"/>
        </w:rPr>
        <w:t>.</w:t>
      </w:r>
      <w:r w:rsidRPr="0094277E">
        <w:rPr>
          <w:rStyle w:val="FootnoteReference"/>
          <w:rFonts w:ascii="Times New Roman" w:eastAsia="Calibri" w:hAnsi="Times New Roman" w:cs="Times New Roman"/>
          <w:bCs/>
          <w:sz w:val="24"/>
          <w:szCs w:val="24"/>
        </w:rPr>
        <w:footnoteReference w:id="101"/>
      </w:r>
      <w:r w:rsidRPr="0094277E">
        <w:rPr>
          <w:rFonts w:ascii="Times New Roman" w:eastAsia="Calibri" w:hAnsi="Times New Roman" w:cs="Times New Roman"/>
          <w:bCs/>
          <w:sz w:val="24"/>
          <w:szCs w:val="24"/>
        </w:rPr>
        <w:t xml:space="preserve"> </w:t>
      </w:r>
    </w:p>
    <w:p w14:paraId="0F87C4EB" w14:textId="77777777" w:rsidR="009B12B1" w:rsidRPr="00DD5391" w:rsidRDefault="009B12B1" w:rsidP="00DD5391">
      <w:pPr>
        <w:spacing w:after="200" w:line="480" w:lineRule="auto"/>
        <w:ind w:firstLine="720"/>
        <w:jc w:val="both"/>
        <w:rPr>
          <w:rFonts w:ascii="Times New Roman" w:eastAsia="Calibri" w:hAnsi="Times New Roman" w:cs="Times New Roman"/>
          <w:bCs/>
          <w:sz w:val="24"/>
          <w:szCs w:val="24"/>
        </w:rPr>
      </w:pPr>
    </w:p>
    <w:p w14:paraId="44BAB34B" w14:textId="6F6965F5" w:rsidR="008C478C" w:rsidRDefault="006F4248" w:rsidP="00E743AD">
      <w:pPr>
        <w:spacing w:after="200" w:line="480" w:lineRule="auto"/>
        <w:ind w:firstLine="720"/>
        <w:jc w:val="both"/>
        <w:rPr>
          <w:rFonts w:ascii="Times New Roman" w:eastAsia="Times New Roman" w:hAnsi="Times New Roman" w:cs="Times New Roman"/>
          <w:color w:val="181818"/>
          <w:kern w:val="36"/>
          <w:sz w:val="24"/>
          <w:szCs w:val="24"/>
          <w:vertAlign w:val="baseline"/>
        </w:rPr>
      </w:pPr>
      <w:r w:rsidRPr="00E71B23">
        <w:rPr>
          <w:rFonts w:ascii="Times New Roman" w:eastAsia="Calibri" w:hAnsi="Times New Roman" w:cs="Times New Roman"/>
          <w:bCs/>
          <w:sz w:val="24"/>
          <w:szCs w:val="24"/>
          <w:vertAlign w:val="baseline"/>
        </w:rPr>
        <w:t>The difference, between first and third world feminism, has become a theoretical problem within the theme of feminist analysis, and within international human rights law, whose primary concern is the applicability of global standards in a vast range of circumstances.</w:t>
      </w:r>
      <w:r w:rsidRPr="007449B8">
        <w:rPr>
          <w:rStyle w:val="FootnoteReference"/>
          <w:rFonts w:ascii="Times New Roman" w:eastAsia="Calibri" w:hAnsi="Times New Roman" w:cs="Times New Roman"/>
          <w:bCs/>
          <w:sz w:val="24"/>
          <w:szCs w:val="24"/>
        </w:rPr>
        <w:footnoteReference w:id="102"/>
      </w:r>
      <w:r w:rsidRPr="00E71B23">
        <w:rPr>
          <w:rFonts w:ascii="Times New Roman" w:eastAsia="Calibri" w:hAnsi="Times New Roman" w:cs="Times New Roman"/>
          <w:bCs/>
          <w:sz w:val="24"/>
          <w:szCs w:val="24"/>
          <w:vertAlign w:val="baseline"/>
        </w:rPr>
        <w:t xml:space="preserve"> Whilst feminists from developing countries have questioned Western feminist attempts to universalise a particular interpretation of feminism, it remains indisputable that the concept of patriarchy and the devaluation of women, although displayed differently throughout distinct societies, is a universal dilemma.</w:t>
      </w:r>
      <w:r w:rsidRPr="007449B8">
        <w:rPr>
          <w:rStyle w:val="FootnoteReference"/>
          <w:rFonts w:ascii="Times New Roman" w:eastAsia="Calibri" w:hAnsi="Times New Roman" w:cs="Times New Roman"/>
          <w:bCs/>
          <w:sz w:val="24"/>
          <w:szCs w:val="24"/>
        </w:rPr>
        <w:footnoteReference w:id="103"/>
      </w:r>
      <w:r w:rsidRPr="00E71B23">
        <w:rPr>
          <w:rFonts w:ascii="Times New Roman" w:eastAsia="Calibri" w:hAnsi="Times New Roman" w:cs="Times New Roman"/>
          <w:bCs/>
          <w:sz w:val="24"/>
          <w:szCs w:val="24"/>
          <w:vertAlign w:val="baseline"/>
        </w:rPr>
        <w:t xml:space="preserve"> Such tension is inevitable within any philosophy. Within feminism, there will always be discrepancies concerning issues such as culture and class.  Yet, </w:t>
      </w:r>
      <w:r w:rsidRPr="00E71B23">
        <w:rPr>
          <w:rFonts w:ascii="Times New Roman" w:eastAsia="Times New Roman" w:hAnsi="Times New Roman" w:cs="Times New Roman"/>
          <w:color w:val="181818"/>
          <w:kern w:val="36"/>
          <w:sz w:val="24"/>
          <w:szCs w:val="24"/>
          <w:vertAlign w:val="baseline"/>
        </w:rPr>
        <w:t>abhorrent practices, such as WAP should not just be accepted, because of social obligations to conform to traditions upheld by society.</w:t>
      </w:r>
      <w:r w:rsidRPr="00E71B23">
        <w:rPr>
          <w:rFonts w:ascii="Times New Roman" w:eastAsia="Calibri" w:hAnsi="Times New Roman" w:cs="Times New Roman"/>
          <w:bCs/>
          <w:sz w:val="24"/>
          <w:szCs w:val="24"/>
          <w:vertAlign w:val="baseline"/>
        </w:rPr>
        <w:t xml:space="preserve"> As observed by Adichie, ‘c</w:t>
      </w:r>
      <w:r w:rsidRPr="00E71B23">
        <w:rPr>
          <w:rFonts w:ascii="Times New Roman" w:eastAsia="Times New Roman" w:hAnsi="Times New Roman" w:cs="Times New Roman"/>
          <w:color w:val="181818"/>
          <w:kern w:val="36"/>
          <w:sz w:val="24"/>
          <w:szCs w:val="24"/>
          <w:vertAlign w:val="baseline"/>
        </w:rPr>
        <w:t>ulture does not make people. People make culture. If it is true that the full humanity of women is not our culture, then we can and must make it our culture.’</w:t>
      </w:r>
      <w:r w:rsidRPr="007449B8">
        <w:rPr>
          <w:rStyle w:val="FootnoteReference"/>
          <w:rFonts w:ascii="Times New Roman" w:eastAsia="Times New Roman" w:hAnsi="Times New Roman" w:cs="Times New Roman"/>
          <w:color w:val="181818"/>
          <w:kern w:val="36"/>
          <w:sz w:val="24"/>
          <w:szCs w:val="24"/>
        </w:rPr>
        <w:footnoteReference w:id="104"/>
      </w:r>
      <w:r w:rsidRPr="00E71B23">
        <w:rPr>
          <w:rFonts w:ascii="Times New Roman" w:eastAsia="Times New Roman" w:hAnsi="Times New Roman" w:cs="Times New Roman"/>
          <w:color w:val="181818"/>
          <w:kern w:val="36"/>
          <w:sz w:val="24"/>
          <w:szCs w:val="24"/>
          <w:vertAlign w:val="baseline"/>
        </w:rPr>
        <w:t xml:space="preserve"> Culture and tradition are not static concepts; they are dynamic. We have the power to change tradition and culture and the way in which people live their lives. This is something that people quite often forget.</w:t>
      </w:r>
    </w:p>
    <w:p w14:paraId="5B10193B" w14:textId="01EE2097" w:rsidR="006F4248" w:rsidRPr="00E71B23" w:rsidRDefault="008E3434" w:rsidP="006F4248">
      <w:pPr>
        <w:spacing w:after="200" w:line="360" w:lineRule="auto"/>
        <w:jc w:val="both"/>
        <w:rPr>
          <w:rFonts w:ascii="Times New Roman" w:eastAsia="Times New Roman" w:hAnsi="Times New Roman" w:cs="Times New Roman"/>
          <w:b/>
          <w:color w:val="181818"/>
          <w:kern w:val="36"/>
          <w:sz w:val="24"/>
          <w:szCs w:val="24"/>
          <w:u w:val="single"/>
          <w:vertAlign w:val="baseline"/>
        </w:rPr>
      </w:pPr>
      <w:r>
        <w:rPr>
          <w:rFonts w:ascii="Times New Roman" w:eastAsia="Times New Roman" w:hAnsi="Times New Roman" w:cs="Times New Roman"/>
          <w:b/>
          <w:color w:val="181818"/>
          <w:kern w:val="36"/>
          <w:sz w:val="24"/>
          <w:szCs w:val="24"/>
          <w:u w:val="single"/>
          <w:vertAlign w:val="baseline"/>
        </w:rPr>
        <w:t>1</w:t>
      </w:r>
      <w:r w:rsidR="000A6308">
        <w:rPr>
          <w:rFonts w:ascii="Times New Roman" w:eastAsia="Times New Roman" w:hAnsi="Times New Roman" w:cs="Times New Roman"/>
          <w:b/>
          <w:color w:val="181818"/>
          <w:kern w:val="36"/>
          <w:sz w:val="24"/>
          <w:szCs w:val="24"/>
          <w:u w:val="single"/>
          <w:vertAlign w:val="baseline"/>
        </w:rPr>
        <w:t>.4</w:t>
      </w:r>
      <w:r w:rsidR="00897B94">
        <w:rPr>
          <w:rFonts w:ascii="Times New Roman" w:eastAsia="Times New Roman" w:hAnsi="Times New Roman" w:cs="Times New Roman"/>
          <w:b/>
          <w:color w:val="181818"/>
          <w:kern w:val="36"/>
          <w:sz w:val="24"/>
          <w:szCs w:val="24"/>
          <w:u w:val="single"/>
          <w:vertAlign w:val="baseline"/>
        </w:rPr>
        <w:t xml:space="preserve"> METHODS</w:t>
      </w:r>
    </w:p>
    <w:p w14:paraId="0214FE3A" w14:textId="7A69B3D5" w:rsidR="001E0A35" w:rsidRPr="006F1574" w:rsidRDefault="006F4248" w:rsidP="001E0A35">
      <w:pPr>
        <w:spacing w:after="200" w:line="480" w:lineRule="auto"/>
        <w:ind w:firstLine="720"/>
        <w:jc w:val="both"/>
        <w:rPr>
          <w:rFonts w:ascii="Times New Roman" w:hAnsi="Times New Roman" w:cs="Times New Roman"/>
          <w:sz w:val="24"/>
          <w:szCs w:val="24"/>
          <w:vertAlign w:val="baseline"/>
        </w:rPr>
      </w:pPr>
      <w:r w:rsidRPr="00E71B23">
        <w:rPr>
          <w:rFonts w:ascii="Times New Roman" w:eastAsia="Calibri" w:hAnsi="Times New Roman" w:cs="Times New Roman"/>
          <w:bCs/>
          <w:sz w:val="24"/>
          <w:szCs w:val="24"/>
          <w:vertAlign w:val="baseline"/>
        </w:rPr>
        <w:t xml:space="preserve">Following the above discussion on the feminist methodology that underpins this thesis, it becomes necessary to explain how this methodology will be applied to this thesis; essentially a description of the methods employed to complete this research. In order to complete this research, the method utilised is a theoretical examination of witchcraft accusations and their interaction with gender, culture and the law, using examples from four specific countries, Papua New Guinea, India, Nepal and Ghana, to illustrate my points throughout. </w:t>
      </w:r>
      <w:r w:rsidRPr="00E71B23">
        <w:rPr>
          <w:rFonts w:ascii="Times New Roman" w:hAnsi="Times New Roman" w:cs="Times New Roman"/>
          <w:sz w:val="24"/>
          <w:szCs w:val="24"/>
          <w:vertAlign w:val="baseline"/>
        </w:rPr>
        <w:t>In order to do this I utilised a wide range of sources of information, including both primary and secondary sources of law and other academic disciplines, NGO, media, government and UN reports and a variety of electronic sources. However, obtaining this information was not without problems. I found that as I progressed with my research, due to the diversity of my chosen countries, I often had difficulties with language, as not all sources were available in English. Another issue I faced was the lack of accessibility of case law, within some of the countries</w:t>
      </w:r>
      <w:r w:rsidR="006F1574">
        <w:rPr>
          <w:rFonts w:ascii="Times New Roman" w:hAnsi="Times New Roman" w:cs="Times New Roman"/>
          <w:sz w:val="24"/>
          <w:szCs w:val="24"/>
          <w:vertAlign w:val="baseline"/>
        </w:rPr>
        <w:t>; specifically in Ghana, Nepal and Papua New Guinea</w:t>
      </w:r>
      <w:r w:rsidRPr="00E71B23">
        <w:rPr>
          <w:rFonts w:ascii="Times New Roman" w:hAnsi="Times New Roman" w:cs="Times New Roman"/>
          <w:sz w:val="24"/>
          <w:szCs w:val="24"/>
          <w:vertAlign w:val="baseline"/>
        </w:rPr>
        <w:t xml:space="preserve">. </w:t>
      </w:r>
      <w:r w:rsidR="006F1574">
        <w:rPr>
          <w:rFonts w:ascii="Times New Roman" w:hAnsi="Times New Roman" w:cs="Times New Roman"/>
          <w:sz w:val="24"/>
          <w:szCs w:val="24"/>
          <w:vertAlign w:val="baseline"/>
        </w:rPr>
        <w:t xml:space="preserve">This was </w:t>
      </w:r>
      <w:r w:rsidR="006F1574" w:rsidRPr="00E71B23">
        <w:rPr>
          <w:rFonts w:ascii="Times New Roman" w:hAnsi="Times New Roman" w:cs="Times New Roman"/>
          <w:sz w:val="24"/>
          <w:szCs w:val="24"/>
          <w:vertAlign w:val="baseline"/>
        </w:rPr>
        <w:t xml:space="preserve">due to </w:t>
      </w:r>
      <w:r w:rsidR="006F1574">
        <w:rPr>
          <w:rFonts w:ascii="Times New Roman" w:hAnsi="Times New Roman" w:cs="Times New Roman"/>
          <w:sz w:val="24"/>
          <w:szCs w:val="24"/>
          <w:vertAlign w:val="baseline"/>
        </w:rPr>
        <w:t xml:space="preserve">a number of factors; specifically, </w:t>
      </w:r>
      <w:r w:rsidR="006F1574" w:rsidRPr="00E71B23">
        <w:rPr>
          <w:rFonts w:ascii="Times New Roman" w:hAnsi="Times New Roman" w:cs="Times New Roman"/>
          <w:sz w:val="24"/>
          <w:szCs w:val="24"/>
          <w:vertAlign w:val="baseline"/>
        </w:rPr>
        <w:t>the largely r</w:t>
      </w:r>
      <w:r w:rsidR="006F1574">
        <w:rPr>
          <w:rFonts w:ascii="Times New Roman" w:hAnsi="Times New Roman" w:cs="Times New Roman"/>
          <w:sz w:val="24"/>
          <w:szCs w:val="24"/>
          <w:vertAlign w:val="baseline"/>
        </w:rPr>
        <w:t>ural nature of these countries, a lack of written sources of law, such as local customary laws and also the lack of research and attention to the phenomenon. Fortunately, I had made</w:t>
      </w:r>
      <w:r w:rsidRPr="00E71B23">
        <w:rPr>
          <w:rFonts w:ascii="Times New Roman" w:hAnsi="Times New Roman" w:cs="Times New Roman"/>
          <w:sz w:val="24"/>
          <w:szCs w:val="24"/>
          <w:vertAlign w:val="baseline"/>
        </w:rPr>
        <w:t xml:space="preserve"> contact</w:t>
      </w:r>
      <w:r w:rsidR="006F1574">
        <w:rPr>
          <w:rFonts w:ascii="Times New Roman" w:hAnsi="Times New Roman" w:cs="Times New Roman"/>
          <w:sz w:val="24"/>
          <w:szCs w:val="24"/>
          <w:vertAlign w:val="baseline"/>
        </w:rPr>
        <w:t xml:space="preserve">s within all three countries </w:t>
      </w:r>
      <w:r w:rsidR="001E0A35">
        <w:rPr>
          <w:rFonts w:ascii="Times New Roman" w:hAnsi="Times New Roman" w:cs="Times New Roman"/>
          <w:sz w:val="24"/>
          <w:szCs w:val="24"/>
          <w:vertAlign w:val="baseline"/>
        </w:rPr>
        <w:t>that</w:t>
      </w:r>
      <w:r w:rsidR="006F1574">
        <w:rPr>
          <w:rFonts w:ascii="Times New Roman" w:hAnsi="Times New Roman" w:cs="Times New Roman"/>
          <w:sz w:val="24"/>
          <w:szCs w:val="24"/>
          <w:vertAlign w:val="baseline"/>
        </w:rPr>
        <w:t xml:space="preserve"> were</w:t>
      </w:r>
      <w:r w:rsidRPr="00E71B23">
        <w:rPr>
          <w:rFonts w:ascii="Times New Roman" w:hAnsi="Times New Roman" w:cs="Times New Roman"/>
          <w:sz w:val="24"/>
          <w:szCs w:val="24"/>
          <w:vertAlign w:val="baseline"/>
        </w:rPr>
        <w:t xml:space="preserve"> able to access relevant case law for me. </w:t>
      </w:r>
    </w:p>
    <w:p w14:paraId="4E3F831E" w14:textId="54518227" w:rsidR="0061175A" w:rsidRDefault="006F4248" w:rsidP="0061175A">
      <w:pPr>
        <w:spacing w:after="200" w:line="480" w:lineRule="auto"/>
        <w:ind w:firstLine="720"/>
        <w:jc w:val="both"/>
        <w:rPr>
          <w:rFonts w:ascii="Times New Roman" w:hAnsi="Times New Roman" w:cs="Times New Roman"/>
          <w:sz w:val="24"/>
          <w:szCs w:val="24"/>
          <w:vertAlign w:val="baseline"/>
        </w:rPr>
      </w:pPr>
      <w:r w:rsidRPr="00E71B23">
        <w:rPr>
          <w:rFonts w:ascii="Times New Roman" w:hAnsi="Times New Roman" w:cs="Times New Roman"/>
          <w:sz w:val="24"/>
          <w:szCs w:val="24"/>
          <w:vertAlign w:val="baseline"/>
        </w:rPr>
        <w:t>Another issue I encountered was with fieldwork. Originally, my aim was to conduct fieldwork within the four countries as I had made a number of contacts within these countries. However, due to ethical difficulties and also personal circumstances, I discovered that it would not be feasible for me to undertake a period of substantial fieldwork. I would have needed to engage with gatekeepers, due to the language barriers I would face and also due to the nature of the topic, I would have needed access to remote and often inaccessible places and communities. Moreover, on an ethical level, the secrecy and extreme levels of violence surrounding witchcraft accusations, means that not only is there a reluctance for victims and those affected by witchcraft to discuss the matter o</w:t>
      </w:r>
      <w:r w:rsidR="00D47807">
        <w:rPr>
          <w:rFonts w:ascii="Times New Roman" w:hAnsi="Times New Roman" w:cs="Times New Roman"/>
          <w:sz w:val="24"/>
          <w:szCs w:val="24"/>
          <w:vertAlign w:val="baseline"/>
        </w:rPr>
        <w:t>penly, I would quite possibly have placed</w:t>
      </w:r>
      <w:r w:rsidRPr="00E71B23">
        <w:rPr>
          <w:rFonts w:ascii="Times New Roman" w:hAnsi="Times New Roman" w:cs="Times New Roman"/>
          <w:sz w:val="24"/>
          <w:szCs w:val="24"/>
          <w:vertAlign w:val="baseline"/>
        </w:rPr>
        <w:t xml:space="preserve"> these people and myself in danger, which is something I cl</w:t>
      </w:r>
      <w:r w:rsidR="00126690">
        <w:rPr>
          <w:rFonts w:ascii="Times New Roman" w:hAnsi="Times New Roman" w:cs="Times New Roman"/>
          <w:sz w:val="24"/>
          <w:szCs w:val="24"/>
          <w:vertAlign w:val="baseline"/>
        </w:rPr>
        <w:t xml:space="preserve">early wished to avoid. </w:t>
      </w:r>
      <w:r w:rsidR="001E0A35">
        <w:rPr>
          <w:rFonts w:ascii="Times New Roman" w:hAnsi="Times New Roman" w:cs="Times New Roman"/>
          <w:sz w:val="24"/>
          <w:szCs w:val="24"/>
          <w:vertAlign w:val="baseline"/>
        </w:rPr>
        <w:t xml:space="preserve">Thus, my research was entirely </w:t>
      </w:r>
      <w:r w:rsidR="00CA0438">
        <w:rPr>
          <w:rFonts w:ascii="Times New Roman" w:hAnsi="Times New Roman" w:cs="Times New Roman"/>
          <w:sz w:val="24"/>
          <w:szCs w:val="24"/>
          <w:vertAlign w:val="baseline"/>
        </w:rPr>
        <w:t xml:space="preserve">desk-based. I </w:t>
      </w:r>
      <w:r w:rsidR="00243A7B">
        <w:rPr>
          <w:rFonts w:ascii="Times New Roman" w:hAnsi="Times New Roman" w:cs="Times New Roman"/>
          <w:sz w:val="24"/>
          <w:szCs w:val="24"/>
          <w:vertAlign w:val="baseline"/>
        </w:rPr>
        <w:t xml:space="preserve">utilised a feminist theoretical framework, in order to understand and </w:t>
      </w:r>
      <w:r w:rsidR="00CA0438">
        <w:rPr>
          <w:rFonts w:ascii="Times New Roman" w:hAnsi="Times New Roman" w:cs="Times New Roman"/>
          <w:sz w:val="24"/>
          <w:szCs w:val="24"/>
          <w:vertAlign w:val="baseline"/>
        </w:rPr>
        <w:t xml:space="preserve">systematically </w:t>
      </w:r>
      <w:r w:rsidR="00243A7B">
        <w:rPr>
          <w:rFonts w:ascii="Times New Roman" w:hAnsi="Times New Roman" w:cs="Times New Roman"/>
          <w:sz w:val="24"/>
          <w:szCs w:val="24"/>
          <w:vertAlign w:val="baseline"/>
        </w:rPr>
        <w:t xml:space="preserve">examine the issues surrounding WAP, providing recommendations for change. </w:t>
      </w:r>
      <w:r w:rsidR="00126690">
        <w:rPr>
          <w:rFonts w:ascii="Times New Roman" w:hAnsi="Times New Roman" w:cs="Times New Roman"/>
          <w:sz w:val="24"/>
          <w:szCs w:val="24"/>
          <w:vertAlign w:val="baseline"/>
        </w:rPr>
        <w:t>I</w:t>
      </w:r>
      <w:r w:rsidRPr="00E71B23">
        <w:rPr>
          <w:rFonts w:ascii="Times New Roman" w:hAnsi="Times New Roman" w:cs="Times New Roman"/>
          <w:sz w:val="24"/>
          <w:szCs w:val="24"/>
          <w:vertAlign w:val="baseline"/>
        </w:rPr>
        <w:t xml:space="preserve">t may be suggested that </w:t>
      </w:r>
      <w:r w:rsidR="00A56B18">
        <w:rPr>
          <w:rFonts w:ascii="Times New Roman" w:hAnsi="Times New Roman" w:cs="Times New Roman"/>
          <w:sz w:val="24"/>
          <w:szCs w:val="24"/>
          <w:vertAlign w:val="baseline"/>
        </w:rPr>
        <w:t>fieldwork could have added a diff</w:t>
      </w:r>
      <w:r w:rsidR="00126690">
        <w:rPr>
          <w:rFonts w:ascii="Times New Roman" w:hAnsi="Times New Roman" w:cs="Times New Roman"/>
          <w:sz w:val="24"/>
          <w:szCs w:val="24"/>
          <w:vertAlign w:val="baseline"/>
        </w:rPr>
        <w:t xml:space="preserve">erent dimension to my research; however, </w:t>
      </w:r>
      <w:r w:rsidR="00A56B18">
        <w:rPr>
          <w:rFonts w:ascii="Times New Roman" w:hAnsi="Times New Roman" w:cs="Times New Roman"/>
          <w:sz w:val="24"/>
          <w:szCs w:val="24"/>
          <w:vertAlign w:val="baseline"/>
        </w:rPr>
        <w:t>ethically, this was not possible</w:t>
      </w:r>
      <w:r w:rsidR="009B5525">
        <w:rPr>
          <w:rFonts w:ascii="Times New Roman" w:hAnsi="Times New Roman" w:cs="Times New Roman"/>
          <w:sz w:val="24"/>
          <w:szCs w:val="24"/>
          <w:vertAlign w:val="baseline"/>
        </w:rPr>
        <w:t xml:space="preserve">. </w:t>
      </w:r>
      <w:r w:rsidRPr="00E71B23">
        <w:rPr>
          <w:rFonts w:ascii="Times New Roman" w:hAnsi="Times New Roman" w:cs="Times New Roman"/>
          <w:sz w:val="24"/>
          <w:szCs w:val="24"/>
          <w:vertAlign w:val="baseline"/>
        </w:rPr>
        <w:t>There is, currently, a lack of contemporary research on witchcraft. I submit that my thesis will help people to acknowledge the issue of present-day witchcraft violence, producing a better understanding of the effect that such violence has on women globally.</w:t>
      </w:r>
    </w:p>
    <w:p w14:paraId="17C6C7CA" w14:textId="72FD2E9C" w:rsidR="0061175A" w:rsidRDefault="0061175A">
      <w:pPr>
        <w:rPr>
          <w:rFonts w:ascii="Times New Roman" w:hAnsi="Times New Roman" w:cs="Times New Roman"/>
          <w:sz w:val="24"/>
          <w:szCs w:val="24"/>
          <w:vertAlign w:val="baseline"/>
        </w:rPr>
      </w:pPr>
    </w:p>
    <w:p w14:paraId="0613152D" w14:textId="252015AA" w:rsidR="001E0A35" w:rsidRDefault="003F18A5">
      <w:pPr>
        <w:rPr>
          <w:rFonts w:ascii="Times New Roman" w:hAnsi="Times New Roman" w:cs="Times New Roman"/>
          <w:sz w:val="24"/>
          <w:szCs w:val="24"/>
          <w:vertAlign w:val="baseline"/>
        </w:rPr>
      </w:pPr>
      <w:r>
        <w:rPr>
          <w:rFonts w:ascii="Times New Roman" w:hAnsi="Times New Roman" w:cs="Times New Roman"/>
          <w:sz w:val="24"/>
          <w:szCs w:val="24"/>
          <w:vertAlign w:val="baseline"/>
        </w:rPr>
        <w:br w:type="page"/>
      </w:r>
    </w:p>
    <w:p w14:paraId="4F10F545" w14:textId="77777777" w:rsidR="001E0A35" w:rsidRDefault="001E0A35">
      <w:pPr>
        <w:rPr>
          <w:rFonts w:ascii="Times New Roman" w:hAnsi="Times New Roman" w:cs="Times New Roman"/>
          <w:sz w:val="24"/>
          <w:szCs w:val="24"/>
          <w:vertAlign w:val="baseline"/>
        </w:rPr>
      </w:pPr>
    </w:p>
    <w:p w14:paraId="1D4366A2" w14:textId="12B729AF" w:rsidR="00AF4381" w:rsidRPr="001D48DE" w:rsidRDefault="00AF4381" w:rsidP="00097C34">
      <w:pPr>
        <w:spacing w:line="480" w:lineRule="auto"/>
        <w:jc w:val="center"/>
        <w:rPr>
          <w:rFonts w:ascii="Times New Roman" w:hAnsi="Times New Roman" w:cs="Times New Roman"/>
          <w:b/>
          <w:sz w:val="28"/>
          <w:szCs w:val="28"/>
          <w:vertAlign w:val="baseline"/>
        </w:rPr>
      </w:pPr>
      <w:r w:rsidRPr="001D48DE">
        <w:rPr>
          <w:rFonts w:ascii="Times New Roman" w:hAnsi="Times New Roman" w:cs="Times New Roman"/>
          <w:b/>
          <w:sz w:val="28"/>
          <w:szCs w:val="28"/>
          <w:vertAlign w:val="baseline"/>
        </w:rPr>
        <w:t>Chapter Two – Superstition and the Concept of Evil</w:t>
      </w:r>
    </w:p>
    <w:p w14:paraId="3DC52759" w14:textId="77777777" w:rsidR="00AF4381" w:rsidRPr="00AF4381" w:rsidRDefault="00AF4381" w:rsidP="00AF4381">
      <w:pPr>
        <w:spacing w:line="480" w:lineRule="auto"/>
        <w:jc w:val="both"/>
        <w:rPr>
          <w:rFonts w:ascii="Times New Roman" w:hAnsi="Times New Roman" w:cs="Times New Roman"/>
          <w:b/>
          <w:sz w:val="24"/>
          <w:szCs w:val="24"/>
          <w:u w:val="single"/>
          <w:vertAlign w:val="baseline"/>
        </w:rPr>
      </w:pPr>
    </w:p>
    <w:p w14:paraId="4F835AA5" w14:textId="412EE754" w:rsidR="00AF4381" w:rsidRPr="00AF4381" w:rsidRDefault="001F3CAB" w:rsidP="00AF4381">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2</w:t>
      </w:r>
      <w:r w:rsidR="001D48DE">
        <w:rPr>
          <w:rFonts w:ascii="Times New Roman" w:hAnsi="Times New Roman" w:cs="Times New Roman"/>
          <w:b/>
          <w:sz w:val="24"/>
          <w:szCs w:val="24"/>
          <w:u w:val="single"/>
          <w:vertAlign w:val="baseline"/>
        </w:rPr>
        <w:t xml:space="preserve">.1 </w:t>
      </w:r>
      <w:r w:rsidR="00897B94">
        <w:rPr>
          <w:rFonts w:ascii="Times New Roman" w:hAnsi="Times New Roman" w:cs="Times New Roman"/>
          <w:b/>
          <w:sz w:val="24"/>
          <w:szCs w:val="24"/>
          <w:u w:val="single"/>
          <w:vertAlign w:val="baseline"/>
        </w:rPr>
        <w:t xml:space="preserve">INTRODUCTION </w:t>
      </w:r>
    </w:p>
    <w:p w14:paraId="7D39598F" w14:textId="363B5B38" w:rsidR="00AF4381" w:rsidRPr="00AF4381" w:rsidRDefault="00AF4381" w:rsidP="001D48DE">
      <w:pPr>
        <w:spacing w:line="480" w:lineRule="auto"/>
        <w:ind w:firstLine="720"/>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 xml:space="preserve">This chapter will initially explore the </w:t>
      </w:r>
      <w:r w:rsidR="001F3CAB">
        <w:rPr>
          <w:rFonts w:ascii="Times New Roman" w:hAnsi="Times New Roman" w:cs="Times New Roman"/>
          <w:sz w:val="24"/>
          <w:szCs w:val="24"/>
          <w:vertAlign w:val="baseline"/>
        </w:rPr>
        <w:t>concept</w:t>
      </w:r>
      <w:r w:rsidRPr="00AF4381">
        <w:rPr>
          <w:rFonts w:ascii="Times New Roman" w:hAnsi="Times New Roman" w:cs="Times New Roman"/>
          <w:sz w:val="24"/>
          <w:szCs w:val="24"/>
          <w:vertAlign w:val="baseline"/>
        </w:rPr>
        <w:t xml:space="preserve"> of superstition. I will briefly discuss definitions of superstition before categorising the various types of practices, which come under the umbrella of superstition. I will subsequently address the psychology behind superstition. It is important to highlight here, that the examination of superstition within this thesis will be limited. Whilst an examination of superstition is necessary to highlight the relationship between superstition and witchcraft beliefs, the concern of this thesis is witchcraft beliefs. Consequently, a full examination of superstition is beyond the scope of this thesis. The latter section of this chapter will be spent exploring the c</w:t>
      </w:r>
      <w:r w:rsidR="001F3CAB">
        <w:rPr>
          <w:rFonts w:ascii="Times New Roman" w:hAnsi="Times New Roman" w:cs="Times New Roman"/>
          <w:sz w:val="24"/>
          <w:szCs w:val="24"/>
          <w:vertAlign w:val="baseline"/>
        </w:rPr>
        <w:t>oncept of evil. I will trace this</w:t>
      </w:r>
      <w:r w:rsidRPr="00AF4381">
        <w:rPr>
          <w:rFonts w:ascii="Times New Roman" w:hAnsi="Times New Roman" w:cs="Times New Roman"/>
          <w:sz w:val="24"/>
          <w:szCs w:val="24"/>
          <w:vertAlign w:val="baseline"/>
        </w:rPr>
        <w:t xml:space="preserve"> concept, before investigating the link between evil and agency, which forms the basis for witchcraft beliefs. Thus, the rationale of this chapter is to highlight and acknowledge the link between superstition, evil, agency and witchcraft, in order to provide an understanding of the basis of witchcraft beliefs. This, in turn, will then provide the foundation for the </w:t>
      </w:r>
      <w:r w:rsidR="001F3CAB">
        <w:rPr>
          <w:rFonts w:ascii="Times New Roman" w:hAnsi="Times New Roman" w:cs="Times New Roman"/>
          <w:sz w:val="24"/>
          <w:szCs w:val="24"/>
          <w:vertAlign w:val="baseline"/>
        </w:rPr>
        <w:t xml:space="preserve">in depth </w:t>
      </w:r>
      <w:r w:rsidRPr="00AF4381">
        <w:rPr>
          <w:rFonts w:ascii="Times New Roman" w:hAnsi="Times New Roman" w:cs="Times New Roman"/>
          <w:sz w:val="24"/>
          <w:szCs w:val="24"/>
          <w:vertAlign w:val="baseline"/>
        </w:rPr>
        <w:t>discussion of witchcraft in chapter three.</w:t>
      </w:r>
    </w:p>
    <w:p w14:paraId="42227896" w14:textId="77777777" w:rsidR="00E814A9" w:rsidRDefault="00E814A9" w:rsidP="00AF4381">
      <w:pPr>
        <w:spacing w:line="480" w:lineRule="auto"/>
        <w:jc w:val="both"/>
        <w:rPr>
          <w:rFonts w:ascii="Times New Roman" w:hAnsi="Times New Roman" w:cs="Times New Roman"/>
          <w:sz w:val="24"/>
          <w:szCs w:val="24"/>
          <w:vertAlign w:val="baseline"/>
        </w:rPr>
      </w:pPr>
    </w:p>
    <w:p w14:paraId="21263231" w14:textId="5EDB404F" w:rsidR="00AF4381" w:rsidRPr="00AF4381" w:rsidRDefault="001F3CAB" w:rsidP="00AF4381">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2</w:t>
      </w:r>
      <w:r w:rsidR="001D48DE">
        <w:rPr>
          <w:rFonts w:ascii="Times New Roman" w:hAnsi="Times New Roman" w:cs="Times New Roman"/>
          <w:b/>
          <w:sz w:val="24"/>
          <w:szCs w:val="24"/>
          <w:u w:val="single"/>
          <w:vertAlign w:val="baseline"/>
        </w:rPr>
        <w:t xml:space="preserve">.2 </w:t>
      </w:r>
      <w:r w:rsidR="00897B94">
        <w:rPr>
          <w:rFonts w:ascii="Times New Roman" w:hAnsi="Times New Roman" w:cs="Times New Roman"/>
          <w:b/>
          <w:sz w:val="24"/>
          <w:szCs w:val="24"/>
          <w:u w:val="single"/>
          <w:vertAlign w:val="baseline"/>
        </w:rPr>
        <w:t>SUPERSTITION</w:t>
      </w:r>
    </w:p>
    <w:p w14:paraId="2971FA22" w14:textId="31E62063" w:rsidR="00BF6B02" w:rsidRDefault="00AF4381" w:rsidP="00E814A9">
      <w:pPr>
        <w:spacing w:line="480" w:lineRule="auto"/>
        <w:ind w:firstLine="720"/>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Superstition is based upon notions of luck, chance and fate, arising from attempts to explain nature and human existence within the knowledge people possessed in the distant past.</w:t>
      </w:r>
      <w:r w:rsidRPr="00AF4381">
        <w:rPr>
          <w:rFonts w:ascii="Times New Roman" w:hAnsi="Times New Roman" w:cs="Times New Roman"/>
          <w:sz w:val="24"/>
          <w:szCs w:val="24"/>
        </w:rPr>
        <w:footnoteReference w:id="105"/>
      </w:r>
      <w:r w:rsidRPr="00AF4381">
        <w:rPr>
          <w:rFonts w:ascii="Times New Roman" w:hAnsi="Times New Roman" w:cs="Times New Roman"/>
          <w:sz w:val="24"/>
          <w:szCs w:val="24"/>
          <w:vertAlign w:val="baseline"/>
        </w:rPr>
        <w:t xml:space="preserve"> When we think of the word superstition, many will conjure up images of black cats, broken mirrors and Friday 13</w:t>
      </w:r>
      <w:r w:rsidRPr="00AF4381">
        <w:rPr>
          <w:rFonts w:ascii="Times New Roman" w:hAnsi="Times New Roman" w:cs="Times New Roman"/>
          <w:sz w:val="24"/>
          <w:szCs w:val="24"/>
        </w:rPr>
        <w:t>th</w:t>
      </w:r>
      <w:r w:rsidRPr="00AF4381">
        <w:rPr>
          <w:rFonts w:ascii="Times New Roman" w:hAnsi="Times New Roman" w:cs="Times New Roman"/>
          <w:sz w:val="24"/>
          <w:szCs w:val="24"/>
          <w:vertAlign w:val="baseline"/>
        </w:rPr>
        <w:t xml:space="preserve">. It is suggested, when faced with the question of whether or not they are superstitious, many </w:t>
      </w:r>
      <w:r w:rsidR="001264D1" w:rsidRPr="00AF4381">
        <w:rPr>
          <w:rFonts w:ascii="Times New Roman" w:hAnsi="Times New Roman" w:cs="Times New Roman"/>
          <w:sz w:val="24"/>
          <w:szCs w:val="24"/>
          <w:vertAlign w:val="baseline"/>
        </w:rPr>
        <w:t>people</w:t>
      </w:r>
      <w:r w:rsidRPr="00AF4381">
        <w:rPr>
          <w:rFonts w:ascii="Times New Roman" w:hAnsi="Times New Roman" w:cs="Times New Roman"/>
          <w:sz w:val="24"/>
          <w:szCs w:val="24"/>
          <w:vertAlign w:val="baseline"/>
        </w:rPr>
        <w:t xml:space="preserve"> will instinctively refute the idea.</w:t>
      </w:r>
      <w:r w:rsidRPr="00AF4381">
        <w:rPr>
          <w:rFonts w:ascii="Times New Roman" w:hAnsi="Times New Roman" w:cs="Times New Roman"/>
          <w:sz w:val="24"/>
          <w:szCs w:val="24"/>
        </w:rPr>
        <w:footnoteReference w:id="106"/>
      </w:r>
      <w:r w:rsidRPr="00AF4381">
        <w:rPr>
          <w:rFonts w:ascii="Times New Roman" w:hAnsi="Times New Roman" w:cs="Times New Roman"/>
          <w:sz w:val="24"/>
          <w:szCs w:val="24"/>
          <w:vertAlign w:val="baseline"/>
        </w:rPr>
        <w:t xml:space="preserve"> Yet, on further contemplation, many may admit to quaint and ‘harmless’ beliefs or rituals that they perform, with little realisation as to why they are doing so. </w:t>
      </w:r>
      <w:r w:rsidR="00827745" w:rsidRPr="00AF4381">
        <w:rPr>
          <w:rFonts w:ascii="Times New Roman" w:hAnsi="Times New Roman" w:cs="Times New Roman"/>
          <w:sz w:val="24"/>
          <w:szCs w:val="24"/>
          <w:vertAlign w:val="baseline"/>
        </w:rPr>
        <w:t>Planer</w:t>
      </w:r>
      <w:r w:rsidRPr="00AF4381">
        <w:rPr>
          <w:rFonts w:ascii="Times New Roman" w:hAnsi="Times New Roman" w:cs="Times New Roman"/>
          <w:sz w:val="24"/>
          <w:szCs w:val="24"/>
        </w:rPr>
        <w:footnoteReference w:id="107"/>
      </w:r>
      <w:r w:rsidRPr="00AF4381">
        <w:rPr>
          <w:rFonts w:ascii="Times New Roman" w:hAnsi="Times New Roman" w:cs="Times New Roman"/>
          <w:sz w:val="24"/>
          <w:szCs w:val="24"/>
          <w:vertAlign w:val="baseline"/>
        </w:rPr>
        <w:t xml:space="preserve"> suggests that there are two main questions to consider when looking at superstition. Primarily, we need to discover exactly what the meaning of superstition is. Secondly, it needs to be examined whether superstition is a harmless tradition, or whether this façade actually conceals a hidden mischief.</w:t>
      </w:r>
      <w:r w:rsidR="001F3CAB" w:rsidRPr="00AF4381">
        <w:rPr>
          <w:rFonts w:ascii="Times New Roman" w:hAnsi="Times New Roman" w:cs="Times New Roman"/>
          <w:sz w:val="24"/>
          <w:szCs w:val="24"/>
        </w:rPr>
        <w:footnoteReference w:id="108"/>
      </w:r>
    </w:p>
    <w:p w14:paraId="000FFC25" w14:textId="77777777" w:rsidR="00E814A9" w:rsidRPr="00BF6B02" w:rsidRDefault="00E814A9" w:rsidP="00E814A9">
      <w:pPr>
        <w:spacing w:line="480" w:lineRule="auto"/>
        <w:ind w:firstLine="720"/>
        <w:jc w:val="both"/>
        <w:rPr>
          <w:rFonts w:ascii="Times New Roman" w:hAnsi="Times New Roman" w:cs="Times New Roman"/>
          <w:sz w:val="24"/>
          <w:szCs w:val="24"/>
          <w:vertAlign w:val="baseline"/>
        </w:rPr>
      </w:pPr>
    </w:p>
    <w:p w14:paraId="409E0EDE" w14:textId="55719009" w:rsidR="00AF4381" w:rsidRPr="004D4386" w:rsidRDefault="001F3CAB" w:rsidP="00AF4381">
      <w:pPr>
        <w:spacing w:line="480" w:lineRule="auto"/>
        <w:jc w:val="both"/>
        <w:rPr>
          <w:rFonts w:ascii="Times New Roman" w:hAnsi="Times New Roman" w:cs="Times New Roman"/>
          <w:b/>
          <w:i/>
          <w:sz w:val="24"/>
          <w:szCs w:val="24"/>
          <w:vertAlign w:val="baseline"/>
        </w:rPr>
      </w:pPr>
      <w:r w:rsidRPr="004D4386">
        <w:rPr>
          <w:rFonts w:ascii="Times New Roman" w:hAnsi="Times New Roman" w:cs="Times New Roman"/>
          <w:b/>
          <w:i/>
          <w:sz w:val="24"/>
          <w:szCs w:val="24"/>
          <w:vertAlign w:val="baseline"/>
        </w:rPr>
        <w:t>2</w:t>
      </w:r>
      <w:r w:rsidR="004125B6" w:rsidRPr="004D4386">
        <w:rPr>
          <w:rFonts w:ascii="Times New Roman" w:hAnsi="Times New Roman" w:cs="Times New Roman"/>
          <w:b/>
          <w:i/>
          <w:sz w:val="24"/>
          <w:szCs w:val="24"/>
          <w:vertAlign w:val="baseline"/>
        </w:rPr>
        <w:t xml:space="preserve">.2.1 </w:t>
      </w:r>
      <w:r w:rsidR="00AF4381" w:rsidRPr="004D4386">
        <w:rPr>
          <w:rFonts w:ascii="Times New Roman" w:hAnsi="Times New Roman" w:cs="Times New Roman"/>
          <w:b/>
          <w:i/>
          <w:sz w:val="24"/>
          <w:szCs w:val="24"/>
          <w:vertAlign w:val="baseline"/>
        </w:rPr>
        <w:t>Definition</w:t>
      </w:r>
    </w:p>
    <w:p w14:paraId="4534808E" w14:textId="5B100596" w:rsidR="00E814A9" w:rsidRDefault="00AF4381" w:rsidP="00E814A9">
      <w:pPr>
        <w:spacing w:line="480" w:lineRule="auto"/>
        <w:ind w:firstLine="720"/>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Abbott and Sherratt,</w:t>
      </w:r>
      <w:r w:rsidRPr="00AF4381">
        <w:rPr>
          <w:rFonts w:ascii="Times New Roman" w:hAnsi="Times New Roman" w:cs="Times New Roman"/>
          <w:sz w:val="24"/>
          <w:szCs w:val="24"/>
        </w:rPr>
        <w:footnoteReference w:id="109"/>
      </w:r>
      <w:r w:rsidRPr="00AF4381">
        <w:rPr>
          <w:rFonts w:ascii="Times New Roman" w:hAnsi="Times New Roman" w:cs="Times New Roman"/>
          <w:sz w:val="24"/>
          <w:szCs w:val="24"/>
          <w:vertAlign w:val="baseline"/>
        </w:rPr>
        <w:t xml:space="preserve"> provide two definitions for superstitious behaviour. The first derives from a study conducted by Skinner,</w:t>
      </w:r>
      <w:r w:rsidRPr="00AF4381">
        <w:rPr>
          <w:rFonts w:ascii="Times New Roman" w:hAnsi="Times New Roman" w:cs="Times New Roman"/>
          <w:sz w:val="24"/>
          <w:szCs w:val="24"/>
        </w:rPr>
        <w:footnoteReference w:id="110"/>
      </w:r>
      <w:r w:rsidRPr="00AF4381">
        <w:rPr>
          <w:rFonts w:ascii="Times New Roman" w:hAnsi="Times New Roman" w:cs="Times New Roman"/>
          <w:sz w:val="24"/>
          <w:szCs w:val="24"/>
          <w:vertAlign w:val="baseline"/>
        </w:rPr>
        <w:t xml:space="preserve"> a psychiatrist who published his study on a group of pigeons, which demonstrated that even animals are prone to superstitious behaviour.</w:t>
      </w:r>
      <w:r w:rsidRPr="00AF4381">
        <w:rPr>
          <w:rFonts w:ascii="Times New Roman" w:hAnsi="Times New Roman" w:cs="Times New Roman"/>
          <w:sz w:val="24"/>
          <w:szCs w:val="24"/>
        </w:rPr>
        <w:footnoteReference w:id="111"/>
      </w:r>
      <w:r w:rsidRPr="00AF4381">
        <w:rPr>
          <w:rFonts w:ascii="Times New Roman" w:hAnsi="Times New Roman" w:cs="Times New Roman"/>
          <w:sz w:val="24"/>
          <w:szCs w:val="24"/>
          <w:vertAlign w:val="baseline"/>
        </w:rPr>
        <w:t xml:space="preserve"> This definition is as follows, </w:t>
      </w:r>
    </w:p>
    <w:p w14:paraId="21673EF3" w14:textId="77777777" w:rsidR="00E814A9" w:rsidRPr="00AF4381" w:rsidRDefault="00E814A9" w:rsidP="00E814A9">
      <w:pPr>
        <w:spacing w:line="480" w:lineRule="auto"/>
        <w:ind w:firstLine="720"/>
        <w:jc w:val="both"/>
        <w:rPr>
          <w:rFonts w:ascii="Times New Roman" w:hAnsi="Times New Roman" w:cs="Times New Roman"/>
          <w:sz w:val="24"/>
          <w:szCs w:val="24"/>
          <w:vertAlign w:val="baseline"/>
        </w:rPr>
      </w:pPr>
    </w:p>
    <w:p w14:paraId="31227853" w14:textId="77777777" w:rsidR="00AF4381" w:rsidRPr="00AF4381" w:rsidRDefault="00AF4381" w:rsidP="004D4386">
      <w:pPr>
        <w:spacing w:line="480" w:lineRule="auto"/>
        <w:ind w:left="720"/>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Superstitious behaviours can be defined as actions or inactions that are given, in order to affect the probability that a beneficial outcome occurs when, in fact, there is no causal relationship between the action and the outcome.</w:t>
      </w:r>
      <w:r w:rsidRPr="00AF4381">
        <w:rPr>
          <w:rFonts w:ascii="Times New Roman" w:hAnsi="Times New Roman" w:cs="Times New Roman"/>
          <w:sz w:val="24"/>
          <w:szCs w:val="24"/>
        </w:rPr>
        <w:footnoteReference w:id="112"/>
      </w:r>
      <w:r w:rsidRPr="00AF4381">
        <w:rPr>
          <w:rFonts w:ascii="Times New Roman" w:hAnsi="Times New Roman" w:cs="Times New Roman"/>
          <w:sz w:val="24"/>
          <w:szCs w:val="24"/>
          <w:vertAlign w:val="baseline"/>
        </w:rPr>
        <w:t xml:space="preserve"> </w:t>
      </w:r>
    </w:p>
    <w:p w14:paraId="42E65EB0" w14:textId="0F713788" w:rsidR="00AF4381" w:rsidRPr="00AF4381" w:rsidRDefault="00AF4381" w:rsidP="00AF4381">
      <w:pPr>
        <w:spacing w:line="480" w:lineRule="auto"/>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The se</w:t>
      </w:r>
      <w:r w:rsidR="00827745">
        <w:rPr>
          <w:rFonts w:ascii="Times New Roman" w:hAnsi="Times New Roman" w:cs="Times New Roman"/>
          <w:sz w:val="24"/>
          <w:szCs w:val="24"/>
          <w:vertAlign w:val="baseline"/>
        </w:rPr>
        <w:t>cond, a stricter definition of</w:t>
      </w:r>
      <w:r w:rsidRPr="00AF4381">
        <w:rPr>
          <w:rFonts w:ascii="Times New Roman" w:hAnsi="Times New Roman" w:cs="Times New Roman"/>
          <w:sz w:val="24"/>
          <w:szCs w:val="24"/>
          <w:vertAlign w:val="baseline"/>
        </w:rPr>
        <w:t xml:space="preserve"> superstition</w:t>
      </w:r>
      <w:r w:rsidR="008E0D32">
        <w:rPr>
          <w:rFonts w:ascii="Times New Roman" w:hAnsi="Times New Roman" w:cs="Times New Roman"/>
          <w:sz w:val="24"/>
          <w:szCs w:val="24"/>
          <w:vertAlign w:val="baseline"/>
        </w:rPr>
        <w:t xml:space="preserve"> </w:t>
      </w:r>
      <w:r w:rsidRPr="00AF4381">
        <w:rPr>
          <w:rFonts w:ascii="Times New Roman" w:hAnsi="Times New Roman" w:cs="Times New Roman"/>
          <w:sz w:val="24"/>
          <w:szCs w:val="24"/>
          <w:vertAlign w:val="baseline"/>
        </w:rPr>
        <w:t>referred to as ‘supernatural superstition,’</w:t>
      </w:r>
      <w:r w:rsidRPr="00AF4381">
        <w:rPr>
          <w:rFonts w:ascii="Times New Roman" w:hAnsi="Times New Roman" w:cs="Times New Roman"/>
          <w:sz w:val="24"/>
          <w:szCs w:val="24"/>
        </w:rPr>
        <w:footnoteReference w:id="113"/>
      </w:r>
      <w:r w:rsidRPr="00AF4381">
        <w:rPr>
          <w:rFonts w:ascii="Times New Roman" w:hAnsi="Times New Roman" w:cs="Times New Roman"/>
          <w:sz w:val="24"/>
          <w:szCs w:val="24"/>
          <w:vertAlign w:val="baseline"/>
        </w:rPr>
        <w:t xml:space="preserve"> is where, ‘there are no rational grounds to believe in a relationship between action and outcome.’</w:t>
      </w:r>
      <w:r w:rsidRPr="00AF4381">
        <w:rPr>
          <w:rFonts w:ascii="Times New Roman" w:hAnsi="Times New Roman" w:cs="Times New Roman"/>
          <w:sz w:val="24"/>
          <w:szCs w:val="24"/>
        </w:rPr>
        <w:footnoteReference w:id="114"/>
      </w:r>
      <w:r w:rsidRPr="00AF4381">
        <w:rPr>
          <w:rFonts w:ascii="Times New Roman" w:hAnsi="Times New Roman" w:cs="Times New Roman"/>
          <w:sz w:val="24"/>
          <w:szCs w:val="24"/>
          <w:vertAlign w:val="baseline"/>
        </w:rPr>
        <w:t xml:space="preserve"> This definition is supported by Planer,</w:t>
      </w:r>
      <w:r w:rsidRPr="00AF4381">
        <w:rPr>
          <w:rFonts w:ascii="Times New Roman" w:hAnsi="Times New Roman" w:cs="Times New Roman"/>
          <w:sz w:val="24"/>
          <w:szCs w:val="24"/>
        </w:rPr>
        <w:footnoteReference w:id="115"/>
      </w:r>
      <w:r w:rsidRPr="00AF4381">
        <w:rPr>
          <w:rFonts w:ascii="Times New Roman" w:hAnsi="Times New Roman" w:cs="Times New Roman"/>
          <w:sz w:val="24"/>
          <w:szCs w:val="24"/>
          <w:vertAlign w:val="baseline"/>
        </w:rPr>
        <w:t xml:space="preserve"> who attributes two interacting and distinctive elements to the meaning of superstition. The first, ‘is a belief in influences and events that are incapable of being justified on rational grounds.’</w:t>
      </w:r>
      <w:r w:rsidRPr="00AF4381">
        <w:rPr>
          <w:rFonts w:ascii="Times New Roman" w:hAnsi="Times New Roman" w:cs="Times New Roman"/>
          <w:sz w:val="24"/>
          <w:szCs w:val="24"/>
        </w:rPr>
        <w:footnoteReference w:id="116"/>
      </w:r>
      <w:r w:rsidRPr="00AF4381">
        <w:rPr>
          <w:rFonts w:ascii="Times New Roman" w:hAnsi="Times New Roman" w:cs="Times New Roman"/>
          <w:sz w:val="24"/>
          <w:szCs w:val="24"/>
          <w:vertAlign w:val="baseline"/>
        </w:rPr>
        <w:t xml:space="preserve"> Rationality has proved contentious for some academics</w:t>
      </w:r>
      <w:r w:rsidRPr="00AF4381">
        <w:rPr>
          <w:rFonts w:ascii="Times New Roman" w:hAnsi="Times New Roman" w:cs="Times New Roman"/>
          <w:sz w:val="24"/>
          <w:szCs w:val="24"/>
        </w:rPr>
        <w:footnoteReference w:id="117"/>
      </w:r>
      <w:r w:rsidRPr="00AF4381">
        <w:rPr>
          <w:rFonts w:ascii="Times New Roman" w:hAnsi="Times New Roman" w:cs="Times New Roman"/>
          <w:sz w:val="24"/>
          <w:szCs w:val="24"/>
          <w:vertAlign w:val="baseline"/>
        </w:rPr>
        <w:t xml:space="preserve"> who argue that what is rational to one person may be completely irrational to another. Moreover, can every irrational belief be categorised as superstitious? </w:t>
      </w:r>
      <w:r w:rsidR="0000703F" w:rsidRPr="00AF4381">
        <w:rPr>
          <w:rFonts w:ascii="Times New Roman" w:hAnsi="Times New Roman" w:cs="Times New Roman"/>
          <w:sz w:val="24"/>
          <w:szCs w:val="24"/>
          <w:vertAlign w:val="baseline"/>
        </w:rPr>
        <w:t>Planer</w:t>
      </w:r>
      <w:r w:rsidRPr="00AF4381">
        <w:rPr>
          <w:rFonts w:ascii="Times New Roman" w:hAnsi="Times New Roman" w:cs="Times New Roman"/>
          <w:sz w:val="24"/>
          <w:szCs w:val="24"/>
        </w:rPr>
        <w:footnoteReference w:id="118"/>
      </w:r>
      <w:r w:rsidRPr="00AF4381">
        <w:rPr>
          <w:rFonts w:ascii="Times New Roman" w:hAnsi="Times New Roman" w:cs="Times New Roman"/>
          <w:sz w:val="24"/>
          <w:szCs w:val="24"/>
          <w:vertAlign w:val="baseline"/>
        </w:rPr>
        <w:t xml:space="preserve"> contends that the inclusion of a second element into the definition of superstition, distinguishes between such simple irrational beliefs and superstitious belief. This element is fear.</w:t>
      </w:r>
      <w:r w:rsidRPr="00AF4381">
        <w:rPr>
          <w:rFonts w:ascii="Times New Roman" w:hAnsi="Times New Roman" w:cs="Times New Roman"/>
          <w:sz w:val="24"/>
          <w:szCs w:val="24"/>
        </w:rPr>
        <w:footnoteReference w:id="119"/>
      </w:r>
      <w:r w:rsidRPr="00AF4381">
        <w:rPr>
          <w:rFonts w:ascii="Times New Roman" w:hAnsi="Times New Roman" w:cs="Times New Roman"/>
          <w:sz w:val="24"/>
          <w:szCs w:val="24"/>
          <w:vertAlign w:val="baseline"/>
        </w:rPr>
        <w:t xml:space="preserve"> Thus, taking all these explanations into account, I will define superstition as a belief providing the relief of anxiety through an irrational perception of the causal relationship between action and outcome.</w:t>
      </w:r>
    </w:p>
    <w:p w14:paraId="1ACB5716" w14:textId="77777777" w:rsidR="00AF4381" w:rsidRPr="00AF4381" w:rsidRDefault="00AF4381" w:rsidP="00AF4381">
      <w:pPr>
        <w:spacing w:line="480" w:lineRule="auto"/>
        <w:jc w:val="both"/>
        <w:rPr>
          <w:rFonts w:ascii="Times New Roman" w:hAnsi="Times New Roman" w:cs="Times New Roman"/>
          <w:b/>
          <w:sz w:val="24"/>
          <w:szCs w:val="24"/>
          <w:u w:val="single"/>
          <w:vertAlign w:val="baseline"/>
        </w:rPr>
      </w:pPr>
    </w:p>
    <w:p w14:paraId="05D8B5F8" w14:textId="172DA715" w:rsidR="00AF4381" w:rsidRPr="00F96B0B" w:rsidRDefault="00F96B0B" w:rsidP="00AF4381">
      <w:pPr>
        <w:spacing w:line="480" w:lineRule="auto"/>
        <w:jc w:val="both"/>
        <w:rPr>
          <w:rFonts w:ascii="Times New Roman" w:hAnsi="Times New Roman" w:cs="Times New Roman"/>
          <w:b/>
          <w:i/>
          <w:sz w:val="24"/>
          <w:szCs w:val="24"/>
          <w:vertAlign w:val="baseline"/>
        </w:rPr>
      </w:pPr>
      <w:r w:rsidRPr="00F96B0B">
        <w:rPr>
          <w:rFonts w:ascii="Times New Roman" w:hAnsi="Times New Roman" w:cs="Times New Roman"/>
          <w:b/>
          <w:i/>
          <w:sz w:val="24"/>
          <w:szCs w:val="24"/>
          <w:vertAlign w:val="baseline"/>
        </w:rPr>
        <w:t>2</w:t>
      </w:r>
      <w:r w:rsidR="004125B6" w:rsidRPr="00F96B0B">
        <w:rPr>
          <w:rFonts w:ascii="Times New Roman" w:hAnsi="Times New Roman" w:cs="Times New Roman"/>
          <w:b/>
          <w:i/>
          <w:sz w:val="24"/>
          <w:szCs w:val="24"/>
          <w:vertAlign w:val="baseline"/>
        </w:rPr>
        <w:t xml:space="preserve">.2.2 </w:t>
      </w:r>
      <w:r w:rsidR="00AF4381" w:rsidRPr="00F96B0B">
        <w:rPr>
          <w:rFonts w:ascii="Times New Roman" w:hAnsi="Times New Roman" w:cs="Times New Roman"/>
          <w:b/>
          <w:i/>
          <w:sz w:val="24"/>
          <w:szCs w:val="24"/>
          <w:vertAlign w:val="baseline"/>
        </w:rPr>
        <w:t>Categorisation</w:t>
      </w:r>
    </w:p>
    <w:p w14:paraId="67FFD5CD" w14:textId="77777777" w:rsidR="00E15078" w:rsidRDefault="00AF4381" w:rsidP="009E5A67">
      <w:pPr>
        <w:spacing w:line="480" w:lineRule="auto"/>
        <w:ind w:firstLine="720"/>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Before discussing the psychological element of superstition in more detail, I will categorise the various components, which fall under the umbrella of superstition. Planer</w:t>
      </w:r>
      <w:r w:rsidRPr="00AF4381">
        <w:rPr>
          <w:rFonts w:ascii="Times New Roman" w:hAnsi="Times New Roman" w:cs="Times New Roman"/>
          <w:sz w:val="24"/>
          <w:szCs w:val="24"/>
        </w:rPr>
        <w:footnoteReference w:id="120"/>
      </w:r>
      <w:r w:rsidRPr="00AF4381">
        <w:rPr>
          <w:rFonts w:ascii="Times New Roman" w:hAnsi="Times New Roman" w:cs="Times New Roman"/>
          <w:sz w:val="24"/>
          <w:szCs w:val="24"/>
          <w:vertAlign w:val="baseline"/>
        </w:rPr>
        <w:t xml:space="preserve"> categorises superstition into four basic categories; prediction of the future, which covers all attempts at divining future events, such as astrology, clairvoyance and extrasensory perception (ESP); the world of spirits, which comprises of beliefs in demons, devils, spirits, ghosts and reincarnation; magic, which covers beliefs in exorcism, faith healing, sorcery and witchcraft; and finally religion.</w:t>
      </w:r>
      <w:r w:rsidRPr="00AF4381">
        <w:rPr>
          <w:rFonts w:ascii="Times New Roman" w:hAnsi="Times New Roman" w:cs="Times New Roman"/>
          <w:sz w:val="24"/>
          <w:szCs w:val="24"/>
        </w:rPr>
        <w:footnoteReference w:id="121"/>
      </w:r>
      <w:r w:rsidRPr="00AF4381">
        <w:rPr>
          <w:rFonts w:ascii="Times New Roman" w:hAnsi="Times New Roman" w:cs="Times New Roman"/>
          <w:sz w:val="24"/>
          <w:szCs w:val="24"/>
          <w:vertAlign w:val="baseline"/>
        </w:rPr>
        <w:t xml:space="preserve"> However, Planer’s categorisation of superstition is problematic when looking at the latter three categories. The difficultly lies in the attempt to distinguish between magic, the spirit world and religion, due to the closely related nature of these components. Thus, when looking at witchcraft, it becomes difficult to distinguish the notion of witchcraft as solely a constituent of magic, when witchcraft also has relationships with both religion and the spirit world. Moreover, the use of the term ‘magic’ conjures up its own issues. As Martin</w:t>
      </w:r>
      <w:r w:rsidR="00A6225F">
        <w:rPr>
          <w:rFonts w:ascii="Times New Roman" w:hAnsi="Times New Roman" w:cs="Times New Roman"/>
          <w:sz w:val="24"/>
          <w:szCs w:val="24"/>
        </w:rPr>
        <w:t xml:space="preserve"> </w:t>
      </w:r>
      <w:r w:rsidRPr="00AF4381">
        <w:rPr>
          <w:rFonts w:ascii="Times New Roman" w:hAnsi="Times New Roman" w:cs="Times New Roman"/>
          <w:sz w:val="24"/>
          <w:szCs w:val="24"/>
          <w:vertAlign w:val="baseline"/>
        </w:rPr>
        <w:t>suggests, the term ‘magic’ is misleading, often used to describe activities which are, ‘in fact misunderstandings of nature.’</w:t>
      </w:r>
      <w:r w:rsidRPr="00AF4381">
        <w:rPr>
          <w:rFonts w:ascii="Times New Roman" w:hAnsi="Times New Roman" w:cs="Times New Roman"/>
          <w:sz w:val="24"/>
          <w:szCs w:val="24"/>
        </w:rPr>
        <w:footnoteReference w:id="122"/>
      </w:r>
      <w:r w:rsidRPr="00AF4381">
        <w:rPr>
          <w:rFonts w:ascii="Times New Roman" w:hAnsi="Times New Roman" w:cs="Times New Roman"/>
          <w:sz w:val="24"/>
          <w:szCs w:val="24"/>
          <w:vertAlign w:val="baseline"/>
        </w:rPr>
        <w:t xml:space="preserve"> </w:t>
      </w:r>
    </w:p>
    <w:p w14:paraId="4D6F9DCE" w14:textId="77777777" w:rsidR="00F96B0B" w:rsidRDefault="00F96B0B" w:rsidP="009E5A67">
      <w:pPr>
        <w:spacing w:line="480" w:lineRule="auto"/>
        <w:ind w:firstLine="720"/>
        <w:jc w:val="both"/>
        <w:rPr>
          <w:rFonts w:ascii="Times New Roman" w:hAnsi="Times New Roman" w:cs="Times New Roman"/>
          <w:sz w:val="24"/>
          <w:szCs w:val="24"/>
          <w:vertAlign w:val="baseline"/>
        </w:rPr>
      </w:pPr>
    </w:p>
    <w:p w14:paraId="65C9AFCD" w14:textId="2031D321" w:rsidR="00AF4381" w:rsidRPr="00AF4381" w:rsidRDefault="00AF4381" w:rsidP="009E5A67">
      <w:pPr>
        <w:spacing w:line="480" w:lineRule="auto"/>
        <w:ind w:firstLine="720"/>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Hood</w:t>
      </w:r>
      <w:r w:rsidRPr="00AF4381">
        <w:rPr>
          <w:rFonts w:ascii="Times New Roman" w:hAnsi="Times New Roman" w:cs="Times New Roman"/>
          <w:sz w:val="24"/>
          <w:szCs w:val="24"/>
        </w:rPr>
        <w:footnoteReference w:id="123"/>
      </w:r>
      <w:r w:rsidRPr="00AF4381">
        <w:rPr>
          <w:rFonts w:ascii="Times New Roman" w:hAnsi="Times New Roman" w:cs="Times New Roman"/>
          <w:sz w:val="24"/>
          <w:szCs w:val="24"/>
          <w:vertAlign w:val="baseline"/>
        </w:rPr>
        <w:t xml:space="preserve"> restricts superstition into two main categories; religious supernatural beliefs, which encompasses Planer’s three categories, the world of spirits, magic and religion; and secular supernatural beliefs, to include ESP, telepathy and those contained in Planer’s first category, prediction of the future. This </w:t>
      </w:r>
      <w:r w:rsidR="00E77715" w:rsidRPr="00AF4381">
        <w:rPr>
          <w:rFonts w:ascii="Times New Roman" w:hAnsi="Times New Roman" w:cs="Times New Roman"/>
          <w:sz w:val="24"/>
          <w:szCs w:val="24"/>
          <w:vertAlign w:val="baseline"/>
        </w:rPr>
        <w:t>categorisation</w:t>
      </w:r>
      <w:r w:rsidRPr="00AF4381">
        <w:rPr>
          <w:rFonts w:ascii="Times New Roman" w:hAnsi="Times New Roman" w:cs="Times New Roman"/>
          <w:sz w:val="24"/>
          <w:szCs w:val="24"/>
          <w:vertAlign w:val="baseline"/>
        </w:rPr>
        <w:t xml:space="preserve"> is certainly more workable, allowing the relationships between religious supernatural beliefs to remain, whilst making the clear distinction between religious and secular beliefs. It is important to note that within both categorisations, the distinction is clearly made between superstitious beliefs and religious beliefs. As highlighted by Hood, ‘all religions are based on supernatural beliefs, but not all supernatural beliefs are based on religion.’</w:t>
      </w:r>
      <w:r w:rsidRPr="00AF4381">
        <w:rPr>
          <w:rFonts w:ascii="Times New Roman" w:hAnsi="Times New Roman" w:cs="Times New Roman"/>
          <w:sz w:val="24"/>
          <w:szCs w:val="24"/>
        </w:rPr>
        <w:footnoteReference w:id="124"/>
      </w:r>
      <w:r w:rsidR="00E77715">
        <w:rPr>
          <w:rFonts w:ascii="Times New Roman" w:hAnsi="Times New Roman" w:cs="Times New Roman"/>
          <w:sz w:val="24"/>
          <w:szCs w:val="24"/>
          <w:vertAlign w:val="baseline"/>
        </w:rPr>
        <w:t xml:space="preserve"> </w:t>
      </w:r>
      <w:r w:rsidRPr="00AF4381">
        <w:rPr>
          <w:rFonts w:ascii="Times New Roman" w:hAnsi="Times New Roman" w:cs="Times New Roman"/>
          <w:sz w:val="24"/>
          <w:szCs w:val="24"/>
          <w:vertAlign w:val="baseline"/>
        </w:rPr>
        <w:t>This distinction becomes necessary when analysing each type of superstition. Religious supernatural beliefs are considered sacrosanct and largely unchallengeable, due to their belief in entities, such as witches, spirits and Gods. As these are not real in terms of measurable material existence, it is argued that such beliefs are beyond the realm of scientific analysis due to their ‘miraculous’ properties.</w:t>
      </w:r>
      <w:r w:rsidRPr="00AF4381">
        <w:rPr>
          <w:rFonts w:ascii="Times New Roman" w:hAnsi="Times New Roman" w:cs="Times New Roman"/>
          <w:sz w:val="24"/>
          <w:szCs w:val="24"/>
        </w:rPr>
        <w:footnoteReference w:id="125"/>
      </w:r>
      <w:r w:rsidRPr="00AF4381">
        <w:rPr>
          <w:rFonts w:ascii="Times New Roman" w:hAnsi="Times New Roman" w:cs="Times New Roman"/>
          <w:sz w:val="24"/>
          <w:szCs w:val="24"/>
          <w:vertAlign w:val="baseline"/>
        </w:rPr>
        <w:t xml:space="preserve"> Conversely, many secular supernatural beliefs have been scientifically studied, and, generally rejected by conventional science.</w:t>
      </w:r>
      <w:r w:rsidRPr="00AF4381">
        <w:rPr>
          <w:rFonts w:ascii="Times New Roman" w:hAnsi="Times New Roman" w:cs="Times New Roman"/>
          <w:sz w:val="24"/>
          <w:szCs w:val="24"/>
        </w:rPr>
        <w:footnoteReference w:id="126"/>
      </w:r>
      <w:r w:rsidRPr="00AF4381">
        <w:rPr>
          <w:rFonts w:ascii="Times New Roman" w:hAnsi="Times New Roman" w:cs="Times New Roman"/>
          <w:sz w:val="24"/>
          <w:szCs w:val="24"/>
          <w:vertAlign w:val="baseline"/>
        </w:rPr>
        <w:t xml:space="preserve"> Utilising the categories laid down by Hood, witchcraft can be positioned within the scope of religious supernatural beliefs. As observed by Stark, ‘In the beginning, the Church used the term “superstition” not only to condemn various forms of magic but also in the modern sense that these beliefs and practices were irrational and false.’</w:t>
      </w:r>
      <w:r w:rsidRPr="00AF4381">
        <w:rPr>
          <w:rFonts w:ascii="Times New Roman" w:hAnsi="Times New Roman" w:cs="Times New Roman"/>
          <w:sz w:val="24"/>
          <w:szCs w:val="24"/>
        </w:rPr>
        <w:footnoteReference w:id="127"/>
      </w:r>
      <w:r w:rsidRPr="00AF4381">
        <w:rPr>
          <w:rFonts w:ascii="Times New Roman" w:hAnsi="Times New Roman" w:cs="Times New Roman"/>
          <w:sz w:val="24"/>
          <w:szCs w:val="24"/>
          <w:vertAlign w:val="baseline"/>
        </w:rPr>
        <w:t xml:space="preserve"> Whilst religion plays a substantial role in the existence of superstition, it is important to note other reasons for the existence of superstitious belief, for example societal and cultural e</w:t>
      </w:r>
      <w:r w:rsidR="00F96B0B">
        <w:rPr>
          <w:rFonts w:ascii="Times New Roman" w:hAnsi="Times New Roman" w:cs="Times New Roman"/>
          <w:sz w:val="24"/>
          <w:szCs w:val="24"/>
          <w:vertAlign w:val="baseline"/>
        </w:rPr>
        <w:t>lements. As discussed in chapter three</w:t>
      </w:r>
      <w:r w:rsidRPr="00AF4381">
        <w:rPr>
          <w:rFonts w:ascii="Times New Roman" w:hAnsi="Times New Roman" w:cs="Times New Roman"/>
          <w:sz w:val="24"/>
          <w:szCs w:val="24"/>
          <w:vertAlign w:val="baseline"/>
        </w:rPr>
        <w:t>,</w:t>
      </w:r>
      <w:r w:rsidRPr="00AF4381">
        <w:rPr>
          <w:rFonts w:ascii="Times New Roman" w:hAnsi="Times New Roman" w:cs="Times New Roman"/>
          <w:sz w:val="24"/>
          <w:szCs w:val="24"/>
        </w:rPr>
        <w:footnoteReference w:id="128"/>
      </w:r>
      <w:r w:rsidRPr="00AF4381">
        <w:rPr>
          <w:rFonts w:ascii="Times New Roman" w:hAnsi="Times New Roman" w:cs="Times New Roman"/>
          <w:sz w:val="24"/>
          <w:szCs w:val="24"/>
          <w:vertAlign w:val="baseline"/>
        </w:rPr>
        <w:t xml:space="preserve"> family disputes over property, land rights of women and village/gender/culture conflicts provide other reasons for the re-emergence of witchcraft violence. Culture, similarly, plays a substantial role within the person’s belief. It is logical that where a person grew up and what they have been exposed to, will have influence on the person’s system of beliefs and values. Culture, society and religion are all, therefore, shaped by their social context.</w:t>
      </w:r>
      <w:r w:rsidRPr="00AF4381">
        <w:rPr>
          <w:rFonts w:ascii="Times New Roman" w:hAnsi="Times New Roman" w:cs="Times New Roman"/>
          <w:sz w:val="24"/>
          <w:szCs w:val="24"/>
        </w:rPr>
        <w:footnoteReference w:id="129"/>
      </w:r>
      <w:r w:rsidRPr="00AF4381">
        <w:rPr>
          <w:rFonts w:ascii="Times New Roman" w:hAnsi="Times New Roman" w:cs="Times New Roman"/>
          <w:sz w:val="24"/>
          <w:szCs w:val="24"/>
          <w:vertAlign w:val="baseline"/>
        </w:rPr>
        <w:t xml:space="preserve"> Thus, the same can be said for superstitious beliefs. These concepts wi</w:t>
      </w:r>
      <w:r w:rsidR="00F96B0B">
        <w:rPr>
          <w:rFonts w:ascii="Times New Roman" w:hAnsi="Times New Roman" w:cs="Times New Roman"/>
          <w:sz w:val="24"/>
          <w:szCs w:val="24"/>
          <w:vertAlign w:val="baseline"/>
        </w:rPr>
        <w:t>ll be discussed in more detail</w:t>
      </w:r>
      <w:r w:rsidR="00BF5F9D">
        <w:rPr>
          <w:rFonts w:ascii="Times New Roman" w:hAnsi="Times New Roman" w:cs="Times New Roman"/>
          <w:sz w:val="24"/>
          <w:szCs w:val="24"/>
          <w:vertAlign w:val="baseline"/>
        </w:rPr>
        <w:t xml:space="preserve"> within the subsequent chapter</w:t>
      </w:r>
      <w:r w:rsidRPr="00AF4381">
        <w:rPr>
          <w:rFonts w:ascii="Times New Roman" w:hAnsi="Times New Roman" w:cs="Times New Roman"/>
          <w:sz w:val="24"/>
          <w:szCs w:val="24"/>
          <w:vertAlign w:val="baseline"/>
        </w:rPr>
        <w:t xml:space="preserve"> on witchcraft.</w:t>
      </w:r>
      <w:r w:rsidR="00F96B0B">
        <w:rPr>
          <w:rStyle w:val="FootnoteReference"/>
          <w:rFonts w:ascii="Times New Roman" w:hAnsi="Times New Roman" w:cs="Times New Roman"/>
          <w:sz w:val="24"/>
          <w:szCs w:val="24"/>
        </w:rPr>
        <w:footnoteReference w:id="130"/>
      </w:r>
    </w:p>
    <w:p w14:paraId="056A3AF8" w14:textId="77777777" w:rsidR="00AF4381" w:rsidRPr="00AF4381" w:rsidRDefault="00AF4381" w:rsidP="00AF4381">
      <w:pPr>
        <w:spacing w:line="480" w:lineRule="auto"/>
        <w:jc w:val="both"/>
        <w:rPr>
          <w:rFonts w:ascii="Times New Roman" w:hAnsi="Times New Roman" w:cs="Times New Roman"/>
          <w:b/>
          <w:sz w:val="24"/>
          <w:szCs w:val="24"/>
          <w:u w:val="single"/>
          <w:vertAlign w:val="baseline"/>
        </w:rPr>
      </w:pPr>
    </w:p>
    <w:p w14:paraId="5764FA5C" w14:textId="4D287819" w:rsidR="00AF4381" w:rsidRPr="00897B94" w:rsidRDefault="002D102F" w:rsidP="00AF4381">
      <w:pPr>
        <w:spacing w:line="480" w:lineRule="auto"/>
        <w:jc w:val="both"/>
        <w:rPr>
          <w:rFonts w:ascii="Times New Roman" w:hAnsi="Times New Roman" w:cs="Times New Roman"/>
          <w:b/>
          <w:i/>
          <w:sz w:val="24"/>
          <w:szCs w:val="24"/>
          <w:vertAlign w:val="baseline"/>
        </w:rPr>
      </w:pPr>
      <w:r>
        <w:rPr>
          <w:rFonts w:ascii="Times New Roman" w:hAnsi="Times New Roman" w:cs="Times New Roman"/>
          <w:b/>
          <w:i/>
          <w:sz w:val="24"/>
          <w:szCs w:val="24"/>
          <w:vertAlign w:val="baseline"/>
        </w:rPr>
        <w:t>2</w:t>
      </w:r>
      <w:r w:rsidR="004125B6" w:rsidRPr="00897B94">
        <w:rPr>
          <w:rFonts w:ascii="Times New Roman" w:hAnsi="Times New Roman" w:cs="Times New Roman"/>
          <w:b/>
          <w:i/>
          <w:sz w:val="24"/>
          <w:szCs w:val="24"/>
          <w:vertAlign w:val="baseline"/>
        </w:rPr>
        <w:t>.2.3</w:t>
      </w:r>
      <w:r w:rsidR="00DB5897" w:rsidRPr="00897B94">
        <w:rPr>
          <w:rFonts w:ascii="Times New Roman" w:hAnsi="Times New Roman" w:cs="Times New Roman"/>
          <w:b/>
          <w:i/>
          <w:sz w:val="24"/>
          <w:szCs w:val="24"/>
          <w:vertAlign w:val="baseline"/>
        </w:rPr>
        <w:t xml:space="preserve"> </w:t>
      </w:r>
      <w:r w:rsidR="00AF4381" w:rsidRPr="00897B94">
        <w:rPr>
          <w:rFonts w:ascii="Times New Roman" w:hAnsi="Times New Roman" w:cs="Times New Roman"/>
          <w:b/>
          <w:i/>
          <w:sz w:val="24"/>
          <w:szCs w:val="24"/>
          <w:vertAlign w:val="baseline"/>
        </w:rPr>
        <w:t>The psychological element</w:t>
      </w:r>
    </w:p>
    <w:p w14:paraId="57E57316" w14:textId="3FF68731" w:rsidR="00AF4381" w:rsidRPr="00AF4381" w:rsidRDefault="00AF4381" w:rsidP="00DB5897">
      <w:pPr>
        <w:spacing w:line="480" w:lineRule="auto"/>
        <w:ind w:firstLine="720"/>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As discussed previously, the key distinction between simple irrational beliefs and superstitious belief is fear. Anxiety is mistakenly relieved by the performance of superstitious actions or rituals, through an irrational perception of the causal relationship between action and outcome. Fear is an intrinsic characteristic within all living organisms. As noted by Freud,</w:t>
      </w:r>
      <w:r w:rsidRPr="00AF4381">
        <w:rPr>
          <w:rFonts w:ascii="Times New Roman" w:hAnsi="Times New Roman" w:cs="Times New Roman"/>
          <w:sz w:val="24"/>
          <w:szCs w:val="24"/>
        </w:rPr>
        <w:footnoteReference w:id="131"/>
      </w:r>
      <w:r w:rsidRPr="00AF4381">
        <w:rPr>
          <w:rFonts w:ascii="Times New Roman" w:hAnsi="Times New Roman" w:cs="Times New Roman"/>
          <w:sz w:val="24"/>
          <w:szCs w:val="24"/>
          <w:vertAlign w:val="baseline"/>
        </w:rPr>
        <w:t xml:space="preserve"> living organisms possess two primal instincts, life and death. Within Freud’s ‘life instinct’ are the crucial elements of self-preservation, survival and reproduction. The element we are concerned with here is survival. Fear is the emotional response, which prepares the body to confront danger in its quest for survival. At a subconscious level, fear becomes an accumulation of emotional pressure. The execution of a defensive action, necessary to preserve the chances of survival, consequently relieves this pressure. Whilst this is, undoubtedly, a useful mechanism in terms of biological survival, it becomes inappropriate when used as the basis of superstition. The impetus behind superstitious behaviour is to prevent an adverse outcome. Thus, to link this to the aforementioned categories of superstition, the stimulus behind secular supernatural belief, which seek to discover the future, is fear of the unknown, whereas, the stimulus behind religious supernatural belief, is the fear of hostile forces and of supernatural sanctions.</w:t>
      </w:r>
      <w:r w:rsidRPr="00AF4381">
        <w:rPr>
          <w:rFonts w:ascii="Times New Roman" w:hAnsi="Times New Roman" w:cs="Times New Roman"/>
          <w:sz w:val="24"/>
          <w:szCs w:val="24"/>
        </w:rPr>
        <w:footnoteReference w:id="132"/>
      </w:r>
      <w:r w:rsidRPr="00AF4381">
        <w:rPr>
          <w:rFonts w:ascii="Times New Roman" w:hAnsi="Times New Roman" w:cs="Times New Roman"/>
          <w:sz w:val="24"/>
          <w:szCs w:val="24"/>
          <w:vertAlign w:val="baseline"/>
        </w:rPr>
        <w:t xml:space="preserve"> However, as recognised within the definition of superstition, the belief that provides the relief of superstitious </w:t>
      </w:r>
      <w:r w:rsidR="00DB5897" w:rsidRPr="00AF4381">
        <w:rPr>
          <w:rFonts w:ascii="Times New Roman" w:hAnsi="Times New Roman" w:cs="Times New Roman"/>
          <w:sz w:val="24"/>
          <w:szCs w:val="24"/>
          <w:vertAlign w:val="baseline"/>
        </w:rPr>
        <w:t>anxiety</w:t>
      </w:r>
      <w:r w:rsidRPr="00AF4381">
        <w:rPr>
          <w:rFonts w:ascii="Times New Roman" w:hAnsi="Times New Roman" w:cs="Times New Roman"/>
          <w:sz w:val="24"/>
          <w:szCs w:val="24"/>
          <w:vertAlign w:val="baseline"/>
        </w:rPr>
        <w:t xml:space="preserve"> is based solely on an irrational observation of the causal relationship between action and outcome. Therefore, the defence mechanism becomes ineffectual. Moreover, the fear, which the superstitious behaviour claims to </w:t>
      </w:r>
      <w:r w:rsidR="0000703F" w:rsidRPr="00AF4381">
        <w:rPr>
          <w:rFonts w:ascii="Times New Roman" w:hAnsi="Times New Roman" w:cs="Times New Roman"/>
          <w:sz w:val="24"/>
          <w:szCs w:val="24"/>
          <w:vertAlign w:val="baseline"/>
        </w:rPr>
        <w:t>overcome,</w:t>
      </w:r>
      <w:r w:rsidRPr="00AF4381">
        <w:rPr>
          <w:rFonts w:ascii="Times New Roman" w:hAnsi="Times New Roman" w:cs="Times New Roman"/>
          <w:sz w:val="24"/>
          <w:szCs w:val="24"/>
          <w:vertAlign w:val="baseline"/>
        </w:rPr>
        <w:t xml:space="preserve"> has been, in effect, created by itself in the first place.</w:t>
      </w:r>
      <w:r w:rsidRPr="00AF4381">
        <w:rPr>
          <w:rFonts w:ascii="Times New Roman" w:hAnsi="Times New Roman" w:cs="Times New Roman"/>
          <w:sz w:val="24"/>
          <w:szCs w:val="24"/>
        </w:rPr>
        <w:footnoteReference w:id="133"/>
      </w:r>
      <w:r w:rsidRPr="00AF4381">
        <w:rPr>
          <w:rFonts w:ascii="Times New Roman" w:hAnsi="Times New Roman" w:cs="Times New Roman"/>
          <w:sz w:val="24"/>
          <w:szCs w:val="24"/>
          <w:vertAlign w:val="baseline"/>
        </w:rPr>
        <w:t xml:space="preserve">  Superstition is, therefore, an illusion. However, to those that become a victim of superstition, the fear is very much a life-altering reality. The next section will explore further, the stimulus behind religious and supernatural belief, namely the fear of evil. </w:t>
      </w:r>
    </w:p>
    <w:p w14:paraId="187D00C4" w14:textId="77777777" w:rsidR="00AF4381" w:rsidRPr="00AF4381" w:rsidRDefault="00AF4381" w:rsidP="00AF4381">
      <w:pPr>
        <w:spacing w:line="480" w:lineRule="auto"/>
        <w:jc w:val="both"/>
        <w:rPr>
          <w:rFonts w:ascii="Times New Roman" w:hAnsi="Times New Roman" w:cs="Times New Roman"/>
          <w:sz w:val="24"/>
          <w:szCs w:val="24"/>
          <w:vertAlign w:val="baseline"/>
        </w:rPr>
      </w:pPr>
    </w:p>
    <w:p w14:paraId="0E9316A7" w14:textId="2613A676" w:rsidR="00AF4381" w:rsidRPr="002D102F" w:rsidRDefault="002D102F" w:rsidP="00AF4381">
      <w:pPr>
        <w:spacing w:line="480" w:lineRule="auto"/>
        <w:jc w:val="both"/>
        <w:rPr>
          <w:rFonts w:ascii="Times New Roman" w:hAnsi="Times New Roman" w:cs="Times New Roman"/>
          <w:b/>
          <w:sz w:val="24"/>
          <w:szCs w:val="24"/>
          <w:u w:val="single"/>
          <w:vertAlign w:val="baseline"/>
        </w:rPr>
      </w:pPr>
      <w:r w:rsidRPr="002D102F">
        <w:rPr>
          <w:rFonts w:ascii="Times New Roman" w:hAnsi="Times New Roman" w:cs="Times New Roman"/>
          <w:b/>
          <w:sz w:val="24"/>
          <w:szCs w:val="24"/>
          <w:u w:val="single"/>
          <w:vertAlign w:val="baseline"/>
        </w:rPr>
        <w:t>2</w:t>
      </w:r>
      <w:r w:rsidR="00181684">
        <w:rPr>
          <w:rFonts w:ascii="Times New Roman" w:hAnsi="Times New Roman" w:cs="Times New Roman"/>
          <w:b/>
          <w:sz w:val="24"/>
          <w:szCs w:val="24"/>
          <w:u w:val="single"/>
          <w:vertAlign w:val="baseline"/>
        </w:rPr>
        <w:t>.3</w:t>
      </w:r>
      <w:r w:rsidR="00414304" w:rsidRPr="002D102F">
        <w:rPr>
          <w:rFonts w:ascii="Times New Roman" w:hAnsi="Times New Roman" w:cs="Times New Roman"/>
          <w:b/>
          <w:sz w:val="24"/>
          <w:szCs w:val="24"/>
          <w:u w:val="single"/>
          <w:vertAlign w:val="baseline"/>
        </w:rPr>
        <w:t xml:space="preserve"> </w:t>
      </w:r>
      <w:r>
        <w:rPr>
          <w:rFonts w:ascii="Times New Roman" w:hAnsi="Times New Roman" w:cs="Times New Roman"/>
          <w:b/>
          <w:sz w:val="24"/>
          <w:szCs w:val="24"/>
          <w:u w:val="single"/>
          <w:vertAlign w:val="baseline"/>
        </w:rPr>
        <w:t>EVIL</w:t>
      </w:r>
    </w:p>
    <w:p w14:paraId="3BD8C807" w14:textId="77777777" w:rsidR="00AF4381" w:rsidRDefault="00AF4381" w:rsidP="00313C06">
      <w:pPr>
        <w:spacing w:line="480" w:lineRule="auto"/>
        <w:ind w:firstLine="720"/>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 xml:space="preserve">The Oxford English Dictionary defines evil as, </w:t>
      </w:r>
    </w:p>
    <w:p w14:paraId="00532F8B" w14:textId="77777777" w:rsidR="00480341" w:rsidRPr="00AF4381" w:rsidRDefault="00480341" w:rsidP="002D102F">
      <w:pPr>
        <w:spacing w:line="480" w:lineRule="auto"/>
        <w:jc w:val="both"/>
        <w:rPr>
          <w:rFonts w:ascii="Times New Roman" w:hAnsi="Times New Roman" w:cs="Times New Roman"/>
          <w:sz w:val="24"/>
          <w:szCs w:val="24"/>
          <w:vertAlign w:val="baseline"/>
        </w:rPr>
      </w:pPr>
    </w:p>
    <w:p w14:paraId="41DB23BF" w14:textId="751CF350" w:rsidR="00AF4381" w:rsidRDefault="00AF4381" w:rsidP="00E814A9">
      <w:pPr>
        <w:spacing w:line="480" w:lineRule="auto"/>
        <w:ind w:left="720"/>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 The antithesis of good</w:t>
      </w:r>
      <w:r w:rsidR="00A7511E" w:rsidRPr="00AF4381">
        <w:rPr>
          <w:rFonts w:ascii="Times New Roman" w:hAnsi="Times New Roman" w:cs="Times New Roman"/>
          <w:sz w:val="24"/>
          <w:szCs w:val="24"/>
          <w:vertAlign w:val="baseline"/>
        </w:rPr>
        <w:t xml:space="preserve"> </w:t>
      </w:r>
      <w:r w:rsidRPr="00AF4381">
        <w:rPr>
          <w:rFonts w:ascii="Times New Roman" w:hAnsi="Times New Roman" w:cs="Times New Roman"/>
          <w:sz w:val="24"/>
          <w:szCs w:val="24"/>
          <w:vertAlign w:val="baseline"/>
        </w:rPr>
        <w:t xml:space="preserve">in all its principal senses. </w:t>
      </w:r>
      <w:r w:rsidRPr="00AF4381">
        <w:rPr>
          <w:rFonts w:ascii="Times New Roman" w:hAnsi="Times New Roman" w:cs="Times New Roman"/>
          <w:bCs/>
          <w:sz w:val="24"/>
          <w:szCs w:val="24"/>
          <w:vertAlign w:val="baseline"/>
        </w:rPr>
        <w:t>1.</w:t>
      </w:r>
      <w:r w:rsidRPr="00AF4381">
        <w:rPr>
          <w:rFonts w:ascii="Times New Roman" w:hAnsi="Times New Roman" w:cs="Times New Roman"/>
          <w:sz w:val="24"/>
          <w:szCs w:val="24"/>
          <w:vertAlign w:val="baseline"/>
        </w:rPr>
        <w:t xml:space="preserve"> Morally depraved, bad, wicked, vicious. </w:t>
      </w:r>
      <w:r w:rsidRPr="00AF4381">
        <w:rPr>
          <w:rFonts w:ascii="Times New Roman" w:hAnsi="Times New Roman" w:cs="Times New Roman"/>
          <w:bCs/>
          <w:sz w:val="24"/>
          <w:szCs w:val="24"/>
          <w:vertAlign w:val="baseline"/>
        </w:rPr>
        <w:t>2.</w:t>
      </w:r>
      <w:r w:rsidRPr="00AF4381">
        <w:rPr>
          <w:rFonts w:ascii="Times New Roman" w:hAnsi="Times New Roman" w:cs="Times New Roman"/>
          <w:sz w:val="24"/>
          <w:szCs w:val="24"/>
          <w:vertAlign w:val="baseline"/>
        </w:rPr>
        <w:t xml:space="preserve"> Doing or tending to do harm; hurtful, mischievous, prejudicial. </w:t>
      </w:r>
      <w:r w:rsidRPr="00AF4381">
        <w:rPr>
          <w:rFonts w:ascii="Times New Roman" w:hAnsi="Times New Roman" w:cs="Times New Roman"/>
          <w:bCs/>
          <w:sz w:val="24"/>
          <w:szCs w:val="24"/>
          <w:vertAlign w:val="baseline"/>
        </w:rPr>
        <w:t>3.</w:t>
      </w:r>
      <w:r w:rsidRPr="00AF4381">
        <w:rPr>
          <w:rFonts w:ascii="Times New Roman" w:hAnsi="Times New Roman" w:cs="Times New Roman"/>
          <w:sz w:val="24"/>
          <w:szCs w:val="24"/>
          <w:vertAlign w:val="baseline"/>
        </w:rPr>
        <w:t> Uses partaking of senses:</w:t>
      </w:r>
      <w:r w:rsidRPr="00AF4381">
        <w:rPr>
          <w:rFonts w:ascii="Times New Roman" w:hAnsi="Times New Roman" w:cs="Times New Roman"/>
          <w:bCs/>
          <w:sz w:val="24"/>
          <w:szCs w:val="24"/>
          <w:vertAlign w:val="baseline"/>
        </w:rPr>
        <w:t xml:space="preserve"> a. evil will</w:t>
      </w:r>
      <w:r w:rsidRPr="00AF4381">
        <w:rPr>
          <w:rFonts w:ascii="Times New Roman" w:hAnsi="Times New Roman" w:cs="Times New Roman"/>
          <w:sz w:val="24"/>
          <w:szCs w:val="24"/>
          <w:vertAlign w:val="baseline"/>
        </w:rPr>
        <w:t> </w:t>
      </w:r>
      <w:r w:rsidRPr="00AF4381">
        <w:rPr>
          <w:rFonts w:ascii="Times New Roman" w:hAnsi="Times New Roman" w:cs="Times New Roman"/>
          <w:i/>
          <w:iCs/>
          <w:sz w:val="24"/>
          <w:szCs w:val="24"/>
          <w:vertAlign w:val="baseline"/>
        </w:rPr>
        <w:t>n.</w:t>
      </w:r>
      <w:r w:rsidRPr="00AF4381">
        <w:rPr>
          <w:rFonts w:ascii="Times New Roman" w:hAnsi="Times New Roman" w:cs="Times New Roman"/>
          <w:sz w:val="24"/>
          <w:szCs w:val="24"/>
          <w:vertAlign w:val="baseline"/>
        </w:rPr>
        <w:t xml:space="preserve"> depraved intention or purpose; also, desire for another's harm; </w:t>
      </w:r>
      <w:r w:rsidRPr="00AF4381">
        <w:rPr>
          <w:rFonts w:ascii="Times New Roman" w:hAnsi="Times New Roman" w:cs="Times New Roman"/>
          <w:bCs/>
          <w:sz w:val="24"/>
          <w:szCs w:val="24"/>
          <w:vertAlign w:val="baseline"/>
        </w:rPr>
        <w:t>b.</w:t>
      </w:r>
      <w:r w:rsidRPr="00AF4381">
        <w:rPr>
          <w:rFonts w:ascii="Times New Roman" w:hAnsi="Times New Roman" w:cs="Times New Roman"/>
          <w:sz w:val="24"/>
          <w:szCs w:val="24"/>
          <w:vertAlign w:val="baseline"/>
        </w:rPr>
        <w:t> </w:t>
      </w:r>
      <w:r w:rsidRPr="00AF4381">
        <w:rPr>
          <w:rFonts w:ascii="Times New Roman" w:hAnsi="Times New Roman" w:cs="Times New Roman"/>
          <w:bCs/>
          <w:i/>
          <w:iCs/>
          <w:sz w:val="24"/>
          <w:szCs w:val="24"/>
          <w:vertAlign w:val="baseline"/>
        </w:rPr>
        <w:t>evil angel, spirit</w:t>
      </w:r>
      <w:r w:rsidRPr="00AF4381">
        <w:rPr>
          <w:rFonts w:ascii="Times New Roman" w:hAnsi="Times New Roman" w:cs="Times New Roman"/>
          <w:sz w:val="24"/>
          <w:szCs w:val="24"/>
          <w:vertAlign w:val="baseline"/>
        </w:rPr>
        <w:t>, etc. </w:t>
      </w:r>
      <w:r w:rsidRPr="00AF4381">
        <w:rPr>
          <w:rFonts w:ascii="Times New Roman" w:hAnsi="Times New Roman" w:cs="Times New Roman"/>
          <w:bCs/>
          <w:i/>
          <w:iCs/>
          <w:sz w:val="24"/>
          <w:szCs w:val="24"/>
          <w:vertAlign w:val="baseline"/>
        </w:rPr>
        <w:t xml:space="preserve">the evil one: </w:t>
      </w:r>
      <w:r w:rsidRPr="00AF4381">
        <w:rPr>
          <w:rFonts w:ascii="Times New Roman" w:hAnsi="Times New Roman" w:cs="Times New Roman"/>
          <w:sz w:val="24"/>
          <w:szCs w:val="24"/>
          <w:vertAlign w:val="baseline"/>
        </w:rPr>
        <w:t>the Devil.</w:t>
      </w:r>
      <w:r w:rsidRPr="00AF4381">
        <w:rPr>
          <w:rFonts w:ascii="Times New Roman" w:hAnsi="Times New Roman" w:cs="Times New Roman"/>
          <w:bCs/>
          <w:sz w:val="24"/>
          <w:szCs w:val="24"/>
          <w:vertAlign w:val="baseline"/>
        </w:rPr>
        <w:t xml:space="preserve"> c.</w:t>
      </w:r>
      <w:r w:rsidRPr="00AF4381">
        <w:rPr>
          <w:rFonts w:ascii="Times New Roman" w:hAnsi="Times New Roman" w:cs="Times New Roman"/>
          <w:sz w:val="24"/>
          <w:szCs w:val="24"/>
          <w:vertAlign w:val="baseline"/>
        </w:rPr>
        <w:t> Of repute or estimation: Unfavourable …</w:t>
      </w:r>
      <w:r w:rsidRPr="00AF4381">
        <w:rPr>
          <w:rFonts w:ascii="Times New Roman" w:hAnsi="Times New Roman" w:cs="Times New Roman"/>
          <w:sz w:val="24"/>
          <w:szCs w:val="24"/>
        </w:rPr>
        <w:footnoteReference w:id="134"/>
      </w:r>
    </w:p>
    <w:p w14:paraId="72AF2BE9" w14:textId="77777777" w:rsidR="00E814A9" w:rsidRPr="00AF4381" w:rsidRDefault="00E814A9" w:rsidP="00E814A9">
      <w:pPr>
        <w:spacing w:line="480" w:lineRule="auto"/>
        <w:ind w:left="720"/>
        <w:jc w:val="both"/>
        <w:rPr>
          <w:rFonts w:ascii="Times New Roman" w:hAnsi="Times New Roman" w:cs="Times New Roman"/>
          <w:sz w:val="24"/>
          <w:szCs w:val="24"/>
          <w:vertAlign w:val="baseline"/>
        </w:rPr>
      </w:pPr>
    </w:p>
    <w:p w14:paraId="3AABE222" w14:textId="10B3264F" w:rsidR="00AF4381" w:rsidRDefault="00AF4381" w:rsidP="00313C06">
      <w:pPr>
        <w:spacing w:line="480" w:lineRule="auto"/>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When referring to the Azande, Evans-Pritchard describes witchcraft as their ‘prototype of all evil.’</w:t>
      </w:r>
      <w:r w:rsidRPr="00AF4381">
        <w:rPr>
          <w:rFonts w:ascii="Times New Roman" w:hAnsi="Times New Roman" w:cs="Times New Roman"/>
          <w:sz w:val="24"/>
          <w:szCs w:val="24"/>
        </w:rPr>
        <w:footnoteReference w:id="135"/>
      </w:r>
      <w:r w:rsidRPr="00AF4381">
        <w:rPr>
          <w:rFonts w:ascii="Times New Roman" w:hAnsi="Times New Roman" w:cs="Times New Roman"/>
          <w:sz w:val="24"/>
          <w:szCs w:val="24"/>
          <w:vertAlign w:val="baseline"/>
        </w:rPr>
        <w:t xml:space="preserve"> As noted above, the definition of evil is rather broad. It can relate to the antithesis of everything good, to extreme fear, destruction and death, whilst also relating to other less significant misfortunes. What is also common, within the definition of evil, is the link to agency, whether this is an evil spirit or the devil himself. However, it remains difficult to be precise as to what exactly epitomises evil, within a variety of differing societal and cultural beliefs and values. What people regard as evil, or good, is fundamentally specific to that individual cultural milieu. It is, therefore, vital to understand the ontology of such societies, before we can fully understand what that specific society classifies as evil. Moreover, we must take into account the link between evil and morality, as it is impossible to examine the bad, without being mindful of what exactly are the boundaries of the good.</w:t>
      </w:r>
      <w:r w:rsidRPr="00AF4381">
        <w:rPr>
          <w:rFonts w:ascii="Times New Roman" w:hAnsi="Times New Roman" w:cs="Times New Roman"/>
          <w:sz w:val="24"/>
          <w:szCs w:val="24"/>
        </w:rPr>
        <w:footnoteReference w:id="136"/>
      </w:r>
      <w:r w:rsidRPr="00AF4381">
        <w:rPr>
          <w:rFonts w:ascii="Times New Roman" w:hAnsi="Times New Roman" w:cs="Times New Roman"/>
          <w:sz w:val="24"/>
          <w:szCs w:val="24"/>
          <w:vertAlign w:val="baseline"/>
        </w:rPr>
        <w:t xml:space="preserve"> However, a full discussion of morality is far beyond the scope of this thesis. It is suggested by Wolfram, that the ‘classic utilitarian version of morality as concerning the greater happiness of most members of a society admirably fits the empirical data available to anthropologists.’</w:t>
      </w:r>
      <w:r w:rsidRPr="00AF4381">
        <w:rPr>
          <w:rFonts w:ascii="Times New Roman" w:hAnsi="Times New Roman" w:cs="Times New Roman"/>
          <w:sz w:val="24"/>
          <w:szCs w:val="24"/>
        </w:rPr>
        <w:footnoteReference w:id="137"/>
      </w:r>
      <w:r w:rsidRPr="00AF4381">
        <w:rPr>
          <w:rFonts w:ascii="Times New Roman" w:hAnsi="Times New Roman" w:cs="Times New Roman"/>
          <w:sz w:val="24"/>
          <w:szCs w:val="24"/>
          <w:vertAlign w:val="baseline"/>
        </w:rPr>
        <w:t xml:space="preserve"> However, as noted by Parkin,</w:t>
      </w:r>
    </w:p>
    <w:p w14:paraId="1253A143" w14:textId="77777777" w:rsidR="00480341" w:rsidRPr="00AF4381" w:rsidRDefault="00480341" w:rsidP="00E814A9">
      <w:pPr>
        <w:spacing w:line="480" w:lineRule="auto"/>
        <w:ind w:firstLine="720"/>
        <w:jc w:val="both"/>
        <w:rPr>
          <w:rFonts w:ascii="Times New Roman" w:hAnsi="Times New Roman" w:cs="Times New Roman"/>
          <w:sz w:val="24"/>
          <w:szCs w:val="24"/>
          <w:vertAlign w:val="baseline"/>
        </w:rPr>
      </w:pPr>
    </w:p>
    <w:p w14:paraId="2E03349B" w14:textId="7082E98C" w:rsidR="00AF4381" w:rsidRDefault="00AF4381" w:rsidP="00E814A9">
      <w:pPr>
        <w:spacing w:line="480" w:lineRule="auto"/>
        <w:ind w:left="720"/>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The approach to the study of evil … is not only a matter of empirical convenience … In the association of evil with human suffering and the negation of happiness, our attempt to understand other people’s ideas of evil draws us into their theories of human nature: its internal constitution and external boundaries; how much is it part of and how much separable from surrounding forces and influences; and how self-determining it is.</w:t>
      </w:r>
      <w:r w:rsidRPr="00AF4381">
        <w:rPr>
          <w:rFonts w:ascii="Times New Roman" w:hAnsi="Times New Roman" w:cs="Times New Roman"/>
          <w:sz w:val="24"/>
          <w:szCs w:val="24"/>
        </w:rPr>
        <w:footnoteReference w:id="138"/>
      </w:r>
    </w:p>
    <w:p w14:paraId="69469F89" w14:textId="77777777" w:rsidR="00E814A9" w:rsidRPr="00AF4381" w:rsidRDefault="00E814A9" w:rsidP="00E814A9">
      <w:pPr>
        <w:spacing w:line="480" w:lineRule="auto"/>
        <w:ind w:left="720"/>
        <w:jc w:val="both"/>
        <w:rPr>
          <w:rFonts w:ascii="Times New Roman" w:hAnsi="Times New Roman" w:cs="Times New Roman"/>
          <w:sz w:val="24"/>
          <w:szCs w:val="24"/>
          <w:vertAlign w:val="baseline"/>
        </w:rPr>
      </w:pPr>
    </w:p>
    <w:p w14:paraId="00871B3C" w14:textId="5A2C6B4B" w:rsidR="00E814A9" w:rsidRPr="00AF4381" w:rsidRDefault="00AF4381" w:rsidP="00E814A9">
      <w:pPr>
        <w:spacing w:line="480" w:lineRule="auto"/>
        <w:ind w:firstLine="720"/>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Evil is a poorly understood phenomenon.</w:t>
      </w:r>
      <w:r w:rsidRPr="00AF4381">
        <w:rPr>
          <w:rFonts w:ascii="Times New Roman" w:hAnsi="Times New Roman" w:cs="Times New Roman"/>
          <w:sz w:val="24"/>
          <w:szCs w:val="24"/>
        </w:rPr>
        <w:footnoteReference w:id="139"/>
      </w:r>
      <w:r w:rsidRPr="00AF4381">
        <w:rPr>
          <w:rFonts w:ascii="Times New Roman" w:hAnsi="Times New Roman" w:cs="Times New Roman"/>
          <w:sz w:val="24"/>
          <w:szCs w:val="24"/>
          <w:vertAlign w:val="baseline"/>
        </w:rPr>
        <w:t xml:space="preserve"> As observed by Vetlesen, ‘either evil is made out to be more enigmatic than it really is, or it is trivialised and robbed of its sting.’</w:t>
      </w:r>
      <w:r w:rsidRPr="00AF4381">
        <w:rPr>
          <w:rFonts w:ascii="Times New Roman" w:hAnsi="Times New Roman" w:cs="Times New Roman"/>
          <w:sz w:val="24"/>
          <w:szCs w:val="24"/>
        </w:rPr>
        <w:footnoteReference w:id="140"/>
      </w:r>
      <w:r w:rsidRPr="00AF4381">
        <w:rPr>
          <w:rFonts w:ascii="Times New Roman" w:hAnsi="Times New Roman" w:cs="Times New Roman"/>
          <w:sz w:val="24"/>
          <w:szCs w:val="24"/>
          <w:vertAlign w:val="baseline"/>
        </w:rPr>
        <w:t xml:space="preserve"> For Vetlesen, to do evil, is to ‘intentionally inflict pain and suffering on another human being, against her will, and causing serious and foreseeable harm to her.’</w:t>
      </w:r>
      <w:r w:rsidRPr="00AF4381">
        <w:rPr>
          <w:rFonts w:ascii="Times New Roman" w:hAnsi="Times New Roman" w:cs="Times New Roman"/>
          <w:sz w:val="24"/>
          <w:szCs w:val="24"/>
        </w:rPr>
        <w:footnoteReference w:id="141"/>
      </w:r>
      <w:r w:rsidRPr="00AF4381">
        <w:rPr>
          <w:rFonts w:ascii="Times New Roman" w:hAnsi="Times New Roman" w:cs="Times New Roman"/>
          <w:sz w:val="24"/>
          <w:szCs w:val="24"/>
          <w:vertAlign w:val="baseline"/>
        </w:rPr>
        <w:t xml:space="preserve"> In his definition, Vetlesen is keen to differentiate between evil and immorality, for the reason that some acts, such as theft, may be considered immoral by way of principle, but they are not necessarily regarded as evil. Evil is a personal perception. The diversity of such perceptions of evil means that it is almost impossible to adequately define the concept. As Russell</w:t>
      </w:r>
      <w:r w:rsidR="008B7EB6">
        <w:rPr>
          <w:rFonts w:ascii="Times New Roman" w:hAnsi="Times New Roman" w:cs="Times New Roman"/>
          <w:sz w:val="24"/>
          <w:szCs w:val="24"/>
        </w:rPr>
        <w:t xml:space="preserve"> </w:t>
      </w:r>
      <w:r w:rsidRPr="00AF4381">
        <w:rPr>
          <w:rFonts w:ascii="Times New Roman" w:hAnsi="Times New Roman" w:cs="Times New Roman"/>
          <w:sz w:val="24"/>
          <w:szCs w:val="24"/>
          <w:vertAlign w:val="baseline"/>
        </w:rPr>
        <w:t xml:space="preserve">explains, </w:t>
      </w:r>
    </w:p>
    <w:p w14:paraId="76E8F56B" w14:textId="55633863" w:rsidR="00AF4381" w:rsidRDefault="00AF4381" w:rsidP="00E814A9">
      <w:pPr>
        <w:spacing w:line="480" w:lineRule="auto"/>
        <w:ind w:left="720"/>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The perception of evil is a direct, immediate experience of something done to an individual. You experience evil immediately done to you; by empathy you experience evil done to those you love, to your friends and neighbours, or even to those you do not know personally at all.</w:t>
      </w:r>
      <w:r w:rsidRPr="00AF4381">
        <w:rPr>
          <w:rFonts w:ascii="Times New Roman" w:hAnsi="Times New Roman" w:cs="Times New Roman"/>
          <w:sz w:val="24"/>
          <w:szCs w:val="24"/>
        </w:rPr>
        <w:footnoteReference w:id="142"/>
      </w:r>
    </w:p>
    <w:p w14:paraId="5A772433" w14:textId="77777777" w:rsidR="00E814A9" w:rsidRPr="00AF4381" w:rsidRDefault="00E814A9" w:rsidP="00E814A9">
      <w:pPr>
        <w:spacing w:line="480" w:lineRule="auto"/>
        <w:ind w:left="720"/>
        <w:jc w:val="both"/>
        <w:rPr>
          <w:rFonts w:ascii="Times New Roman" w:hAnsi="Times New Roman" w:cs="Times New Roman"/>
          <w:sz w:val="24"/>
          <w:szCs w:val="24"/>
          <w:vertAlign w:val="baseline"/>
        </w:rPr>
      </w:pPr>
    </w:p>
    <w:p w14:paraId="621BF684" w14:textId="7E9BD7F2" w:rsidR="00AF4381" w:rsidRDefault="00AF4381" w:rsidP="006D7BBB">
      <w:pPr>
        <w:spacing w:line="480" w:lineRule="auto"/>
        <w:ind w:firstLine="720"/>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As human beings we have always been fascinated by evil. We fictionalize it into books and films. The enduring battle between good and evil forms a staple part of virtually all religions. The earliest concepts of evil were, typically, concerned with natural evil; ‘the evil forces of nature … belong to the archetypal experience of evil: hunger, cold, fire, landslides, snowstorms, drowning [and] storms at sea.’</w:t>
      </w:r>
      <w:r w:rsidRPr="00AF4381">
        <w:rPr>
          <w:rFonts w:ascii="Times New Roman" w:hAnsi="Times New Roman" w:cs="Times New Roman"/>
          <w:sz w:val="24"/>
          <w:szCs w:val="24"/>
        </w:rPr>
        <w:footnoteReference w:id="143"/>
      </w:r>
      <w:r w:rsidRPr="00AF4381">
        <w:rPr>
          <w:rFonts w:ascii="Times New Roman" w:hAnsi="Times New Roman" w:cs="Times New Roman"/>
          <w:sz w:val="24"/>
          <w:szCs w:val="24"/>
          <w:vertAlign w:val="baseline"/>
        </w:rPr>
        <w:t xml:space="preserve"> However, historically, the line between the opposing forces of good and evil was ambiguous; primitive gods were deemed responsible for both creation and destruction and were as unpredictable as the evil forces of nature. Notions of evil are, thus, typically connected with the spiritual and, frequently, to the explicitly religious.</w:t>
      </w:r>
      <w:r w:rsidRPr="00AF4381">
        <w:rPr>
          <w:rFonts w:ascii="Times New Roman" w:hAnsi="Times New Roman" w:cs="Times New Roman"/>
          <w:sz w:val="24"/>
          <w:szCs w:val="24"/>
        </w:rPr>
        <w:footnoteReference w:id="144"/>
      </w:r>
      <w:r w:rsidRPr="00AF4381">
        <w:rPr>
          <w:rFonts w:ascii="Times New Roman" w:hAnsi="Times New Roman" w:cs="Times New Roman"/>
          <w:sz w:val="24"/>
          <w:szCs w:val="24"/>
          <w:vertAlign w:val="baseline"/>
        </w:rPr>
        <w:t xml:space="preserve">  It is interesting when considering the concept of evil within the boundaries of religion. To take the example of the Old Testament god, Yahweh, it is difficult to dispute the malevolence and vengefulness of Yahweh, as described in the book of Numbers. As noted by Gardner,</w:t>
      </w:r>
    </w:p>
    <w:p w14:paraId="2D5E4448" w14:textId="77777777" w:rsidR="00480341" w:rsidRPr="00AF4381" w:rsidRDefault="00480341" w:rsidP="006D7BBB">
      <w:pPr>
        <w:spacing w:line="480" w:lineRule="auto"/>
        <w:ind w:firstLine="720"/>
        <w:jc w:val="both"/>
        <w:rPr>
          <w:rFonts w:ascii="Times New Roman" w:hAnsi="Times New Roman" w:cs="Times New Roman"/>
          <w:sz w:val="24"/>
          <w:szCs w:val="24"/>
          <w:vertAlign w:val="baseline"/>
        </w:rPr>
      </w:pPr>
    </w:p>
    <w:p w14:paraId="65CD0E7A" w14:textId="77777777" w:rsidR="00AF4381" w:rsidRPr="00AF4381" w:rsidRDefault="00AF4381" w:rsidP="007C1A55">
      <w:pPr>
        <w:spacing w:line="480" w:lineRule="auto"/>
        <w:ind w:left="720"/>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Numbers 31 is not only the most infamous chapter of the Bible; it is hard to find its equal in any other sacred book. Moses was ordered by Jehovah to attack all the Midianites. The army killed all the male Midianites … and brought back all the women and children … Moses was dumfounded when he learned that the women had been spared. He told his soldiers to kill all the non-virgin women and male children, but to keep the 32,000 virgin girls for themselves … Jehovah carefully instructed Moses to divide the spoils between the 12,000 soldiers.</w:t>
      </w:r>
      <w:r w:rsidRPr="00AF4381">
        <w:rPr>
          <w:rFonts w:ascii="Times New Roman" w:hAnsi="Times New Roman" w:cs="Times New Roman"/>
          <w:sz w:val="24"/>
          <w:szCs w:val="24"/>
        </w:rPr>
        <w:footnoteReference w:id="145"/>
      </w:r>
    </w:p>
    <w:p w14:paraId="06B14713" w14:textId="77777777" w:rsidR="00AF4381" w:rsidRPr="00AF4381" w:rsidRDefault="00AF4381" w:rsidP="00AF4381">
      <w:pPr>
        <w:spacing w:line="480" w:lineRule="auto"/>
        <w:jc w:val="both"/>
        <w:rPr>
          <w:rFonts w:ascii="Times New Roman" w:hAnsi="Times New Roman" w:cs="Times New Roman"/>
          <w:sz w:val="24"/>
          <w:szCs w:val="24"/>
          <w:vertAlign w:val="baseline"/>
        </w:rPr>
      </w:pPr>
    </w:p>
    <w:p w14:paraId="5A0054D4" w14:textId="77777777" w:rsidR="00AF4381" w:rsidRPr="00AF4381" w:rsidRDefault="00AF4381" w:rsidP="006D7BBB">
      <w:pPr>
        <w:spacing w:line="480" w:lineRule="auto"/>
        <w:ind w:firstLine="720"/>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 xml:space="preserve">Stories like this are far from exceptional. If an ordinary individual had performed such atrocities they would certainly be classified as evil. Yet, within the realms of religion, the words and acts of gods, albeit evil, are somehow justifiable to those believers on the basis that they claim to teach a moral story. </w:t>
      </w:r>
    </w:p>
    <w:p w14:paraId="59C33A4E" w14:textId="77777777" w:rsidR="00AF4381" w:rsidRPr="00AF4381" w:rsidRDefault="00AF4381" w:rsidP="00AF4381">
      <w:pPr>
        <w:spacing w:line="480" w:lineRule="auto"/>
        <w:jc w:val="both"/>
        <w:rPr>
          <w:rFonts w:ascii="Times New Roman" w:hAnsi="Times New Roman" w:cs="Times New Roman"/>
          <w:sz w:val="24"/>
          <w:szCs w:val="24"/>
          <w:vertAlign w:val="baseline"/>
        </w:rPr>
      </w:pPr>
    </w:p>
    <w:p w14:paraId="31A0B4C1" w14:textId="3A995B66" w:rsidR="00AF4381" w:rsidRPr="00AF4381" w:rsidRDefault="00464727" w:rsidP="00AF4381">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2</w:t>
      </w:r>
      <w:r w:rsidR="00181684">
        <w:rPr>
          <w:rFonts w:ascii="Times New Roman" w:hAnsi="Times New Roman" w:cs="Times New Roman"/>
          <w:b/>
          <w:sz w:val="24"/>
          <w:szCs w:val="24"/>
          <w:u w:val="single"/>
          <w:vertAlign w:val="baseline"/>
        </w:rPr>
        <w:t>.4</w:t>
      </w:r>
      <w:r w:rsidR="00725834">
        <w:rPr>
          <w:rFonts w:ascii="Times New Roman" w:hAnsi="Times New Roman" w:cs="Times New Roman"/>
          <w:b/>
          <w:sz w:val="24"/>
          <w:szCs w:val="24"/>
          <w:u w:val="single"/>
          <w:vertAlign w:val="baseline"/>
        </w:rPr>
        <w:t xml:space="preserve"> </w:t>
      </w:r>
      <w:r>
        <w:rPr>
          <w:rFonts w:ascii="Times New Roman" w:hAnsi="Times New Roman" w:cs="Times New Roman"/>
          <w:b/>
          <w:sz w:val="24"/>
          <w:szCs w:val="24"/>
          <w:u w:val="single"/>
          <w:vertAlign w:val="baseline"/>
        </w:rPr>
        <w:t>RELIGIOUS CONNOTATIONS OF EVIL</w:t>
      </w:r>
    </w:p>
    <w:p w14:paraId="7D431199" w14:textId="72A68BE3" w:rsidR="00AF4381" w:rsidRDefault="00AF4381" w:rsidP="006D7BBB">
      <w:pPr>
        <w:spacing w:line="480" w:lineRule="auto"/>
        <w:ind w:firstLine="720"/>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 xml:space="preserve">Theodicy is the term designated to the study of evil within religion. Within </w:t>
      </w:r>
      <w:r w:rsidR="009D194F">
        <w:rPr>
          <w:rFonts w:ascii="Times New Roman" w:hAnsi="Times New Roman" w:cs="Times New Roman"/>
          <w:sz w:val="24"/>
          <w:szCs w:val="24"/>
          <w:vertAlign w:val="baseline"/>
        </w:rPr>
        <w:t xml:space="preserve">religion, evil is portrayed </w:t>
      </w:r>
      <w:r w:rsidR="00313C06">
        <w:rPr>
          <w:rFonts w:ascii="Times New Roman" w:hAnsi="Times New Roman" w:cs="Times New Roman"/>
          <w:sz w:val="24"/>
          <w:szCs w:val="24"/>
          <w:vertAlign w:val="baseline"/>
        </w:rPr>
        <w:t>in</w:t>
      </w:r>
      <w:r w:rsidRPr="00AF4381">
        <w:rPr>
          <w:rFonts w:ascii="Times New Roman" w:hAnsi="Times New Roman" w:cs="Times New Roman"/>
          <w:sz w:val="24"/>
          <w:szCs w:val="24"/>
          <w:vertAlign w:val="baseline"/>
        </w:rPr>
        <w:t xml:space="preserve"> a variety of different ways. However, there are three key beliefs, dependent on whether the religion is pantheistic,</w:t>
      </w:r>
      <w:r w:rsidRPr="00AF4381">
        <w:rPr>
          <w:rFonts w:ascii="Times New Roman" w:hAnsi="Times New Roman" w:cs="Times New Roman"/>
          <w:sz w:val="24"/>
          <w:szCs w:val="24"/>
        </w:rPr>
        <w:footnoteReference w:id="146"/>
      </w:r>
      <w:r w:rsidRPr="00AF4381">
        <w:rPr>
          <w:rFonts w:ascii="Times New Roman" w:hAnsi="Times New Roman" w:cs="Times New Roman"/>
          <w:sz w:val="24"/>
          <w:szCs w:val="24"/>
          <w:vertAlign w:val="baseline"/>
        </w:rPr>
        <w:t xml:space="preserve"> polytheistic,</w:t>
      </w:r>
      <w:r w:rsidRPr="00AF4381">
        <w:rPr>
          <w:rFonts w:ascii="Times New Roman" w:hAnsi="Times New Roman" w:cs="Times New Roman"/>
          <w:sz w:val="24"/>
          <w:szCs w:val="24"/>
        </w:rPr>
        <w:footnoteReference w:id="147"/>
      </w:r>
      <w:r w:rsidRPr="00AF4381">
        <w:rPr>
          <w:rFonts w:ascii="Times New Roman" w:hAnsi="Times New Roman" w:cs="Times New Roman"/>
          <w:sz w:val="24"/>
          <w:szCs w:val="24"/>
          <w:vertAlign w:val="baseline"/>
        </w:rPr>
        <w:t xml:space="preserve"> dualistic</w:t>
      </w:r>
      <w:r w:rsidRPr="00AF4381">
        <w:rPr>
          <w:rFonts w:ascii="Times New Roman" w:hAnsi="Times New Roman" w:cs="Times New Roman"/>
          <w:sz w:val="24"/>
          <w:szCs w:val="24"/>
        </w:rPr>
        <w:footnoteReference w:id="148"/>
      </w:r>
      <w:r w:rsidRPr="00AF4381">
        <w:rPr>
          <w:rFonts w:ascii="Times New Roman" w:hAnsi="Times New Roman" w:cs="Times New Roman"/>
          <w:sz w:val="24"/>
          <w:szCs w:val="24"/>
          <w:vertAlign w:val="baseline"/>
        </w:rPr>
        <w:t xml:space="preserve"> or monotheistic.</w:t>
      </w:r>
      <w:r w:rsidRPr="00AF4381">
        <w:rPr>
          <w:rFonts w:ascii="Times New Roman" w:hAnsi="Times New Roman" w:cs="Times New Roman"/>
          <w:sz w:val="24"/>
          <w:szCs w:val="24"/>
        </w:rPr>
        <w:footnoteReference w:id="149"/>
      </w:r>
      <w:r w:rsidRPr="00AF4381">
        <w:rPr>
          <w:rFonts w:ascii="Times New Roman" w:hAnsi="Times New Roman" w:cs="Times New Roman"/>
          <w:sz w:val="24"/>
          <w:szCs w:val="24"/>
          <w:vertAlign w:val="baseline"/>
        </w:rPr>
        <w:t xml:space="preserve"> As observed by Valea,</w:t>
      </w:r>
    </w:p>
    <w:p w14:paraId="146E42A5" w14:textId="77777777" w:rsidR="00480341" w:rsidRPr="00AF4381" w:rsidRDefault="00480341" w:rsidP="006D7BBB">
      <w:pPr>
        <w:spacing w:line="480" w:lineRule="auto"/>
        <w:ind w:firstLine="720"/>
        <w:jc w:val="both"/>
        <w:rPr>
          <w:rFonts w:ascii="Times New Roman" w:hAnsi="Times New Roman" w:cs="Times New Roman"/>
          <w:sz w:val="24"/>
          <w:szCs w:val="24"/>
          <w:vertAlign w:val="baseline"/>
        </w:rPr>
      </w:pPr>
    </w:p>
    <w:p w14:paraId="11071159" w14:textId="77777777" w:rsidR="00AF4381" w:rsidRPr="00AF4381" w:rsidRDefault="00AF4381" w:rsidP="000E07A1">
      <w:pPr>
        <w:spacing w:line="480" w:lineRule="auto"/>
        <w:ind w:left="720"/>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Pantheistic [and polytheistic] religions regard evil as ultimately unreal. Human suffering is a product of spiritual ignorance gathered in previous lives and distributed in the present to the dictates of karma. In the dualistic religions, good and evil are two eternal and rival principles … In the monotheistic religions, evil has a personal identity.</w:t>
      </w:r>
      <w:r w:rsidRPr="00AF4381">
        <w:rPr>
          <w:rFonts w:ascii="Times New Roman" w:hAnsi="Times New Roman" w:cs="Times New Roman"/>
          <w:sz w:val="24"/>
          <w:szCs w:val="24"/>
        </w:rPr>
        <w:footnoteReference w:id="150"/>
      </w:r>
    </w:p>
    <w:p w14:paraId="5731330F" w14:textId="77777777" w:rsidR="00AF4381" w:rsidRPr="00AF4381" w:rsidRDefault="00AF4381" w:rsidP="00AF4381">
      <w:pPr>
        <w:spacing w:line="480" w:lineRule="auto"/>
        <w:jc w:val="both"/>
        <w:rPr>
          <w:rFonts w:ascii="Times New Roman" w:hAnsi="Times New Roman" w:cs="Times New Roman"/>
          <w:sz w:val="24"/>
          <w:szCs w:val="24"/>
          <w:vertAlign w:val="baseline"/>
        </w:rPr>
      </w:pPr>
    </w:p>
    <w:p w14:paraId="381E06BB" w14:textId="2EC5F2B4" w:rsidR="006D7BBB" w:rsidRDefault="00AF4381" w:rsidP="000E07A1">
      <w:pPr>
        <w:spacing w:line="480" w:lineRule="auto"/>
        <w:ind w:firstLine="720"/>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In order to analyse the notion of evil it is necessary to examine the differing perceptions of evil within the context of differing religious identities. I will, thus, analyse the concept of evil within the context of the four major world religions, Christianity, Judaism, Islam and Hinduism.</w:t>
      </w:r>
    </w:p>
    <w:p w14:paraId="7AFCBEA6" w14:textId="77777777" w:rsidR="000E07A1" w:rsidRPr="000E07A1" w:rsidRDefault="000E07A1" w:rsidP="000E07A1">
      <w:pPr>
        <w:spacing w:line="480" w:lineRule="auto"/>
        <w:ind w:firstLine="720"/>
        <w:jc w:val="both"/>
        <w:rPr>
          <w:rFonts w:ascii="Times New Roman" w:hAnsi="Times New Roman" w:cs="Times New Roman"/>
          <w:sz w:val="24"/>
          <w:szCs w:val="24"/>
          <w:vertAlign w:val="baseline"/>
        </w:rPr>
      </w:pPr>
    </w:p>
    <w:p w14:paraId="069FB9DF" w14:textId="3E3C5032" w:rsidR="00AF4381" w:rsidRPr="000E07A1" w:rsidRDefault="000E07A1" w:rsidP="00AF4381">
      <w:pPr>
        <w:spacing w:line="480" w:lineRule="auto"/>
        <w:jc w:val="both"/>
        <w:rPr>
          <w:rFonts w:ascii="Times New Roman" w:hAnsi="Times New Roman" w:cs="Times New Roman"/>
          <w:b/>
          <w:i/>
          <w:sz w:val="24"/>
          <w:szCs w:val="24"/>
          <w:vertAlign w:val="baseline"/>
        </w:rPr>
      </w:pPr>
      <w:r w:rsidRPr="000E07A1">
        <w:rPr>
          <w:rFonts w:ascii="Times New Roman" w:hAnsi="Times New Roman" w:cs="Times New Roman"/>
          <w:b/>
          <w:i/>
          <w:sz w:val="24"/>
          <w:szCs w:val="24"/>
          <w:vertAlign w:val="baseline"/>
        </w:rPr>
        <w:t>2</w:t>
      </w:r>
      <w:r w:rsidR="00181684">
        <w:rPr>
          <w:rFonts w:ascii="Times New Roman" w:hAnsi="Times New Roman" w:cs="Times New Roman"/>
          <w:b/>
          <w:i/>
          <w:sz w:val="24"/>
          <w:szCs w:val="24"/>
          <w:vertAlign w:val="baseline"/>
        </w:rPr>
        <w:t>.4</w:t>
      </w:r>
      <w:r w:rsidR="006D7BBB" w:rsidRPr="000E07A1">
        <w:rPr>
          <w:rFonts w:ascii="Times New Roman" w:hAnsi="Times New Roman" w:cs="Times New Roman"/>
          <w:b/>
          <w:i/>
          <w:sz w:val="24"/>
          <w:szCs w:val="24"/>
          <w:vertAlign w:val="baseline"/>
        </w:rPr>
        <w:t xml:space="preserve">.1 </w:t>
      </w:r>
      <w:r w:rsidR="00AF4381" w:rsidRPr="000E07A1">
        <w:rPr>
          <w:rFonts w:ascii="Times New Roman" w:hAnsi="Times New Roman" w:cs="Times New Roman"/>
          <w:b/>
          <w:i/>
          <w:sz w:val="24"/>
          <w:szCs w:val="24"/>
          <w:vertAlign w:val="baseline"/>
        </w:rPr>
        <w:t>Christianity</w:t>
      </w:r>
    </w:p>
    <w:p w14:paraId="242B06BB" w14:textId="3E47D550" w:rsidR="00DB7667" w:rsidRDefault="00AF4381" w:rsidP="00733D8F">
      <w:pPr>
        <w:spacing w:line="480" w:lineRule="auto"/>
        <w:ind w:firstLine="720"/>
        <w:jc w:val="both"/>
        <w:rPr>
          <w:rFonts w:ascii="Times New Roman" w:hAnsi="Times New Roman" w:cs="Times New Roman"/>
          <w:b/>
          <w:sz w:val="24"/>
          <w:szCs w:val="24"/>
          <w:u w:val="single"/>
          <w:vertAlign w:val="baseline"/>
        </w:rPr>
      </w:pPr>
      <w:r w:rsidRPr="00AF4381">
        <w:rPr>
          <w:rFonts w:ascii="Times New Roman" w:hAnsi="Times New Roman" w:cs="Times New Roman"/>
          <w:sz w:val="24"/>
          <w:szCs w:val="24"/>
          <w:vertAlign w:val="baseline"/>
        </w:rPr>
        <w:t>According to the Christian faith, the source of evil is located within the world of angels and is concerned, largely, with the rebellion of one of these angels, Lucifer (angel of light), who, subsequently, became known as Satan through his choice to disobey God and follow the path of self-determination.</w:t>
      </w:r>
      <w:r w:rsidRPr="00AF4381">
        <w:rPr>
          <w:rFonts w:ascii="Times New Roman" w:hAnsi="Times New Roman" w:cs="Times New Roman"/>
          <w:sz w:val="24"/>
          <w:szCs w:val="24"/>
        </w:rPr>
        <w:footnoteReference w:id="151"/>
      </w:r>
      <w:r w:rsidRPr="00AF4381">
        <w:rPr>
          <w:rFonts w:ascii="Times New Roman" w:hAnsi="Times New Roman" w:cs="Times New Roman"/>
          <w:sz w:val="24"/>
          <w:szCs w:val="24"/>
          <w:vertAlign w:val="baseline"/>
        </w:rPr>
        <w:t xml:space="preserve"> The Biblical books of Ezekiel</w:t>
      </w:r>
      <w:r w:rsidRPr="00AF4381">
        <w:rPr>
          <w:rFonts w:ascii="Times New Roman" w:hAnsi="Times New Roman" w:cs="Times New Roman"/>
          <w:sz w:val="24"/>
          <w:szCs w:val="24"/>
        </w:rPr>
        <w:footnoteReference w:id="152"/>
      </w:r>
      <w:r w:rsidRPr="00AF4381">
        <w:rPr>
          <w:rFonts w:ascii="Times New Roman" w:hAnsi="Times New Roman" w:cs="Times New Roman"/>
          <w:sz w:val="24"/>
          <w:szCs w:val="24"/>
          <w:vertAlign w:val="baseline"/>
        </w:rPr>
        <w:t xml:space="preserve"> and Isaiah</w:t>
      </w:r>
      <w:r w:rsidRPr="00AF4381">
        <w:rPr>
          <w:rFonts w:ascii="Times New Roman" w:hAnsi="Times New Roman" w:cs="Times New Roman"/>
          <w:sz w:val="24"/>
          <w:szCs w:val="24"/>
        </w:rPr>
        <w:footnoteReference w:id="153"/>
      </w:r>
      <w:r w:rsidRPr="00AF4381">
        <w:rPr>
          <w:rFonts w:ascii="Times New Roman" w:hAnsi="Times New Roman" w:cs="Times New Roman"/>
          <w:sz w:val="24"/>
          <w:szCs w:val="24"/>
          <w:vertAlign w:val="baseline"/>
        </w:rPr>
        <w:t xml:space="preserve"> document the original fall of Lucifer, who was exorcised from heaven, together with all others who colluded in his selfish and rebellious act. As noted by Valea, Lucifer’s choice to ‘follow a selfish way and seek auto-determination … constitutes the origin of evil in the universe.’</w:t>
      </w:r>
      <w:r w:rsidRPr="00AF4381">
        <w:rPr>
          <w:rFonts w:ascii="Times New Roman" w:hAnsi="Times New Roman" w:cs="Times New Roman"/>
          <w:sz w:val="24"/>
          <w:szCs w:val="24"/>
        </w:rPr>
        <w:footnoteReference w:id="154"/>
      </w:r>
      <w:r w:rsidRPr="00AF4381">
        <w:rPr>
          <w:rFonts w:ascii="Times New Roman" w:hAnsi="Times New Roman" w:cs="Times New Roman"/>
          <w:sz w:val="24"/>
          <w:szCs w:val="24"/>
          <w:vertAlign w:val="baseline"/>
        </w:rPr>
        <w:t xml:space="preserve"> Thus, the issue of </w:t>
      </w:r>
      <w:r w:rsidR="00655C14" w:rsidRPr="00AF4381">
        <w:rPr>
          <w:rFonts w:ascii="Times New Roman" w:hAnsi="Times New Roman" w:cs="Times New Roman"/>
          <w:sz w:val="24"/>
          <w:szCs w:val="24"/>
          <w:vertAlign w:val="baseline"/>
        </w:rPr>
        <w:t>free will</w:t>
      </w:r>
      <w:r w:rsidRPr="00AF4381">
        <w:rPr>
          <w:rFonts w:ascii="Times New Roman" w:hAnsi="Times New Roman" w:cs="Times New Roman"/>
          <w:sz w:val="24"/>
          <w:szCs w:val="24"/>
          <w:vertAlign w:val="baseline"/>
        </w:rPr>
        <w:t xml:space="preserve"> is at the crux of the origin of evil. Essentially, evil was not created by God, but by a perversion of the use of free will, against the very reason it was created for. This, in turn, created the doctrine of hell, in which the destiny of Satan, and his followers, is that of a spiritual death, as opposed to the gift of eternal life, to which they were originally destined. The belief in the existence of angels and demons was significantly developed throughout early Christianity and has been particularly adopted by the more recent Christian Pentecostal movement.</w:t>
      </w:r>
      <w:r w:rsidRPr="00AF4381">
        <w:rPr>
          <w:rFonts w:ascii="Times New Roman" w:hAnsi="Times New Roman" w:cs="Times New Roman"/>
          <w:sz w:val="24"/>
          <w:szCs w:val="24"/>
        </w:rPr>
        <w:footnoteReference w:id="155"/>
      </w:r>
      <w:r w:rsidRPr="00AF4381">
        <w:rPr>
          <w:rFonts w:ascii="Times New Roman" w:hAnsi="Times New Roman" w:cs="Times New Roman"/>
          <w:sz w:val="24"/>
          <w:szCs w:val="24"/>
          <w:vertAlign w:val="baseline"/>
        </w:rPr>
        <w:t xml:space="preserve"> </w:t>
      </w:r>
      <w:r w:rsidR="0086470F">
        <w:rPr>
          <w:rFonts w:ascii="Times New Roman" w:hAnsi="Times New Roman" w:cs="Times New Roman"/>
          <w:sz w:val="24"/>
          <w:szCs w:val="24"/>
          <w:vertAlign w:val="baseline"/>
        </w:rPr>
        <w:t>Thus, t</w:t>
      </w:r>
      <w:r w:rsidR="00DB7667">
        <w:rPr>
          <w:rFonts w:ascii="Times New Roman" w:hAnsi="Times New Roman" w:cs="Times New Roman"/>
          <w:sz w:val="24"/>
          <w:szCs w:val="24"/>
          <w:vertAlign w:val="baseline"/>
        </w:rPr>
        <w:t>he rise</w:t>
      </w:r>
      <w:r w:rsidR="0086470F">
        <w:rPr>
          <w:rFonts w:ascii="Times New Roman" w:hAnsi="Times New Roman" w:cs="Times New Roman"/>
          <w:sz w:val="24"/>
          <w:szCs w:val="24"/>
          <w:vertAlign w:val="baseline"/>
        </w:rPr>
        <w:t>,</w:t>
      </w:r>
      <w:r w:rsidR="0086470F" w:rsidRPr="0086470F">
        <w:rPr>
          <w:rFonts w:ascii="Times New Roman" w:hAnsi="Times New Roman" w:cs="Times New Roman"/>
          <w:sz w:val="24"/>
          <w:szCs w:val="24"/>
          <w:vertAlign w:val="baseline"/>
        </w:rPr>
        <w:t xml:space="preserve"> </w:t>
      </w:r>
      <w:r w:rsidR="0086470F">
        <w:rPr>
          <w:rFonts w:ascii="Times New Roman" w:hAnsi="Times New Roman" w:cs="Times New Roman"/>
          <w:sz w:val="24"/>
          <w:szCs w:val="24"/>
          <w:vertAlign w:val="baseline"/>
        </w:rPr>
        <w:t>within the 20</w:t>
      </w:r>
      <w:r w:rsidR="0086470F" w:rsidRPr="00DB7667">
        <w:rPr>
          <w:rFonts w:ascii="Times New Roman" w:hAnsi="Times New Roman" w:cs="Times New Roman"/>
          <w:sz w:val="24"/>
          <w:szCs w:val="24"/>
        </w:rPr>
        <w:t>th</w:t>
      </w:r>
      <w:r w:rsidR="0086470F">
        <w:rPr>
          <w:rFonts w:ascii="Times New Roman" w:hAnsi="Times New Roman" w:cs="Times New Roman"/>
          <w:sz w:val="24"/>
          <w:szCs w:val="24"/>
          <w:vertAlign w:val="baseline"/>
        </w:rPr>
        <w:t xml:space="preserve"> century,</w:t>
      </w:r>
      <w:r w:rsidR="00DB7667">
        <w:rPr>
          <w:rFonts w:ascii="Times New Roman" w:hAnsi="Times New Roman" w:cs="Times New Roman"/>
          <w:sz w:val="24"/>
          <w:szCs w:val="24"/>
          <w:vertAlign w:val="baseline"/>
        </w:rPr>
        <w:t xml:space="preserve"> of the Christian Pentecostal movement, with their focus on miracles, divine healing and the Devil, has</w:t>
      </w:r>
      <w:r w:rsidR="0086470F">
        <w:rPr>
          <w:rFonts w:ascii="Times New Roman" w:hAnsi="Times New Roman" w:cs="Times New Roman"/>
          <w:sz w:val="24"/>
          <w:szCs w:val="24"/>
          <w:vertAlign w:val="baseline"/>
        </w:rPr>
        <w:t>, as discussed further in chapter three,</w:t>
      </w:r>
      <w:r w:rsidR="0086470F">
        <w:rPr>
          <w:rStyle w:val="FootnoteReference"/>
          <w:rFonts w:ascii="Times New Roman" w:hAnsi="Times New Roman" w:cs="Times New Roman"/>
          <w:sz w:val="24"/>
          <w:szCs w:val="24"/>
        </w:rPr>
        <w:footnoteReference w:id="156"/>
      </w:r>
      <w:r w:rsidR="00DB7667">
        <w:rPr>
          <w:rFonts w:ascii="Times New Roman" w:hAnsi="Times New Roman" w:cs="Times New Roman"/>
          <w:sz w:val="24"/>
          <w:szCs w:val="24"/>
          <w:vertAlign w:val="baseline"/>
        </w:rPr>
        <w:t xml:space="preserve"> brought the belief in witchcraft back into the contemporary society. </w:t>
      </w:r>
      <w:r w:rsidRPr="00AF4381">
        <w:rPr>
          <w:rFonts w:ascii="Times New Roman" w:hAnsi="Times New Roman" w:cs="Times New Roman"/>
          <w:sz w:val="24"/>
          <w:szCs w:val="24"/>
          <w:vertAlign w:val="baseline"/>
        </w:rPr>
        <w:t>Due to the very nature of the association with the fall of Lucifer, evil, within Christianity, becomes anthropomorphic. This is clearly depicted in the story of creation, in Genesis,</w:t>
      </w:r>
      <w:r w:rsidRPr="00AF4381">
        <w:rPr>
          <w:rFonts w:ascii="Times New Roman" w:hAnsi="Times New Roman" w:cs="Times New Roman"/>
          <w:sz w:val="24"/>
          <w:szCs w:val="24"/>
        </w:rPr>
        <w:footnoteReference w:id="157"/>
      </w:r>
      <w:r w:rsidR="007E4437" w:rsidRPr="00AF4381">
        <w:rPr>
          <w:rFonts w:ascii="Times New Roman" w:hAnsi="Times New Roman" w:cs="Times New Roman"/>
          <w:sz w:val="24"/>
          <w:szCs w:val="24"/>
          <w:vertAlign w:val="baseline"/>
        </w:rPr>
        <w:t xml:space="preserve"> where</w:t>
      </w:r>
      <w:r w:rsidRPr="00AF4381">
        <w:rPr>
          <w:rFonts w:ascii="Times New Roman" w:hAnsi="Times New Roman" w:cs="Times New Roman"/>
          <w:sz w:val="24"/>
          <w:szCs w:val="24"/>
          <w:vertAlign w:val="baseline"/>
        </w:rPr>
        <w:t xml:space="preserve"> Satan metamorphoses himself into a serpent, in order to lead mankind into temptation. Thus, Adam and Eve's disobedience to God, when they succumbed to the temptation of Satan, by eating the forbidden fruit in the Garden of Eden, created the Doctrine of Original Sin, whereby everyone is born sinful and can only be redeemed by the grace of God. There are further numerous biblical accounts, of Jesus</w:t>
      </w:r>
      <w:r w:rsidRPr="00AF4381">
        <w:rPr>
          <w:rFonts w:ascii="Times New Roman" w:hAnsi="Times New Roman" w:cs="Times New Roman"/>
          <w:sz w:val="24"/>
          <w:szCs w:val="24"/>
        </w:rPr>
        <w:footnoteReference w:id="158"/>
      </w:r>
      <w:r w:rsidRPr="00AF4381">
        <w:rPr>
          <w:rFonts w:ascii="Times New Roman" w:hAnsi="Times New Roman" w:cs="Times New Roman"/>
          <w:sz w:val="24"/>
          <w:szCs w:val="24"/>
          <w:vertAlign w:val="baseline"/>
        </w:rPr>
        <w:t xml:space="preserve"> and the apostles</w:t>
      </w:r>
      <w:r w:rsidRPr="00AF4381">
        <w:rPr>
          <w:rFonts w:ascii="Times New Roman" w:hAnsi="Times New Roman" w:cs="Times New Roman"/>
          <w:sz w:val="24"/>
          <w:szCs w:val="24"/>
        </w:rPr>
        <w:footnoteReference w:id="159"/>
      </w:r>
      <w:r w:rsidRPr="00AF4381">
        <w:rPr>
          <w:rFonts w:ascii="Times New Roman" w:hAnsi="Times New Roman" w:cs="Times New Roman"/>
          <w:sz w:val="24"/>
          <w:szCs w:val="24"/>
          <w:vertAlign w:val="baseline"/>
        </w:rPr>
        <w:t xml:space="preserve"> speaking directly to Satan. This personification of </w:t>
      </w:r>
      <w:r w:rsidR="007E4437" w:rsidRPr="00AF4381">
        <w:rPr>
          <w:rFonts w:ascii="Times New Roman" w:hAnsi="Times New Roman" w:cs="Times New Roman"/>
          <w:sz w:val="24"/>
          <w:szCs w:val="24"/>
          <w:vertAlign w:val="baseline"/>
        </w:rPr>
        <w:t>evil</w:t>
      </w:r>
      <w:r w:rsidRPr="00AF4381">
        <w:rPr>
          <w:rFonts w:ascii="Times New Roman" w:hAnsi="Times New Roman" w:cs="Times New Roman"/>
          <w:sz w:val="24"/>
          <w:szCs w:val="24"/>
          <w:vertAlign w:val="baseline"/>
        </w:rPr>
        <w:t xml:space="preserve"> is crucial to the witchcraft discourse and will be discussed later in more detail. </w:t>
      </w:r>
    </w:p>
    <w:p w14:paraId="4830E87D" w14:textId="77777777" w:rsidR="00182684" w:rsidRDefault="00182684" w:rsidP="00AF4381">
      <w:pPr>
        <w:spacing w:line="480" w:lineRule="auto"/>
        <w:jc w:val="both"/>
        <w:rPr>
          <w:rFonts w:ascii="Times New Roman" w:hAnsi="Times New Roman" w:cs="Times New Roman"/>
          <w:b/>
          <w:sz w:val="24"/>
          <w:szCs w:val="24"/>
          <w:u w:val="single"/>
          <w:vertAlign w:val="baseline"/>
        </w:rPr>
      </w:pPr>
    </w:p>
    <w:p w14:paraId="7A85463E" w14:textId="0A05CA63" w:rsidR="00AF4381" w:rsidRPr="000E07A1" w:rsidRDefault="000E07A1" w:rsidP="00AF4381">
      <w:pPr>
        <w:spacing w:line="480" w:lineRule="auto"/>
        <w:jc w:val="both"/>
        <w:rPr>
          <w:rFonts w:ascii="Times New Roman" w:hAnsi="Times New Roman" w:cs="Times New Roman"/>
          <w:b/>
          <w:i/>
          <w:sz w:val="24"/>
          <w:szCs w:val="24"/>
          <w:vertAlign w:val="baseline"/>
        </w:rPr>
      </w:pPr>
      <w:r w:rsidRPr="000E07A1">
        <w:rPr>
          <w:rFonts w:ascii="Times New Roman" w:hAnsi="Times New Roman" w:cs="Times New Roman"/>
          <w:b/>
          <w:i/>
          <w:sz w:val="24"/>
          <w:szCs w:val="24"/>
          <w:vertAlign w:val="baseline"/>
        </w:rPr>
        <w:t>2</w:t>
      </w:r>
      <w:r w:rsidR="00181684">
        <w:rPr>
          <w:rFonts w:ascii="Times New Roman" w:hAnsi="Times New Roman" w:cs="Times New Roman"/>
          <w:b/>
          <w:i/>
          <w:sz w:val="24"/>
          <w:szCs w:val="24"/>
          <w:vertAlign w:val="baseline"/>
        </w:rPr>
        <w:t>.4</w:t>
      </w:r>
      <w:r w:rsidR="007E4437" w:rsidRPr="000E07A1">
        <w:rPr>
          <w:rFonts w:ascii="Times New Roman" w:hAnsi="Times New Roman" w:cs="Times New Roman"/>
          <w:b/>
          <w:i/>
          <w:sz w:val="24"/>
          <w:szCs w:val="24"/>
          <w:vertAlign w:val="baseline"/>
        </w:rPr>
        <w:t xml:space="preserve">.2 </w:t>
      </w:r>
      <w:r w:rsidR="00AF4381" w:rsidRPr="000E07A1">
        <w:rPr>
          <w:rFonts w:ascii="Times New Roman" w:hAnsi="Times New Roman" w:cs="Times New Roman"/>
          <w:b/>
          <w:i/>
          <w:sz w:val="24"/>
          <w:szCs w:val="24"/>
          <w:vertAlign w:val="baseline"/>
        </w:rPr>
        <w:t>Judaism</w:t>
      </w:r>
    </w:p>
    <w:p w14:paraId="65E4A551" w14:textId="45CA35A1" w:rsidR="00AF4381" w:rsidRPr="00AF4381" w:rsidRDefault="00AF4381" w:rsidP="007E4437">
      <w:pPr>
        <w:spacing w:line="480" w:lineRule="auto"/>
        <w:ind w:firstLine="720"/>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 xml:space="preserve">Due to the crossover between Christianity and Judaism in the Hebrew Bible (Old Testament), the origin of evil with Judaism is akin to the fall of Lucifer, as described within the Christian faith. However, the myths of original sin and the fall of </w:t>
      </w:r>
      <w:r w:rsidR="0000703F" w:rsidRPr="00AF4381">
        <w:rPr>
          <w:rFonts w:ascii="Times New Roman" w:hAnsi="Times New Roman" w:cs="Times New Roman"/>
          <w:sz w:val="24"/>
          <w:szCs w:val="24"/>
          <w:vertAlign w:val="baseline"/>
        </w:rPr>
        <w:t>Lucifer</w:t>
      </w:r>
      <w:r w:rsidRPr="00AF4381">
        <w:rPr>
          <w:rFonts w:ascii="Times New Roman" w:hAnsi="Times New Roman" w:cs="Times New Roman"/>
          <w:sz w:val="24"/>
          <w:szCs w:val="24"/>
          <w:vertAlign w:val="baseline"/>
        </w:rPr>
        <w:t xml:space="preserve"> were not developed within the Hebrew Bible. Thus, whilst these two doctrines, together with the belief in the existence of angels and demons were significantly developed throughout the Christian faith, the ‘origin of evil remains an area of thought that is largely undiscussed in the Hebrew Bible and so is shrouded in mystery.’</w:t>
      </w:r>
      <w:r w:rsidRPr="00AF4381">
        <w:rPr>
          <w:rFonts w:ascii="Times New Roman" w:hAnsi="Times New Roman" w:cs="Times New Roman"/>
          <w:sz w:val="24"/>
          <w:szCs w:val="24"/>
        </w:rPr>
        <w:footnoteReference w:id="160"/>
      </w:r>
      <w:r w:rsidRPr="00AF4381">
        <w:rPr>
          <w:rFonts w:ascii="Times New Roman" w:hAnsi="Times New Roman" w:cs="Times New Roman"/>
          <w:sz w:val="24"/>
          <w:szCs w:val="24"/>
          <w:vertAlign w:val="baseline"/>
        </w:rPr>
        <w:t xml:space="preserve"> Unlike Christianity, Judaism is not primarily concerned with the continual conflict between good and evil. Moreover, whilst Christianity views Satan as a rebellious angel, who deliberately went against the wishes of God, Judaism believes that Satan was simply performing the task that he was asked to do by God. As noted by Rabbi Louis Jacobs,</w:t>
      </w:r>
    </w:p>
    <w:p w14:paraId="0FA70ABE" w14:textId="77777777" w:rsidR="00AF4381" w:rsidRPr="00AF4381" w:rsidRDefault="00AF4381" w:rsidP="000E07A1">
      <w:pPr>
        <w:spacing w:line="480" w:lineRule="auto"/>
        <w:ind w:left="720"/>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The word Satan simply means an 'adversary' and is used in the Bible of any opponent or enemy, the root meaning of the word being 'to oppose,' with no supernatural overtones. On the whole, it can be said that the figure of Satan does not occupy any prominent role in Jewish theology … In modern Jewish theology, even among the Orthodox, Satan, as a baneful force outside man, is relegated to the background if he is considered at all.</w:t>
      </w:r>
      <w:r w:rsidRPr="00AF4381">
        <w:rPr>
          <w:rFonts w:ascii="Times New Roman" w:hAnsi="Times New Roman" w:cs="Times New Roman"/>
          <w:sz w:val="24"/>
          <w:szCs w:val="24"/>
        </w:rPr>
        <w:footnoteReference w:id="161"/>
      </w:r>
    </w:p>
    <w:p w14:paraId="1653C73C" w14:textId="77777777" w:rsidR="00AF4381" w:rsidRPr="00AF4381" w:rsidRDefault="00AF4381" w:rsidP="00AF4381">
      <w:pPr>
        <w:spacing w:line="480" w:lineRule="auto"/>
        <w:jc w:val="both"/>
        <w:rPr>
          <w:rFonts w:ascii="Times New Roman" w:hAnsi="Times New Roman" w:cs="Times New Roman"/>
          <w:sz w:val="24"/>
          <w:szCs w:val="24"/>
          <w:vertAlign w:val="baseline"/>
        </w:rPr>
      </w:pPr>
    </w:p>
    <w:p w14:paraId="270F02B8" w14:textId="480658E1" w:rsidR="00AF4381" w:rsidRPr="00AF4381" w:rsidRDefault="00AF4381" w:rsidP="00801D48">
      <w:pPr>
        <w:spacing w:line="480" w:lineRule="auto"/>
        <w:ind w:firstLine="720"/>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 xml:space="preserve">In Jewish theology, the response to the mystery of the origin of </w:t>
      </w:r>
      <w:r w:rsidR="00771207" w:rsidRPr="00AF4381">
        <w:rPr>
          <w:rFonts w:ascii="Times New Roman" w:hAnsi="Times New Roman" w:cs="Times New Roman"/>
          <w:sz w:val="24"/>
          <w:szCs w:val="24"/>
          <w:vertAlign w:val="baseline"/>
        </w:rPr>
        <w:t>evil</w:t>
      </w:r>
      <w:r w:rsidRPr="00AF4381">
        <w:rPr>
          <w:rFonts w:ascii="Times New Roman" w:hAnsi="Times New Roman" w:cs="Times New Roman"/>
          <w:sz w:val="24"/>
          <w:szCs w:val="24"/>
          <w:vertAlign w:val="baseline"/>
        </w:rPr>
        <w:t xml:space="preserve"> was the development, by rabbis, of the notion of evil inclination or </w:t>
      </w:r>
      <w:r w:rsidRPr="00AF4381">
        <w:rPr>
          <w:rFonts w:ascii="Times New Roman" w:hAnsi="Times New Roman" w:cs="Times New Roman"/>
          <w:i/>
          <w:sz w:val="24"/>
          <w:szCs w:val="24"/>
          <w:vertAlign w:val="baseline"/>
        </w:rPr>
        <w:t>yetzer hara.</w:t>
      </w:r>
      <w:r w:rsidRPr="00AF4381">
        <w:rPr>
          <w:rFonts w:ascii="Times New Roman" w:hAnsi="Times New Roman" w:cs="Times New Roman"/>
          <w:i/>
          <w:sz w:val="24"/>
          <w:szCs w:val="24"/>
        </w:rPr>
        <w:footnoteReference w:id="162"/>
      </w:r>
      <w:r w:rsidRPr="00AF4381">
        <w:rPr>
          <w:rFonts w:ascii="Times New Roman" w:hAnsi="Times New Roman" w:cs="Times New Roman"/>
          <w:sz w:val="24"/>
          <w:szCs w:val="24"/>
          <w:vertAlign w:val="baseline"/>
        </w:rPr>
        <w:t xml:space="preserve"> Thus, Satan is an allegory for evil, </w:t>
      </w:r>
      <w:r w:rsidR="00801D48" w:rsidRPr="00AF4381">
        <w:rPr>
          <w:rFonts w:ascii="Times New Roman" w:hAnsi="Times New Roman" w:cs="Times New Roman"/>
          <w:sz w:val="24"/>
          <w:szCs w:val="24"/>
          <w:vertAlign w:val="baseline"/>
        </w:rPr>
        <w:t>but</w:t>
      </w:r>
      <w:r w:rsidRPr="00AF4381">
        <w:rPr>
          <w:rFonts w:ascii="Times New Roman" w:hAnsi="Times New Roman" w:cs="Times New Roman"/>
          <w:sz w:val="24"/>
          <w:szCs w:val="24"/>
          <w:vertAlign w:val="baseline"/>
        </w:rPr>
        <w:t xml:space="preserve"> refers to the </w:t>
      </w:r>
      <w:r w:rsidRPr="00AF4381">
        <w:rPr>
          <w:rFonts w:ascii="Times New Roman" w:hAnsi="Times New Roman" w:cs="Times New Roman"/>
          <w:i/>
          <w:sz w:val="24"/>
          <w:szCs w:val="24"/>
          <w:vertAlign w:val="baseline"/>
        </w:rPr>
        <w:t>yetzer hara</w:t>
      </w:r>
      <w:r w:rsidRPr="00AF4381">
        <w:rPr>
          <w:rFonts w:ascii="Times New Roman" w:hAnsi="Times New Roman" w:cs="Times New Roman"/>
          <w:sz w:val="24"/>
          <w:szCs w:val="24"/>
          <w:vertAlign w:val="baseline"/>
        </w:rPr>
        <w:t xml:space="preserve"> that exists within all individuals, specifically, the innate capacity of mankind to perform evil in the world.</w:t>
      </w:r>
      <w:r w:rsidRPr="00AF4381">
        <w:rPr>
          <w:rFonts w:ascii="Times New Roman" w:hAnsi="Times New Roman" w:cs="Times New Roman"/>
          <w:sz w:val="24"/>
          <w:szCs w:val="24"/>
        </w:rPr>
        <w:footnoteReference w:id="163"/>
      </w:r>
      <w:r w:rsidRPr="00AF4381">
        <w:rPr>
          <w:rFonts w:ascii="Times New Roman" w:hAnsi="Times New Roman" w:cs="Times New Roman"/>
          <w:sz w:val="24"/>
          <w:szCs w:val="24"/>
          <w:vertAlign w:val="baseline"/>
        </w:rPr>
        <w:t xml:space="preserve"> </w:t>
      </w:r>
    </w:p>
    <w:p w14:paraId="7997233B" w14:textId="77777777" w:rsidR="00174AA9" w:rsidRDefault="00174AA9" w:rsidP="00AF4381">
      <w:pPr>
        <w:spacing w:line="480" w:lineRule="auto"/>
        <w:jc w:val="both"/>
        <w:rPr>
          <w:rFonts w:ascii="Times New Roman" w:hAnsi="Times New Roman" w:cs="Times New Roman"/>
          <w:b/>
          <w:sz w:val="24"/>
          <w:szCs w:val="24"/>
          <w:u w:val="single"/>
          <w:vertAlign w:val="baseline"/>
        </w:rPr>
      </w:pPr>
    </w:p>
    <w:p w14:paraId="05E80FFC" w14:textId="62BAFB66" w:rsidR="00AF4381" w:rsidRPr="004B0885" w:rsidRDefault="004B0885" w:rsidP="00AF4381">
      <w:pPr>
        <w:spacing w:line="480" w:lineRule="auto"/>
        <w:jc w:val="both"/>
        <w:rPr>
          <w:rFonts w:ascii="Times New Roman" w:hAnsi="Times New Roman" w:cs="Times New Roman"/>
          <w:b/>
          <w:i/>
          <w:sz w:val="24"/>
          <w:szCs w:val="24"/>
          <w:vertAlign w:val="baseline"/>
        </w:rPr>
      </w:pPr>
      <w:r w:rsidRPr="004B0885">
        <w:rPr>
          <w:rFonts w:ascii="Times New Roman" w:hAnsi="Times New Roman" w:cs="Times New Roman"/>
          <w:b/>
          <w:i/>
          <w:sz w:val="24"/>
          <w:szCs w:val="24"/>
          <w:vertAlign w:val="baseline"/>
        </w:rPr>
        <w:t>2</w:t>
      </w:r>
      <w:r w:rsidR="00181684">
        <w:rPr>
          <w:rFonts w:ascii="Times New Roman" w:hAnsi="Times New Roman" w:cs="Times New Roman"/>
          <w:b/>
          <w:i/>
          <w:sz w:val="24"/>
          <w:szCs w:val="24"/>
          <w:vertAlign w:val="baseline"/>
        </w:rPr>
        <w:t>.4</w:t>
      </w:r>
      <w:r w:rsidR="00567ED9" w:rsidRPr="004B0885">
        <w:rPr>
          <w:rFonts w:ascii="Times New Roman" w:hAnsi="Times New Roman" w:cs="Times New Roman"/>
          <w:b/>
          <w:i/>
          <w:sz w:val="24"/>
          <w:szCs w:val="24"/>
          <w:vertAlign w:val="baseline"/>
        </w:rPr>
        <w:t xml:space="preserve">.3 </w:t>
      </w:r>
      <w:r w:rsidR="00AF4381" w:rsidRPr="004B0885">
        <w:rPr>
          <w:rFonts w:ascii="Times New Roman" w:hAnsi="Times New Roman" w:cs="Times New Roman"/>
          <w:b/>
          <w:i/>
          <w:sz w:val="24"/>
          <w:szCs w:val="24"/>
          <w:vertAlign w:val="baseline"/>
        </w:rPr>
        <w:t>Islam</w:t>
      </w:r>
    </w:p>
    <w:p w14:paraId="32B9E06F" w14:textId="61F051C1" w:rsidR="00AF4381" w:rsidRPr="00AF4381" w:rsidRDefault="00AF4381" w:rsidP="00567ED9">
      <w:pPr>
        <w:spacing w:line="480" w:lineRule="auto"/>
        <w:ind w:firstLine="720"/>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 xml:space="preserve">Due to the shared origin of Islam with Christianity and Judaism, the origin of evil is also akin to that of the fall of Lucifer, however, differs slightly from the latter two religions. Within the Islamic faith, Satan is referred to as </w:t>
      </w:r>
      <w:r w:rsidRPr="00AF4381">
        <w:rPr>
          <w:rFonts w:ascii="Times New Roman" w:hAnsi="Times New Roman" w:cs="Times New Roman"/>
          <w:i/>
          <w:sz w:val="24"/>
          <w:szCs w:val="24"/>
          <w:vertAlign w:val="baseline"/>
        </w:rPr>
        <w:t>Iblis</w:t>
      </w:r>
      <w:r w:rsidRPr="00AF4381">
        <w:rPr>
          <w:rFonts w:ascii="Times New Roman" w:hAnsi="Times New Roman" w:cs="Times New Roman"/>
          <w:sz w:val="24"/>
          <w:szCs w:val="24"/>
          <w:vertAlign w:val="baseline"/>
        </w:rPr>
        <w:t xml:space="preserve">, or sometimes </w:t>
      </w:r>
      <w:r w:rsidRPr="00AF4381">
        <w:rPr>
          <w:rFonts w:ascii="Times New Roman" w:hAnsi="Times New Roman" w:cs="Times New Roman"/>
          <w:i/>
          <w:sz w:val="24"/>
          <w:szCs w:val="24"/>
          <w:vertAlign w:val="baseline"/>
        </w:rPr>
        <w:t>Shaytan</w:t>
      </w:r>
      <w:r w:rsidRPr="00AF4381">
        <w:rPr>
          <w:rFonts w:ascii="Times New Roman" w:hAnsi="Times New Roman" w:cs="Times New Roman"/>
          <w:sz w:val="24"/>
          <w:szCs w:val="24"/>
          <w:vertAlign w:val="baseline"/>
        </w:rPr>
        <w:t xml:space="preserve">, which is Arabic for devil. Unlike Christianity, where Satan is depicted as one of the angels, within Islam, Iblis was not an angel, he was a </w:t>
      </w:r>
      <w:r w:rsidRPr="00AF4381">
        <w:rPr>
          <w:rFonts w:ascii="Times New Roman" w:hAnsi="Times New Roman" w:cs="Times New Roman"/>
          <w:i/>
          <w:sz w:val="24"/>
          <w:szCs w:val="24"/>
          <w:vertAlign w:val="baseline"/>
        </w:rPr>
        <w:t>jinn</w:t>
      </w:r>
      <w:r w:rsidRPr="00AF4381">
        <w:rPr>
          <w:rFonts w:ascii="Times New Roman" w:hAnsi="Times New Roman" w:cs="Times New Roman"/>
          <w:sz w:val="24"/>
          <w:szCs w:val="24"/>
          <w:vertAlign w:val="baseline"/>
        </w:rPr>
        <w:t xml:space="preserve"> (spirit).</w:t>
      </w:r>
      <w:r w:rsidRPr="00AF4381">
        <w:rPr>
          <w:rFonts w:ascii="Times New Roman" w:hAnsi="Times New Roman" w:cs="Times New Roman"/>
          <w:sz w:val="24"/>
          <w:szCs w:val="24"/>
        </w:rPr>
        <w:footnoteReference w:id="164"/>
      </w:r>
      <w:r w:rsidRPr="00AF4381">
        <w:rPr>
          <w:rFonts w:ascii="Times New Roman" w:hAnsi="Times New Roman" w:cs="Times New Roman"/>
          <w:sz w:val="24"/>
          <w:szCs w:val="24"/>
          <w:vertAlign w:val="baseline"/>
        </w:rPr>
        <w:t xml:space="preserve"> As observed by Ayoub,</w:t>
      </w:r>
    </w:p>
    <w:p w14:paraId="1FE3CA68" w14:textId="77777777" w:rsidR="00AF4381" w:rsidRPr="00AF4381" w:rsidRDefault="00AF4381" w:rsidP="004B0885">
      <w:pPr>
        <w:spacing w:line="480" w:lineRule="auto"/>
        <w:ind w:left="720"/>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 xml:space="preserve">The [Qur’anic] narrative points to the fact that Iblis was not of the species of Angels; rather, he was with them. For had he been one of them, he would not have disobeyed. Iblis, according to the text of the Qur’an, was one of the </w:t>
      </w:r>
      <w:r w:rsidRPr="00AF4381">
        <w:rPr>
          <w:rFonts w:ascii="Times New Roman" w:hAnsi="Times New Roman" w:cs="Times New Roman"/>
          <w:i/>
          <w:sz w:val="24"/>
          <w:szCs w:val="24"/>
          <w:vertAlign w:val="baseline"/>
        </w:rPr>
        <w:t xml:space="preserve">jinn, </w:t>
      </w:r>
      <w:r w:rsidRPr="00AF4381">
        <w:rPr>
          <w:rFonts w:ascii="Times New Roman" w:hAnsi="Times New Roman" w:cs="Times New Roman"/>
          <w:sz w:val="24"/>
          <w:szCs w:val="24"/>
          <w:vertAlign w:val="baseline"/>
        </w:rPr>
        <w:t xml:space="preserve">and God created </w:t>
      </w:r>
      <w:r w:rsidRPr="00AF4381">
        <w:rPr>
          <w:rFonts w:ascii="Times New Roman" w:hAnsi="Times New Roman" w:cs="Times New Roman"/>
          <w:i/>
          <w:sz w:val="24"/>
          <w:szCs w:val="24"/>
          <w:vertAlign w:val="baseline"/>
        </w:rPr>
        <w:t>jinn</w:t>
      </w:r>
      <w:r w:rsidRPr="00AF4381">
        <w:rPr>
          <w:rFonts w:ascii="Times New Roman" w:hAnsi="Times New Roman" w:cs="Times New Roman"/>
          <w:sz w:val="24"/>
          <w:szCs w:val="24"/>
          <w:vertAlign w:val="baseline"/>
        </w:rPr>
        <w:t xml:space="preserve"> from smokeless fire.</w:t>
      </w:r>
      <w:r w:rsidRPr="00AF4381">
        <w:rPr>
          <w:rFonts w:ascii="Times New Roman" w:hAnsi="Times New Roman" w:cs="Times New Roman"/>
          <w:sz w:val="24"/>
          <w:szCs w:val="24"/>
        </w:rPr>
        <w:footnoteReference w:id="165"/>
      </w:r>
    </w:p>
    <w:p w14:paraId="00D8C796" w14:textId="77777777" w:rsidR="00AF4381" w:rsidRPr="00AF4381" w:rsidRDefault="00AF4381" w:rsidP="00AF4381">
      <w:pPr>
        <w:spacing w:line="480" w:lineRule="auto"/>
        <w:jc w:val="both"/>
        <w:rPr>
          <w:rFonts w:ascii="Times New Roman" w:hAnsi="Times New Roman" w:cs="Times New Roman"/>
          <w:sz w:val="24"/>
          <w:szCs w:val="24"/>
          <w:vertAlign w:val="baseline"/>
        </w:rPr>
      </w:pPr>
    </w:p>
    <w:p w14:paraId="176D63C4" w14:textId="1AA6082C" w:rsidR="00AF4381" w:rsidRPr="00AF4381" w:rsidRDefault="00AF4381" w:rsidP="00F42E31">
      <w:pPr>
        <w:spacing w:line="480" w:lineRule="auto"/>
        <w:ind w:firstLine="720"/>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In Islam, Iblis rebels against God after the creation of humanity. When God orders all spirits to bow down t</w:t>
      </w:r>
      <w:r w:rsidR="00733D8F">
        <w:rPr>
          <w:rFonts w:ascii="Times New Roman" w:hAnsi="Times New Roman" w:cs="Times New Roman"/>
          <w:sz w:val="24"/>
          <w:szCs w:val="24"/>
          <w:vertAlign w:val="baseline"/>
        </w:rPr>
        <w:t>o the creation of man, Adam,</w:t>
      </w:r>
      <w:r w:rsidRPr="00AF4381">
        <w:rPr>
          <w:rFonts w:ascii="Times New Roman" w:hAnsi="Times New Roman" w:cs="Times New Roman"/>
          <w:sz w:val="24"/>
          <w:szCs w:val="24"/>
          <w:vertAlign w:val="baseline"/>
        </w:rPr>
        <w:t xml:space="preserve"> Iblis refuses and is rejected by God until Judgement Day. From that beginning, the devil promised to tempt humanity with evil and turn them away from God's path, setting the battle between evil, created by Iblis, and God. However, Iblis plays a lesser role in Islamic theology, in comparison with the role of the devil within Christianity and is concerned primarily with evil as an eternal battle within the conscience of mankind. As noted by Qutb,</w:t>
      </w:r>
    </w:p>
    <w:p w14:paraId="5A99185D" w14:textId="77777777" w:rsidR="00AF4381" w:rsidRPr="00AF4381" w:rsidRDefault="00AF4381" w:rsidP="004B0885">
      <w:pPr>
        <w:spacing w:line="480" w:lineRule="auto"/>
        <w:ind w:left="720"/>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Both sin and repentance belong to the individual concerned. There is no sin imposed on a human being before his birth, as the Christian church asserts … rather the sin of Adam was his own personal sin … This Islamic view is clear … it lays on every man his own burden …</w:t>
      </w:r>
      <w:r w:rsidRPr="00AF4381">
        <w:rPr>
          <w:rFonts w:ascii="Times New Roman" w:hAnsi="Times New Roman" w:cs="Times New Roman"/>
          <w:sz w:val="24"/>
          <w:szCs w:val="24"/>
        </w:rPr>
        <w:footnoteReference w:id="166"/>
      </w:r>
      <w:r w:rsidRPr="00AF4381">
        <w:rPr>
          <w:rFonts w:ascii="Times New Roman" w:hAnsi="Times New Roman" w:cs="Times New Roman"/>
          <w:sz w:val="24"/>
          <w:szCs w:val="24"/>
          <w:vertAlign w:val="baseline"/>
        </w:rPr>
        <w:t xml:space="preserve"> </w:t>
      </w:r>
    </w:p>
    <w:p w14:paraId="3E489C09" w14:textId="77777777" w:rsidR="00AF4381" w:rsidRPr="00AF4381" w:rsidRDefault="00AF4381" w:rsidP="00AF4381">
      <w:pPr>
        <w:spacing w:line="480" w:lineRule="auto"/>
        <w:jc w:val="both"/>
        <w:rPr>
          <w:rFonts w:ascii="Times New Roman" w:hAnsi="Times New Roman" w:cs="Times New Roman"/>
          <w:b/>
          <w:sz w:val="24"/>
          <w:szCs w:val="24"/>
          <w:u w:val="single"/>
          <w:vertAlign w:val="baseline"/>
        </w:rPr>
      </w:pPr>
    </w:p>
    <w:p w14:paraId="0296EB2D" w14:textId="766F116A" w:rsidR="00AF4381" w:rsidRPr="004B0885" w:rsidRDefault="004B0885" w:rsidP="00AF4381">
      <w:pPr>
        <w:spacing w:line="480" w:lineRule="auto"/>
        <w:jc w:val="both"/>
        <w:rPr>
          <w:rFonts w:ascii="Times New Roman" w:hAnsi="Times New Roman" w:cs="Times New Roman"/>
          <w:b/>
          <w:i/>
          <w:sz w:val="24"/>
          <w:szCs w:val="24"/>
          <w:vertAlign w:val="baseline"/>
        </w:rPr>
      </w:pPr>
      <w:r w:rsidRPr="004B0885">
        <w:rPr>
          <w:rFonts w:ascii="Times New Roman" w:hAnsi="Times New Roman" w:cs="Times New Roman"/>
          <w:b/>
          <w:i/>
          <w:sz w:val="24"/>
          <w:szCs w:val="24"/>
          <w:vertAlign w:val="baseline"/>
        </w:rPr>
        <w:t>2</w:t>
      </w:r>
      <w:r w:rsidR="00181684">
        <w:rPr>
          <w:rFonts w:ascii="Times New Roman" w:hAnsi="Times New Roman" w:cs="Times New Roman"/>
          <w:b/>
          <w:i/>
          <w:sz w:val="24"/>
          <w:szCs w:val="24"/>
          <w:vertAlign w:val="baseline"/>
        </w:rPr>
        <w:t>.4</w:t>
      </w:r>
      <w:r w:rsidR="0096582A" w:rsidRPr="004B0885">
        <w:rPr>
          <w:rFonts w:ascii="Times New Roman" w:hAnsi="Times New Roman" w:cs="Times New Roman"/>
          <w:b/>
          <w:i/>
          <w:sz w:val="24"/>
          <w:szCs w:val="24"/>
          <w:vertAlign w:val="baseline"/>
        </w:rPr>
        <w:t xml:space="preserve">.4 </w:t>
      </w:r>
      <w:r w:rsidR="00AF4381" w:rsidRPr="004B0885">
        <w:rPr>
          <w:rFonts w:ascii="Times New Roman" w:hAnsi="Times New Roman" w:cs="Times New Roman"/>
          <w:b/>
          <w:i/>
          <w:sz w:val="24"/>
          <w:szCs w:val="24"/>
          <w:vertAlign w:val="baseline"/>
        </w:rPr>
        <w:t>Hinduism</w:t>
      </w:r>
    </w:p>
    <w:p w14:paraId="72C8D205" w14:textId="6C6D1281" w:rsidR="00AF4381" w:rsidRPr="00AF4381" w:rsidRDefault="00AF4381" w:rsidP="0096582A">
      <w:pPr>
        <w:spacing w:line="480" w:lineRule="auto"/>
        <w:ind w:firstLine="720"/>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Hinduism differs from the three aforementioned religions. Islam, Christianity and Judaism are monotheistic religions, a belief in one God, and are otherwise known as Abrahamic religions, due to their shared belief in their descendence from Abraham. Conversely, Hinduism has no single founder, no single scripture, and no commonly agreed set of teachings.</w:t>
      </w:r>
      <w:r w:rsidRPr="00AF4381">
        <w:rPr>
          <w:rFonts w:ascii="Times New Roman" w:hAnsi="Times New Roman" w:cs="Times New Roman"/>
          <w:sz w:val="24"/>
          <w:szCs w:val="24"/>
        </w:rPr>
        <w:footnoteReference w:id="167"/>
      </w:r>
      <w:r w:rsidRPr="00AF4381">
        <w:rPr>
          <w:rFonts w:ascii="Times New Roman" w:hAnsi="Times New Roman" w:cs="Times New Roman"/>
          <w:sz w:val="24"/>
          <w:szCs w:val="24"/>
          <w:vertAlign w:val="baseline"/>
        </w:rPr>
        <w:t> Hinduism can be classed as pantheistic with both polytheistic and henotheistic elements. Essentially, within Hinduism there is no belief in an anthropomorphic God, instead believing that God is indistinguishable from the universe (pantheism). Hinduism is often classed as polytheistic due to their belief in multiple Gods. However, many Hindus believe in and worship one of these gods, whilst, at the same time, accepting the existence of other gods (henotheism). The notion of evil within Hinduism is rooted in their understanding of Hindu philosophy, Hindu mythology and Hindu folk religion.</w:t>
      </w:r>
      <w:r w:rsidRPr="00AF4381">
        <w:rPr>
          <w:rFonts w:ascii="Times New Roman" w:hAnsi="Times New Roman" w:cs="Times New Roman"/>
          <w:sz w:val="24"/>
          <w:szCs w:val="24"/>
        </w:rPr>
        <w:footnoteReference w:id="168"/>
      </w:r>
      <w:r w:rsidRPr="00AF4381">
        <w:rPr>
          <w:rFonts w:ascii="Times New Roman" w:hAnsi="Times New Roman" w:cs="Times New Roman"/>
          <w:sz w:val="24"/>
          <w:szCs w:val="24"/>
          <w:vertAlign w:val="baseline"/>
        </w:rPr>
        <w:t xml:space="preserve"> Thus, within Hinduism, the origin and role of evil is complex. As there is no belief in an anthropomorphic God, there is also no single adversary, such as the devil. Instead there are a combination of evil spirits and powerful demons (Asuras).</w:t>
      </w:r>
      <w:r w:rsidRPr="00AF4381">
        <w:rPr>
          <w:rFonts w:ascii="Times New Roman" w:hAnsi="Times New Roman" w:cs="Times New Roman"/>
          <w:sz w:val="24"/>
          <w:szCs w:val="24"/>
        </w:rPr>
        <w:footnoteReference w:id="169"/>
      </w:r>
      <w:r w:rsidRPr="00AF4381">
        <w:rPr>
          <w:rFonts w:ascii="Times New Roman" w:hAnsi="Times New Roman" w:cs="Times New Roman"/>
          <w:sz w:val="24"/>
          <w:szCs w:val="24"/>
          <w:vertAlign w:val="baseline"/>
        </w:rPr>
        <w:t xml:space="preserve"> As observed by Gachter, </w:t>
      </w:r>
      <w:r w:rsidR="009A6FB1">
        <w:rPr>
          <w:rFonts w:ascii="Times New Roman" w:hAnsi="Times New Roman" w:cs="Times New Roman"/>
          <w:sz w:val="24"/>
          <w:szCs w:val="24"/>
          <w:vertAlign w:val="baseline"/>
        </w:rPr>
        <w:t>four places can be identified where ‘</w:t>
      </w:r>
      <w:r w:rsidRPr="00AF4381">
        <w:rPr>
          <w:rFonts w:ascii="Times New Roman" w:hAnsi="Times New Roman" w:cs="Times New Roman"/>
          <w:sz w:val="24"/>
          <w:szCs w:val="24"/>
          <w:vertAlign w:val="baseline"/>
        </w:rPr>
        <w:t>one might look for the cause, origin, and point of the reality of evil and suffering: these places to look are humans, fate, demons and gods.’</w:t>
      </w:r>
      <w:r w:rsidRPr="00AF4381">
        <w:rPr>
          <w:rFonts w:ascii="Times New Roman" w:hAnsi="Times New Roman" w:cs="Times New Roman"/>
          <w:sz w:val="24"/>
          <w:szCs w:val="24"/>
        </w:rPr>
        <w:footnoteReference w:id="170"/>
      </w:r>
      <w:r w:rsidRPr="00AF4381">
        <w:rPr>
          <w:rFonts w:ascii="Times New Roman" w:hAnsi="Times New Roman" w:cs="Times New Roman"/>
          <w:sz w:val="24"/>
          <w:szCs w:val="24"/>
          <w:vertAlign w:val="baseline"/>
        </w:rPr>
        <w:t xml:space="preserve"> The Bhagavad-Gita,</w:t>
      </w:r>
      <w:r w:rsidRPr="00AF4381">
        <w:rPr>
          <w:rFonts w:ascii="Times New Roman" w:hAnsi="Times New Roman" w:cs="Times New Roman"/>
          <w:sz w:val="24"/>
          <w:szCs w:val="24"/>
        </w:rPr>
        <w:footnoteReference w:id="171"/>
      </w:r>
      <w:r w:rsidRPr="00AF4381">
        <w:rPr>
          <w:rFonts w:ascii="Times New Roman" w:hAnsi="Times New Roman" w:cs="Times New Roman"/>
          <w:sz w:val="24"/>
          <w:szCs w:val="24"/>
          <w:vertAlign w:val="baseline"/>
        </w:rPr>
        <w:t xml:space="preserve"> one of the most universally read books in Hinduism, states that people are either born with a divine or demonic nature.</w:t>
      </w:r>
      <w:r w:rsidRPr="00AF4381">
        <w:rPr>
          <w:rFonts w:ascii="Times New Roman" w:hAnsi="Times New Roman" w:cs="Times New Roman"/>
          <w:sz w:val="24"/>
          <w:szCs w:val="24"/>
        </w:rPr>
        <w:footnoteReference w:id="172"/>
      </w:r>
      <w:r w:rsidRPr="00AF4381">
        <w:rPr>
          <w:rFonts w:ascii="Times New Roman" w:hAnsi="Times New Roman" w:cs="Times New Roman"/>
          <w:sz w:val="24"/>
          <w:szCs w:val="24"/>
          <w:vertAlign w:val="baseline"/>
        </w:rPr>
        <w:t xml:space="preserve"> Gachter,</w:t>
      </w:r>
      <w:r w:rsidRPr="00AF4381">
        <w:rPr>
          <w:rFonts w:ascii="Times New Roman" w:hAnsi="Times New Roman" w:cs="Times New Roman"/>
          <w:sz w:val="24"/>
          <w:szCs w:val="24"/>
        </w:rPr>
        <w:footnoteReference w:id="173"/>
      </w:r>
      <w:r w:rsidRPr="00AF4381">
        <w:rPr>
          <w:rFonts w:ascii="Times New Roman" w:hAnsi="Times New Roman" w:cs="Times New Roman"/>
          <w:sz w:val="24"/>
          <w:szCs w:val="24"/>
          <w:vertAlign w:val="baseline"/>
        </w:rPr>
        <w:t xml:space="preserve"> identifies three specific categories of people, who are inherently evil within Hinduism, ‘people with magical powers, witches and people with an evil eye.’</w:t>
      </w:r>
      <w:r w:rsidRPr="00AF4381">
        <w:rPr>
          <w:rFonts w:ascii="Times New Roman" w:hAnsi="Times New Roman" w:cs="Times New Roman"/>
          <w:sz w:val="24"/>
          <w:szCs w:val="24"/>
        </w:rPr>
        <w:footnoteReference w:id="174"/>
      </w:r>
    </w:p>
    <w:p w14:paraId="1495B9A1" w14:textId="77777777" w:rsidR="00BF6B02" w:rsidRDefault="00BF6B02" w:rsidP="00AF4381">
      <w:pPr>
        <w:spacing w:line="480" w:lineRule="auto"/>
        <w:jc w:val="both"/>
        <w:rPr>
          <w:rFonts w:ascii="Times New Roman" w:hAnsi="Times New Roman" w:cs="Times New Roman"/>
          <w:sz w:val="24"/>
          <w:szCs w:val="24"/>
          <w:vertAlign w:val="baseline"/>
        </w:rPr>
      </w:pPr>
    </w:p>
    <w:p w14:paraId="4EFF0FB5" w14:textId="77777777" w:rsidR="00BF6B02" w:rsidRDefault="00BF6B02" w:rsidP="00AF4381">
      <w:pPr>
        <w:spacing w:line="480" w:lineRule="auto"/>
        <w:jc w:val="both"/>
        <w:rPr>
          <w:rFonts w:ascii="Times New Roman" w:hAnsi="Times New Roman" w:cs="Times New Roman"/>
          <w:sz w:val="24"/>
          <w:szCs w:val="24"/>
          <w:vertAlign w:val="baseline"/>
        </w:rPr>
      </w:pPr>
    </w:p>
    <w:p w14:paraId="2A0A71C4" w14:textId="77777777" w:rsidR="00BF6B02" w:rsidRDefault="00BF6B02" w:rsidP="00AF4381">
      <w:pPr>
        <w:spacing w:line="480" w:lineRule="auto"/>
        <w:jc w:val="both"/>
        <w:rPr>
          <w:rFonts w:ascii="Times New Roman" w:hAnsi="Times New Roman" w:cs="Times New Roman"/>
          <w:sz w:val="24"/>
          <w:szCs w:val="24"/>
          <w:vertAlign w:val="baseline"/>
        </w:rPr>
      </w:pPr>
    </w:p>
    <w:p w14:paraId="087FFEE0" w14:textId="65CBFAB6" w:rsidR="00AF4381" w:rsidRPr="00AF4381" w:rsidRDefault="004B0885" w:rsidP="00AF4381">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2</w:t>
      </w:r>
      <w:r w:rsidR="00181684">
        <w:rPr>
          <w:rFonts w:ascii="Times New Roman" w:hAnsi="Times New Roman" w:cs="Times New Roman"/>
          <w:b/>
          <w:sz w:val="24"/>
          <w:szCs w:val="24"/>
          <w:u w:val="single"/>
          <w:vertAlign w:val="baseline"/>
        </w:rPr>
        <w:t>.5</w:t>
      </w:r>
      <w:r w:rsidR="0080645C">
        <w:rPr>
          <w:rFonts w:ascii="Times New Roman" w:hAnsi="Times New Roman" w:cs="Times New Roman"/>
          <w:b/>
          <w:sz w:val="24"/>
          <w:szCs w:val="24"/>
          <w:u w:val="single"/>
          <w:vertAlign w:val="baseline"/>
        </w:rPr>
        <w:t xml:space="preserve"> </w:t>
      </w:r>
      <w:r>
        <w:rPr>
          <w:rFonts w:ascii="Times New Roman" w:hAnsi="Times New Roman" w:cs="Times New Roman"/>
          <w:b/>
          <w:sz w:val="24"/>
          <w:szCs w:val="24"/>
          <w:u w:val="single"/>
          <w:vertAlign w:val="baseline"/>
        </w:rPr>
        <w:t>EVIL EYE AND SUPERSTITION</w:t>
      </w:r>
    </w:p>
    <w:p w14:paraId="31618322" w14:textId="5C1BA44D" w:rsidR="00AF4381" w:rsidRDefault="00AF4381" w:rsidP="005F4B0E">
      <w:pPr>
        <w:spacing w:line="480" w:lineRule="auto"/>
        <w:ind w:firstLine="720"/>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The evil eye is the superstitious belief that someone can project harm by simply looking at another individual or their property.</w:t>
      </w:r>
      <w:r w:rsidRPr="00AF4381">
        <w:rPr>
          <w:rFonts w:ascii="Times New Roman" w:hAnsi="Times New Roman" w:cs="Times New Roman"/>
          <w:sz w:val="24"/>
          <w:szCs w:val="24"/>
        </w:rPr>
        <w:footnoteReference w:id="175"/>
      </w:r>
      <w:r w:rsidRPr="00AF4381">
        <w:rPr>
          <w:rFonts w:ascii="Times New Roman" w:hAnsi="Times New Roman" w:cs="Times New Roman"/>
          <w:sz w:val="24"/>
          <w:szCs w:val="24"/>
          <w:vertAlign w:val="baseline"/>
        </w:rPr>
        <w:t xml:space="preserve"> Whilst the evil eye is often labelled as purely superstitious, as observed by Maloney, ‘what is one person’s superstition or occult idea is another person’s belief or religion.’</w:t>
      </w:r>
      <w:r w:rsidRPr="00AF4381">
        <w:rPr>
          <w:rFonts w:ascii="Times New Roman" w:hAnsi="Times New Roman" w:cs="Times New Roman"/>
          <w:sz w:val="24"/>
          <w:szCs w:val="24"/>
        </w:rPr>
        <w:footnoteReference w:id="176"/>
      </w:r>
      <w:r w:rsidRPr="00AF4381">
        <w:rPr>
          <w:rFonts w:ascii="Times New Roman" w:hAnsi="Times New Roman" w:cs="Times New Roman"/>
          <w:sz w:val="24"/>
          <w:szCs w:val="24"/>
          <w:vertAlign w:val="baseline"/>
        </w:rPr>
        <w:t xml:space="preserve"> For Spooner, the evil eye is a structural feature; ‘the evil eye is an element of the religious or symbolic system – an element that forms part of an explanation of evil.’</w:t>
      </w:r>
      <w:r w:rsidRPr="00AF4381">
        <w:rPr>
          <w:rFonts w:ascii="Times New Roman" w:hAnsi="Times New Roman" w:cs="Times New Roman"/>
          <w:sz w:val="24"/>
          <w:szCs w:val="24"/>
        </w:rPr>
        <w:footnoteReference w:id="177"/>
      </w:r>
      <w:r w:rsidRPr="00AF4381">
        <w:rPr>
          <w:rFonts w:ascii="Times New Roman" w:hAnsi="Times New Roman" w:cs="Times New Roman"/>
          <w:sz w:val="24"/>
          <w:szCs w:val="24"/>
          <w:vertAlign w:val="baseline"/>
        </w:rPr>
        <w:t xml:space="preserve"> Thus, religion, specifically the battle between good and evil, plays a significant role in maintaining the belief in the power of the eye to do evil. The eyes are thought of, by many, as the gateway to the soul, thus, ‘the eye of man and the eye of God are powerful instrumentalities.’</w:t>
      </w:r>
      <w:r w:rsidRPr="00AF4381">
        <w:rPr>
          <w:rFonts w:ascii="Times New Roman" w:hAnsi="Times New Roman" w:cs="Times New Roman"/>
          <w:sz w:val="24"/>
          <w:szCs w:val="24"/>
        </w:rPr>
        <w:footnoteReference w:id="178"/>
      </w:r>
      <w:r w:rsidRPr="00AF4381">
        <w:rPr>
          <w:rFonts w:ascii="Times New Roman" w:hAnsi="Times New Roman" w:cs="Times New Roman"/>
          <w:sz w:val="24"/>
          <w:szCs w:val="24"/>
          <w:vertAlign w:val="baseline"/>
        </w:rPr>
        <w:t xml:space="preserve"> The evil eye, although distinct from witchcraft, shares many of the characteristics associated with witchcraft, predominantly the ability to cause illness and misfortune, together with the association with human agency, and is prevalent throughout many parts of the world, although dominant within India, the Middle East, parts of Europe and Mexico.</w:t>
      </w:r>
      <w:r w:rsidRPr="00AF4381">
        <w:rPr>
          <w:rFonts w:ascii="Times New Roman" w:hAnsi="Times New Roman" w:cs="Times New Roman"/>
          <w:sz w:val="24"/>
          <w:szCs w:val="24"/>
        </w:rPr>
        <w:footnoteReference w:id="179"/>
      </w:r>
      <w:r w:rsidRPr="00AF4381">
        <w:rPr>
          <w:rFonts w:ascii="Times New Roman" w:hAnsi="Times New Roman" w:cs="Times New Roman"/>
          <w:sz w:val="24"/>
          <w:szCs w:val="24"/>
          <w:vertAlign w:val="baseline"/>
        </w:rPr>
        <w:t xml:space="preserve"> Belief in the evil eye is also prevalent across North and Sub-Saharan </w:t>
      </w:r>
      <w:r w:rsidR="005F4B0E" w:rsidRPr="00AF4381">
        <w:rPr>
          <w:rFonts w:ascii="Times New Roman" w:hAnsi="Times New Roman" w:cs="Times New Roman"/>
          <w:sz w:val="24"/>
          <w:szCs w:val="24"/>
          <w:vertAlign w:val="baseline"/>
        </w:rPr>
        <w:t>Africa;</w:t>
      </w:r>
      <w:r w:rsidRPr="00AF4381">
        <w:rPr>
          <w:rFonts w:ascii="Times New Roman" w:hAnsi="Times New Roman" w:cs="Times New Roman"/>
          <w:sz w:val="24"/>
          <w:szCs w:val="24"/>
          <w:vertAlign w:val="baseline"/>
        </w:rPr>
        <w:t xml:space="preserve"> however, here the association between witchcraft and the evil eye is far stronger. What precisely is meant by the term ‘evil eye,’ what are its characteristics, who casts the evil eye and upon whom</w:t>
      </w:r>
      <w:r w:rsidR="008878AC">
        <w:rPr>
          <w:rFonts w:ascii="Times New Roman" w:hAnsi="Times New Roman" w:cs="Times New Roman"/>
          <w:sz w:val="24"/>
          <w:szCs w:val="24"/>
          <w:vertAlign w:val="baseline"/>
        </w:rPr>
        <w:t>, are questions that</w:t>
      </w:r>
      <w:r w:rsidRPr="00AF4381">
        <w:rPr>
          <w:rFonts w:ascii="Times New Roman" w:hAnsi="Times New Roman" w:cs="Times New Roman"/>
          <w:sz w:val="24"/>
          <w:szCs w:val="24"/>
          <w:vertAlign w:val="baseline"/>
        </w:rPr>
        <w:t xml:space="preserve"> provide differing answers dependent on the country and culture</w:t>
      </w:r>
      <w:r w:rsidR="005F4B0E">
        <w:rPr>
          <w:rFonts w:ascii="Times New Roman" w:hAnsi="Times New Roman" w:cs="Times New Roman"/>
          <w:sz w:val="24"/>
          <w:szCs w:val="24"/>
          <w:vertAlign w:val="baseline"/>
        </w:rPr>
        <w:t>,</w:t>
      </w:r>
      <w:r w:rsidRPr="00AF4381">
        <w:rPr>
          <w:rFonts w:ascii="Times New Roman" w:hAnsi="Times New Roman" w:cs="Times New Roman"/>
          <w:sz w:val="24"/>
          <w:szCs w:val="24"/>
          <w:vertAlign w:val="baseline"/>
        </w:rPr>
        <w:t xml:space="preserve"> being alluded to. For example, in the Philippines, the evil eye emanates only from the individual who casts it, whereas in the Middle East and parts of Europe, the evil eye is the personification of evil through the devil. This personification of evil is particularly strong in Sub-Saharan Africa, where the link between the evil eye, witchcraft and the devil is conflated. Within India, where the dichotomy between good and evil is not present, the evil eye is said to emanate from the mind of the person who casts it.</w:t>
      </w:r>
      <w:r w:rsidRPr="00AF4381">
        <w:rPr>
          <w:rFonts w:ascii="Times New Roman" w:hAnsi="Times New Roman" w:cs="Times New Roman"/>
          <w:sz w:val="24"/>
          <w:szCs w:val="24"/>
        </w:rPr>
        <w:footnoteReference w:id="180"/>
      </w:r>
      <w:r w:rsidRPr="00AF4381">
        <w:rPr>
          <w:rFonts w:ascii="Times New Roman" w:hAnsi="Times New Roman" w:cs="Times New Roman"/>
          <w:sz w:val="24"/>
          <w:szCs w:val="24"/>
          <w:vertAlign w:val="baseline"/>
        </w:rPr>
        <w:t xml:space="preserve"> Thus, envy is often the main reason cited for an occurrence of the evil eye. Similarly, there are regional variations when examining who has the ability to cast the evil eye and who is the victim of it. For example, in Mexico the evil eye is cast predominantly by strangers, and is aimed largely at babies or children.</w:t>
      </w:r>
      <w:r w:rsidRPr="00AF4381">
        <w:rPr>
          <w:rFonts w:ascii="Times New Roman" w:hAnsi="Times New Roman" w:cs="Times New Roman"/>
          <w:sz w:val="24"/>
          <w:szCs w:val="24"/>
        </w:rPr>
        <w:footnoteReference w:id="181"/>
      </w:r>
      <w:r w:rsidRPr="00AF4381">
        <w:rPr>
          <w:rFonts w:ascii="Times New Roman" w:hAnsi="Times New Roman" w:cs="Times New Roman"/>
          <w:sz w:val="24"/>
          <w:szCs w:val="24"/>
          <w:vertAlign w:val="baseline"/>
        </w:rPr>
        <w:t xml:space="preserve"> In Tunisia it is never cast by relatives, in contrast to Iran where it almost always cast by a member of the family. In other countries, such as Ethiopia and India the evil eye can be cast by anyone upon anyone, although it is often understood that witches are the main perpetrators, with women and children being particularly susceptible to its powers. There is an increased risk for those women who are newlywed, pregnant and during childbirth. Moreover, women and children who are deemed to be very attractive are at higher risk, as the risk of suffering from the </w:t>
      </w:r>
      <w:r w:rsidR="00655C14" w:rsidRPr="00AF4381">
        <w:rPr>
          <w:rFonts w:ascii="Times New Roman" w:hAnsi="Times New Roman" w:cs="Times New Roman"/>
          <w:sz w:val="24"/>
          <w:szCs w:val="24"/>
          <w:vertAlign w:val="baseline"/>
        </w:rPr>
        <w:t>ill effects</w:t>
      </w:r>
      <w:r w:rsidRPr="00AF4381">
        <w:rPr>
          <w:rFonts w:ascii="Times New Roman" w:hAnsi="Times New Roman" w:cs="Times New Roman"/>
          <w:sz w:val="24"/>
          <w:szCs w:val="24"/>
          <w:vertAlign w:val="baseline"/>
        </w:rPr>
        <w:t xml:space="preserve"> of the evil eye increases in proportion to the person’s beauty.</w:t>
      </w:r>
      <w:r w:rsidRPr="00AF4381">
        <w:rPr>
          <w:rFonts w:ascii="Times New Roman" w:hAnsi="Times New Roman" w:cs="Times New Roman"/>
          <w:sz w:val="24"/>
          <w:szCs w:val="24"/>
        </w:rPr>
        <w:footnoteReference w:id="182"/>
      </w:r>
    </w:p>
    <w:p w14:paraId="667C6012" w14:textId="77777777" w:rsidR="00E92CB4" w:rsidRPr="00AF4381" w:rsidRDefault="00E92CB4" w:rsidP="005F4B0E">
      <w:pPr>
        <w:spacing w:line="480" w:lineRule="auto"/>
        <w:ind w:firstLine="720"/>
        <w:jc w:val="both"/>
        <w:rPr>
          <w:rFonts w:ascii="Times New Roman" w:hAnsi="Times New Roman" w:cs="Times New Roman"/>
          <w:sz w:val="24"/>
          <w:szCs w:val="24"/>
          <w:vertAlign w:val="baseline"/>
        </w:rPr>
      </w:pPr>
    </w:p>
    <w:p w14:paraId="04F08C31" w14:textId="7D5C3905" w:rsidR="00AF4381" w:rsidRPr="00AF4381" w:rsidRDefault="00660215" w:rsidP="00AF4381">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2</w:t>
      </w:r>
      <w:r w:rsidR="00181684">
        <w:rPr>
          <w:rFonts w:ascii="Times New Roman" w:hAnsi="Times New Roman" w:cs="Times New Roman"/>
          <w:b/>
          <w:sz w:val="24"/>
          <w:szCs w:val="24"/>
          <w:u w:val="single"/>
          <w:vertAlign w:val="baseline"/>
        </w:rPr>
        <w:t>.6</w:t>
      </w:r>
      <w:r w:rsidR="00E92CB4">
        <w:rPr>
          <w:rFonts w:ascii="Times New Roman" w:hAnsi="Times New Roman" w:cs="Times New Roman"/>
          <w:b/>
          <w:sz w:val="24"/>
          <w:szCs w:val="24"/>
          <w:u w:val="single"/>
          <w:vertAlign w:val="baseline"/>
        </w:rPr>
        <w:t xml:space="preserve"> </w:t>
      </w:r>
      <w:r w:rsidR="009A6FB1">
        <w:rPr>
          <w:rFonts w:ascii="Times New Roman" w:hAnsi="Times New Roman" w:cs="Times New Roman"/>
          <w:b/>
          <w:sz w:val="24"/>
          <w:szCs w:val="24"/>
          <w:u w:val="single"/>
          <w:vertAlign w:val="baseline"/>
        </w:rPr>
        <w:t>THE PERSONIFICATION OF EVIL</w:t>
      </w:r>
    </w:p>
    <w:p w14:paraId="000E5CB5" w14:textId="6DFD18ED" w:rsidR="00E35390" w:rsidRPr="00AF4381" w:rsidRDefault="00AF4381" w:rsidP="00D04DEC">
      <w:pPr>
        <w:spacing w:line="480" w:lineRule="auto"/>
        <w:ind w:firstLine="720"/>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What becomes clear, when looking at the concept of evil, is that it denotes an area of discourse, which, primarily, concerns ‘human suffering, human existential predicaments and the attempted resolution of these through humans and through non-human agencies, including a God or gods.’</w:t>
      </w:r>
      <w:r w:rsidRPr="00AF4381">
        <w:rPr>
          <w:rFonts w:ascii="Times New Roman" w:hAnsi="Times New Roman" w:cs="Times New Roman"/>
          <w:sz w:val="24"/>
          <w:szCs w:val="24"/>
        </w:rPr>
        <w:footnoteReference w:id="183"/>
      </w:r>
      <w:r w:rsidRPr="00AF4381">
        <w:rPr>
          <w:rFonts w:ascii="Times New Roman" w:hAnsi="Times New Roman" w:cs="Times New Roman"/>
          <w:sz w:val="24"/>
          <w:szCs w:val="24"/>
          <w:vertAlign w:val="baseline"/>
        </w:rPr>
        <w:t xml:space="preserve"> Russell observes, ‘evil – the infliction of pain upon sentient beings – is one of the most longstanding and serious problems of human existence. Frequently and in many cultures evil has been personified.’</w:t>
      </w:r>
      <w:r w:rsidRPr="00AF4381">
        <w:rPr>
          <w:rFonts w:ascii="Times New Roman" w:hAnsi="Times New Roman" w:cs="Times New Roman"/>
          <w:sz w:val="24"/>
          <w:szCs w:val="24"/>
        </w:rPr>
        <w:footnoteReference w:id="184"/>
      </w:r>
      <w:r w:rsidRPr="00AF4381">
        <w:rPr>
          <w:rFonts w:ascii="Times New Roman" w:hAnsi="Times New Roman" w:cs="Times New Roman"/>
          <w:sz w:val="24"/>
          <w:szCs w:val="24"/>
          <w:vertAlign w:val="baseline"/>
        </w:rPr>
        <w:t xml:space="preserve"> This infliction of pain can be both physical and emotional, and, typically, as characterised by the mind, deliberate. Here, is where evil is personified. Evil is not an abstract concept. Instead, it must be understood in terms of individual suffering.</w:t>
      </w:r>
      <w:r w:rsidRPr="00AF4381">
        <w:rPr>
          <w:rFonts w:ascii="Times New Roman" w:hAnsi="Times New Roman" w:cs="Times New Roman"/>
          <w:sz w:val="24"/>
          <w:szCs w:val="24"/>
        </w:rPr>
        <w:footnoteReference w:id="185"/>
      </w:r>
      <w:r w:rsidRPr="00AF4381">
        <w:rPr>
          <w:rFonts w:ascii="Times New Roman" w:hAnsi="Times New Roman" w:cs="Times New Roman"/>
          <w:sz w:val="24"/>
          <w:szCs w:val="24"/>
          <w:vertAlign w:val="baseline"/>
        </w:rPr>
        <w:t xml:space="preserve"> The personification of evil is, thus, a prominent feature within many cultures and religions. Typically, spirits, witches, demons and gods personify evil. For Parkin, ‘personifying evil in these various ways provides a means of placing it cosmically, often with a view to containing it, sometimes to the extent of negotiating with it, as if often the case with possessionary spirits.’</w:t>
      </w:r>
      <w:r w:rsidRPr="00AF4381">
        <w:rPr>
          <w:rFonts w:ascii="Times New Roman" w:hAnsi="Times New Roman" w:cs="Times New Roman"/>
          <w:sz w:val="24"/>
          <w:szCs w:val="24"/>
        </w:rPr>
        <w:footnoteReference w:id="186"/>
      </w:r>
      <w:r w:rsidRPr="00AF4381">
        <w:rPr>
          <w:rFonts w:ascii="Times New Roman" w:hAnsi="Times New Roman" w:cs="Times New Roman"/>
          <w:sz w:val="24"/>
          <w:szCs w:val="24"/>
          <w:vertAlign w:val="baseline"/>
        </w:rPr>
        <w:t xml:space="preserve"> The personification of evil descends from ‘a deliberate malignancy that intrudes upon us from outside ourselves.’</w:t>
      </w:r>
      <w:r w:rsidRPr="00AF4381">
        <w:rPr>
          <w:rFonts w:ascii="Times New Roman" w:hAnsi="Times New Roman" w:cs="Times New Roman"/>
          <w:sz w:val="24"/>
          <w:szCs w:val="24"/>
        </w:rPr>
        <w:footnoteReference w:id="187"/>
      </w:r>
      <w:r w:rsidRPr="00AF4381">
        <w:rPr>
          <w:rFonts w:ascii="Times New Roman" w:hAnsi="Times New Roman" w:cs="Times New Roman"/>
          <w:sz w:val="24"/>
          <w:szCs w:val="24"/>
          <w:vertAlign w:val="baseline"/>
        </w:rPr>
        <w:t xml:space="preserve"> Thus, evil is often perceived to be uncontrollable, of supernatural origin and, conceptually speaking, the Devil. As observed by Jung, ‘evil is terribly real for each and every individual … if you regard the principle of evil as a reality you can just as well call it the Devil.’</w:t>
      </w:r>
      <w:r w:rsidRPr="00AF4381">
        <w:rPr>
          <w:rFonts w:ascii="Times New Roman" w:hAnsi="Times New Roman" w:cs="Times New Roman"/>
          <w:sz w:val="24"/>
          <w:szCs w:val="24"/>
        </w:rPr>
        <w:footnoteReference w:id="188"/>
      </w:r>
      <w:r w:rsidRPr="00AF4381">
        <w:rPr>
          <w:rFonts w:ascii="Times New Roman" w:hAnsi="Times New Roman" w:cs="Times New Roman"/>
          <w:sz w:val="24"/>
          <w:szCs w:val="24"/>
          <w:vertAlign w:val="baseline"/>
        </w:rPr>
        <w:t xml:space="preserve"> The Devil, within the religious sense, is the manifestation of evil. For Russell, the Devil is ‘the font and origin of all evil; and he is the very essence of evil.’</w:t>
      </w:r>
      <w:r w:rsidRPr="00AF4381">
        <w:rPr>
          <w:rFonts w:ascii="Times New Roman" w:hAnsi="Times New Roman" w:cs="Times New Roman"/>
          <w:sz w:val="24"/>
          <w:szCs w:val="24"/>
        </w:rPr>
        <w:footnoteReference w:id="189"/>
      </w:r>
      <w:r w:rsidRPr="00AF4381">
        <w:rPr>
          <w:rFonts w:ascii="Times New Roman" w:hAnsi="Times New Roman" w:cs="Times New Roman"/>
          <w:sz w:val="24"/>
          <w:szCs w:val="24"/>
          <w:vertAlign w:val="baseline"/>
        </w:rPr>
        <w:t xml:space="preserve"> The essence of evil combines a number of various factors. Its complex nature makes it difficult to understand, which, in turn, creates notions of secrecy and an association with darkness and </w:t>
      </w:r>
      <w:r w:rsidR="00660215" w:rsidRPr="00AF4381">
        <w:rPr>
          <w:rFonts w:ascii="Times New Roman" w:hAnsi="Times New Roman" w:cs="Times New Roman"/>
          <w:sz w:val="24"/>
          <w:szCs w:val="24"/>
          <w:vertAlign w:val="baseline"/>
        </w:rPr>
        <w:t>night</w:t>
      </w:r>
      <w:r w:rsidR="00736EC1">
        <w:rPr>
          <w:rFonts w:ascii="Times New Roman" w:hAnsi="Times New Roman" w:cs="Times New Roman"/>
          <w:sz w:val="24"/>
          <w:szCs w:val="24"/>
          <w:vertAlign w:val="baseline"/>
        </w:rPr>
        <w:t>-</w:t>
      </w:r>
      <w:r w:rsidR="00660215">
        <w:rPr>
          <w:rFonts w:ascii="Times New Roman" w:hAnsi="Times New Roman" w:cs="Times New Roman"/>
          <w:sz w:val="24"/>
          <w:szCs w:val="24"/>
          <w:vertAlign w:val="baseline"/>
        </w:rPr>
        <w:t>time</w:t>
      </w:r>
      <w:r w:rsidRPr="00AF4381">
        <w:rPr>
          <w:rFonts w:ascii="Times New Roman" w:hAnsi="Times New Roman" w:cs="Times New Roman"/>
          <w:sz w:val="24"/>
          <w:szCs w:val="24"/>
          <w:vertAlign w:val="baseline"/>
        </w:rPr>
        <w:t xml:space="preserve"> activities. Moreover, evil is associated with a deliberate, motiveless form of destruction. </w:t>
      </w:r>
      <w:r w:rsidR="00660215">
        <w:rPr>
          <w:rFonts w:ascii="Times New Roman" w:hAnsi="Times New Roman" w:cs="Times New Roman"/>
          <w:sz w:val="24"/>
          <w:szCs w:val="24"/>
          <w:vertAlign w:val="baseline"/>
        </w:rPr>
        <w:t>The next section will explore the link between the Devil and witchcraft.</w:t>
      </w:r>
    </w:p>
    <w:p w14:paraId="382EFA0D" w14:textId="77777777" w:rsidR="00110CE7" w:rsidRDefault="00110CE7" w:rsidP="00AF4381">
      <w:pPr>
        <w:spacing w:line="480" w:lineRule="auto"/>
        <w:jc w:val="both"/>
        <w:rPr>
          <w:rFonts w:ascii="Times New Roman" w:hAnsi="Times New Roman" w:cs="Times New Roman"/>
          <w:b/>
          <w:sz w:val="24"/>
          <w:szCs w:val="24"/>
          <w:u w:val="single"/>
          <w:vertAlign w:val="baseline"/>
        </w:rPr>
      </w:pPr>
    </w:p>
    <w:p w14:paraId="7D3B8E26" w14:textId="77777777" w:rsidR="00110CE7" w:rsidRDefault="00110CE7" w:rsidP="00AF4381">
      <w:pPr>
        <w:spacing w:line="480" w:lineRule="auto"/>
        <w:jc w:val="both"/>
        <w:rPr>
          <w:rFonts w:ascii="Times New Roman" w:hAnsi="Times New Roman" w:cs="Times New Roman"/>
          <w:b/>
          <w:sz w:val="24"/>
          <w:szCs w:val="24"/>
          <w:u w:val="single"/>
          <w:vertAlign w:val="baseline"/>
        </w:rPr>
      </w:pPr>
    </w:p>
    <w:p w14:paraId="5788FCF9" w14:textId="01C84CA3" w:rsidR="00AF4381" w:rsidRPr="00AF4381" w:rsidRDefault="00660215" w:rsidP="00AF4381">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2</w:t>
      </w:r>
      <w:r w:rsidR="00181684">
        <w:rPr>
          <w:rFonts w:ascii="Times New Roman" w:hAnsi="Times New Roman" w:cs="Times New Roman"/>
          <w:b/>
          <w:sz w:val="24"/>
          <w:szCs w:val="24"/>
          <w:u w:val="single"/>
          <w:vertAlign w:val="baseline"/>
        </w:rPr>
        <w:t>.7</w:t>
      </w:r>
      <w:r w:rsidR="00581F52">
        <w:rPr>
          <w:rFonts w:ascii="Times New Roman" w:hAnsi="Times New Roman" w:cs="Times New Roman"/>
          <w:b/>
          <w:sz w:val="24"/>
          <w:szCs w:val="24"/>
          <w:u w:val="single"/>
          <w:vertAlign w:val="baseline"/>
        </w:rPr>
        <w:t xml:space="preserve"> </w:t>
      </w:r>
      <w:r>
        <w:rPr>
          <w:rFonts w:ascii="Times New Roman" w:hAnsi="Times New Roman" w:cs="Times New Roman"/>
          <w:b/>
          <w:sz w:val="24"/>
          <w:szCs w:val="24"/>
          <w:u w:val="single"/>
          <w:vertAlign w:val="baseline"/>
        </w:rPr>
        <w:t>THE LINK BETWEEN THE DEVIL AND WITCHCRAFT</w:t>
      </w:r>
    </w:p>
    <w:p w14:paraId="10BB18C4" w14:textId="608468BA" w:rsidR="00D04DEC" w:rsidRDefault="00AF4381" w:rsidP="00E814A9">
      <w:pPr>
        <w:spacing w:line="480" w:lineRule="auto"/>
        <w:ind w:firstLine="720"/>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Witchcraft can be traced back to the Palaeolithic</w:t>
      </w:r>
      <w:r w:rsidRPr="00AF4381">
        <w:rPr>
          <w:rFonts w:ascii="Times New Roman" w:hAnsi="Times New Roman" w:cs="Times New Roman"/>
          <w:sz w:val="24"/>
          <w:szCs w:val="24"/>
        </w:rPr>
        <w:footnoteReference w:id="190"/>
      </w:r>
      <w:r w:rsidRPr="00AF4381">
        <w:rPr>
          <w:rFonts w:ascii="Times New Roman" w:hAnsi="Times New Roman" w:cs="Times New Roman"/>
          <w:sz w:val="24"/>
          <w:szCs w:val="24"/>
          <w:vertAlign w:val="baseline"/>
        </w:rPr>
        <w:t xml:space="preserve"> period, predating Christianity, and was practiced in almost all the societies and cultures across the world, according to differing local beliefs and traditions.</w:t>
      </w:r>
      <w:r w:rsidRPr="00AF4381">
        <w:rPr>
          <w:rFonts w:ascii="Times New Roman" w:hAnsi="Times New Roman" w:cs="Times New Roman"/>
          <w:sz w:val="24"/>
          <w:szCs w:val="24"/>
        </w:rPr>
        <w:footnoteReference w:id="191"/>
      </w:r>
      <w:r w:rsidRPr="00AF4381">
        <w:rPr>
          <w:rFonts w:ascii="Times New Roman" w:hAnsi="Times New Roman" w:cs="Times New Roman"/>
          <w:sz w:val="24"/>
          <w:szCs w:val="24"/>
          <w:vertAlign w:val="baseline"/>
        </w:rPr>
        <w:t xml:space="preserve"> As noted by Murray,</w:t>
      </w:r>
    </w:p>
    <w:p w14:paraId="52B28441" w14:textId="77777777" w:rsidR="00E814A9" w:rsidRPr="00AF4381" w:rsidRDefault="00E814A9" w:rsidP="00E814A9">
      <w:pPr>
        <w:spacing w:line="480" w:lineRule="auto"/>
        <w:ind w:firstLine="720"/>
        <w:jc w:val="both"/>
        <w:rPr>
          <w:rFonts w:ascii="Times New Roman" w:hAnsi="Times New Roman" w:cs="Times New Roman"/>
          <w:sz w:val="24"/>
          <w:szCs w:val="24"/>
          <w:vertAlign w:val="baseline"/>
        </w:rPr>
      </w:pPr>
    </w:p>
    <w:p w14:paraId="4FA8AD76" w14:textId="5785F8DD" w:rsidR="00AF4381" w:rsidRPr="00AF4381" w:rsidRDefault="00AF4381" w:rsidP="00D04DEC">
      <w:pPr>
        <w:spacing w:line="480" w:lineRule="auto"/>
        <w:ind w:left="720"/>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The evidence proves that underlying the Christian religion was a Dianic cult</w:t>
      </w:r>
      <w:r w:rsidR="00736EC1">
        <w:rPr>
          <w:rFonts w:ascii="Times New Roman" w:hAnsi="Times New Roman" w:cs="Times New Roman"/>
          <w:sz w:val="24"/>
          <w:szCs w:val="24"/>
          <w:vertAlign w:val="baseline"/>
        </w:rPr>
        <w:t xml:space="preserve"> </w:t>
      </w:r>
      <w:r w:rsidRPr="00AF4381">
        <w:rPr>
          <w:rFonts w:ascii="Times New Roman" w:hAnsi="Times New Roman" w:cs="Times New Roman"/>
          <w:sz w:val="24"/>
          <w:szCs w:val="24"/>
          <w:vertAlign w:val="baseline"/>
        </w:rPr>
        <w:t>…</w:t>
      </w:r>
      <w:r w:rsidR="00736EC1">
        <w:rPr>
          <w:rFonts w:ascii="Times New Roman" w:hAnsi="Times New Roman" w:cs="Times New Roman"/>
          <w:sz w:val="24"/>
          <w:szCs w:val="24"/>
          <w:vertAlign w:val="baseline"/>
        </w:rPr>
        <w:t xml:space="preserve"> known in late medi</w:t>
      </w:r>
      <w:r w:rsidRPr="00AF4381">
        <w:rPr>
          <w:rFonts w:ascii="Times New Roman" w:hAnsi="Times New Roman" w:cs="Times New Roman"/>
          <w:sz w:val="24"/>
          <w:szCs w:val="24"/>
          <w:vertAlign w:val="baseline"/>
        </w:rPr>
        <w:t>eval times at witches</w:t>
      </w:r>
      <w:r w:rsidR="00736EC1">
        <w:rPr>
          <w:rFonts w:ascii="Times New Roman" w:hAnsi="Times New Roman" w:cs="Times New Roman"/>
          <w:sz w:val="24"/>
          <w:szCs w:val="24"/>
          <w:vertAlign w:val="baseline"/>
        </w:rPr>
        <w:t xml:space="preserve"> </w:t>
      </w:r>
      <w:r w:rsidRPr="00AF4381">
        <w:rPr>
          <w:rFonts w:ascii="Times New Roman" w:hAnsi="Times New Roman" w:cs="Times New Roman"/>
          <w:sz w:val="24"/>
          <w:szCs w:val="24"/>
          <w:vertAlign w:val="baseline"/>
        </w:rPr>
        <w:t>…</w:t>
      </w:r>
      <w:r w:rsidR="00736EC1">
        <w:rPr>
          <w:rFonts w:ascii="Times New Roman" w:hAnsi="Times New Roman" w:cs="Times New Roman"/>
          <w:sz w:val="24"/>
          <w:szCs w:val="24"/>
          <w:vertAlign w:val="baseline"/>
        </w:rPr>
        <w:t xml:space="preserve"> </w:t>
      </w:r>
      <w:r w:rsidRPr="00AF4381">
        <w:rPr>
          <w:rFonts w:ascii="Times New Roman" w:hAnsi="Times New Roman" w:cs="Times New Roman"/>
          <w:sz w:val="24"/>
          <w:szCs w:val="24"/>
          <w:vertAlign w:val="baseline"/>
        </w:rPr>
        <w:t>practised by many classes of the community</w:t>
      </w:r>
      <w:r w:rsidR="00D72644">
        <w:rPr>
          <w:rFonts w:ascii="Times New Roman" w:hAnsi="Times New Roman" w:cs="Times New Roman"/>
          <w:sz w:val="24"/>
          <w:szCs w:val="24"/>
          <w:vertAlign w:val="baseline"/>
        </w:rPr>
        <w:t xml:space="preserve"> </w:t>
      </w:r>
      <w:r w:rsidRPr="00AF4381">
        <w:rPr>
          <w:rFonts w:ascii="Times New Roman" w:hAnsi="Times New Roman" w:cs="Times New Roman"/>
          <w:sz w:val="24"/>
          <w:szCs w:val="24"/>
          <w:vertAlign w:val="baseline"/>
        </w:rPr>
        <w:t>…</w:t>
      </w:r>
      <w:r w:rsidR="00D72644">
        <w:rPr>
          <w:rFonts w:ascii="Times New Roman" w:hAnsi="Times New Roman" w:cs="Times New Roman"/>
          <w:sz w:val="24"/>
          <w:szCs w:val="24"/>
          <w:vertAlign w:val="baseline"/>
        </w:rPr>
        <w:t xml:space="preserve"> </w:t>
      </w:r>
      <w:r w:rsidRPr="00AF4381">
        <w:rPr>
          <w:rFonts w:ascii="Times New Roman" w:hAnsi="Times New Roman" w:cs="Times New Roman"/>
          <w:sz w:val="24"/>
          <w:szCs w:val="24"/>
          <w:vertAlign w:val="baseline"/>
        </w:rPr>
        <w:t>It can be traced back to pre-Christian times, and appears to be the ancient religion of Western Europe. The god, anthropomorphic or theriomorphic, was worshipped in well−defined rites; the organization was highly developed; and the ritual is analogous to many other ancient rituals.</w:t>
      </w:r>
      <w:r w:rsidRPr="00AF4381">
        <w:rPr>
          <w:rFonts w:ascii="Times New Roman" w:hAnsi="Times New Roman" w:cs="Times New Roman"/>
          <w:sz w:val="24"/>
          <w:szCs w:val="24"/>
        </w:rPr>
        <w:footnoteReference w:id="192"/>
      </w:r>
    </w:p>
    <w:p w14:paraId="151367A1" w14:textId="77777777" w:rsidR="00AF4381" w:rsidRPr="00AF4381" w:rsidRDefault="00AF4381" w:rsidP="00AF4381">
      <w:pPr>
        <w:spacing w:line="480" w:lineRule="auto"/>
        <w:jc w:val="both"/>
        <w:rPr>
          <w:rFonts w:ascii="Times New Roman" w:hAnsi="Times New Roman" w:cs="Times New Roman"/>
          <w:sz w:val="24"/>
          <w:szCs w:val="24"/>
          <w:vertAlign w:val="baseline"/>
        </w:rPr>
      </w:pPr>
    </w:p>
    <w:p w14:paraId="247B4436" w14:textId="528644EF" w:rsidR="00AF4381" w:rsidRPr="00AF4381" w:rsidRDefault="00AF4381" w:rsidP="00D04DEC">
      <w:pPr>
        <w:spacing w:line="480" w:lineRule="auto"/>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It is understood from cave drawings found at Altamira, Northern Spain</w:t>
      </w:r>
      <w:r w:rsidRPr="00AF4381">
        <w:rPr>
          <w:rFonts w:ascii="Times New Roman" w:hAnsi="Times New Roman" w:cs="Times New Roman"/>
          <w:sz w:val="24"/>
          <w:szCs w:val="24"/>
        </w:rPr>
        <w:footnoteReference w:id="193"/>
      </w:r>
      <w:r w:rsidRPr="00AF4381">
        <w:rPr>
          <w:rFonts w:ascii="Times New Roman" w:hAnsi="Times New Roman" w:cs="Times New Roman"/>
          <w:sz w:val="24"/>
          <w:szCs w:val="24"/>
          <w:vertAlign w:val="baseline"/>
        </w:rPr>
        <w:t xml:space="preserve"> that these rituals were performed to a horned deity in order to safeguard the fertility of cattle. As noted by Planer,</w:t>
      </w:r>
      <w:r w:rsidR="00730CB4" w:rsidRPr="00AF4381">
        <w:rPr>
          <w:rFonts w:ascii="Times New Roman" w:hAnsi="Times New Roman" w:cs="Times New Roman"/>
          <w:sz w:val="24"/>
          <w:szCs w:val="24"/>
          <w:vertAlign w:val="baseline"/>
        </w:rPr>
        <w:t xml:space="preserve"> </w:t>
      </w:r>
      <w:r w:rsidRPr="00AF4381">
        <w:rPr>
          <w:rFonts w:ascii="Times New Roman" w:hAnsi="Times New Roman" w:cs="Times New Roman"/>
          <w:sz w:val="24"/>
          <w:szCs w:val="24"/>
          <w:vertAlign w:val="baseline"/>
        </w:rPr>
        <w:t>such ceremonies were ‘believed to be at the origin of the Christian tradition of a devil with horns and tail.’</w:t>
      </w:r>
      <w:r w:rsidRPr="00AF4381">
        <w:rPr>
          <w:rFonts w:ascii="Times New Roman" w:hAnsi="Times New Roman" w:cs="Times New Roman"/>
          <w:sz w:val="24"/>
          <w:szCs w:val="24"/>
        </w:rPr>
        <w:footnoteReference w:id="194"/>
      </w:r>
      <w:r w:rsidRPr="00AF4381">
        <w:rPr>
          <w:rFonts w:ascii="Times New Roman" w:hAnsi="Times New Roman" w:cs="Times New Roman"/>
          <w:sz w:val="24"/>
          <w:szCs w:val="24"/>
          <w:vertAlign w:val="baseline"/>
        </w:rPr>
        <w:t xml:space="preserve"> Within Christianity, whilst the Devil was seen to epitomise evil, the witch was perceived to be a disciple of the Devil. In return for their fidelity, it is understood that the Devil had granted witches fearsome powers to inflict harm and destruction upon society.</w:t>
      </w:r>
      <w:r w:rsidRPr="00AF4381">
        <w:rPr>
          <w:rFonts w:ascii="Times New Roman" w:hAnsi="Times New Roman" w:cs="Times New Roman"/>
          <w:sz w:val="24"/>
          <w:szCs w:val="24"/>
        </w:rPr>
        <w:footnoteReference w:id="195"/>
      </w:r>
      <w:r w:rsidRPr="00AF4381">
        <w:rPr>
          <w:rFonts w:ascii="Times New Roman" w:hAnsi="Times New Roman" w:cs="Times New Roman"/>
          <w:sz w:val="24"/>
          <w:szCs w:val="24"/>
          <w:vertAlign w:val="baseline"/>
        </w:rPr>
        <w:t xml:space="preserve"> Witches were believed to attend midnight gatherings, </w:t>
      </w:r>
      <w:r w:rsidRPr="00AF4381">
        <w:rPr>
          <w:rFonts w:ascii="Times New Roman" w:hAnsi="Times New Roman" w:cs="Times New Roman"/>
          <w:i/>
          <w:sz w:val="24"/>
          <w:szCs w:val="24"/>
          <w:vertAlign w:val="baseline"/>
        </w:rPr>
        <w:t xml:space="preserve">Sabbats, </w:t>
      </w:r>
      <w:r w:rsidRPr="00AF4381">
        <w:rPr>
          <w:rFonts w:ascii="Times New Roman" w:hAnsi="Times New Roman" w:cs="Times New Roman"/>
          <w:sz w:val="24"/>
          <w:szCs w:val="24"/>
          <w:vertAlign w:val="baseline"/>
        </w:rPr>
        <w:t>where it is understood that the ‘witches’ would initially pray to the Devil. Prayers consisted of the renunciation of Christ and culminated in each individual witch kissing the anus of the Devil.</w:t>
      </w:r>
      <w:r w:rsidRPr="00AF4381">
        <w:rPr>
          <w:rFonts w:ascii="Times New Roman" w:hAnsi="Times New Roman" w:cs="Times New Roman"/>
          <w:sz w:val="24"/>
          <w:szCs w:val="24"/>
        </w:rPr>
        <w:footnoteReference w:id="196"/>
      </w:r>
      <w:r w:rsidRPr="00AF4381">
        <w:rPr>
          <w:rFonts w:ascii="Times New Roman" w:hAnsi="Times New Roman" w:cs="Times New Roman"/>
          <w:sz w:val="24"/>
          <w:szCs w:val="24"/>
          <w:vertAlign w:val="baseline"/>
        </w:rPr>
        <w:t xml:space="preserve"> During the </w:t>
      </w:r>
      <w:r w:rsidRPr="00AF4381">
        <w:rPr>
          <w:rFonts w:ascii="Times New Roman" w:hAnsi="Times New Roman" w:cs="Times New Roman"/>
          <w:i/>
          <w:sz w:val="24"/>
          <w:szCs w:val="24"/>
          <w:vertAlign w:val="baseline"/>
        </w:rPr>
        <w:t>Sabbats</w:t>
      </w:r>
      <w:r w:rsidRPr="00AF4381">
        <w:rPr>
          <w:rFonts w:ascii="Times New Roman" w:hAnsi="Times New Roman" w:cs="Times New Roman"/>
          <w:sz w:val="24"/>
          <w:szCs w:val="24"/>
          <w:vertAlign w:val="baseline"/>
        </w:rPr>
        <w:t xml:space="preserve"> the witches would then sit down to a feast, usually of a roasted human baby, before describing their sacrilegious and immoral achievements to the others.</w:t>
      </w:r>
      <w:r w:rsidRPr="00AF4381">
        <w:rPr>
          <w:rFonts w:ascii="Times New Roman" w:hAnsi="Times New Roman" w:cs="Times New Roman"/>
          <w:sz w:val="24"/>
          <w:szCs w:val="24"/>
        </w:rPr>
        <w:footnoteReference w:id="197"/>
      </w:r>
      <w:r w:rsidRPr="00AF4381">
        <w:rPr>
          <w:rFonts w:ascii="Times New Roman" w:hAnsi="Times New Roman" w:cs="Times New Roman"/>
          <w:sz w:val="24"/>
          <w:szCs w:val="24"/>
          <w:vertAlign w:val="baseline"/>
        </w:rPr>
        <w:t xml:space="preserve"> The </w:t>
      </w:r>
      <w:r w:rsidRPr="00AF4381">
        <w:rPr>
          <w:rFonts w:ascii="Times New Roman" w:hAnsi="Times New Roman" w:cs="Times New Roman"/>
          <w:i/>
          <w:sz w:val="24"/>
          <w:szCs w:val="24"/>
          <w:vertAlign w:val="baseline"/>
        </w:rPr>
        <w:t xml:space="preserve">Sabbat </w:t>
      </w:r>
      <w:r w:rsidRPr="00AF4381">
        <w:rPr>
          <w:rFonts w:ascii="Times New Roman" w:hAnsi="Times New Roman" w:cs="Times New Roman"/>
          <w:sz w:val="24"/>
          <w:szCs w:val="24"/>
          <w:vertAlign w:val="baseline"/>
        </w:rPr>
        <w:t xml:space="preserve">culminated in a mass orgy, where nothing was forbidden, whereby sex with Satan himself was the pinnacle of the ceremony. </w:t>
      </w:r>
    </w:p>
    <w:p w14:paraId="791D00FB" w14:textId="77777777" w:rsidR="00BC0C53" w:rsidRDefault="00BC0C53" w:rsidP="00BC0C53">
      <w:pPr>
        <w:spacing w:line="480" w:lineRule="auto"/>
        <w:ind w:firstLine="720"/>
        <w:jc w:val="both"/>
        <w:rPr>
          <w:rFonts w:ascii="Times New Roman" w:hAnsi="Times New Roman" w:cs="Times New Roman"/>
          <w:sz w:val="24"/>
          <w:szCs w:val="24"/>
          <w:vertAlign w:val="baseline"/>
        </w:rPr>
      </w:pPr>
    </w:p>
    <w:p w14:paraId="27F4925A" w14:textId="77777777" w:rsidR="00AF4381" w:rsidRPr="00AF4381" w:rsidRDefault="00AF4381" w:rsidP="00BC0C53">
      <w:pPr>
        <w:spacing w:line="480" w:lineRule="auto"/>
        <w:ind w:firstLine="720"/>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 xml:space="preserve">In Hinduism, as discussed previously, as there is no belief in an anthropomorphic God, there is also no single adversary, such as the devil. Hinduism shares the belief in witches, however, witches are known as </w:t>
      </w:r>
      <w:r w:rsidRPr="00AF4381">
        <w:rPr>
          <w:rFonts w:ascii="Times New Roman" w:hAnsi="Times New Roman" w:cs="Times New Roman"/>
          <w:i/>
          <w:sz w:val="24"/>
          <w:szCs w:val="24"/>
          <w:vertAlign w:val="baseline"/>
        </w:rPr>
        <w:t>Daayans</w:t>
      </w:r>
      <w:r w:rsidRPr="00AF4381">
        <w:rPr>
          <w:rFonts w:ascii="Times New Roman" w:hAnsi="Times New Roman" w:cs="Times New Roman"/>
          <w:sz w:val="24"/>
          <w:szCs w:val="24"/>
          <w:vertAlign w:val="baseline"/>
        </w:rPr>
        <w:t xml:space="preserve">, originating from the word </w:t>
      </w:r>
      <w:r w:rsidRPr="00AF4381">
        <w:rPr>
          <w:rFonts w:ascii="Times New Roman" w:hAnsi="Times New Roman" w:cs="Times New Roman"/>
          <w:i/>
          <w:sz w:val="24"/>
          <w:szCs w:val="24"/>
          <w:vertAlign w:val="baseline"/>
        </w:rPr>
        <w:t>Dakini</w:t>
      </w:r>
      <w:r w:rsidRPr="00AF4381">
        <w:rPr>
          <w:rFonts w:ascii="Times New Roman" w:hAnsi="Times New Roman" w:cs="Times New Roman"/>
          <w:sz w:val="24"/>
          <w:szCs w:val="24"/>
          <w:vertAlign w:val="baseline"/>
        </w:rPr>
        <w:t xml:space="preserve"> in Sanskrit, meaning female supernatural beings that appear as ‘a demon in the train of Kali who feeds on human flesh.’</w:t>
      </w:r>
      <w:r w:rsidRPr="00AF4381">
        <w:rPr>
          <w:rFonts w:ascii="Times New Roman" w:hAnsi="Times New Roman" w:cs="Times New Roman"/>
          <w:sz w:val="24"/>
          <w:szCs w:val="24"/>
        </w:rPr>
        <w:footnoteReference w:id="198"/>
      </w:r>
      <w:r w:rsidRPr="00AF4381">
        <w:rPr>
          <w:rFonts w:ascii="Times New Roman" w:hAnsi="Times New Roman" w:cs="Times New Roman"/>
          <w:sz w:val="24"/>
          <w:szCs w:val="24"/>
          <w:vertAlign w:val="baseline"/>
        </w:rPr>
        <w:t xml:space="preserve"> However, within ancient Hinduism, all male power originates from the feminine, thus, women were not only equal with men, but they enjoyed certain rights and privileges, which were not given to men.</w:t>
      </w:r>
      <w:r w:rsidRPr="00AF4381">
        <w:rPr>
          <w:rFonts w:ascii="Times New Roman" w:hAnsi="Times New Roman" w:cs="Times New Roman"/>
          <w:sz w:val="24"/>
          <w:szCs w:val="24"/>
        </w:rPr>
        <w:footnoteReference w:id="199"/>
      </w:r>
      <w:r w:rsidRPr="00AF4381">
        <w:rPr>
          <w:rFonts w:ascii="Times New Roman" w:hAnsi="Times New Roman" w:cs="Times New Roman"/>
          <w:sz w:val="24"/>
          <w:szCs w:val="24"/>
          <w:vertAlign w:val="baseline"/>
        </w:rPr>
        <w:t xml:space="preserve">  As observed by Dutt, ‘the absolute seclusion of women in India was unknown in ancient times.’</w:t>
      </w:r>
      <w:r w:rsidRPr="00AF4381">
        <w:rPr>
          <w:rFonts w:ascii="Times New Roman" w:hAnsi="Times New Roman" w:cs="Times New Roman"/>
          <w:sz w:val="24"/>
          <w:szCs w:val="24"/>
        </w:rPr>
        <w:footnoteReference w:id="200"/>
      </w:r>
      <w:r w:rsidRPr="00AF4381">
        <w:rPr>
          <w:rFonts w:ascii="Times New Roman" w:hAnsi="Times New Roman" w:cs="Times New Roman"/>
          <w:sz w:val="24"/>
          <w:szCs w:val="24"/>
          <w:vertAlign w:val="baseline"/>
        </w:rPr>
        <w:t xml:space="preserve"> Thus, it is for this reason that the belief in witchcraft and the persecution of female witches was not fully developed in ancient Hinduism.</w:t>
      </w:r>
    </w:p>
    <w:p w14:paraId="6C9F4C27" w14:textId="77777777" w:rsidR="00AF4381" w:rsidRPr="00AF4381" w:rsidRDefault="00AF4381" w:rsidP="00AF4381">
      <w:pPr>
        <w:spacing w:line="480" w:lineRule="auto"/>
        <w:jc w:val="both"/>
        <w:rPr>
          <w:rFonts w:ascii="Times New Roman" w:hAnsi="Times New Roman" w:cs="Times New Roman"/>
          <w:sz w:val="24"/>
          <w:szCs w:val="24"/>
          <w:vertAlign w:val="baseline"/>
        </w:rPr>
      </w:pPr>
    </w:p>
    <w:p w14:paraId="36395C9E" w14:textId="35AAF9B7" w:rsidR="00AF4381" w:rsidRDefault="00AF4381" w:rsidP="00BC0C53">
      <w:pPr>
        <w:spacing w:line="480" w:lineRule="auto"/>
        <w:ind w:firstLine="720"/>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Although the belief in evil spirits and the devil is commonplace within Islam, the belief in Satanism and his widespread network of destructive agents, namely witches, was never developed in Islam.</w:t>
      </w:r>
      <w:r w:rsidRPr="00AF4381">
        <w:rPr>
          <w:rFonts w:ascii="Times New Roman" w:hAnsi="Times New Roman" w:cs="Times New Roman"/>
          <w:sz w:val="24"/>
          <w:szCs w:val="24"/>
        </w:rPr>
        <w:footnoteReference w:id="201"/>
      </w:r>
      <w:r w:rsidRPr="00AF4381">
        <w:rPr>
          <w:rFonts w:ascii="Times New Roman" w:hAnsi="Times New Roman" w:cs="Times New Roman"/>
          <w:sz w:val="24"/>
          <w:szCs w:val="24"/>
          <w:vertAlign w:val="baseline"/>
        </w:rPr>
        <w:t xml:space="preserve"> Stark</w:t>
      </w:r>
      <w:r w:rsidR="00BC0C53" w:rsidRPr="00AF4381">
        <w:rPr>
          <w:rFonts w:ascii="Times New Roman" w:hAnsi="Times New Roman" w:cs="Times New Roman"/>
          <w:sz w:val="24"/>
          <w:szCs w:val="24"/>
          <w:vertAlign w:val="baseline"/>
        </w:rPr>
        <w:t>,</w:t>
      </w:r>
      <w:r w:rsidR="00BC0C53">
        <w:rPr>
          <w:rFonts w:ascii="Times New Roman" w:hAnsi="Times New Roman" w:cs="Times New Roman"/>
          <w:sz w:val="24"/>
          <w:szCs w:val="24"/>
        </w:rPr>
        <w:t xml:space="preserve"> </w:t>
      </w:r>
      <w:r w:rsidR="00BC0C53" w:rsidRPr="00AF4381">
        <w:rPr>
          <w:rFonts w:ascii="Times New Roman" w:hAnsi="Times New Roman" w:cs="Times New Roman"/>
          <w:sz w:val="24"/>
          <w:szCs w:val="24"/>
          <w:vertAlign w:val="baseline"/>
        </w:rPr>
        <w:t>provides</w:t>
      </w:r>
      <w:r w:rsidRPr="00AF4381">
        <w:rPr>
          <w:rFonts w:ascii="Times New Roman" w:hAnsi="Times New Roman" w:cs="Times New Roman"/>
          <w:sz w:val="24"/>
          <w:szCs w:val="24"/>
          <w:vertAlign w:val="baseline"/>
        </w:rPr>
        <w:t xml:space="preserve"> three factors as to why this was the case. The predominant factor was that, unlike Christianity, Islam condoned the use of magic, partially because magic was not seen as a threat to Muslim political rule and also because ‘many of these practices are embedded in the Qur’an.’</w:t>
      </w:r>
      <w:r w:rsidRPr="00AF4381">
        <w:rPr>
          <w:rFonts w:ascii="Times New Roman" w:hAnsi="Times New Roman" w:cs="Times New Roman"/>
          <w:sz w:val="24"/>
          <w:szCs w:val="24"/>
        </w:rPr>
        <w:footnoteReference w:id="202"/>
      </w:r>
      <w:r w:rsidRPr="00AF4381">
        <w:rPr>
          <w:rFonts w:ascii="Times New Roman" w:hAnsi="Times New Roman" w:cs="Times New Roman"/>
          <w:sz w:val="24"/>
          <w:szCs w:val="24"/>
          <w:vertAlign w:val="baseline"/>
        </w:rPr>
        <w:t xml:space="preserve"> Secondly, it is an Islamic belief that the prophet Muhammad provided individuals with the required resources in order for them to be protected against all forms of magic and sorcery. Thus, following their five daily prayers, on reciting the last few sentences of the Qur’an, all evil forces are neutralised.</w:t>
      </w:r>
      <w:r w:rsidRPr="00AF4381">
        <w:rPr>
          <w:rFonts w:ascii="Times New Roman" w:hAnsi="Times New Roman" w:cs="Times New Roman"/>
          <w:sz w:val="24"/>
          <w:szCs w:val="24"/>
        </w:rPr>
        <w:footnoteReference w:id="203"/>
      </w:r>
      <w:r w:rsidRPr="00AF4381">
        <w:rPr>
          <w:rFonts w:ascii="Times New Roman" w:hAnsi="Times New Roman" w:cs="Times New Roman"/>
          <w:sz w:val="24"/>
          <w:szCs w:val="24"/>
          <w:vertAlign w:val="baseline"/>
        </w:rPr>
        <w:t xml:space="preserve"> The final reason, according to Stark, is that Islam failed to develop a perspective on Satanism for the same reason that it failed to develop science,</w:t>
      </w:r>
    </w:p>
    <w:p w14:paraId="115E0F7A" w14:textId="77777777" w:rsidR="00E814A9" w:rsidRPr="00AF4381" w:rsidRDefault="00E814A9" w:rsidP="00BC0C53">
      <w:pPr>
        <w:spacing w:line="480" w:lineRule="auto"/>
        <w:ind w:firstLine="720"/>
        <w:jc w:val="both"/>
        <w:rPr>
          <w:rFonts w:ascii="Times New Roman" w:hAnsi="Times New Roman" w:cs="Times New Roman"/>
          <w:sz w:val="24"/>
          <w:szCs w:val="24"/>
          <w:vertAlign w:val="baseline"/>
        </w:rPr>
      </w:pPr>
    </w:p>
    <w:p w14:paraId="51A2FB54" w14:textId="77777777" w:rsidR="00AF4381" w:rsidRPr="00AF4381" w:rsidRDefault="00AF4381" w:rsidP="00532EE2">
      <w:pPr>
        <w:spacing w:line="480" w:lineRule="auto"/>
        <w:ind w:left="720"/>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Islamic theologians were not nearly so committed to reason and rationality. Hence, while Christian theologians could not settle for the observation that magic simply ‘worked,’ their Muslim counterparts could and did. That is the final and fatal irony about European witch-hunts. They were the result of reason and logic applied to a false premise.</w:t>
      </w:r>
      <w:r w:rsidRPr="00AF4381">
        <w:rPr>
          <w:rFonts w:ascii="Times New Roman" w:hAnsi="Times New Roman" w:cs="Times New Roman"/>
          <w:sz w:val="24"/>
          <w:szCs w:val="24"/>
        </w:rPr>
        <w:footnoteReference w:id="204"/>
      </w:r>
    </w:p>
    <w:p w14:paraId="7490AEDD" w14:textId="77777777" w:rsidR="00AF4381" w:rsidRPr="00AF4381" w:rsidRDefault="00AF4381" w:rsidP="00AF4381">
      <w:pPr>
        <w:spacing w:line="480" w:lineRule="auto"/>
        <w:jc w:val="both"/>
        <w:rPr>
          <w:rFonts w:ascii="Times New Roman" w:hAnsi="Times New Roman" w:cs="Times New Roman"/>
          <w:sz w:val="24"/>
          <w:szCs w:val="24"/>
          <w:vertAlign w:val="baseline"/>
        </w:rPr>
      </w:pPr>
    </w:p>
    <w:p w14:paraId="6D913CF5" w14:textId="54637341" w:rsidR="00AF4381" w:rsidRPr="00AF4381" w:rsidRDefault="00AF4381" w:rsidP="009458A0">
      <w:pPr>
        <w:spacing w:line="480" w:lineRule="auto"/>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Thus, whilst Judaism, Islam and Hinduism all make reference to witchcraft, it appears that it was Christianity that developed the greatest interest with witches, predominantly, due to its inherently misogynistic outlook, as discussed further in chapter four.</w:t>
      </w:r>
      <w:r w:rsidRPr="00AF4381">
        <w:rPr>
          <w:rFonts w:ascii="Times New Roman" w:hAnsi="Times New Roman" w:cs="Times New Roman"/>
          <w:sz w:val="24"/>
          <w:szCs w:val="24"/>
        </w:rPr>
        <w:footnoteReference w:id="205"/>
      </w:r>
      <w:r w:rsidRPr="00AF4381">
        <w:rPr>
          <w:rFonts w:ascii="Times New Roman" w:hAnsi="Times New Roman" w:cs="Times New Roman"/>
          <w:sz w:val="24"/>
          <w:szCs w:val="24"/>
          <w:vertAlign w:val="baseline"/>
        </w:rPr>
        <w:t xml:space="preserve"> This obsession subsequently culminated in the deaths of many alleged witches</w:t>
      </w:r>
      <w:r w:rsidR="00532EE2">
        <w:rPr>
          <w:rFonts w:ascii="Times New Roman" w:hAnsi="Times New Roman" w:cs="Times New Roman"/>
          <w:sz w:val="24"/>
          <w:szCs w:val="24"/>
          <w:vertAlign w:val="baseline"/>
        </w:rPr>
        <w:t xml:space="preserve"> in Europe</w:t>
      </w:r>
      <w:r w:rsidRPr="00AF4381">
        <w:rPr>
          <w:rFonts w:ascii="Times New Roman" w:hAnsi="Times New Roman" w:cs="Times New Roman"/>
          <w:sz w:val="24"/>
          <w:szCs w:val="24"/>
          <w:vertAlign w:val="baseline"/>
        </w:rPr>
        <w:t>, between the 16</w:t>
      </w:r>
      <w:r w:rsidRPr="00AF4381">
        <w:rPr>
          <w:rFonts w:ascii="Times New Roman" w:hAnsi="Times New Roman" w:cs="Times New Roman"/>
          <w:sz w:val="24"/>
          <w:szCs w:val="24"/>
        </w:rPr>
        <w:t>th</w:t>
      </w:r>
      <w:r w:rsidRPr="00AF4381">
        <w:rPr>
          <w:rFonts w:ascii="Times New Roman" w:hAnsi="Times New Roman" w:cs="Times New Roman"/>
          <w:sz w:val="24"/>
          <w:szCs w:val="24"/>
          <w:vertAlign w:val="baseline"/>
        </w:rPr>
        <w:t xml:space="preserve"> and 18</w:t>
      </w:r>
      <w:r w:rsidRPr="00AF4381">
        <w:rPr>
          <w:rFonts w:ascii="Times New Roman" w:hAnsi="Times New Roman" w:cs="Times New Roman"/>
          <w:sz w:val="24"/>
          <w:szCs w:val="24"/>
        </w:rPr>
        <w:t>th</w:t>
      </w:r>
      <w:r w:rsidRPr="00AF4381">
        <w:rPr>
          <w:rFonts w:ascii="Times New Roman" w:hAnsi="Times New Roman" w:cs="Times New Roman"/>
          <w:sz w:val="24"/>
          <w:szCs w:val="24"/>
          <w:vertAlign w:val="baseline"/>
        </w:rPr>
        <w:t xml:space="preserve"> centuries, at the infamous witch trials.</w:t>
      </w:r>
      <w:r w:rsidRPr="00AF4381">
        <w:rPr>
          <w:rFonts w:ascii="Times New Roman" w:hAnsi="Times New Roman" w:cs="Times New Roman"/>
          <w:sz w:val="24"/>
          <w:szCs w:val="24"/>
        </w:rPr>
        <w:footnoteReference w:id="206"/>
      </w:r>
      <w:r w:rsidRPr="00AF4381">
        <w:rPr>
          <w:rFonts w:ascii="Times New Roman" w:hAnsi="Times New Roman" w:cs="Times New Roman"/>
          <w:sz w:val="24"/>
          <w:szCs w:val="24"/>
          <w:vertAlign w:val="baseline"/>
        </w:rPr>
        <w:t xml:space="preserve"> </w:t>
      </w:r>
    </w:p>
    <w:p w14:paraId="39ECC3B5" w14:textId="77777777" w:rsidR="009F789C" w:rsidRDefault="009F789C" w:rsidP="00AF4381">
      <w:pPr>
        <w:spacing w:line="480" w:lineRule="auto"/>
        <w:jc w:val="both"/>
        <w:rPr>
          <w:rFonts w:ascii="Times New Roman" w:hAnsi="Times New Roman" w:cs="Times New Roman"/>
          <w:sz w:val="24"/>
          <w:szCs w:val="24"/>
          <w:vertAlign w:val="baseline"/>
        </w:rPr>
      </w:pPr>
    </w:p>
    <w:p w14:paraId="77DC79C3" w14:textId="73BF28B5" w:rsidR="00AF4381" w:rsidRDefault="00AF4381" w:rsidP="009F789C">
      <w:pPr>
        <w:spacing w:line="480" w:lineRule="auto"/>
        <w:ind w:firstLine="720"/>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The earliest written recording of the word ‘witch’ appears in Exodus 22:18,</w:t>
      </w:r>
      <w:r w:rsidRPr="00AF4381">
        <w:rPr>
          <w:rFonts w:ascii="Times New Roman" w:hAnsi="Times New Roman" w:cs="Times New Roman"/>
          <w:sz w:val="24"/>
          <w:szCs w:val="24"/>
        </w:rPr>
        <w:footnoteReference w:id="207"/>
      </w:r>
      <w:r w:rsidRPr="00AF4381">
        <w:rPr>
          <w:rFonts w:ascii="Times New Roman" w:hAnsi="Times New Roman" w:cs="Times New Roman"/>
          <w:sz w:val="24"/>
          <w:szCs w:val="24"/>
          <w:vertAlign w:val="baseline"/>
        </w:rPr>
        <w:t xml:space="preserve"> ‘thou shalt not suffer a witch to live.’</w:t>
      </w:r>
      <w:r w:rsidRPr="00AF4381">
        <w:rPr>
          <w:rFonts w:ascii="Times New Roman" w:hAnsi="Times New Roman" w:cs="Times New Roman"/>
          <w:sz w:val="24"/>
          <w:szCs w:val="24"/>
        </w:rPr>
        <w:footnoteReference w:id="208"/>
      </w:r>
      <w:r w:rsidRPr="00AF4381">
        <w:rPr>
          <w:rFonts w:ascii="Times New Roman" w:hAnsi="Times New Roman" w:cs="Times New Roman"/>
          <w:sz w:val="24"/>
          <w:szCs w:val="24"/>
          <w:vertAlign w:val="baseline"/>
        </w:rPr>
        <w:t xml:space="preserve"> Connotations of witchcraft can also be found in Leviticus 20:27, ‘a man also or woman that hath a familiar spirit, or that is a wizard, shall surely be put to death, they shall stone them with stones, their blood shall be upon them.’</w:t>
      </w:r>
      <w:r w:rsidRPr="00AF4381">
        <w:rPr>
          <w:rFonts w:ascii="Times New Roman" w:hAnsi="Times New Roman" w:cs="Times New Roman"/>
          <w:sz w:val="24"/>
          <w:szCs w:val="24"/>
        </w:rPr>
        <w:footnoteReference w:id="209"/>
      </w:r>
      <w:r w:rsidRPr="00AF4381">
        <w:rPr>
          <w:rFonts w:ascii="Times New Roman" w:hAnsi="Times New Roman" w:cs="Times New Roman"/>
          <w:sz w:val="24"/>
          <w:szCs w:val="24"/>
          <w:vertAlign w:val="baseline"/>
        </w:rPr>
        <w:t xml:space="preserve">  Further reference to witchcraft was made in approximately 420, by Saint Augustine of Hippo, a highly influential theologian in the early Christian Church. Saint Augustine believed witches to be powerless, stating that it was an error of the Pagans to believe in some other divine power than the one God, a view accepted by the church, who saw little need to concern itself, at that time, with allegations of witchcraft.</w:t>
      </w:r>
      <w:r w:rsidRPr="00AF4381">
        <w:rPr>
          <w:rFonts w:ascii="Times New Roman" w:hAnsi="Times New Roman" w:cs="Times New Roman"/>
          <w:sz w:val="24"/>
          <w:szCs w:val="24"/>
        </w:rPr>
        <w:footnoteReference w:id="210"/>
      </w:r>
      <w:r w:rsidRPr="00AF4381">
        <w:rPr>
          <w:rFonts w:ascii="Times New Roman" w:hAnsi="Times New Roman" w:cs="Times New Roman"/>
          <w:sz w:val="24"/>
          <w:szCs w:val="24"/>
          <w:vertAlign w:val="baseline"/>
        </w:rPr>
        <w:t xml:space="preserve"> As observed by Gilchrist,</w:t>
      </w:r>
      <w:r w:rsidRPr="00AF4381">
        <w:rPr>
          <w:rFonts w:ascii="Times New Roman" w:hAnsi="Times New Roman" w:cs="Times New Roman"/>
          <w:sz w:val="24"/>
          <w:szCs w:val="24"/>
        </w:rPr>
        <w:footnoteReference w:id="211"/>
      </w:r>
      <w:r w:rsidRPr="00AF4381">
        <w:rPr>
          <w:rFonts w:ascii="Times New Roman" w:hAnsi="Times New Roman" w:cs="Times New Roman"/>
          <w:sz w:val="24"/>
          <w:szCs w:val="24"/>
          <w:vertAlign w:val="baseline"/>
        </w:rPr>
        <w:t xml:space="preserve"> the papacy, from the ninth through to the twelfth century, regularly conducted aggressive warfare against its enemies, justifying its actions in the ‘metaphor of waging the Lord’s war,’</w:t>
      </w:r>
      <w:r w:rsidRPr="00AF4381">
        <w:rPr>
          <w:rFonts w:ascii="Times New Roman" w:hAnsi="Times New Roman" w:cs="Times New Roman"/>
          <w:sz w:val="24"/>
          <w:szCs w:val="24"/>
        </w:rPr>
        <w:footnoteReference w:id="212"/>
      </w:r>
      <w:r w:rsidRPr="00AF4381">
        <w:rPr>
          <w:rFonts w:ascii="Times New Roman" w:hAnsi="Times New Roman" w:cs="Times New Roman"/>
          <w:sz w:val="24"/>
          <w:szCs w:val="24"/>
          <w:vertAlign w:val="baseline"/>
        </w:rPr>
        <w:t xml:space="preserve"> extending their remit outside Italy, initially against the Muslims, then, subsequently, against the pagans, heretics and anyone else who did not conform to the ideal of Roman primacy. However, the disposition of the church began to change in the thirteenth century, under the guidance of Pope Innocent III, in response to challenges from Cathar</w:t>
      </w:r>
      <w:r w:rsidRPr="00AF4381">
        <w:rPr>
          <w:rFonts w:ascii="Times New Roman" w:hAnsi="Times New Roman" w:cs="Times New Roman"/>
          <w:sz w:val="24"/>
          <w:szCs w:val="24"/>
        </w:rPr>
        <w:footnoteReference w:id="213"/>
      </w:r>
      <w:r w:rsidRPr="00AF4381">
        <w:rPr>
          <w:rFonts w:ascii="Times New Roman" w:hAnsi="Times New Roman" w:cs="Times New Roman"/>
          <w:sz w:val="24"/>
          <w:szCs w:val="24"/>
          <w:vertAlign w:val="baseline"/>
        </w:rPr>
        <w:t xml:space="preserve"> heretics. The heresy the Church feared the most was Manichaeism. A dualistic religious system, originating from Persia in the 3</w:t>
      </w:r>
      <w:r w:rsidRPr="00AF4381">
        <w:rPr>
          <w:rFonts w:ascii="Times New Roman" w:hAnsi="Times New Roman" w:cs="Times New Roman"/>
          <w:sz w:val="24"/>
          <w:szCs w:val="24"/>
        </w:rPr>
        <w:t>rd</w:t>
      </w:r>
      <w:r w:rsidRPr="00AF4381">
        <w:rPr>
          <w:rFonts w:ascii="Times New Roman" w:hAnsi="Times New Roman" w:cs="Times New Roman"/>
          <w:sz w:val="24"/>
          <w:szCs w:val="24"/>
          <w:vertAlign w:val="baseline"/>
        </w:rPr>
        <w:t xml:space="preserve"> century, Manichaeism was based on a supposed primeval conflict between light and darkness, incorporating Christian, Gnostic, and pagan elements.</w:t>
      </w:r>
      <w:r w:rsidRPr="00AF4381">
        <w:rPr>
          <w:rFonts w:ascii="Times New Roman" w:hAnsi="Times New Roman" w:cs="Times New Roman"/>
          <w:sz w:val="24"/>
          <w:szCs w:val="24"/>
        </w:rPr>
        <w:footnoteReference w:id="214"/>
      </w:r>
      <w:r w:rsidRPr="00AF4381">
        <w:rPr>
          <w:rFonts w:ascii="Times New Roman" w:hAnsi="Times New Roman" w:cs="Times New Roman"/>
          <w:sz w:val="24"/>
          <w:szCs w:val="24"/>
          <w:vertAlign w:val="baseline"/>
        </w:rPr>
        <w:t xml:space="preserve"> Thus, in the horror of Cathar heresy, the Church made attempts to discredit such beliefs by the use of propaganda associating heresy with Satan. For the Church, heresy was a form of transmissible madness propagated by the Devil, who deceived mankind by offering splendid rewards. ‘Magic, demonic possession, poison, illness and contagion, excrement, seduction, orgies and the ashes of a dead child were all symptoms and signs of heresy.’</w:t>
      </w:r>
      <w:r w:rsidRPr="00AF4381">
        <w:rPr>
          <w:rFonts w:ascii="Times New Roman" w:hAnsi="Times New Roman" w:cs="Times New Roman"/>
          <w:sz w:val="24"/>
          <w:szCs w:val="24"/>
        </w:rPr>
        <w:footnoteReference w:id="215"/>
      </w:r>
      <w:r w:rsidRPr="00AF4381">
        <w:rPr>
          <w:rFonts w:ascii="Times New Roman" w:hAnsi="Times New Roman" w:cs="Times New Roman"/>
          <w:sz w:val="24"/>
          <w:szCs w:val="24"/>
          <w:vertAlign w:val="baseline"/>
        </w:rPr>
        <w:t xml:space="preserve"> Thus, spreading fear throughout the community. The punishment for heresy was identical to that of witchcraft, burning. As noted by Lambert,</w:t>
      </w:r>
    </w:p>
    <w:p w14:paraId="27B4AA7F" w14:textId="77777777" w:rsidR="00E814A9" w:rsidRPr="00AF4381" w:rsidRDefault="00E814A9" w:rsidP="009F789C">
      <w:pPr>
        <w:spacing w:line="480" w:lineRule="auto"/>
        <w:ind w:firstLine="720"/>
        <w:jc w:val="both"/>
        <w:rPr>
          <w:rFonts w:ascii="Times New Roman" w:hAnsi="Times New Roman" w:cs="Times New Roman"/>
          <w:sz w:val="24"/>
          <w:szCs w:val="24"/>
          <w:vertAlign w:val="baseline"/>
        </w:rPr>
      </w:pPr>
    </w:p>
    <w:p w14:paraId="60382A4B" w14:textId="7D240AD3" w:rsidR="00AF4381" w:rsidRPr="00AF4381" w:rsidRDefault="00AF4381" w:rsidP="007E5E1D">
      <w:pPr>
        <w:spacing w:line="480" w:lineRule="auto"/>
        <w:ind w:left="720"/>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If the Devil and his army of demons are an effective force in the field, then resistance to them is the same kind of resistance that churchman and the faithful believed to be appropriate against witchcraft. The two offences ran closely together</w:t>
      </w:r>
      <w:r w:rsidR="00782794">
        <w:rPr>
          <w:rFonts w:ascii="Times New Roman" w:hAnsi="Times New Roman" w:cs="Times New Roman"/>
          <w:sz w:val="24"/>
          <w:szCs w:val="24"/>
          <w:vertAlign w:val="baseline"/>
        </w:rPr>
        <w:t xml:space="preserve"> </w:t>
      </w:r>
      <w:r w:rsidRPr="00AF4381">
        <w:rPr>
          <w:rFonts w:ascii="Times New Roman" w:hAnsi="Times New Roman" w:cs="Times New Roman"/>
          <w:sz w:val="24"/>
          <w:szCs w:val="24"/>
          <w:vertAlign w:val="baseline"/>
        </w:rPr>
        <w:t>…</w:t>
      </w:r>
      <w:r w:rsidR="00782794">
        <w:rPr>
          <w:rFonts w:ascii="Times New Roman" w:hAnsi="Times New Roman" w:cs="Times New Roman"/>
          <w:sz w:val="24"/>
          <w:szCs w:val="24"/>
          <w:vertAlign w:val="baseline"/>
        </w:rPr>
        <w:t xml:space="preserve"> </w:t>
      </w:r>
      <w:r w:rsidRPr="00AF4381">
        <w:rPr>
          <w:rFonts w:ascii="Times New Roman" w:hAnsi="Times New Roman" w:cs="Times New Roman"/>
          <w:sz w:val="24"/>
          <w:szCs w:val="24"/>
          <w:vertAlign w:val="baseline"/>
        </w:rPr>
        <w:t>burning removed traces of the offenders and their evil, and cleansed the site.</w:t>
      </w:r>
      <w:r w:rsidRPr="00AF4381">
        <w:rPr>
          <w:rFonts w:ascii="Times New Roman" w:hAnsi="Times New Roman" w:cs="Times New Roman"/>
          <w:sz w:val="24"/>
          <w:szCs w:val="24"/>
        </w:rPr>
        <w:footnoteReference w:id="216"/>
      </w:r>
    </w:p>
    <w:p w14:paraId="65BB7435" w14:textId="77777777" w:rsidR="00AF4381" w:rsidRPr="00AF4381" w:rsidRDefault="00AF4381" w:rsidP="00AF4381">
      <w:pPr>
        <w:spacing w:line="480" w:lineRule="auto"/>
        <w:jc w:val="both"/>
        <w:rPr>
          <w:rFonts w:ascii="Times New Roman" w:hAnsi="Times New Roman" w:cs="Times New Roman"/>
          <w:sz w:val="24"/>
          <w:szCs w:val="24"/>
          <w:vertAlign w:val="baseline"/>
        </w:rPr>
      </w:pPr>
    </w:p>
    <w:p w14:paraId="636603D9" w14:textId="26E72F50" w:rsidR="00AF4381" w:rsidRDefault="00AF4381" w:rsidP="00C12381">
      <w:pPr>
        <w:spacing w:line="480" w:lineRule="auto"/>
        <w:ind w:firstLine="720"/>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 xml:space="preserve">Pope Innocent III was prepared for the issue of heresy, issuing a papal decree, </w:t>
      </w:r>
      <w:r w:rsidRPr="00AF4381">
        <w:rPr>
          <w:rFonts w:ascii="Times New Roman" w:hAnsi="Times New Roman" w:cs="Times New Roman"/>
          <w:i/>
          <w:sz w:val="24"/>
          <w:szCs w:val="24"/>
          <w:vertAlign w:val="baseline"/>
        </w:rPr>
        <w:t>Vergentis in senium,</w:t>
      </w:r>
      <w:r w:rsidRPr="00AF4381">
        <w:rPr>
          <w:rFonts w:ascii="Times New Roman" w:hAnsi="Times New Roman" w:cs="Times New Roman"/>
          <w:sz w:val="24"/>
          <w:szCs w:val="24"/>
          <w:vertAlign w:val="baseline"/>
        </w:rPr>
        <w:t xml:space="preserve"> on 25 March 1199, in which the Pope declared that heresy was treason against God. </w:t>
      </w:r>
      <w:r w:rsidRPr="00AF4381">
        <w:rPr>
          <w:rFonts w:ascii="Times New Roman" w:hAnsi="Times New Roman" w:cs="Times New Roman"/>
          <w:i/>
          <w:sz w:val="24"/>
          <w:szCs w:val="24"/>
          <w:vertAlign w:val="baseline"/>
        </w:rPr>
        <w:t xml:space="preserve">Vergentis in </w:t>
      </w:r>
      <w:r w:rsidR="008508B5" w:rsidRPr="00AF4381">
        <w:rPr>
          <w:rFonts w:ascii="Times New Roman" w:hAnsi="Times New Roman" w:cs="Times New Roman"/>
          <w:i/>
          <w:sz w:val="24"/>
          <w:szCs w:val="24"/>
          <w:vertAlign w:val="baseline"/>
        </w:rPr>
        <w:t>senium</w:t>
      </w:r>
      <w:r w:rsidRPr="00AF4381">
        <w:rPr>
          <w:rFonts w:ascii="Times New Roman" w:hAnsi="Times New Roman" w:cs="Times New Roman"/>
          <w:sz w:val="24"/>
          <w:szCs w:val="24"/>
          <w:vertAlign w:val="baseline"/>
        </w:rPr>
        <w:t xml:space="preserve"> was designed to shock heretics into compliance with the Church; those that remained defiant had all their legal rights removed. Following the death of Pope Innocent III in 1216, the war against heresy continued with Pope Honorius III, successor to Innocent III, subsequently approving the Dominican Order on 22 December 1216, a Roman Catholic order initiated by Saint Dominic de Guzman, dedicated to preaching and refuting claims of heresy, and the successor to Honorius III, Pope Gregory IX, who initiated the Papal Inquisition in 1231 for the trial of heretics.</w:t>
      </w:r>
      <w:r w:rsidRPr="00AF4381">
        <w:rPr>
          <w:rFonts w:ascii="Times New Roman" w:hAnsi="Times New Roman" w:cs="Times New Roman"/>
          <w:sz w:val="24"/>
          <w:szCs w:val="24"/>
        </w:rPr>
        <w:footnoteReference w:id="217"/>
      </w:r>
      <w:r w:rsidRPr="00AF4381">
        <w:rPr>
          <w:rFonts w:ascii="Times New Roman" w:hAnsi="Times New Roman" w:cs="Times New Roman"/>
          <w:sz w:val="24"/>
          <w:szCs w:val="24"/>
          <w:vertAlign w:val="baseline"/>
        </w:rPr>
        <w:t xml:space="preserve"> The Papal Inquisition changed the way in which the Church would deal with heresy. As observed by Lambert, inquisitors were,</w:t>
      </w:r>
    </w:p>
    <w:p w14:paraId="58FD882D" w14:textId="77777777" w:rsidR="00E814A9" w:rsidRPr="00AF4381" w:rsidRDefault="00E814A9" w:rsidP="00C12381">
      <w:pPr>
        <w:spacing w:line="480" w:lineRule="auto"/>
        <w:ind w:firstLine="720"/>
        <w:jc w:val="both"/>
        <w:rPr>
          <w:rFonts w:ascii="Times New Roman" w:hAnsi="Times New Roman" w:cs="Times New Roman"/>
          <w:sz w:val="24"/>
          <w:szCs w:val="24"/>
          <w:vertAlign w:val="baseline"/>
        </w:rPr>
      </w:pPr>
    </w:p>
    <w:p w14:paraId="5BAE7991" w14:textId="773046A3" w:rsidR="00AF4381" w:rsidRPr="00AF4381" w:rsidRDefault="00AF4381" w:rsidP="007E5E1D">
      <w:pPr>
        <w:spacing w:line="480" w:lineRule="auto"/>
        <w:ind w:left="720"/>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 xml:space="preserve">Determined </w:t>
      </w:r>
      <w:r w:rsidR="00892C9F" w:rsidRPr="00AF4381">
        <w:rPr>
          <w:rFonts w:ascii="Times New Roman" w:hAnsi="Times New Roman" w:cs="Times New Roman"/>
          <w:sz w:val="24"/>
          <w:szCs w:val="24"/>
          <w:vertAlign w:val="baseline"/>
        </w:rPr>
        <w:t>men</w:t>
      </w:r>
      <w:r w:rsidRPr="00AF4381">
        <w:rPr>
          <w:rFonts w:ascii="Times New Roman" w:hAnsi="Times New Roman" w:cs="Times New Roman"/>
          <w:sz w:val="24"/>
          <w:szCs w:val="24"/>
          <w:vertAlign w:val="baseline"/>
        </w:rPr>
        <w:t xml:space="preserve"> dedicated to their task and equipped with overriding powers, effectively of life and death. They built up a knowledge of heretics, their customs and beliefs, which are enshrined in manuals of procedure, disquisitions on the enemies of the Church, refutations of their tenets and defences of orthodoxy.</w:t>
      </w:r>
      <w:r w:rsidRPr="00AF4381">
        <w:rPr>
          <w:rFonts w:ascii="Times New Roman" w:hAnsi="Times New Roman" w:cs="Times New Roman"/>
          <w:sz w:val="24"/>
          <w:szCs w:val="24"/>
        </w:rPr>
        <w:footnoteReference w:id="218"/>
      </w:r>
    </w:p>
    <w:p w14:paraId="4F7A926E" w14:textId="77777777" w:rsidR="00AF4381" w:rsidRPr="00AF4381" w:rsidRDefault="00AF4381" w:rsidP="00AF4381">
      <w:pPr>
        <w:spacing w:line="480" w:lineRule="auto"/>
        <w:jc w:val="both"/>
        <w:rPr>
          <w:rFonts w:ascii="Times New Roman" w:hAnsi="Times New Roman" w:cs="Times New Roman"/>
          <w:sz w:val="24"/>
          <w:szCs w:val="24"/>
          <w:vertAlign w:val="baseline"/>
        </w:rPr>
      </w:pPr>
    </w:p>
    <w:p w14:paraId="2C506F3D" w14:textId="77777777" w:rsidR="00AF4381" w:rsidRDefault="00AF4381" w:rsidP="00780441">
      <w:pPr>
        <w:spacing w:line="480" w:lineRule="auto"/>
        <w:ind w:firstLine="720"/>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Whilst the Church continued its war against heresy, scholarly links between heresy and witchcraft became the focus of the Dominican Order, in particular Thomas Aquinas, a Dominican monk and Professor of theology at the University of Paris.</w:t>
      </w:r>
      <w:r w:rsidRPr="00AF4381">
        <w:rPr>
          <w:rFonts w:ascii="Times New Roman" w:hAnsi="Times New Roman" w:cs="Times New Roman"/>
          <w:sz w:val="24"/>
          <w:szCs w:val="24"/>
        </w:rPr>
        <w:footnoteReference w:id="219"/>
      </w:r>
      <w:r w:rsidRPr="00AF4381">
        <w:rPr>
          <w:rFonts w:ascii="Times New Roman" w:hAnsi="Times New Roman" w:cs="Times New Roman"/>
          <w:sz w:val="24"/>
          <w:szCs w:val="24"/>
          <w:vertAlign w:val="baseline"/>
        </w:rPr>
        <w:t xml:space="preserve"> In his handbook on Christian theology, </w:t>
      </w:r>
      <w:r w:rsidRPr="00AF4381">
        <w:rPr>
          <w:rFonts w:ascii="Times New Roman" w:hAnsi="Times New Roman" w:cs="Times New Roman"/>
          <w:i/>
          <w:sz w:val="24"/>
          <w:szCs w:val="24"/>
          <w:vertAlign w:val="baseline"/>
        </w:rPr>
        <w:t xml:space="preserve">Summa Theologian, </w:t>
      </w:r>
      <w:r w:rsidRPr="00AF4381">
        <w:rPr>
          <w:rFonts w:ascii="Times New Roman" w:hAnsi="Times New Roman" w:cs="Times New Roman"/>
          <w:sz w:val="24"/>
          <w:szCs w:val="24"/>
          <w:vertAlign w:val="baseline"/>
        </w:rPr>
        <w:t>Aquinas provided a scientific hypothesis as to how angels and women may be able to have sex. From this, he contended that the world was occupied by incubus, who were able to steal the sperm of men and disseminate this sperm amongst women,</w:t>
      </w:r>
    </w:p>
    <w:p w14:paraId="64FF682A" w14:textId="77777777" w:rsidR="00480341" w:rsidRPr="00AF4381" w:rsidRDefault="00480341" w:rsidP="00780441">
      <w:pPr>
        <w:spacing w:line="480" w:lineRule="auto"/>
        <w:ind w:firstLine="720"/>
        <w:jc w:val="both"/>
        <w:rPr>
          <w:rFonts w:ascii="Times New Roman" w:hAnsi="Times New Roman" w:cs="Times New Roman"/>
          <w:sz w:val="24"/>
          <w:szCs w:val="24"/>
          <w:vertAlign w:val="baseline"/>
        </w:rPr>
      </w:pPr>
    </w:p>
    <w:p w14:paraId="24C83281" w14:textId="77A0D33D" w:rsidR="00AF4381" w:rsidRPr="00AF4381" w:rsidRDefault="00AF4381" w:rsidP="007E5E1D">
      <w:pPr>
        <w:spacing w:line="480" w:lineRule="auto"/>
        <w:ind w:left="720"/>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But let us suppose that occasionally an offspring is born from copulation with a devil. In such a case, the semen would not come from the devil himself, properly speaking, nor from the body he had assumed it; it would have been taken from a man for that purpose; and the same devil would receive semen from a man and impart it to a woman</w:t>
      </w:r>
      <w:r w:rsidR="00892C9F">
        <w:rPr>
          <w:rFonts w:ascii="Times New Roman" w:hAnsi="Times New Roman" w:cs="Times New Roman"/>
          <w:sz w:val="24"/>
          <w:szCs w:val="24"/>
          <w:vertAlign w:val="baseline"/>
        </w:rPr>
        <w:t xml:space="preserve"> </w:t>
      </w:r>
      <w:r w:rsidRPr="00AF4381">
        <w:rPr>
          <w:rFonts w:ascii="Times New Roman" w:hAnsi="Times New Roman" w:cs="Times New Roman"/>
          <w:sz w:val="24"/>
          <w:szCs w:val="24"/>
          <w:vertAlign w:val="baseline"/>
        </w:rPr>
        <w:t>…</w:t>
      </w:r>
      <w:r w:rsidR="00892C9F">
        <w:rPr>
          <w:rFonts w:ascii="Times New Roman" w:hAnsi="Times New Roman" w:cs="Times New Roman"/>
          <w:sz w:val="24"/>
          <w:szCs w:val="24"/>
          <w:vertAlign w:val="baseline"/>
        </w:rPr>
        <w:t xml:space="preserve"> </w:t>
      </w:r>
      <w:r w:rsidRPr="00AF4381">
        <w:rPr>
          <w:rFonts w:ascii="Times New Roman" w:hAnsi="Times New Roman" w:cs="Times New Roman"/>
          <w:sz w:val="24"/>
          <w:szCs w:val="24"/>
          <w:vertAlign w:val="baseline"/>
        </w:rPr>
        <w:t>And the child so begotten would not have the devil for its father, but the man whose semen had been used.</w:t>
      </w:r>
      <w:r w:rsidRPr="00AF4381">
        <w:rPr>
          <w:rFonts w:ascii="Times New Roman" w:hAnsi="Times New Roman" w:cs="Times New Roman"/>
          <w:sz w:val="24"/>
          <w:szCs w:val="24"/>
        </w:rPr>
        <w:footnoteReference w:id="220"/>
      </w:r>
      <w:r w:rsidRPr="00AF4381">
        <w:rPr>
          <w:rFonts w:ascii="Times New Roman" w:hAnsi="Times New Roman" w:cs="Times New Roman"/>
          <w:sz w:val="24"/>
          <w:szCs w:val="24"/>
          <w:vertAlign w:val="baseline"/>
        </w:rPr>
        <w:t xml:space="preserve"> </w:t>
      </w:r>
    </w:p>
    <w:p w14:paraId="2F46534F" w14:textId="77777777" w:rsidR="00AF4381" w:rsidRPr="00AF4381" w:rsidRDefault="00AF4381" w:rsidP="00AF4381">
      <w:pPr>
        <w:spacing w:line="480" w:lineRule="auto"/>
        <w:jc w:val="both"/>
        <w:rPr>
          <w:rFonts w:ascii="Times New Roman" w:hAnsi="Times New Roman" w:cs="Times New Roman"/>
          <w:sz w:val="24"/>
          <w:szCs w:val="24"/>
          <w:vertAlign w:val="baseline"/>
        </w:rPr>
      </w:pPr>
    </w:p>
    <w:p w14:paraId="37F6CC60" w14:textId="77777777" w:rsidR="00AF4381" w:rsidRPr="00AF4381" w:rsidRDefault="00AF4381" w:rsidP="00780441">
      <w:pPr>
        <w:spacing w:line="480" w:lineRule="auto"/>
        <w:ind w:firstLine="720"/>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 xml:space="preserve">This link, between sex and demonology, became central to the theory of witchcraft and witch-hunting and was documented in the publication of the infamous </w:t>
      </w:r>
      <w:r w:rsidRPr="00AF4381">
        <w:rPr>
          <w:rFonts w:ascii="Times New Roman" w:hAnsi="Times New Roman" w:cs="Times New Roman"/>
          <w:i/>
          <w:iCs/>
          <w:sz w:val="24"/>
          <w:szCs w:val="24"/>
          <w:vertAlign w:val="baseline"/>
        </w:rPr>
        <w:t>Malleus Maleficarum,</w:t>
      </w:r>
      <w:r w:rsidRPr="00AF4381">
        <w:rPr>
          <w:rFonts w:ascii="Times New Roman" w:hAnsi="Times New Roman" w:cs="Times New Roman"/>
          <w:iCs/>
          <w:sz w:val="24"/>
          <w:szCs w:val="24"/>
        </w:rPr>
        <w:footnoteReference w:id="221"/>
      </w:r>
      <w:r w:rsidRPr="00AF4381">
        <w:rPr>
          <w:rFonts w:ascii="Times New Roman" w:hAnsi="Times New Roman" w:cs="Times New Roman"/>
          <w:iCs/>
          <w:sz w:val="24"/>
          <w:szCs w:val="24"/>
          <w:vertAlign w:val="baseline"/>
        </w:rPr>
        <w:t xml:space="preserve"> or </w:t>
      </w:r>
      <w:r w:rsidRPr="00AF4381">
        <w:rPr>
          <w:rFonts w:ascii="Times New Roman" w:hAnsi="Times New Roman" w:cs="Times New Roman"/>
          <w:i/>
          <w:iCs/>
          <w:sz w:val="24"/>
          <w:szCs w:val="24"/>
          <w:vertAlign w:val="baseline"/>
        </w:rPr>
        <w:t xml:space="preserve">Hammer of Witches, </w:t>
      </w:r>
      <w:r w:rsidRPr="00AF4381">
        <w:rPr>
          <w:rFonts w:ascii="Times New Roman" w:hAnsi="Times New Roman" w:cs="Times New Roman"/>
          <w:iCs/>
          <w:sz w:val="24"/>
          <w:szCs w:val="24"/>
          <w:vertAlign w:val="baseline"/>
        </w:rPr>
        <w:t>to use the English translation, which</w:t>
      </w:r>
      <w:r w:rsidRPr="00AF4381">
        <w:rPr>
          <w:rFonts w:ascii="Times New Roman" w:hAnsi="Times New Roman" w:cs="Times New Roman"/>
          <w:i/>
          <w:iCs/>
          <w:sz w:val="24"/>
          <w:szCs w:val="24"/>
          <w:vertAlign w:val="baseline"/>
        </w:rPr>
        <w:t xml:space="preserve"> </w:t>
      </w:r>
      <w:r w:rsidRPr="00AF4381">
        <w:rPr>
          <w:rFonts w:ascii="Times New Roman" w:hAnsi="Times New Roman" w:cs="Times New Roman"/>
          <w:iCs/>
          <w:sz w:val="24"/>
          <w:szCs w:val="24"/>
          <w:vertAlign w:val="baseline"/>
        </w:rPr>
        <w:t xml:space="preserve">promptly, became the key source of information concerning the activities of witches. </w:t>
      </w:r>
      <w:r w:rsidRPr="00AF4381">
        <w:rPr>
          <w:rFonts w:ascii="Times New Roman" w:hAnsi="Times New Roman" w:cs="Times New Roman"/>
          <w:sz w:val="24"/>
          <w:szCs w:val="24"/>
          <w:vertAlign w:val="baseline"/>
        </w:rPr>
        <w:t>Written by Heinrich Kramer,</w:t>
      </w:r>
      <w:r w:rsidRPr="00AF4381">
        <w:rPr>
          <w:rFonts w:ascii="Times New Roman" w:hAnsi="Times New Roman" w:cs="Times New Roman"/>
          <w:sz w:val="24"/>
          <w:szCs w:val="24"/>
        </w:rPr>
        <w:footnoteReference w:id="222"/>
      </w:r>
      <w:r w:rsidRPr="00AF4381">
        <w:rPr>
          <w:rFonts w:ascii="Times New Roman" w:hAnsi="Times New Roman" w:cs="Times New Roman"/>
          <w:sz w:val="24"/>
          <w:szCs w:val="24"/>
          <w:vertAlign w:val="baseline"/>
        </w:rPr>
        <w:t xml:space="preserve"> a member of the Dominican Order</w:t>
      </w:r>
      <w:r w:rsidRPr="00AF4381">
        <w:rPr>
          <w:rFonts w:ascii="Times New Roman" w:hAnsi="Times New Roman" w:cs="Times New Roman"/>
          <w:sz w:val="24"/>
          <w:szCs w:val="24"/>
        </w:rPr>
        <w:footnoteReference w:id="223"/>
      </w:r>
      <w:r w:rsidRPr="00AF4381">
        <w:rPr>
          <w:rFonts w:ascii="Times New Roman" w:hAnsi="Times New Roman" w:cs="Times New Roman"/>
          <w:sz w:val="24"/>
          <w:szCs w:val="24"/>
          <w:vertAlign w:val="baseline"/>
        </w:rPr>
        <w:t xml:space="preserve"> and inquisitor at the controversial witchcraft trial of Helena Scheuberin, on 29</w:t>
      </w:r>
      <w:r w:rsidRPr="00AF4381">
        <w:rPr>
          <w:rFonts w:ascii="Times New Roman" w:hAnsi="Times New Roman" w:cs="Times New Roman"/>
          <w:sz w:val="24"/>
          <w:szCs w:val="24"/>
        </w:rPr>
        <w:t>th</w:t>
      </w:r>
      <w:r w:rsidRPr="00AF4381">
        <w:rPr>
          <w:rFonts w:ascii="Times New Roman" w:hAnsi="Times New Roman" w:cs="Times New Roman"/>
          <w:sz w:val="24"/>
          <w:szCs w:val="24"/>
          <w:vertAlign w:val="baseline"/>
        </w:rPr>
        <w:t xml:space="preserve"> October 1485 in Innsbruck, Austria, the book was a detailed and comprehensive defence of Kramer’s witchcraft beliefs, following the collapse of the Scheuberin trial, and became the most infamous of all medieval texts.</w:t>
      </w:r>
      <w:r w:rsidRPr="00AF4381">
        <w:rPr>
          <w:rFonts w:ascii="Times New Roman" w:hAnsi="Times New Roman" w:cs="Times New Roman"/>
          <w:sz w:val="24"/>
          <w:szCs w:val="24"/>
        </w:rPr>
        <w:footnoteReference w:id="224"/>
      </w:r>
      <w:r w:rsidRPr="00AF4381">
        <w:rPr>
          <w:rFonts w:ascii="Times New Roman" w:hAnsi="Times New Roman" w:cs="Times New Roman"/>
          <w:sz w:val="24"/>
          <w:szCs w:val="24"/>
          <w:vertAlign w:val="baseline"/>
        </w:rPr>
        <w:t xml:space="preserve"> For Kramer, there was no sin more offensive to God than witchcraft, thus making it, in his opinion, the most dangerous form of harm. The view portrayed in </w:t>
      </w:r>
      <w:r w:rsidRPr="00AF4381">
        <w:rPr>
          <w:rFonts w:ascii="Times New Roman" w:hAnsi="Times New Roman" w:cs="Times New Roman"/>
          <w:i/>
          <w:sz w:val="24"/>
          <w:szCs w:val="24"/>
          <w:vertAlign w:val="baseline"/>
        </w:rPr>
        <w:t>Malleus Maleficarum</w:t>
      </w:r>
      <w:r w:rsidRPr="00AF4381">
        <w:rPr>
          <w:rFonts w:ascii="Times New Roman" w:hAnsi="Times New Roman" w:cs="Times New Roman"/>
          <w:sz w:val="24"/>
          <w:szCs w:val="24"/>
        </w:rPr>
        <w:footnoteReference w:id="225"/>
      </w:r>
      <w:r w:rsidRPr="00AF4381">
        <w:rPr>
          <w:rFonts w:ascii="Times New Roman" w:hAnsi="Times New Roman" w:cs="Times New Roman"/>
          <w:sz w:val="24"/>
          <w:szCs w:val="24"/>
          <w:vertAlign w:val="baseline"/>
        </w:rPr>
        <w:t xml:space="preserve"> was both mechanical and anthropocentric. Importance was placed upon human operators who could effectively manipulate the mechanical benevolent power of God against the destructive power of the Devil. Thus, for Kramer, the only way to resolve the issue of witchcraft was to destroy the witches. </w:t>
      </w:r>
    </w:p>
    <w:p w14:paraId="539A9FB0" w14:textId="77777777" w:rsidR="00400C98" w:rsidRDefault="00400C98" w:rsidP="00AF4381">
      <w:pPr>
        <w:spacing w:line="480" w:lineRule="auto"/>
        <w:jc w:val="both"/>
        <w:rPr>
          <w:rFonts w:ascii="Times New Roman" w:hAnsi="Times New Roman" w:cs="Times New Roman"/>
          <w:iCs/>
          <w:sz w:val="24"/>
          <w:szCs w:val="24"/>
          <w:vertAlign w:val="baseline"/>
        </w:rPr>
      </w:pPr>
    </w:p>
    <w:p w14:paraId="120B4E14" w14:textId="382E6A04" w:rsidR="00AF4381" w:rsidRDefault="00AF4381" w:rsidP="00400C98">
      <w:pPr>
        <w:spacing w:line="480" w:lineRule="auto"/>
        <w:ind w:firstLine="720"/>
        <w:jc w:val="both"/>
        <w:rPr>
          <w:rFonts w:ascii="Times New Roman" w:hAnsi="Times New Roman" w:cs="Times New Roman"/>
          <w:iCs/>
          <w:sz w:val="24"/>
          <w:szCs w:val="24"/>
          <w:vertAlign w:val="baseline"/>
        </w:rPr>
      </w:pPr>
      <w:r w:rsidRPr="00AF4381">
        <w:rPr>
          <w:rFonts w:ascii="Times New Roman" w:hAnsi="Times New Roman" w:cs="Times New Roman"/>
          <w:iCs/>
          <w:sz w:val="24"/>
          <w:szCs w:val="24"/>
          <w:vertAlign w:val="baseline"/>
        </w:rPr>
        <w:t xml:space="preserve">Consequently, the scepticism once adopted by </w:t>
      </w:r>
      <w:r w:rsidRPr="00AF4381">
        <w:rPr>
          <w:rFonts w:ascii="Times New Roman" w:hAnsi="Times New Roman" w:cs="Times New Roman"/>
          <w:sz w:val="24"/>
          <w:szCs w:val="24"/>
          <w:vertAlign w:val="baseline"/>
        </w:rPr>
        <w:t xml:space="preserve">Saint Augustine of Hippo, no longer prevailed in the Church, which had previously dismissed magic as fake and as an error of the Pagans to believe in some other divine power than the one God. On the contrary, the Church now believed that magic worked, but were unable to address the issue of how. </w:t>
      </w:r>
      <w:r w:rsidRPr="00AF4381">
        <w:rPr>
          <w:rFonts w:ascii="Times New Roman" w:hAnsi="Times New Roman" w:cs="Times New Roman"/>
          <w:iCs/>
          <w:sz w:val="24"/>
          <w:szCs w:val="24"/>
          <w:vertAlign w:val="baseline"/>
        </w:rPr>
        <w:t>Thus, the link between Satanism and demonology with witchcraft was established by scholars of the Church, in response to their failure to acknowledge how magic actually ‘worked.’ As noted by Cohn,</w:t>
      </w:r>
    </w:p>
    <w:p w14:paraId="354C0440" w14:textId="77777777" w:rsidR="00480341" w:rsidRPr="00AF4381" w:rsidRDefault="00480341" w:rsidP="00400C98">
      <w:pPr>
        <w:spacing w:line="480" w:lineRule="auto"/>
        <w:ind w:firstLine="720"/>
        <w:jc w:val="both"/>
        <w:rPr>
          <w:rFonts w:ascii="Times New Roman" w:hAnsi="Times New Roman" w:cs="Times New Roman"/>
          <w:iCs/>
          <w:sz w:val="24"/>
          <w:szCs w:val="24"/>
          <w:vertAlign w:val="baseline"/>
        </w:rPr>
      </w:pPr>
    </w:p>
    <w:p w14:paraId="56BF0884" w14:textId="77777777" w:rsidR="00AF4381" w:rsidRPr="00AF4381" w:rsidRDefault="00AF4381" w:rsidP="007E5E1D">
      <w:pPr>
        <w:spacing w:line="480" w:lineRule="auto"/>
        <w:ind w:left="720"/>
        <w:jc w:val="both"/>
        <w:rPr>
          <w:rFonts w:ascii="Times New Roman" w:hAnsi="Times New Roman" w:cs="Times New Roman"/>
          <w:iCs/>
          <w:sz w:val="24"/>
          <w:szCs w:val="24"/>
          <w:vertAlign w:val="baseline"/>
        </w:rPr>
      </w:pPr>
      <w:r w:rsidRPr="00AF4381">
        <w:rPr>
          <w:rFonts w:ascii="Times New Roman" w:hAnsi="Times New Roman" w:cs="Times New Roman"/>
          <w:iCs/>
          <w:sz w:val="24"/>
          <w:szCs w:val="24"/>
          <w:vertAlign w:val="baseline"/>
        </w:rPr>
        <w:t>Nowhere, in the surviving [medieval and folklore] books on magic, is there a hint of Satanism. Nowhere is it suggested that the magician should ally himself with the demonic hosts, or do evil to win the favour of the Prince of Evil.</w:t>
      </w:r>
      <w:r w:rsidRPr="00AF4381">
        <w:rPr>
          <w:rFonts w:ascii="Times New Roman" w:hAnsi="Times New Roman" w:cs="Times New Roman"/>
          <w:iCs/>
          <w:sz w:val="24"/>
          <w:szCs w:val="24"/>
        </w:rPr>
        <w:footnoteReference w:id="226"/>
      </w:r>
    </w:p>
    <w:p w14:paraId="79B69314" w14:textId="77777777" w:rsidR="00AF4381" w:rsidRPr="00AF4381" w:rsidRDefault="00AF4381" w:rsidP="00AF4381">
      <w:pPr>
        <w:spacing w:line="480" w:lineRule="auto"/>
        <w:jc w:val="both"/>
        <w:rPr>
          <w:rFonts w:ascii="Times New Roman" w:hAnsi="Times New Roman" w:cs="Times New Roman"/>
          <w:b/>
          <w:sz w:val="24"/>
          <w:szCs w:val="24"/>
          <w:u w:val="single"/>
          <w:vertAlign w:val="baseline"/>
        </w:rPr>
      </w:pPr>
    </w:p>
    <w:p w14:paraId="6C357261" w14:textId="7A76EEC8" w:rsidR="00AF4381" w:rsidRDefault="00AF4381" w:rsidP="00892C9F">
      <w:pPr>
        <w:spacing w:line="480" w:lineRule="auto"/>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 xml:space="preserve">Within the context of Manichaean monotheism, if God and his Saints were not the cause of non-Church magic, then there could only be one other logical answer, the Devil. The Church, in conjunction with </w:t>
      </w:r>
      <w:r w:rsidRPr="00AF4381">
        <w:rPr>
          <w:rFonts w:ascii="Times New Roman" w:hAnsi="Times New Roman" w:cs="Times New Roman"/>
          <w:i/>
          <w:sz w:val="24"/>
          <w:szCs w:val="24"/>
          <w:vertAlign w:val="baseline"/>
        </w:rPr>
        <w:t>Malleus Maleficarum</w:t>
      </w:r>
      <w:r w:rsidRPr="00AF4381">
        <w:rPr>
          <w:rFonts w:ascii="Times New Roman" w:hAnsi="Times New Roman" w:cs="Times New Roman"/>
          <w:sz w:val="24"/>
          <w:szCs w:val="24"/>
          <w:vertAlign w:val="baseline"/>
        </w:rPr>
        <w:t xml:space="preserve"> did an exceptional job of convincing people, not only of the existence of witches, but also detailing how to find, interrogate and obtain a confession from one. As observed by Stark, </w:t>
      </w:r>
    </w:p>
    <w:p w14:paraId="404BE1CB" w14:textId="77777777" w:rsidR="00480341" w:rsidRPr="00AF4381" w:rsidRDefault="00480341" w:rsidP="00400C98">
      <w:pPr>
        <w:spacing w:line="480" w:lineRule="auto"/>
        <w:ind w:firstLine="720"/>
        <w:jc w:val="both"/>
        <w:rPr>
          <w:rFonts w:ascii="Times New Roman" w:hAnsi="Times New Roman" w:cs="Times New Roman"/>
          <w:sz w:val="24"/>
          <w:szCs w:val="24"/>
          <w:vertAlign w:val="baseline"/>
        </w:rPr>
      </w:pPr>
    </w:p>
    <w:p w14:paraId="5971E6DA" w14:textId="77777777" w:rsidR="00AF4381" w:rsidRPr="00AF4381" w:rsidRDefault="00AF4381" w:rsidP="007E5E1D">
      <w:pPr>
        <w:spacing w:line="480" w:lineRule="auto"/>
        <w:ind w:left="720"/>
        <w:jc w:val="both"/>
        <w:rPr>
          <w:rFonts w:ascii="Times New Roman" w:hAnsi="Times New Roman" w:cs="Times New Roman"/>
          <w:b/>
          <w:sz w:val="24"/>
          <w:szCs w:val="24"/>
          <w:u w:val="single"/>
          <w:vertAlign w:val="baseline"/>
        </w:rPr>
      </w:pPr>
      <w:r w:rsidRPr="00AF4381">
        <w:rPr>
          <w:rFonts w:ascii="Times New Roman" w:hAnsi="Times New Roman" w:cs="Times New Roman"/>
          <w:sz w:val="24"/>
          <w:szCs w:val="24"/>
          <w:vertAlign w:val="baseline"/>
        </w:rPr>
        <w:t xml:space="preserve">It would be difficult to exaggerate the impact of this work … I think it very likely that had the </w:t>
      </w:r>
      <w:r w:rsidRPr="00AF4381">
        <w:rPr>
          <w:rFonts w:ascii="Times New Roman" w:hAnsi="Times New Roman" w:cs="Times New Roman"/>
          <w:i/>
          <w:sz w:val="24"/>
          <w:szCs w:val="24"/>
          <w:vertAlign w:val="baseline"/>
        </w:rPr>
        <w:t>Malleus</w:t>
      </w:r>
      <w:r w:rsidRPr="00AF4381">
        <w:rPr>
          <w:rFonts w:ascii="Times New Roman" w:hAnsi="Times New Roman" w:cs="Times New Roman"/>
          <w:sz w:val="24"/>
          <w:szCs w:val="24"/>
          <w:vertAlign w:val="baseline"/>
        </w:rPr>
        <w:t xml:space="preserve"> … not been circulated, many local epidemics of witch-hunting would not have happened, and the pursuit of “witches” would not have risen above the very low levels that had prevailed in the fourteenth and fifteenth centuries.</w:t>
      </w:r>
      <w:r w:rsidRPr="00AF4381">
        <w:rPr>
          <w:rFonts w:ascii="Times New Roman" w:hAnsi="Times New Roman" w:cs="Times New Roman"/>
          <w:sz w:val="24"/>
          <w:szCs w:val="24"/>
        </w:rPr>
        <w:footnoteReference w:id="227"/>
      </w:r>
    </w:p>
    <w:p w14:paraId="01B21D87" w14:textId="77777777" w:rsidR="00AF4381" w:rsidRPr="00AF4381" w:rsidRDefault="00AF4381" w:rsidP="00AF4381">
      <w:pPr>
        <w:spacing w:line="480" w:lineRule="auto"/>
        <w:jc w:val="both"/>
        <w:rPr>
          <w:rFonts w:ascii="Times New Roman" w:hAnsi="Times New Roman" w:cs="Times New Roman"/>
          <w:b/>
          <w:sz w:val="24"/>
          <w:szCs w:val="24"/>
          <w:u w:val="single"/>
          <w:vertAlign w:val="baseline"/>
        </w:rPr>
      </w:pPr>
    </w:p>
    <w:p w14:paraId="29237FD6" w14:textId="12A887E5" w:rsidR="00AF4381" w:rsidRDefault="00AF4381" w:rsidP="00892C9F">
      <w:pPr>
        <w:spacing w:line="480" w:lineRule="auto"/>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 xml:space="preserve">Despite the popularity of </w:t>
      </w:r>
      <w:r w:rsidRPr="00AF4381">
        <w:rPr>
          <w:rFonts w:ascii="Times New Roman" w:hAnsi="Times New Roman" w:cs="Times New Roman"/>
          <w:i/>
          <w:sz w:val="24"/>
          <w:szCs w:val="24"/>
          <w:vertAlign w:val="baseline"/>
        </w:rPr>
        <w:t>Malleus Maleficarum,</w:t>
      </w:r>
      <w:r w:rsidRPr="00AF4381">
        <w:rPr>
          <w:rFonts w:ascii="Times New Roman" w:hAnsi="Times New Roman" w:cs="Times New Roman"/>
          <w:sz w:val="24"/>
          <w:szCs w:val="24"/>
          <w:vertAlign w:val="baseline"/>
        </w:rPr>
        <w:t xml:space="preserve"> not all societies burnt witches. Moreover, there was a marked variation in the frequency, duration and intensity of the witch-hunts within those societies where such carnages did actually occur.</w:t>
      </w:r>
      <w:r w:rsidRPr="00AF4381">
        <w:rPr>
          <w:rFonts w:ascii="Times New Roman" w:hAnsi="Times New Roman" w:cs="Times New Roman"/>
          <w:sz w:val="24"/>
          <w:szCs w:val="24"/>
        </w:rPr>
        <w:footnoteReference w:id="228"/>
      </w:r>
      <w:r w:rsidRPr="00AF4381">
        <w:rPr>
          <w:rFonts w:ascii="Times New Roman" w:hAnsi="Times New Roman" w:cs="Times New Roman"/>
          <w:sz w:val="24"/>
          <w:szCs w:val="24"/>
          <w:vertAlign w:val="baseline"/>
        </w:rPr>
        <w:t xml:space="preserve"> Stark</w:t>
      </w:r>
      <w:r w:rsidR="00C90406">
        <w:rPr>
          <w:rFonts w:ascii="Times New Roman" w:hAnsi="Times New Roman" w:cs="Times New Roman"/>
          <w:sz w:val="24"/>
          <w:szCs w:val="24"/>
        </w:rPr>
        <w:t xml:space="preserve"> </w:t>
      </w:r>
      <w:r w:rsidRPr="00AF4381">
        <w:rPr>
          <w:rFonts w:ascii="Times New Roman" w:hAnsi="Times New Roman" w:cs="Times New Roman"/>
          <w:sz w:val="24"/>
          <w:szCs w:val="24"/>
          <w:vertAlign w:val="baseline"/>
        </w:rPr>
        <w:t xml:space="preserve">proposes that there were three major factors, which provided explanations as to when and where the witch-hunts occurred. Primarily, Stark blames the persistence of magic, as magic was at the source of witchcraft accusations, specifically, ‘the continuing practice of magic and sorcery, combined with the imputation of Satanism to those accused of </w:t>
      </w:r>
      <w:r w:rsidRPr="00AF4381">
        <w:rPr>
          <w:rFonts w:ascii="Times New Roman" w:hAnsi="Times New Roman" w:cs="Times New Roman"/>
          <w:i/>
          <w:sz w:val="24"/>
          <w:szCs w:val="24"/>
          <w:vertAlign w:val="baseline"/>
        </w:rPr>
        <w:t>malefica</w:t>
      </w:r>
      <w:r w:rsidRPr="00AF4381">
        <w:rPr>
          <w:rFonts w:ascii="Times New Roman" w:hAnsi="Times New Roman" w:cs="Times New Roman"/>
          <w:sz w:val="24"/>
          <w:szCs w:val="24"/>
          <w:vertAlign w:val="baseline"/>
        </w:rPr>
        <w:t>.’</w:t>
      </w:r>
      <w:r w:rsidRPr="00AF4381">
        <w:rPr>
          <w:rFonts w:ascii="Times New Roman" w:hAnsi="Times New Roman" w:cs="Times New Roman"/>
          <w:sz w:val="24"/>
          <w:szCs w:val="24"/>
        </w:rPr>
        <w:footnoteReference w:id="229"/>
      </w:r>
      <w:r w:rsidRPr="00AF4381">
        <w:rPr>
          <w:rFonts w:ascii="Times New Roman" w:hAnsi="Times New Roman" w:cs="Times New Roman"/>
          <w:sz w:val="24"/>
          <w:szCs w:val="24"/>
          <w:vertAlign w:val="baseline"/>
        </w:rPr>
        <w:t xml:space="preserve"> Initially, </w:t>
      </w:r>
      <w:r w:rsidR="00D351CB" w:rsidRPr="00AF4381">
        <w:rPr>
          <w:rFonts w:ascii="Times New Roman" w:hAnsi="Times New Roman" w:cs="Times New Roman"/>
          <w:sz w:val="24"/>
          <w:szCs w:val="24"/>
          <w:vertAlign w:val="baseline"/>
        </w:rPr>
        <w:t>the Church did not perceive magic as dangerous</w:t>
      </w:r>
      <w:r w:rsidR="00D351CB">
        <w:rPr>
          <w:rFonts w:ascii="Times New Roman" w:hAnsi="Times New Roman" w:cs="Times New Roman"/>
          <w:sz w:val="24"/>
          <w:szCs w:val="24"/>
          <w:vertAlign w:val="baseline"/>
        </w:rPr>
        <w:t>;</w:t>
      </w:r>
      <w:r w:rsidRPr="00AF4381">
        <w:rPr>
          <w:rFonts w:ascii="Times New Roman" w:hAnsi="Times New Roman" w:cs="Times New Roman"/>
          <w:sz w:val="24"/>
          <w:szCs w:val="24"/>
          <w:vertAlign w:val="baseline"/>
        </w:rPr>
        <w:t xml:space="preserve"> therefore, sanctions were relatively mild. However, following the Crusades, the Church’s tolerance of religious nonconformity, heresy, non-Church magic and sorcery disappeared. Ensuing links between magic and Satanism, thus led the Church to view magic as a danger. The majority of witchcraft accusations initially started out as grievances about magic, whereby some form of misfortune had occurred to a particular person or </w:t>
      </w:r>
      <w:r w:rsidR="00C90406" w:rsidRPr="00AF4381">
        <w:rPr>
          <w:rFonts w:ascii="Times New Roman" w:hAnsi="Times New Roman" w:cs="Times New Roman"/>
          <w:sz w:val="24"/>
          <w:szCs w:val="24"/>
          <w:vertAlign w:val="baseline"/>
        </w:rPr>
        <w:t>locality and</w:t>
      </w:r>
      <w:r w:rsidRPr="00AF4381">
        <w:rPr>
          <w:rFonts w:ascii="Times New Roman" w:hAnsi="Times New Roman" w:cs="Times New Roman"/>
          <w:sz w:val="24"/>
          <w:szCs w:val="24"/>
          <w:vertAlign w:val="baseline"/>
        </w:rPr>
        <w:t xml:space="preserve"> they were, essentially, looking for someone or something to blame. The later imputation of Satanism was always imposed by prosecutors and jurists.</w:t>
      </w:r>
      <w:r w:rsidRPr="00AF4381">
        <w:rPr>
          <w:rFonts w:ascii="Times New Roman" w:hAnsi="Times New Roman" w:cs="Times New Roman"/>
          <w:sz w:val="24"/>
          <w:szCs w:val="24"/>
        </w:rPr>
        <w:footnoteReference w:id="230"/>
      </w:r>
      <w:r w:rsidRPr="00AF4381">
        <w:rPr>
          <w:rFonts w:ascii="Times New Roman" w:hAnsi="Times New Roman" w:cs="Times New Roman"/>
          <w:sz w:val="24"/>
          <w:szCs w:val="24"/>
          <w:vertAlign w:val="baseline"/>
        </w:rPr>
        <w:t xml:space="preserve"> The second factor of the witch-hunts can be attributed to ‘intense and constant religious conflicts.’</w:t>
      </w:r>
      <w:r w:rsidRPr="00AF4381">
        <w:rPr>
          <w:rFonts w:ascii="Times New Roman" w:hAnsi="Times New Roman" w:cs="Times New Roman"/>
          <w:sz w:val="24"/>
          <w:szCs w:val="24"/>
        </w:rPr>
        <w:footnoteReference w:id="231"/>
      </w:r>
      <w:r w:rsidRPr="00AF4381">
        <w:rPr>
          <w:rFonts w:ascii="Times New Roman" w:hAnsi="Times New Roman" w:cs="Times New Roman"/>
          <w:sz w:val="24"/>
          <w:szCs w:val="24"/>
          <w:vertAlign w:val="baseline"/>
        </w:rPr>
        <w:t xml:space="preserve"> In essence, the attention provoked by the first factor, magic, was largely motivated by the intensity and continuity of religious wars, typically between Catholics and Protestants and between Muslims and Christians. Stark attributes the Protestant Reformation</w:t>
      </w:r>
      <w:r w:rsidRPr="00AF4381">
        <w:rPr>
          <w:rFonts w:ascii="Times New Roman" w:hAnsi="Times New Roman" w:cs="Times New Roman"/>
          <w:sz w:val="24"/>
          <w:szCs w:val="24"/>
        </w:rPr>
        <w:footnoteReference w:id="232"/>
      </w:r>
      <w:r w:rsidRPr="00AF4381">
        <w:rPr>
          <w:rFonts w:ascii="Times New Roman" w:hAnsi="Times New Roman" w:cs="Times New Roman"/>
          <w:sz w:val="24"/>
          <w:szCs w:val="24"/>
          <w:vertAlign w:val="baseline"/>
        </w:rPr>
        <w:t xml:space="preserve"> as one of the major causes of the witch-hunts, </w:t>
      </w:r>
    </w:p>
    <w:p w14:paraId="3A21FAB8" w14:textId="77777777" w:rsidR="00480341" w:rsidRPr="00AF4381" w:rsidRDefault="00480341" w:rsidP="00C90406">
      <w:pPr>
        <w:spacing w:line="480" w:lineRule="auto"/>
        <w:ind w:firstLine="720"/>
        <w:jc w:val="both"/>
        <w:rPr>
          <w:rFonts w:ascii="Times New Roman" w:hAnsi="Times New Roman" w:cs="Times New Roman"/>
          <w:sz w:val="24"/>
          <w:szCs w:val="24"/>
          <w:vertAlign w:val="baseline"/>
        </w:rPr>
      </w:pPr>
    </w:p>
    <w:p w14:paraId="51EC0CA2" w14:textId="6672DB93" w:rsidR="00AF4381" w:rsidRPr="00AF4381" w:rsidRDefault="00AF4381" w:rsidP="007E5E1D">
      <w:pPr>
        <w:spacing w:line="480" w:lineRule="auto"/>
        <w:ind w:left="720"/>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 xml:space="preserve">Empirically and theoretically, the “Protestant Reformation” and the </w:t>
      </w:r>
      <w:r w:rsidR="00564E0C" w:rsidRPr="00AF4381">
        <w:rPr>
          <w:rFonts w:ascii="Times New Roman" w:hAnsi="Times New Roman" w:cs="Times New Roman"/>
          <w:sz w:val="24"/>
          <w:szCs w:val="24"/>
          <w:vertAlign w:val="baseline"/>
        </w:rPr>
        <w:t>witch-hunts</w:t>
      </w:r>
      <w:r w:rsidRPr="00AF4381">
        <w:rPr>
          <w:rFonts w:ascii="Times New Roman" w:hAnsi="Times New Roman" w:cs="Times New Roman"/>
          <w:sz w:val="24"/>
          <w:szCs w:val="24"/>
          <w:vertAlign w:val="baseline"/>
        </w:rPr>
        <w:t xml:space="preserve"> were inseparable. Indeed … when Protestants took their Reformation to new regions and nations, they often took witch-hunting with them … By the same token, when Catholics reclaimed an area, they continued the witch-hunts … For, in all of these brutal religious struggles, Satan was always on the other side.</w:t>
      </w:r>
      <w:r w:rsidRPr="00AF4381">
        <w:rPr>
          <w:rFonts w:ascii="Times New Roman" w:hAnsi="Times New Roman" w:cs="Times New Roman"/>
          <w:sz w:val="24"/>
          <w:szCs w:val="24"/>
        </w:rPr>
        <w:footnoteReference w:id="233"/>
      </w:r>
    </w:p>
    <w:p w14:paraId="67AD962A" w14:textId="77777777" w:rsidR="00AF4381" w:rsidRPr="00AF4381" w:rsidRDefault="00AF4381" w:rsidP="00AF4381">
      <w:pPr>
        <w:spacing w:line="480" w:lineRule="auto"/>
        <w:jc w:val="both"/>
        <w:rPr>
          <w:rFonts w:ascii="Times New Roman" w:hAnsi="Times New Roman" w:cs="Times New Roman"/>
          <w:sz w:val="24"/>
          <w:szCs w:val="24"/>
          <w:vertAlign w:val="baseline"/>
        </w:rPr>
      </w:pPr>
    </w:p>
    <w:p w14:paraId="0966B801" w14:textId="5A6AECD2" w:rsidR="00AF4381" w:rsidRDefault="00AF4381" w:rsidP="00234F7E">
      <w:pPr>
        <w:spacing w:line="480" w:lineRule="auto"/>
        <w:ind w:firstLine="720"/>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The third factor attributed by Stark to witch-hunting is that of governance. Whilst the majority of Europe will, undoubtedly, have been subject to magic in some shape or form, many societies did not pursue an obsession with witch-hunting simply, because they were not permitted to do so.  In those societies where there was a lack of, or weak central government,</w:t>
      </w:r>
      <w:r w:rsidRPr="00AF4381">
        <w:rPr>
          <w:rFonts w:ascii="Times New Roman" w:hAnsi="Times New Roman" w:cs="Times New Roman"/>
          <w:sz w:val="24"/>
          <w:szCs w:val="24"/>
        </w:rPr>
        <w:footnoteReference w:id="234"/>
      </w:r>
      <w:r w:rsidRPr="00AF4381">
        <w:rPr>
          <w:rFonts w:ascii="Times New Roman" w:hAnsi="Times New Roman" w:cs="Times New Roman"/>
          <w:sz w:val="24"/>
          <w:szCs w:val="24"/>
          <w:vertAlign w:val="baseline"/>
        </w:rPr>
        <w:t xml:space="preserve"> witches were often tried by local officials</w:t>
      </w:r>
      <w:r w:rsidR="000B3AED">
        <w:rPr>
          <w:rFonts w:ascii="Times New Roman" w:hAnsi="Times New Roman" w:cs="Times New Roman"/>
          <w:sz w:val="24"/>
          <w:szCs w:val="24"/>
          <w:vertAlign w:val="baseline"/>
        </w:rPr>
        <w:t>,</w:t>
      </w:r>
      <w:r w:rsidRPr="00AF4381">
        <w:rPr>
          <w:rFonts w:ascii="Times New Roman" w:hAnsi="Times New Roman" w:cs="Times New Roman"/>
          <w:sz w:val="24"/>
          <w:szCs w:val="24"/>
          <w:vertAlign w:val="baseline"/>
        </w:rPr>
        <w:t xml:space="preserve"> who were not accountable to authorities on a higher leve</w:t>
      </w:r>
      <w:r w:rsidR="00920288">
        <w:rPr>
          <w:rFonts w:ascii="Times New Roman" w:hAnsi="Times New Roman" w:cs="Times New Roman"/>
          <w:sz w:val="24"/>
          <w:szCs w:val="24"/>
          <w:vertAlign w:val="baseline"/>
        </w:rPr>
        <w:t>l; thus, in societies where there</w:t>
      </w:r>
      <w:r w:rsidRPr="00AF4381">
        <w:rPr>
          <w:rFonts w:ascii="Times New Roman" w:hAnsi="Times New Roman" w:cs="Times New Roman"/>
          <w:sz w:val="24"/>
          <w:szCs w:val="24"/>
          <w:vertAlign w:val="baseline"/>
        </w:rPr>
        <w:t xml:space="preserve"> was a strong central government or strong ecclesiastical power,</w:t>
      </w:r>
      <w:r w:rsidRPr="00AF4381">
        <w:rPr>
          <w:rFonts w:ascii="Times New Roman" w:hAnsi="Times New Roman" w:cs="Times New Roman"/>
          <w:sz w:val="24"/>
          <w:szCs w:val="24"/>
        </w:rPr>
        <w:footnoteReference w:id="235"/>
      </w:r>
      <w:r w:rsidRPr="00AF4381">
        <w:rPr>
          <w:rFonts w:ascii="Times New Roman" w:hAnsi="Times New Roman" w:cs="Times New Roman"/>
          <w:sz w:val="24"/>
          <w:szCs w:val="24"/>
          <w:vertAlign w:val="baseline"/>
        </w:rPr>
        <w:t xml:space="preserve"> witch-hunts were strictly regulated.</w:t>
      </w:r>
      <w:r w:rsidRPr="00AF4381">
        <w:rPr>
          <w:rFonts w:ascii="Times New Roman" w:hAnsi="Times New Roman" w:cs="Times New Roman"/>
          <w:sz w:val="24"/>
          <w:szCs w:val="24"/>
        </w:rPr>
        <w:footnoteReference w:id="236"/>
      </w:r>
      <w:r w:rsidRPr="00AF4381">
        <w:rPr>
          <w:rFonts w:ascii="Times New Roman" w:hAnsi="Times New Roman" w:cs="Times New Roman"/>
          <w:sz w:val="24"/>
          <w:szCs w:val="24"/>
          <w:vertAlign w:val="baseline"/>
        </w:rPr>
        <w:t xml:space="preserve"> However, it is important to highlight that ‘each of these three factors was only a </w:t>
      </w:r>
      <w:r w:rsidRPr="00AF4381">
        <w:rPr>
          <w:rFonts w:ascii="Times New Roman" w:hAnsi="Times New Roman" w:cs="Times New Roman"/>
          <w:i/>
          <w:sz w:val="24"/>
          <w:szCs w:val="24"/>
          <w:vertAlign w:val="baseline"/>
        </w:rPr>
        <w:t>necessary</w:t>
      </w:r>
      <w:r w:rsidRPr="00AF4381">
        <w:rPr>
          <w:rFonts w:ascii="Times New Roman" w:hAnsi="Times New Roman" w:cs="Times New Roman"/>
          <w:sz w:val="24"/>
          <w:szCs w:val="24"/>
          <w:vertAlign w:val="baseline"/>
        </w:rPr>
        <w:t xml:space="preserve"> cause,</w:t>
      </w:r>
      <w:r w:rsidRPr="00AF4381">
        <w:rPr>
          <w:rFonts w:ascii="Times New Roman" w:hAnsi="Times New Roman" w:cs="Times New Roman"/>
          <w:sz w:val="24"/>
          <w:szCs w:val="24"/>
        </w:rPr>
        <w:footnoteReference w:id="237"/>
      </w:r>
      <w:r w:rsidRPr="00AF4381">
        <w:rPr>
          <w:rFonts w:ascii="Times New Roman" w:hAnsi="Times New Roman" w:cs="Times New Roman"/>
          <w:sz w:val="24"/>
          <w:szCs w:val="24"/>
          <w:vertAlign w:val="baseline"/>
        </w:rPr>
        <w:t xml:space="preserve"> and only in combination were they a </w:t>
      </w:r>
      <w:r w:rsidRPr="00AF4381">
        <w:rPr>
          <w:rFonts w:ascii="Times New Roman" w:hAnsi="Times New Roman" w:cs="Times New Roman"/>
          <w:i/>
          <w:sz w:val="24"/>
          <w:szCs w:val="24"/>
          <w:vertAlign w:val="baseline"/>
        </w:rPr>
        <w:t>sufficient</w:t>
      </w:r>
      <w:r w:rsidRPr="00AF4381">
        <w:rPr>
          <w:rFonts w:ascii="Times New Roman" w:hAnsi="Times New Roman" w:cs="Times New Roman"/>
          <w:sz w:val="24"/>
          <w:szCs w:val="24"/>
          <w:vertAlign w:val="baseline"/>
        </w:rPr>
        <w:t xml:space="preserve"> cause.’</w:t>
      </w:r>
      <w:r w:rsidRPr="00AF4381">
        <w:rPr>
          <w:rFonts w:ascii="Times New Roman" w:hAnsi="Times New Roman" w:cs="Times New Roman"/>
          <w:sz w:val="24"/>
          <w:szCs w:val="24"/>
        </w:rPr>
        <w:footnoteReference w:id="238"/>
      </w:r>
      <w:r w:rsidRPr="00AF4381">
        <w:rPr>
          <w:rFonts w:ascii="Times New Roman" w:hAnsi="Times New Roman" w:cs="Times New Roman"/>
          <w:sz w:val="24"/>
          <w:szCs w:val="24"/>
          <w:vertAlign w:val="baseline"/>
        </w:rPr>
        <w:t xml:space="preserve"> As explained by Stark,</w:t>
      </w:r>
    </w:p>
    <w:p w14:paraId="449C33BE" w14:textId="77777777" w:rsidR="00480341" w:rsidRPr="00AF4381" w:rsidRDefault="00480341" w:rsidP="00234F7E">
      <w:pPr>
        <w:spacing w:line="480" w:lineRule="auto"/>
        <w:ind w:firstLine="720"/>
        <w:jc w:val="both"/>
        <w:rPr>
          <w:rFonts w:ascii="Times New Roman" w:hAnsi="Times New Roman" w:cs="Times New Roman"/>
          <w:sz w:val="24"/>
          <w:szCs w:val="24"/>
          <w:vertAlign w:val="baseline"/>
        </w:rPr>
      </w:pPr>
    </w:p>
    <w:p w14:paraId="44ADC3AC" w14:textId="77777777" w:rsidR="00AF4381" w:rsidRPr="00AF4381" w:rsidRDefault="00AF4381" w:rsidP="007E5E1D">
      <w:pPr>
        <w:spacing w:line="480" w:lineRule="auto"/>
        <w:ind w:left="720"/>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Magical activity did not always produce witch-hunts … it was not a sufficient cause. But it was a necessary cause – real witch trials (as opposed to those involving only magic or superstition) did not occur when or where this factor was missing … Consequently, my explanation of the witch-hunts requires that all three factors be present.</w:t>
      </w:r>
      <w:r w:rsidRPr="00AF4381">
        <w:rPr>
          <w:rFonts w:ascii="Times New Roman" w:hAnsi="Times New Roman" w:cs="Times New Roman"/>
          <w:sz w:val="24"/>
          <w:szCs w:val="24"/>
        </w:rPr>
        <w:footnoteReference w:id="239"/>
      </w:r>
    </w:p>
    <w:p w14:paraId="593877FF" w14:textId="77777777" w:rsidR="00AF4381" w:rsidRPr="00AF4381" w:rsidRDefault="00AF4381" w:rsidP="00AF4381">
      <w:pPr>
        <w:spacing w:line="480" w:lineRule="auto"/>
        <w:jc w:val="both"/>
        <w:rPr>
          <w:rFonts w:ascii="Times New Roman" w:hAnsi="Times New Roman" w:cs="Times New Roman"/>
          <w:sz w:val="24"/>
          <w:szCs w:val="24"/>
          <w:vertAlign w:val="baseline"/>
        </w:rPr>
      </w:pPr>
    </w:p>
    <w:p w14:paraId="66605BA9" w14:textId="77777777" w:rsidR="00AF4381" w:rsidRDefault="00AF4381" w:rsidP="00DA2C80">
      <w:pPr>
        <w:spacing w:line="480" w:lineRule="auto"/>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Essentially, witch-hunting would have been at its most intense when all three factors were contemporaneous.</w:t>
      </w:r>
    </w:p>
    <w:p w14:paraId="4F3CDF84" w14:textId="77777777" w:rsidR="002D6848" w:rsidRPr="00AF4381" w:rsidRDefault="002D6848" w:rsidP="00D44A71">
      <w:pPr>
        <w:spacing w:line="480" w:lineRule="auto"/>
        <w:ind w:firstLine="720"/>
        <w:jc w:val="both"/>
        <w:rPr>
          <w:rFonts w:ascii="Times New Roman" w:hAnsi="Times New Roman" w:cs="Times New Roman"/>
          <w:sz w:val="24"/>
          <w:szCs w:val="24"/>
          <w:vertAlign w:val="baseline"/>
        </w:rPr>
      </w:pPr>
    </w:p>
    <w:p w14:paraId="19A93D0F" w14:textId="747047B9" w:rsidR="00AF4381" w:rsidRPr="00AF4381" w:rsidRDefault="007E5E1D" w:rsidP="00AF4381">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2</w:t>
      </w:r>
      <w:r w:rsidR="00181684">
        <w:rPr>
          <w:rFonts w:ascii="Times New Roman" w:hAnsi="Times New Roman" w:cs="Times New Roman"/>
          <w:b/>
          <w:sz w:val="24"/>
          <w:szCs w:val="24"/>
          <w:u w:val="single"/>
          <w:vertAlign w:val="baseline"/>
        </w:rPr>
        <w:t>.8</w:t>
      </w:r>
      <w:r w:rsidR="002D6848">
        <w:rPr>
          <w:rFonts w:ascii="Times New Roman" w:hAnsi="Times New Roman" w:cs="Times New Roman"/>
          <w:b/>
          <w:sz w:val="24"/>
          <w:szCs w:val="24"/>
          <w:u w:val="single"/>
          <w:vertAlign w:val="baseline"/>
        </w:rPr>
        <w:t xml:space="preserve"> </w:t>
      </w:r>
      <w:r>
        <w:rPr>
          <w:rFonts w:ascii="Times New Roman" w:hAnsi="Times New Roman" w:cs="Times New Roman"/>
          <w:b/>
          <w:sz w:val="24"/>
          <w:szCs w:val="24"/>
          <w:u w:val="single"/>
          <w:vertAlign w:val="baseline"/>
        </w:rPr>
        <w:t>THE END OF WITCHCRAFT?</w:t>
      </w:r>
    </w:p>
    <w:p w14:paraId="0C983A0D" w14:textId="77777777" w:rsidR="00AF4381" w:rsidRPr="00AF4381" w:rsidRDefault="00AF4381" w:rsidP="002D6848">
      <w:pPr>
        <w:spacing w:line="480" w:lineRule="auto"/>
        <w:ind w:firstLine="720"/>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By the eighteenth century the ‘witch-craze’ had virtually come to an end, bar the chance incident in isolated areas.</w:t>
      </w:r>
      <w:r w:rsidRPr="00AF4381">
        <w:rPr>
          <w:rFonts w:ascii="Times New Roman" w:hAnsi="Times New Roman" w:cs="Times New Roman"/>
          <w:sz w:val="24"/>
          <w:szCs w:val="24"/>
        </w:rPr>
        <w:footnoteReference w:id="240"/>
      </w:r>
      <w:r w:rsidRPr="00AF4381">
        <w:rPr>
          <w:rFonts w:ascii="Times New Roman" w:hAnsi="Times New Roman" w:cs="Times New Roman"/>
          <w:sz w:val="24"/>
          <w:szCs w:val="24"/>
          <w:vertAlign w:val="baseline"/>
        </w:rPr>
        <w:t xml:space="preserve"> However, it appears that the reasons for the end of the witch-hunts, within that particular period, remain ambiguous and unclear, with little agreement between academics.</w:t>
      </w:r>
      <w:r w:rsidRPr="00AF4381">
        <w:rPr>
          <w:rFonts w:ascii="Times New Roman" w:hAnsi="Times New Roman" w:cs="Times New Roman"/>
          <w:sz w:val="24"/>
          <w:szCs w:val="24"/>
        </w:rPr>
        <w:footnoteReference w:id="241"/>
      </w:r>
      <w:r w:rsidRPr="00AF4381">
        <w:rPr>
          <w:rFonts w:ascii="Times New Roman" w:hAnsi="Times New Roman" w:cs="Times New Roman"/>
          <w:sz w:val="24"/>
          <w:szCs w:val="24"/>
          <w:vertAlign w:val="baseline"/>
        </w:rPr>
        <w:t xml:space="preserve"> It is suggested by Hannam</w:t>
      </w:r>
      <w:r w:rsidRPr="00AF4381">
        <w:rPr>
          <w:rFonts w:ascii="Times New Roman" w:hAnsi="Times New Roman" w:cs="Times New Roman"/>
          <w:sz w:val="24"/>
          <w:szCs w:val="24"/>
        </w:rPr>
        <w:footnoteReference w:id="242"/>
      </w:r>
      <w:r w:rsidRPr="00AF4381">
        <w:rPr>
          <w:rFonts w:ascii="Times New Roman" w:hAnsi="Times New Roman" w:cs="Times New Roman"/>
          <w:sz w:val="24"/>
          <w:szCs w:val="24"/>
          <w:vertAlign w:val="baseline"/>
        </w:rPr>
        <w:t xml:space="preserve"> and Stark</w:t>
      </w:r>
      <w:r w:rsidRPr="00AF4381">
        <w:rPr>
          <w:rFonts w:ascii="Times New Roman" w:hAnsi="Times New Roman" w:cs="Times New Roman"/>
          <w:sz w:val="24"/>
          <w:szCs w:val="24"/>
        </w:rPr>
        <w:footnoteReference w:id="243"/>
      </w:r>
      <w:r w:rsidRPr="00AF4381">
        <w:rPr>
          <w:rFonts w:ascii="Times New Roman" w:hAnsi="Times New Roman" w:cs="Times New Roman"/>
          <w:sz w:val="24"/>
          <w:szCs w:val="24"/>
          <w:vertAlign w:val="baseline"/>
        </w:rPr>
        <w:t xml:space="preserve"> that if the conditions, which brought about the witch trials are identified, the subsequent decline of the witch hunts may be explained by the disappearance of these resulting factors. Thus, considering the three factors discussed in the preceding section; the ‘intense and constant religious conflicts’ were superseded by the end of the religious wars and the ‘implementation of treaties of toleration,’</w:t>
      </w:r>
      <w:r w:rsidRPr="00AF4381">
        <w:rPr>
          <w:rFonts w:ascii="Times New Roman" w:hAnsi="Times New Roman" w:cs="Times New Roman"/>
          <w:sz w:val="24"/>
          <w:szCs w:val="24"/>
        </w:rPr>
        <w:footnoteReference w:id="244"/>
      </w:r>
      <w:r w:rsidRPr="00AF4381">
        <w:rPr>
          <w:rFonts w:ascii="Times New Roman" w:hAnsi="Times New Roman" w:cs="Times New Roman"/>
          <w:sz w:val="24"/>
          <w:szCs w:val="24"/>
          <w:vertAlign w:val="baseline"/>
        </w:rPr>
        <w:t xml:space="preserve"> which brought about peace, culminating in an end to heresy and witch hunting; the ‘lack of, or weak central governance’ was replaced by stronger, more centralised governance, which resulted in a proliferation of prohibitions against the use of torture; and the ‘persistence of magic’ was overridden by a wave of scepticism, due to waning fears of religious conflict and the introduction of the prohibition of torture, which was noted by Levack as, ‘an intellectual revolution that destroyed scholasticism … and dissolved many of the beliefs that lay at the basis of witchcraft prosecutions.’</w:t>
      </w:r>
      <w:r w:rsidRPr="00AF4381">
        <w:rPr>
          <w:rFonts w:ascii="Times New Roman" w:hAnsi="Times New Roman" w:cs="Times New Roman"/>
          <w:sz w:val="24"/>
          <w:szCs w:val="24"/>
        </w:rPr>
        <w:footnoteReference w:id="245"/>
      </w:r>
    </w:p>
    <w:p w14:paraId="2745BB01" w14:textId="77777777" w:rsidR="00AF4381" w:rsidRPr="00AF4381" w:rsidRDefault="00AF4381" w:rsidP="00AF4381">
      <w:pPr>
        <w:spacing w:line="480" w:lineRule="auto"/>
        <w:jc w:val="both"/>
        <w:rPr>
          <w:rFonts w:ascii="Times New Roman" w:hAnsi="Times New Roman" w:cs="Times New Roman"/>
          <w:b/>
          <w:sz w:val="24"/>
          <w:szCs w:val="24"/>
          <w:u w:val="single"/>
          <w:vertAlign w:val="baseline"/>
        </w:rPr>
      </w:pPr>
    </w:p>
    <w:p w14:paraId="3923E0BE" w14:textId="4C3B958C" w:rsidR="00AF4381" w:rsidRPr="00AF4381" w:rsidRDefault="00CD3DD5" w:rsidP="00AF4381">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2</w:t>
      </w:r>
      <w:r w:rsidR="00181684">
        <w:rPr>
          <w:rFonts w:ascii="Times New Roman" w:hAnsi="Times New Roman" w:cs="Times New Roman"/>
          <w:b/>
          <w:sz w:val="24"/>
          <w:szCs w:val="24"/>
          <w:u w:val="single"/>
          <w:vertAlign w:val="baseline"/>
        </w:rPr>
        <w:t>.9</w:t>
      </w:r>
      <w:r w:rsidR="00390B36">
        <w:rPr>
          <w:rFonts w:ascii="Times New Roman" w:hAnsi="Times New Roman" w:cs="Times New Roman"/>
          <w:b/>
          <w:sz w:val="24"/>
          <w:szCs w:val="24"/>
          <w:u w:val="single"/>
          <w:vertAlign w:val="baseline"/>
        </w:rPr>
        <w:t xml:space="preserve"> </w:t>
      </w:r>
      <w:r>
        <w:rPr>
          <w:rFonts w:ascii="Times New Roman" w:hAnsi="Times New Roman" w:cs="Times New Roman"/>
          <w:b/>
          <w:sz w:val="24"/>
          <w:szCs w:val="24"/>
          <w:u w:val="single"/>
          <w:vertAlign w:val="baseline"/>
        </w:rPr>
        <w:t>CONCLUSION</w:t>
      </w:r>
    </w:p>
    <w:p w14:paraId="1D2625F0" w14:textId="5A85EBE3" w:rsidR="00AF4381" w:rsidRDefault="00AF4381" w:rsidP="00366B34">
      <w:pPr>
        <w:spacing w:line="480" w:lineRule="auto"/>
        <w:ind w:firstLine="720"/>
        <w:jc w:val="both"/>
        <w:rPr>
          <w:rFonts w:ascii="Times New Roman" w:hAnsi="Times New Roman" w:cs="Times New Roman"/>
          <w:sz w:val="24"/>
          <w:szCs w:val="24"/>
          <w:vertAlign w:val="baseline"/>
        </w:rPr>
      </w:pPr>
      <w:r w:rsidRPr="00AF4381">
        <w:rPr>
          <w:rFonts w:ascii="Times New Roman" w:hAnsi="Times New Roman" w:cs="Times New Roman"/>
          <w:sz w:val="24"/>
          <w:szCs w:val="24"/>
          <w:vertAlign w:val="baseline"/>
        </w:rPr>
        <w:t xml:space="preserve">As a society we have an immense fear of evil. Fear is an intrinsic characteristic within all living organisms. It is the emotional response, which prepares the body to confront danger in its quest for survival and at a subconscious level, fear becomes an accumulation of emotional pressure. Fear provides the distinction between simple irrational beliefs and superstitious belief. The fear of evil provides the stimulus behind religious supernatural belief. Notions of evil are, thus, typically connected with the spiritual and, frequently, to the explicitly religious. Evil is a personal perception. The diversity of differing perceptions of evil makes the definition of evil ambiguous. Yet a common theme, within the definition of evil, is the link with agency and the personification of evil, whether this is an evil spirit, witches, demons or the Devil himself. This link between evil and agency forms the basis for witchcraft beliefs. The link between the Devil and Witchcraft is undoubtedly a religious one, established by scholars of the Church, in response to their failure to acknowledge how magic actually functioned. Within the religious sense, the Devil is the manifestation of evil. Essentially if God and the Saints were not the cause of non-church magic, logically, it must be the work of the Devil. </w:t>
      </w:r>
      <w:r w:rsidR="000B3AED" w:rsidRPr="00AF4381">
        <w:rPr>
          <w:rFonts w:ascii="Times New Roman" w:hAnsi="Times New Roman" w:cs="Times New Roman"/>
          <w:sz w:val="24"/>
          <w:szCs w:val="24"/>
          <w:vertAlign w:val="baseline"/>
        </w:rPr>
        <w:t>This</w:t>
      </w:r>
      <w:r w:rsidRPr="00AF4381">
        <w:rPr>
          <w:rFonts w:ascii="Times New Roman" w:hAnsi="Times New Roman" w:cs="Times New Roman"/>
          <w:sz w:val="24"/>
          <w:szCs w:val="24"/>
          <w:vertAlign w:val="baseline"/>
        </w:rPr>
        <w:t xml:space="preserve"> combined with the publication of </w:t>
      </w:r>
      <w:r w:rsidRPr="00AF4381">
        <w:rPr>
          <w:rFonts w:ascii="Times New Roman" w:hAnsi="Times New Roman" w:cs="Times New Roman"/>
          <w:i/>
          <w:sz w:val="24"/>
          <w:szCs w:val="24"/>
          <w:vertAlign w:val="baseline"/>
        </w:rPr>
        <w:t>Malleus Maleficarum</w:t>
      </w:r>
      <w:r w:rsidRPr="00AF4381">
        <w:rPr>
          <w:rFonts w:ascii="Times New Roman" w:hAnsi="Times New Roman" w:cs="Times New Roman"/>
          <w:sz w:val="24"/>
          <w:szCs w:val="24"/>
          <w:vertAlign w:val="baseline"/>
        </w:rPr>
        <w:t xml:space="preserve"> provided the rationale for witch-hunting. Thus, in this chapter I have highlighted and acknowledged the link between superstition, evil, agency and witchcraft, in order to provide an understanding of the basis of witchcraft b</w:t>
      </w:r>
      <w:r w:rsidR="00600CD6">
        <w:rPr>
          <w:rFonts w:ascii="Times New Roman" w:hAnsi="Times New Roman" w:cs="Times New Roman"/>
          <w:sz w:val="24"/>
          <w:szCs w:val="24"/>
          <w:vertAlign w:val="baseline"/>
        </w:rPr>
        <w:t>eliefs. This, in turn, will</w:t>
      </w:r>
      <w:r w:rsidRPr="00AF4381">
        <w:rPr>
          <w:rFonts w:ascii="Times New Roman" w:hAnsi="Times New Roman" w:cs="Times New Roman"/>
          <w:sz w:val="24"/>
          <w:szCs w:val="24"/>
          <w:vertAlign w:val="baseline"/>
        </w:rPr>
        <w:t xml:space="preserve"> provide the foundation for the discussion of witchcraft in chapter three.</w:t>
      </w:r>
    </w:p>
    <w:p w14:paraId="55EDA118" w14:textId="77777777" w:rsidR="000042D7" w:rsidRDefault="000042D7" w:rsidP="00366B34">
      <w:pPr>
        <w:spacing w:line="480" w:lineRule="auto"/>
        <w:ind w:firstLine="720"/>
        <w:jc w:val="both"/>
        <w:rPr>
          <w:rFonts w:ascii="Times New Roman" w:hAnsi="Times New Roman" w:cs="Times New Roman"/>
          <w:sz w:val="24"/>
          <w:szCs w:val="24"/>
          <w:vertAlign w:val="baseline"/>
        </w:rPr>
        <w:sectPr w:rsidR="000042D7" w:rsidSect="00EA2769">
          <w:pgSz w:w="11900" w:h="16840"/>
          <w:pgMar w:top="1418" w:right="1418" w:bottom="1418" w:left="2155" w:header="708" w:footer="708" w:gutter="0"/>
          <w:cols w:space="708"/>
          <w:docGrid w:linePitch="360"/>
        </w:sectPr>
      </w:pPr>
    </w:p>
    <w:p w14:paraId="7C320BBA" w14:textId="77777777" w:rsidR="007D11E4" w:rsidRPr="007D11E4" w:rsidRDefault="007D11E4" w:rsidP="007D11E4">
      <w:pPr>
        <w:spacing w:line="480" w:lineRule="auto"/>
        <w:ind w:firstLine="720"/>
        <w:jc w:val="center"/>
        <w:rPr>
          <w:rFonts w:ascii="Times New Roman" w:hAnsi="Times New Roman" w:cs="Times New Roman"/>
          <w:b/>
          <w:sz w:val="28"/>
          <w:szCs w:val="28"/>
          <w:vertAlign w:val="baseline"/>
        </w:rPr>
      </w:pPr>
      <w:r w:rsidRPr="007D11E4">
        <w:rPr>
          <w:rFonts w:ascii="Times New Roman" w:hAnsi="Times New Roman" w:cs="Times New Roman"/>
          <w:b/>
          <w:sz w:val="28"/>
          <w:szCs w:val="28"/>
          <w:vertAlign w:val="baseline"/>
        </w:rPr>
        <w:t>Chapter Three – Witchcraft</w:t>
      </w:r>
    </w:p>
    <w:p w14:paraId="26F8DF86" w14:textId="77777777" w:rsidR="007D11E4" w:rsidRPr="007D11E4" w:rsidRDefault="007D11E4" w:rsidP="007D11E4">
      <w:pPr>
        <w:spacing w:line="480" w:lineRule="auto"/>
        <w:ind w:firstLine="720"/>
        <w:jc w:val="both"/>
        <w:rPr>
          <w:rFonts w:ascii="Times New Roman" w:hAnsi="Times New Roman" w:cs="Times New Roman"/>
          <w:b/>
          <w:sz w:val="24"/>
          <w:szCs w:val="24"/>
          <w:u w:val="single"/>
          <w:vertAlign w:val="baseline"/>
        </w:rPr>
      </w:pPr>
    </w:p>
    <w:p w14:paraId="34A3E262" w14:textId="64357518" w:rsidR="007D11E4" w:rsidRPr="007D11E4" w:rsidRDefault="00EA7AC6" w:rsidP="007D11E4">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3</w:t>
      </w:r>
      <w:r w:rsidR="009F20AE">
        <w:rPr>
          <w:rFonts w:ascii="Times New Roman" w:hAnsi="Times New Roman" w:cs="Times New Roman"/>
          <w:b/>
          <w:sz w:val="24"/>
          <w:szCs w:val="24"/>
          <w:u w:val="single"/>
          <w:vertAlign w:val="baseline"/>
        </w:rPr>
        <w:t xml:space="preserve">.1 </w:t>
      </w:r>
      <w:r>
        <w:rPr>
          <w:rFonts w:ascii="Times New Roman" w:hAnsi="Times New Roman" w:cs="Times New Roman"/>
          <w:b/>
          <w:sz w:val="24"/>
          <w:szCs w:val="24"/>
          <w:u w:val="single"/>
          <w:vertAlign w:val="baseline"/>
        </w:rPr>
        <w:t>INTRODUCTION</w:t>
      </w:r>
      <w:r w:rsidR="007D11E4" w:rsidRPr="007D11E4">
        <w:rPr>
          <w:rFonts w:ascii="Times New Roman" w:hAnsi="Times New Roman" w:cs="Times New Roman"/>
          <w:b/>
          <w:sz w:val="24"/>
          <w:szCs w:val="24"/>
          <w:u w:val="single"/>
          <w:vertAlign w:val="baseline"/>
        </w:rPr>
        <w:t xml:space="preserve"> </w:t>
      </w:r>
    </w:p>
    <w:p w14:paraId="7B87D162" w14:textId="23ED29B1" w:rsidR="007D11E4" w:rsidRDefault="007D11E4" w:rsidP="00EC5BF6">
      <w:pPr>
        <w:spacing w:line="480" w:lineRule="auto"/>
        <w:ind w:firstLine="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Twentieth century witchcraft comes in many semblances, from the fairy-tale witch, observed in folklore, children’s books, plays and films, to pagan religions such as Wicca.</w:t>
      </w:r>
      <w:r w:rsidRPr="007D11E4">
        <w:rPr>
          <w:rFonts w:ascii="Times New Roman" w:hAnsi="Times New Roman" w:cs="Times New Roman"/>
          <w:sz w:val="24"/>
          <w:szCs w:val="24"/>
        </w:rPr>
        <w:footnoteReference w:id="246"/>
      </w:r>
      <w:r w:rsidRPr="007D11E4">
        <w:rPr>
          <w:rFonts w:ascii="Times New Roman" w:hAnsi="Times New Roman" w:cs="Times New Roman"/>
          <w:sz w:val="24"/>
          <w:szCs w:val="24"/>
          <w:vertAlign w:val="baseline"/>
        </w:rPr>
        <w:t xml:space="preserve"> </w:t>
      </w:r>
      <w:r w:rsidR="00E848DF">
        <w:rPr>
          <w:rFonts w:ascii="Times New Roman" w:hAnsi="Times New Roman" w:cs="Times New Roman"/>
          <w:sz w:val="24"/>
          <w:szCs w:val="24"/>
          <w:vertAlign w:val="baseline"/>
        </w:rPr>
        <w:t>Children are</w:t>
      </w:r>
      <w:r w:rsidRPr="007D11E4">
        <w:rPr>
          <w:rFonts w:ascii="Times New Roman" w:hAnsi="Times New Roman" w:cs="Times New Roman"/>
          <w:sz w:val="24"/>
          <w:szCs w:val="24"/>
          <w:vertAlign w:val="baseline"/>
        </w:rPr>
        <w:t xml:space="preserve"> often terrified by the wicked witch, depicted in fairy tales such as Sleeping Beauty, Snow White, Wizard of Oz and Hansel and Gretel, whose portrayal of a predatory, child </w:t>
      </w:r>
      <w:r w:rsidR="00E848DF">
        <w:rPr>
          <w:rFonts w:ascii="Times New Roman" w:hAnsi="Times New Roman" w:cs="Times New Roman"/>
          <w:sz w:val="24"/>
          <w:szCs w:val="24"/>
          <w:vertAlign w:val="baseline"/>
        </w:rPr>
        <w:t>killing, cannibalistic witch is</w:t>
      </w:r>
      <w:r w:rsidRPr="007D11E4">
        <w:rPr>
          <w:rFonts w:ascii="Times New Roman" w:hAnsi="Times New Roman" w:cs="Times New Roman"/>
          <w:sz w:val="24"/>
          <w:szCs w:val="24"/>
          <w:vertAlign w:val="baseline"/>
        </w:rPr>
        <w:t xml:space="preserve"> particularly disconcerting. Moreover, as someone who was born in Lancashire, in the North West of England, tales of witches were commonplace, the Pendle witch trials in 1612 remain among the most famous witch trials in English history. Witchcraft can be described as an ‘imaginary offence, because it is impossible.’</w:t>
      </w:r>
      <w:r w:rsidRPr="007D11E4">
        <w:rPr>
          <w:rFonts w:ascii="Times New Roman" w:hAnsi="Times New Roman" w:cs="Times New Roman"/>
          <w:sz w:val="24"/>
          <w:szCs w:val="24"/>
        </w:rPr>
        <w:footnoteReference w:id="247"/>
      </w:r>
      <w:r w:rsidRPr="007D11E4">
        <w:rPr>
          <w:rFonts w:ascii="Times New Roman" w:hAnsi="Times New Roman" w:cs="Times New Roman"/>
          <w:sz w:val="24"/>
          <w:szCs w:val="24"/>
          <w:vertAlign w:val="baseline"/>
        </w:rPr>
        <w:t xml:space="preserve"> However, the importance of witchcraft within many societies is not to be taken lightly. Witchcraft, for all those involved in the discourse, is evil.</w:t>
      </w:r>
      <w:r w:rsidRPr="007D11E4">
        <w:rPr>
          <w:rFonts w:ascii="Times New Roman" w:hAnsi="Times New Roman" w:cs="Times New Roman"/>
          <w:sz w:val="24"/>
          <w:szCs w:val="24"/>
        </w:rPr>
        <w:footnoteReference w:id="248"/>
      </w:r>
      <w:r w:rsidRPr="007D11E4">
        <w:rPr>
          <w:rFonts w:ascii="Times New Roman" w:hAnsi="Times New Roman" w:cs="Times New Roman"/>
          <w:sz w:val="24"/>
          <w:szCs w:val="24"/>
          <w:vertAlign w:val="baseline"/>
        </w:rPr>
        <w:t xml:space="preserve"> Anthropological studies</w:t>
      </w:r>
      <w:r w:rsidRPr="007D11E4">
        <w:rPr>
          <w:rFonts w:ascii="Times New Roman" w:hAnsi="Times New Roman" w:cs="Times New Roman"/>
          <w:sz w:val="24"/>
          <w:szCs w:val="24"/>
        </w:rPr>
        <w:footnoteReference w:id="249"/>
      </w:r>
      <w:r w:rsidRPr="007D11E4">
        <w:rPr>
          <w:rFonts w:ascii="Times New Roman" w:hAnsi="Times New Roman" w:cs="Times New Roman"/>
          <w:sz w:val="24"/>
          <w:szCs w:val="24"/>
          <w:vertAlign w:val="baseline"/>
        </w:rPr>
        <w:t xml:space="preserve"> illustrate that witchcraft beliefs are encountered in virtually all continents of the world, continuing to be an important characteristic of contemporary times.</w:t>
      </w:r>
      <w:r w:rsidRPr="007D11E4">
        <w:rPr>
          <w:rFonts w:ascii="Times New Roman" w:hAnsi="Times New Roman" w:cs="Times New Roman"/>
          <w:sz w:val="24"/>
          <w:szCs w:val="24"/>
        </w:rPr>
        <w:footnoteReference w:id="250"/>
      </w:r>
      <w:r w:rsidRPr="007D11E4">
        <w:rPr>
          <w:rFonts w:ascii="Times New Roman" w:hAnsi="Times New Roman" w:cs="Times New Roman"/>
          <w:sz w:val="24"/>
          <w:szCs w:val="24"/>
          <w:vertAlign w:val="baseline"/>
        </w:rPr>
        <w:t xml:space="preserve"> From January to October 2013, the Witchcraft and Human Rights Information Network (WHRIN) noted 142 globally registered reports of witchcraft violence, documented in the media.</w:t>
      </w:r>
      <w:r w:rsidRPr="007D11E4">
        <w:rPr>
          <w:rFonts w:ascii="Times New Roman" w:hAnsi="Times New Roman" w:cs="Times New Roman"/>
          <w:sz w:val="24"/>
          <w:szCs w:val="24"/>
        </w:rPr>
        <w:footnoteReference w:id="251"/>
      </w:r>
      <w:r w:rsidRPr="007D11E4">
        <w:rPr>
          <w:rFonts w:ascii="Times New Roman" w:hAnsi="Times New Roman" w:cs="Times New Roman"/>
          <w:sz w:val="24"/>
          <w:szCs w:val="24"/>
          <w:vertAlign w:val="baseline"/>
        </w:rPr>
        <w:t xml:space="preserve"> Whilst this figure highlights the lack of reporting on the issue, it also draws attention as to the global distribution of witchcraft beliefs.</w:t>
      </w:r>
      <w:r w:rsidRPr="007D11E4">
        <w:rPr>
          <w:rFonts w:ascii="Times New Roman" w:hAnsi="Times New Roman" w:cs="Times New Roman"/>
          <w:sz w:val="24"/>
          <w:szCs w:val="24"/>
        </w:rPr>
        <w:footnoteReference w:id="252"/>
      </w:r>
      <w:r w:rsidRPr="007D11E4">
        <w:rPr>
          <w:rFonts w:ascii="Times New Roman" w:hAnsi="Times New Roman" w:cs="Times New Roman"/>
          <w:sz w:val="24"/>
          <w:szCs w:val="24"/>
          <w:vertAlign w:val="baseline"/>
        </w:rPr>
        <w:t xml:space="preserve"> </w:t>
      </w:r>
    </w:p>
    <w:p w14:paraId="5C65249F" w14:textId="77777777" w:rsidR="00EC5BF6" w:rsidRPr="007D11E4" w:rsidRDefault="00EC5BF6" w:rsidP="00EC5BF6">
      <w:pPr>
        <w:spacing w:line="480" w:lineRule="auto"/>
        <w:ind w:firstLine="720"/>
        <w:jc w:val="both"/>
        <w:rPr>
          <w:rFonts w:ascii="Times New Roman" w:hAnsi="Times New Roman" w:cs="Times New Roman"/>
          <w:sz w:val="24"/>
          <w:szCs w:val="24"/>
          <w:vertAlign w:val="baseline"/>
        </w:rPr>
      </w:pPr>
    </w:p>
    <w:p w14:paraId="2478923E" w14:textId="3D3296EE" w:rsidR="007D11E4" w:rsidRPr="007D11E4" w:rsidRDefault="007D11E4" w:rsidP="007D11E4">
      <w:pPr>
        <w:spacing w:line="480" w:lineRule="auto"/>
        <w:ind w:firstLine="720"/>
        <w:jc w:val="both"/>
        <w:rPr>
          <w:rFonts w:ascii="Times New Roman" w:hAnsi="Times New Roman" w:cs="Times New Roman"/>
          <w:bCs/>
          <w:sz w:val="24"/>
          <w:szCs w:val="24"/>
          <w:vertAlign w:val="baseline"/>
        </w:rPr>
      </w:pPr>
      <w:r w:rsidRPr="007D11E4">
        <w:rPr>
          <w:rFonts w:ascii="Times New Roman" w:hAnsi="Times New Roman" w:cs="Times New Roman"/>
          <w:sz w:val="24"/>
          <w:szCs w:val="24"/>
          <w:vertAlign w:val="baseline"/>
        </w:rPr>
        <w:t>The aim of this chapter is to explore the phenomenon of witchcraft. It will give an overview of the background and history of witchcraft, before examining the phenomenon of witchcraft within the 21</w:t>
      </w:r>
      <w:r w:rsidRPr="007D11E4">
        <w:rPr>
          <w:rFonts w:ascii="Times New Roman" w:hAnsi="Times New Roman" w:cs="Times New Roman"/>
          <w:sz w:val="24"/>
          <w:szCs w:val="24"/>
        </w:rPr>
        <w:t>st</w:t>
      </w:r>
      <w:r w:rsidRPr="007D11E4">
        <w:rPr>
          <w:rFonts w:ascii="Times New Roman" w:hAnsi="Times New Roman" w:cs="Times New Roman"/>
          <w:sz w:val="24"/>
          <w:szCs w:val="24"/>
          <w:vertAlign w:val="baseline"/>
        </w:rPr>
        <w:t xml:space="preserve"> century. This will, initially, involve an analysis of the terminology associated with witchcraft, in order to clarify a working definition, which will be used for the purposes of this thesis. </w:t>
      </w:r>
      <w:r w:rsidRPr="007D11E4">
        <w:rPr>
          <w:rFonts w:ascii="Times New Roman" w:hAnsi="Times New Roman" w:cs="Times New Roman"/>
          <w:bCs/>
          <w:sz w:val="24"/>
          <w:szCs w:val="24"/>
          <w:vertAlign w:val="baseline"/>
        </w:rPr>
        <w:t>It will consider three explanations of the existence of witchcraft beliefs before, subsequently, examining the dynamics of witchcraft accusations, investigating the perpetrators of witchcraft accusations and the social repercussions of an accusation.</w:t>
      </w:r>
      <w:r w:rsidRPr="007D11E4">
        <w:rPr>
          <w:rFonts w:ascii="Times New Roman" w:hAnsi="Times New Roman" w:cs="Times New Roman"/>
          <w:sz w:val="24"/>
          <w:szCs w:val="24"/>
          <w:vertAlign w:val="baseline"/>
        </w:rPr>
        <w:t xml:space="preserve"> The rationale behind this </w:t>
      </w:r>
      <w:r w:rsidR="00224084" w:rsidRPr="007D11E4">
        <w:rPr>
          <w:rFonts w:ascii="Times New Roman" w:hAnsi="Times New Roman" w:cs="Times New Roman"/>
          <w:sz w:val="24"/>
          <w:szCs w:val="24"/>
          <w:vertAlign w:val="baseline"/>
        </w:rPr>
        <w:t>chapter</w:t>
      </w:r>
      <w:r w:rsidRPr="007D11E4">
        <w:rPr>
          <w:rFonts w:ascii="Times New Roman" w:hAnsi="Times New Roman" w:cs="Times New Roman"/>
          <w:sz w:val="24"/>
          <w:szCs w:val="24"/>
          <w:vertAlign w:val="baseline"/>
        </w:rPr>
        <w:t xml:space="preserve"> is to</w:t>
      </w:r>
      <w:r w:rsidRPr="007D11E4">
        <w:rPr>
          <w:rFonts w:ascii="Times New Roman" w:hAnsi="Times New Roman" w:cs="Times New Roman"/>
          <w:bCs/>
          <w:sz w:val="24"/>
          <w:szCs w:val="24"/>
          <w:vertAlign w:val="baseline"/>
        </w:rPr>
        <w:t xml:space="preserve"> primarily identify the nature of witchcraft</w:t>
      </w:r>
      <w:r w:rsidR="00224084">
        <w:rPr>
          <w:rFonts w:ascii="Times New Roman" w:hAnsi="Times New Roman" w:cs="Times New Roman"/>
          <w:bCs/>
          <w:sz w:val="24"/>
          <w:szCs w:val="24"/>
          <w:vertAlign w:val="baseline"/>
        </w:rPr>
        <w:t xml:space="preserve"> beliefs</w:t>
      </w:r>
      <w:r w:rsidRPr="007D11E4">
        <w:rPr>
          <w:rFonts w:ascii="Times New Roman" w:hAnsi="Times New Roman" w:cs="Times New Roman"/>
          <w:bCs/>
          <w:sz w:val="24"/>
          <w:szCs w:val="24"/>
          <w:vertAlign w:val="baseline"/>
        </w:rPr>
        <w:t xml:space="preserve"> within society</w:t>
      </w:r>
      <w:r w:rsidRPr="007D11E4">
        <w:rPr>
          <w:rFonts w:ascii="Times New Roman" w:hAnsi="Times New Roman" w:cs="Times New Roman"/>
          <w:sz w:val="24"/>
          <w:szCs w:val="24"/>
          <w:vertAlign w:val="baseline"/>
        </w:rPr>
        <w:t xml:space="preserve">, before providing an understanding of where the witchcraft discourse initiated from, what the witchcraft discourse is and how it works. </w:t>
      </w:r>
      <w:r w:rsidRPr="007D11E4">
        <w:rPr>
          <w:rFonts w:ascii="Times New Roman" w:hAnsi="Times New Roman" w:cs="Times New Roman"/>
          <w:bCs/>
          <w:sz w:val="24"/>
          <w:szCs w:val="24"/>
          <w:vertAlign w:val="baseline"/>
        </w:rPr>
        <w:t xml:space="preserve">It is imperative to primarily identify the nature of witchcraft </w:t>
      </w:r>
      <w:r w:rsidR="00224084">
        <w:rPr>
          <w:rFonts w:ascii="Times New Roman" w:hAnsi="Times New Roman" w:cs="Times New Roman"/>
          <w:bCs/>
          <w:sz w:val="24"/>
          <w:szCs w:val="24"/>
          <w:vertAlign w:val="baseline"/>
        </w:rPr>
        <w:t xml:space="preserve">beliefs </w:t>
      </w:r>
      <w:r w:rsidRPr="007D11E4">
        <w:rPr>
          <w:rFonts w:ascii="Times New Roman" w:hAnsi="Times New Roman" w:cs="Times New Roman"/>
          <w:bCs/>
          <w:sz w:val="24"/>
          <w:szCs w:val="24"/>
          <w:vertAlign w:val="baseline"/>
        </w:rPr>
        <w:t>within society, as without identification, interpretation of the phenomena and its impact on women would be impossible.</w:t>
      </w:r>
    </w:p>
    <w:p w14:paraId="408F0EE5" w14:textId="77777777" w:rsidR="007D11E4" w:rsidRPr="007D11E4" w:rsidRDefault="007D11E4" w:rsidP="007D11E4">
      <w:pPr>
        <w:spacing w:line="480" w:lineRule="auto"/>
        <w:ind w:firstLine="720"/>
        <w:jc w:val="both"/>
        <w:rPr>
          <w:rFonts w:ascii="Times New Roman" w:hAnsi="Times New Roman" w:cs="Times New Roman"/>
          <w:sz w:val="24"/>
          <w:szCs w:val="24"/>
          <w:vertAlign w:val="baseline"/>
        </w:rPr>
      </w:pPr>
    </w:p>
    <w:p w14:paraId="4B3B2DC6" w14:textId="5DB41252" w:rsidR="007D11E4" w:rsidRPr="009F20AE" w:rsidRDefault="003F4C1F" w:rsidP="009F20AE">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3</w:t>
      </w:r>
      <w:r w:rsidR="009F20AE">
        <w:rPr>
          <w:rFonts w:ascii="Times New Roman" w:hAnsi="Times New Roman" w:cs="Times New Roman"/>
          <w:b/>
          <w:sz w:val="24"/>
          <w:szCs w:val="24"/>
          <w:u w:val="single"/>
          <w:vertAlign w:val="baseline"/>
        </w:rPr>
        <w:t xml:space="preserve">.2 </w:t>
      </w:r>
      <w:r w:rsidR="007D11E4" w:rsidRPr="009F20AE">
        <w:rPr>
          <w:rFonts w:ascii="Times New Roman" w:hAnsi="Times New Roman" w:cs="Times New Roman"/>
          <w:b/>
          <w:sz w:val="24"/>
          <w:szCs w:val="24"/>
          <w:u w:val="single"/>
          <w:vertAlign w:val="baseline"/>
        </w:rPr>
        <w:t>D</w:t>
      </w:r>
      <w:r>
        <w:rPr>
          <w:rFonts w:ascii="Times New Roman" w:hAnsi="Times New Roman" w:cs="Times New Roman"/>
          <w:b/>
          <w:sz w:val="24"/>
          <w:szCs w:val="24"/>
          <w:u w:val="single"/>
          <w:vertAlign w:val="baseline"/>
        </w:rPr>
        <w:t>EFINITION</w:t>
      </w:r>
    </w:p>
    <w:p w14:paraId="3857E2D1" w14:textId="1577EAE0" w:rsidR="007D11E4" w:rsidRDefault="007D11E4" w:rsidP="007D11E4">
      <w:pPr>
        <w:spacing w:line="480" w:lineRule="auto"/>
        <w:ind w:firstLine="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Witchcraft, as a topic, is one which traverses the established disciplinary boundaries of research, providing researchers with an opportunity for cross-dialogue between their diverse fields of research.</w:t>
      </w:r>
      <w:r w:rsidRPr="007D11E4">
        <w:rPr>
          <w:rFonts w:ascii="Times New Roman" w:hAnsi="Times New Roman" w:cs="Times New Roman"/>
          <w:sz w:val="24"/>
          <w:szCs w:val="24"/>
        </w:rPr>
        <w:footnoteReference w:id="253"/>
      </w:r>
      <w:r w:rsidRPr="007D11E4">
        <w:rPr>
          <w:rFonts w:ascii="Times New Roman" w:hAnsi="Times New Roman" w:cs="Times New Roman"/>
          <w:sz w:val="24"/>
          <w:szCs w:val="24"/>
          <w:vertAlign w:val="baseline"/>
        </w:rPr>
        <w:t xml:space="preserve"> Whilst the amalgamation of such distinct and varied approaches is vital to understanding the study of witchcraft, difficulties occur when attempting to isolate a specific working definition of witchcraft. Moreover, as ethnographic studies have revealed the widespread global distribution of the belief in witchcraft, this poses a further question. As Niehaus enquires,</w:t>
      </w:r>
    </w:p>
    <w:p w14:paraId="3779E421" w14:textId="77777777" w:rsidR="00480341" w:rsidRPr="007D11E4" w:rsidRDefault="00480341" w:rsidP="007D11E4">
      <w:pPr>
        <w:spacing w:line="480" w:lineRule="auto"/>
        <w:ind w:firstLine="720"/>
        <w:jc w:val="both"/>
        <w:rPr>
          <w:rFonts w:ascii="Times New Roman" w:hAnsi="Times New Roman" w:cs="Times New Roman"/>
          <w:sz w:val="24"/>
          <w:szCs w:val="24"/>
          <w:vertAlign w:val="baseline"/>
        </w:rPr>
      </w:pPr>
    </w:p>
    <w:p w14:paraId="1EA53642" w14:textId="3003EEDF" w:rsidR="007D11E4" w:rsidRPr="007D11E4" w:rsidRDefault="007D11E4" w:rsidP="0028216B">
      <w:pPr>
        <w:spacing w:line="480" w:lineRule="auto"/>
        <w:ind w:left="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Is it possible to define witchcraft in a way that makes sense cross-culturally, while at the same time respecting the particularities of specific social settings?</w:t>
      </w:r>
      <w:r w:rsidR="008331DE">
        <w:rPr>
          <w:rFonts w:ascii="Times New Roman" w:hAnsi="Times New Roman" w:cs="Times New Roman"/>
          <w:sz w:val="24"/>
          <w:szCs w:val="24"/>
          <w:vertAlign w:val="baseline"/>
        </w:rPr>
        <w:t xml:space="preserve"> </w:t>
      </w:r>
      <w:r w:rsidRPr="007D11E4">
        <w:rPr>
          <w:rFonts w:ascii="Times New Roman" w:hAnsi="Times New Roman" w:cs="Times New Roman"/>
          <w:sz w:val="24"/>
          <w:szCs w:val="24"/>
          <w:vertAlign w:val="baseline"/>
        </w:rPr>
        <w:t>…</w:t>
      </w:r>
      <w:r w:rsidR="008331DE">
        <w:rPr>
          <w:rFonts w:ascii="Times New Roman" w:hAnsi="Times New Roman" w:cs="Times New Roman"/>
          <w:sz w:val="24"/>
          <w:szCs w:val="24"/>
          <w:vertAlign w:val="baseline"/>
        </w:rPr>
        <w:t xml:space="preserve"> </w:t>
      </w:r>
      <w:r w:rsidRPr="007D11E4">
        <w:rPr>
          <w:rFonts w:ascii="Times New Roman" w:hAnsi="Times New Roman" w:cs="Times New Roman"/>
          <w:sz w:val="24"/>
          <w:szCs w:val="24"/>
          <w:vertAlign w:val="baseline"/>
        </w:rPr>
        <w:t>Do terms illuminate or distort complex realities on the ground? Are they ethnocentric?</w:t>
      </w:r>
      <w:r w:rsidRPr="007D11E4">
        <w:rPr>
          <w:rFonts w:ascii="Times New Roman" w:hAnsi="Times New Roman" w:cs="Times New Roman"/>
          <w:sz w:val="24"/>
          <w:szCs w:val="24"/>
        </w:rPr>
        <w:footnoteReference w:id="254"/>
      </w:r>
      <w:r w:rsidRPr="007D11E4">
        <w:rPr>
          <w:rFonts w:ascii="Times New Roman" w:hAnsi="Times New Roman" w:cs="Times New Roman"/>
          <w:sz w:val="24"/>
          <w:szCs w:val="24"/>
          <w:vertAlign w:val="baseline"/>
        </w:rPr>
        <w:t xml:space="preserve"> </w:t>
      </w:r>
    </w:p>
    <w:p w14:paraId="431F3CA5" w14:textId="77777777" w:rsidR="007D11E4" w:rsidRPr="007D11E4" w:rsidRDefault="007D11E4" w:rsidP="007D11E4">
      <w:pPr>
        <w:spacing w:line="480" w:lineRule="auto"/>
        <w:ind w:firstLine="720"/>
        <w:jc w:val="both"/>
        <w:rPr>
          <w:rFonts w:ascii="Times New Roman" w:hAnsi="Times New Roman" w:cs="Times New Roman"/>
          <w:sz w:val="24"/>
          <w:szCs w:val="24"/>
          <w:vertAlign w:val="baseline"/>
        </w:rPr>
      </w:pPr>
    </w:p>
    <w:p w14:paraId="20666866" w14:textId="258C453F" w:rsidR="007D11E4" w:rsidRDefault="007D11E4" w:rsidP="007D11E4">
      <w:pPr>
        <w:spacing w:line="480" w:lineRule="auto"/>
        <w:ind w:firstLine="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Naturally, there are opposing views on cross-cultural terminology. Whilst Crick,</w:t>
      </w:r>
      <w:r w:rsidRPr="007D11E4">
        <w:rPr>
          <w:rFonts w:ascii="Times New Roman" w:hAnsi="Times New Roman" w:cs="Times New Roman"/>
          <w:sz w:val="24"/>
          <w:szCs w:val="24"/>
        </w:rPr>
        <w:footnoteReference w:id="255"/>
      </w:r>
      <w:r w:rsidRPr="007D11E4">
        <w:rPr>
          <w:rFonts w:ascii="Times New Roman" w:hAnsi="Times New Roman" w:cs="Times New Roman"/>
          <w:sz w:val="24"/>
          <w:szCs w:val="24"/>
          <w:vertAlign w:val="baseline"/>
        </w:rPr>
        <w:t xml:space="preserve"> contends that anthropologists should abandon the term </w:t>
      </w:r>
      <w:r w:rsidRPr="007D11E4">
        <w:rPr>
          <w:rFonts w:ascii="Times New Roman" w:hAnsi="Times New Roman" w:cs="Times New Roman"/>
          <w:iCs/>
          <w:sz w:val="24"/>
          <w:szCs w:val="24"/>
          <w:vertAlign w:val="baseline"/>
        </w:rPr>
        <w:t>witchcraft,</w:t>
      </w:r>
      <w:r w:rsidRPr="007D11E4">
        <w:rPr>
          <w:rFonts w:ascii="Times New Roman" w:hAnsi="Times New Roman" w:cs="Times New Roman"/>
          <w:sz w:val="24"/>
          <w:szCs w:val="24"/>
          <w:vertAlign w:val="baseline"/>
        </w:rPr>
        <w:t xml:space="preserve"> due to its inference with historical Europe, Meyer</w:t>
      </w:r>
      <w:r w:rsidRPr="007D11E4">
        <w:rPr>
          <w:rFonts w:ascii="Times New Roman" w:hAnsi="Times New Roman" w:cs="Times New Roman"/>
          <w:sz w:val="24"/>
          <w:szCs w:val="24"/>
        </w:rPr>
        <w:footnoteReference w:id="256"/>
      </w:r>
      <w:r w:rsidRPr="007D11E4">
        <w:rPr>
          <w:rFonts w:ascii="Times New Roman" w:hAnsi="Times New Roman" w:cs="Times New Roman"/>
          <w:sz w:val="24"/>
          <w:szCs w:val="24"/>
          <w:vertAlign w:val="baseline"/>
        </w:rPr>
        <w:t xml:space="preserve"> suggests that, whilst cultural beliefs in witchcraft are often portrayed differently, they undeniably, all share common attributes and can, thus, be brought together under the umbrella of witchcraft. Hence, despite many different attempts at defining the term ‘witchcraft,’ there remains no single unified concept on what a witch or the term witchcraft actually represents. Witchcraft, as a concept, becomes difficult to deconstruct, as witchcraft beliefs are often shrouded in both fear and secrecy. Witchcraft, as a terminology, remains ambiguous, having different connotations both historically and socially. Differing terminology, such as witchcraft-related violence, witchcraft killings, witchcraft allegations and witchcraft stigmatisation are examples of the terms used within both academic and non-academic literature. Hence, there is a desperate need for a specific working definition, for use as an analytical tool to be used to identify and understand the specific phenomena of witchcraft </w:t>
      </w:r>
      <w:r w:rsidRPr="007D11E4">
        <w:rPr>
          <w:rFonts w:ascii="Times New Roman" w:hAnsi="Times New Roman" w:cs="Times New Roman"/>
          <w:i/>
          <w:sz w:val="24"/>
          <w:szCs w:val="24"/>
          <w:vertAlign w:val="baseline"/>
        </w:rPr>
        <w:t>per se</w:t>
      </w:r>
      <w:r w:rsidRPr="007D11E4">
        <w:rPr>
          <w:rFonts w:ascii="Times New Roman" w:hAnsi="Times New Roman" w:cs="Times New Roman"/>
          <w:sz w:val="24"/>
          <w:szCs w:val="24"/>
          <w:vertAlign w:val="baseline"/>
        </w:rPr>
        <w:t xml:space="preserve">. Without identification, interpretation of the phenomena would be impossible. The difficulty lies, however, in finding a common language and a well-defined common model, which adequately encompasses the differing forms and manifestations of witchcraft. As Hutton explains, </w:t>
      </w:r>
    </w:p>
    <w:p w14:paraId="5A31933D" w14:textId="77777777" w:rsidR="00480341" w:rsidRPr="007D11E4" w:rsidRDefault="00480341" w:rsidP="007D11E4">
      <w:pPr>
        <w:spacing w:line="480" w:lineRule="auto"/>
        <w:ind w:firstLine="720"/>
        <w:jc w:val="both"/>
        <w:rPr>
          <w:rFonts w:ascii="Times New Roman" w:hAnsi="Times New Roman" w:cs="Times New Roman"/>
          <w:sz w:val="24"/>
          <w:szCs w:val="24"/>
          <w:vertAlign w:val="baseline"/>
        </w:rPr>
      </w:pPr>
    </w:p>
    <w:p w14:paraId="13BFDE75" w14:textId="77777777" w:rsidR="007D11E4" w:rsidRPr="007D11E4" w:rsidRDefault="007D11E4" w:rsidP="0028216B">
      <w:pPr>
        <w:spacing w:line="480" w:lineRule="auto"/>
        <w:ind w:left="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Historians … have tended to let their terms be defined for them by their sources, which had by 1600 produced a widespread stereotype of witches as adherents of a demonic religion. Anthropologists have tended to use the terms as blanket ascriptions, while repeatedly worrying about their efficacy, and then analyse the words employed in particular cultures for phenomena that can be associated with English terminology.</w:t>
      </w:r>
      <w:r w:rsidRPr="007D11E4">
        <w:rPr>
          <w:rFonts w:ascii="Times New Roman" w:hAnsi="Times New Roman" w:cs="Times New Roman"/>
          <w:sz w:val="24"/>
          <w:szCs w:val="24"/>
        </w:rPr>
        <w:footnoteReference w:id="257"/>
      </w:r>
      <w:r w:rsidRPr="007D11E4">
        <w:rPr>
          <w:rFonts w:ascii="Times New Roman" w:hAnsi="Times New Roman" w:cs="Times New Roman"/>
          <w:sz w:val="24"/>
          <w:szCs w:val="24"/>
          <w:vertAlign w:val="baseline"/>
        </w:rPr>
        <w:t xml:space="preserve"> </w:t>
      </w:r>
    </w:p>
    <w:p w14:paraId="33D5F62B" w14:textId="77777777" w:rsidR="00E00AE7" w:rsidRDefault="00E00AE7" w:rsidP="00E00AE7">
      <w:pPr>
        <w:spacing w:line="480" w:lineRule="auto"/>
        <w:jc w:val="both"/>
        <w:rPr>
          <w:rFonts w:ascii="Times New Roman" w:hAnsi="Times New Roman" w:cs="Times New Roman"/>
          <w:sz w:val="24"/>
          <w:szCs w:val="24"/>
          <w:vertAlign w:val="baseline"/>
        </w:rPr>
      </w:pPr>
    </w:p>
    <w:p w14:paraId="402161D3" w14:textId="77777777" w:rsidR="007D11E4" w:rsidRDefault="007D11E4" w:rsidP="00E00AE7">
      <w:pPr>
        <w:spacing w:line="480" w:lineRule="auto"/>
        <w:jc w:val="both"/>
        <w:rPr>
          <w:rFonts w:ascii="Times New Roman" w:hAnsi="Times New Roman" w:cs="Times New Roman"/>
          <w:sz w:val="24"/>
          <w:szCs w:val="24"/>
          <w:vertAlign w:val="baseline"/>
        </w:rPr>
      </w:pPr>
      <w:r w:rsidRPr="007D11E4">
        <w:rPr>
          <w:rFonts w:ascii="Times New Roman" w:hAnsi="Times New Roman" w:cs="Times New Roman"/>
          <w:i/>
          <w:sz w:val="24"/>
          <w:szCs w:val="24"/>
          <w:vertAlign w:val="baseline"/>
        </w:rPr>
        <w:t>Malleus Maleficarum</w:t>
      </w:r>
      <w:r w:rsidRPr="007D11E4">
        <w:rPr>
          <w:rFonts w:ascii="Times New Roman" w:hAnsi="Times New Roman" w:cs="Times New Roman"/>
          <w:sz w:val="24"/>
          <w:szCs w:val="24"/>
          <w:vertAlign w:val="baseline"/>
        </w:rPr>
        <w:t xml:space="preserve"> highlights the issues with the construction of witchcraft in the fifteenth century. As noted by Broedel,</w:t>
      </w:r>
      <w:r w:rsidRPr="007D11E4">
        <w:rPr>
          <w:rFonts w:ascii="Times New Roman" w:hAnsi="Times New Roman" w:cs="Times New Roman"/>
          <w:sz w:val="24"/>
          <w:szCs w:val="24"/>
        </w:rPr>
        <w:footnoteReference w:id="258"/>
      </w:r>
      <w:r w:rsidRPr="007D11E4">
        <w:rPr>
          <w:rFonts w:ascii="Times New Roman" w:hAnsi="Times New Roman" w:cs="Times New Roman"/>
          <w:sz w:val="24"/>
          <w:szCs w:val="24"/>
          <w:vertAlign w:val="baseline"/>
        </w:rPr>
        <w:t xml:space="preserve"> </w:t>
      </w:r>
    </w:p>
    <w:p w14:paraId="3AEA6F6A" w14:textId="77777777" w:rsidR="00480341" w:rsidRPr="007D11E4" w:rsidRDefault="00480341" w:rsidP="00E00AE7">
      <w:pPr>
        <w:spacing w:line="480" w:lineRule="auto"/>
        <w:jc w:val="both"/>
        <w:rPr>
          <w:rFonts w:ascii="Times New Roman" w:hAnsi="Times New Roman" w:cs="Times New Roman"/>
          <w:sz w:val="24"/>
          <w:szCs w:val="24"/>
          <w:vertAlign w:val="baseline"/>
        </w:rPr>
      </w:pPr>
    </w:p>
    <w:p w14:paraId="5BB2B86A" w14:textId="77777777" w:rsidR="007D11E4" w:rsidRPr="007D11E4" w:rsidRDefault="007D11E4" w:rsidP="0028216B">
      <w:pPr>
        <w:spacing w:line="480" w:lineRule="auto"/>
        <w:ind w:left="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 xml:space="preserve">Prior to the fifteenth century, people spoke in terms of </w:t>
      </w:r>
      <w:r w:rsidRPr="007D11E4">
        <w:rPr>
          <w:rFonts w:ascii="Times New Roman" w:hAnsi="Times New Roman" w:cs="Times New Roman"/>
          <w:i/>
          <w:sz w:val="24"/>
          <w:szCs w:val="24"/>
          <w:vertAlign w:val="baseline"/>
        </w:rPr>
        <w:t xml:space="preserve">heretics, </w:t>
      </w:r>
      <w:r w:rsidRPr="007D11E4">
        <w:rPr>
          <w:rFonts w:ascii="Times New Roman" w:hAnsi="Times New Roman" w:cs="Times New Roman"/>
          <w:sz w:val="24"/>
          <w:szCs w:val="24"/>
          <w:vertAlign w:val="baseline"/>
        </w:rPr>
        <w:t xml:space="preserve">of </w:t>
      </w:r>
      <w:r w:rsidRPr="007D11E4">
        <w:rPr>
          <w:rFonts w:ascii="Times New Roman" w:hAnsi="Times New Roman" w:cs="Times New Roman"/>
          <w:i/>
          <w:sz w:val="24"/>
          <w:szCs w:val="24"/>
          <w:vertAlign w:val="baseline"/>
        </w:rPr>
        <w:t xml:space="preserve">Maleficarum, </w:t>
      </w:r>
      <w:r w:rsidRPr="007D11E4">
        <w:rPr>
          <w:rFonts w:ascii="Times New Roman" w:hAnsi="Times New Roman" w:cs="Times New Roman"/>
          <w:sz w:val="24"/>
          <w:szCs w:val="24"/>
          <w:vertAlign w:val="baseline"/>
        </w:rPr>
        <w:t xml:space="preserve">of monstrous female spirits, the </w:t>
      </w:r>
      <w:r w:rsidRPr="007D11E4">
        <w:rPr>
          <w:rFonts w:ascii="Times New Roman" w:hAnsi="Times New Roman" w:cs="Times New Roman"/>
          <w:i/>
          <w:sz w:val="24"/>
          <w:szCs w:val="24"/>
          <w:vertAlign w:val="baseline"/>
        </w:rPr>
        <w:t xml:space="preserve">lamiae </w:t>
      </w:r>
      <w:r w:rsidRPr="007D11E4">
        <w:rPr>
          <w:rFonts w:ascii="Times New Roman" w:hAnsi="Times New Roman" w:cs="Times New Roman"/>
          <w:sz w:val="24"/>
          <w:szCs w:val="24"/>
          <w:vertAlign w:val="baseline"/>
        </w:rPr>
        <w:t xml:space="preserve">and </w:t>
      </w:r>
      <w:r w:rsidRPr="007D11E4">
        <w:rPr>
          <w:rFonts w:ascii="Times New Roman" w:hAnsi="Times New Roman" w:cs="Times New Roman"/>
          <w:i/>
          <w:sz w:val="24"/>
          <w:szCs w:val="24"/>
          <w:vertAlign w:val="baseline"/>
        </w:rPr>
        <w:t>strigae</w:t>
      </w:r>
      <w:r w:rsidRPr="007D11E4">
        <w:rPr>
          <w:rFonts w:ascii="Times New Roman" w:hAnsi="Times New Roman" w:cs="Times New Roman"/>
          <w:sz w:val="24"/>
          <w:szCs w:val="24"/>
          <w:vertAlign w:val="baseline"/>
        </w:rPr>
        <w:t>, but not of a single composite category</w:t>
      </w:r>
      <w:r w:rsidRPr="007D11E4">
        <w:rPr>
          <w:rFonts w:ascii="Times New Roman" w:hAnsi="Times New Roman" w:cs="Times New Roman"/>
          <w:i/>
          <w:sz w:val="24"/>
          <w:szCs w:val="24"/>
          <w:vertAlign w:val="baseline"/>
        </w:rPr>
        <w:t xml:space="preserve"> </w:t>
      </w:r>
      <w:r w:rsidRPr="007D11E4">
        <w:rPr>
          <w:rFonts w:ascii="Times New Roman" w:hAnsi="Times New Roman" w:cs="Times New Roman"/>
          <w:sz w:val="24"/>
          <w:szCs w:val="24"/>
          <w:vertAlign w:val="baseline"/>
        </w:rPr>
        <w:t>“witch.” By the mid-sixteenth century, however, educated men generally agreed upon the definitions of “witch” and “witchcraft,” definitions which drew upon, but were clearly distinguishable from, older categories.</w:t>
      </w:r>
      <w:r w:rsidRPr="007D11E4">
        <w:rPr>
          <w:rFonts w:ascii="Times New Roman" w:hAnsi="Times New Roman" w:cs="Times New Roman"/>
          <w:sz w:val="24"/>
          <w:szCs w:val="24"/>
        </w:rPr>
        <w:footnoteReference w:id="259"/>
      </w:r>
    </w:p>
    <w:p w14:paraId="73699069" w14:textId="77777777" w:rsidR="00E00AE7" w:rsidRDefault="00E00AE7" w:rsidP="00E00AE7">
      <w:pPr>
        <w:spacing w:line="480" w:lineRule="auto"/>
        <w:jc w:val="both"/>
        <w:rPr>
          <w:rFonts w:ascii="Times New Roman" w:hAnsi="Times New Roman" w:cs="Times New Roman"/>
          <w:sz w:val="24"/>
          <w:szCs w:val="24"/>
          <w:vertAlign w:val="baseline"/>
        </w:rPr>
      </w:pPr>
    </w:p>
    <w:p w14:paraId="72598F66" w14:textId="77777777" w:rsidR="007D11E4" w:rsidRDefault="007D11E4" w:rsidP="00E00AE7">
      <w:pPr>
        <w:spacing w:line="480" w:lineRule="auto"/>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There are various definitions of the word ‘witchcraft’ to be found from varying different sources. The Oxford English dictionary defines witchcraft as</w:t>
      </w:r>
      <w:bookmarkStart w:id="1" w:name="witchcraft__3"/>
      <w:bookmarkEnd w:id="1"/>
      <w:r w:rsidRPr="007D11E4">
        <w:rPr>
          <w:rFonts w:ascii="Times New Roman" w:hAnsi="Times New Roman" w:cs="Times New Roman"/>
          <w:sz w:val="24"/>
          <w:szCs w:val="24"/>
          <w:vertAlign w:val="baseline"/>
        </w:rPr>
        <w:t xml:space="preserve">, </w:t>
      </w:r>
    </w:p>
    <w:p w14:paraId="4EC110B2" w14:textId="77777777" w:rsidR="00480341" w:rsidRPr="007D11E4" w:rsidRDefault="00480341" w:rsidP="00E00AE7">
      <w:pPr>
        <w:spacing w:line="480" w:lineRule="auto"/>
        <w:jc w:val="both"/>
        <w:rPr>
          <w:rFonts w:ascii="Times New Roman" w:hAnsi="Times New Roman" w:cs="Times New Roman"/>
          <w:sz w:val="24"/>
          <w:szCs w:val="24"/>
          <w:vertAlign w:val="baseline"/>
        </w:rPr>
      </w:pPr>
    </w:p>
    <w:p w14:paraId="70DF3489" w14:textId="77777777" w:rsidR="007D11E4" w:rsidRPr="007D11E4" w:rsidRDefault="007D11E4" w:rsidP="0028216B">
      <w:pPr>
        <w:spacing w:line="480" w:lineRule="auto"/>
        <w:ind w:left="720"/>
        <w:jc w:val="both"/>
        <w:rPr>
          <w:rFonts w:ascii="Times New Roman" w:hAnsi="Times New Roman" w:cs="Times New Roman"/>
          <w:sz w:val="24"/>
          <w:szCs w:val="24"/>
          <w:vertAlign w:val="baseline"/>
        </w:rPr>
      </w:pPr>
      <w:r w:rsidRPr="007D11E4">
        <w:rPr>
          <w:rFonts w:ascii="Times New Roman" w:hAnsi="Times New Roman" w:cs="Times New Roman"/>
          <w:b/>
          <w:bCs/>
          <w:sz w:val="24"/>
          <w:szCs w:val="24"/>
          <w:vertAlign w:val="baseline"/>
        </w:rPr>
        <w:t>1. a.</w:t>
      </w:r>
      <w:r w:rsidRPr="007D11E4">
        <w:rPr>
          <w:rFonts w:ascii="Times New Roman" w:hAnsi="Times New Roman" w:cs="Times New Roman"/>
          <w:sz w:val="24"/>
          <w:szCs w:val="24"/>
          <w:vertAlign w:val="baseline"/>
        </w:rPr>
        <w:t> The practices of a witch or witches; the exercise of supernatural power supposed to be possessed by persons in league with the devil or evil spirits.</w:t>
      </w:r>
      <w:r w:rsidRPr="007D11E4">
        <w:rPr>
          <w:rFonts w:ascii="Times New Roman" w:hAnsi="Times New Roman" w:cs="Times New Roman"/>
          <w:b/>
          <w:bCs/>
          <w:sz w:val="24"/>
          <w:szCs w:val="24"/>
          <w:vertAlign w:val="baseline"/>
        </w:rPr>
        <w:t xml:space="preserve"> b.</w:t>
      </w:r>
      <w:r w:rsidRPr="007D11E4">
        <w:rPr>
          <w:rFonts w:ascii="Times New Roman" w:hAnsi="Times New Roman" w:cs="Times New Roman"/>
          <w:sz w:val="24"/>
          <w:szCs w:val="24"/>
          <w:vertAlign w:val="baseline"/>
        </w:rPr>
        <w:t> </w:t>
      </w:r>
      <w:r w:rsidRPr="007D11E4">
        <w:rPr>
          <w:rFonts w:ascii="Times New Roman" w:hAnsi="Times New Roman" w:cs="Times New Roman"/>
          <w:i/>
          <w:iCs/>
          <w:sz w:val="24"/>
          <w:szCs w:val="24"/>
          <w:vertAlign w:val="baseline"/>
        </w:rPr>
        <w:t>pl.</w:t>
      </w:r>
      <w:r w:rsidRPr="007D11E4">
        <w:rPr>
          <w:rFonts w:ascii="Times New Roman" w:hAnsi="Times New Roman" w:cs="Times New Roman"/>
          <w:sz w:val="24"/>
          <w:szCs w:val="24"/>
          <w:vertAlign w:val="baseline"/>
        </w:rPr>
        <w:t> Acts or instances of this; magic arts; also used occasionally with </w:t>
      </w:r>
      <w:r w:rsidRPr="007D11E4">
        <w:rPr>
          <w:rFonts w:ascii="Times New Roman" w:hAnsi="Times New Roman" w:cs="Times New Roman"/>
          <w:i/>
          <w:iCs/>
          <w:sz w:val="24"/>
          <w:szCs w:val="24"/>
          <w:vertAlign w:val="baseline"/>
        </w:rPr>
        <w:t>a</w:t>
      </w:r>
      <w:r w:rsidRPr="007D11E4">
        <w:rPr>
          <w:rFonts w:ascii="Times New Roman" w:hAnsi="Times New Roman" w:cs="Times New Roman"/>
          <w:sz w:val="24"/>
          <w:szCs w:val="24"/>
          <w:vertAlign w:val="baseline"/>
        </w:rPr>
        <w:t>, a kind of magic.</w:t>
      </w:r>
      <w:r w:rsidRPr="007D11E4">
        <w:rPr>
          <w:rFonts w:ascii="Times New Roman" w:hAnsi="Times New Roman" w:cs="Times New Roman"/>
          <w:b/>
          <w:bCs/>
          <w:sz w:val="24"/>
          <w:szCs w:val="24"/>
          <w:vertAlign w:val="baseline"/>
        </w:rPr>
        <w:t xml:space="preserve"> 2.</w:t>
      </w:r>
      <w:r w:rsidRPr="007D11E4">
        <w:rPr>
          <w:rFonts w:ascii="Times New Roman" w:hAnsi="Times New Roman" w:cs="Times New Roman"/>
          <w:sz w:val="24"/>
          <w:szCs w:val="24"/>
          <w:vertAlign w:val="baseline"/>
        </w:rPr>
        <w:t> </w:t>
      </w:r>
      <w:r w:rsidRPr="007D11E4">
        <w:rPr>
          <w:rFonts w:ascii="Times New Roman" w:hAnsi="Times New Roman" w:cs="Times New Roman"/>
          <w:i/>
          <w:iCs/>
          <w:sz w:val="24"/>
          <w:szCs w:val="24"/>
          <w:vertAlign w:val="baseline"/>
        </w:rPr>
        <w:t>fig.</w:t>
      </w:r>
      <w:r w:rsidRPr="007D11E4">
        <w:rPr>
          <w:rFonts w:ascii="Times New Roman" w:hAnsi="Times New Roman" w:cs="Times New Roman"/>
          <w:sz w:val="24"/>
          <w:szCs w:val="24"/>
          <w:vertAlign w:val="baseline"/>
        </w:rPr>
        <w:t> Power or influence like that of a magician; bewitching or fascinating attraction or charm.</w:t>
      </w:r>
      <w:r w:rsidRPr="007D11E4">
        <w:rPr>
          <w:rFonts w:ascii="Times New Roman" w:hAnsi="Times New Roman" w:cs="Times New Roman"/>
          <w:sz w:val="24"/>
          <w:szCs w:val="24"/>
        </w:rPr>
        <w:footnoteReference w:id="260"/>
      </w:r>
    </w:p>
    <w:p w14:paraId="3DEF6EF8" w14:textId="77777777" w:rsidR="007D11E4" w:rsidRPr="007D11E4" w:rsidRDefault="007D11E4" w:rsidP="007D11E4">
      <w:pPr>
        <w:spacing w:line="480" w:lineRule="auto"/>
        <w:ind w:firstLine="720"/>
        <w:jc w:val="both"/>
        <w:rPr>
          <w:rFonts w:ascii="Times New Roman" w:hAnsi="Times New Roman" w:cs="Times New Roman"/>
          <w:sz w:val="24"/>
          <w:szCs w:val="24"/>
          <w:vertAlign w:val="baseline"/>
        </w:rPr>
      </w:pPr>
    </w:p>
    <w:p w14:paraId="2580FC08" w14:textId="17FDFADF" w:rsidR="007D11E4" w:rsidRDefault="007D11E4" w:rsidP="007D11E4">
      <w:pPr>
        <w:spacing w:line="480" w:lineRule="auto"/>
        <w:ind w:firstLine="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For Stein, the definition of witchcraft can be generalised within</w:t>
      </w:r>
      <w:r w:rsidR="00E25C36">
        <w:rPr>
          <w:rFonts w:ascii="Times New Roman" w:hAnsi="Times New Roman" w:cs="Times New Roman"/>
          <w:sz w:val="24"/>
          <w:szCs w:val="24"/>
          <w:vertAlign w:val="baseline"/>
        </w:rPr>
        <w:t xml:space="preserve"> the discipline of anthropology;</w:t>
      </w:r>
      <w:r w:rsidRPr="007D11E4">
        <w:rPr>
          <w:rFonts w:ascii="Times New Roman" w:hAnsi="Times New Roman" w:cs="Times New Roman"/>
          <w:sz w:val="24"/>
          <w:szCs w:val="24"/>
          <w:vertAlign w:val="baseline"/>
        </w:rPr>
        <w:t xml:space="preserve"> ‘when anthropologists speak of witchcraft, they generally refer to individuals who have an innate ability to do evil.’</w:t>
      </w:r>
      <w:r w:rsidRPr="007D11E4">
        <w:rPr>
          <w:rFonts w:ascii="Times New Roman" w:hAnsi="Times New Roman" w:cs="Times New Roman"/>
          <w:sz w:val="24"/>
          <w:szCs w:val="24"/>
        </w:rPr>
        <w:footnoteReference w:id="261"/>
      </w:r>
      <w:r w:rsidRPr="007D11E4">
        <w:rPr>
          <w:rFonts w:ascii="Times New Roman" w:hAnsi="Times New Roman" w:cs="Times New Roman"/>
          <w:sz w:val="24"/>
          <w:szCs w:val="24"/>
          <w:vertAlign w:val="baseline"/>
        </w:rPr>
        <w:t xml:space="preserve"> Yet, Stein is clear to distinguish witchcraft from the practices of sorcery, </w:t>
      </w:r>
    </w:p>
    <w:p w14:paraId="5FAA58AD" w14:textId="77777777" w:rsidR="00480341" w:rsidRPr="007D11E4" w:rsidRDefault="00480341" w:rsidP="007D11E4">
      <w:pPr>
        <w:spacing w:line="480" w:lineRule="auto"/>
        <w:ind w:firstLine="720"/>
        <w:jc w:val="both"/>
        <w:rPr>
          <w:rFonts w:ascii="Times New Roman" w:hAnsi="Times New Roman" w:cs="Times New Roman"/>
          <w:sz w:val="24"/>
          <w:szCs w:val="24"/>
          <w:vertAlign w:val="baseline"/>
        </w:rPr>
      </w:pPr>
    </w:p>
    <w:p w14:paraId="605193E0" w14:textId="77777777" w:rsidR="007D11E4" w:rsidRPr="007D11E4" w:rsidRDefault="007D11E4" w:rsidP="0028216B">
      <w:pPr>
        <w:spacing w:line="480" w:lineRule="auto"/>
        <w:ind w:left="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A witch does not depend on ritual to achieve his or her evil ends, but simply wills misfortune to occur. In this sense witchcraft is clearly different from sorcery. Of course, there is nothing to prevent a witch from using magic, but this would lie outside the definition of witchcraft.</w:t>
      </w:r>
      <w:r w:rsidRPr="007D11E4">
        <w:rPr>
          <w:rFonts w:ascii="Times New Roman" w:hAnsi="Times New Roman" w:cs="Times New Roman"/>
          <w:sz w:val="24"/>
          <w:szCs w:val="24"/>
        </w:rPr>
        <w:footnoteReference w:id="262"/>
      </w:r>
    </w:p>
    <w:p w14:paraId="34A2D177" w14:textId="77777777" w:rsidR="007D11E4" w:rsidRPr="007D11E4" w:rsidRDefault="007D11E4" w:rsidP="007D11E4">
      <w:pPr>
        <w:spacing w:line="480" w:lineRule="auto"/>
        <w:ind w:firstLine="720"/>
        <w:jc w:val="both"/>
        <w:rPr>
          <w:rFonts w:ascii="Times New Roman" w:hAnsi="Times New Roman" w:cs="Times New Roman"/>
          <w:sz w:val="24"/>
          <w:szCs w:val="24"/>
          <w:vertAlign w:val="subscript"/>
        </w:rPr>
      </w:pPr>
      <w:r w:rsidRPr="007D11E4">
        <w:rPr>
          <w:rFonts w:ascii="Times New Roman" w:hAnsi="Times New Roman" w:cs="Times New Roman"/>
          <w:sz w:val="24"/>
          <w:szCs w:val="24"/>
          <w:vertAlign w:val="baseline"/>
        </w:rPr>
        <w:t xml:space="preserve"> </w:t>
      </w:r>
    </w:p>
    <w:p w14:paraId="654A9AF2" w14:textId="78732EEF" w:rsidR="007D11E4" w:rsidRDefault="007D11E4" w:rsidP="007D11E4">
      <w:pPr>
        <w:spacing w:line="480" w:lineRule="auto"/>
        <w:ind w:firstLine="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Unquestionably, one of the most cited definitions, within the field of social anthropology, belongs to Evans-Pritchard, who is described by Just</w:t>
      </w:r>
      <w:r w:rsidR="00790FB3" w:rsidRPr="007D11E4">
        <w:rPr>
          <w:rFonts w:ascii="Times New Roman" w:hAnsi="Times New Roman" w:cs="Times New Roman"/>
          <w:sz w:val="24"/>
          <w:szCs w:val="24"/>
          <w:vertAlign w:val="baseline"/>
        </w:rPr>
        <w:t>as</w:t>
      </w:r>
      <w:r w:rsidRPr="007D11E4">
        <w:rPr>
          <w:rFonts w:ascii="Times New Roman" w:hAnsi="Times New Roman" w:cs="Times New Roman"/>
          <w:sz w:val="24"/>
          <w:szCs w:val="24"/>
          <w:vertAlign w:val="baseline"/>
        </w:rPr>
        <w:t xml:space="preserve"> ‘arguably the preeminent British social anthropologist of the 20th century.’</w:t>
      </w:r>
      <w:r w:rsidR="003E5AA7" w:rsidRPr="007D11E4">
        <w:rPr>
          <w:rFonts w:ascii="Times New Roman" w:hAnsi="Times New Roman" w:cs="Times New Roman"/>
          <w:sz w:val="24"/>
          <w:szCs w:val="24"/>
        </w:rPr>
        <w:footnoteReference w:id="263"/>
      </w:r>
      <w:r w:rsidR="003E5AA7" w:rsidRPr="007D11E4">
        <w:rPr>
          <w:rFonts w:ascii="Times New Roman" w:hAnsi="Times New Roman" w:cs="Times New Roman"/>
          <w:sz w:val="24"/>
          <w:szCs w:val="24"/>
          <w:vertAlign w:val="baseline"/>
        </w:rPr>
        <w:t xml:space="preserve"> </w:t>
      </w:r>
      <w:r w:rsidRPr="007D11E4">
        <w:rPr>
          <w:rFonts w:ascii="Times New Roman" w:hAnsi="Times New Roman" w:cs="Times New Roman"/>
          <w:sz w:val="24"/>
          <w:szCs w:val="24"/>
          <w:vertAlign w:val="baseline"/>
        </w:rPr>
        <w:t xml:space="preserve"> Evans-Pritchard, in his classic work </w:t>
      </w:r>
      <w:r w:rsidRPr="00E25C36">
        <w:rPr>
          <w:rFonts w:ascii="Times New Roman" w:hAnsi="Times New Roman" w:cs="Times New Roman"/>
          <w:i/>
          <w:sz w:val="24"/>
          <w:szCs w:val="24"/>
          <w:vertAlign w:val="baseline"/>
        </w:rPr>
        <w:t>Witchcraft, Oracles and Magic among the Azande</w:t>
      </w:r>
      <w:r w:rsidRPr="007D11E4">
        <w:rPr>
          <w:rFonts w:ascii="Times New Roman" w:hAnsi="Times New Roman" w:cs="Times New Roman"/>
          <w:sz w:val="24"/>
          <w:szCs w:val="24"/>
          <w:vertAlign w:val="baseline"/>
        </w:rPr>
        <w:t>,</w:t>
      </w:r>
      <w:r w:rsidRPr="007D11E4">
        <w:rPr>
          <w:rFonts w:ascii="Times New Roman" w:hAnsi="Times New Roman" w:cs="Times New Roman"/>
          <w:sz w:val="24"/>
          <w:szCs w:val="24"/>
        </w:rPr>
        <w:footnoteReference w:id="264"/>
      </w:r>
      <w:r w:rsidRPr="007D11E4">
        <w:rPr>
          <w:rFonts w:ascii="Times New Roman" w:hAnsi="Times New Roman" w:cs="Times New Roman"/>
          <w:sz w:val="24"/>
          <w:szCs w:val="24"/>
          <w:vertAlign w:val="baseline"/>
        </w:rPr>
        <w:t xml:space="preserve"> describes witchcraft as thus, </w:t>
      </w:r>
    </w:p>
    <w:p w14:paraId="2518C0C9" w14:textId="77777777" w:rsidR="00480341" w:rsidRPr="007D11E4" w:rsidRDefault="00480341" w:rsidP="007D11E4">
      <w:pPr>
        <w:spacing w:line="480" w:lineRule="auto"/>
        <w:ind w:firstLine="720"/>
        <w:jc w:val="both"/>
        <w:rPr>
          <w:rFonts w:ascii="Times New Roman" w:hAnsi="Times New Roman" w:cs="Times New Roman"/>
          <w:sz w:val="24"/>
          <w:szCs w:val="24"/>
          <w:vertAlign w:val="baseline"/>
        </w:rPr>
      </w:pPr>
    </w:p>
    <w:p w14:paraId="7A271226" w14:textId="35CAA97B" w:rsidR="007D11E4" w:rsidRPr="007D11E4" w:rsidRDefault="007D11E4" w:rsidP="0028216B">
      <w:pPr>
        <w:spacing w:line="480" w:lineRule="auto"/>
        <w:ind w:left="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The concept of witchcraft</w:t>
      </w:r>
      <w:r w:rsidR="00E25C36">
        <w:rPr>
          <w:rFonts w:ascii="Times New Roman" w:hAnsi="Times New Roman" w:cs="Times New Roman"/>
          <w:sz w:val="24"/>
          <w:szCs w:val="24"/>
          <w:vertAlign w:val="baseline"/>
        </w:rPr>
        <w:t xml:space="preserve"> </w:t>
      </w:r>
      <w:r w:rsidRPr="007D11E4">
        <w:rPr>
          <w:rFonts w:ascii="Times New Roman" w:hAnsi="Times New Roman" w:cs="Times New Roman"/>
          <w:sz w:val="24"/>
          <w:szCs w:val="24"/>
          <w:vertAlign w:val="baseline"/>
        </w:rPr>
        <w:t>…</w:t>
      </w:r>
      <w:r w:rsidR="00E25C36">
        <w:rPr>
          <w:rFonts w:ascii="Times New Roman" w:hAnsi="Times New Roman" w:cs="Times New Roman"/>
          <w:sz w:val="24"/>
          <w:szCs w:val="24"/>
          <w:vertAlign w:val="baseline"/>
        </w:rPr>
        <w:t xml:space="preserve"> </w:t>
      </w:r>
      <w:r w:rsidRPr="007D11E4">
        <w:rPr>
          <w:rFonts w:ascii="Times New Roman" w:hAnsi="Times New Roman" w:cs="Times New Roman"/>
          <w:sz w:val="24"/>
          <w:szCs w:val="24"/>
          <w:vertAlign w:val="baseline"/>
        </w:rPr>
        <w:t>provides [the Azande] with a natural philosophy by which the relations between men and unfortunate events are explained and a ready and stereotyped means of reacting to such events. Witchcraft beliefs also embrace a system of values, which regulate human conduct.</w:t>
      </w:r>
      <w:r w:rsidRPr="007D11E4">
        <w:rPr>
          <w:rFonts w:ascii="Times New Roman" w:hAnsi="Times New Roman" w:cs="Times New Roman"/>
          <w:sz w:val="24"/>
          <w:szCs w:val="24"/>
        </w:rPr>
        <w:footnoteReference w:id="265"/>
      </w:r>
    </w:p>
    <w:p w14:paraId="47F02CA6" w14:textId="77777777" w:rsidR="007D11E4" w:rsidRPr="007D11E4" w:rsidRDefault="007D11E4" w:rsidP="007D11E4">
      <w:pPr>
        <w:spacing w:line="480" w:lineRule="auto"/>
        <w:ind w:firstLine="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ab/>
      </w:r>
    </w:p>
    <w:p w14:paraId="1961EE39" w14:textId="23029522" w:rsidR="00B848A7" w:rsidRDefault="007D11E4" w:rsidP="00823CED">
      <w:pPr>
        <w:spacing w:line="480" w:lineRule="auto"/>
        <w:ind w:firstLine="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For the purposes of this thesis, I consider Evans-Pritchard’s definition st</w:t>
      </w:r>
      <w:r w:rsidR="00823CED">
        <w:rPr>
          <w:rFonts w:ascii="Times New Roman" w:hAnsi="Times New Roman" w:cs="Times New Roman"/>
          <w:sz w:val="24"/>
          <w:szCs w:val="24"/>
          <w:vertAlign w:val="baseline"/>
        </w:rPr>
        <w:t>ill to be the most convincing</w:t>
      </w:r>
      <w:r w:rsidRPr="007D11E4">
        <w:rPr>
          <w:rFonts w:ascii="Times New Roman" w:hAnsi="Times New Roman" w:cs="Times New Roman"/>
          <w:sz w:val="24"/>
          <w:szCs w:val="24"/>
          <w:vertAlign w:val="baseline"/>
        </w:rPr>
        <w:t xml:space="preserve"> account of </w:t>
      </w:r>
      <w:r w:rsidR="00576011">
        <w:rPr>
          <w:rFonts w:ascii="Times New Roman" w:hAnsi="Times New Roman" w:cs="Times New Roman"/>
          <w:sz w:val="24"/>
          <w:szCs w:val="24"/>
          <w:vertAlign w:val="baseline"/>
        </w:rPr>
        <w:t xml:space="preserve">witchcraft, as </w:t>
      </w:r>
      <w:r w:rsidRPr="007D11E4">
        <w:rPr>
          <w:rFonts w:ascii="Times New Roman" w:hAnsi="Times New Roman" w:cs="Times New Roman"/>
          <w:sz w:val="24"/>
          <w:szCs w:val="24"/>
          <w:vertAlign w:val="baseline"/>
        </w:rPr>
        <w:t xml:space="preserve">in this definition, </w:t>
      </w:r>
      <w:r w:rsidR="00576011">
        <w:rPr>
          <w:rFonts w:ascii="Times New Roman" w:hAnsi="Times New Roman" w:cs="Times New Roman"/>
          <w:sz w:val="24"/>
          <w:szCs w:val="24"/>
          <w:vertAlign w:val="baseline"/>
        </w:rPr>
        <w:t xml:space="preserve">he </w:t>
      </w:r>
      <w:r w:rsidRPr="007D11E4">
        <w:rPr>
          <w:rFonts w:ascii="Times New Roman" w:hAnsi="Times New Roman" w:cs="Times New Roman"/>
          <w:sz w:val="24"/>
          <w:szCs w:val="24"/>
          <w:vertAlign w:val="baseline"/>
        </w:rPr>
        <w:t xml:space="preserve">highlights an important distinction, namely between the </w:t>
      </w:r>
      <w:r w:rsidRPr="007D11E4">
        <w:rPr>
          <w:rFonts w:ascii="Times New Roman" w:hAnsi="Times New Roman" w:cs="Times New Roman"/>
          <w:i/>
          <w:sz w:val="24"/>
          <w:szCs w:val="24"/>
          <w:vertAlign w:val="baseline"/>
        </w:rPr>
        <w:t>belief</w:t>
      </w:r>
      <w:r w:rsidRPr="007D11E4">
        <w:rPr>
          <w:rFonts w:ascii="Times New Roman" w:hAnsi="Times New Roman" w:cs="Times New Roman"/>
          <w:sz w:val="24"/>
          <w:szCs w:val="24"/>
          <w:vertAlign w:val="baseline"/>
        </w:rPr>
        <w:t xml:space="preserve"> in witchcraft and witchcraft </w:t>
      </w:r>
      <w:r w:rsidRPr="007D11E4">
        <w:rPr>
          <w:rFonts w:ascii="Times New Roman" w:hAnsi="Times New Roman" w:cs="Times New Roman"/>
          <w:i/>
          <w:sz w:val="24"/>
          <w:szCs w:val="24"/>
          <w:vertAlign w:val="baseline"/>
        </w:rPr>
        <w:t xml:space="preserve">per se. </w:t>
      </w:r>
      <w:r w:rsidR="00823CED">
        <w:rPr>
          <w:rFonts w:ascii="Times New Roman" w:hAnsi="Times New Roman" w:cs="Times New Roman"/>
          <w:sz w:val="24"/>
          <w:szCs w:val="24"/>
          <w:vertAlign w:val="baseline"/>
        </w:rPr>
        <w:t>This is a vital distinction;</w:t>
      </w:r>
      <w:r w:rsidR="00576011">
        <w:rPr>
          <w:rFonts w:ascii="Times New Roman" w:hAnsi="Times New Roman" w:cs="Times New Roman"/>
          <w:sz w:val="24"/>
          <w:szCs w:val="24"/>
          <w:vertAlign w:val="baseline"/>
        </w:rPr>
        <w:t xml:space="preserve"> it affirms that it is the reaction</w:t>
      </w:r>
      <w:r w:rsidR="00823CED">
        <w:rPr>
          <w:rFonts w:ascii="Times New Roman" w:hAnsi="Times New Roman" w:cs="Times New Roman"/>
          <w:sz w:val="24"/>
          <w:szCs w:val="24"/>
          <w:vertAlign w:val="baseline"/>
        </w:rPr>
        <w:t xml:space="preserve"> (belief)</w:t>
      </w:r>
      <w:r w:rsidR="00576011">
        <w:rPr>
          <w:rFonts w:ascii="Times New Roman" w:hAnsi="Times New Roman" w:cs="Times New Roman"/>
          <w:sz w:val="24"/>
          <w:szCs w:val="24"/>
          <w:vertAlign w:val="baseline"/>
        </w:rPr>
        <w:t xml:space="preserve"> and not witchcraft </w:t>
      </w:r>
      <w:r w:rsidR="00576011">
        <w:rPr>
          <w:rFonts w:ascii="Times New Roman" w:hAnsi="Times New Roman" w:cs="Times New Roman"/>
          <w:i/>
          <w:sz w:val="24"/>
          <w:szCs w:val="24"/>
          <w:vertAlign w:val="baseline"/>
        </w:rPr>
        <w:t>per se</w:t>
      </w:r>
      <w:r w:rsidR="00576011">
        <w:rPr>
          <w:rFonts w:ascii="Times New Roman" w:hAnsi="Times New Roman" w:cs="Times New Roman"/>
          <w:sz w:val="24"/>
          <w:szCs w:val="24"/>
          <w:vertAlign w:val="baseline"/>
        </w:rPr>
        <w:t xml:space="preserve"> that </w:t>
      </w:r>
      <w:r w:rsidR="00823CED">
        <w:rPr>
          <w:rFonts w:ascii="Times New Roman" w:hAnsi="Times New Roman" w:cs="Times New Roman"/>
          <w:sz w:val="24"/>
          <w:szCs w:val="24"/>
          <w:vertAlign w:val="baseline"/>
        </w:rPr>
        <w:t xml:space="preserve">leads to violence or abuse. To state that witchcraft </w:t>
      </w:r>
      <w:r w:rsidR="00823CED">
        <w:rPr>
          <w:rFonts w:ascii="Times New Roman" w:hAnsi="Times New Roman" w:cs="Times New Roman"/>
          <w:i/>
          <w:sz w:val="24"/>
          <w:szCs w:val="24"/>
          <w:vertAlign w:val="baseline"/>
        </w:rPr>
        <w:t>per se</w:t>
      </w:r>
      <w:r w:rsidR="00823CED">
        <w:rPr>
          <w:rFonts w:ascii="Times New Roman" w:hAnsi="Times New Roman" w:cs="Times New Roman"/>
          <w:sz w:val="24"/>
          <w:szCs w:val="24"/>
          <w:vertAlign w:val="baseline"/>
        </w:rPr>
        <w:t xml:space="preserve"> is responsible for violence or abuse is misleading and could, in fact, reinforce the beliefs that lead to such abuse in the first place. </w:t>
      </w:r>
      <w:r w:rsidR="00960958">
        <w:rPr>
          <w:rFonts w:ascii="Times New Roman" w:hAnsi="Times New Roman" w:cs="Times New Roman"/>
          <w:sz w:val="24"/>
          <w:szCs w:val="24"/>
          <w:vertAlign w:val="baseline"/>
        </w:rPr>
        <w:t>There is currently no</w:t>
      </w:r>
      <w:r w:rsidR="001A1913">
        <w:rPr>
          <w:rFonts w:ascii="Times New Roman" w:hAnsi="Times New Roman" w:cs="Times New Roman"/>
          <w:sz w:val="24"/>
          <w:szCs w:val="24"/>
          <w:vertAlign w:val="baseline"/>
        </w:rPr>
        <w:t xml:space="preserve"> </w:t>
      </w:r>
      <w:r w:rsidR="000D18A7">
        <w:rPr>
          <w:rFonts w:ascii="Times New Roman" w:hAnsi="Times New Roman" w:cs="Times New Roman"/>
          <w:sz w:val="24"/>
          <w:szCs w:val="24"/>
          <w:vertAlign w:val="baseline"/>
        </w:rPr>
        <w:t>legal definition of witchcraft.</w:t>
      </w:r>
      <w:r w:rsidR="00960958">
        <w:rPr>
          <w:rFonts w:ascii="Times New Roman" w:hAnsi="Times New Roman" w:cs="Times New Roman"/>
          <w:sz w:val="24"/>
          <w:szCs w:val="24"/>
          <w:vertAlign w:val="baseline"/>
        </w:rPr>
        <w:t xml:space="preserve"> </w:t>
      </w:r>
      <w:r w:rsidR="00B957CD">
        <w:rPr>
          <w:rFonts w:ascii="Times New Roman" w:hAnsi="Times New Roman" w:cs="Times New Roman"/>
          <w:sz w:val="24"/>
          <w:szCs w:val="24"/>
          <w:vertAlign w:val="baseline"/>
        </w:rPr>
        <w:t>Absence of a legal definition means that, for those cases that make it to court, the judiciary have to create their own interpretations of witchcraft, in deciding whether or not a criminal act has taken place, thus, leading to arbitrary decisions.</w:t>
      </w:r>
      <w:r w:rsidR="00821115">
        <w:rPr>
          <w:rFonts w:ascii="Times New Roman" w:hAnsi="Times New Roman" w:cs="Times New Roman"/>
          <w:sz w:val="24"/>
          <w:szCs w:val="24"/>
          <w:vertAlign w:val="baseline"/>
        </w:rPr>
        <w:t xml:space="preserve"> The nearest there is to a ‘legal definition’ can be found in section 2 of the Tanzanian Witchcraft Act 2002, which states, ‘witchcraft includes sorcery, enchantment, bewitching, the use of instrument of witchcraft, the purported exercise of any occult power and the purported possession of any occult knowledge.’</w:t>
      </w:r>
      <w:r w:rsidR="00821115">
        <w:rPr>
          <w:rStyle w:val="FootnoteReference"/>
          <w:rFonts w:ascii="Times New Roman" w:hAnsi="Times New Roman" w:cs="Times New Roman"/>
          <w:sz w:val="24"/>
          <w:szCs w:val="24"/>
        </w:rPr>
        <w:footnoteReference w:id="266"/>
      </w:r>
      <w:r w:rsidR="00FC2209">
        <w:rPr>
          <w:rFonts w:ascii="Times New Roman" w:hAnsi="Times New Roman" w:cs="Times New Roman"/>
          <w:sz w:val="24"/>
          <w:szCs w:val="24"/>
          <w:vertAlign w:val="baseline"/>
        </w:rPr>
        <w:t xml:space="preserve"> However, such a definition is unhelpful for enforcement and simply refers to the numerous different synonyms for witchcraft.</w:t>
      </w:r>
      <w:r w:rsidR="000450FC">
        <w:rPr>
          <w:rFonts w:ascii="Times New Roman" w:hAnsi="Times New Roman" w:cs="Times New Roman"/>
          <w:sz w:val="24"/>
          <w:szCs w:val="24"/>
          <w:vertAlign w:val="baseline"/>
        </w:rPr>
        <w:t xml:space="preserve"> </w:t>
      </w:r>
      <w:r w:rsidR="00675F2A">
        <w:rPr>
          <w:rFonts w:ascii="Times New Roman" w:hAnsi="Times New Roman" w:cs="Times New Roman"/>
          <w:sz w:val="24"/>
          <w:szCs w:val="24"/>
          <w:vertAlign w:val="baseline"/>
        </w:rPr>
        <w:t>There has been great difficulty in pinning down a universal legal definition of witchcraft, given all</w:t>
      </w:r>
      <w:r w:rsidR="00620537">
        <w:rPr>
          <w:rFonts w:ascii="Times New Roman" w:hAnsi="Times New Roman" w:cs="Times New Roman"/>
          <w:sz w:val="24"/>
          <w:szCs w:val="24"/>
          <w:vertAlign w:val="baseline"/>
        </w:rPr>
        <w:t xml:space="preserve"> the question marks of such an exercise, including</w:t>
      </w:r>
      <w:r w:rsidR="00675F2A">
        <w:rPr>
          <w:rFonts w:ascii="Times New Roman" w:hAnsi="Times New Roman" w:cs="Times New Roman"/>
          <w:sz w:val="24"/>
          <w:szCs w:val="24"/>
          <w:vertAlign w:val="baseline"/>
        </w:rPr>
        <w:t xml:space="preserve"> cultural objections and subjectivities; hence, why one does not, currently, exist. </w:t>
      </w:r>
      <w:r w:rsidR="000C4370">
        <w:rPr>
          <w:rFonts w:ascii="Times New Roman" w:hAnsi="Times New Roman" w:cs="Times New Roman"/>
          <w:sz w:val="24"/>
          <w:szCs w:val="24"/>
          <w:vertAlign w:val="baseline"/>
        </w:rPr>
        <w:t xml:space="preserve">Taking this into consideration, proposing a legal definition within this thesis would be </w:t>
      </w:r>
      <w:r w:rsidR="00D3637C">
        <w:rPr>
          <w:rFonts w:ascii="Times New Roman" w:hAnsi="Times New Roman" w:cs="Times New Roman"/>
          <w:sz w:val="24"/>
          <w:szCs w:val="24"/>
          <w:vertAlign w:val="baseline"/>
        </w:rPr>
        <w:t xml:space="preserve">difficult. </w:t>
      </w:r>
      <w:r w:rsidR="00B848A7">
        <w:rPr>
          <w:rFonts w:ascii="Times New Roman" w:hAnsi="Times New Roman" w:cs="Times New Roman"/>
          <w:sz w:val="24"/>
          <w:szCs w:val="24"/>
          <w:vertAlign w:val="baseline"/>
        </w:rPr>
        <w:t>However, it is suggested that an amalgamation of the explanation offered by Evans-Pritchard</w:t>
      </w:r>
      <w:r w:rsidR="007B3CE4">
        <w:rPr>
          <w:rFonts w:ascii="Times New Roman" w:hAnsi="Times New Roman" w:cs="Times New Roman"/>
          <w:sz w:val="24"/>
          <w:szCs w:val="24"/>
          <w:vertAlign w:val="baseline"/>
        </w:rPr>
        <w:t>, which is the most common existing definition in anthropology, together with</w:t>
      </w:r>
      <w:r w:rsidR="00B848A7">
        <w:rPr>
          <w:rFonts w:ascii="Times New Roman" w:hAnsi="Times New Roman" w:cs="Times New Roman"/>
          <w:sz w:val="24"/>
          <w:szCs w:val="24"/>
          <w:vertAlign w:val="baseline"/>
        </w:rPr>
        <w:t xml:space="preserve"> the definition of harmful traditional practices</w:t>
      </w:r>
      <w:r w:rsidR="007B3CE4">
        <w:rPr>
          <w:rFonts w:ascii="Times New Roman" w:hAnsi="Times New Roman" w:cs="Times New Roman"/>
          <w:sz w:val="24"/>
          <w:szCs w:val="24"/>
          <w:vertAlign w:val="baseline"/>
        </w:rPr>
        <w:t>,</w:t>
      </w:r>
      <w:r w:rsidR="00B848A7">
        <w:rPr>
          <w:rFonts w:ascii="Times New Roman" w:hAnsi="Times New Roman" w:cs="Times New Roman"/>
          <w:sz w:val="24"/>
          <w:szCs w:val="24"/>
          <w:vertAlign w:val="baseline"/>
        </w:rPr>
        <w:t xml:space="preserve"> as defined by CEDAW in Joint General Recommendation No.31</w:t>
      </w:r>
      <w:r w:rsidR="007B3CE4">
        <w:rPr>
          <w:rFonts w:ascii="Times New Roman" w:hAnsi="Times New Roman" w:cs="Times New Roman"/>
          <w:sz w:val="24"/>
          <w:szCs w:val="24"/>
          <w:vertAlign w:val="baseline"/>
        </w:rPr>
        <w:t>,</w:t>
      </w:r>
      <w:r w:rsidR="00B848A7">
        <w:rPr>
          <w:rStyle w:val="FootnoteReference"/>
          <w:rFonts w:ascii="Times New Roman" w:hAnsi="Times New Roman" w:cs="Times New Roman"/>
          <w:sz w:val="24"/>
          <w:szCs w:val="24"/>
        </w:rPr>
        <w:footnoteReference w:id="267"/>
      </w:r>
      <w:r w:rsidR="00B848A7">
        <w:rPr>
          <w:rFonts w:ascii="Times New Roman" w:hAnsi="Times New Roman" w:cs="Times New Roman"/>
          <w:sz w:val="24"/>
          <w:szCs w:val="24"/>
          <w:vertAlign w:val="baseline"/>
        </w:rPr>
        <w:t xml:space="preserve"> </w:t>
      </w:r>
      <w:r w:rsidR="007B3CE4">
        <w:rPr>
          <w:rFonts w:ascii="Times New Roman" w:hAnsi="Times New Roman" w:cs="Times New Roman"/>
          <w:sz w:val="24"/>
          <w:szCs w:val="24"/>
          <w:vertAlign w:val="baseline"/>
        </w:rPr>
        <w:t>could be used as a starting point,</w:t>
      </w:r>
    </w:p>
    <w:p w14:paraId="4109CD37" w14:textId="77777777" w:rsidR="007B3CE4" w:rsidRDefault="007B3CE4" w:rsidP="007B3CE4">
      <w:pPr>
        <w:spacing w:line="480" w:lineRule="auto"/>
        <w:jc w:val="both"/>
        <w:rPr>
          <w:rFonts w:ascii="Times New Roman" w:hAnsi="Times New Roman" w:cs="Times New Roman"/>
          <w:sz w:val="24"/>
          <w:szCs w:val="24"/>
          <w:vertAlign w:val="baseline"/>
        </w:rPr>
      </w:pPr>
    </w:p>
    <w:p w14:paraId="61588D9A" w14:textId="1D3D3B04" w:rsidR="00554F90" w:rsidRDefault="002800BA" w:rsidP="00554F90">
      <w:pPr>
        <w:spacing w:line="480" w:lineRule="auto"/>
        <w:ind w:left="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The practice of, or belief in, supernatural abilities exercised by certain </w:t>
      </w:r>
      <w:r w:rsidR="00B848A7">
        <w:rPr>
          <w:rFonts w:ascii="Times New Roman" w:hAnsi="Times New Roman" w:cs="Times New Roman"/>
          <w:sz w:val="24"/>
          <w:szCs w:val="24"/>
          <w:vertAlign w:val="baseline"/>
        </w:rPr>
        <w:t>individuals, grounded in discrimination on the basis of, among other things, sex, gender and age, which</w:t>
      </w:r>
      <w:r>
        <w:rPr>
          <w:rFonts w:ascii="Times New Roman" w:hAnsi="Times New Roman" w:cs="Times New Roman"/>
          <w:sz w:val="24"/>
          <w:szCs w:val="24"/>
          <w:vertAlign w:val="baseline"/>
        </w:rPr>
        <w:t xml:space="preserve"> regulates relationships between</w:t>
      </w:r>
      <w:r w:rsidR="00B848A7">
        <w:rPr>
          <w:rFonts w:ascii="Times New Roman" w:hAnsi="Times New Roman" w:cs="Times New Roman"/>
          <w:sz w:val="24"/>
          <w:szCs w:val="24"/>
          <w:vertAlign w:val="baseline"/>
        </w:rPr>
        <w:t xml:space="preserve"> individuals, </w:t>
      </w:r>
      <w:r w:rsidR="00B848A7" w:rsidRPr="00B848A7">
        <w:rPr>
          <w:rFonts w:ascii="Times New Roman" w:hAnsi="Times New Roman" w:cs="Times New Roman"/>
          <w:sz w:val="24"/>
          <w:szCs w:val="24"/>
          <w:vertAlign w:val="baseline"/>
        </w:rPr>
        <w:t>offers</w:t>
      </w:r>
      <w:r>
        <w:rPr>
          <w:rFonts w:ascii="Times New Roman" w:hAnsi="Times New Roman" w:cs="Times New Roman"/>
          <w:sz w:val="24"/>
          <w:szCs w:val="24"/>
          <w:vertAlign w:val="baseline"/>
        </w:rPr>
        <w:t xml:space="preserve"> expl</w:t>
      </w:r>
      <w:r w:rsidR="00B848A7">
        <w:rPr>
          <w:rFonts w:ascii="Times New Roman" w:hAnsi="Times New Roman" w:cs="Times New Roman"/>
          <w:sz w:val="24"/>
          <w:szCs w:val="24"/>
          <w:vertAlign w:val="baseline"/>
        </w:rPr>
        <w:t>anations for unfortunate events and provides a ready and stereotyped means of reacting to such events that often involves violence and cause</w:t>
      </w:r>
      <w:r w:rsidR="00554F90">
        <w:rPr>
          <w:rFonts w:ascii="Times New Roman" w:hAnsi="Times New Roman" w:cs="Times New Roman"/>
          <w:sz w:val="24"/>
          <w:szCs w:val="24"/>
          <w:vertAlign w:val="baseline"/>
        </w:rPr>
        <w:t>s</w:t>
      </w:r>
      <w:r w:rsidR="00B848A7">
        <w:rPr>
          <w:rFonts w:ascii="Times New Roman" w:hAnsi="Times New Roman" w:cs="Times New Roman"/>
          <w:sz w:val="24"/>
          <w:szCs w:val="24"/>
          <w:vertAlign w:val="baseline"/>
        </w:rPr>
        <w:t xml:space="preserve"> physical and/or </w:t>
      </w:r>
      <w:r w:rsidR="007B3CE4">
        <w:rPr>
          <w:rFonts w:ascii="Times New Roman" w:hAnsi="Times New Roman" w:cs="Times New Roman"/>
          <w:sz w:val="24"/>
          <w:szCs w:val="24"/>
          <w:vertAlign w:val="baseline"/>
        </w:rPr>
        <w:t>psychological</w:t>
      </w:r>
      <w:r w:rsidR="00B848A7">
        <w:rPr>
          <w:rFonts w:ascii="Times New Roman" w:hAnsi="Times New Roman" w:cs="Times New Roman"/>
          <w:sz w:val="24"/>
          <w:szCs w:val="24"/>
          <w:vertAlign w:val="baseline"/>
        </w:rPr>
        <w:t xml:space="preserve"> harm or suffering.</w:t>
      </w:r>
    </w:p>
    <w:p w14:paraId="59C0BD42" w14:textId="77777777" w:rsidR="00823CED" w:rsidRDefault="00823CED" w:rsidP="00823CED">
      <w:pPr>
        <w:spacing w:line="480" w:lineRule="auto"/>
        <w:ind w:firstLine="720"/>
        <w:jc w:val="both"/>
        <w:rPr>
          <w:rFonts w:ascii="Times New Roman" w:hAnsi="Times New Roman" w:cs="Times New Roman"/>
          <w:sz w:val="24"/>
          <w:szCs w:val="24"/>
          <w:vertAlign w:val="baseline"/>
        </w:rPr>
      </w:pPr>
    </w:p>
    <w:p w14:paraId="63EDA50F" w14:textId="53DCD413" w:rsidR="007D11E4" w:rsidRPr="007D11E4" w:rsidRDefault="007D11E4" w:rsidP="00823CED">
      <w:pPr>
        <w:spacing w:line="480" w:lineRule="auto"/>
        <w:ind w:firstLine="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 xml:space="preserve">The witchcraft discourse consists of and </w:t>
      </w:r>
      <w:r w:rsidR="00E25C36">
        <w:rPr>
          <w:rFonts w:ascii="Times New Roman" w:hAnsi="Times New Roman" w:cs="Times New Roman"/>
          <w:sz w:val="24"/>
          <w:szCs w:val="24"/>
          <w:vertAlign w:val="baseline"/>
        </w:rPr>
        <w:t>is determined by three elements,</w:t>
      </w:r>
      <w:r w:rsidRPr="007D11E4">
        <w:rPr>
          <w:rFonts w:ascii="Times New Roman" w:hAnsi="Times New Roman" w:cs="Times New Roman"/>
          <w:sz w:val="24"/>
          <w:szCs w:val="24"/>
          <w:vertAlign w:val="baseline"/>
        </w:rPr>
        <w:t xml:space="preserve"> the event, the beliefs within a specific culture and society’s way of reaching unanimity.</w:t>
      </w:r>
      <w:r w:rsidRPr="007D11E4">
        <w:rPr>
          <w:rFonts w:ascii="Times New Roman" w:hAnsi="Times New Roman" w:cs="Times New Roman"/>
          <w:sz w:val="24"/>
          <w:szCs w:val="24"/>
        </w:rPr>
        <w:footnoteReference w:id="268"/>
      </w:r>
      <w:r w:rsidRPr="007D11E4">
        <w:rPr>
          <w:rFonts w:ascii="Times New Roman" w:hAnsi="Times New Roman" w:cs="Times New Roman"/>
          <w:sz w:val="24"/>
          <w:szCs w:val="24"/>
          <w:vertAlign w:val="baseline"/>
        </w:rPr>
        <w:t xml:space="preserve"> To look at this theoretically, it could be said that witchcraft, as a concept, satisfies the methodology; it is procedural. Whilst the belief in witchcraft, provides the method, upon which a reaction may or may not occur, the accusation that may or may not follow, is the reaction. The witchcraft discourse is, thus, reactive, not proactive. Many of us believe, in some way or another, in a variety of different phenomena.  The crucial factor is how we manage our beliefs. For those wishing to deny responsibility for their own actions, it is easy to manipulate their beliefs into thinking that someone or something else is responsible. Likewise, with misfortune. As highlighted above by Evans-Pritchard, ‘witchcraft beliefs also embrace a system of values, which regulate human conduct.’</w:t>
      </w:r>
      <w:r w:rsidRPr="007D11E4">
        <w:rPr>
          <w:rFonts w:ascii="Times New Roman" w:hAnsi="Times New Roman" w:cs="Times New Roman"/>
          <w:sz w:val="24"/>
          <w:szCs w:val="24"/>
        </w:rPr>
        <w:footnoteReference w:id="269"/>
      </w:r>
      <w:r w:rsidRPr="007D11E4">
        <w:rPr>
          <w:rFonts w:ascii="Times New Roman" w:hAnsi="Times New Roman" w:cs="Times New Roman"/>
          <w:sz w:val="24"/>
          <w:szCs w:val="24"/>
          <w:vertAlign w:val="baseline"/>
        </w:rPr>
        <w:t xml:space="preserve"> Witchcraft beliefs, therefore, provide a mechanism for solving conflict and severing unwanted relationships, whilst providing many acceptable mechanisms for overcoming uncertainty, anxiety and fear. This is substantiated by Macfarlane,</w:t>
      </w:r>
      <w:r w:rsidR="00E25C36" w:rsidRPr="007D11E4">
        <w:rPr>
          <w:rFonts w:ascii="Times New Roman" w:hAnsi="Times New Roman" w:cs="Times New Roman"/>
          <w:sz w:val="24"/>
          <w:szCs w:val="24"/>
        </w:rPr>
        <w:footnoteReference w:id="270"/>
      </w:r>
      <w:r w:rsidR="00E25C36" w:rsidRPr="007D11E4">
        <w:rPr>
          <w:rFonts w:ascii="Times New Roman" w:hAnsi="Times New Roman" w:cs="Times New Roman"/>
          <w:sz w:val="24"/>
          <w:szCs w:val="24"/>
          <w:vertAlign w:val="baseline"/>
        </w:rPr>
        <w:t xml:space="preserve"> </w:t>
      </w:r>
      <w:r w:rsidRPr="007D11E4">
        <w:rPr>
          <w:rFonts w:ascii="Times New Roman" w:hAnsi="Times New Roman" w:cs="Times New Roman"/>
          <w:sz w:val="24"/>
          <w:szCs w:val="24"/>
          <w:vertAlign w:val="baseline"/>
        </w:rPr>
        <w:t xml:space="preserve">who proposes two affiliated explanations for the existence of witchcraft beliefs, namely witchcraft as an explanation of misfortune and witchcraft as a method of dealing with conflict. </w:t>
      </w:r>
    </w:p>
    <w:p w14:paraId="2EE2189A" w14:textId="77777777" w:rsidR="007D11E4" w:rsidRPr="007D11E4" w:rsidRDefault="007D11E4" w:rsidP="007D11E4">
      <w:pPr>
        <w:spacing w:line="480" w:lineRule="auto"/>
        <w:ind w:firstLine="720"/>
        <w:jc w:val="both"/>
        <w:rPr>
          <w:rFonts w:ascii="Times New Roman" w:hAnsi="Times New Roman" w:cs="Times New Roman"/>
          <w:b/>
          <w:sz w:val="24"/>
          <w:szCs w:val="24"/>
          <w:u w:val="single"/>
          <w:vertAlign w:val="baseline"/>
        </w:rPr>
      </w:pPr>
    </w:p>
    <w:p w14:paraId="32D691DB" w14:textId="4CF4535D" w:rsidR="007D11E4" w:rsidRPr="009F20AE" w:rsidRDefault="0028216B" w:rsidP="009F20AE">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3</w:t>
      </w:r>
      <w:r w:rsidR="009F20AE">
        <w:rPr>
          <w:rFonts w:ascii="Times New Roman" w:hAnsi="Times New Roman" w:cs="Times New Roman"/>
          <w:b/>
          <w:sz w:val="24"/>
          <w:szCs w:val="24"/>
          <w:u w:val="single"/>
          <w:vertAlign w:val="baseline"/>
        </w:rPr>
        <w:t xml:space="preserve">.3 </w:t>
      </w:r>
      <w:r>
        <w:rPr>
          <w:rFonts w:ascii="Times New Roman" w:hAnsi="Times New Roman" w:cs="Times New Roman"/>
          <w:b/>
          <w:sz w:val="24"/>
          <w:szCs w:val="24"/>
          <w:u w:val="single"/>
          <w:vertAlign w:val="baseline"/>
        </w:rPr>
        <w:t>WITCHCRAFT AS AN EXPLANATION OF MISFORTUNE</w:t>
      </w:r>
    </w:p>
    <w:p w14:paraId="6CA64417" w14:textId="3E4B6856" w:rsidR="007D11E4" w:rsidRPr="007D11E4" w:rsidRDefault="007D11E4" w:rsidP="007D11E4">
      <w:pPr>
        <w:spacing w:line="480" w:lineRule="auto"/>
        <w:ind w:firstLine="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The link between misfortune and witchcraft is clearly constructed within the 15</w:t>
      </w:r>
      <w:r w:rsidRPr="007D11E4">
        <w:rPr>
          <w:rFonts w:ascii="Times New Roman" w:hAnsi="Times New Roman" w:cs="Times New Roman"/>
          <w:sz w:val="24"/>
          <w:szCs w:val="24"/>
        </w:rPr>
        <w:t>th</w:t>
      </w:r>
      <w:r w:rsidRPr="007D11E4">
        <w:rPr>
          <w:rFonts w:ascii="Times New Roman" w:hAnsi="Times New Roman" w:cs="Times New Roman"/>
          <w:sz w:val="24"/>
          <w:szCs w:val="24"/>
          <w:vertAlign w:val="baseline"/>
        </w:rPr>
        <w:t xml:space="preserve"> century text </w:t>
      </w:r>
      <w:r w:rsidRPr="007D11E4">
        <w:rPr>
          <w:rFonts w:ascii="Times New Roman" w:hAnsi="Times New Roman" w:cs="Times New Roman"/>
          <w:i/>
          <w:sz w:val="24"/>
          <w:szCs w:val="24"/>
          <w:vertAlign w:val="baseline"/>
        </w:rPr>
        <w:t>Malleus Maleficarum.</w:t>
      </w:r>
      <w:r w:rsidRPr="007D11E4">
        <w:rPr>
          <w:rFonts w:ascii="Times New Roman" w:hAnsi="Times New Roman" w:cs="Times New Roman"/>
          <w:sz w:val="24"/>
          <w:szCs w:val="24"/>
        </w:rPr>
        <w:footnoteReference w:id="271"/>
      </w:r>
      <w:r w:rsidRPr="007D11E4">
        <w:rPr>
          <w:rFonts w:ascii="Times New Roman" w:hAnsi="Times New Roman" w:cs="Times New Roman"/>
          <w:sz w:val="24"/>
          <w:szCs w:val="24"/>
          <w:vertAlign w:val="baseline"/>
        </w:rPr>
        <w:t xml:space="preserve"> In </w:t>
      </w:r>
      <w:r w:rsidRPr="007D11E4">
        <w:rPr>
          <w:rFonts w:ascii="Times New Roman" w:hAnsi="Times New Roman" w:cs="Times New Roman"/>
          <w:i/>
          <w:sz w:val="24"/>
          <w:szCs w:val="24"/>
          <w:vertAlign w:val="baseline"/>
        </w:rPr>
        <w:t xml:space="preserve">Malleus Maleficarum, </w:t>
      </w:r>
      <w:r w:rsidRPr="007D11E4">
        <w:rPr>
          <w:rFonts w:ascii="Times New Roman" w:hAnsi="Times New Roman" w:cs="Times New Roman"/>
          <w:sz w:val="24"/>
          <w:szCs w:val="24"/>
          <w:vertAlign w:val="baseline"/>
        </w:rPr>
        <w:t xml:space="preserve">Kramer systematically considers the characteristics of misfortune, classifying it into four kinds of injuries: </w:t>
      </w:r>
      <w:r w:rsidRPr="007D11E4">
        <w:rPr>
          <w:rFonts w:ascii="Times New Roman" w:hAnsi="Times New Roman" w:cs="Times New Roman"/>
          <w:i/>
          <w:sz w:val="24"/>
          <w:szCs w:val="24"/>
          <w:vertAlign w:val="baseline"/>
        </w:rPr>
        <w:t>ministeriales</w:t>
      </w:r>
      <w:r w:rsidRPr="007D11E4">
        <w:rPr>
          <w:rFonts w:ascii="Times New Roman" w:hAnsi="Times New Roman" w:cs="Times New Roman"/>
          <w:sz w:val="24"/>
          <w:szCs w:val="24"/>
          <w:vertAlign w:val="baseline"/>
        </w:rPr>
        <w:t xml:space="preserve"> (beneficial misfortune), </w:t>
      </w:r>
      <w:r w:rsidRPr="007D11E4">
        <w:rPr>
          <w:rFonts w:ascii="Times New Roman" w:hAnsi="Times New Roman" w:cs="Times New Roman"/>
          <w:i/>
          <w:sz w:val="24"/>
          <w:szCs w:val="24"/>
          <w:vertAlign w:val="baseline"/>
        </w:rPr>
        <w:t xml:space="preserve">noxiales </w:t>
      </w:r>
      <w:r w:rsidRPr="007D11E4">
        <w:rPr>
          <w:rFonts w:ascii="Times New Roman" w:hAnsi="Times New Roman" w:cs="Times New Roman"/>
          <w:sz w:val="24"/>
          <w:szCs w:val="24"/>
          <w:vertAlign w:val="baseline"/>
        </w:rPr>
        <w:t xml:space="preserve">(merited punishment), </w:t>
      </w:r>
      <w:r w:rsidRPr="007D11E4">
        <w:rPr>
          <w:rFonts w:ascii="Times New Roman" w:hAnsi="Times New Roman" w:cs="Times New Roman"/>
          <w:i/>
          <w:sz w:val="24"/>
          <w:szCs w:val="24"/>
          <w:vertAlign w:val="baseline"/>
        </w:rPr>
        <w:t xml:space="preserve">maleficales </w:t>
      </w:r>
      <w:r w:rsidRPr="007D11E4">
        <w:rPr>
          <w:rFonts w:ascii="Times New Roman" w:hAnsi="Times New Roman" w:cs="Times New Roman"/>
          <w:sz w:val="24"/>
          <w:szCs w:val="24"/>
          <w:vertAlign w:val="baseline"/>
        </w:rPr>
        <w:t xml:space="preserve">(malicious harm or witchcraft) and </w:t>
      </w:r>
      <w:r w:rsidRPr="007D11E4">
        <w:rPr>
          <w:rFonts w:ascii="Times New Roman" w:hAnsi="Times New Roman" w:cs="Times New Roman"/>
          <w:i/>
          <w:sz w:val="24"/>
          <w:szCs w:val="24"/>
          <w:vertAlign w:val="baseline"/>
        </w:rPr>
        <w:t xml:space="preserve">naturales </w:t>
      </w:r>
      <w:r w:rsidRPr="007D11E4">
        <w:rPr>
          <w:rFonts w:ascii="Times New Roman" w:hAnsi="Times New Roman" w:cs="Times New Roman"/>
          <w:sz w:val="24"/>
          <w:szCs w:val="24"/>
          <w:vertAlign w:val="baseline"/>
        </w:rPr>
        <w:t>(natural harm).</w:t>
      </w:r>
      <w:r w:rsidRPr="007D11E4">
        <w:rPr>
          <w:rFonts w:ascii="Times New Roman" w:hAnsi="Times New Roman" w:cs="Times New Roman"/>
          <w:sz w:val="24"/>
          <w:szCs w:val="24"/>
        </w:rPr>
        <w:footnoteReference w:id="272"/>
      </w:r>
      <w:r w:rsidRPr="007D11E4">
        <w:rPr>
          <w:rFonts w:ascii="Times New Roman" w:hAnsi="Times New Roman" w:cs="Times New Roman"/>
          <w:sz w:val="24"/>
          <w:szCs w:val="24"/>
          <w:vertAlign w:val="baseline"/>
        </w:rPr>
        <w:t xml:space="preserve"> Within these classes, Kramer focuses his concern on the agent through which such harm is caused, as opposed to the motive or specific injury. In essence, all misfortune emanated from God. Those agents, who executed misfortune, all did so under the supervision of God. Accordingly, beneficial misfortune is the work of angels, merited punishment is the work of demons, performed under the supervision of God, and natural injuries are attributable to natural causes, such as the alignment of the stars.</w:t>
      </w:r>
      <w:r w:rsidRPr="007D11E4">
        <w:rPr>
          <w:rFonts w:ascii="Times New Roman" w:hAnsi="Times New Roman" w:cs="Times New Roman"/>
          <w:sz w:val="24"/>
          <w:szCs w:val="24"/>
        </w:rPr>
        <w:footnoteReference w:id="273"/>
      </w:r>
      <w:r w:rsidRPr="007D11E4">
        <w:rPr>
          <w:rFonts w:ascii="Times New Roman" w:hAnsi="Times New Roman" w:cs="Times New Roman"/>
          <w:sz w:val="24"/>
          <w:szCs w:val="24"/>
          <w:vertAlign w:val="baseline"/>
        </w:rPr>
        <w:t xml:space="preserve"> Malicious harm, was the category of greatest interest to Kramer, as he believed it was the sin of witches, which gave the devil </w:t>
      </w:r>
      <w:r w:rsidR="0012736B">
        <w:rPr>
          <w:rFonts w:ascii="Times New Roman" w:hAnsi="Times New Roman" w:cs="Times New Roman"/>
          <w:sz w:val="24"/>
          <w:szCs w:val="24"/>
          <w:vertAlign w:val="baseline"/>
        </w:rPr>
        <w:t>his power to harm in their name,</w:t>
      </w:r>
    </w:p>
    <w:p w14:paraId="418F15C6" w14:textId="0859B0BB" w:rsidR="007D11E4" w:rsidRPr="007D11E4" w:rsidRDefault="007D11E4" w:rsidP="0085781C">
      <w:pPr>
        <w:spacing w:line="480" w:lineRule="auto"/>
        <w:ind w:left="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Effects are said to arise from harmful magic when the devil works through witches and sorcerers</w:t>
      </w:r>
      <w:r w:rsidR="00D5101B">
        <w:rPr>
          <w:rFonts w:ascii="Times New Roman" w:hAnsi="Times New Roman" w:cs="Times New Roman"/>
          <w:sz w:val="24"/>
          <w:szCs w:val="24"/>
          <w:vertAlign w:val="baseline"/>
        </w:rPr>
        <w:t xml:space="preserve"> </w:t>
      </w:r>
      <w:r w:rsidRPr="007D11E4">
        <w:rPr>
          <w:rFonts w:ascii="Times New Roman" w:hAnsi="Times New Roman" w:cs="Times New Roman"/>
          <w:sz w:val="24"/>
          <w:szCs w:val="24"/>
          <w:vertAlign w:val="baseline"/>
        </w:rPr>
        <w:t>…</w:t>
      </w:r>
      <w:r w:rsidR="00D5101B">
        <w:rPr>
          <w:rFonts w:ascii="Times New Roman" w:hAnsi="Times New Roman" w:cs="Times New Roman"/>
          <w:sz w:val="24"/>
          <w:szCs w:val="24"/>
          <w:vertAlign w:val="baseline"/>
        </w:rPr>
        <w:t xml:space="preserve"> </w:t>
      </w:r>
      <w:r w:rsidRPr="007D11E4">
        <w:rPr>
          <w:rFonts w:ascii="Times New Roman" w:hAnsi="Times New Roman" w:cs="Times New Roman"/>
          <w:sz w:val="24"/>
          <w:szCs w:val="24"/>
          <w:vertAlign w:val="baseline"/>
        </w:rPr>
        <w:t>but because they seek to work through witches</w:t>
      </w:r>
      <w:r w:rsidR="00D5101B">
        <w:rPr>
          <w:rFonts w:ascii="Times New Roman" w:hAnsi="Times New Roman" w:cs="Times New Roman"/>
          <w:sz w:val="24"/>
          <w:szCs w:val="24"/>
          <w:vertAlign w:val="baseline"/>
        </w:rPr>
        <w:t xml:space="preserve"> </w:t>
      </w:r>
      <w:r w:rsidRPr="007D11E4">
        <w:rPr>
          <w:rFonts w:ascii="Times New Roman" w:hAnsi="Times New Roman" w:cs="Times New Roman"/>
          <w:sz w:val="24"/>
          <w:szCs w:val="24"/>
          <w:vertAlign w:val="baseline"/>
        </w:rPr>
        <w:t>…</w:t>
      </w:r>
      <w:r w:rsidR="00D5101B">
        <w:rPr>
          <w:rFonts w:ascii="Times New Roman" w:hAnsi="Times New Roman" w:cs="Times New Roman"/>
          <w:sz w:val="24"/>
          <w:szCs w:val="24"/>
          <w:vertAlign w:val="baseline"/>
        </w:rPr>
        <w:t xml:space="preserve"> </w:t>
      </w:r>
      <w:r w:rsidRPr="007D11E4">
        <w:rPr>
          <w:rFonts w:ascii="Times New Roman" w:hAnsi="Times New Roman" w:cs="Times New Roman"/>
          <w:sz w:val="24"/>
          <w:szCs w:val="24"/>
          <w:vertAlign w:val="baseline"/>
        </w:rPr>
        <w:t>in order to insult and offend the Creator</w:t>
      </w:r>
      <w:r w:rsidR="00D5101B">
        <w:rPr>
          <w:rFonts w:ascii="Times New Roman" w:hAnsi="Times New Roman" w:cs="Times New Roman"/>
          <w:sz w:val="24"/>
          <w:szCs w:val="24"/>
          <w:vertAlign w:val="baseline"/>
        </w:rPr>
        <w:t xml:space="preserve"> </w:t>
      </w:r>
      <w:r w:rsidRPr="007D11E4">
        <w:rPr>
          <w:rFonts w:ascii="Times New Roman" w:hAnsi="Times New Roman" w:cs="Times New Roman"/>
          <w:sz w:val="24"/>
          <w:szCs w:val="24"/>
          <w:vertAlign w:val="baseline"/>
        </w:rPr>
        <w:t>…</w:t>
      </w:r>
      <w:r w:rsidR="00D5101B">
        <w:rPr>
          <w:rFonts w:ascii="Times New Roman" w:hAnsi="Times New Roman" w:cs="Times New Roman"/>
          <w:sz w:val="24"/>
          <w:szCs w:val="24"/>
          <w:vertAlign w:val="baseline"/>
        </w:rPr>
        <w:t xml:space="preserve"> </w:t>
      </w:r>
      <w:r w:rsidRPr="007D11E4">
        <w:rPr>
          <w:rFonts w:ascii="Times New Roman" w:hAnsi="Times New Roman" w:cs="Times New Roman"/>
          <w:sz w:val="24"/>
          <w:szCs w:val="24"/>
          <w:vertAlign w:val="baseline"/>
        </w:rPr>
        <w:t>innumerable acts of witchcraft are perpetrated</w:t>
      </w:r>
      <w:r w:rsidR="00D5101B">
        <w:rPr>
          <w:rFonts w:ascii="Times New Roman" w:hAnsi="Times New Roman" w:cs="Times New Roman"/>
          <w:sz w:val="24"/>
          <w:szCs w:val="24"/>
          <w:vertAlign w:val="baseline"/>
        </w:rPr>
        <w:t xml:space="preserve"> </w:t>
      </w:r>
      <w:r w:rsidRPr="007D11E4">
        <w:rPr>
          <w:rFonts w:ascii="Times New Roman" w:hAnsi="Times New Roman" w:cs="Times New Roman"/>
          <w:sz w:val="24"/>
          <w:szCs w:val="24"/>
          <w:vertAlign w:val="baseline"/>
        </w:rPr>
        <w:t>…</w:t>
      </w:r>
      <w:r w:rsidR="00D5101B">
        <w:rPr>
          <w:rFonts w:ascii="Times New Roman" w:hAnsi="Times New Roman" w:cs="Times New Roman"/>
          <w:sz w:val="24"/>
          <w:szCs w:val="24"/>
          <w:vertAlign w:val="baseline"/>
        </w:rPr>
        <w:t xml:space="preserve"> </w:t>
      </w:r>
      <w:r w:rsidRPr="007D11E4">
        <w:rPr>
          <w:rFonts w:ascii="Times New Roman" w:hAnsi="Times New Roman" w:cs="Times New Roman"/>
          <w:sz w:val="24"/>
          <w:szCs w:val="24"/>
          <w:vertAlign w:val="baseline"/>
        </w:rPr>
        <w:t>on account of their perfidy and denial of the Catholic faith.</w:t>
      </w:r>
      <w:r w:rsidRPr="007D11E4">
        <w:rPr>
          <w:rFonts w:ascii="Times New Roman" w:hAnsi="Times New Roman" w:cs="Times New Roman"/>
          <w:sz w:val="24"/>
          <w:szCs w:val="24"/>
        </w:rPr>
        <w:footnoteReference w:id="274"/>
      </w:r>
    </w:p>
    <w:p w14:paraId="29432AAB" w14:textId="77777777" w:rsidR="007D11E4" w:rsidRPr="007D11E4" w:rsidRDefault="007D11E4" w:rsidP="007D11E4">
      <w:pPr>
        <w:spacing w:line="480" w:lineRule="auto"/>
        <w:ind w:firstLine="720"/>
        <w:jc w:val="both"/>
        <w:rPr>
          <w:rFonts w:ascii="Times New Roman" w:hAnsi="Times New Roman" w:cs="Times New Roman"/>
          <w:sz w:val="24"/>
          <w:szCs w:val="24"/>
          <w:vertAlign w:val="baseline"/>
        </w:rPr>
      </w:pPr>
    </w:p>
    <w:p w14:paraId="10C89E84" w14:textId="5BBF9FE6" w:rsidR="007D11E4" w:rsidRPr="007D11E4" w:rsidRDefault="007D11E4" w:rsidP="007D11E4">
      <w:pPr>
        <w:spacing w:line="480" w:lineRule="auto"/>
        <w:ind w:firstLine="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Contemporary belief in witchcraft encompasses religious, natural and moral philosophies.</w:t>
      </w:r>
      <w:r w:rsidRPr="007D11E4">
        <w:rPr>
          <w:rFonts w:ascii="Times New Roman" w:hAnsi="Times New Roman" w:cs="Times New Roman"/>
          <w:sz w:val="24"/>
          <w:szCs w:val="24"/>
        </w:rPr>
        <w:footnoteReference w:id="275"/>
      </w:r>
      <w:r w:rsidRPr="007D11E4">
        <w:rPr>
          <w:rFonts w:ascii="Times New Roman" w:hAnsi="Times New Roman" w:cs="Times New Roman"/>
          <w:sz w:val="24"/>
          <w:szCs w:val="24"/>
          <w:vertAlign w:val="baseline"/>
        </w:rPr>
        <w:t xml:space="preserve"> Natural philosophy discloses a theory of causation. For many of us, throughout our lifetime, we are confronted by situations of misfortune, pain and death. The natural reaction is to search for an answer to our suffering, in order to alleviate some of the pain that we feel and to avoid similar situations occurring. Ordinarily, we know the cause. For example, in 2010, I was on my way to University, as I did every morning. I drove down the road I have driven down countless times before, it just so happened that on this particular occasion a car drove through a red light and into the car I was driving. Yet, I had driven down this road for approximately 6 years and I had not faced a similar experience. It is in such situations that we distinguish between the ‘how’ and ‘why.’ For those societies who believe in witchcraft, in this given situation, the concern would be, not that the car drove through the red light, but who sent the car. Thus, as Macfarlane</w:t>
      </w:r>
      <w:r w:rsidRPr="007D11E4">
        <w:rPr>
          <w:rFonts w:ascii="Times New Roman" w:hAnsi="Times New Roman" w:cs="Times New Roman"/>
          <w:sz w:val="24"/>
          <w:szCs w:val="24"/>
        </w:rPr>
        <w:footnoteReference w:id="276"/>
      </w:r>
      <w:r w:rsidRPr="007D11E4">
        <w:rPr>
          <w:rFonts w:ascii="Times New Roman" w:hAnsi="Times New Roman" w:cs="Times New Roman"/>
          <w:sz w:val="24"/>
          <w:szCs w:val="24"/>
          <w:vertAlign w:val="baseline"/>
        </w:rPr>
        <w:t xml:space="preserve"> observes, there are two levels of cause, ‘the material one and another which we relate to human purpose.’</w:t>
      </w:r>
      <w:r w:rsidRPr="007D11E4">
        <w:rPr>
          <w:rFonts w:ascii="Times New Roman" w:hAnsi="Times New Roman" w:cs="Times New Roman"/>
          <w:sz w:val="24"/>
          <w:szCs w:val="24"/>
        </w:rPr>
        <w:footnoteReference w:id="277"/>
      </w:r>
      <w:r w:rsidRPr="007D11E4">
        <w:rPr>
          <w:rFonts w:ascii="Times New Roman" w:hAnsi="Times New Roman" w:cs="Times New Roman"/>
          <w:sz w:val="24"/>
          <w:szCs w:val="24"/>
          <w:vertAlign w:val="baseline"/>
        </w:rPr>
        <w:t xml:space="preserve"> This is powerfully illustrated by Evans-Pritchard in his analogy with the Azande and the granary. On occasion in Zandeland, Sudan an old granary collapses. It is common knowledge that termites eat the wooden supports, and this, combined with years of decay inevitably lead to collapse. It is also commonplace, in summer, for the Zande people to sit underneath the granary in the heat of the day to socialise or work at some craft.</w:t>
      </w:r>
      <w:r w:rsidRPr="007D11E4">
        <w:rPr>
          <w:rFonts w:ascii="Times New Roman" w:hAnsi="Times New Roman" w:cs="Times New Roman"/>
          <w:sz w:val="24"/>
          <w:szCs w:val="24"/>
        </w:rPr>
        <w:footnoteReference w:id="278"/>
      </w:r>
      <w:r w:rsidRPr="007D11E4">
        <w:rPr>
          <w:rFonts w:ascii="Times New Roman" w:hAnsi="Times New Roman" w:cs="Times New Roman"/>
          <w:sz w:val="24"/>
          <w:szCs w:val="24"/>
          <w:vertAlign w:val="baseline"/>
        </w:rPr>
        <w:t xml:space="preserve"> Thus, it is foreseeable that at some point the granary is likely to collapse whilst people are sitting underneath it. Here, the cause of the collapse would be the termites, </w:t>
      </w:r>
      <w:r w:rsidR="00D5101B" w:rsidRPr="007D11E4">
        <w:rPr>
          <w:rFonts w:ascii="Times New Roman" w:hAnsi="Times New Roman" w:cs="Times New Roman"/>
          <w:sz w:val="24"/>
          <w:szCs w:val="24"/>
          <w:vertAlign w:val="baseline"/>
        </w:rPr>
        <w:t>which</w:t>
      </w:r>
      <w:r w:rsidRPr="007D11E4">
        <w:rPr>
          <w:rFonts w:ascii="Times New Roman" w:hAnsi="Times New Roman" w:cs="Times New Roman"/>
          <w:sz w:val="24"/>
          <w:szCs w:val="24"/>
          <w:vertAlign w:val="baseline"/>
        </w:rPr>
        <w:t xml:space="preserve"> had eaten the supports, whilst the cause of the people sitting underneath would be the heat. For me, there is no other explanation of why this event should occur at this particular time, it is coincidence. However, for the Azande, they have another explanat</w:t>
      </w:r>
      <w:r w:rsidR="000C2853">
        <w:rPr>
          <w:rFonts w:ascii="Times New Roman" w:hAnsi="Times New Roman" w:cs="Times New Roman"/>
          <w:sz w:val="24"/>
          <w:szCs w:val="24"/>
          <w:vertAlign w:val="baseline"/>
        </w:rPr>
        <w:t xml:space="preserve">ion. This is not coincidence; </w:t>
      </w:r>
      <w:r w:rsidRPr="007D11E4">
        <w:rPr>
          <w:rFonts w:ascii="Times New Roman" w:hAnsi="Times New Roman" w:cs="Times New Roman"/>
          <w:sz w:val="24"/>
          <w:szCs w:val="24"/>
          <w:vertAlign w:val="baseline"/>
        </w:rPr>
        <w:t>this is witchcraft. It is the ‘particular and variable conditions of an event and not the general and universal conditions,’</w:t>
      </w:r>
      <w:r w:rsidRPr="007D11E4">
        <w:rPr>
          <w:rFonts w:ascii="Times New Roman" w:hAnsi="Times New Roman" w:cs="Times New Roman"/>
          <w:sz w:val="24"/>
          <w:szCs w:val="24"/>
        </w:rPr>
        <w:footnoteReference w:id="279"/>
      </w:r>
      <w:r w:rsidRPr="007D11E4">
        <w:rPr>
          <w:rFonts w:ascii="Times New Roman" w:hAnsi="Times New Roman" w:cs="Times New Roman"/>
          <w:sz w:val="24"/>
          <w:szCs w:val="24"/>
          <w:vertAlign w:val="baseline"/>
        </w:rPr>
        <w:t xml:space="preserve"> which provide the explanation of witchcraft. To take fire as an example, the fundamental characteristic of fire is to burn; this cannot be attributed to witchcraft. Conversely, it is not a fundamental characteristic of fire to burn a specific person, for illustrative purposes we shall call this person Jack. It may well be the case that Jack goes through his lifetime without being burnt by fire. However, if, on occasion, Jack becomes victim to such burning, it would occur because, on that particular occasion, he had been bewitched. Witchcraft, as an explanation of misfortune, therefore, provides the explanation as to why such occurrences are harmful to particular people, not how they actually occur. </w:t>
      </w:r>
    </w:p>
    <w:p w14:paraId="7B75F0DC" w14:textId="77777777" w:rsidR="007D11E4" w:rsidRDefault="007D11E4" w:rsidP="007D11E4">
      <w:pPr>
        <w:spacing w:line="480" w:lineRule="auto"/>
        <w:ind w:firstLine="720"/>
        <w:jc w:val="both"/>
        <w:rPr>
          <w:rFonts w:ascii="Times New Roman" w:hAnsi="Times New Roman" w:cs="Times New Roman"/>
          <w:b/>
          <w:sz w:val="24"/>
          <w:szCs w:val="24"/>
          <w:u w:val="single"/>
          <w:vertAlign w:val="baseline"/>
        </w:rPr>
      </w:pPr>
    </w:p>
    <w:p w14:paraId="33562B63" w14:textId="77777777" w:rsidR="00EB2500" w:rsidRPr="007D11E4" w:rsidRDefault="00EB2500" w:rsidP="007D11E4">
      <w:pPr>
        <w:spacing w:line="480" w:lineRule="auto"/>
        <w:ind w:firstLine="720"/>
        <w:jc w:val="both"/>
        <w:rPr>
          <w:rFonts w:ascii="Times New Roman" w:hAnsi="Times New Roman" w:cs="Times New Roman"/>
          <w:b/>
          <w:sz w:val="24"/>
          <w:szCs w:val="24"/>
          <w:u w:val="single"/>
          <w:vertAlign w:val="baseline"/>
        </w:rPr>
      </w:pPr>
    </w:p>
    <w:p w14:paraId="76A62FFD" w14:textId="22866A95" w:rsidR="007D11E4" w:rsidRPr="00460F57" w:rsidRDefault="0085781C" w:rsidP="00460F57">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3</w:t>
      </w:r>
      <w:r w:rsidR="00460F57">
        <w:rPr>
          <w:rFonts w:ascii="Times New Roman" w:hAnsi="Times New Roman" w:cs="Times New Roman"/>
          <w:b/>
          <w:sz w:val="24"/>
          <w:szCs w:val="24"/>
          <w:u w:val="single"/>
          <w:vertAlign w:val="baseline"/>
        </w:rPr>
        <w:t xml:space="preserve">.4 </w:t>
      </w:r>
      <w:r>
        <w:rPr>
          <w:rFonts w:ascii="Times New Roman" w:hAnsi="Times New Roman" w:cs="Times New Roman"/>
          <w:b/>
          <w:sz w:val="24"/>
          <w:szCs w:val="24"/>
          <w:u w:val="single"/>
          <w:vertAlign w:val="baseline"/>
        </w:rPr>
        <w:t>WITCHCRAFT AS A METHOD FOR DEALING WITH CONFLICT</w:t>
      </w:r>
    </w:p>
    <w:p w14:paraId="608BF7B7" w14:textId="2FB6F08F" w:rsidR="007D11E4" w:rsidRDefault="007D11E4" w:rsidP="007D11E4">
      <w:pPr>
        <w:spacing w:line="480" w:lineRule="auto"/>
        <w:ind w:firstLine="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Historically, witchcraft prosecutions typically occurred in villages between neighbours. The sequence of events was characteristically always the same</w:t>
      </w:r>
      <w:r w:rsidR="00B844E7" w:rsidRPr="007D11E4">
        <w:rPr>
          <w:rFonts w:ascii="Times New Roman" w:hAnsi="Times New Roman" w:cs="Times New Roman"/>
          <w:sz w:val="24"/>
          <w:szCs w:val="24"/>
          <w:vertAlign w:val="baseline"/>
        </w:rPr>
        <w:t>; the</w:t>
      </w:r>
      <w:r w:rsidRPr="007D11E4">
        <w:rPr>
          <w:rFonts w:ascii="Times New Roman" w:hAnsi="Times New Roman" w:cs="Times New Roman"/>
          <w:sz w:val="24"/>
          <w:szCs w:val="24"/>
          <w:vertAlign w:val="baseline"/>
        </w:rPr>
        <w:t xml:space="preserve"> ‘victim’ would have refused the ‘witch’ some form of gift or loan, an argument would arise, the ‘victim’ would have heard the ‘witch’ mutter some threat under her breath and subsequently suffered some misfortune.</w:t>
      </w:r>
      <w:r w:rsidRPr="007D11E4">
        <w:rPr>
          <w:rFonts w:ascii="Times New Roman" w:hAnsi="Times New Roman" w:cs="Times New Roman"/>
          <w:sz w:val="24"/>
          <w:szCs w:val="24"/>
        </w:rPr>
        <w:footnoteReference w:id="280"/>
      </w:r>
      <w:r w:rsidRPr="007D11E4">
        <w:rPr>
          <w:rFonts w:ascii="Times New Roman" w:hAnsi="Times New Roman" w:cs="Times New Roman"/>
          <w:sz w:val="24"/>
          <w:szCs w:val="24"/>
          <w:vertAlign w:val="baseline"/>
        </w:rPr>
        <w:t xml:space="preserve"> As noted by Macfarlane, when referring to the Assize witch trial 1582,</w:t>
      </w:r>
    </w:p>
    <w:p w14:paraId="41A8B3FD" w14:textId="77777777" w:rsidR="00480341" w:rsidRPr="007D11E4" w:rsidRDefault="00480341" w:rsidP="007D11E4">
      <w:pPr>
        <w:spacing w:line="480" w:lineRule="auto"/>
        <w:ind w:firstLine="720"/>
        <w:jc w:val="both"/>
        <w:rPr>
          <w:rFonts w:ascii="Times New Roman" w:hAnsi="Times New Roman" w:cs="Times New Roman"/>
          <w:sz w:val="24"/>
          <w:szCs w:val="24"/>
          <w:vertAlign w:val="baseline"/>
        </w:rPr>
      </w:pPr>
    </w:p>
    <w:p w14:paraId="74AB1C97" w14:textId="22407A77" w:rsidR="007D11E4" w:rsidRPr="007D11E4" w:rsidRDefault="007D11E4" w:rsidP="003A6A35">
      <w:pPr>
        <w:spacing w:line="480" w:lineRule="auto"/>
        <w:ind w:left="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If we examine the motives of a single witch, Joan Robinson, we see her various acts of witchcraft were precipitated by the following acts of her neighbours: she was denied an implement for making hay, the hire of a pasture, the sale of a pig, a cheese, a pig she had been promised and payment for goods ‘at her own reckoning.</w:t>
      </w:r>
      <w:r w:rsidRPr="007D11E4">
        <w:rPr>
          <w:rFonts w:ascii="Times New Roman" w:hAnsi="Times New Roman" w:cs="Times New Roman"/>
          <w:sz w:val="24"/>
          <w:szCs w:val="24"/>
        </w:rPr>
        <w:footnoteReference w:id="281"/>
      </w:r>
    </w:p>
    <w:p w14:paraId="6374C962" w14:textId="77777777" w:rsidR="007D11E4" w:rsidRPr="007D11E4" w:rsidRDefault="007D11E4" w:rsidP="007D11E4">
      <w:pPr>
        <w:spacing w:line="480" w:lineRule="auto"/>
        <w:ind w:firstLine="720"/>
        <w:jc w:val="both"/>
        <w:rPr>
          <w:rFonts w:ascii="Times New Roman" w:hAnsi="Times New Roman" w:cs="Times New Roman"/>
          <w:sz w:val="24"/>
          <w:szCs w:val="24"/>
          <w:vertAlign w:val="baseline"/>
        </w:rPr>
      </w:pPr>
    </w:p>
    <w:p w14:paraId="125EB09C" w14:textId="2ABAD834" w:rsidR="007D11E4" w:rsidRPr="007D11E4" w:rsidRDefault="007D11E4" w:rsidP="007D11E4">
      <w:pPr>
        <w:spacing w:line="480" w:lineRule="auto"/>
        <w:ind w:firstLine="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Witchcraft, therefore, provides an ideal mechanism for severing unwanted relationships. To choose witchcraft as a method of dealing with conflict has its advantages. Evil spirits are fundamentally irrepressible. Moreover, there will be people who are clearly ambivalent towards others. Witchcraft, thus, reflects underlying social tensions within societies. Contemporary studies</w:t>
      </w:r>
      <w:r w:rsidRPr="007D11E4">
        <w:rPr>
          <w:rFonts w:ascii="Times New Roman" w:hAnsi="Times New Roman" w:cs="Times New Roman"/>
          <w:sz w:val="24"/>
          <w:szCs w:val="24"/>
        </w:rPr>
        <w:footnoteReference w:id="282"/>
      </w:r>
      <w:r w:rsidRPr="007D11E4">
        <w:rPr>
          <w:rFonts w:ascii="Times New Roman" w:hAnsi="Times New Roman" w:cs="Times New Roman"/>
          <w:sz w:val="24"/>
          <w:szCs w:val="24"/>
          <w:vertAlign w:val="baseline"/>
        </w:rPr>
        <w:t xml:space="preserve"> have shown that the increase in witchcraft used as a method of dealing with conflict is related to the pressures of social change and new challenges from modern culture within societies.</w:t>
      </w:r>
      <w:r w:rsidRPr="007D11E4">
        <w:rPr>
          <w:rFonts w:ascii="Times New Roman" w:hAnsi="Times New Roman" w:cs="Times New Roman"/>
          <w:sz w:val="24"/>
          <w:szCs w:val="24"/>
        </w:rPr>
        <w:footnoteReference w:id="283"/>
      </w:r>
      <w:r w:rsidRPr="007D11E4">
        <w:rPr>
          <w:rFonts w:ascii="Times New Roman" w:hAnsi="Times New Roman" w:cs="Times New Roman"/>
          <w:sz w:val="24"/>
          <w:szCs w:val="24"/>
          <w:vertAlign w:val="baseline"/>
        </w:rPr>
        <w:t xml:space="preserve"> The challenge individuals face within many </w:t>
      </w:r>
      <w:r w:rsidR="00134136" w:rsidRPr="007D11E4">
        <w:rPr>
          <w:rFonts w:ascii="Times New Roman" w:hAnsi="Times New Roman" w:cs="Times New Roman"/>
          <w:sz w:val="24"/>
          <w:szCs w:val="24"/>
          <w:vertAlign w:val="baseline"/>
        </w:rPr>
        <w:t>societies</w:t>
      </w:r>
      <w:r w:rsidRPr="007D11E4">
        <w:rPr>
          <w:rFonts w:ascii="Times New Roman" w:hAnsi="Times New Roman" w:cs="Times New Roman"/>
          <w:sz w:val="24"/>
          <w:szCs w:val="24"/>
          <w:vertAlign w:val="baseline"/>
        </w:rPr>
        <w:t xml:space="preserve"> is how to balance the continuation of kinship values and solidarity, for example communal ownership of property, against modern notions of individual wealth and success.</w:t>
      </w:r>
      <w:r w:rsidRPr="007D11E4">
        <w:rPr>
          <w:rFonts w:ascii="Times New Roman" w:hAnsi="Times New Roman" w:cs="Times New Roman"/>
          <w:sz w:val="24"/>
          <w:szCs w:val="24"/>
        </w:rPr>
        <w:footnoteReference w:id="284"/>
      </w:r>
      <w:r w:rsidRPr="007D11E4">
        <w:rPr>
          <w:rFonts w:ascii="Times New Roman" w:hAnsi="Times New Roman" w:cs="Times New Roman"/>
          <w:sz w:val="24"/>
          <w:szCs w:val="24"/>
          <w:vertAlign w:val="baseline"/>
        </w:rPr>
        <w:t xml:space="preserve"> It has also been documented, from experiences in Ghana and Cameroon, that witchcraft discourse has been transferred to the political arena.</w:t>
      </w:r>
      <w:r w:rsidRPr="007D11E4">
        <w:rPr>
          <w:rFonts w:ascii="Times New Roman" w:hAnsi="Times New Roman" w:cs="Times New Roman"/>
          <w:sz w:val="24"/>
          <w:szCs w:val="24"/>
        </w:rPr>
        <w:footnoteReference w:id="285"/>
      </w:r>
      <w:r w:rsidRPr="007D11E4">
        <w:rPr>
          <w:rFonts w:ascii="Times New Roman" w:hAnsi="Times New Roman" w:cs="Times New Roman"/>
          <w:sz w:val="24"/>
          <w:szCs w:val="24"/>
          <w:vertAlign w:val="baseline"/>
        </w:rPr>
        <w:t xml:space="preserve"> As Ter Haar explains, ‘a political opponent shares the same epistemological status as a witch. Both are seen as enemies of society.’</w:t>
      </w:r>
      <w:r w:rsidRPr="007D11E4">
        <w:rPr>
          <w:rFonts w:ascii="Times New Roman" w:hAnsi="Times New Roman" w:cs="Times New Roman"/>
          <w:sz w:val="24"/>
          <w:szCs w:val="24"/>
        </w:rPr>
        <w:footnoteReference w:id="286"/>
      </w:r>
      <w:r w:rsidRPr="007D11E4">
        <w:rPr>
          <w:rFonts w:ascii="Times New Roman" w:hAnsi="Times New Roman" w:cs="Times New Roman"/>
          <w:sz w:val="24"/>
          <w:szCs w:val="24"/>
          <w:vertAlign w:val="baseline"/>
        </w:rPr>
        <w:t xml:space="preserve"> Thus, negative emotions and behaviour, that is, greed, envy, hatred and jealousy to name just a few, are often at the root of witchcraft accusations.</w:t>
      </w:r>
    </w:p>
    <w:p w14:paraId="74E7C5F4" w14:textId="77777777" w:rsidR="00110CE7" w:rsidRDefault="00110CE7" w:rsidP="00134136">
      <w:pPr>
        <w:spacing w:line="480" w:lineRule="auto"/>
        <w:jc w:val="both"/>
        <w:rPr>
          <w:rFonts w:ascii="Times New Roman" w:hAnsi="Times New Roman" w:cs="Times New Roman"/>
          <w:b/>
          <w:sz w:val="24"/>
          <w:szCs w:val="24"/>
          <w:u w:val="single"/>
          <w:vertAlign w:val="baseline"/>
        </w:rPr>
      </w:pPr>
    </w:p>
    <w:p w14:paraId="79F76EBC" w14:textId="329048E9" w:rsidR="007D11E4" w:rsidRPr="007D11E4" w:rsidRDefault="003A6A35" w:rsidP="00134136">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3</w:t>
      </w:r>
      <w:r w:rsidR="00134136">
        <w:rPr>
          <w:rFonts w:ascii="Times New Roman" w:hAnsi="Times New Roman" w:cs="Times New Roman"/>
          <w:b/>
          <w:sz w:val="24"/>
          <w:szCs w:val="24"/>
          <w:u w:val="single"/>
          <w:vertAlign w:val="baseline"/>
        </w:rPr>
        <w:t xml:space="preserve">.5 </w:t>
      </w:r>
      <w:r>
        <w:rPr>
          <w:rFonts w:ascii="Times New Roman" w:hAnsi="Times New Roman" w:cs="Times New Roman"/>
          <w:b/>
          <w:sz w:val="24"/>
          <w:szCs w:val="24"/>
          <w:u w:val="single"/>
          <w:vertAlign w:val="baseline"/>
        </w:rPr>
        <w:t>WITCHCRAFT AS A METHOD OF DEALING WITH ‘DIFFERENCE’</w:t>
      </w:r>
    </w:p>
    <w:p w14:paraId="24602845" w14:textId="0753C08C" w:rsidR="007D11E4" w:rsidRDefault="007D11E4" w:rsidP="007D11E4">
      <w:pPr>
        <w:spacing w:line="480" w:lineRule="auto"/>
        <w:ind w:firstLine="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 xml:space="preserve">Whilst the witchcraft discourse is not particular about </w:t>
      </w:r>
      <w:r w:rsidR="00D5101B" w:rsidRPr="007D11E4">
        <w:rPr>
          <w:rFonts w:ascii="Times New Roman" w:hAnsi="Times New Roman" w:cs="Times New Roman"/>
          <w:sz w:val="24"/>
          <w:szCs w:val="24"/>
          <w:vertAlign w:val="baseline"/>
        </w:rPr>
        <w:t>whom</w:t>
      </w:r>
      <w:r w:rsidRPr="007D11E4">
        <w:rPr>
          <w:rFonts w:ascii="Times New Roman" w:hAnsi="Times New Roman" w:cs="Times New Roman"/>
          <w:sz w:val="24"/>
          <w:szCs w:val="24"/>
          <w:vertAlign w:val="baseline"/>
        </w:rPr>
        <w:t xml:space="preserve"> it chooses to be its victim, it would appear that there are certain ‘groups’ of people who are more vulnerable to an accusation of witchcraft. Likewise, within the family, some relations are more prone to accusations than others.</w:t>
      </w:r>
      <w:r w:rsidRPr="007D11E4">
        <w:rPr>
          <w:rFonts w:ascii="Times New Roman" w:hAnsi="Times New Roman" w:cs="Times New Roman"/>
          <w:sz w:val="24"/>
          <w:szCs w:val="24"/>
        </w:rPr>
        <w:footnoteReference w:id="287"/>
      </w:r>
      <w:r w:rsidRPr="007D11E4">
        <w:rPr>
          <w:rFonts w:ascii="Times New Roman" w:hAnsi="Times New Roman" w:cs="Times New Roman"/>
          <w:sz w:val="24"/>
          <w:szCs w:val="24"/>
          <w:vertAlign w:val="baseline"/>
        </w:rPr>
        <w:t xml:space="preserve">  Historically, those affected most by persecution were the poor, elderly, illiterate and the defenceless.</w:t>
      </w:r>
      <w:r w:rsidRPr="007D11E4">
        <w:rPr>
          <w:rFonts w:ascii="Times New Roman" w:hAnsi="Times New Roman" w:cs="Times New Roman"/>
          <w:sz w:val="24"/>
          <w:szCs w:val="24"/>
        </w:rPr>
        <w:footnoteReference w:id="288"/>
      </w:r>
      <w:r w:rsidRPr="007D11E4">
        <w:rPr>
          <w:rFonts w:ascii="Times New Roman" w:hAnsi="Times New Roman" w:cs="Times New Roman"/>
          <w:sz w:val="24"/>
          <w:szCs w:val="24"/>
          <w:vertAlign w:val="baseline"/>
        </w:rPr>
        <w:t xml:space="preserve"> Moreover, they commonly shared one </w:t>
      </w:r>
      <w:r w:rsidR="00134136" w:rsidRPr="007D11E4">
        <w:rPr>
          <w:rFonts w:ascii="Times New Roman" w:hAnsi="Times New Roman" w:cs="Times New Roman"/>
          <w:sz w:val="24"/>
          <w:szCs w:val="24"/>
          <w:vertAlign w:val="baseline"/>
        </w:rPr>
        <w:t>characteristic;</w:t>
      </w:r>
      <w:r w:rsidRPr="007D11E4">
        <w:rPr>
          <w:rFonts w:ascii="Times New Roman" w:hAnsi="Times New Roman" w:cs="Times New Roman"/>
          <w:sz w:val="24"/>
          <w:szCs w:val="24"/>
          <w:vertAlign w:val="baseline"/>
        </w:rPr>
        <w:t xml:space="preserve"> they were, typically, all women. Whilst I am aware that witchcraft accusations should not necessarily be labelled as gender-specific, there have been incidents of witchcraft accusations directed at both sexes,</w:t>
      </w:r>
      <w:r w:rsidR="00A02EA7">
        <w:rPr>
          <w:rStyle w:val="FootnoteReference"/>
          <w:rFonts w:ascii="Times New Roman" w:hAnsi="Times New Roman" w:cs="Times New Roman"/>
          <w:sz w:val="24"/>
          <w:szCs w:val="24"/>
        </w:rPr>
        <w:footnoteReference w:id="289"/>
      </w:r>
      <w:r w:rsidRPr="007D11E4">
        <w:rPr>
          <w:rFonts w:ascii="Times New Roman" w:hAnsi="Times New Roman" w:cs="Times New Roman"/>
          <w:sz w:val="24"/>
          <w:szCs w:val="24"/>
          <w:vertAlign w:val="baseline"/>
        </w:rPr>
        <w:t xml:space="preserve"> the strong association between women and witchcraft accusations, in both historical and contemporary witchcraft persecutions, remains irrefutable. The relationship between gender and witchcraft will be discussed further in the subsequent chapter. Thus, mothers, wives and daughters, particularly those who do not conform to traditional stereotypes, face a considerably greater chance of accusations.</w:t>
      </w:r>
      <w:r w:rsidRPr="007D11E4">
        <w:rPr>
          <w:rFonts w:ascii="Times New Roman" w:hAnsi="Times New Roman" w:cs="Times New Roman"/>
          <w:sz w:val="24"/>
          <w:szCs w:val="24"/>
        </w:rPr>
        <w:footnoteReference w:id="290"/>
      </w:r>
      <w:r w:rsidRPr="007D11E4">
        <w:rPr>
          <w:rFonts w:ascii="Times New Roman" w:hAnsi="Times New Roman" w:cs="Times New Roman"/>
          <w:sz w:val="24"/>
          <w:szCs w:val="24"/>
          <w:vertAlign w:val="baseline"/>
        </w:rPr>
        <w:t xml:space="preserve"> Whilst the focus of this thesis is gender-specific, it is important to highlight and make reference to other ‘vulnerable groups’ targeted by witchcraft accusations. Essentially these are ‘groups’ who are perceived as ‘different’ within society.</w:t>
      </w:r>
    </w:p>
    <w:p w14:paraId="20F9579E" w14:textId="77777777" w:rsidR="00D3159E" w:rsidRPr="007D11E4" w:rsidRDefault="00D3159E" w:rsidP="00EC775D">
      <w:pPr>
        <w:spacing w:line="480" w:lineRule="auto"/>
        <w:ind w:firstLine="720"/>
        <w:jc w:val="center"/>
        <w:rPr>
          <w:rFonts w:ascii="Times New Roman" w:hAnsi="Times New Roman" w:cs="Times New Roman"/>
          <w:sz w:val="24"/>
          <w:szCs w:val="24"/>
          <w:vertAlign w:val="baseline"/>
        </w:rPr>
      </w:pPr>
    </w:p>
    <w:p w14:paraId="17F5B037" w14:textId="24402434" w:rsidR="007D11E4" w:rsidRPr="007E208E" w:rsidRDefault="007E208E" w:rsidP="00D3159E">
      <w:pPr>
        <w:spacing w:line="480" w:lineRule="auto"/>
        <w:jc w:val="both"/>
        <w:rPr>
          <w:rFonts w:ascii="Times New Roman" w:hAnsi="Times New Roman" w:cs="Times New Roman"/>
          <w:b/>
          <w:i/>
          <w:sz w:val="24"/>
          <w:szCs w:val="24"/>
          <w:vertAlign w:val="baseline"/>
        </w:rPr>
      </w:pPr>
      <w:r w:rsidRPr="007E208E">
        <w:rPr>
          <w:rFonts w:ascii="Times New Roman" w:hAnsi="Times New Roman" w:cs="Times New Roman"/>
          <w:b/>
          <w:i/>
          <w:sz w:val="24"/>
          <w:szCs w:val="24"/>
          <w:vertAlign w:val="baseline"/>
        </w:rPr>
        <w:t>3</w:t>
      </w:r>
      <w:r w:rsidR="00D3159E" w:rsidRPr="007E208E">
        <w:rPr>
          <w:rFonts w:ascii="Times New Roman" w:hAnsi="Times New Roman" w:cs="Times New Roman"/>
          <w:b/>
          <w:i/>
          <w:sz w:val="24"/>
          <w:szCs w:val="24"/>
          <w:vertAlign w:val="baseline"/>
        </w:rPr>
        <w:t xml:space="preserve">.5.1 </w:t>
      </w:r>
      <w:r w:rsidR="007D11E4" w:rsidRPr="007E208E">
        <w:rPr>
          <w:rFonts w:ascii="Times New Roman" w:hAnsi="Times New Roman" w:cs="Times New Roman"/>
          <w:b/>
          <w:i/>
          <w:sz w:val="24"/>
          <w:szCs w:val="24"/>
          <w:vertAlign w:val="baseline"/>
        </w:rPr>
        <w:t>Children</w:t>
      </w:r>
    </w:p>
    <w:p w14:paraId="4775FCF4" w14:textId="3EF29501" w:rsidR="007D11E4" w:rsidRPr="00EC775D" w:rsidRDefault="00EC775D" w:rsidP="00A55952">
      <w:pPr>
        <w:spacing w:line="480" w:lineRule="auto"/>
        <w:ind w:firstLine="709"/>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In Sub-Saharan Africa, there is a disturbing trend of alleged ‘child witches,’ one which has received much international attention in recent years. </w:t>
      </w:r>
      <w:r w:rsidR="005D48F7">
        <w:rPr>
          <w:rFonts w:ascii="Times New Roman" w:hAnsi="Times New Roman" w:cs="Times New Roman"/>
          <w:sz w:val="24"/>
          <w:szCs w:val="24"/>
          <w:vertAlign w:val="baseline"/>
        </w:rPr>
        <w:t xml:space="preserve">Due to the nature of children </w:t>
      </w:r>
      <w:r w:rsidR="00A80CCA">
        <w:rPr>
          <w:rFonts w:ascii="Times New Roman" w:hAnsi="Times New Roman" w:cs="Times New Roman"/>
          <w:sz w:val="24"/>
          <w:szCs w:val="24"/>
          <w:vertAlign w:val="baseline"/>
        </w:rPr>
        <w:t xml:space="preserve">being classed </w:t>
      </w:r>
      <w:r w:rsidR="005D48F7">
        <w:rPr>
          <w:rFonts w:ascii="Times New Roman" w:hAnsi="Times New Roman" w:cs="Times New Roman"/>
          <w:sz w:val="24"/>
          <w:szCs w:val="24"/>
          <w:vertAlign w:val="baseline"/>
        </w:rPr>
        <w:t>as a ‘vulnerable group’, it would appear that w</w:t>
      </w:r>
      <w:r w:rsidR="00841AA3">
        <w:rPr>
          <w:rFonts w:ascii="Times New Roman" w:hAnsi="Times New Roman" w:cs="Times New Roman"/>
          <w:sz w:val="24"/>
          <w:szCs w:val="24"/>
          <w:vertAlign w:val="baseline"/>
        </w:rPr>
        <w:t>itchcraft accusations against children are not gendered and are often a result of poverty and family breakdowns. Essentially</w:t>
      </w:r>
      <w:r w:rsidR="00BD7C3B">
        <w:rPr>
          <w:rFonts w:ascii="Times New Roman" w:hAnsi="Times New Roman" w:cs="Times New Roman"/>
          <w:sz w:val="24"/>
          <w:szCs w:val="24"/>
          <w:vertAlign w:val="baseline"/>
        </w:rPr>
        <w:t>, children who do not bring anything of any value into the household are often accused of witchcraft.</w:t>
      </w:r>
      <w:r w:rsidR="00BD7C3B">
        <w:rPr>
          <w:rStyle w:val="FootnoteReference"/>
          <w:rFonts w:ascii="Times New Roman" w:hAnsi="Times New Roman" w:cs="Times New Roman"/>
          <w:sz w:val="24"/>
          <w:szCs w:val="24"/>
        </w:rPr>
        <w:footnoteReference w:id="291"/>
      </w:r>
      <w:r w:rsidR="00BD7C3B">
        <w:rPr>
          <w:rFonts w:ascii="Times New Roman" w:hAnsi="Times New Roman" w:cs="Times New Roman"/>
          <w:sz w:val="24"/>
          <w:szCs w:val="24"/>
          <w:vertAlign w:val="baseline"/>
        </w:rPr>
        <w:t xml:space="preserve"> </w:t>
      </w:r>
      <w:r>
        <w:rPr>
          <w:rFonts w:ascii="Times New Roman" w:hAnsi="Times New Roman" w:cs="Times New Roman"/>
          <w:sz w:val="24"/>
          <w:szCs w:val="24"/>
          <w:vertAlign w:val="baseline"/>
        </w:rPr>
        <w:t>According to UNICEF,</w:t>
      </w:r>
      <w:r>
        <w:rPr>
          <w:rStyle w:val="FootnoteReference"/>
          <w:rFonts w:ascii="Times New Roman" w:hAnsi="Times New Roman" w:cs="Times New Roman"/>
          <w:sz w:val="24"/>
          <w:szCs w:val="24"/>
        </w:rPr>
        <w:footnoteReference w:id="292"/>
      </w:r>
      <w:r>
        <w:rPr>
          <w:rFonts w:ascii="Times New Roman" w:hAnsi="Times New Roman" w:cs="Times New Roman"/>
          <w:sz w:val="24"/>
          <w:szCs w:val="24"/>
          <w:vertAlign w:val="baseline"/>
        </w:rPr>
        <w:t xml:space="preserve"> vulnerable children accused of witchcraft can be divided into three categories.</w:t>
      </w:r>
      <w:r w:rsidRPr="00EC775D">
        <w:rPr>
          <w:rFonts w:ascii="Times New Roman" w:hAnsi="Times New Roman" w:cs="Times New Roman"/>
          <w:sz w:val="24"/>
          <w:szCs w:val="24"/>
          <w:vertAlign w:val="baseline"/>
        </w:rPr>
        <w:t xml:space="preserve"> The first category is typically comprised of orphans, who have lost one or both natural parents, children with physical disabilities or abnormalities, those with a physical illness or children who are particularly gifted.</w:t>
      </w:r>
      <w:r>
        <w:rPr>
          <w:rFonts w:ascii="Times New Roman" w:hAnsi="Times New Roman" w:cs="Times New Roman"/>
          <w:sz w:val="24"/>
          <w:szCs w:val="24"/>
          <w:vertAlign w:val="baseline"/>
        </w:rPr>
        <w:t xml:space="preserve"> Children who demonstrate any ‘unusual behaviour’ such as stubbornness, aggressiveness or laziness are also grouped under this category.</w:t>
      </w:r>
      <w:r w:rsidRPr="00EC775D">
        <w:rPr>
          <w:rFonts w:ascii="Times New Roman" w:hAnsi="Times New Roman" w:cs="Times New Roman"/>
          <w:sz w:val="24"/>
          <w:szCs w:val="24"/>
        </w:rPr>
        <w:t xml:space="preserve"> </w:t>
      </w:r>
      <w:r w:rsidRPr="00EC775D">
        <w:rPr>
          <w:rFonts w:ascii="Times New Roman" w:hAnsi="Times New Roman" w:cs="Times New Roman"/>
          <w:sz w:val="24"/>
          <w:szCs w:val="24"/>
        </w:rPr>
        <w:footnoteReference w:id="293"/>
      </w:r>
      <w:r>
        <w:rPr>
          <w:rFonts w:ascii="Times New Roman" w:hAnsi="Times New Roman" w:cs="Times New Roman"/>
          <w:sz w:val="24"/>
          <w:szCs w:val="24"/>
        </w:rPr>
        <w:t xml:space="preserve"> </w:t>
      </w:r>
      <w:r>
        <w:rPr>
          <w:rFonts w:ascii="Times New Roman" w:hAnsi="Times New Roman" w:cs="Times New Roman"/>
          <w:sz w:val="24"/>
          <w:szCs w:val="24"/>
          <w:vertAlign w:val="baseline"/>
        </w:rPr>
        <w:t xml:space="preserve">The second category includes children whose birth is considered abnormal. </w:t>
      </w:r>
      <w:r w:rsidR="007D11E4" w:rsidRPr="00EC775D">
        <w:rPr>
          <w:rFonts w:ascii="Times New Roman" w:hAnsi="Times New Roman" w:cs="Times New Roman"/>
          <w:sz w:val="24"/>
          <w:szCs w:val="24"/>
          <w:vertAlign w:val="baseline"/>
        </w:rPr>
        <w:t>Children who have been born prematurely, or in a number of breech positions during delivery and twins, who are sometimes associated with the occult.</w:t>
      </w:r>
      <w:r w:rsidR="007D11E4" w:rsidRPr="00EC775D">
        <w:rPr>
          <w:rFonts w:ascii="Times New Roman" w:hAnsi="Times New Roman" w:cs="Times New Roman"/>
          <w:sz w:val="24"/>
          <w:szCs w:val="24"/>
        </w:rPr>
        <w:footnoteReference w:id="294"/>
      </w:r>
      <w:r w:rsidR="007D11E4" w:rsidRPr="00EC775D">
        <w:rPr>
          <w:rFonts w:ascii="Times New Roman" w:hAnsi="Times New Roman" w:cs="Times New Roman"/>
          <w:sz w:val="24"/>
          <w:szCs w:val="24"/>
          <w:vertAlign w:val="baseline"/>
        </w:rPr>
        <w:t xml:space="preserve"> The third category comprises of all children with albinism</w:t>
      </w:r>
      <w:r w:rsidR="00841AA3">
        <w:rPr>
          <w:rFonts w:ascii="Times New Roman" w:hAnsi="Times New Roman" w:cs="Times New Roman"/>
          <w:sz w:val="24"/>
          <w:szCs w:val="24"/>
          <w:vertAlign w:val="baseline"/>
        </w:rPr>
        <w:t xml:space="preserve">. </w:t>
      </w:r>
      <w:r w:rsidR="007D11E4" w:rsidRPr="00EC775D">
        <w:rPr>
          <w:rFonts w:ascii="Times New Roman" w:hAnsi="Times New Roman" w:cs="Times New Roman"/>
          <w:sz w:val="24"/>
          <w:szCs w:val="24"/>
          <w:vertAlign w:val="baseline"/>
        </w:rPr>
        <w:t xml:space="preserve">Thus, it would appear that the slightest ‘difference’ from what is considered to be ‘normal,’ within that particular society, </w:t>
      </w:r>
      <w:r w:rsidR="00A61A35" w:rsidRPr="00EC775D">
        <w:rPr>
          <w:rFonts w:ascii="Times New Roman" w:hAnsi="Times New Roman" w:cs="Times New Roman"/>
          <w:sz w:val="24"/>
          <w:szCs w:val="24"/>
          <w:vertAlign w:val="baseline"/>
        </w:rPr>
        <w:t>could</w:t>
      </w:r>
      <w:r w:rsidR="007D11E4" w:rsidRPr="00EC775D">
        <w:rPr>
          <w:rFonts w:ascii="Times New Roman" w:hAnsi="Times New Roman" w:cs="Times New Roman"/>
          <w:sz w:val="24"/>
          <w:szCs w:val="24"/>
          <w:vertAlign w:val="baseline"/>
        </w:rPr>
        <w:t xml:space="preserve"> constitute an accusation of witchcraft.</w:t>
      </w:r>
    </w:p>
    <w:p w14:paraId="77A87C1C" w14:textId="77777777" w:rsidR="00E27D75" w:rsidRDefault="00E27D75" w:rsidP="007E208E">
      <w:pPr>
        <w:spacing w:line="480" w:lineRule="auto"/>
        <w:jc w:val="both"/>
        <w:rPr>
          <w:rFonts w:ascii="Times New Roman" w:hAnsi="Times New Roman" w:cs="Times New Roman"/>
          <w:b/>
          <w:i/>
          <w:sz w:val="24"/>
          <w:szCs w:val="24"/>
          <w:vertAlign w:val="baseline"/>
        </w:rPr>
      </w:pPr>
    </w:p>
    <w:p w14:paraId="0155616A" w14:textId="77777777" w:rsidR="007E208E" w:rsidRDefault="007E208E" w:rsidP="007E208E">
      <w:pPr>
        <w:spacing w:line="480" w:lineRule="auto"/>
        <w:jc w:val="both"/>
        <w:rPr>
          <w:rFonts w:ascii="Times New Roman" w:hAnsi="Times New Roman" w:cs="Times New Roman"/>
          <w:b/>
          <w:i/>
          <w:sz w:val="24"/>
          <w:szCs w:val="24"/>
          <w:vertAlign w:val="baseline"/>
        </w:rPr>
      </w:pPr>
      <w:r w:rsidRPr="007E208E">
        <w:rPr>
          <w:rFonts w:ascii="Times New Roman" w:hAnsi="Times New Roman" w:cs="Times New Roman"/>
          <w:b/>
          <w:i/>
          <w:sz w:val="24"/>
          <w:szCs w:val="24"/>
          <w:vertAlign w:val="baseline"/>
        </w:rPr>
        <w:t>3</w:t>
      </w:r>
      <w:r w:rsidR="00E44993" w:rsidRPr="007E208E">
        <w:rPr>
          <w:rFonts w:ascii="Times New Roman" w:hAnsi="Times New Roman" w:cs="Times New Roman"/>
          <w:b/>
          <w:i/>
          <w:sz w:val="24"/>
          <w:szCs w:val="24"/>
          <w:vertAlign w:val="baseline"/>
        </w:rPr>
        <w:t xml:space="preserve">.5.2 </w:t>
      </w:r>
      <w:r w:rsidR="007D11E4" w:rsidRPr="007E208E">
        <w:rPr>
          <w:rFonts w:ascii="Times New Roman" w:hAnsi="Times New Roman" w:cs="Times New Roman"/>
          <w:b/>
          <w:i/>
          <w:sz w:val="24"/>
          <w:szCs w:val="24"/>
          <w:vertAlign w:val="baseline"/>
        </w:rPr>
        <w:t>People with Albinism</w:t>
      </w:r>
    </w:p>
    <w:p w14:paraId="5D74054D" w14:textId="333490CC" w:rsidR="007D11E4" w:rsidRPr="007E208E" w:rsidRDefault="007D11E4" w:rsidP="007E208E">
      <w:pPr>
        <w:spacing w:line="480" w:lineRule="auto"/>
        <w:ind w:firstLine="720"/>
        <w:jc w:val="both"/>
        <w:rPr>
          <w:rFonts w:ascii="Times New Roman" w:hAnsi="Times New Roman" w:cs="Times New Roman"/>
          <w:b/>
          <w:i/>
          <w:sz w:val="24"/>
          <w:szCs w:val="24"/>
          <w:vertAlign w:val="baseline"/>
        </w:rPr>
      </w:pPr>
      <w:r w:rsidRPr="007D11E4">
        <w:rPr>
          <w:rFonts w:ascii="Times New Roman" w:hAnsi="Times New Roman" w:cs="Times New Roman"/>
          <w:sz w:val="24"/>
          <w:szCs w:val="24"/>
          <w:vertAlign w:val="baseline"/>
        </w:rPr>
        <w:t>Albinism is the congenital absence of pigment in the skin and hair and eyes, due to the absence or defect of the pigment melanin.</w:t>
      </w:r>
      <w:r w:rsidRPr="007D11E4">
        <w:rPr>
          <w:rFonts w:ascii="Times New Roman" w:hAnsi="Times New Roman" w:cs="Times New Roman"/>
          <w:sz w:val="24"/>
          <w:szCs w:val="24"/>
        </w:rPr>
        <w:footnoteReference w:id="295"/>
      </w:r>
      <w:r w:rsidRPr="007D11E4">
        <w:rPr>
          <w:rFonts w:ascii="Times New Roman" w:hAnsi="Times New Roman" w:cs="Times New Roman"/>
          <w:sz w:val="24"/>
          <w:szCs w:val="24"/>
          <w:vertAlign w:val="baseline"/>
        </w:rPr>
        <w:t xml:space="preserve">  As noted by the charity Under the Same Sun,</w:t>
      </w:r>
      <w:r w:rsidRPr="007D11E4">
        <w:rPr>
          <w:rFonts w:ascii="Times New Roman" w:hAnsi="Times New Roman" w:cs="Times New Roman"/>
          <w:sz w:val="24"/>
          <w:szCs w:val="24"/>
        </w:rPr>
        <w:footnoteReference w:id="296"/>
      </w:r>
      <w:r w:rsidRPr="007D11E4">
        <w:rPr>
          <w:rFonts w:ascii="Times New Roman" w:hAnsi="Times New Roman" w:cs="Times New Roman"/>
          <w:sz w:val="24"/>
          <w:szCs w:val="24"/>
          <w:vertAlign w:val="baseline"/>
        </w:rPr>
        <w:t xml:space="preserve"> there is a strong belief, in Sub-Saharan Africa, particularly in Tanzania, that the body parts of people with albinism possess magical powers.</w:t>
      </w:r>
      <w:r w:rsidR="005F069C">
        <w:rPr>
          <w:rStyle w:val="FootnoteReference"/>
          <w:rFonts w:ascii="Times New Roman" w:hAnsi="Times New Roman" w:cs="Times New Roman"/>
          <w:sz w:val="24"/>
          <w:szCs w:val="24"/>
        </w:rPr>
        <w:footnoteReference w:id="297"/>
      </w:r>
      <w:r w:rsidRPr="007D11E4">
        <w:rPr>
          <w:rFonts w:ascii="Times New Roman" w:hAnsi="Times New Roman" w:cs="Times New Roman"/>
          <w:sz w:val="24"/>
          <w:szCs w:val="24"/>
          <w:vertAlign w:val="baseline"/>
        </w:rPr>
        <w:t xml:space="preserve"> Traditional healers and witchdoctors are understood to be the main propagators of such beliefs, as they consider the body parts of people with albinism, essential to their magical remedies. Termed ‘spare parts,’</w:t>
      </w:r>
      <w:r w:rsidRPr="007D11E4">
        <w:rPr>
          <w:rFonts w:ascii="Times New Roman" w:hAnsi="Times New Roman" w:cs="Times New Roman"/>
          <w:sz w:val="24"/>
          <w:szCs w:val="24"/>
        </w:rPr>
        <w:footnoteReference w:id="298"/>
      </w:r>
      <w:r w:rsidRPr="007D11E4">
        <w:rPr>
          <w:rFonts w:ascii="Times New Roman" w:hAnsi="Times New Roman" w:cs="Times New Roman"/>
          <w:sz w:val="24"/>
          <w:szCs w:val="24"/>
          <w:vertAlign w:val="baseline"/>
        </w:rPr>
        <w:t xml:space="preserve"> people with albinism are hunted, mutilated and often killed for specific body parts such as the skin, tongue, hands, ears, skull, heart and genital organs, which are commercially traded for use in magical potions and charms.</w:t>
      </w:r>
      <w:r w:rsidRPr="007D11E4">
        <w:rPr>
          <w:rFonts w:ascii="Times New Roman" w:hAnsi="Times New Roman" w:cs="Times New Roman"/>
          <w:sz w:val="24"/>
          <w:szCs w:val="24"/>
        </w:rPr>
        <w:footnoteReference w:id="299"/>
      </w:r>
      <w:r w:rsidRPr="007D11E4">
        <w:rPr>
          <w:rFonts w:ascii="Times New Roman" w:hAnsi="Times New Roman" w:cs="Times New Roman"/>
          <w:sz w:val="24"/>
          <w:szCs w:val="24"/>
          <w:vertAlign w:val="baseline"/>
        </w:rPr>
        <w:t xml:space="preserve"> As noted by Cimpric,</w:t>
      </w:r>
      <w:r w:rsidRPr="007D11E4">
        <w:rPr>
          <w:rFonts w:ascii="Times New Roman" w:hAnsi="Times New Roman" w:cs="Times New Roman"/>
          <w:sz w:val="24"/>
          <w:szCs w:val="24"/>
        </w:rPr>
        <w:footnoteReference w:id="300"/>
      </w:r>
      <w:r w:rsidRPr="007D11E4">
        <w:rPr>
          <w:rFonts w:ascii="Times New Roman" w:hAnsi="Times New Roman" w:cs="Times New Roman"/>
          <w:sz w:val="24"/>
          <w:szCs w:val="24"/>
          <w:vertAlign w:val="baseline"/>
        </w:rPr>
        <w:t xml:space="preserve"> ‘the ambivalent nature of albinos in current representations in sub-Saharan Africa inspires both fear and suspicion. Their white skin makes reference to Europeans and, consequently, “modern” material goods, and the world of spirits and witchcraft.’</w:t>
      </w:r>
      <w:r w:rsidRPr="007D11E4">
        <w:rPr>
          <w:rFonts w:ascii="Times New Roman" w:hAnsi="Times New Roman" w:cs="Times New Roman"/>
          <w:sz w:val="24"/>
          <w:szCs w:val="24"/>
        </w:rPr>
        <w:footnoteReference w:id="301"/>
      </w:r>
    </w:p>
    <w:p w14:paraId="46FC32A3" w14:textId="77777777" w:rsidR="007D11E4" w:rsidRPr="007D11E4" w:rsidRDefault="007D11E4" w:rsidP="007D11E4">
      <w:pPr>
        <w:spacing w:line="480" w:lineRule="auto"/>
        <w:ind w:firstLine="720"/>
        <w:jc w:val="both"/>
        <w:rPr>
          <w:rFonts w:ascii="Times New Roman" w:hAnsi="Times New Roman" w:cs="Times New Roman"/>
          <w:b/>
          <w:sz w:val="24"/>
          <w:szCs w:val="24"/>
          <w:u w:val="single"/>
          <w:vertAlign w:val="baseline"/>
        </w:rPr>
      </w:pPr>
    </w:p>
    <w:p w14:paraId="542F84FC" w14:textId="4BFF4154" w:rsidR="007D11E4" w:rsidRPr="007D11E4" w:rsidRDefault="007E208E" w:rsidP="001652AB">
      <w:pPr>
        <w:spacing w:line="480" w:lineRule="auto"/>
        <w:jc w:val="both"/>
        <w:rPr>
          <w:rFonts w:ascii="Times New Roman" w:hAnsi="Times New Roman" w:cs="Times New Roman"/>
          <w:b/>
          <w:sz w:val="24"/>
          <w:szCs w:val="24"/>
          <w:vertAlign w:val="baseline"/>
        </w:rPr>
      </w:pPr>
      <w:r>
        <w:rPr>
          <w:rFonts w:ascii="Times New Roman" w:hAnsi="Times New Roman" w:cs="Times New Roman"/>
          <w:b/>
          <w:sz w:val="24"/>
          <w:szCs w:val="24"/>
          <w:u w:val="single"/>
          <w:vertAlign w:val="baseline"/>
        </w:rPr>
        <w:t>3</w:t>
      </w:r>
      <w:r w:rsidR="001652AB">
        <w:rPr>
          <w:rFonts w:ascii="Times New Roman" w:hAnsi="Times New Roman" w:cs="Times New Roman"/>
          <w:b/>
          <w:sz w:val="24"/>
          <w:szCs w:val="24"/>
          <w:u w:val="single"/>
          <w:vertAlign w:val="baseline"/>
        </w:rPr>
        <w:t xml:space="preserve">.6 </w:t>
      </w:r>
      <w:r>
        <w:rPr>
          <w:rFonts w:ascii="Times New Roman" w:hAnsi="Times New Roman" w:cs="Times New Roman"/>
          <w:b/>
          <w:sz w:val="24"/>
          <w:szCs w:val="24"/>
          <w:u w:val="single"/>
          <w:vertAlign w:val="baseline"/>
        </w:rPr>
        <w:t>WITCHCRAFT ACCUSATIONS</w:t>
      </w:r>
      <w:r w:rsidR="007D11E4" w:rsidRPr="007D11E4">
        <w:rPr>
          <w:rFonts w:ascii="Times New Roman" w:hAnsi="Times New Roman" w:cs="Times New Roman"/>
          <w:b/>
          <w:sz w:val="24"/>
          <w:szCs w:val="24"/>
          <w:u w:val="single"/>
          <w:vertAlign w:val="baseline"/>
        </w:rPr>
        <w:t xml:space="preserve"> </w:t>
      </w:r>
    </w:p>
    <w:p w14:paraId="1C662CF3" w14:textId="77777777" w:rsidR="001E2EB3" w:rsidRDefault="007D11E4" w:rsidP="007D11E4">
      <w:pPr>
        <w:spacing w:line="480" w:lineRule="auto"/>
        <w:ind w:firstLine="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Witchcraft accusations often grow out of negative emotions and behaviour. Witchcraft becomes an explanation and also a justification for these feelings, making it easier to attribute blame, thus, removing responsibility for one’s own actions. In this way, witchcraft accusations become an extremely effective mechanism, or even a weapon, used to force individual members of society into a state of submissiveness.</w:t>
      </w:r>
      <w:r w:rsidRPr="007D11E4">
        <w:rPr>
          <w:rFonts w:ascii="Times New Roman" w:hAnsi="Times New Roman" w:cs="Times New Roman"/>
          <w:sz w:val="24"/>
          <w:szCs w:val="24"/>
        </w:rPr>
        <w:footnoteReference w:id="302"/>
      </w:r>
      <w:r w:rsidRPr="007D11E4">
        <w:rPr>
          <w:rFonts w:ascii="Times New Roman" w:hAnsi="Times New Roman" w:cs="Times New Roman"/>
          <w:sz w:val="24"/>
          <w:szCs w:val="24"/>
          <w:vertAlign w:val="baseline"/>
        </w:rPr>
        <w:t xml:space="preserve"> </w:t>
      </w:r>
      <w:r w:rsidR="00425BE1" w:rsidRPr="007D11E4">
        <w:rPr>
          <w:rFonts w:ascii="Times New Roman" w:hAnsi="Times New Roman" w:cs="Times New Roman"/>
          <w:sz w:val="24"/>
          <w:szCs w:val="24"/>
          <w:vertAlign w:val="baseline"/>
        </w:rPr>
        <w:t>Witchcraft</w:t>
      </w:r>
      <w:r w:rsidRPr="007D11E4">
        <w:rPr>
          <w:rFonts w:ascii="Times New Roman" w:hAnsi="Times New Roman" w:cs="Times New Roman"/>
          <w:sz w:val="24"/>
          <w:szCs w:val="24"/>
          <w:vertAlign w:val="baseline"/>
        </w:rPr>
        <w:t xml:space="preserve"> is a way to exert power and control over people, in order to force them, out of fear, to adhere to societal, conventional and religious norms. Accordingly, all members of society are vulnerable to witchcraft allegations. However, as discussed later on, it has become clear that women are more susceptible to such accusations. Thus, within patriarchal societies, witchcraft beliefs become the perfect marginalisation mechanism used in the regulation of women. Often, the belief </w:t>
      </w:r>
      <w:r w:rsidRPr="007D11E4">
        <w:rPr>
          <w:rFonts w:ascii="Times New Roman" w:hAnsi="Times New Roman" w:cs="Times New Roman"/>
          <w:i/>
          <w:sz w:val="24"/>
          <w:szCs w:val="24"/>
          <w:vertAlign w:val="baseline"/>
        </w:rPr>
        <w:t>per se,</w:t>
      </w:r>
      <w:r w:rsidRPr="007D11E4">
        <w:rPr>
          <w:rFonts w:ascii="Times New Roman" w:hAnsi="Times New Roman" w:cs="Times New Roman"/>
          <w:sz w:val="24"/>
          <w:szCs w:val="24"/>
          <w:vertAlign w:val="baseline"/>
        </w:rPr>
        <w:t xml:space="preserve"> and the fear stemming from possible consequences of non-conformity, can be enough to regulate conduct within societies. </w:t>
      </w:r>
    </w:p>
    <w:p w14:paraId="59E07AC9" w14:textId="77777777" w:rsidR="001E2EB3" w:rsidRDefault="001E2EB3" w:rsidP="007D11E4">
      <w:pPr>
        <w:spacing w:line="480" w:lineRule="auto"/>
        <w:ind w:firstLine="720"/>
        <w:jc w:val="both"/>
        <w:rPr>
          <w:rFonts w:ascii="Times New Roman" w:hAnsi="Times New Roman" w:cs="Times New Roman"/>
          <w:sz w:val="24"/>
          <w:szCs w:val="24"/>
          <w:vertAlign w:val="baseline"/>
        </w:rPr>
      </w:pPr>
    </w:p>
    <w:p w14:paraId="13D35D12" w14:textId="77777777" w:rsidR="001E2EB3" w:rsidRDefault="007D11E4" w:rsidP="007D11E4">
      <w:pPr>
        <w:spacing w:line="480" w:lineRule="auto"/>
        <w:ind w:firstLine="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What people believe can shape the way in which they perceive the world. Through the art of social interaction, people will often discuss and judge others based on their outlook of the world. Witchcraft flourishes through such social interaction. Gossip and suspicion underpin the witchcraft discourse, thus, making witchcraft a self-perpetuating discourse. A negligible indication or whisper can lead to a succession of accusations. It is not uncommon for the witchcraft discourse to remain hidden, building up secret momentum via the spreading of rumours, until its entry into the public domain, whereby this time it has gathered enough communal uproar to publicly accuse and condemn an ‘alleged’ witch to their fate.</w:t>
      </w:r>
      <w:r w:rsidRPr="007D11E4">
        <w:rPr>
          <w:rFonts w:ascii="Times New Roman" w:hAnsi="Times New Roman" w:cs="Times New Roman"/>
          <w:sz w:val="24"/>
          <w:szCs w:val="24"/>
        </w:rPr>
        <w:footnoteReference w:id="303"/>
      </w:r>
      <w:r w:rsidRPr="007D11E4">
        <w:rPr>
          <w:rFonts w:ascii="Times New Roman" w:hAnsi="Times New Roman" w:cs="Times New Roman"/>
          <w:sz w:val="24"/>
          <w:szCs w:val="24"/>
          <w:vertAlign w:val="baseline"/>
        </w:rPr>
        <w:t xml:space="preserve"> Now, the belief in witchcraft, takes the tangible form of an accusation. Thus, it is not the belief </w:t>
      </w:r>
      <w:r w:rsidRPr="007D11E4">
        <w:rPr>
          <w:rFonts w:ascii="Times New Roman" w:hAnsi="Times New Roman" w:cs="Times New Roman"/>
          <w:i/>
          <w:sz w:val="24"/>
          <w:szCs w:val="24"/>
          <w:vertAlign w:val="baseline"/>
        </w:rPr>
        <w:t>per se</w:t>
      </w:r>
      <w:r w:rsidRPr="007D11E4">
        <w:rPr>
          <w:rFonts w:ascii="Times New Roman" w:hAnsi="Times New Roman" w:cs="Times New Roman"/>
          <w:sz w:val="24"/>
          <w:szCs w:val="24"/>
          <w:vertAlign w:val="baseline"/>
        </w:rPr>
        <w:t xml:space="preserve"> that condemns the </w:t>
      </w:r>
      <w:r w:rsidR="00425BE1" w:rsidRPr="007D11E4">
        <w:rPr>
          <w:rFonts w:ascii="Times New Roman" w:hAnsi="Times New Roman" w:cs="Times New Roman"/>
          <w:sz w:val="24"/>
          <w:szCs w:val="24"/>
          <w:vertAlign w:val="baseline"/>
        </w:rPr>
        <w:t>witch;</w:t>
      </w:r>
      <w:r w:rsidRPr="007D11E4">
        <w:rPr>
          <w:rFonts w:ascii="Times New Roman" w:hAnsi="Times New Roman" w:cs="Times New Roman"/>
          <w:sz w:val="24"/>
          <w:szCs w:val="24"/>
          <w:vertAlign w:val="baseline"/>
        </w:rPr>
        <w:t xml:space="preserve"> it is the accusation that ultimately leads to the demise of the victim. As expressed by Favret-Saada, ‘now, witchcraft is spoken words; but these spoken words are power, and not knowledge or information … in witchcraft, words wage war.’</w:t>
      </w:r>
      <w:r w:rsidRPr="007D11E4">
        <w:rPr>
          <w:rFonts w:ascii="Times New Roman" w:hAnsi="Times New Roman" w:cs="Times New Roman"/>
          <w:sz w:val="24"/>
          <w:szCs w:val="24"/>
        </w:rPr>
        <w:footnoteReference w:id="304"/>
      </w:r>
      <w:r w:rsidRPr="007D11E4">
        <w:rPr>
          <w:rFonts w:ascii="Times New Roman" w:hAnsi="Times New Roman" w:cs="Times New Roman"/>
          <w:sz w:val="24"/>
          <w:szCs w:val="24"/>
          <w:vertAlign w:val="baseline"/>
        </w:rPr>
        <w:t xml:space="preserve"> </w:t>
      </w:r>
    </w:p>
    <w:p w14:paraId="37F9430A" w14:textId="77777777" w:rsidR="001E2EB3" w:rsidRDefault="001E2EB3" w:rsidP="007D11E4">
      <w:pPr>
        <w:spacing w:line="480" w:lineRule="auto"/>
        <w:ind w:firstLine="720"/>
        <w:jc w:val="both"/>
        <w:rPr>
          <w:rFonts w:ascii="Times New Roman" w:hAnsi="Times New Roman" w:cs="Times New Roman"/>
          <w:sz w:val="24"/>
          <w:szCs w:val="24"/>
          <w:vertAlign w:val="baseline"/>
        </w:rPr>
      </w:pPr>
    </w:p>
    <w:p w14:paraId="2C0B3AB7" w14:textId="0BCB3C4D" w:rsidR="00480341" w:rsidRDefault="007D11E4" w:rsidP="00EB2500">
      <w:pPr>
        <w:spacing w:line="480" w:lineRule="auto"/>
        <w:ind w:firstLine="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The witchcraft discourse is fool proof; it cannot be negated once the process is underway as no counter evidence is allowed.</w:t>
      </w:r>
      <w:r w:rsidRPr="007D11E4">
        <w:rPr>
          <w:rFonts w:ascii="Times New Roman" w:hAnsi="Times New Roman" w:cs="Times New Roman"/>
          <w:sz w:val="24"/>
          <w:szCs w:val="24"/>
        </w:rPr>
        <w:footnoteReference w:id="305"/>
      </w:r>
      <w:r w:rsidRPr="007D11E4">
        <w:rPr>
          <w:rFonts w:ascii="Times New Roman" w:hAnsi="Times New Roman" w:cs="Times New Roman"/>
          <w:sz w:val="24"/>
          <w:szCs w:val="24"/>
          <w:vertAlign w:val="baseline"/>
        </w:rPr>
        <w:t xml:space="preserve"> Any evidence to the contrary is reinterpreted and, consequently, ascribed to supernatural activity. No reasoning or reflection is </w:t>
      </w:r>
      <w:r w:rsidR="00C755AC" w:rsidRPr="007D11E4">
        <w:rPr>
          <w:rFonts w:ascii="Times New Roman" w:hAnsi="Times New Roman" w:cs="Times New Roman"/>
          <w:sz w:val="24"/>
          <w:szCs w:val="24"/>
          <w:vertAlign w:val="baseline"/>
        </w:rPr>
        <w:t>required,</w:t>
      </w:r>
      <w:r w:rsidRPr="007D11E4">
        <w:rPr>
          <w:rFonts w:ascii="Times New Roman" w:hAnsi="Times New Roman" w:cs="Times New Roman"/>
          <w:sz w:val="24"/>
          <w:szCs w:val="24"/>
          <w:vertAlign w:val="baseline"/>
        </w:rPr>
        <w:t xml:space="preserve"> as the witchcraft discourse remains resistant to logic. It is also extremely malleable, adjusting and adapting to new environments, circumstances and changes in society.</w:t>
      </w:r>
      <w:r w:rsidRPr="007D11E4">
        <w:rPr>
          <w:rFonts w:ascii="Times New Roman" w:hAnsi="Times New Roman" w:cs="Times New Roman"/>
          <w:sz w:val="24"/>
          <w:szCs w:val="24"/>
        </w:rPr>
        <w:footnoteReference w:id="306"/>
      </w:r>
      <w:r w:rsidRPr="007D11E4">
        <w:rPr>
          <w:rFonts w:ascii="Times New Roman" w:hAnsi="Times New Roman" w:cs="Times New Roman"/>
          <w:sz w:val="24"/>
          <w:szCs w:val="24"/>
          <w:vertAlign w:val="baseline"/>
        </w:rPr>
        <w:t xml:space="preserve"> Furthermore, the discourse prohibits dissidence; for those who may attempt to challenge the accusation, more often than not, they too will find themselves at the unfortunate end of an accusation. As observed by van Beek,</w:t>
      </w:r>
      <w:r w:rsidR="00527C40" w:rsidRPr="007D11E4">
        <w:rPr>
          <w:rFonts w:ascii="Times New Roman" w:hAnsi="Times New Roman" w:cs="Times New Roman"/>
          <w:sz w:val="24"/>
          <w:szCs w:val="24"/>
          <w:vertAlign w:val="baseline"/>
        </w:rPr>
        <w:t xml:space="preserve"> </w:t>
      </w:r>
      <w:r w:rsidRPr="007D11E4">
        <w:rPr>
          <w:rFonts w:ascii="Times New Roman" w:hAnsi="Times New Roman" w:cs="Times New Roman"/>
          <w:sz w:val="24"/>
          <w:szCs w:val="24"/>
          <w:vertAlign w:val="baseline"/>
        </w:rPr>
        <w:t>‘whoever denies witchcraft must surely be a witch.’</w:t>
      </w:r>
      <w:r w:rsidRPr="007D11E4">
        <w:rPr>
          <w:rFonts w:ascii="Times New Roman" w:hAnsi="Times New Roman" w:cs="Times New Roman"/>
          <w:sz w:val="24"/>
          <w:szCs w:val="24"/>
        </w:rPr>
        <w:footnoteReference w:id="307"/>
      </w:r>
      <w:r w:rsidRPr="007D11E4">
        <w:rPr>
          <w:rFonts w:ascii="Times New Roman" w:hAnsi="Times New Roman" w:cs="Times New Roman"/>
          <w:sz w:val="24"/>
          <w:szCs w:val="24"/>
          <w:vertAlign w:val="baseline"/>
        </w:rPr>
        <w:t xml:space="preserve"> Once someone is accused of being a witch, the stigma is not only permanent, but, ultimately, life-changing. The subsequent section will discuss the motivating and driving forces behind witchcraft accusations. It will examine the relationship between the accused and the accuser, before exploring the motive behind an accusation. Finally, it will examine the intensification of witchcraft accusations.</w:t>
      </w:r>
    </w:p>
    <w:p w14:paraId="0ED50674" w14:textId="77777777" w:rsidR="00EB2500" w:rsidRPr="007D11E4" w:rsidRDefault="00EB2500" w:rsidP="00EB2500">
      <w:pPr>
        <w:spacing w:line="480" w:lineRule="auto"/>
        <w:ind w:firstLine="720"/>
        <w:jc w:val="both"/>
        <w:rPr>
          <w:rFonts w:ascii="Times New Roman" w:hAnsi="Times New Roman" w:cs="Times New Roman"/>
          <w:sz w:val="24"/>
          <w:szCs w:val="24"/>
          <w:vertAlign w:val="baseline"/>
        </w:rPr>
      </w:pPr>
    </w:p>
    <w:p w14:paraId="5EE22C14" w14:textId="750130EA" w:rsidR="001E2EB3" w:rsidRPr="000A6E6D" w:rsidRDefault="000A6E6D" w:rsidP="001E2EB3">
      <w:pPr>
        <w:spacing w:line="480" w:lineRule="auto"/>
        <w:jc w:val="both"/>
        <w:rPr>
          <w:rFonts w:ascii="Times New Roman" w:hAnsi="Times New Roman" w:cs="Times New Roman"/>
          <w:b/>
          <w:i/>
          <w:sz w:val="24"/>
          <w:szCs w:val="24"/>
          <w:vertAlign w:val="baseline"/>
        </w:rPr>
      </w:pPr>
      <w:r w:rsidRPr="000A6E6D">
        <w:rPr>
          <w:rFonts w:ascii="Times New Roman" w:hAnsi="Times New Roman" w:cs="Times New Roman"/>
          <w:b/>
          <w:i/>
          <w:sz w:val="24"/>
          <w:szCs w:val="24"/>
          <w:vertAlign w:val="baseline"/>
        </w:rPr>
        <w:t>3</w:t>
      </w:r>
      <w:r w:rsidR="00527C40" w:rsidRPr="000A6E6D">
        <w:rPr>
          <w:rFonts w:ascii="Times New Roman" w:hAnsi="Times New Roman" w:cs="Times New Roman"/>
          <w:b/>
          <w:i/>
          <w:sz w:val="24"/>
          <w:szCs w:val="24"/>
          <w:vertAlign w:val="baseline"/>
        </w:rPr>
        <w:t xml:space="preserve">.6.1 </w:t>
      </w:r>
      <w:r>
        <w:rPr>
          <w:rFonts w:ascii="Times New Roman" w:hAnsi="Times New Roman" w:cs="Times New Roman"/>
          <w:b/>
          <w:i/>
          <w:sz w:val="24"/>
          <w:szCs w:val="24"/>
          <w:vertAlign w:val="baseline"/>
        </w:rPr>
        <w:t>T</w:t>
      </w:r>
      <w:r w:rsidRPr="000A6E6D">
        <w:rPr>
          <w:rFonts w:ascii="Times New Roman" w:hAnsi="Times New Roman" w:cs="Times New Roman"/>
          <w:b/>
          <w:i/>
          <w:sz w:val="24"/>
          <w:szCs w:val="24"/>
          <w:vertAlign w:val="baseline"/>
        </w:rPr>
        <w:t>he</w:t>
      </w:r>
      <w:r>
        <w:rPr>
          <w:rFonts w:ascii="Times New Roman" w:hAnsi="Times New Roman" w:cs="Times New Roman"/>
          <w:b/>
          <w:i/>
          <w:sz w:val="24"/>
          <w:szCs w:val="24"/>
          <w:vertAlign w:val="baseline"/>
        </w:rPr>
        <w:t xml:space="preserve"> A</w:t>
      </w:r>
      <w:r w:rsidR="007D11E4" w:rsidRPr="000A6E6D">
        <w:rPr>
          <w:rFonts w:ascii="Times New Roman" w:hAnsi="Times New Roman" w:cs="Times New Roman"/>
          <w:b/>
          <w:i/>
          <w:sz w:val="24"/>
          <w:szCs w:val="24"/>
          <w:vertAlign w:val="baseline"/>
        </w:rPr>
        <w:t>ccused</w:t>
      </w:r>
    </w:p>
    <w:p w14:paraId="4D6C0548" w14:textId="3456DC9C" w:rsidR="007D11E4" w:rsidRDefault="007D11E4" w:rsidP="001E2EB3">
      <w:pPr>
        <w:spacing w:line="480" w:lineRule="auto"/>
        <w:ind w:firstLine="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One of the most significant features of the sociology of witchcraft accusations is the intimate relationship betwe</w:t>
      </w:r>
      <w:r w:rsidR="00140B85">
        <w:rPr>
          <w:rFonts w:ascii="Times New Roman" w:hAnsi="Times New Roman" w:cs="Times New Roman"/>
          <w:sz w:val="24"/>
          <w:szCs w:val="24"/>
          <w:vertAlign w:val="baseline"/>
        </w:rPr>
        <w:t>en the accused and the accuser</w:t>
      </w:r>
      <w:r w:rsidRPr="007D11E4">
        <w:rPr>
          <w:rFonts w:ascii="Times New Roman" w:hAnsi="Times New Roman" w:cs="Times New Roman"/>
          <w:sz w:val="24"/>
          <w:szCs w:val="24"/>
          <w:vertAlign w:val="baseline"/>
        </w:rPr>
        <w:t>,</w:t>
      </w:r>
      <w:r w:rsidRPr="007D11E4">
        <w:rPr>
          <w:rFonts w:ascii="Times New Roman" w:hAnsi="Times New Roman" w:cs="Times New Roman"/>
          <w:sz w:val="24"/>
          <w:szCs w:val="24"/>
        </w:rPr>
        <w:footnoteReference w:id="308"/>
      </w:r>
      <w:r w:rsidRPr="007D11E4">
        <w:rPr>
          <w:rFonts w:ascii="Times New Roman" w:hAnsi="Times New Roman" w:cs="Times New Roman"/>
          <w:sz w:val="24"/>
          <w:szCs w:val="24"/>
          <w:vertAlign w:val="baseline"/>
        </w:rPr>
        <w:t xml:space="preserve"> aptly described by Van Beek, as the ‘terror of closeness.’</w:t>
      </w:r>
      <w:r w:rsidRPr="007D11E4">
        <w:rPr>
          <w:rFonts w:ascii="Times New Roman" w:hAnsi="Times New Roman" w:cs="Times New Roman"/>
          <w:sz w:val="24"/>
          <w:szCs w:val="24"/>
        </w:rPr>
        <w:footnoteReference w:id="309"/>
      </w:r>
      <w:r w:rsidRPr="007D11E4">
        <w:rPr>
          <w:rFonts w:ascii="Times New Roman" w:hAnsi="Times New Roman" w:cs="Times New Roman"/>
          <w:sz w:val="24"/>
          <w:szCs w:val="24"/>
          <w:vertAlign w:val="baseline"/>
        </w:rPr>
        <w:t xml:space="preserve"> He observes,</w:t>
      </w:r>
    </w:p>
    <w:p w14:paraId="45D85AB8" w14:textId="77777777" w:rsidR="00480341" w:rsidRPr="001E2EB3" w:rsidRDefault="00480341" w:rsidP="001E2EB3">
      <w:pPr>
        <w:spacing w:line="480" w:lineRule="auto"/>
        <w:ind w:firstLine="720"/>
        <w:jc w:val="both"/>
        <w:rPr>
          <w:rFonts w:ascii="Times New Roman" w:hAnsi="Times New Roman" w:cs="Times New Roman"/>
          <w:b/>
          <w:sz w:val="24"/>
          <w:szCs w:val="24"/>
          <w:u w:val="single"/>
          <w:vertAlign w:val="baseline"/>
        </w:rPr>
      </w:pPr>
    </w:p>
    <w:p w14:paraId="44136C14" w14:textId="77777777" w:rsidR="007D11E4" w:rsidRPr="007D11E4" w:rsidRDefault="007D11E4" w:rsidP="003C4FD4">
      <w:pPr>
        <w:spacing w:line="480" w:lineRule="auto"/>
        <w:ind w:left="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In the blaze of accusations, any close relationship seems prone to witchcraft accusations. Anyone may find him or herself being accused of witchcraft. In these situations the terror of closeness means that no close relationship is exempt, and every relationship is suspect.</w:t>
      </w:r>
      <w:r w:rsidRPr="007D11E4">
        <w:rPr>
          <w:rFonts w:ascii="Times New Roman" w:hAnsi="Times New Roman" w:cs="Times New Roman"/>
          <w:sz w:val="24"/>
          <w:szCs w:val="24"/>
        </w:rPr>
        <w:footnoteReference w:id="310"/>
      </w:r>
      <w:r w:rsidRPr="007D11E4">
        <w:rPr>
          <w:rFonts w:ascii="Times New Roman" w:hAnsi="Times New Roman" w:cs="Times New Roman"/>
          <w:sz w:val="24"/>
          <w:szCs w:val="24"/>
          <w:vertAlign w:val="baseline"/>
        </w:rPr>
        <w:t xml:space="preserve"> </w:t>
      </w:r>
    </w:p>
    <w:p w14:paraId="38261BB3" w14:textId="77777777" w:rsidR="007D11E4" w:rsidRPr="007D11E4" w:rsidRDefault="007D11E4" w:rsidP="007D11E4">
      <w:pPr>
        <w:spacing w:line="480" w:lineRule="auto"/>
        <w:ind w:firstLine="720"/>
        <w:jc w:val="both"/>
        <w:rPr>
          <w:rFonts w:ascii="Times New Roman" w:hAnsi="Times New Roman" w:cs="Times New Roman"/>
          <w:sz w:val="24"/>
          <w:szCs w:val="24"/>
          <w:vertAlign w:val="baseline"/>
        </w:rPr>
      </w:pPr>
    </w:p>
    <w:p w14:paraId="2901731A" w14:textId="27812E7D" w:rsidR="007D11E4" w:rsidRDefault="007D11E4" w:rsidP="007D11E4">
      <w:pPr>
        <w:spacing w:line="480" w:lineRule="auto"/>
        <w:ind w:firstLine="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 xml:space="preserve">The witchcraft discourse is, in fact, the reverse model of kinship and family intimacy commonly portrayed to be central to all societies. Within this model, the enemy lies </w:t>
      </w:r>
      <w:r w:rsidR="005B61DE" w:rsidRPr="007D11E4">
        <w:rPr>
          <w:rFonts w:ascii="Times New Roman" w:hAnsi="Times New Roman" w:cs="Times New Roman"/>
          <w:sz w:val="24"/>
          <w:szCs w:val="24"/>
          <w:vertAlign w:val="baseline"/>
        </w:rPr>
        <w:t>within;</w:t>
      </w:r>
      <w:r w:rsidRPr="007D11E4">
        <w:rPr>
          <w:rFonts w:ascii="Times New Roman" w:hAnsi="Times New Roman" w:cs="Times New Roman"/>
          <w:sz w:val="24"/>
          <w:szCs w:val="24"/>
          <w:vertAlign w:val="baseline"/>
        </w:rPr>
        <w:t xml:space="preserve"> accusations typically transpire within the context of relational issues, creating deep rifts within families and the community as a whole. One of the key issues within such </w:t>
      </w:r>
      <w:r w:rsidR="001A3A59" w:rsidRPr="007D11E4">
        <w:rPr>
          <w:rFonts w:ascii="Times New Roman" w:hAnsi="Times New Roman" w:cs="Times New Roman"/>
          <w:sz w:val="24"/>
          <w:szCs w:val="24"/>
          <w:vertAlign w:val="baseline"/>
        </w:rPr>
        <w:t>relationships</w:t>
      </w:r>
      <w:r w:rsidRPr="007D11E4">
        <w:rPr>
          <w:rFonts w:ascii="Times New Roman" w:hAnsi="Times New Roman" w:cs="Times New Roman"/>
          <w:sz w:val="24"/>
          <w:szCs w:val="24"/>
          <w:vertAlign w:val="baseline"/>
        </w:rPr>
        <w:t xml:space="preserve"> is the endurance and timelessness of witchcraft accusations. Underlying problems</w:t>
      </w:r>
      <w:r w:rsidR="001A3A59">
        <w:rPr>
          <w:rFonts w:ascii="Times New Roman" w:hAnsi="Times New Roman" w:cs="Times New Roman"/>
          <w:sz w:val="24"/>
          <w:szCs w:val="24"/>
          <w:vertAlign w:val="baseline"/>
        </w:rPr>
        <w:t>, which have remained sedentary</w:t>
      </w:r>
      <w:r w:rsidRPr="007D11E4">
        <w:rPr>
          <w:rFonts w:ascii="Times New Roman" w:hAnsi="Times New Roman" w:cs="Times New Roman"/>
          <w:sz w:val="24"/>
          <w:szCs w:val="24"/>
          <w:vertAlign w:val="baseline"/>
        </w:rPr>
        <w:t xml:space="preserve"> for many years</w:t>
      </w:r>
      <w:r w:rsidR="001A3A59">
        <w:rPr>
          <w:rFonts w:ascii="Times New Roman" w:hAnsi="Times New Roman" w:cs="Times New Roman"/>
          <w:sz w:val="24"/>
          <w:szCs w:val="24"/>
          <w:vertAlign w:val="baseline"/>
        </w:rPr>
        <w:t>,</w:t>
      </w:r>
      <w:r w:rsidRPr="007D11E4">
        <w:rPr>
          <w:rFonts w:ascii="Times New Roman" w:hAnsi="Times New Roman" w:cs="Times New Roman"/>
          <w:sz w:val="24"/>
          <w:szCs w:val="24"/>
          <w:vertAlign w:val="baseline"/>
        </w:rPr>
        <w:t xml:space="preserve"> can re-emerge at the slightest mishap, giving rise to an accusation of witchcraft. Thus, witchcraft </w:t>
      </w:r>
      <w:r w:rsidR="005B61DE" w:rsidRPr="007D11E4">
        <w:rPr>
          <w:rFonts w:ascii="Times New Roman" w:hAnsi="Times New Roman" w:cs="Times New Roman"/>
          <w:sz w:val="24"/>
          <w:szCs w:val="24"/>
          <w:vertAlign w:val="baseline"/>
        </w:rPr>
        <w:t>accusations</w:t>
      </w:r>
      <w:r w:rsidRPr="007D11E4">
        <w:rPr>
          <w:rFonts w:ascii="Times New Roman" w:hAnsi="Times New Roman" w:cs="Times New Roman"/>
          <w:sz w:val="24"/>
          <w:szCs w:val="24"/>
          <w:vertAlign w:val="baseline"/>
        </w:rPr>
        <w:t xml:space="preserve"> never disappear. They remain in the ambiance of society, ready for revival in an instant.</w:t>
      </w:r>
    </w:p>
    <w:p w14:paraId="4F8EF4A5" w14:textId="77777777" w:rsidR="005B61DE" w:rsidRPr="007D11E4" w:rsidRDefault="005B61DE" w:rsidP="007D11E4">
      <w:pPr>
        <w:spacing w:line="480" w:lineRule="auto"/>
        <w:ind w:firstLine="720"/>
        <w:jc w:val="both"/>
        <w:rPr>
          <w:rFonts w:ascii="Times New Roman" w:hAnsi="Times New Roman" w:cs="Times New Roman"/>
          <w:sz w:val="24"/>
          <w:szCs w:val="24"/>
          <w:vertAlign w:val="baseline"/>
        </w:rPr>
      </w:pPr>
    </w:p>
    <w:p w14:paraId="37A97474" w14:textId="13762564" w:rsidR="007D11E4" w:rsidRPr="003C4FD4" w:rsidRDefault="003C4FD4" w:rsidP="005B61DE">
      <w:pPr>
        <w:spacing w:line="480" w:lineRule="auto"/>
        <w:jc w:val="both"/>
        <w:rPr>
          <w:rFonts w:ascii="Times New Roman" w:hAnsi="Times New Roman" w:cs="Times New Roman"/>
          <w:b/>
          <w:i/>
          <w:sz w:val="24"/>
          <w:szCs w:val="24"/>
          <w:vertAlign w:val="baseline"/>
        </w:rPr>
      </w:pPr>
      <w:r>
        <w:rPr>
          <w:rFonts w:ascii="Times New Roman" w:hAnsi="Times New Roman" w:cs="Times New Roman"/>
          <w:b/>
          <w:i/>
          <w:sz w:val="24"/>
          <w:szCs w:val="24"/>
          <w:vertAlign w:val="baseline"/>
        </w:rPr>
        <w:t>3</w:t>
      </w:r>
      <w:r w:rsidR="005B61DE" w:rsidRPr="003C4FD4">
        <w:rPr>
          <w:rFonts w:ascii="Times New Roman" w:hAnsi="Times New Roman" w:cs="Times New Roman"/>
          <w:b/>
          <w:i/>
          <w:sz w:val="24"/>
          <w:szCs w:val="24"/>
          <w:vertAlign w:val="baseline"/>
        </w:rPr>
        <w:t xml:space="preserve">.6.2 </w:t>
      </w:r>
      <w:r w:rsidR="007D11E4" w:rsidRPr="003C4FD4">
        <w:rPr>
          <w:rFonts w:ascii="Times New Roman" w:hAnsi="Times New Roman" w:cs="Times New Roman"/>
          <w:b/>
          <w:i/>
          <w:sz w:val="24"/>
          <w:szCs w:val="24"/>
          <w:vertAlign w:val="baseline"/>
        </w:rPr>
        <w:t>Motive</w:t>
      </w:r>
    </w:p>
    <w:p w14:paraId="7AE54EF8" w14:textId="0F5BE37A" w:rsidR="007D11E4" w:rsidRDefault="007D11E4" w:rsidP="007D11E4">
      <w:pPr>
        <w:spacing w:line="480" w:lineRule="auto"/>
        <w:ind w:firstLine="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 xml:space="preserve">Witchcraft accusations are triggered by various factors. Poverty, unsuccessful relationships and human emotion are often the main sources of an accusation. Kgatla proposes that poverty is the dominant factor that favours the escalation of witchcraft accusations, </w:t>
      </w:r>
    </w:p>
    <w:p w14:paraId="181D1CF6" w14:textId="77777777" w:rsidR="00480341" w:rsidRPr="007D11E4" w:rsidRDefault="00480341" w:rsidP="007D11E4">
      <w:pPr>
        <w:spacing w:line="480" w:lineRule="auto"/>
        <w:ind w:firstLine="720"/>
        <w:jc w:val="both"/>
        <w:rPr>
          <w:rFonts w:ascii="Times New Roman" w:hAnsi="Times New Roman" w:cs="Times New Roman"/>
          <w:sz w:val="24"/>
          <w:szCs w:val="24"/>
          <w:vertAlign w:val="baseline"/>
        </w:rPr>
      </w:pPr>
    </w:p>
    <w:p w14:paraId="4A136F36" w14:textId="759D3F90" w:rsidR="007D11E4" w:rsidRPr="007D11E4" w:rsidRDefault="007D11E4" w:rsidP="000C674C">
      <w:pPr>
        <w:spacing w:line="480" w:lineRule="auto"/>
        <w:ind w:left="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Having no say in matters affecting them directly, poor people fall victim to the circumstances and tend to rely on mystical forces for their protection and prediction of the future</w:t>
      </w:r>
      <w:r w:rsidR="007E34E6">
        <w:rPr>
          <w:rFonts w:ascii="Times New Roman" w:hAnsi="Times New Roman" w:cs="Times New Roman"/>
          <w:sz w:val="24"/>
          <w:szCs w:val="24"/>
          <w:vertAlign w:val="baseline"/>
        </w:rPr>
        <w:t xml:space="preserve"> </w:t>
      </w:r>
      <w:r w:rsidRPr="007D11E4">
        <w:rPr>
          <w:rFonts w:ascii="Times New Roman" w:hAnsi="Times New Roman" w:cs="Times New Roman"/>
          <w:sz w:val="24"/>
          <w:szCs w:val="24"/>
          <w:vertAlign w:val="baseline"/>
        </w:rPr>
        <w:t>…</w:t>
      </w:r>
      <w:r w:rsidR="007E34E6">
        <w:rPr>
          <w:rFonts w:ascii="Times New Roman" w:hAnsi="Times New Roman" w:cs="Times New Roman"/>
          <w:sz w:val="24"/>
          <w:szCs w:val="24"/>
          <w:vertAlign w:val="baseline"/>
        </w:rPr>
        <w:t xml:space="preserve"> </w:t>
      </w:r>
      <w:r w:rsidRPr="007D11E4">
        <w:rPr>
          <w:rFonts w:ascii="Times New Roman" w:hAnsi="Times New Roman" w:cs="Times New Roman"/>
          <w:sz w:val="24"/>
          <w:szCs w:val="24"/>
          <w:vertAlign w:val="baseline"/>
        </w:rPr>
        <w:t>Poverty engenders conditions of squalor and poor health, incurable diseases, disintegration of community norms and religious fanaticism. The effects of these social conditions include a mistrust of people whose lives depend on the trust of others.</w:t>
      </w:r>
      <w:r w:rsidRPr="007D11E4">
        <w:rPr>
          <w:rFonts w:ascii="Times New Roman" w:hAnsi="Times New Roman" w:cs="Times New Roman"/>
          <w:sz w:val="24"/>
          <w:szCs w:val="24"/>
        </w:rPr>
        <w:footnoteReference w:id="311"/>
      </w:r>
    </w:p>
    <w:p w14:paraId="669E52D7" w14:textId="77777777" w:rsidR="007D11E4" w:rsidRPr="007D11E4" w:rsidRDefault="007D11E4" w:rsidP="007D11E4">
      <w:pPr>
        <w:spacing w:line="480" w:lineRule="auto"/>
        <w:ind w:firstLine="720"/>
        <w:jc w:val="both"/>
        <w:rPr>
          <w:rFonts w:ascii="Times New Roman" w:hAnsi="Times New Roman" w:cs="Times New Roman"/>
          <w:sz w:val="24"/>
          <w:szCs w:val="24"/>
          <w:vertAlign w:val="baseline"/>
        </w:rPr>
      </w:pPr>
    </w:p>
    <w:p w14:paraId="62DCF558" w14:textId="53327E69" w:rsidR="007D11E4" w:rsidRDefault="007D11E4" w:rsidP="00C8718F">
      <w:pPr>
        <w:spacing w:line="480" w:lineRule="auto"/>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Conversely, Pelgrim suggests that jealousy is the main trigger of an accusation,</w:t>
      </w:r>
    </w:p>
    <w:p w14:paraId="2FECD439" w14:textId="77777777" w:rsidR="00480341" w:rsidRPr="007D11E4" w:rsidRDefault="00480341" w:rsidP="00C8718F">
      <w:pPr>
        <w:spacing w:line="480" w:lineRule="auto"/>
        <w:jc w:val="both"/>
        <w:rPr>
          <w:rFonts w:ascii="Times New Roman" w:hAnsi="Times New Roman" w:cs="Times New Roman"/>
          <w:sz w:val="24"/>
          <w:szCs w:val="24"/>
          <w:vertAlign w:val="baseline"/>
        </w:rPr>
      </w:pPr>
    </w:p>
    <w:p w14:paraId="51BD18BE" w14:textId="77777777" w:rsidR="007D11E4" w:rsidRPr="007D11E4" w:rsidRDefault="007D11E4" w:rsidP="000C674C">
      <w:pPr>
        <w:spacing w:line="480" w:lineRule="auto"/>
        <w:ind w:left="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Within this structural function of the witchcraft belief, jealousy can be regarded as the main trigger of accusations: it gives people the justification to accuse somebody of something terrible and hence brings the alleged culprit back to an acceptable, equal level. Jealousy can be regarded as the trigger that starts the process of the reinforcement of social stability.</w:t>
      </w:r>
      <w:r w:rsidRPr="007D11E4">
        <w:rPr>
          <w:rFonts w:ascii="Times New Roman" w:hAnsi="Times New Roman" w:cs="Times New Roman"/>
          <w:sz w:val="24"/>
          <w:szCs w:val="24"/>
        </w:rPr>
        <w:footnoteReference w:id="312"/>
      </w:r>
    </w:p>
    <w:p w14:paraId="5E6B20D1" w14:textId="77777777" w:rsidR="007D11E4" w:rsidRPr="007D11E4" w:rsidRDefault="007D11E4" w:rsidP="007D11E4">
      <w:pPr>
        <w:spacing w:line="480" w:lineRule="auto"/>
        <w:ind w:firstLine="720"/>
        <w:jc w:val="both"/>
        <w:rPr>
          <w:rFonts w:ascii="Times New Roman" w:hAnsi="Times New Roman" w:cs="Times New Roman"/>
          <w:sz w:val="24"/>
          <w:szCs w:val="24"/>
          <w:vertAlign w:val="baseline"/>
        </w:rPr>
      </w:pPr>
    </w:p>
    <w:p w14:paraId="4ED6CC10" w14:textId="1BF560C3" w:rsidR="007D11E4" w:rsidRDefault="007D11E4" w:rsidP="007D11E4">
      <w:pPr>
        <w:spacing w:line="480" w:lineRule="auto"/>
        <w:ind w:firstLine="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 xml:space="preserve">Essentially, witchcraft is a product of human emotion and environment. Personally, I believe that no single motivating factor trumps another. Witchcraft accusations are born out of a combination of emotions, such as fear, grief, hatred, intolerance, superstition, insecurity, greed, jealousy and envy. This, together with, religious, social, </w:t>
      </w:r>
      <w:r w:rsidR="00C8718F" w:rsidRPr="007D11E4">
        <w:rPr>
          <w:rFonts w:ascii="Times New Roman" w:hAnsi="Times New Roman" w:cs="Times New Roman"/>
          <w:sz w:val="24"/>
          <w:szCs w:val="24"/>
          <w:vertAlign w:val="baseline"/>
        </w:rPr>
        <w:t>economic and political development provides</w:t>
      </w:r>
      <w:r w:rsidRPr="007D11E4">
        <w:rPr>
          <w:rFonts w:ascii="Times New Roman" w:hAnsi="Times New Roman" w:cs="Times New Roman"/>
          <w:sz w:val="24"/>
          <w:szCs w:val="24"/>
          <w:vertAlign w:val="baseline"/>
        </w:rPr>
        <w:t xml:space="preserve"> the trigger for all accusations of witchcraft. Essentially, every accusation conceals a hidden agenda. Typically, allegations of witchcraft benefit the accuser, whilst eliminating those susceptible members of society.  As observed by Kgatla,</w:t>
      </w:r>
    </w:p>
    <w:p w14:paraId="2B9653CB" w14:textId="77777777" w:rsidR="00480341" w:rsidRPr="007D11E4" w:rsidRDefault="00480341" w:rsidP="007D11E4">
      <w:pPr>
        <w:spacing w:line="480" w:lineRule="auto"/>
        <w:ind w:firstLine="720"/>
        <w:jc w:val="both"/>
        <w:rPr>
          <w:rFonts w:ascii="Times New Roman" w:hAnsi="Times New Roman" w:cs="Times New Roman"/>
          <w:sz w:val="24"/>
          <w:szCs w:val="24"/>
          <w:vertAlign w:val="baseline"/>
        </w:rPr>
      </w:pPr>
    </w:p>
    <w:p w14:paraId="215F6F5C" w14:textId="77777777" w:rsidR="007D11E4" w:rsidRPr="007D11E4" w:rsidRDefault="007D11E4" w:rsidP="000C674C">
      <w:pPr>
        <w:spacing w:line="480" w:lineRule="auto"/>
        <w:ind w:left="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False accusations of witchcraft are found throughout the world in different guises. It is used to cover up social and racial conflict, the tyranny of men over women, vengefulness of rivals, hostility to strangers, oppression of the weak and old, and other agendas.</w:t>
      </w:r>
      <w:r w:rsidRPr="007D11E4">
        <w:rPr>
          <w:rFonts w:ascii="Times New Roman" w:hAnsi="Times New Roman" w:cs="Times New Roman"/>
          <w:sz w:val="24"/>
          <w:szCs w:val="24"/>
        </w:rPr>
        <w:footnoteReference w:id="313"/>
      </w:r>
    </w:p>
    <w:p w14:paraId="66D48B57" w14:textId="77777777" w:rsidR="00D56B3F" w:rsidRPr="007D11E4" w:rsidRDefault="00D56B3F" w:rsidP="00D56B3F">
      <w:pPr>
        <w:spacing w:line="480" w:lineRule="auto"/>
        <w:jc w:val="both"/>
        <w:rPr>
          <w:rFonts w:ascii="Times New Roman" w:hAnsi="Times New Roman" w:cs="Times New Roman"/>
          <w:sz w:val="24"/>
          <w:szCs w:val="24"/>
          <w:vertAlign w:val="baseline"/>
        </w:rPr>
      </w:pPr>
    </w:p>
    <w:p w14:paraId="7CAB9515" w14:textId="4511E123" w:rsidR="007D11E4" w:rsidRPr="000C674C" w:rsidRDefault="000C674C" w:rsidP="005442F4">
      <w:pPr>
        <w:spacing w:line="480" w:lineRule="auto"/>
        <w:jc w:val="both"/>
        <w:rPr>
          <w:rFonts w:ascii="Times New Roman" w:hAnsi="Times New Roman" w:cs="Times New Roman"/>
          <w:b/>
          <w:i/>
          <w:sz w:val="24"/>
          <w:szCs w:val="24"/>
          <w:vertAlign w:val="baseline"/>
        </w:rPr>
      </w:pPr>
      <w:r w:rsidRPr="000C674C">
        <w:rPr>
          <w:rFonts w:ascii="Times New Roman" w:hAnsi="Times New Roman" w:cs="Times New Roman"/>
          <w:b/>
          <w:i/>
          <w:sz w:val="24"/>
          <w:szCs w:val="24"/>
          <w:vertAlign w:val="baseline"/>
        </w:rPr>
        <w:t>3</w:t>
      </w:r>
      <w:r w:rsidR="00D56B3F" w:rsidRPr="000C674C">
        <w:rPr>
          <w:rFonts w:ascii="Times New Roman" w:hAnsi="Times New Roman" w:cs="Times New Roman"/>
          <w:b/>
          <w:i/>
          <w:sz w:val="24"/>
          <w:szCs w:val="24"/>
          <w:vertAlign w:val="baseline"/>
        </w:rPr>
        <w:t xml:space="preserve">.6.3 </w:t>
      </w:r>
      <w:r w:rsidR="007D11E4" w:rsidRPr="000C674C">
        <w:rPr>
          <w:rFonts w:ascii="Times New Roman" w:hAnsi="Times New Roman" w:cs="Times New Roman"/>
          <w:b/>
          <w:i/>
          <w:sz w:val="24"/>
          <w:szCs w:val="24"/>
          <w:vertAlign w:val="baseline"/>
        </w:rPr>
        <w:t>Intensification of witchcraft accusations</w:t>
      </w:r>
    </w:p>
    <w:p w14:paraId="5D832F01" w14:textId="1C0C8FAB" w:rsidR="007D11E4" w:rsidRDefault="007D11E4" w:rsidP="007D11E4">
      <w:pPr>
        <w:spacing w:line="480" w:lineRule="auto"/>
        <w:ind w:firstLine="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Witchcraft is problematic at every stage and for everyone involved. For those who believe, there is an apprehension of uncertainty,</w:t>
      </w:r>
      <w:r w:rsidR="00572811">
        <w:rPr>
          <w:rFonts w:ascii="Times New Roman" w:hAnsi="Times New Roman" w:cs="Times New Roman"/>
          <w:sz w:val="24"/>
          <w:szCs w:val="24"/>
          <w:vertAlign w:val="baseline"/>
        </w:rPr>
        <w:t xml:space="preserve"> for those that are accused they face</w:t>
      </w:r>
      <w:r w:rsidR="00AD2A8E">
        <w:rPr>
          <w:rFonts w:ascii="Times New Roman" w:hAnsi="Times New Roman" w:cs="Times New Roman"/>
          <w:sz w:val="24"/>
          <w:szCs w:val="24"/>
          <w:vertAlign w:val="baseline"/>
        </w:rPr>
        <w:t xml:space="preserve"> </w:t>
      </w:r>
      <w:r w:rsidR="00572811">
        <w:rPr>
          <w:rFonts w:ascii="Times New Roman" w:hAnsi="Times New Roman" w:cs="Times New Roman"/>
          <w:sz w:val="24"/>
          <w:szCs w:val="24"/>
          <w:vertAlign w:val="baseline"/>
        </w:rPr>
        <w:t>exclusion from</w:t>
      </w:r>
      <w:r w:rsidR="00AD2A8E">
        <w:rPr>
          <w:rFonts w:ascii="Times New Roman" w:hAnsi="Times New Roman" w:cs="Times New Roman"/>
          <w:sz w:val="24"/>
          <w:szCs w:val="24"/>
          <w:vertAlign w:val="baseline"/>
        </w:rPr>
        <w:t xml:space="preserve"> their communities, severe violence and</w:t>
      </w:r>
      <w:r w:rsidR="00572811">
        <w:rPr>
          <w:rFonts w:ascii="Times New Roman" w:hAnsi="Times New Roman" w:cs="Times New Roman"/>
          <w:sz w:val="24"/>
          <w:szCs w:val="24"/>
          <w:vertAlign w:val="baseline"/>
        </w:rPr>
        <w:t xml:space="preserve"> death,</w:t>
      </w:r>
      <w:r w:rsidRPr="007D11E4">
        <w:rPr>
          <w:rFonts w:ascii="Times New Roman" w:hAnsi="Times New Roman" w:cs="Times New Roman"/>
          <w:sz w:val="24"/>
          <w:szCs w:val="24"/>
          <w:vertAlign w:val="baseline"/>
        </w:rPr>
        <w:t xml:space="preserve"> for those in positions of power, who often share the belief in witchcraft, accusations and subsequent persecution of witches is a serious issue, and for the international community, witchcraft accusations and persecution personify the evils of society and are a major infringement of human rights.</w:t>
      </w:r>
      <w:r w:rsidRPr="007D11E4">
        <w:rPr>
          <w:rFonts w:ascii="Times New Roman" w:hAnsi="Times New Roman" w:cs="Times New Roman"/>
          <w:sz w:val="24"/>
          <w:szCs w:val="24"/>
        </w:rPr>
        <w:footnoteReference w:id="314"/>
      </w:r>
      <w:r w:rsidRPr="007D11E4">
        <w:rPr>
          <w:rFonts w:ascii="Times New Roman" w:hAnsi="Times New Roman" w:cs="Times New Roman"/>
          <w:sz w:val="24"/>
          <w:szCs w:val="24"/>
          <w:vertAlign w:val="baseline"/>
        </w:rPr>
        <w:t xml:space="preserve"> Whilst the belief in witchcraft may continue to exist, it is the witchcraft accusations that ultimately lead to some form of harm, and, in many cases, death to the perceived ‘witch.’ Accusations of witchcraft are the most tangible manifestations of witchcraft beliefs, often leading to brutal assaults and murders.</w:t>
      </w:r>
      <w:r w:rsidRPr="007D11E4">
        <w:rPr>
          <w:rFonts w:ascii="Times New Roman" w:hAnsi="Times New Roman" w:cs="Times New Roman"/>
          <w:sz w:val="24"/>
          <w:szCs w:val="24"/>
        </w:rPr>
        <w:footnoteReference w:id="315"/>
      </w:r>
      <w:r w:rsidR="00414365">
        <w:rPr>
          <w:rFonts w:ascii="Times New Roman" w:hAnsi="Times New Roman" w:cs="Times New Roman"/>
          <w:sz w:val="24"/>
          <w:szCs w:val="24"/>
          <w:vertAlign w:val="baseline"/>
        </w:rPr>
        <w:t xml:space="preserve"> Thus, it is</w:t>
      </w:r>
      <w:r w:rsidRPr="007D11E4">
        <w:rPr>
          <w:rFonts w:ascii="Times New Roman" w:hAnsi="Times New Roman" w:cs="Times New Roman"/>
          <w:sz w:val="24"/>
          <w:szCs w:val="24"/>
          <w:vertAlign w:val="baseline"/>
        </w:rPr>
        <w:t xml:space="preserve"> through accusations of witchcraft that belief in witchcraft has proved socially problematic.</w:t>
      </w:r>
      <w:r w:rsidRPr="007D11E4">
        <w:rPr>
          <w:rFonts w:ascii="Times New Roman" w:hAnsi="Times New Roman" w:cs="Times New Roman"/>
          <w:sz w:val="24"/>
          <w:szCs w:val="24"/>
        </w:rPr>
        <w:footnoteReference w:id="316"/>
      </w:r>
      <w:r w:rsidRPr="007D11E4">
        <w:rPr>
          <w:rFonts w:ascii="Times New Roman" w:hAnsi="Times New Roman" w:cs="Times New Roman"/>
          <w:sz w:val="24"/>
          <w:szCs w:val="24"/>
          <w:vertAlign w:val="baseline"/>
        </w:rPr>
        <w:t xml:space="preserve"> It must be noted that the witchcraft discourse, whilst globally prevalent, manifests itself differently within varying societies. Thus, different societies will have their own way of dealing with witchcraft beliefs. Some societies may ignore suspicions of witchcraft, others may recognise suspicions, but not act upon them, whereas, some societies may pursue witchcraft accusations, dissatisfied until the alleged witch has been killed. What, then, if </w:t>
      </w:r>
      <w:r w:rsidR="005442F4" w:rsidRPr="007D11E4">
        <w:rPr>
          <w:rFonts w:ascii="Times New Roman" w:hAnsi="Times New Roman" w:cs="Times New Roman"/>
          <w:sz w:val="24"/>
          <w:szCs w:val="24"/>
          <w:vertAlign w:val="baseline"/>
        </w:rPr>
        <w:t>anything</w:t>
      </w:r>
      <w:r w:rsidRPr="007D11E4">
        <w:rPr>
          <w:rFonts w:ascii="Times New Roman" w:hAnsi="Times New Roman" w:cs="Times New Roman"/>
          <w:sz w:val="24"/>
          <w:szCs w:val="24"/>
          <w:vertAlign w:val="baseline"/>
        </w:rPr>
        <w:t xml:space="preserve"> provides the internal reasoning behind witchcraft beliefs, and, why do some societies pursue an accusation until death, whilst others allow the victim to remain within the society? Whilst there are differences in the way witchcraft is dealt with, within differing societies, each society shares a commonality, namely, the sequence of events leading up to an incident of witchcraft violence. As explained by Van Beek, </w:t>
      </w:r>
    </w:p>
    <w:p w14:paraId="4119585B" w14:textId="77777777" w:rsidR="00480341" w:rsidRPr="007D11E4" w:rsidRDefault="00480341" w:rsidP="007D11E4">
      <w:pPr>
        <w:spacing w:line="480" w:lineRule="auto"/>
        <w:ind w:firstLine="720"/>
        <w:jc w:val="both"/>
        <w:rPr>
          <w:rFonts w:ascii="Times New Roman" w:hAnsi="Times New Roman" w:cs="Times New Roman"/>
          <w:sz w:val="24"/>
          <w:szCs w:val="24"/>
          <w:vertAlign w:val="baseline"/>
        </w:rPr>
      </w:pPr>
    </w:p>
    <w:p w14:paraId="0CAF1441" w14:textId="77777777" w:rsidR="007D11E4" w:rsidRPr="007D11E4" w:rsidRDefault="007D11E4" w:rsidP="0045177B">
      <w:pPr>
        <w:spacing w:line="480" w:lineRule="auto"/>
        <w:ind w:left="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Compounding the characteristics of the witchcraft discourse and the key variables identified … brings us to a model that depicts the logical and sociological sequences leading up to witchcraft violence … however, societies may also stop at any of those steps.</w:t>
      </w:r>
      <w:r w:rsidRPr="007D11E4">
        <w:rPr>
          <w:rFonts w:ascii="Times New Roman" w:hAnsi="Times New Roman" w:cs="Times New Roman"/>
          <w:sz w:val="24"/>
          <w:szCs w:val="24"/>
        </w:rPr>
        <w:footnoteReference w:id="317"/>
      </w:r>
    </w:p>
    <w:p w14:paraId="33A8C1C1" w14:textId="77777777" w:rsidR="007D11E4" w:rsidRPr="007D11E4" w:rsidRDefault="007D11E4" w:rsidP="007D11E4">
      <w:pPr>
        <w:spacing w:line="480" w:lineRule="auto"/>
        <w:ind w:firstLine="720"/>
        <w:jc w:val="both"/>
        <w:rPr>
          <w:rFonts w:ascii="Times New Roman" w:hAnsi="Times New Roman" w:cs="Times New Roman"/>
          <w:sz w:val="24"/>
          <w:szCs w:val="24"/>
          <w:vertAlign w:val="baseline"/>
        </w:rPr>
      </w:pPr>
    </w:p>
    <w:p w14:paraId="6C1DCF2B" w14:textId="7E238A10" w:rsidR="007D11E4" w:rsidRPr="007D11E4" w:rsidRDefault="007D11E4" w:rsidP="007D11E4">
      <w:pPr>
        <w:spacing w:line="480" w:lineRule="auto"/>
        <w:ind w:firstLine="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 xml:space="preserve">Van Beek utilises a </w:t>
      </w:r>
      <w:r w:rsidR="00BC71D6" w:rsidRPr="007D11E4">
        <w:rPr>
          <w:rFonts w:ascii="Times New Roman" w:hAnsi="Times New Roman" w:cs="Times New Roman"/>
          <w:sz w:val="24"/>
          <w:szCs w:val="24"/>
          <w:vertAlign w:val="baseline"/>
        </w:rPr>
        <w:t>seven-stage</w:t>
      </w:r>
      <w:r w:rsidRPr="007D11E4">
        <w:rPr>
          <w:rFonts w:ascii="Times New Roman" w:hAnsi="Times New Roman" w:cs="Times New Roman"/>
          <w:sz w:val="24"/>
          <w:szCs w:val="24"/>
          <w:vertAlign w:val="baseline"/>
        </w:rPr>
        <w:t xml:space="preserve"> model, in order to illustrate his point. Starting with tension, these stages progress through suspicion, gossip, witch naming, public support, annihilation of the opposition, before concluding with conviction and execution. Within each stage, he skilfully introduces and identifies the key variables, which need to be present, in order for witchcraft to progress to the subsequent stage. The progression between each state is illustrated by a particular society, demonstrating that if, at any stage, the key variable is not operative, within a particular society, the belief in witchcraft will halt at that particular stage.</w:t>
      </w:r>
      <w:r w:rsidR="0045177B">
        <w:rPr>
          <w:rStyle w:val="FootnoteReference"/>
          <w:rFonts w:ascii="Times New Roman" w:hAnsi="Times New Roman" w:cs="Times New Roman"/>
          <w:sz w:val="24"/>
          <w:szCs w:val="24"/>
        </w:rPr>
        <w:footnoteReference w:id="318"/>
      </w:r>
      <w:r w:rsidRPr="007D11E4">
        <w:rPr>
          <w:rFonts w:ascii="Times New Roman" w:hAnsi="Times New Roman" w:cs="Times New Roman"/>
          <w:sz w:val="24"/>
          <w:szCs w:val="24"/>
          <w:vertAlign w:val="baseline"/>
        </w:rPr>
        <w:t xml:space="preserve"> The variables utilised within this model, relate to issues discussed throughout this thesis and are as follows; notions of evil, internal relations, notions of agency, divination practices, inter-group power relations and finally the judicial situation. </w:t>
      </w:r>
    </w:p>
    <w:p w14:paraId="4EA19E74" w14:textId="77777777" w:rsidR="007D11E4" w:rsidRPr="007D11E4" w:rsidRDefault="007D11E4" w:rsidP="007D11E4">
      <w:pPr>
        <w:spacing w:line="480" w:lineRule="auto"/>
        <w:ind w:firstLine="720"/>
        <w:jc w:val="both"/>
        <w:rPr>
          <w:rFonts w:ascii="Times New Roman" w:hAnsi="Times New Roman" w:cs="Times New Roman"/>
          <w:sz w:val="24"/>
          <w:szCs w:val="24"/>
          <w:vertAlign w:val="baseline"/>
        </w:rPr>
      </w:pPr>
    </w:p>
    <w:p w14:paraId="3DD3C58D" w14:textId="139DA30D" w:rsidR="005915AF" w:rsidRDefault="007D11E4" w:rsidP="007D11E4">
      <w:pPr>
        <w:spacing w:line="480" w:lineRule="auto"/>
        <w:ind w:firstLine="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The initial stage introduced is tension. All societies are subject to tension. The first variable introduced here is notions of evil. To use the examples given by Van Beek, if there is no perception of personal evil, as noted within hunter gather tribes, such as the Baka of Cameroon,</w:t>
      </w:r>
      <w:r w:rsidRPr="007D11E4">
        <w:rPr>
          <w:rFonts w:ascii="Times New Roman" w:hAnsi="Times New Roman" w:cs="Times New Roman"/>
          <w:sz w:val="24"/>
          <w:szCs w:val="24"/>
        </w:rPr>
        <w:footnoteReference w:id="319"/>
      </w:r>
      <w:r w:rsidRPr="007D11E4">
        <w:rPr>
          <w:rFonts w:ascii="Times New Roman" w:hAnsi="Times New Roman" w:cs="Times New Roman"/>
          <w:sz w:val="24"/>
          <w:szCs w:val="24"/>
          <w:vertAlign w:val="baseline"/>
        </w:rPr>
        <w:t xml:space="preserve"> and </w:t>
      </w:r>
      <w:r w:rsidR="00771207" w:rsidRPr="007D11E4">
        <w:rPr>
          <w:rFonts w:ascii="Times New Roman" w:hAnsi="Times New Roman" w:cs="Times New Roman"/>
          <w:sz w:val="24"/>
          <w:szCs w:val="24"/>
          <w:vertAlign w:val="baseline"/>
        </w:rPr>
        <w:t>the! Kung</w:t>
      </w:r>
      <w:r w:rsidRPr="007D11E4">
        <w:rPr>
          <w:rFonts w:ascii="Times New Roman" w:hAnsi="Times New Roman" w:cs="Times New Roman"/>
          <w:sz w:val="24"/>
          <w:szCs w:val="24"/>
          <w:vertAlign w:val="baseline"/>
        </w:rPr>
        <w:t xml:space="preserve"> San of the Kalahari </w:t>
      </w:r>
      <w:r w:rsidR="00771207" w:rsidRPr="007D11E4">
        <w:rPr>
          <w:rFonts w:ascii="Times New Roman" w:hAnsi="Times New Roman" w:cs="Times New Roman"/>
          <w:sz w:val="24"/>
          <w:szCs w:val="24"/>
          <w:vertAlign w:val="baseline"/>
        </w:rPr>
        <w:t>Desert</w:t>
      </w:r>
      <w:r w:rsidRPr="007D11E4">
        <w:rPr>
          <w:rFonts w:ascii="Times New Roman" w:hAnsi="Times New Roman" w:cs="Times New Roman"/>
          <w:sz w:val="24"/>
          <w:szCs w:val="24"/>
          <w:vertAlign w:val="baseline"/>
        </w:rPr>
        <w:t>,</w:t>
      </w:r>
      <w:r w:rsidRPr="007D11E4">
        <w:rPr>
          <w:rFonts w:ascii="Times New Roman" w:hAnsi="Times New Roman" w:cs="Times New Roman"/>
          <w:sz w:val="24"/>
          <w:szCs w:val="24"/>
        </w:rPr>
        <w:footnoteReference w:id="320"/>
      </w:r>
      <w:r w:rsidRPr="007D11E4">
        <w:rPr>
          <w:rFonts w:ascii="Times New Roman" w:hAnsi="Times New Roman" w:cs="Times New Roman"/>
          <w:sz w:val="24"/>
          <w:szCs w:val="24"/>
          <w:vertAlign w:val="baseline"/>
        </w:rPr>
        <w:t xml:space="preserve"> then there is no progression to the next stage, suspicion. With suspicion, comes the introduction of a second variable, internal relations. As discussed previously, within the witchcraft discourse, typically those closest become easy targets for witchcraft suspicions. However, there are societies, for example the Dogon,</w:t>
      </w:r>
      <w:r w:rsidRPr="007D11E4">
        <w:rPr>
          <w:rFonts w:ascii="Times New Roman" w:hAnsi="Times New Roman" w:cs="Times New Roman"/>
          <w:sz w:val="24"/>
          <w:szCs w:val="24"/>
        </w:rPr>
        <w:footnoteReference w:id="321"/>
      </w:r>
      <w:r w:rsidRPr="007D11E4">
        <w:rPr>
          <w:rFonts w:ascii="Times New Roman" w:hAnsi="Times New Roman" w:cs="Times New Roman"/>
          <w:sz w:val="24"/>
          <w:szCs w:val="24"/>
          <w:vertAlign w:val="baseline"/>
        </w:rPr>
        <w:t xml:space="preserve"> who perceive the accordance of relations to be a dominant factor within their community. Thus, the desire for harmony far outweighs the need for suspicion and the subsequent stage, gossip. Where relations are not the most dominant factor within society, people will, undoubtedly, gossip. Whether or not this gossip develops into an accusation, is dependent on the next variable, human agency, essentially, whether the position of the individual within society is more dominant than the peer pressure of the group. For example the Kapsiki</w:t>
      </w:r>
      <w:r w:rsidRPr="007D11E4">
        <w:rPr>
          <w:rFonts w:ascii="Times New Roman" w:hAnsi="Times New Roman" w:cs="Times New Roman"/>
          <w:sz w:val="24"/>
          <w:szCs w:val="24"/>
        </w:rPr>
        <w:footnoteReference w:id="322"/>
      </w:r>
      <w:r w:rsidRPr="007D11E4">
        <w:rPr>
          <w:rFonts w:ascii="Times New Roman" w:hAnsi="Times New Roman" w:cs="Times New Roman"/>
          <w:sz w:val="24"/>
          <w:szCs w:val="24"/>
          <w:vertAlign w:val="baseline"/>
        </w:rPr>
        <w:t xml:space="preserve"> will gossip about witchcraft. However, within Kapsiki society, the agency of the individual is dominant and the witchcraft discourse concludes at this stage.</w:t>
      </w:r>
      <w:r w:rsidRPr="007D11E4">
        <w:rPr>
          <w:rFonts w:ascii="Times New Roman" w:hAnsi="Times New Roman" w:cs="Times New Roman"/>
          <w:sz w:val="24"/>
          <w:szCs w:val="24"/>
        </w:rPr>
        <w:footnoteReference w:id="323"/>
      </w:r>
      <w:r w:rsidRPr="007D11E4">
        <w:rPr>
          <w:rFonts w:ascii="Times New Roman" w:hAnsi="Times New Roman" w:cs="Times New Roman"/>
          <w:sz w:val="24"/>
          <w:szCs w:val="24"/>
          <w:vertAlign w:val="baseline"/>
        </w:rPr>
        <w:t xml:space="preserve"> For societies where individual dominance is less influential, gossip transfers to the following stage of witch naming. In Nigeria, amongst the Tiv people,</w:t>
      </w:r>
      <w:r w:rsidRPr="007D11E4">
        <w:rPr>
          <w:rFonts w:ascii="Times New Roman" w:hAnsi="Times New Roman" w:cs="Times New Roman"/>
          <w:sz w:val="24"/>
          <w:szCs w:val="24"/>
        </w:rPr>
        <w:footnoteReference w:id="324"/>
      </w:r>
      <w:r w:rsidRPr="007D11E4">
        <w:rPr>
          <w:rFonts w:ascii="Times New Roman" w:hAnsi="Times New Roman" w:cs="Times New Roman"/>
          <w:sz w:val="24"/>
          <w:szCs w:val="24"/>
          <w:vertAlign w:val="baseline"/>
        </w:rPr>
        <w:t xml:space="preserve"> public discussion concerning witches is commonplace. In spite of this, the Tiv also recognise that they have no adequate methods of detecting an individual witch. Therefore, whilst there may be a public outcry, in this society, the witchcraft discourse ceases here. </w:t>
      </w:r>
    </w:p>
    <w:p w14:paraId="604BF463" w14:textId="77777777" w:rsidR="005915AF" w:rsidRDefault="005915AF" w:rsidP="007D11E4">
      <w:pPr>
        <w:spacing w:line="480" w:lineRule="auto"/>
        <w:ind w:firstLine="720"/>
        <w:jc w:val="both"/>
        <w:rPr>
          <w:rFonts w:ascii="Times New Roman" w:hAnsi="Times New Roman" w:cs="Times New Roman"/>
          <w:sz w:val="24"/>
          <w:szCs w:val="24"/>
          <w:vertAlign w:val="baseline"/>
        </w:rPr>
      </w:pPr>
    </w:p>
    <w:p w14:paraId="2948AF78" w14:textId="075A4EE2" w:rsidR="007D11E4" w:rsidRPr="007D11E4" w:rsidRDefault="007D11E4" w:rsidP="007D11E4">
      <w:pPr>
        <w:spacing w:line="480" w:lineRule="auto"/>
        <w:ind w:firstLine="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The next stage, divination, is one of the crucial elements in witchcraft belief. The alleged ability to detect witches generates a change in disposition and an intensification of the witchcraft discourse. However, as with every stage, the discourse could halt here, as demonstrated by the Gciriku</w:t>
      </w:r>
      <w:r w:rsidRPr="007D11E4">
        <w:rPr>
          <w:rFonts w:ascii="Times New Roman" w:hAnsi="Times New Roman" w:cs="Times New Roman"/>
          <w:sz w:val="24"/>
          <w:szCs w:val="24"/>
        </w:rPr>
        <w:footnoteReference w:id="325"/>
      </w:r>
      <w:r w:rsidRPr="007D11E4">
        <w:rPr>
          <w:rFonts w:ascii="Times New Roman" w:hAnsi="Times New Roman" w:cs="Times New Roman"/>
          <w:sz w:val="24"/>
          <w:szCs w:val="24"/>
          <w:vertAlign w:val="baseline"/>
        </w:rPr>
        <w:t xml:space="preserve"> from Namibia. Within this society they believe they have the means to detect witches through divination, establishing a debate on the issue. Despite guilty verdicts cast upon alleged witches, the opposing groups and their consequent opinions, within the debate, have no sway over the other. Thus, within the Gciriku society, inter-group relations play a substantial role. This creates a stalemate within society and the witchcraft discourse terminates. Moreover, within Namibian law, accusations of witchcraft are prohibited.</w:t>
      </w:r>
      <w:r w:rsidRPr="007D11E4">
        <w:rPr>
          <w:rFonts w:ascii="Times New Roman" w:hAnsi="Times New Roman" w:cs="Times New Roman"/>
          <w:sz w:val="24"/>
          <w:szCs w:val="24"/>
        </w:rPr>
        <w:footnoteReference w:id="326"/>
      </w:r>
      <w:r w:rsidRPr="007D11E4">
        <w:rPr>
          <w:rFonts w:ascii="Times New Roman" w:hAnsi="Times New Roman" w:cs="Times New Roman"/>
          <w:sz w:val="24"/>
          <w:szCs w:val="24"/>
          <w:vertAlign w:val="baseline"/>
        </w:rPr>
        <w:t xml:space="preserve"> At the very top of the scale, the intensification of the witchcraft discourse is at its strongest. Without a supporting legal framework and a lack of societal support, the accused is helpless. The accused is guilty as charged, publicly named and is subject to punishment by whatever means necessary. Punishment differs within differing societies and is dependent on a variety of external factors, for instance, the laws in place, the implementation of such laws, the position of religious organisations, class, ethnic and generational clashes and the over-all level of violence within that given society.</w:t>
      </w:r>
      <w:r w:rsidRPr="007D11E4">
        <w:rPr>
          <w:rFonts w:ascii="Times New Roman" w:hAnsi="Times New Roman" w:cs="Times New Roman"/>
          <w:sz w:val="24"/>
          <w:szCs w:val="24"/>
        </w:rPr>
        <w:footnoteReference w:id="327"/>
      </w:r>
      <w:r w:rsidRPr="007D11E4">
        <w:rPr>
          <w:rFonts w:ascii="Times New Roman" w:hAnsi="Times New Roman" w:cs="Times New Roman"/>
          <w:sz w:val="24"/>
          <w:szCs w:val="24"/>
          <w:vertAlign w:val="baseline"/>
        </w:rPr>
        <w:t xml:space="preserve"> This is clearly illustrated within the historical witch trials of Western Europe, where the involvement of the Catholic Church, coupled with the implementation of laws forbidding the use of ‘magic,’ saw the execution of thousands of alleged witches. This seven-stage model provided by Van Beek not only assists in understanding the internal reasoning behind witchcraft beliefs, but also provides a logical pattern for the development of beliefs through to accusation. Discovering such </w:t>
      </w:r>
      <w:r w:rsidR="007E34E6" w:rsidRPr="007D11E4">
        <w:rPr>
          <w:rFonts w:ascii="Times New Roman" w:hAnsi="Times New Roman" w:cs="Times New Roman"/>
          <w:sz w:val="24"/>
          <w:szCs w:val="24"/>
          <w:vertAlign w:val="baseline"/>
        </w:rPr>
        <w:t>developments</w:t>
      </w:r>
      <w:r w:rsidRPr="007D11E4">
        <w:rPr>
          <w:rFonts w:ascii="Times New Roman" w:hAnsi="Times New Roman" w:cs="Times New Roman"/>
          <w:sz w:val="24"/>
          <w:szCs w:val="24"/>
          <w:vertAlign w:val="baseline"/>
        </w:rPr>
        <w:t xml:space="preserve"> deconstructs the witchcraft discourse </w:t>
      </w:r>
      <w:r w:rsidRPr="007D11E4">
        <w:rPr>
          <w:rFonts w:ascii="Times New Roman" w:hAnsi="Times New Roman" w:cs="Times New Roman"/>
          <w:i/>
          <w:sz w:val="24"/>
          <w:szCs w:val="24"/>
          <w:vertAlign w:val="baseline"/>
        </w:rPr>
        <w:t xml:space="preserve">per se. </w:t>
      </w:r>
      <w:r w:rsidRPr="007D11E4">
        <w:rPr>
          <w:rFonts w:ascii="Times New Roman" w:hAnsi="Times New Roman" w:cs="Times New Roman"/>
          <w:sz w:val="24"/>
          <w:szCs w:val="24"/>
          <w:vertAlign w:val="baseline"/>
        </w:rPr>
        <w:t xml:space="preserve"> Accordingly, each key variable can be translated into a dialogue, which is comprehensible and foreseeable, and possibly even changeable.</w:t>
      </w:r>
      <w:r w:rsidRPr="007D11E4">
        <w:rPr>
          <w:rFonts w:ascii="Times New Roman" w:hAnsi="Times New Roman" w:cs="Times New Roman"/>
          <w:sz w:val="24"/>
          <w:szCs w:val="24"/>
        </w:rPr>
        <w:footnoteReference w:id="328"/>
      </w:r>
      <w:r w:rsidRPr="007D11E4">
        <w:rPr>
          <w:rFonts w:ascii="Times New Roman" w:hAnsi="Times New Roman" w:cs="Times New Roman"/>
          <w:sz w:val="24"/>
          <w:szCs w:val="24"/>
          <w:vertAlign w:val="baseline"/>
        </w:rPr>
        <w:t xml:space="preserve"> </w:t>
      </w:r>
    </w:p>
    <w:p w14:paraId="64805493" w14:textId="77777777" w:rsidR="007D11E4" w:rsidRPr="007D11E4" w:rsidRDefault="007D11E4" w:rsidP="007D11E4">
      <w:pPr>
        <w:spacing w:line="480" w:lineRule="auto"/>
        <w:ind w:firstLine="720"/>
        <w:jc w:val="both"/>
        <w:rPr>
          <w:rFonts w:ascii="Times New Roman" w:hAnsi="Times New Roman" w:cs="Times New Roman"/>
          <w:sz w:val="24"/>
          <w:szCs w:val="24"/>
          <w:vertAlign w:val="baseline"/>
        </w:rPr>
      </w:pPr>
    </w:p>
    <w:p w14:paraId="7AADE1FF" w14:textId="524EBD28" w:rsidR="007D11E4" w:rsidRPr="00656C47" w:rsidRDefault="00656C47" w:rsidP="00656C47">
      <w:pPr>
        <w:spacing w:line="480" w:lineRule="auto"/>
        <w:jc w:val="both"/>
        <w:rPr>
          <w:rFonts w:ascii="Times New Roman" w:hAnsi="Times New Roman" w:cs="Times New Roman"/>
          <w:b/>
          <w:i/>
          <w:sz w:val="24"/>
          <w:szCs w:val="24"/>
          <w:vertAlign w:val="baseline"/>
        </w:rPr>
      </w:pPr>
      <w:r w:rsidRPr="00656C47">
        <w:rPr>
          <w:rFonts w:ascii="Times New Roman" w:hAnsi="Times New Roman" w:cs="Times New Roman"/>
          <w:b/>
          <w:i/>
          <w:sz w:val="24"/>
          <w:szCs w:val="24"/>
          <w:vertAlign w:val="baseline"/>
        </w:rPr>
        <w:t>3</w:t>
      </w:r>
      <w:r w:rsidR="006D79BF" w:rsidRPr="00656C47">
        <w:rPr>
          <w:rFonts w:ascii="Times New Roman" w:hAnsi="Times New Roman" w:cs="Times New Roman"/>
          <w:b/>
          <w:i/>
          <w:sz w:val="24"/>
          <w:szCs w:val="24"/>
          <w:vertAlign w:val="baseline"/>
        </w:rPr>
        <w:t xml:space="preserve">.6.4 </w:t>
      </w:r>
      <w:r w:rsidR="007D11E4" w:rsidRPr="00656C47">
        <w:rPr>
          <w:rFonts w:ascii="Times New Roman" w:hAnsi="Times New Roman" w:cs="Times New Roman"/>
          <w:b/>
          <w:i/>
          <w:sz w:val="24"/>
          <w:szCs w:val="24"/>
          <w:vertAlign w:val="baseline"/>
        </w:rPr>
        <w:t>Social repercussions</w:t>
      </w:r>
    </w:p>
    <w:p w14:paraId="7BC3F808" w14:textId="6F92166F" w:rsidR="007D11E4" w:rsidRDefault="007D11E4" w:rsidP="007D11E4">
      <w:pPr>
        <w:spacing w:line="480" w:lineRule="auto"/>
        <w:ind w:firstLine="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 xml:space="preserve">Once an accusation of witchcraft is exposed, within the public domain, the social repercussions for the victim are appallingly callous. One of the most striking elements of witchcraft </w:t>
      </w:r>
      <w:r w:rsidR="00F53522" w:rsidRPr="007D11E4">
        <w:rPr>
          <w:rFonts w:ascii="Times New Roman" w:hAnsi="Times New Roman" w:cs="Times New Roman"/>
          <w:sz w:val="24"/>
          <w:szCs w:val="24"/>
          <w:vertAlign w:val="baseline"/>
        </w:rPr>
        <w:t>accusations</w:t>
      </w:r>
      <w:r w:rsidRPr="007D11E4">
        <w:rPr>
          <w:rFonts w:ascii="Times New Roman" w:hAnsi="Times New Roman" w:cs="Times New Roman"/>
          <w:sz w:val="24"/>
          <w:szCs w:val="24"/>
          <w:vertAlign w:val="baseline"/>
        </w:rPr>
        <w:t xml:space="preserve"> is the level of extreme brutality that accompanies them.</w:t>
      </w:r>
      <w:r w:rsidRPr="007D11E4">
        <w:rPr>
          <w:rFonts w:ascii="Times New Roman" w:hAnsi="Times New Roman" w:cs="Times New Roman"/>
          <w:sz w:val="24"/>
          <w:szCs w:val="24"/>
        </w:rPr>
        <w:footnoteReference w:id="329"/>
      </w:r>
      <w:r w:rsidRPr="007D11E4">
        <w:rPr>
          <w:rFonts w:ascii="Times New Roman" w:hAnsi="Times New Roman" w:cs="Times New Roman"/>
          <w:sz w:val="24"/>
          <w:szCs w:val="24"/>
          <w:vertAlign w:val="baseline"/>
        </w:rPr>
        <w:t xml:space="preserve"> Following an accusation, the victim, typically becomes subject to a vigilante form of violence, often performed in the presence of the whole community. The justification, for this means of torture, is to extract a confession from the victim, by any means necessary. The level of violence, and whether or not the victim will survive, is dependent on that particular society, and generally falls into one or more of four categories; harassment, torture, exile or death. For example, in Ghana, many alleged witches, predominantly women, are initially tortured, before being exiled to the one of the seven infamous witch camps, all located in remote areas within the north of the country.</w:t>
      </w:r>
      <w:r w:rsidRPr="007D11E4">
        <w:rPr>
          <w:rFonts w:ascii="Times New Roman" w:hAnsi="Times New Roman" w:cs="Times New Roman"/>
          <w:sz w:val="24"/>
          <w:szCs w:val="24"/>
        </w:rPr>
        <w:footnoteReference w:id="330"/>
      </w:r>
      <w:r w:rsidRPr="007D11E4">
        <w:rPr>
          <w:rFonts w:ascii="Times New Roman" w:hAnsi="Times New Roman" w:cs="Times New Roman"/>
          <w:sz w:val="24"/>
          <w:szCs w:val="24"/>
          <w:vertAlign w:val="baseline"/>
        </w:rPr>
        <w:t xml:space="preserve"> These witch camps are, essentially, a double-edged sword for the victim. As noted by ActionAid,</w:t>
      </w:r>
    </w:p>
    <w:p w14:paraId="045F6B16" w14:textId="77777777" w:rsidR="00480341" w:rsidRPr="007D11E4" w:rsidRDefault="00480341" w:rsidP="007D11E4">
      <w:pPr>
        <w:spacing w:line="480" w:lineRule="auto"/>
        <w:ind w:firstLine="720"/>
        <w:jc w:val="both"/>
        <w:rPr>
          <w:rFonts w:ascii="Times New Roman" w:hAnsi="Times New Roman" w:cs="Times New Roman"/>
          <w:sz w:val="24"/>
          <w:szCs w:val="24"/>
          <w:vertAlign w:val="baseline"/>
        </w:rPr>
      </w:pPr>
    </w:p>
    <w:p w14:paraId="280F499D" w14:textId="2FFFFE79" w:rsidR="007D11E4" w:rsidRDefault="007D11E4" w:rsidP="000820AB">
      <w:pPr>
        <w:spacing w:line="480" w:lineRule="auto"/>
        <w:ind w:left="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The witch camps are effectively women’s prisons where inmates have been given no trial, have no right of appeal but have received a life sentence. It is because of this that ActionAid and Songtaba</w:t>
      </w:r>
      <w:r w:rsidRPr="007D11E4">
        <w:rPr>
          <w:rFonts w:ascii="Times New Roman" w:hAnsi="Times New Roman" w:cs="Times New Roman"/>
          <w:sz w:val="24"/>
          <w:szCs w:val="24"/>
        </w:rPr>
        <w:footnoteReference w:id="331"/>
      </w:r>
      <w:r w:rsidRPr="007D11E4">
        <w:rPr>
          <w:rFonts w:ascii="Times New Roman" w:hAnsi="Times New Roman" w:cs="Times New Roman"/>
          <w:sz w:val="24"/>
          <w:szCs w:val="24"/>
          <w:vertAlign w:val="baseline"/>
        </w:rPr>
        <w:t xml:space="preserve"> condemn the camps as a violation of the rights of the women who have to live in them. But the camps also provide a haven for accused women, and, in the absence of any social support and protection in their own communities, can be a relatively safe place for women if the conditions are humane and dignified.</w:t>
      </w:r>
      <w:r w:rsidRPr="007D11E4">
        <w:rPr>
          <w:rFonts w:ascii="Times New Roman" w:hAnsi="Times New Roman" w:cs="Times New Roman"/>
          <w:sz w:val="24"/>
          <w:szCs w:val="24"/>
        </w:rPr>
        <w:footnoteReference w:id="332"/>
      </w:r>
      <w:r w:rsidR="00480341">
        <w:rPr>
          <w:rFonts w:ascii="Times New Roman" w:hAnsi="Times New Roman" w:cs="Times New Roman"/>
          <w:sz w:val="24"/>
          <w:szCs w:val="24"/>
          <w:vertAlign w:val="baseline"/>
        </w:rPr>
        <w:t xml:space="preserve"> </w:t>
      </w:r>
    </w:p>
    <w:p w14:paraId="5193D931" w14:textId="77777777" w:rsidR="00480341" w:rsidRDefault="00480341" w:rsidP="000820AB">
      <w:pPr>
        <w:spacing w:line="480" w:lineRule="auto"/>
        <w:ind w:left="720"/>
        <w:jc w:val="both"/>
        <w:rPr>
          <w:rFonts w:ascii="Times New Roman" w:hAnsi="Times New Roman" w:cs="Times New Roman"/>
          <w:sz w:val="24"/>
          <w:szCs w:val="24"/>
          <w:vertAlign w:val="baseline"/>
        </w:rPr>
      </w:pPr>
    </w:p>
    <w:p w14:paraId="44F113D1" w14:textId="77777777" w:rsidR="00B05414" w:rsidRPr="007D11E4" w:rsidRDefault="00B05414" w:rsidP="00F53522">
      <w:pPr>
        <w:ind w:left="720"/>
        <w:jc w:val="both"/>
        <w:rPr>
          <w:rFonts w:ascii="Times New Roman" w:hAnsi="Times New Roman" w:cs="Times New Roman"/>
          <w:sz w:val="24"/>
          <w:szCs w:val="24"/>
          <w:vertAlign w:val="baseline"/>
        </w:rPr>
      </w:pPr>
    </w:p>
    <w:p w14:paraId="6D87C581" w14:textId="46357411" w:rsidR="007D11E4" w:rsidRPr="007D11E4" w:rsidRDefault="007D11E4" w:rsidP="007D11E4">
      <w:pPr>
        <w:spacing w:line="480" w:lineRule="auto"/>
        <w:ind w:firstLine="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Torture is a common form of punishment for the majority of the alleged witches. Victims are forced to parade naked throughout the streets of the community and are then severely beaten with sticks, stones, knives and hot iron rods. On occasion, these implements are inserted into the private parts of the victim, chilli powder is rubbed into their eyes and private parts, their heads are shaved and they are forced to eat excreta.</w:t>
      </w:r>
      <w:r w:rsidRPr="007D11E4">
        <w:rPr>
          <w:rFonts w:ascii="Times New Roman" w:hAnsi="Times New Roman" w:cs="Times New Roman"/>
          <w:sz w:val="24"/>
          <w:szCs w:val="24"/>
        </w:rPr>
        <w:footnoteReference w:id="333"/>
      </w:r>
      <w:r w:rsidRPr="007D11E4">
        <w:rPr>
          <w:rFonts w:ascii="Times New Roman" w:hAnsi="Times New Roman" w:cs="Times New Roman"/>
          <w:sz w:val="24"/>
          <w:szCs w:val="24"/>
          <w:vertAlign w:val="baseline"/>
        </w:rPr>
        <w:t xml:space="preserve"> Additionally, there are numerous incidents, globally, of alleged witches being burnt alive.</w:t>
      </w:r>
      <w:r w:rsidRPr="007D11E4">
        <w:rPr>
          <w:rFonts w:ascii="Times New Roman" w:hAnsi="Times New Roman" w:cs="Times New Roman"/>
          <w:sz w:val="24"/>
          <w:szCs w:val="24"/>
        </w:rPr>
        <w:footnoteReference w:id="334"/>
      </w:r>
      <w:r w:rsidRPr="007D11E4">
        <w:rPr>
          <w:rFonts w:ascii="Times New Roman" w:hAnsi="Times New Roman" w:cs="Times New Roman"/>
          <w:sz w:val="24"/>
          <w:szCs w:val="24"/>
          <w:vertAlign w:val="baseline"/>
        </w:rPr>
        <w:t xml:space="preserve"> An example of this is Dhegani Devi Mahato, a </w:t>
      </w:r>
      <w:r w:rsidR="00B15175" w:rsidRPr="007D11E4">
        <w:rPr>
          <w:rFonts w:ascii="Times New Roman" w:hAnsi="Times New Roman" w:cs="Times New Roman"/>
          <w:sz w:val="24"/>
          <w:szCs w:val="24"/>
          <w:vertAlign w:val="baseline"/>
        </w:rPr>
        <w:t>40-year-old</w:t>
      </w:r>
      <w:r w:rsidRPr="007D11E4">
        <w:rPr>
          <w:rFonts w:ascii="Times New Roman" w:hAnsi="Times New Roman" w:cs="Times New Roman"/>
          <w:sz w:val="24"/>
          <w:szCs w:val="24"/>
          <w:vertAlign w:val="baseline"/>
        </w:rPr>
        <w:t xml:space="preserve"> widow and mother of two from the Chitwan district of Nepal. Dhegani, accused of causing the illness of one of her family members, was brutally tortured, before being covered with straw and set alight.</w:t>
      </w:r>
      <w:r w:rsidRPr="007D11E4">
        <w:rPr>
          <w:rFonts w:ascii="Times New Roman" w:hAnsi="Times New Roman" w:cs="Times New Roman"/>
          <w:sz w:val="24"/>
          <w:szCs w:val="24"/>
        </w:rPr>
        <w:footnoteReference w:id="335"/>
      </w:r>
      <w:r w:rsidRPr="007D11E4">
        <w:rPr>
          <w:rFonts w:ascii="Times New Roman" w:hAnsi="Times New Roman" w:cs="Times New Roman"/>
          <w:sz w:val="24"/>
          <w:szCs w:val="24"/>
          <w:vertAlign w:val="baseline"/>
        </w:rPr>
        <w:t xml:space="preserve"> The person who lit the fire was her brother-in-law, Bikana Mahato. Once labelled a witch, within the context of their community, the victim is seen to forfeit any human rights they were previously entitled to. The dominant logic, running through the social conscience of the witchcraft discourse, is that those accused of witchcraft have brought it upon themselves and, as a result, deserve their fate.</w:t>
      </w:r>
      <w:r w:rsidRPr="007D11E4">
        <w:rPr>
          <w:rFonts w:ascii="Times New Roman" w:hAnsi="Times New Roman" w:cs="Times New Roman"/>
          <w:sz w:val="24"/>
          <w:szCs w:val="24"/>
        </w:rPr>
        <w:footnoteReference w:id="336"/>
      </w:r>
      <w:r w:rsidRPr="007D11E4">
        <w:rPr>
          <w:rFonts w:ascii="Times New Roman" w:hAnsi="Times New Roman" w:cs="Times New Roman"/>
          <w:sz w:val="24"/>
          <w:szCs w:val="24"/>
          <w:vertAlign w:val="baseline"/>
        </w:rPr>
        <w:t xml:space="preserve"> Thus, there is no sympathy for the victim. </w:t>
      </w:r>
      <w:r w:rsidR="00CE7619">
        <w:rPr>
          <w:rFonts w:ascii="Times New Roman" w:hAnsi="Times New Roman" w:cs="Times New Roman"/>
          <w:sz w:val="24"/>
          <w:szCs w:val="24"/>
          <w:vertAlign w:val="baseline"/>
        </w:rPr>
        <w:t>Moreover, for those that may feel sympathetic towards the victim, fear of retribution for non-conformism with society or the prospect of being accused of witchcraft themselves, means that</w:t>
      </w:r>
      <w:r w:rsidR="00CE7619" w:rsidRPr="00CE7619">
        <w:rPr>
          <w:rFonts w:ascii="Times New Roman" w:hAnsi="Times New Roman" w:cs="Times New Roman"/>
          <w:sz w:val="24"/>
          <w:szCs w:val="24"/>
          <w:vertAlign w:val="baseline"/>
        </w:rPr>
        <w:t xml:space="preserve"> </w:t>
      </w:r>
      <w:r w:rsidR="00CE7619">
        <w:rPr>
          <w:rFonts w:ascii="Times New Roman" w:hAnsi="Times New Roman" w:cs="Times New Roman"/>
          <w:sz w:val="24"/>
          <w:szCs w:val="24"/>
          <w:vertAlign w:val="baseline"/>
        </w:rPr>
        <w:t>this sympathy can never be outwardly displayed.</w:t>
      </w:r>
    </w:p>
    <w:p w14:paraId="0CB0CBEB" w14:textId="77777777" w:rsidR="007D11E4" w:rsidRPr="007D11E4" w:rsidRDefault="007D11E4" w:rsidP="007D11E4">
      <w:pPr>
        <w:spacing w:line="480" w:lineRule="auto"/>
        <w:ind w:firstLine="720"/>
        <w:jc w:val="both"/>
        <w:rPr>
          <w:rFonts w:ascii="Times New Roman" w:hAnsi="Times New Roman" w:cs="Times New Roman"/>
          <w:b/>
          <w:sz w:val="24"/>
          <w:szCs w:val="24"/>
          <w:u w:val="single"/>
          <w:vertAlign w:val="baseline"/>
        </w:rPr>
      </w:pPr>
    </w:p>
    <w:p w14:paraId="0C4A2120" w14:textId="580B1506" w:rsidR="007D11E4" w:rsidRPr="007D11E4" w:rsidRDefault="000820AB" w:rsidP="00511E2C">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3</w:t>
      </w:r>
      <w:r w:rsidR="00B15175">
        <w:rPr>
          <w:rFonts w:ascii="Times New Roman" w:hAnsi="Times New Roman" w:cs="Times New Roman"/>
          <w:b/>
          <w:sz w:val="24"/>
          <w:szCs w:val="24"/>
          <w:u w:val="single"/>
          <w:vertAlign w:val="baseline"/>
        </w:rPr>
        <w:t xml:space="preserve">.7 </w:t>
      </w:r>
      <w:r>
        <w:rPr>
          <w:rFonts w:ascii="Times New Roman" w:hAnsi="Times New Roman" w:cs="Times New Roman"/>
          <w:b/>
          <w:sz w:val="24"/>
          <w:szCs w:val="24"/>
          <w:u w:val="single"/>
          <w:vertAlign w:val="baseline"/>
        </w:rPr>
        <w:t>RELIGIOUS SPECIALISTS</w:t>
      </w:r>
    </w:p>
    <w:p w14:paraId="12E57F1A" w14:textId="34B07718" w:rsidR="007D11E4" w:rsidRDefault="007D11E4" w:rsidP="007D11E4">
      <w:pPr>
        <w:spacing w:line="480" w:lineRule="auto"/>
        <w:ind w:firstLine="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The belief in ritual, healing and divination is dominant and pervasive throughout the witchcraft discourse. Accordingly, religious specialists, who allegedly possess abilities to perform such procedures, play an important role within the witchcraft discourse. Stein</w:t>
      </w:r>
      <w:r w:rsidRPr="007D11E4">
        <w:rPr>
          <w:rFonts w:ascii="Times New Roman" w:hAnsi="Times New Roman" w:cs="Times New Roman"/>
          <w:sz w:val="24"/>
          <w:szCs w:val="24"/>
        </w:rPr>
        <w:footnoteReference w:id="337"/>
      </w:r>
      <w:r w:rsidRPr="007D11E4">
        <w:rPr>
          <w:rFonts w:ascii="Times New Roman" w:hAnsi="Times New Roman" w:cs="Times New Roman"/>
          <w:sz w:val="24"/>
          <w:szCs w:val="24"/>
          <w:vertAlign w:val="baseline"/>
        </w:rPr>
        <w:t xml:space="preserve"> utilises the umbrella term ‘Religious Specialist,’ to describe such individuals who derive their income primarily from the performance of religious ritual, categorising these ‘specialists’ into two main categories, priests and shamans. The first category encompasses a wide range of religious specialists associated with formalised religious institutions, who are deemed to possess the authority to conduct religious worship. These may include, but are not limited to priests, rabbis and ministers. The second category, shamans, encompasses other types of religious specialists focused on healing and divination. These include healers, diviners, herbalists and prophets. It is acknowledged by Stein, that these two categories, priests and shamans, are ‘not mutually exclusive categories, but rather ends of a continuum.’</w:t>
      </w:r>
      <w:r w:rsidRPr="007D11E4">
        <w:rPr>
          <w:rFonts w:ascii="Times New Roman" w:hAnsi="Times New Roman" w:cs="Times New Roman"/>
          <w:sz w:val="24"/>
          <w:szCs w:val="24"/>
        </w:rPr>
        <w:footnoteReference w:id="338"/>
      </w:r>
      <w:r w:rsidRPr="007D11E4">
        <w:rPr>
          <w:rFonts w:ascii="Times New Roman" w:hAnsi="Times New Roman" w:cs="Times New Roman"/>
          <w:sz w:val="24"/>
          <w:szCs w:val="24"/>
          <w:vertAlign w:val="baseline"/>
        </w:rPr>
        <w:t xml:space="preserve"> It must also be noted that whilst priests and shamans are not mutually exclusive categories, as a rule, societies will contain</w:t>
      </w:r>
      <w:r w:rsidR="00BE65D2">
        <w:rPr>
          <w:rFonts w:ascii="Times New Roman" w:hAnsi="Times New Roman" w:cs="Times New Roman"/>
          <w:sz w:val="24"/>
          <w:szCs w:val="24"/>
          <w:vertAlign w:val="baseline"/>
        </w:rPr>
        <w:t xml:space="preserve"> only one of these categories a</w:t>
      </w:r>
      <w:r w:rsidRPr="007D11E4">
        <w:rPr>
          <w:rFonts w:ascii="Times New Roman" w:hAnsi="Times New Roman" w:cs="Times New Roman"/>
          <w:sz w:val="24"/>
          <w:szCs w:val="24"/>
          <w:vertAlign w:val="baseline"/>
        </w:rPr>
        <w:t>s,</w:t>
      </w:r>
      <w:r w:rsidR="00653B8D" w:rsidRPr="007D11E4">
        <w:rPr>
          <w:rFonts w:ascii="Times New Roman" w:hAnsi="Times New Roman" w:cs="Times New Roman"/>
          <w:sz w:val="24"/>
          <w:szCs w:val="24"/>
          <w:vertAlign w:val="baseline"/>
        </w:rPr>
        <w:t xml:space="preserve"> </w:t>
      </w:r>
      <w:r w:rsidRPr="007D11E4">
        <w:rPr>
          <w:rFonts w:ascii="Times New Roman" w:hAnsi="Times New Roman" w:cs="Times New Roman"/>
          <w:sz w:val="24"/>
          <w:szCs w:val="24"/>
          <w:vertAlign w:val="baseline"/>
        </w:rPr>
        <w:t>‘priesthoods tend to be found in more complex food-producing societies, whereas shamans are associated with technologically simpler ones.’</w:t>
      </w:r>
      <w:r w:rsidRPr="007D11E4">
        <w:rPr>
          <w:rFonts w:ascii="Times New Roman" w:hAnsi="Times New Roman" w:cs="Times New Roman"/>
          <w:sz w:val="24"/>
          <w:szCs w:val="24"/>
        </w:rPr>
        <w:footnoteReference w:id="339"/>
      </w:r>
      <w:r w:rsidRPr="007D11E4">
        <w:rPr>
          <w:rFonts w:ascii="Times New Roman" w:hAnsi="Times New Roman" w:cs="Times New Roman"/>
          <w:sz w:val="24"/>
          <w:szCs w:val="24"/>
          <w:vertAlign w:val="baseline"/>
        </w:rPr>
        <w:t xml:space="preserve"> Generally speaking, the difference between a priest and a shaman lies in personal communication with the supernatural. Whilst a priest is responsible for the performance of generalised prescribed rituals, such as births, deaths and weddings, shamans acquire their alleged abilities and techniques, for example the ability to identify witches, via personal communication with the spirit world and the supernatural during shamanic trances or altered states of consciousness. The most significant intervention, within the witchcraft discourse, is that of divination. Uncertainty of life, for many people, is a troubling thought. If it was possible to predict what the future had in store for us, then decision making, throughout our lifetime, would be far easier, as illustrated by the famous quote, ‘knowledge is power.’</w:t>
      </w:r>
      <w:r w:rsidRPr="007D11E4">
        <w:rPr>
          <w:rFonts w:ascii="Times New Roman" w:hAnsi="Times New Roman" w:cs="Times New Roman"/>
          <w:sz w:val="24"/>
          <w:szCs w:val="24"/>
        </w:rPr>
        <w:footnoteReference w:id="340"/>
      </w:r>
      <w:r w:rsidRPr="007D11E4">
        <w:rPr>
          <w:rFonts w:ascii="Times New Roman" w:hAnsi="Times New Roman" w:cs="Times New Roman"/>
          <w:sz w:val="24"/>
          <w:szCs w:val="24"/>
          <w:vertAlign w:val="baseline"/>
        </w:rPr>
        <w:t xml:space="preserve"> Divination is the art of obtaining information about things that are not normally knowable, for example, knowledge of the future and communication with the supernatural, such as identification of a witch.</w:t>
      </w:r>
      <w:r w:rsidRPr="007D11E4">
        <w:rPr>
          <w:rFonts w:ascii="Times New Roman" w:hAnsi="Times New Roman" w:cs="Times New Roman"/>
          <w:sz w:val="24"/>
          <w:szCs w:val="24"/>
        </w:rPr>
        <w:footnoteReference w:id="341"/>
      </w:r>
      <w:r w:rsidRPr="007D11E4">
        <w:rPr>
          <w:rFonts w:ascii="Times New Roman" w:hAnsi="Times New Roman" w:cs="Times New Roman"/>
          <w:sz w:val="24"/>
          <w:szCs w:val="24"/>
          <w:vertAlign w:val="baseline"/>
        </w:rPr>
        <w:t xml:space="preserve"> As noted within the preceding section, the perceived power to detect a witch, leads to an intensification of the witchcraft discourse.</w:t>
      </w:r>
    </w:p>
    <w:p w14:paraId="0AD2415A" w14:textId="77777777" w:rsidR="00480341" w:rsidRDefault="00480341" w:rsidP="00B33030">
      <w:pPr>
        <w:spacing w:line="480" w:lineRule="auto"/>
        <w:jc w:val="both"/>
        <w:rPr>
          <w:rFonts w:ascii="Times New Roman" w:hAnsi="Times New Roman" w:cs="Times New Roman"/>
          <w:sz w:val="24"/>
          <w:szCs w:val="24"/>
          <w:vertAlign w:val="baseline"/>
        </w:rPr>
      </w:pPr>
    </w:p>
    <w:p w14:paraId="0949BDF3" w14:textId="5C59F11C" w:rsidR="007D11E4" w:rsidRPr="007D11E4" w:rsidRDefault="007C0843" w:rsidP="00B33030">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3</w:t>
      </w:r>
      <w:r w:rsidR="00464416">
        <w:rPr>
          <w:rFonts w:ascii="Times New Roman" w:hAnsi="Times New Roman" w:cs="Times New Roman"/>
          <w:b/>
          <w:sz w:val="24"/>
          <w:szCs w:val="24"/>
          <w:u w:val="single"/>
          <w:vertAlign w:val="baseline"/>
        </w:rPr>
        <w:t xml:space="preserve">.8 </w:t>
      </w:r>
      <w:r w:rsidR="007D11E4" w:rsidRPr="007D11E4">
        <w:rPr>
          <w:rFonts w:ascii="Times New Roman" w:hAnsi="Times New Roman" w:cs="Times New Roman"/>
          <w:b/>
          <w:sz w:val="24"/>
          <w:szCs w:val="24"/>
          <w:u w:val="single"/>
          <w:vertAlign w:val="baseline"/>
        </w:rPr>
        <w:t>S</w:t>
      </w:r>
      <w:r>
        <w:rPr>
          <w:rFonts w:ascii="Times New Roman" w:hAnsi="Times New Roman" w:cs="Times New Roman"/>
          <w:b/>
          <w:sz w:val="24"/>
          <w:szCs w:val="24"/>
          <w:u w:val="single"/>
          <w:vertAlign w:val="baseline"/>
        </w:rPr>
        <w:t>HAMANS</w:t>
      </w:r>
    </w:p>
    <w:p w14:paraId="045851A4" w14:textId="4B40B002" w:rsidR="00F925C0" w:rsidRPr="007D11E4" w:rsidRDefault="007D11E4" w:rsidP="00F925C0">
      <w:pPr>
        <w:spacing w:line="480" w:lineRule="auto"/>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The term shaman originates from Siberia. As explained by Laufer,</w:t>
      </w:r>
    </w:p>
    <w:p w14:paraId="02F78039" w14:textId="77777777" w:rsidR="007D11E4" w:rsidRPr="007D11E4" w:rsidRDefault="007D11E4" w:rsidP="004604E2">
      <w:pPr>
        <w:spacing w:line="480" w:lineRule="auto"/>
        <w:ind w:left="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We received it from the Russians: it was the Russian (chiefly Cossack) explorers and conquerors of eastern Siberia in the second half of the seventeenth century, who heard and recorded the term among Tungusian tribes … It is thus shown that our "shaman" had its origin in the Tungusian languages, in all of which the word indeed is known as caman or saman, and with several other variations to be noted hereafter.</w:t>
      </w:r>
      <w:r w:rsidRPr="007D11E4">
        <w:rPr>
          <w:rFonts w:ascii="Times New Roman" w:hAnsi="Times New Roman" w:cs="Times New Roman"/>
          <w:sz w:val="24"/>
          <w:szCs w:val="24"/>
        </w:rPr>
        <w:footnoteReference w:id="342"/>
      </w:r>
    </w:p>
    <w:p w14:paraId="6BFEBCAF" w14:textId="77777777" w:rsidR="007D11E4" w:rsidRPr="007D11E4" w:rsidRDefault="007D11E4" w:rsidP="007D11E4">
      <w:pPr>
        <w:spacing w:line="480" w:lineRule="auto"/>
        <w:ind w:firstLine="720"/>
        <w:jc w:val="both"/>
        <w:rPr>
          <w:rFonts w:ascii="Times New Roman" w:hAnsi="Times New Roman" w:cs="Times New Roman"/>
          <w:sz w:val="24"/>
          <w:szCs w:val="24"/>
          <w:vertAlign w:val="baseline"/>
        </w:rPr>
      </w:pPr>
    </w:p>
    <w:p w14:paraId="26996556" w14:textId="20E9966C" w:rsidR="007D11E4" w:rsidRPr="007D11E4" w:rsidRDefault="007D11E4" w:rsidP="004604E2">
      <w:pPr>
        <w:spacing w:line="480" w:lineRule="auto"/>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In Siberia, the term shaman refers to religious specialists who possess the ability to divine the future, heal the sick and provide good fortune, via the acquisition of supernatural powers, charms and incantations.</w:t>
      </w:r>
      <w:r w:rsidRPr="007D11E4">
        <w:rPr>
          <w:rFonts w:ascii="Times New Roman" w:hAnsi="Times New Roman" w:cs="Times New Roman"/>
          <w:sz w:val="24"/>
          <w:szCs w:val="24"/>
        </w:rPr>
        <w:footnoteReference w:id="343"/>
      </w:r>
      <w:r w:rsidRPr="007D11E4">
        <w:rPr>
          <w:rFonts w:ascii="Times New Roman" w:hAnsi="Times New Roman" w:cs="Times New Roman"/>
          <w:sz w:val="24"/>
          <w:szCs w:val="24"/>
          <w:vertAlign w:val="baseline"/>
        </w:rPr>
        <w:t xml:space="preserve"> As with many differing terminologies, the word shaman has been used in a variety of ways. However, there are anthropologists</w:t>
      </w:r>
      <w:r w:rsidRPr="007D11E4">
        <w:rPr>
          <w:rFonts w:ascii="Times New Roman" w:hAnsi="Times New Roman" w:cs="Times New Roman"/>
          <w:sz w:val="24"/>
          <w:szCs w:val="24"/>
        </w:rPr>
        <w:footnoteReference w:id="344"/>
      </w:r>
      <w:r w:rsidRPr="007D11E4">
        <w:rPr>
          <w:rFonts w:ascii="Times New Roman" w:hAnsi="Times New Roman" w:cs="Times New Roman"/>
          <w:sz w:val="24"/>
          <w:szCs w:val="24"/>
          <w:vertAlign w:val="baseline"/>
        </w:rPr>
        <w:t xml:space="preserve"> who believe that the term shaman should be applied solely to its original origin of the Siberian religious specialists. Whilst the term shaman is recognised as a religious specialist, there are numerous interchangeable terms used to describe those people who possess a special ability to contact the supernatural. For example, witchdoctors, shamans, diviners, soothsayers, mediums and healers are just a few examples of the terminology utilised. Regrettably, these terms are not used in a consistent manner. Moreover, within specific societies, the terminology utilised, together with the activities performed by the specialist, are often specific to that particular culture, creating problems with translation. All these varying terminologies often overlap the functions of shamans and priests, falling within the continuum described by Stein,</w:t>
      </w:r>
      <w:r w:rsidRPr="007D11E4">
        <w:rPr>
          <w:rFonts w:ascii="Times New Roman" w:hAnsi="Times New Roman" w:cs="Times New Roman"/>
          <w:sz w:val="24"/>
          <w:szCs w:val="24"/>
        </w:rPr>
        <w:footnoteReference w:id="345"/>
      </w:r>
      <w:r w:rsidRPr="007D11E4">
        <w:rPr>
          <w:rFonts w:ascii="Times New Roman" w:hAnsi="Times New Roman" w:cs="Times New Roman"/>
          <w:sz w:val="24"/>
          <w:szCs w:val="24"/>
          <w:vertAlign w:val="baseline"/>
        </w:rPr>
        <w:t xml:space="preserve"> with their varying labels often referring to the element of focus of the specialist. For example, the term healer is often used when referring to a religious specialist who focuses their work on curing illness or injury. Similarly, a diviner generally refers to a specialist who concentrates their efforts on divination </w:t>
      </w:r>
      <w:r w:rsidR="00771207" w:rsidRPr="007D11E4">
        <w:rPr>
          <w:rFonts w:ascii="Times New Roman" w:hAnsi="Times New Roman" w:cs="Times New Roman"/>
          <w:sz w:val="24"/>
          <w:szCs w:val="24"/>
          <w:vertAlign w:val="baseline"/>
        </w:rPr>
        <w:t>practices;</w:t>
      </w:r>
      <w:r w:rsidRPr="007D11E4">
        <w:rPr>
          <w:rFonts w:ascii="Times New Roman" w:hAnsi="Times New Roman" w:cs="Times New Roman"/>
          <w:sz w:val="24"/>
          <w:szCs w:val="24"/>
          <w:vertAlign w:val="baseline"/>
        </w:rPr>
        <w:t xml:space="preserve"> namely, obtaining information about the future that would not normally be knowledgeable.</w:t>
      </w:r>
      <w:r w:rsidRPr="007D11E4">
        <w:rPr>
          <w:rFonts w:ascii="Times New Roman" w:hAnsi="Times New Roman" w:cs="Times New Roman"/>
          <w:sz w:val="24"/>
          <w:szCs w:val="24"/>
        </w:rPr>
        <w:footnoteReference w:id="346"/>
      </w:r>
      <w:r w:rsidRPr="007D11E4">
        <w:rPr>
          <w:rFonts w:ascii="Times New Roman" w:hAnsi="Times New Roman" w:cs="Times New Roman"/>
          <w:sz w:val="24"/>
          <w:szCs w:val="24"/>
          <w:vertAlign w:val="baseline"/>
        </w:rPr>
        <w:t xml:space="preserve"> The term witchdoctor becomes self-explanatory; the main purpose of the witchdoctor is to identify, cure and protect society from the ills of witchcraft. From this juncture, for the purposes of this thesis and to correlate with the theme of witchcraft, I will refer to the term witchdoctor in order to describe such specialists.</w:t>
      </w:r>
    </w:p>
    <w:p w14:paraId="65D1640A" w14:textId="77777777" w:rsidR="007D11E4" w:rsidRPr="007D11E4" w:rsidRDefault="007D11E4" w:rsidP="007D11E4">
      <w:pPr>
        <w:spacing w:line="480" w:lineRule="auto"/>
        <w:ind w:firstLine="720"/>
        <w:jc w:val="both"/>
        <w:rPr>
          <w:rFonts w:ascii="Times New Roman" w:hAnsi="Times New Roman" w:cs="Times New Roman"/>
          <w:sz w:val="24"/>
          <w:szCs w:val="24"/>
          <w:vertAlign w:val="baseline"/>
        </w:rPr>
      </w:pPr>
    </w:p>
    <w:p w14:paraId="2CF7BEA2" w14:textId="2C0DFB43" w:rsidR="007D11E4" w:rsidRPr="007D11E4" w:rsidRDefault="004604E2" w:rsidP="00765A92">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3</w:t>
      </w:r>
      <w:r w:rsidR="00194F71">
        <w:rPr>
          <w:rFonts w:ascii="Times New Roman" w:hAnsi="Times New Roman" w:cs="Times New Roman"/>
          <w:b/>
          <w:sz w:val="24"/>
          <w:szCs w:val="24"/>
          <w:u w:val="single"/>
          <w:vertAlign w:val="baseline"/>
        </w:rPr>
        <w:t>.9</w:t>
      </w:r>
      <w:r w:rsidR="00765A92">
        <w:rPr>
          <w:rFonts w:ascii="Times New Roman" w:hAnsi="Times New Roman" w:cs="Times New Roman"/>
          <w:b/>
          <w:sz w:val="24"/>
          <w:szCs w:val="24"/>
          <w:u w:val="single"/>
          <w:vertAlign w:val="baseline"/>
        </w:rPr>
        <w:t xml:space="preserve"> </w:t>
      </w:r>
      <w:r>
        <w:rPr>
          <w:rFonts w:ascii="Times New Roman" w:hAnsi="Times New Roman" w:cs="Times New Roman"/>
          <w:b/>
          <w:sz w:val="24"/>
          <w:szCs w:val="24"/>
          <w:u w:val="single"/>
          <w:vertAlign w:val="baseline"/>
        </w:rPr>
        <w:t>ROLE OF THE WITCHDOCTOR</w:t>
      </w:r>
    </w:p>
    <w:p w14:paraId="37590F04" w14:textId="77777777" w:rsidR="007D11E4" w:rsidRDefault="007D11E4" w:rsidP="007D11E4">
      <w:pPr>
        <w:spacing w:line="480" w:lineRule="auto"/>
        <w:ind w:firstLine="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Belief in witchcraft runs concurrently with the belief in divination and the belief in witchdoctors. Whilst the role of the witchdoctor may differ within varying societies, the underlying functions of witchdoctors remain universal. Essentially, the role of a witchdoctor is to perform divination practices, to interpret and cure the causes of problems, such as sickness and friction between family members and to provide protection from evil spirits. Accordingly, witchdoctors act as the primary identifier of witches within communities, often propagating such beliefs for self-gain.</w:t>
      </w:r>
      <w:r w:rsidRPr="007D11E4">
        <w:rPr>
          <w:rFonts w:ascii="Times New Roman" w:hAnsi="Times New Roman" w:cs="Times New Roman"/>
          <w:sz w:val="24"/>
          <w:szCs w:val="24"/>
        </w:rPr>
        <w:footnoteReference w:id="347"/>
      </w:r>
      <w:r w:rsidRPr="007D11E4">
        <w:rPr>
          <w:rFonts w:ascii="Times New Roman" w:hAnsi="Times New Roman" w:cs="Times New Roman"/>
          <w:sz w:val="24"/>
          <w:szCs w:val="24"/>
          <w:vertAlign w:val="baseline"/>
        </w:rPr>
        <w:t xml:space="preserve"> The knowledge of witchdoctors is understood to be acquired in one of three ways. It may be hereditary and subsequently taught by their parents; however, not all the children of an established witchdoctor will automatically follow in the footsteps of their parent, only one or two will be chosen.</w:t>
      </w:r>
      <w:r w:rsidRPr="007D11E4">
        <w:rPr>
          <w:rFonts w:ascii="Times New Roman" w:hAnsi="Times New Roman" w:cs="Times New Roman"/>
          <w:sz w:val="24"/>
          <w:szCs w:val="24"/>
        </w:rPr>
        <w:footnoteReference w:id="348"/>
      </w:r>
      <w:r w:rsidRPr="007D11E4">
        <w:rPr>
          <w:rFonts w:ascii="Times New Roman" w:hAnsi="Times New Roman" w:cs="Times New Roman"/>
          <w:sz w:val="24"/>
          <w:szCs w:val="24"/>
          <w:vertAlign w:val="baseline"/>
        </w:rPr>
        <w:t xml:space="preserve">  Second, some may desire to become a witchdoctor of their own free will, and will learn their craft by becoming an apprentice of another witchdoctor. Third, others are believed to possess the talent of divination congenitally. It is understood that those who are born with such a talent, possess the ability to become a genius in their field, particularly if they attach themselves to practising witchdoctors.</w:t>
      </w:r>
      <w:r w:rsidRPr="007D11E4">
        <w:rPr>
          <w:rFonts w:ascii="Times New Roman" w:hAnsi="Times New Roman" w:cs="Times New Roman"/>
          <w:sz w:val="24"/>
          <w:szCs w:val="24"/>
        </w:rPr>
        <w:footnoteReference w:id="349"/>
      </w:r>
      <w:r w:rsidRPr="007D11E4">
        <w:rPr>
          <w:rFonts w:ascii="Times New Roman" w:hAnsi="Times New Roman" w:cs="Times New Roman"/>
          <w:sz w:val="24"/>
          <w:szCs w:val="24"/>
          <w:vertAlign w:val="baseline"/>
        </w:rPr>
        <w:t xml:space="preserve"> Consequently, witchdoctors enjoy elevated status within the community. Due to their status and because witchdoctors carry out their work openly and publicly, it is understood that, although they are viewed as male wizards, their work is purely beneficial to society. Thus, this is the converse to the function of the witch. Moreover, they are relied upon for providing, more often than not, the only medical treatment available within these communities. Thus, the role of the witchdoctor within many societies is vital. </w:t>
      </w:r>
    </w:p>
    <w:p w14:paraId="3F21C18F" w14:textId="77777777" w:rsidR="00480341" w:rsidRPr="007D11E4" w:rsidRDefault="00480341" w:rsidP="007D11E4">
      <w:pPr>
        <w:spacing w:line="480" w:lineRule="auto"/>
        <w:ind w:firstLine="720"/>
        <w:jc w:val="both"/>
        <w:rPr>
          <w:rFonts w:ascii="Times New Roman" w:hAnsi="Times New Roman" w:cs="Times New Roman"/>
          <w:sz w:val="24"/>
          <w:szCs w:val="24"/>
          <w:vertAlign w:val="baseline"/>
        </w:rPr>
      </w:pPr>
    </w:p>
    <w:p w14:paraId="6EA1CED6" w14:textId="425C6EF0" w:rsidR="007D11E4" w:rsidRDefault="007D11E4" w:rsidP="007D11E4">
      <w:pPr>
        <w:spacing w:line="480" w:lineRule="auto"/>
        <w:ind w:firstLine="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The credibility of a witchdoctor is based upon their ‘ability to successfully establish contact and some measure of control over the supernatural.’</w:t>
      </w:r>
      <w:r w:rsidRPr="007D11E4">
        <w:rPr>
          <w:rFonts w:ascii="Times New Roman" w:hAnsi="Times New Roman" w:cs="Times New Roman"/>
          <w:sz w:val="24"/>
          <w:szCs w:val="24"/>
        </w:rPr>
        <w:footnoteReference w:id="350"/>
      </w:r>
      <w:r w:rsidRPr="007D11E4">
        <w:rPr>
          <w:rFonts w:ascii="Times New Roman" w:hAnsi="Times New Roman" w:cs="Times New Roman"/>
          <w:sz w:val="24"/>
          <w:szCs w:val="24"/>
          <w:vertAlign w:val="baseline"/>
        </w:rPr>
        <w:t xml:space="preserve"> As witchdoctors obtain their authority directly from the supernatural realm, it is assumed that they have been specifically chosen by the spirits to fulfil their given role. Moreover, as witchdoctors are always people of </w:t>
      </w:r>
      <w:r w:rsidR="00D3316F" w:rsidRPr="007D11E4">
        <w:rPr>
          <w:rFonts w:ascii="Times New Roman" w:hAnsi="Times New Roman" w:cs="Times New Roman"/>
          <w:sz w:val="24"/>
          <w:szCs w:val="24"/>
          <w:vertAlign w:val="baseline"/>
        </w:rPr>
        <w:t>high standing</w:t>
      </w:r>
      <w:r w:rsidRPr="007D11E4">
        <w:rPr>
          <w:rFonts w:ascii="Times New Roman" w:hAnsi="Times New Roman" w:cs="Times New Roman"/>
          <w:sz w:val="24"/>
          <w:szCs w:val="24"/>
          <w:vertAlign w:val="baseline"/>
        </w:rPr>
        <w:t xml:space="preserve"> within the community, their word is always taken to be legitimate. However, as noted by Stayt, the legitimacy of the witchdoctor is not always as it seems,</w:t>
      </w:r>
    </w:p>
    <w:p w14:paraId="0D0B56B5" w14:textId="77777777" w:rsidR="00480341" w:rsidRPr="007D11E4" w:rsidRDefault="00480341" w:rsidP="007D11E4">
      <w:pPr>
        <w:spacing w:line="480" w:lineRule="auto"/>
        <w:ind w:firstLine="720"/>
        <w:jc w:val="both"/>
        <w:rPr>
          <w:rFonts w:ascii="Times New Roman" w:hAnsi="Times New Roman" w:cs="Times New Roman"/>
          <w:sz w:val="24"/>
          <w:szCs w:val="24"/>
          <w:vertAlign w:val="baseline"/>
        </w:rPr>
      </w:pPr>
    </w:p>
    <w:p w14:paraId="5088E565" w14:textId="77777777" w:rsidR="007D11E4" w:rsidRDefault="007D11E4" w:rsidP="005201B2">
      <w:pPr>
        <w:spacing w:line="480" w:lineRule="auto"/>
        <w:ind w:left="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The art of the medico-magician is inextricably woven into the social, religious, and economic life of the whole community; he has an influence out of all proportion to his knowledge and skill; he is in constant and intimate touch with the chiefs, some of whom actually belong to the fraternity … The shrewd and intelligent man, who from childhood has been taught by his father all the hidden secrets and family skeletons in the neighbourhood, achieves a very intimate knowledge of the lives, habits and character of his clients.</w:t>
      </w:r>
      <w:r w:rsidRPr="007D11E4">
        <w:rPr>
          <w:rFonts w:ascii="Times New Roman" w:hAnsi="Times New Roman" w:cs="Times New Roman"/>
          <w:sz w:val="24"/>
          <w:szCs w:val="24"/>
        </w:rPr>
        <w:footnoteReference w:id="351"/>
      </w:r>
      <w:r w:rsidRPr="007D11E4">
        <w:rPr>
          <w:rFonts w:ascii="Times New Roman" w:hAnsi="Times New Roman" w:cs="Times New Roman"/>
          <w:sz w:val="24"/>
          <w:szCs w:val="24"/>
          <w:vertAlign w:val="baseline"/>
        </w:rPr>
        <w:t xml:space="preserve"> </w:t>
      </w:r>
    </w:p>
    <w:p w14:paraId="06DC463B" w14:textId="77777777" w:rsidR="00D3316F" w:rsidRDefault="00D3316F" w:rsidP="00D3316F">
      <w:pPr>
        <w:spacing w:line="480" w:lineRule="auto"/>
        <w:jc w:val="both"/>
        <w:rPr>
          <w:rFonts w:ascii="Times New Roman" w:hAnsi="Times New Roman" w:cs="Times New Roman"/>
          <w:sz w:val="24"/>
          <w:szCs w:val="24"/>
          <w:vertAlign w:val="baseline"/>
        </w:rPr>
      </w:pPr>
    </w:p>
    <w:p w14:paraId="2ED5450F" w14:textId="00B2AD00" w:rsidR="007D11E4" w:rsidRDefault="007D11E4" w:rsidP="00D3316F">
      <w:pPr>
        <w:spacing w:line="480" w:lineRule="auto"/>
        <w:ind w:firstLine="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It is important at this point, to acknowledge</w:t>
      </w:r>
      <w:r w:rsidR="00D3316F">
        <w:rPr>
          <w:rFonts w:ascii="Times New Roman" w:hAnsi="Times New Roman" w:cs="Times New Roman"/>
          <w:sz w:val="24"/>
          <w:szCs w:val="24"/>
          <w:vertAlign w:val="baseline"/>
        </w:rPr>
        <w:t xml:space="preserve"> that there are specialised </w:t>
      </w:r>
      <w:r w:rsidRPr="007D11E4">
        <w:rPr>
          <w:rFonts w:ascii="Times New Roman" w:hAnsi="Times New Roman" w:cs="Times New Roman"/>
          <w:sz w:val="24"/>
          <w:szCs w:val="24"/>
          <w:vertAlign w:val="baseline"/>
        </w:rPr>
        <w:t>healers and herbalists, within society, who focus specifically on healing and curing of illness and injuries. Traditional methods of medicine are widely respected and it is accepted that various plant materials do actually possess medicinal properties.</w:t>
      </w:r>
      <w:r w:rsidRPr="007D11E4">
        <w:rPr>
          <w:rFonts w:ascii="Times New Roman" w:hAnsi="Times New Roman" w:cs="Times New Roman"/>
          <w:sz w:val="24"/>
          <w:szCs w:val="24"/>
        </w:rPr>
        <w:footnoteReference w:id="352"/>
      </w:r>
      <w:r w:rsidR="005201B2">
        <w:rPr>
          <w:rFonts w:ascii="Times New Roman" w:hAnsi="Times New Roman" w:cs="Times New Roman"/>
          <w:sz w:val="24"/>
          <w:szCs w:val="24"/>
          <w:vertAlign w:val="baseline"/>
        </w:rPr>
        <w:t xml:space="preserve"> However, it is necessary</w:t>
      </w:r>
      <w:r w:rsidRPr="007D11E4">
        <w:rPr>
          <w:rFonts w:ascii="Times New Roman" w:hAnsi="Times New Roman" w:cs="Times New Roman"/>
          <w:sz w:val="24"/>
          <w:szCs w:val="24"/>
          <w:vertAlign w:val="baseline"/>
        </w:rPr>
        <w:t xml:space="preserve"> to distinguish witchdoctors from traditional medicines and explain what I mean by the term witchdoctor. Whilst it is possible that there are some witchdoctors who carry out both the role of traditional medicine and the role of protector from the spirits, I consider witchdoctors to be little more than shrewd businessmen, acting in self-interest, manipulating that specific element, which distinguishes between simple irrational beliefs and superstitious belief, fear. As is seen, quite explicitly within the United Kingdom by illusionists and sceptics such as Derren Brown, in particular in his documentary ‘Miracles for Sale,’</w:t>
      </w:r>
      <w:r w:rsidRPr="007D11E4">
        <w:rPr>
          <w:rFonts w:ascii="Times New Roman" w:hAnsi="Times New Roman" w:cs="Times New Roman"/>
          <w:sz w:val="24"/>
          <w:szCs w:val="24"/>
        </w:rPr>
        <w:footnoteReference w:id="353"/>
      </w:r>
      <w:r w:rsidRPr="007D11E4">
        <w:rPr>
          <w:rFonts w:ascii="Times New Roman" w:hAnsi="Times New Roman" w:cs="Times New Roman"/>
          <w:sz w:val="24"/>
          <w:szCs w:val="24"/>
          <w:vertAlign w:val="baseline"/>
        </w:rPr>
        <w:t xml:space="preserve"> the ability to trick patients into believing is remarkably clever. Pelgrim observes,</w:t>
      </w:r>
    </w:p>
    <w:p w14:paraId="070A035F" w14:textId="77777777" w:rsidR="00480341" w:rsidRPr="007D11E4" w:rsidRDefault="00480341" w:rsidP="00D3316F">
      <w:pPr>
        <w:spacing w:line="480" w:lineRule="auto"/>
        <w:ind w:firstLine="720"/>
        <w:jc w:val="both"/>
        <w:rPr>
          <w:rFonts w:ascii="Times New Roman" w:hAnsi="Times New Roman" w:cs="Times New Roman"/>
          <w:sz w:val="24"/>
          <w:szCs w:val="24"/>
          <w:vertAlign w:val="baseline"/>
        </w:rPr>
      </w:pPr>
    </w:p>
    <w:p w14:paraId="60A89652" w14:textId="26300E08" w:rsidR="007D11E4" w:rsidRDefault="007D11E4" w:rsidP="00480341">
      <w:pPr>
        <w:spacing w:line="480" w:lineRule="auto"/>
        <w:ind w:left="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They have ways and means of finding out information about them. They know how to read people and how to interpret situations … Traditional healers also have ways of drawing information out of their patients without them realising it. Indirectly… (they) can thus find out whom the client is jealous of or who is jealous of the client. These kinds of social processes are well taken into consideration during a consultation and most of the divination is thus clever reasoning.</w:t>
      </w:r>
      <w:r w:rsidRPr="007D11E4">
        <w:rPr>
          <w:rFonts w:ascii="Times New Roman" w:hAnsi="Times New Roman" w:cs="Times New Roman"/>
          <w:sz w:val="24"/>
          <w:szCs w:val="24"/>
        </w:rPr>
        <w:footnoteReference w:id="354"/>
      </w:r>
    </w:p>
    <w:p w14:paraId="1C971D6E" w14:textId="77777777" w:rsidR="00480341" w:rsidRPr="007D11E4" w:rsidRDefault="00480341" w:rsidP="00480341">
      <w:pPr>
        <w:spacing w:line="480" w:lineRule="auto"/>
        <w:ind w:left="720"/>
        <w:jc w:val="both"/>
        <w:rPr>
          <w:rFonts w:ascii="Times New Roman" w:hAnsi="Times New Roman" w:cs="Times New Roman"/>
          <w:sz w:val="24"/>
          <w:szCs w:val="24"/>
          <w:vertAlign w:val="baseline"/>
        </w:rPr>
      </w:pPr>
    </w:p>
    <w:p w14:paraId="3E9BBEED" w14:textId="38D0BDAE" w:rsidR="007D11E4" w:rsidRPr="007D11E4" w:rsidRDefault="007D11E4" w:rsidP="007D11E4">
      <w:pPr>
        <w:spacing w:line="480" w:lineRule="auto"/>
        <w:ind w:firstLine="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 xml:space="preserve">I have no doubt that there are witchdoctors who monopolise their alleged abilities in order to benefit in some way. However, the difficulty lies in distinguishing whether or not these individuals actually believe that they possess the alleged ability in the first place. As I have </w:t>
      </w:r>
      <w:r w:rsidR="00652685" w:rsidRPr="007D11E4">
        <w:rPr>
          <w:rFonts w:ascii="Times New Roman" w:hAnsi="Times New Roman" w:cs="Times New Roman"/>
          <w:sz w:val="24"/>
          <w:szCs w:val="24"/>
          <w:vertAlign w:val="baseline"/>
        </w:rPr>
        <w:t>alluded</w:t>
      </w:r>
      <w:r w:rsidRPr="007D11E4">
        <w:rPr>
          <w:rFonts w:ascii="Times New Roman" w:hAnsi="Times New Roman" w:cs="Times New Roman"/>
          <w:sz w:val="24"/>
          <w:szCs w:val="24"/>
          <w:vertAlign w:val="baseline"/>
        </w:rPr>
        <w:t xml:space="preserve"> to earlier, belief is complex. What one person believes can be manifestly different to </w:t>
      </w:r>
      <w:r w:rsidR="00441B44" w:rsidRPr="007D11E4">
        <w:rPr>
          <w:rFonts w:ascii="Times New Roman" w:hAnsi="Times New Roman" w:cs="Times New Roman"/>
          <w:sz w:val="24"/>
          <w:szCs w:val="24"/>
          <w:vertAlign w:val="baseline"/>
        </w:rPr>
        <w:t>another;</w:t>
      </w:r>
      <w:r w:rsidRPr="007D11E4">
        <w:rPr>
          <w:rFonts w:ascii="Times New Roman" w:hAnsi="Times New Roman" w:cs="Times New Roman"/>
          <w:sz w:val="24"/>
          <w:szCs w:val="24"/>
          <w:vertAlign w:val="baseline"/>
        </w:rPr>
        <w:t xml:space="preserve"> thus, we can never fully understand what someone else conceptualises in their head. Accordingly, the question of whether someone actually believes that they possess supernatural </w:t>
      </w:r>
      <w:r w:rsidR="00441B44" w:rsidRPr="007D11E4">
        <w:rPr>
          <w:rFonts w:ascii="Times New Roman" w:hAnsi="Times New Roman" w:cs="Times New Roman"/>
          <w:sz w:val="24"/>
          <w:szCs w:val="24"/>
          <w:vertAlign w:val="baseline"/>
        </w:rPr>
        <w:t>abilities</w:t>
      </w:r>
      <w:r w:rsidRPr="007D11E4">
        <w:rPr>
          <w:rFonts w:ascii="Times New Roman" w:hAnsi="Times New Roman" w:cs="Times New Roman"/>
          <w:sz w:val="24"/>
          <w:szCs w:val="24"/>
          <w:vertAlign w:val="baseline"/>
        </w:rPr>
        <w:t xml:space="preserve"> is something that can never be fully determined. </w:t>
      </w:r>
    </w:p>
    <w:p w14:paraId="77F85C97" w14:textId="77777777" w:rsidR="007D11E4" w:rsidRPr="007D11E4" w:rsidRDefault="007D11E4" w:rsidP="007D11E4">
      <w:pPr>
        <w:spacing w:line="480" w:lineRule="auto"/>
        <w:ind w:firstLine="720"/>
        <w:jc w:val="both"/>
        <w:rPr>
          <w:rFonts w:ascii="Times New Roman" w:hAnsi="Times New Roman" w:cs="Times New Roman"/>
          <w:sz w:val="24"/>
          <w:szCs w:val="24"/>
          <w:vertAlign w:val="baseline"/>
        </w:rPr>
      </w:pPr>
    </w:p>
    <w:p w14:paraId="72BEAB06" w14:textId="7EF2AA7A" w:rsidR="007D11E4" w:rsidRPr="007D11E4" w:rsidRDefault="00214995" w:rsidP="00131744">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3</w:t>
      </w:r>
      <w:r w:rsidR="009F32C3">
        <w:rPr>
          <w:rFonts w:ascii="Times New Roman" w:hAnsi="Times New Roman" w:cs="Times New Roman"/>
          <w:b/>
          <w:sz w:val="24"/>
          <w:szCs w:val="24"/>
          <w:u w:val="single"/>
          <w:vertAlign w:val="baseline"/>
        </w:rPr>
        <w:t>.10</w:t>
      </w:r>
      <w:r w:rsidR="00194F71">
        <w:rPr>
          <w:rFonts w:ascii="Times New Roman" w:hAnsi="Times New Roman" w:cs="Times New Roman"/>
          <w:b/>
          <w:sz w:val="24"/>
          <w:szCs w:val="24"/>
          <w:u w:val="single"/>
          <w:vertAlign w:val="baseline"/>
        </w:rPr>
        <w:t xml:space="preserve"> </w:t>
      </w:r>
      <w:r>
        <w:rPr>
          <w:rFonts w:ascii="Times New Roman" w:hAnsi="Times New Roman" w:cs="Times New Roman"/>
          <w:b/>
          <w:sz w:val="24"/>
          <w:szCs w:val="24"/>
          <w:u w:val="single"/>
          <w:vertAlign w:val="baseline"/>
        </w:rPr>
        <w:t>THE RITUAL PRACTICES OF WITCHDOCTORS</w:t>
      </w:r>
    </w:p>
    <w:p w14:paraId="7DB4DD19" w14:textId="1A8B4CF6" w:rsidR="007D11E4" w:rsidRPr="007D11E4" w:rsidRDefault="007D11E4" w:rsidP="00214995">
      <w:pPr>
        <w:spacing w:line="480" w:lineRule="auto"/>
        <w:ind w:firstLine="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In order to provide the information asked of them by their client, witchdoctors utilise a combination of different practices. Ritual, magic and divination are the three closely associated key practices employed by witchdoctors, with the aim of generating desired results through supernatural mechanisms. The term ritual refers to a sequence of repetitive or recurring events. Thus, ritual can be classified as habitual behaviour. It is important to distinguish between ritual and superstition, as these terms are often mistakenly used interchangeably. Both words refer to habitual behaviour, yet they are not synonyms of each other. Whilst ritual applies to habitual behaviour, namely a pattern of behaviour that habitually occurs in a defined way, superstition applies to habitual behaviour based upon irrational belief. Therefore, superstitious behaviour can be ritualistic, but not all ritualistic behaviour is superstitious.</w:t>
      </w:r>
      <w:r w:rsidRPr="007D11E4">
        <w:rPr>
          <w:rFonts w:ascii="Times New Roman" w:hAnsi="Times New Roman" w:cs="Times New Roman"/>
          <w:sz w:val="24"/>
          <w:szCs w:val="24"/>
        </w:rPr>
        <w:footnoteReference w:id="355"/>
      </w:r>
      <w:r w:rsidRPr="007D11E4">
        <w:rPr>
          <w:rFonts w:ascii="Times New Roman" w:hAnsi="Times New Roman" w:cs="Times New Roman"/>
          <w:sz w:val="24"/>
          <w:szCs w:val="24"/>
          <w:vertAlign w:val="baseline"/>
        </w:rPr>
        <w:t xml:space="preserve"> Ritual is important within religion. In fact, part of the definition of ‘ritual’ in the dictionary specifically refers to it as ‘a religious or solemn ceremony consisting of a series of actions performed according to a prescribed order.’</w:t>
      </w:r>
      <w:r w:rsidRPr="007D11E4">
        <w:rPr>
          <w:rFonts w:ascii="Times New Roman" w:hAnsi="Times New Roman" w:cs="Times New Roman"/>
          <w:sz w:val="24"/>
          <w:szCs w:val="24"/>
        </w:rPr>
        <w:footnoteReference w:id="356"/>
      </w:r>
      <w:r w:rsidRPr="007D11E4">
        <w:rPr>
          <w:rFonts w:ascii="Times New Roman" w:hAnsi="Times New Roman" w:cs="Times New Roman"/>
          <w:sz w:val="24"/>
          <w:szCs w:val="24"/>
          <w:vertAlign w:val="baseline"/>
        </w:rPr>
        <w:t xml:space="preserve"> A public religious ritual can be likened to a play or a drama, often consisting of actors, such as shamans or priests, words or scripts, in the form of spells, sermons or prayers, scenery and setting, for example, an altar in a church, props, such as candles and religious books, music or chanting, and, in some circumstances, dance.</w:t>
      </w:r>
      <w:r w:rsidRPr="007D11E4">
        <w:rPr>
          <w:rFonts w:ascii="Times New Roman" w:hAnsi="Times New Roman" w:cs="Times New Roman"/>
          <w:sz w:val="24"/>
          <w:szCs w:val="24"/>
        </w:rPr>
        <w:footnoteReference w:id="357"/>
      </w:r>
      <w:r w:rsidRPr="007D11E4">
        <w:rPr>
          <w:rFonts w:ascii="Times New Roman" w:hAnsi="Times New Roman" w:cs="Times New Roman"/>
          <w:sz w:val="24"/>
          <w:szCs w:val="24"/>
          <w:vertAlign w:val="baseline"/>
        </w:rPr>
        <w:t xml:space="preserve"> Two fundamental elements of religious practice are ritual and myth. Both are closely related. Ritual is based upon myth, with myth providing the foundations on which the ritual is based. Within every religious system, there will be a system of myths and rituals that are accepted and recognised by members of that particular community. </w:t>
      </w:r>
    </w:p>
    <w:p w14:paraId="1E930F7B" w14:textId="77777777" w:rsidR="007D11E4" w:rsidRPr="007D11E4" w:rsidRDefault="007D11E4" w:rsidP="007D11E4">
      <w:pPr>
        <w:spacing w:line="480" w:lineRule="auto"/>
        <w:ind w:firstLine="720"/>
        <w:jc w:val="both"/>
        <w:rPr>
          <w:rFonts w:ascii="Times New Roman" w:hAnsi="Times New Roman" w:cs="Times New Roman"/>
          <w:sz w:val="24"/>
          <w:szCs w:val="24"/>
          <w:vertAlign w:val="baseline"/>
        </w:rPr>
      </w:pPr>
    </w:p>
    <w:p w14:paraId="5F3543EC" w14:textId="1D6557A0" w:rsidR="00AB6F7D" w:rsidRDefault="007D11E4" w:rsidP="00EB2500">
      <w:pPr>
        <w:spacing w:line="480" w:lineRule="auto"/>
        <w:ind w:firstLine="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Wallace</w:t>
      </w:r>
      <w:r w:rsidRPr="007D11E4">
        <w:rPr>
          <w:rFonts w:ascii="Times New Roman" w:hAnsi="Times New Roman" w:cs="Times New Roman"/>
          <w:sz w:val="24"/>
          <w:szCs w:val="24"/>
        </w:rPr>
        <w:footnoteReference w:id="358"/>
      </w:r>
      <w:r w:rsidRPr="007D11E4">
        <w:rPr>
          <w:rFonts w:ascii="Times New Roman" w:hAnsi="Times New Roman" w:cs="Times New Roman"/>
          <w:sz w:val="24"/>
          <w:szCs w:val="24"/>
          <w:vertAlign w:val="baseline"/>
        </w:rPr>
        <w:t xml:space="preserve"> classifies ritual in to five distinct categories; technological rituals, which attempt to influence or control nature: therapy rituals, which deal with illness, accident and death; ideological rituals, which serve to maintain the normal functioning of a community; salvation rituals, which focus on the religious experience of the individual; and revitalisation rituals, which focus on the elimination of alien customs and a return to a native way of life.</w:t>
      </w:r>
      <w:r w:rsidRPr="007D11E4">
        <w:rPr>
          <w:rFonts w:ascii="Times New Roman" w:hAnsi="Times New Roman" w:cs="Times New Roman"/>
          <w:sz w:val="24"/>
          <w:szCs w:val="24"/>
        </w:rPr>
        <w:footnoteReference w:id="359"/>
      </w:r>
      <w:r w:rsidRPr="007D11E4">
        <w:rPr>
          <w:rFonts w:ascii="Times New Roman" w:hAnsi="Times New Roman" w:cs="Times New Roman"/>
          <w:sz w:val="24"/>
          <w:szCs w:val="24"/>
          <w:vertAlign w:val="baseline"/>
        </w:rPr>
        <w:t xml:space="preserve"> Out of these categories, the one of major interest to the witchcraft </w:t>
      </w:r>
      <w:r w:rsidR="00771207" w:rsidRPr="007D11E4">
        <w:rPr>
          <w:rFonts w:ascii="Times New Roman" w:hAnsi="Times New Roman" w:cs="Times New Roman"/>
          <w:sz w:val="24"/>
          <w:szCs w:val="24"/>
          <w:vertAlign w:val="baseline"/>
        </w:rPr>
        <w:t>discourse</w:t>
      </w:r>
      <w:r w:rsidRPr="007D11E4">
        <w:rPr>
          <w:rFonts w:ascii="Times New Roman" w:hAnsi="Times New Roman" w:cs="Times New Roman"/>
          <w:sz w:val="24"/>
          <w:szCs w:val="24"/>
          <w:vertAlign w:val="baseline"/>
        </w:rPr>
        <w:t xml:space="preserve"> is therapy rituals. In the witchcraft discourse, therapy rituals are of upmost importance. Illness, accident, misfortune and death are all attributed to the power of witchcraft. In response, people seek the assistance of witchdoctors, </w:t>
      </w:r>
      <w:r w:rsidR="00B3532C">
        <w:rPr>
          <w:rFonts w:ascii="Times New Roman" w:hAnsi="Times New Roman" w:cs="Times New Roman"/>
          <w:sz w:val="24"/>
          <w:szCs w:val="24"/>
          <w:vertAlign w:val="baseline"/>
        </w:rPr>
        <w:t>in order to cure, make sense of</w:t>
      </w:r>
      <w:r w:rsidRPr="007D11E4">
        <w:rPr>
          <w:rFonts w:ascii="Times New Roman" w:hAnsi="Times New Roman" w:cs="Times New Roman"/>
          <w:sz w:val="24"/>
          <w:szCs w:val="24"/>
          <w:vertAlign w:val="baseline"/>
        </w:rPr>
        <w:t xml:space="preserve"> and deal with such tragic events. Within traditional societies, rituals that concentrate on curing are known as therapy rituals.</w:t>
      </w:r>
      <w:r w:rsidRPr="007D11E4">
        <w:rPr>
          <w:rFonts w:ascii="Times New Roman" w:hAnsi="Times New Roman" w:cs="Times New Roman"/>
          <w:sz w:val="24"/>
          <w:szCs w:val="24"/>
        </w:rPr>
        <w:footnoteReference w:id="360"/>
      </w:r>
      <w:r w:rsidRPr="007D11E4">
        <w:rPr>
          <w:rFonts w:ascii="Times New Roman" w:hAnsi="Times New Roman" w:cs="Times New Roman"/>
          <w:sz w:val="24"/>
          <w:szCs w:val="24"/>
          <w:vertAlign w:val="baseline"/>
        </w:rPr>
        <w:t xml:space="preserve"> The type of ritual performed will be dependent on the specific cause of the illness, the cause being discovered beforehand through the practice of divination. Within the witchcraft discourse, the cause of such tragedy is a</w:t>
      </w:r>
      <w:r w:rsidR="00D47C37">
        <w:rPr>
          <w:rFonts w:ascii="Times New Roman" w:hAnsi="Times New Roman" w:cs="Times New Roman"/>
          <w:sz w:val="24"/>
          <w:szCs w:val="24"/>
          <w:vertAlign w:val="baseline"/>
        </w:rPr>
        <w:t xml:space="preserve">lways attributed to witchcraft; </w:t>
      </w:r>
      <w:r w:rsidRPr="007D11E4">
        <w:rPr>
          <w:rFonts w:ascii="Times New Roman" w:hAnsi="Times New Roman" w:cs="Times New Roman"/>
          <w:sz w:val="24"/>
          <w:szCs w:val="24"/>
          <w:vertAlign w:val="baseline"/>
        </w:rPr>
        <w:t>thus, in this situation, anti-witchcraft therapy rituals will be put into action. As observed by Abusch and Schwemer, ‘anti-witchcraft rituals and prescriptions prescribe ceremonies and treatments for dispelling witchcraft, destroying the witch, and protecting and curing the patient.’</w:t>
      </w:r>
      <w:r w:rsidRPr="007D11E4">
        <w:rPr>
          <w:rFonts w:ascii="Times New Roman" w:hAnsi="Times New Roman" w:cs="Times New Roman"/>
          <w:sz w:val="24"/>
          <w:szCs w:val="24"/>
        </w:rPr>
        <w:footnoteReference w:id="361"/>
      </w:r>
      <w:r w:rsidRPr="007D11E4">
        <w:rPr>
          <w:rFonts w:ascii="Times New Roman" w:hAnsi="Times New Roman" w:cs="Times New Roman"/>
          <w:sz w:val="24"/>
          <w:szCs w:val="24"/>
          <w:vertAlign w:val="baseline"/>
        </w:rPr>
        <w:t xml:space="preserve"> An example of this can be noted amongst the Navajo people,</w:t>
      </w:r>
      <w:r w:rsidRPr="007D11E4">
        <w:rPr>
          <w:rFonts w:ascii="Times New Roman" w:hAnsi="Times New Roman" w:cs="Times New Roman"/>
          <w:sz w:val="24"/>
          <w:szCs w:val="24"/>
        </w:rPr>
        <w:footnoteReference w:id="362"/>
      </w:r>
      <w:r w:rsidRPr="007D11E4">
        <w:rPr>
          <w:rFonts w:ascii="Times New Roman" w:hAnsi="Times New Roman" w:cs="Times New Roman"/>
          <w:sz w:val="24"/>
          <w:szCs w:val="24"/>
          <w:vertAlign w:val="baseline"/>
        </w:rPr>
        <w:t xml:space="preserve"> who utilise a combination of prayer, medicine, songs, herbs and sand paintings to restore the balance and harmony within society, thus, curing the illness.</w:t>
      </w:r>
      <w:r w:rsidRPr="007D11E4">
        <w:rPr>
          <w:rFonts w:ascii="Times New Roman" w:hAnsi="Times New Roman" w:cs="Times New Roman"/>
          <w:sz w:val="24"/>
          <w:szCs w:val="24"/>
        </w:rPr>
        <w:footnoteReference w:id="363"/>
      </w:r>
      <w:r w:rsidRPr="007D11E4">
        <w:rPr>
          <w:rFonts w:ascii="Times New Roman" w:hAnsi="Times New Roman" w:cs="Times New Roman"/>
          <w:sz w:val="24"/>
          <w:szCs w:val="24"/>
          <w:vertAlign w:val="baseline"/>
        </w:rPr>
        <w:t xml:space="preserve"> Exorcism, also known as deliverance, is possibly the most familiar form of ritual, documented within many horror films over the years, whereby ‘demons’ or evil spirits are driven out of the affected person. The practice of deliverance is particularly associated within the Pentecostal churches in Africa, where there remains a high level of teaching regarding the devil, witchcraft and deliverance from evil.</w:t>
      </w:r>
      <w:r w:rsidRPr="007D11E4">
        <w:rPr>
          <w:rFonts w:ascii="Times New Roman" w:hAnsi="Times New Roman" w:cs="Times New Roman"/>
          <w:sz w:val="24"/>
          <w:szCs w:val="24"/>
        </w:rPr>
        <w:footnoteReference w:id="364"/>
      </w:r>
      <w:r w:rsidRPr="007D11E4">
        <w:rPr>
          <w:rFonts w:ascii="Times New Roman" w:hAnsi="Times New Roman" w:cs="Times New Roman"/>
          <w:sz w:val="24"/>
          <w:szCs w:val="24"/>
          <w:vertAlign w:val="baseline"/>
        </w:rPr>
        <w:t xml:space="preserve"> Conversely, the Catholic Church, whilst they have always maintained their belief in exorcism as a way of dispelling the devil, have remained relatively quiet on the issue and have not been at the forefront of the witchcraft discourse. </w:t>
      </w:r>
      <w:r w:rsidR="00214995">
        <w:rPr>
          <w:rFonts w:ascii="Times New Roman" w:hAnsi="Times New Roman" w:cs="Times New Roman"/>
          <w:sz w:val="24"/>
          <w:szCs w:val="24"/>
          <w:vertAlign w:val="baseline"/>
        </w:rPr>
        <w:t>However, it is</w:t>
      </w:r>
      <w:r w:rsidRPr="007D11E4">
        <w:rPr>
          <w:rFonts w:ascii="Times New Roman" w:hAnsi="Times New Roman" w:cs="Times New Roman"/>
          <w:sz w:val="24"/>
          <w:szCs w:val="24"/>
          <w:vertAlign w:val="baseline"/>
        </w:rPr>
        <w:t xml:space="preserve"> disappointing to note the recent recognition, by the Vatican, of the International Associat</w:t>
      </w:r>
      <w:r w:rsidR="009E65A4">
        <w:rPr>
          <w:rFonts w:ascii="Times New Roman" w:hAnsi="Times New Roman" w:cs="Times New Roman"/>
          <w:sz w:val="24"/>
          <w:szCs w:val="24"/>
          <w:vertAlign w:val="baseline"/>
        </w:rPr>
        <w:t>ion of Exorcists, a group of two hundred and fifty priests in thirty</w:t>
      </w:r>
      <w:r w:rsidRPr="007D11E4">
        <w:rPr>
          <w:rFonts w:ascii="Times New Roman" w:hAnsi="Times New Roman" w:cs="Times New Roman"/>
          <w:sz w:val="24"/>
          <w:szCs w:val="24"/>
          <w:vertAlign w:val="baseline"/>
        </w:rPr>
        <w:t xml:space="preserve"> countries who are able to liberate the faithful from evil spirits.</w:t>
      </w:r>
      <w:r w:rsidRPr="007D11E4">
        <w:rPr>
          <w:rFonts w:ascii="Times New Roman" w:hAnsi="Times New Roman" w:cs="Times New Roman"/>
          <w:sz w:val="24"/>
          <w:szCs w:val="24"/>
        </w:rPr>
        <w:footnoteReference w:id="365"/>
      </w:r>
      <w:r w:rsidRPr="007D11E4">
        <w:rPr>
          <w:rFonts w:ascii="Times New Roman" w:hAnsi="Times New Roman" w:cs="Times New Roman"/>
          <w:sz w:val="24"/>
          <w:szCs w:val="24"/>
          <w:vertAlign w:val="baseline"/>
        </w:rPr>
        <w:t xml:space="preserve"> As reported on 1</w:t>
      </w:r>
      <w:r w:rsidRPr="007D11E4">
        <w:rPr>
          <w:rFonts w:ascii="Times New Roman" w:hAnsi="Times New Roman" w:cs="Times New Roman"/>
          <w:sz w:val="24"/>
          <w:szCs w:val="24"/>
        </w:rPr>
        <w:t>st</w:t>
      </w:r>
      <w:r w:rsidRPr="007D11E4">
        <w:rPr>
          <w:rFonts w:ascii="Times New Roman" w:hAnsi="Times New Roman" w:cs="Times New Roman"/>
          <w:sz w:val="24"/>
          <w:szCs w:val="24"/>
          <w:vertAlign w:val="baseline"/>
        </w:rPr>
        <w:t xml:space="preserve"> July 2014 in L'Osservatore Romano, the official Vatican newspaper, ‘the Vatican's Congregation for Clergy has approved the organization's statutes and recognized the group under canon law.’</w:t>
      </w:r>
      <w:r w:rsidRPr="007D11E4">
        <w:rPr>
          <w:rFonts w:ascii="Times New Roman" w:hAnsi="Times New Roman" w:cs="Times New Roman"/>
          <w:sz w:val="24"/>
          <w:szCs w:val="24"/>
        </w:rPr>
        <w:footnoteReference w:id="366"/>
      </w:r>
      <w:r w:rsidRPr="007D11E4">
        <w:rPr>
          <w:rFonts w:ascii="Times New Roman" w:hAnsi="Times New Roman" w:cs="Times New Roman"/>
          <w:sz w:val="24"/>
          <w:szCs w:val="24"/>
          <w:vertAlign w:val="baseline"/>
        </w:rPr>
        <w:t xml:space="preserve"> The effects of such recognition are yet to be seen within the </w:t>
      </w:r>
      <w:r w:rsidR="00A624B2">
        <w:rPr>
          <w:rFonts w:ascii="Times New Roman" w:hAnsi="Times New Roman" w:cs="Times New Roman"/>
          <w:sz w:val="24"/>
          <w:szCs w:val="24"/>
          <w:vertAlign w:val="baseline"/>
        </w:rPr>
        <w:t xml:space="preserve">Catholic </w:t>
      </w:r>
      <w:r w:rsidRPr="007D11E4">
        <w:rPr>
          <w:rFonts w:ascii="Times New Roman" w:hAnsi="Times New Roman" w:cs="Times New Roman"/>
          <w:sz w:val="24"/>
          <w:szCs w:val="24"/>
          <w:vertAlign w:val="baseline"/>
        </w:rPr>
        <w:t>community, but will, unquestionably, prove detrimental for t</w:t>
      </w:r>
      <w:r w:rsidR="00A624B2">
        <w:rPr>
          <w:rFonts w:ascii="Times New Roman" w:hAnsi="Times New Roman" w:cs="Times New Roman"/>
          <w:sz w:val="24"/>
          <w:szCs w:val="24"/>
          <w:vertAlign w:val="baseline"/>
        </w:rPr>
        <w:t>he anti-witch hunting campaign, as it will sustain the idea of the personification of evil and, consequently, the idea that people can become possessed.</w:t>
      </w:r>
    </w:p>
    <w:p w14:paraId="3894EA62" w14:textId="46D3AE3D" w:rsidR="007D11E4" w:rsidRDefault="007D11E4" w:rsidP="009F32C3">
      <w:pPr>
        <w:spacing w:line="480" w:lineRule="auto"/>
        <w:ind w:firstLine="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Besides exorcism and deliverance, there is, however, a more sinister element of ritual, which is prevalent within the witchcraft discourse, specifically ritual killings, also known as human sacrifice. Ritual killings link in with our second category, magic.</w:t>
      </w:r>
    </w:p>
    <w:p w14:paraId="41D03101" w14:textId="77777777" w:rsidR="009F32C3" w:rsidRPr="007D11E4" w:rsidRDefault="009F32C3" w:rsidP="009F32C3">
      <w:pPr>
        <w:spacing w:line="480" w:lineRule="auto"/>
        <w:jc w:val="both"/>
        <w:rPr>
          <w:rFonts w:ascii="Times New Roman" w:hAnsi="Times New Roman" w:cs="Times New Roman"/>
          <w:sz w:val="24"/>
          <w:szCs w:val="24"/>
          <w:vertAlign w:val="baseline"/>
        </w:rPr>
      </w:pPr>
    </w:p>
    <w:p w14:paraId="43F084EC" w14:textId="171BFBD0" w:rsidR="007D11E4" w:rsidRPr="009F32C3" w:rsidRDefault="009F32C3" w:rsidP="00AB6F7D">
      <w:pPr>
        <w:spacing w:line="480" w:lineRule="auto"/>
        <w:jc w:val="both"/>
        <w:rPr>
          <w:rFonts w:ascii="Times New Roman" w:hAnsi="Times New Roman" w:cs="Times New Roman"/>
          <w:b/>
          <w:sz w:val="24"/>
          <w:szCs w:val="24"/>
          <w:u w:val="single"/>
          <w:vertAlign w:val="baseline"/>
        </w:rPr>
      </w:pPr>
      <w:r w:rsidRPr="009F32C3">
        <w:rPr>
          <w:rFonts w:ascii="Times New Roman" w:hAnsi="Times New Roman" w:cs="Times New Roman"/>
          <w:b/>
          <w:sz w:val="24"/>
          <w:szCs w:val="24"/>
          <w:u w:val="single"/>
          <w:vertAlign w:val="baseline"/>
        </w:rPr>
        <w:t>3.11 MAGIC</w:t>
      </w:r>
    </w:p>
    <w:p w14:paraId="3203FB51" w14:textId="69806B4F" w:rsidR="007D11E4" w:rsidRDefault="007D11E4" w:rsidP="00D62ABE">
      <w:pPr>
        <w:spacing w:line="480" w:lineRule="auto"/>
        <w:ind w:firstLine="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‘Magic refers to methods that somehow interface with the supernatural and by which people can bring about particular outcomes.’</w:t>
      </w:r>
      <w:r w:rsidRPr="007D11E4">
        <w:rPr>
          <w:rFonts w:ascii="Times New Roman" w:hAnsi="Times New Roman" w:cs="Times New Roman"/>
          <w:sz w:val="24"/>
          <w:szCs w:val="24"/>
        </w:rPr>
        <w:footnoteReference w:id="367"/>
      </w:r>
      <w:r w:rsidRPr="007D11E4">
        <w:rPr>
          <w:rFonts w:ascii="Times New Roman" w:hAnsi="Times New Roman" w:cs="Times New Roman"/>
          <w:sz w:val="24"/>
          <w:szCs w:val="24"/>
          <w:vertAlign w:val="baseline"/>
        </w:rPr>
        <w:t xml:space="preserve"> Magic, thus, incorporates the first category, ritual, and seeks to bring about a particular outcome, by means of performing some form of habitual behaviour. The most common forms of magic, attributed to witchcraft are Juju, Muti and Ritual Killing.</w:t>
      </w:r>
      <w:r w:rsidR="009F32C3">
        <w:rPr>
          <w:rFonts w:ascii="Times New Roman" w:hAnsi="Times New Roman" w:cs="Times New Roman"/>
          <w:sz w:val="24"/>
          <w:szCs w:val="24"/>
          <w:vertAlign w:val="baseline"/>
        </w:rPr>
        <w:t xml:space="preserve"> </w:t>
      </w:r>
      <w:r w:rsidRPr="007D11E4">
        <w:rPr>
          <w:rFonts w:ascii="Times New Roman" w:hAnsi="Times New Roman" w:cs="Times New Roman"/>
          <w:sz w:val="24"/>
          <w:szCs w:val="24"/>
          <w:vertAlign w:val="baseline"/>
        </w:rPr>
        <w:t>Juju is a West African term, which refers to the use of black magic. Analogous to witchcraft, juju involves the manipulation of supernatural powers, in order to place a curse onto someone, or bring about some type of misfortune.</w:t>
      </w:r>
      <w:r w:rsidR="009F32C3">
        <w:rPr>
          <w:rStyle w:val="FootnoteReference"/>
          <w:rFonts w:ascii="Times New Roman" w:hAnsi="Times New Roman" w:cs="Times New Roman"/>
          <w:sz w:val="24"/>
          <w:szCs w:val="24"/>
        </w:rPr>
        <w:footnoteReference w:id="368"/>
      </w:r>
      <w:r w:rsidRPr="007D11E4">
        <w:rPr>
          <w:rFonts w:ascii="Times New Roman" w:hAnsi="Times New Roman" w:cs="Times New Roman"/>
          <w:sz w:val="24"/>
          <w:szCs w:val="24"/>
          <w:vertAlign w:val="baseline"/>
        </w:rPr>
        <w:t xml:space="preserve">  The threat of juju is commonly used by those looking to exploit their victims, such as human traffickers, in order to coerce victims into submission.</w:t>
      </w:r>
      <w:r w:rsidR="00FD38BA">
        <w:rPr>
          <w:rStyle w:val="FootnoteReference"/>
          <w:rFonts w:ascii="Times New Roman" w:hAnsi="Times New Roman" w:cs="Times New Roman"/>
          <w:sz w:val="24"/>
          <w:szCs w:val="24"/>
        </w:rPr>
        <w:footnoteReference w:id="369"/>
      </w:r>
      <w:r w:rsidRPr="007D11E4">
        <w:rPr>
          <w:rFonts w:ascii="Times New Roman" w:hAnsi="Times New Roman" w:cs="Times New Roman"/>
          <w:sz w:val="24"/>
          <w:szCs w:val="24"/>
          <w:vertAlign w:val="baseline"/>
        </w:rPr>
        <w:t xml:space="preserve"> As explained by Siddharth Kara,</w:t>
      </w:r>
    </w:p>
    <w:p w14:paraId="6C50B43D" w14:textId="77777777" w:rsidR="00480341" w:rsidRPr="007D11E4" w:rsidRDefault="00480341" w:rsidP="00D62ABE">
      <w:pPr>
        <w:spacing w:line="480" w:lineRule="auto"/>
        <w:ind w:firstLine="720"/>
        <w:jc w:val="both"/>
        <w:rPr>
          <w:rFonts w:ascii="Times New Roman" w:hAnsi="Times New Roman" w:cs="Times New Roman"/>
          <w:sz w:val="24"/>
          <w:szCs w:val="24"/>
          <w:vertAlign w:val="baseline"/>
        </w:rPr>
      </w:pPr>
    </w:p>
    <w:p w14:paraId="5DCD2B97" w14:textId="77777777" w:rsidR="007D11E4" w:rsidRPr="007D11E4" w:rsidRDefault="007D11E4" w:rsidP="00D62ABE">
      <w:pPr>
        <w:spacing w:line="480" w:lineRule="auto"/>
        <w:ind w:left="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The woman must first undergo specific Juju rites, in which the woman’s pubic hair, nails and menstrual blood are collected and placed before a traditional shrine. During the ritual, the woman is made to swear an oath to repay her debt, never to report to the police, and never to discuss the nature of her trip with anyone. Failure to uphold this oath results in grave misfortune for the woman and her family.</w:t>
      </w:r>
      <w:r w:rsidRPr="007D11E4">
        <w:rPr>
          <w:rFonts w:ascii="Times New Roman" w:hAnsi="Times New Roman" w:cs="Times New Roman"/>
          <w:sz w:val="24"/>
          <w:szCs w:val="24"/>
        </w:rPr>
        <w:footnoteReference w:id="370"/>
      </w:r>
    </w:p>
    <w:p w14:paraId="230E1F8A" w14:textId="77777777" w:rsidR="007D11E4" w:rsidRPr="007D11E4" w:rsidRDefault="007D11E4" w:rsidP="007D11E4">
      <w:pPr>
        <w:spacing w:line="480" w:lineRule="auto"/>
        <w:ind w:firstLine="720"/>
        <w:jc w:val="both"/>
        <w:rPr>
          <w:rFonts w:ascii="Times New Roman" w:hAnsi="Times New Roman" w:cs="Times New Roman"/>
          <w:sz w:val="24"/>
          <w:szCs w:val="24"/>
          <w:vertAlign w:val="baseline"/>
        </w:rPr>
      </w:pPr>
    </w:p>
    <w:p w14:paraId="6FDCC93F" w14:textId="3A7298E9" w:rsidR="007D11E4" w:rsidRDefault="007D11E4" w:rsidP="00D62ABE">
      <w:pPr>
        <w:spacing w:line="480" w:lineRule="auto"/>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 xml:space="preserve">Such ritualistic methods have a major effect on the victims, due to the strong nature of the belief in juju. Juju rituals are also associated with witchdoctors and other practitioners who manipulate such strong beliefs to their financial advantage, when victims visit them with their problems. As documented by Bell, the ritualistic cures prescribed by witchdoctors are typically barbaric, </w:t>
      </w:r>
    </w:p>
    <w:p w14:paraId="7EA1A3C4" w14:textId="77777777" w:rsidR="00D62ABE" w:rsidRPr="007D11E4" w:rsidRDefault="00D62ABE" w:rsidP="00D62ABE">
      <w:pPr>
        <w:spacing w:line="480" w:lineRule="auto"/>
        <w:jc w:val="both"/>
        <w:rPr>
          <w:rFonts w:ascii="Times New Roman" w:hAnsi="Times New Roman" w:cs="Times New Roman"/>
          <w:sz w:val="24"/>
          <w:szCs w:val="24"/>
          <w:vertAlign w:val="baseline"/>
        </w:rPr>
      </w:pPr>
    </w:p>
    <w:p w14:paraId="0421671B" w14:textId="77777777" w:rsidR="007D11E4" w:rsidRPr="007D11E4" w:rsidRDefault="007D11E4" w:rsidP="00D62ABE">
      <w:pPr>
        <w:spacing w:line="480" w:lineRule="auto"/>
        <w:ind w:left="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Girl A endured a ritual in which she was stripped and cut with a razorblade so her blood could be collected. Her body hair was shaved off and she was forced to lie naked in a closed coffin for hours. She then had to eat a raw chicken heart. Girl B was taken to a river where she was told to eat white clay, had a rock passed from a priest's mouth to hers, was given black soap to wash with and a raw chicken's egg to eat.</w:t>
      </w:r>
      <w:r w:rsidRPr="007D11E4">
        <w:rPr>
          <w:rFonts w:ascii="Times New Roman" w:hAnsi="Times New Roman" w:cs="Times New Roman"/>
          <w:sz w:val="24"/>
          <w:szCs w:val="24"/>
        </w:rPr>
        <w:footnoteReference w:id="371"/>
      </w:r>
    </w:p>
    <w:p w14:paraId="1A148FE4" w14:textId="77777777" w:rsidR="00D62ABE" w:rsidRDefault="00D62ABE" w:rsidP="00D62ABE">
      <w:pPr>
        <w:spacing w:line="480" w:lineRule="auto"/>
        <w:jc w:val="both"/>
        <w:rPr>
          <w:rFonts w:ascii="Times New Roman" w:hAnsi="Times New Roman" w:cs="Times New Roman"/>
          <w:sz w:val="24"/>
          <w:szCs w:val="24"/>
          <w:vertAlign w:val="baseline"/>
        </w:rPr>
      </w:pPr>
    </w:p>
    <w:p w14:paraId="52B34363" w14:textId="26DE29FE" w:rsidR="007D11E4" w:rsidRDefault="007D11E4" w:rsidP="00D62ABE">
      <w:pPr>
        <w:spacing w:line="480" w:lineRule="auto"/>
        <w:ind w:firstLine="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Muti is a word originating from South Africa, which refers to a form of traditional magic medicine that enables people to gain power or wealth.</w:t>
      </w:r>
      <w:r w:rsidRPr="007D11E4">
        <w:rPr>
          <w:rFonts w:ascii="Times New Roman" w:hAnsi="Times New Roman" w:cs="Times New Roman"/>
          <w:sz w:val="24"/>
          <w:szCs w:val="24"/>
        </w:rPr>
        <w:footnoteReference w:id="372"/>
      </w:r>
      <w:r w:rsidRPr="007D11E4">
        <w:rPr>
          <w:rFonts w:ascii="Times New Roman" w:hAnsi="Times New Roman" w:cs="Times New Roman"/>
          <w:sz w:val="24"/>
          <w:szCs w:val="24"/>
          <w:vertAlign w:val="baseline"/>
        </w:rPr>
        <w:t xml:space="preserve"> The most extreme form of muti involves the use of human body parts. Victims are mutilated or ritually killed to provide witchdoctors with the ingredients they require for sacrifice or medicinal potions. Muti and ritual killing are nearly always financially motivated.</w:t>
      </w:r>
      <w:r w:rsidR="00E048B2">
        <w:rPr>
          <w:rStyle w:val="FootnoteReference"/>
          <w:rFonts w:ascii="Times New Roman" w:hAnsi="Times New Roman" w:cs="Times New Roman"/>
          <w:sz w:val="24"/>
          <w:szCs w:val="24"/>
        </w:rPr>
        <w:footnoteReference w:id="373"/>
      </w:r>
      <w:r w:rsidRPr="007D11E4">
        <w:rPr>
          <w:rFonts w:ascii="Times New Roman" w:hAnsi="Times New Roman" w:cs="Times New Roman"/>
          <w:sz w:val="24"/>
          <w:szCs w:val="24"/>
          <w:vertAlign w:val="baseline"/>
        </w:rPr>
        <w:t xml:space="preserve"> Typically, upon visiting the witchdoctor, the client is told that in order to cure them of their problem, they need to present, to the witchdoctor, some form of body part. In some instances the client retrieves this item themselves. As recorded by Whewell</w:t>
      </w:r>
      <w:r w:rsidR="00525A99">
        <w:rPr>
          <w:rFonts w:ascii="Times New Roman" w:hAnsi="Times New Roman" w:cs="Times New Roman"/>
          <w:sz w:val="24"/>
          <w:szCs w:val="24"/>
          <w:vertAlign w:val="baseline"/>
        </w:rPr>
        <w:t xml:space="preserve"> </w:t>
      </w:r>
      <w:r w:rsidRPr="007D11E4">
        <w:rPr>
          <w:rFonts w:ascii="Times New Roman" w:hAnsi="Times New Roman" w:cs="Times New Roman"/>
          <w:sz w:val="24"/>
          <w:szCs w:val="24"/>
          <w:vertAlign w:val="baseline"/>
        </w:rPr>
        <w:t>during an investigation into human sacrifice in Uganda, ‘one witchdoctor led us to his secret shrine and said he had clients who regularly captured children and brought their blood and body parts to be consumed by spirits.’</w:t>
      </w:r>
      <w:r w:rsidRPr="007D11E4">
        <w:rPr>
          <w:rFonts w:ascii="Times New Roman" w:hAnsi="Times New Roman" w:cs="Times New Roman"/>
          <w:sz w:val="24"/>
          <w:szCs w:val="24"/>
        </w:rPr>
        <w:footnoteReference w:id="374"/>
      </w:r>
      <w:r w:rsidRPr="007D11E4">
        <w:rPr>
          <w:rFonts w:ascii="Times New Roman" w:hAnsi="Times New Roman" w:cs="Times New Roman"/>
          <w:sz w:val="24"/>
          <w:szCs w:val="24"/>
          <w:vertAlign w:val="baseline"/>
        </w:rPr>
        <w:t xml:space="preserve"> In other cases, witchdoctors employ people, known as </w:t>
      </w:r>
      <w:r w:rsidR="00525A99" w:rsidRPr="007D11E4">
        <w:rPr>
          <w:rFonts w:ascii="Times New Roman" w:hAnsi="Times New Roman" w:cs="Times New Roman"/>
          <w:sz w:val="24"/>
          <w:szCs w:val="24"/>
          <w:vertAlign w:val="baseline"/>
        </w:rPr>
        <w:t>head-hunters</w:t>
      </w:r>
      <w:r w:rsidRPr="007D11E4">
        <w:rPr>
          <w:rFonts w:ascii="Times New Roman" w:hAnsi="Times New Roman" w:cs="Times New Roman"/>
          <w:sz w:val="24"/>
          <w:szCs w:val="24"/>
          <w:vertAlign w:val="baseline"/>
        </w:rPr>
        <w:t xml:space="preserve">, to obtain the necessary body parts for them. Igwe explains, </w:t>
      </w:r>
    </w:p>
    <w:p w14:paraId="6F1F7999" w14:textId="77777777" w:rsidR="00480341" w:rsidRPr="007D11E4" w:rsidRDefault="00480341" w:rsidP="00D62ABE">
      <w:pPr>
        <w:spacing w:line="480" w:lineRule="auto"/>
        <w:ind w:firstLine="720"/>
        <w:jc w:val="both"/>
        <w:rPr>
          <w:rFonts w:ascii="Times New Roman" w:hAnsi="Times New Roman" w:cs="Times New Roman"/>
          <w:sz w:val="24"/>
          <w:szCs w:val="24"/>
          <w:vertAlign w:val="baseline"/>
        </w:rPr>
      </w:pPr>
    </w:p>
    <w:p w14:paraId="422D06E1" w14:textId="28C3FF02" w:rsidR="007D11E4" w:rsidRPr="007D11E4" w:rsidRDefault="007D11E4" w:rsidP="00E048B2">
      <w:pPr>
        <w:spacing w:line="480" w:lineRule="auto"/>
        <w:ind w:left="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 xml:space="preserve">Generally, ritual killing is a common practice in Nigeria. Every year, hundreds of Nigerians lose their lives to ritual murderers, also known as </w:t>
      </w:r>
      <w:r w:rsidR="00525A99" w:rsidRPr="007D11E4">
        <w:rPr>
          <w:rFonts w:ascii="Times New Roman" w:hAnsi="Times New Roman" w:cs="Times New Roman"/>
          <w:sz w:val="24"/>
          <w:szCs w:val="24"/>
          <w:vertAlign w:val="baseline"/>
        </w:rPr>
        <w:t>head-hunters</w:t>
      </w:r>
      <w:r w:rsidRPr="007D11E4">
        <w:rPr>
          <w:rFonts w:ascii="Times New Roman" w:hAnsi="Times New Roman" w:cs="Times New Roman"/>
          <w:sz w:val="24"/>
          <w:szCs w:val="24"/>
          <w:vertAlign w:val="baseline"/>
        </w:rPr>
        <w:t>. These head-hunters go in search of human parts - head, breast, tongue and sexual organs - at the behest of witchdoctors, juju priests and traditional medicine men who require them for some sacrifices or for the preparation of assorted magical potions.</w:t>
      </w:r>
      <w:r w:rsidRPr="007D11E4">
        <w:rPr>
          <w:rFonts w:ascii="Times New Roman" w:hAnsi="Times New Roman" w:cs="Times New Roman"/>
          <w:sz w:val="24"/>
          <w:szCs w:val="24"/>
        </w:rPr>
        <w:footnoteReference w:id="375"/>
      </w:r>
    </w:p>
    <w:p w14:paraId="2588E316" w14:textId="77777777" w:rsidR="00480341" w:rsidRDefault="00480341" w:rsidP="004D036B">
      <w:pPr>
        <w:spacing w:line="480" w:lineRule="auto"/>
        <w:jc w:val="both"/>
        <w:rPr>
          <w:rFonts w:ascii="Times New Roman" w:hAnsi="Times New Roman" w:cs="Times New Roman"/>
          <w:b/>
          <w:sz w:val="24"/>
          <w:szCs w:val="24"/>
          <w:u w:val="single"/>
          <w:vertAlign w:val="baseline"/>
        </w:rPr>
      </w:pPr>
    </w:p>
    <w:p w14:paraId="15759DD4" w14:textId="418E22C5" w:rsidR="007D11E4" w:rsidRPr="007D11E4" w:rsidRDefault="00BB249A" w:rsidP="004D036B">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3.12 DIVINATION</w:t>
      </w:r>
    </w:p>
    <w:p w14:paraId="5C34963F" w14:textId="43663FCD" w:rsidR="007D11E4" w:rsidRPr="007D11E4" w:rsidRDefault="007D11E4" w:rsidP="007D11E4">
      <w:pPr>
        <w:spacing w:line="480" w:lineRule="auto"/>
        <w:ind w:firstLine="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As previously stated, divination is the art of obtaining information about things that are not normally knowable, for example, knowledge of the future and communication with the supernatural, such as identification of a witch,</w:t>
      </w:r>
      <w:r w:rsidRPr="007D11E4">
        <w:rPr>
          <w:rFonts w:ascii="Times New Roman" w:hAnsi="Times New Roman" w:cs="Times New Roman"/>
          <w:sz w:val="24"/>
          <w:szCs w:val="24"/>
        </w:rPr>
        <w:footnoteReference w:id="376"/>
      </w:r>
      <w:r w:rsidRPr="007D11E4">
        <w:rPr>
          <w:rFonts w:ascii="Times New Roman" w:hAnsi="Times New Roman" w:cs="Times New Roman"/>
          <w:sz w:val="24"/>
          <w:szCs w:val="24"/>
          <w:vertAlign w:val="baseline"/>
        </w:rPr>
        <w:t xml:space="preserve"> and is one of the crucial aspects of the witchcraft discourse. The nature of divination within the witchcraft discourse is magical. Magical rituals are used to influence the supernatural world into providing the required information or outcome. Stein</w:t>
      </w:r>
      <w:r w:rsidRPr="007D11E4">
        <w:rPr>
          <w:rFonts w:ascii="Times New Roman" w:hAnsi="Times New Roman" w:cs="Times New Roman"/>
          <w:sz w:val="24"/>
          <w:szCs w:val="24"/>
        </w:rPr>
        <w:footnoteReference w:id="377"/>
      </w:r>
      <w:r w:rsidRPr="007D11E4">
        <w:rPr>
          <w:rFonts w:ascii="Times New Roman" w:hAnsi="Times New Roman" w:cs="Times New Roman"/>
          <w:sz w:val="24"/>
          <w:szCs w:val="24"/>
          <w:vertAlign w:val="baseline"/>
        </w:rPr>
        <w:t xml:space="preserve"> classifies divination into two basic categories: inspirational, which generally involves contact with the supernatural; and noninspirational or artificial divination, which involves the reading of natural events. Within these categories, Stein sub-categorises each act of divination to be either fortuitous or deliberate.</w:t>
      </w:r>
      <w:r w:rsidRPr="007D11E4">
        <w:rPr>
          <w:rFonts w:ascii="Times New Roman" w:hAnsi="Times New Roman" w:cs="Times New Roman"/>
          <w:sz w:val="24"/>
          <w:szCs w:val="24"/>
        </w:rPr>
        <w:footnoteReference w:id="378"/>
      </w:r>
      <w:r w:rsidRPr="007D11E4">
        <w:rPr>
          <w:rFonts w:ascii="Times New Roman" w:hAnsi="Times New Roman" w:cs="Times New Roman"/>
          <w:sz w:val="24"/>
          <w:szCs w:val="24"/>
          <w:vertAlign w:val="baseline"/>
        </w:rPr>
        <w:t xml:space="preserve"> The witchcraft discourse is concerned predominantly with inspirational divination, due to its direct contact with the supernatural. Within this category are six methods of divination pertinent to witchcraft: oneiromancy, necromancy, possession, presentiments, which fall within the fortuitous category, together with prophecy and medium, which fall under the deliberate category. </w:t>
      </w:r>
      <w:r w:rsidR="00BC09C4" w:rsidRPr="007D11E4">
        <w:rPr>
          <w:rFonts w:ascii="Times New Roman" w:hAnsi="Times New Roman" w:cs="Times New Roman"/>
          <w:sz w:val="24"/>
          <w:szCs w:val="24"/>
          <w:vertAlign w:val="baseline"/>
        </w:rPr>
        <w:t>Oneiromancy</w:t>
      </w:r>
      <w:r w:rsidRPr="007D11E4">
        <w:rPr>
          <w:rFonts w:ascii="Times New Roman" w:hAnsi="Times New Roman" w:cs="Times New Roman"/>
          <w:sz w:val="24"/>
          <w:szCs w:val="24"/>
          <w:vertAlign w:val="baseline"/>
        </w:rPr>
        <w:t xml:space="preserve"> is the interpretation of dreams.</w:t>
      </w:r>
      <w:r w:rsidRPr="007D11E4">
        <w:rPr>
          <w:rFonts w:ascii="Times New Roman" w:hAnsi="Times New Roman" w:cs="Times New Roman"/>
          <w:sz w:val="24"/>
          <w:szCs w:val="24"/>
        </w:rPr>
        <w:footnoteReference w:id="379"/>
      </w:r>
      <w:r w:rsidRPr="007D11E4">
        <w:rPr>
          <w:rFonts w:ascii="Times New Roman" w:hAnsi="Times New Roman" w:cs="Times New Roman"/>
          <w:sz w:val="24"/>
          <w:szCs w:val="24"/>
          <w:vertAlign w:val="baseline"/>
        </w:rPr>
        <w:t xml:space="preserve"> Dreams are often understood to contain visits from the spirit world and the state in which an individual can establish a connection with the supernatural. Thus, it is common for witches to appear to people within their dreams. </w:t>
      </w:r>
      <w:r w:rsidR="00D50DC0" w:rsidRPr="007D11E4">
        <w:rPr>
          <w:rFonts w:ascii="Times New Roman" w:hAnsi="Times New Roman" w:cs="Times New Roman"/>
          <w:sz w:val="24"/>
          <w:szCs w:val="24"/>
          <w:vertAlign w:val="baseline"/>
        </w:rPr>
        <w:t>Necromancy</w:t>
      </w:r>
      <w:r w:rsidRPr="007D11E4">
        <w:rPr>
          <w:rFonts w:ascii="Times New Roman" w:hAnsi="Times New Roman" w:cs="Times New Roman"/>
          <w:sz w:val="24"/>
          <w:szCs w:val="24"/>
          <w:vertAlign w:val="baseline"/>
        </w:rPr>
        <w:t xml:space="preserve"> generally refers to divination practices through contact with the dead or ancestors.</w:t>
      </w:r>
      <w:r w:rsidRPr="007D11E4">
        <w:rPr>
          <w:rFonts w:ascii="Times New Roman" w:hAnsi="Times New Roman" w:cs="Times New Roman"/>
          <w:sz w:val="24"/>
          <w:szCs w:val="24"/>
        </w:rPr>
        <w:footnoteReference w:id="380"/>
      </w:r>
      <w:r w:rsidRPr="007D11E4">
        <w:rPr>
          <w:rFonts w:ascii="Times New Roman" w:hAnsi="Times New Roman" w:cs="Times New Roman"/>
          <w:sz w:val="24"/>
          <w:szCs w:val="24"/>
          <w:vertAlign w:val="baseline"/>
        </w:rPr>
        <w:t xml:space="preserve"> Presentiments are the feelings that people experience when something is about to happen,</w:t>
      </w:r>
      <w:r w:rsidRPr="007D11E4">
        <w:rPr>
          <w:rFonts w:ascii="Times New Roman" w:hAnsi="Times New Roman" w:cs="Times New Roman"/>
          <w:sz w:val="24"/>
          <w:szCs w:val="24"/>
        </w:rPr>
        <w:footnoteReference w:id="381"/>
      </w:r>
      <w:r w:rsidRPr="007D11E4">
        <w:rPr>
          <w:rFonts w:ascii="Times New Roman" w:hAnsi="Times New Roman" w:cs="Times New Roman"/>
          <w:sz w:val="24"/>
          <w:szCs w:val="24"/>
          <w:vertAlign w:val="baseline"/>
        </w:rPr>
        <w:t xml:space="preserve"> for example the feeling of dread before an exam or interview. Other examples of presentiments can include bodily actions such as sneezing or if your ears are burning, it is alleged that someone is talking about you. </w:t>
      </w:r>
      <w:r w:rsidR="00771207" w:rsidRPr="007D11E4">
        <w:rPr>
          <w:rFonts w:ascii="Times New Roman" w:hAnsi="Times New Roman" w:cs="Times New Roman"/>
          <w:sz w:val="24"/>
          <w:szCs w:val="24"/>
          <w:vertAlign w:val="baseline"/>
        </w:rPr>
        <w:t>Possession</w:t>
      </w:r>
      <w:r w:rsidRPr="007D11E4">
        <w:rPr>
          <w:rFonts w:ascii="Times New Roman" w:hAnsi="Times New Roman" w:cs="Times New Roman"/>
          <w:sz w:val="24"/>
          <w:szCs w:val="24"/>
          <w:vertAlign w:val="baseline"/>
        </w:rPr>
        <w:t xml:space="preserve"> can be either deliberate or fortuitous.</w:t>
      </w:r>
      <w:r w:rsidRPr="007D11E4">
        <w:rPr>
          <w:rFonts w:ascii="Times New Roman" w:hAnsi="Times New Roman" w:cs="Times New Roman"/>
          <w:sz w:val="24"/>
          <w:szCs w:val="24"/>
        </w:rPr>
        <w:footnoteReference w:id="382"/>
      </w:r>
      <w:r w:rsidRPr="007D11E4">
        <w:rPr>
          <w:rFonts w:ascii="Times New Roman" w:hAnsi="Times New Roman" w:cs="Times New Roman"/>
          <w:sz w:val="24"/>
          <w:szCs w:val="24"/>
          <w:vertAlign w:val="baseline"/>
        </w:rPr>
        <w:t xml:space="preserve"> Prophecy would be an example of fortuitous possession, whereby information is received through a vision,</w:t>
      </w:r>
      <w:r w:rsidRPr="007D11E4">
        <w:rPr>
          <w:rFonts w:ascii="Times New Roman" w:hAnsi="Times New Roman" w:cs="Times New Roman"/>
          <w:sz w:val="24"/>
          <w:szCs w:val="24"/>
        </w:rPr>
        <w:footnoteReference w:id="383"/>
      </w:r>
      <w:r w:rsidRPr="007D11E4">
        <w:rPr>
          <w:rFonts w:ascii="Times New Roman" w:hAnsi="Times New Roman" w:cs="Times New Roman"/>
          <w:sz w:val="24"/>
          <w:szCs w:val="24"/>
          <w:vertAlign w:val="baseline"/>
        </w:rPr>
        <w:t xml:space="preserve"> as represented in the biblical tale of Moses and the burning bush. Mediums are an example of deliberate possession, whereby the individual, would openly communicate with the supernatural.</w:t>
      </w:r>
      <w:r w:rsidRPr="007D11E4">
        <w:rPr>
          <w:rFonts w:ascii="Times New Roman" w:hAnsi="Times New Roman" w:cs="Times New Roman"/>
          <w:sz w:val="24"/>
          <w:szCs w:val="24"/>
        </w:rPr>
        <w:footnoteReference w:id="384"/>
      </w:r>
      <w:r w:rsidRPr="007D11E4">
        <w:rPr>
          <w:rFonts w:ascii="Times New Roman" w:hAnsi="Times New Roman" w:cs="Times New Roman"/>
          <w:sz w:val="24"/>
          <w:szCs w:val="24"/>
          <w:vertAlign w:val="baseline"/>
        </w:rPr>
        <w:t xml:space="preserve"> </w:t>
      </w:r>
    </w:p>
    <w:p w14:paraId="6874CC9F" w14:textId="77777777" w:rsidR="007D11E4" w:rsidRPr="007D11E4" w:rsidRDefault="007D11E4" w:rsidP="007D11E4">
      <w:pPr>
        <w:spacing w:line="480" w:lineRule="auto"/>
        <w:ind w:firstLine="720"/>
        <w:jc w:val="both"/>
        <w:rPr>
          <w:rFonts w:ascii="Times New Roman" w:hAnsi="Times New Roman" w:cs="Times New Roman"/>
          <w:sz w:val="24"/>
          <w:szCs w:val="24"/>
          <w:vertAlign w:val="baseline"/>
        </w:rPr>
      </w:pPr>
    </w:p>
    <w:p w14:paraId="63DAD284" w14:textId="4BEEDFD1" w:rsidR="007D11E4" w:rsidRPr="007D11E4" w:rsidRDefault="007D11E4" w:rsidP="007D11E4">
      <w:pPr>
        <w:spacing w:line="480" w:lineRule="auto"/>
        <w:ind w:firstLine="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 xml:space="preserve">There are also noninspirational forms of divination, which are pertinent to the witchcraft discourse. Mechanical divination techniques, for example, the manipulation of objects such </w:t>
      </w:r>
      <w:r w:rsidR="007D3441">
        <w:rPr>
          <w:rFonts w:ascii="Times New Roman" w:hAnsi="Times New Roman" w:cs="Times New Roman"/>
          <w:sz w:val="24"/>
          <w:szCs w:val="24"/>
          <w:vertAlign w:val="baseline"/>
        </w:rPr>
        <w:t>as bones and shells, o</w:t>
      </w:r>
      <w:r w:rsidRPr="007D11E4">
        <w:rPr>
          <w:rFonts w:ascii="Times New Roman" w:hAnsi="Times New Roman" w:cs="Times New Roman"/>
          <w:sz w:val="24"/>
          <w:szCs w:val="24"/>
          <w:vertAlign w:val="baseline"/>
        </w:rPr>
        <w:t>uija boards, oracles, dead animals, and ordeals are also used within societies to establish an answer to a specific question.</w:t>
      </w:r>
      <w:r w:rsidRPr="007D11E4">
        <w:rPr>
          <w:rFonts w:ascii="Times New Roman" w:hAnsi="Times New Roman" w:cs="Times New Roman"/>
          <w:sz w:val="24"/>
          <w:szCs w:val="24"/>
        </w:rPr>
        <w:footnoteReference w:id="385"/>
      </w:r>
      <w:r w:rsidRPr="007D11E4">
        <w:rPr>
          <w:rFonts w:ascii="Times New Roman" w:hAnsi="Times New Roman" w:cs="Times New Roman"/>
          <w:sz w:val="24"/>
          <w:szCs w:val="24"/>
          <w:vertAlign w:val="baseline"/>
        </w:rPr>
        <w:t xml:space="preserve"> Trial by ordeal is a historical process, whereby the accused is subjected to undergo agonising and often fatal experiments.</w:t>
      </w:r>
      <w:r w:rsidRPr="007D11E4">
        <w:rPr>
          <w:rFonts w:ascii="Times New Roman" w:hAnsi="Times New Roman" w:cs="Times New Roman"/>
          <w:sz w:val="24"/>
          <w:szCs w:val="24"/>
        </w:rPr>
        <w:footnoteReference w:id="386"/>
      </w:r>
      <w:r w:rsidRPr="007D11E4">
        <w:rPr>
          <w:rFonts w:ascii="Times New Roman" w:hAnsi="Times New Roman" w:cs="Times New Roman"/>
          <w:sz w:val="24"/>
          <w:szCs w:val="24"/>
          <w:vertAlign w:val="baseline"/>
        </w:rPr>
        <w:t xml:space="preserve"> Historically, trial by ordeal, to detect witches, involved water.</w:t>
      </w:r>
      <w:r w:rsidRPr="007D11E4">
        <w:rPr>
          <w:rFonts w:ascii="Times New Roman" w:hAnsi="Times New Roman" w:cs="Times New Roman"/>
          <w:sz w:val="24"/>
          <w:szCs w:val="24"/>
        </w:rPr>
        <w:footnoteReference w:id="387"/>
      </w:r>
      <w:r w:rsidRPr="007D11E4">
        <w:rPr>
          <w:rFonts w:ascii="Times New Roman" w:hAnsi="Times New Roman" w:cs="Times New Roman"/>
          <w:sz w:val="24"/>
          <w:szCs w:val="24"/>
          <w:vertAlign w:val="baseline"/>
        </w:rPr>
        <w:t xml:space="preserve"> The rationale behind ordeal by water, was that the pureness of the water, would reject the impurity of the witch. The accused witch was tied up with rope and thrown into the water; if they sank they were held to be innocent and hastily pulled to safety, if they did not sink, it was deemed that the water had rejected the individual and they were guilty of witchcraft.</w:t>
      </w:r>
      <w:r w:rsidRPr="007D11E4">
        <w:rPr>
          <w:rFonts w:ascii="Times New Roman" w:hAnsi="Times New Roman" w:cs="Times New Roman"/>
          <w:sz w:val="24"/>
          <w:szCs w:val="24"/>
        </w:rPr>
        <w:footnoteReference w:id="388"/>
      </w:r>
      <w:r w:rsidRPr="007D11E4">
        <w:rPr>
          <w:rFonts w:ascii="Times New Roman" w:hAnsi="Times New Roman" w:cs="Times New Roman"/>
          <w:sz w:val="24"/>
          <w:szCs w:val="24"/>
          <w:vertAlign w:val="baseline"/>
        </w:rPr>
        <w:t xml:space="preserve"> Similar ordeals occur today, particularly in Africa, to dispel the witch from the inside.</w:t>
      </w:r>
      <w:r w:rsidRPr="007D11E4">
        <w:rPr>
          <w:rFonts w:ascii="Times New Roman" w:hAnsi="Times New Roman" w:cs="Times New Roman"/>
          <w:sz w:val="24"/>
          <w:szCs w:val="24"/>
        </w:rPr>
        <w:footnoteReference w:id="389"/>
      </w:r>
      <w:r w:rsidRPr="007D11E4">
        <w:rPr>
          <w:rFonts w:ascii="Times New Roman" w:hAnsi="Times New Roman" w:cs="Times New Roman"/>
          <w:sz w:val="24"/>
          <w:szCs w:val="24"/>
          <w:vertAlign w:val="baseline"/>
        </w:rPr>
        <w:t xml:space="preserve"> They include swallowing hot oil or poison, rubbing substances such as chilli powder into the eyes, striking the victim with hot irons or knives and the physical beating of the individual.</w:t>
      </w:r>
      <w:r w:rsidRPr="007D11E4">
        <w:rPr>
          <w:rFonts w:ascii="Times New Roman" w:hAnsi="Times New Roman" w:cs="Times New Roman"/>
          <w:sz w:val="24"/>
          <w:szCs w:val="24"/>
        </w:rPr>
        <w:footnoteReference w:id="390"/>
      </w:r>
      <w:r w:rsidRPr="007D11E4">
        <w:rPr>
          <w:rFonts w:ascii="Times New Roman" w:hAnsi="Times New Roman" w:cs="Times New Roman"/>
          <w:sz w:val="24"/>
          <w:szCs w:val="24"/>
          <w:vertAlign w:val="baseline"/>
        </w:rPr>
        <w:t xml:space="preserve"> Some of the most common divination practices involve animals. For example, the most important divination practice in the Azande is </w:t>
      </w:r>
      <w:r w:rsidRPr="007D11E4">
        <w:rPr>
          <w:rFonts w:ascii="Times New Roman" w:hAnsi="Times New Roman" w:cs="Times New Roman"/>
          <w:i/>
          <w:sz w:val="24"/>
          <w:szCs w:val="24"/>
          <w:vertAlign w:val="baseline"/>
        </w:rPr>
        <w:t>benge</w:t>
      </w:r>
      <w:r w:rsidRPr="007D11E4">
        <w:rPr>
          <w:rFonts w:ascii="Times New Roman" w:hAnsi="Times New Roman" w:cs="Times New Roman"/>
          <w:sz w:val="24"/>
          <w:szCs w:val="24"/>
          <w:vertAlign w:val="baseline"/>
        </w:rPr>
        <w:t>, known as the poison oracle.</w:t>
      </w:r>
      <w:r w:rsidRPr="007D11E4">
        <w:rPr>
          <w:rFonts w:ascii="Times New Roman" w:hAnsi="Times New Roman" w:cs="Times New Roman"/>
          <w:sz w:val="24"/>
          <w:szCs w:val="24"/>
        </w:rPr>
        <w:footnoteReference w:id="391"/>
      </w:r>
      <w:r w:rsidRPr="007D11E4">
        <w:rPr>
          <w:rFonts w:ascii="Times New Roman" w:hAnsi="Times New Roman" w:cs="Times New Roman"/>
          <w:sz w:val="24"/>
          <w:szCs w:val="24"/>
          <w:vertAlign w:val="baseline"/>
        </w:rPr>
        <w:t xml:space="preserve"> A special substance, called </w:t>
      </w:r>
      <w:r w:rsidRPr="007D11E4">
        <w:rPr>
          <w:rFonts w:ascii="Times New Roman" w:hAnsi="Times New Roman" w:cs="Times New Roman"/>
          <w:i/>
          <w:sz w:val="24"/>
          <w:szCs w:val="24"/>
          <w:vertAlign w:val="baseline"/>
        </w:rPr>
        <w:t>benge</w:t>
      </w:r>
      <w:r w:rsidRPr="007D11E4">
        <w:rPr>
          <w:rFonts w:ascii="Times New Roman" w:hAnsi="Times New Roman" w:cs="Times New Roman"/>
          <w:sz w:val="24"/>
          <w:szCs w:val="24"/>
          <w:vertAlign w:val="baseline"/>
        </w:rPr>
        <w:t xml:space="preserve">, is concocted using a red powder, contrived from a forest creeper, mixed with water. The </w:t>
      </w:r>
      <w:r w:rsidRPr="007D11E4">
        <w:rPr>
          <w:rFonts w:ascii="Times New Roman" w:hAnsi="Times New Roman" w:cs="Times New Roman"/>
          <w:i/>
          <w:sz w:val="24"/>
          <w:szCs w:val="24"/>
          <w:vertAlign w:val="baseline"/>
        </w:rPr>
        <w:t xml:space="preserve">benge </w:t>
      </w:r>
      <w:r w:rsidRPr="007D11E4">
        <w:rPr>
          <w:rFonts w:ascii="Times New Roman" w:hAnsi="Times New Roman" w:cs="Times New Roman"/>
          <w:sz w:val="24"/>
          <w:szCs w:val="24"/>
          <w:vertAlign w:val="baseline"/>
        </w:rPr>
        <w:t>is then administered orally to chickens, which, consequently, causes spasms in the chicken. Whether or not the chicken survives this ordeal determines the answer to the question asked by the Azande.</w:t>
      </w:r>
      <w:r w:rsidRPr="007D11E4">
        <w:rPr>
          <w:rFonts w:ascii="Times New Roman" w:hAnsi="Times New Roman" w:cs="Times New Roman"/>
          <w:sz w:val="24"/>
          <w:szCs w:val="24"/>
        </w:rPr>
        <w:footnoteReference w:id="392"/>
      </w:r>
      <w:r w:rsidRPr="007D11E4">
        <w:rPr>
          <w:rFonts w:ascii="Times New Roman" w:hAnsi="Times New Roman" w:cs="Times New Roman"/>
          <w:sz w:val="24"/>
          <w:szCs w:val="24"/>
          <w:vertAlign w:val="baseline"/>
        </w:rPr>
        <w:t xml:space="preserve"> Chickens are also used in the witch camps of Northern Ghana to decide the fate of alleged witches. The camps are run by </w:t>
      </w:r>
      <w:r w:rsidRPr="007D11E4">
        <w:rPr>
          <w:rFonts w:ascii="Times New Roman" w:hAnsi="Times New Roman" w:cs="Times New Roman"/>
          <w:i/>
          <w:sz w:val="24"/>
          <w:szCs w:val="24"/>
          <w:vertAlign w:val="baseline"/>
        </w:rPr>
        <w:t>tindanas</w:t>
      </w:r>
      <w:r w:rsidRPr="007D11E4">
        <w:rPr>
          <w:rFonts w:ascii="Times New Roman" w:hAnsi="Times New Roman" w:cs="Times New Roman"/>
          <w:sz w:val="24"/>
          <w:szCs w:val="24"/>
          <w:vertAlign w:val="baseline"/>
        </w:rPr>
        <w:t>, chiefs or priests, who possess the ability to cleanse the accused witch. In the Kukuo witch-camp in Bimbila, accused witches undergo a divination ritual to determine their guilt, normally held in front of the community.</w:t>
      </w:r>
      <w:r w:rsidRPr="007D11E4">
        <w:rPr>
          <w:rFonts w:ascii="Times New Roman" w:hAnsi="Times New Roman" w:cs="Times New Roman"/>
          <w:sz w:val="24"/>
          <w:szCs w:val="24"/>
        </w:rPr>
        <w:footnoteReference w:id="393"/>
      </w:r>
      <w:r w:rsidRPr="007D11E4">
        <w:rPr>
          <w:rFonts w:ascii="Times New Roman" w:hAnsi="Times New Roman" w:cs="Times New Roman"/>
          <w:sz w:val="24"/>
          <w:szCs w:val="24"/>
          <w:vertAlign w:val="baseline"/>
        </w:rPr>
        <w:t xml:space="preserve"> The accused is instructed to purchase a brightly coloured chicken, which is then offered to the resident witchdoctor. The witchdoctor squats on the ground, uttering conjurations before cutting the chicken's throat. If the chicken lands on its back, the accused is innocent, if the chicken lands on its front then the accused is found guilty. If found guilty, the accused would then be subjected to a harsher cleansing ceremony ritual. This involves drinking a concoction of chicken blood, monkey skulls and soil.</w:t>
      </w:r>
      <w:r w:rsidRPr="007D11E4">
        <w:rPr>
          <w:rFonts w:ascii="Times New Roman" w:hAnsi="Times New Roman" w:cs="Times New Roman"/>
          <w:sz w:val="24"/>
          <w:szCs w:val="24"/>
        </w:rPr>
        <w:footnoteReference w:id="394"/>
      </w:r>
      <w:r w:rsidRPr="007D11E4">
        <w:rPr>
          <w:rFonts w:ascii="Times New Roman" w:hAnsi="Times New Roman" w:cs="Times New Roman"/>
          <w:sz w:val="24"/>
          <w:szCs w:val="24"/>
          <w:vertAlign w:val="baseline"/>
        </w:rPr>
        <w:t xml:space="preserve"> Once consumed, if the individual does not fall ill within a </w:t>
      </w:r>
      <w:r w:rsidR="009E741A" w:rsidRPr="007D11E4">
        <w:rPr>
          <w:rFonts w:ascii="Times New Roman" w:hAnsi="Times New Roman" w:cs="Times New Roman"/>
          <w:sz w:val="24"/>
          <w:szCs w:val="24"/>
          <w:vertAlign w:val="baseline"/>
        </w:rPr>
        <w:t>seven-day</w:t>
      </w:r>
      <w:r w:rsidRPr="007D11E4">
        <w:rPr>
          <w:rFonts w:ascii="Times New Roman" w:hAnsi="Times New Roman" w:cs="Times New Roman"/>
          <w:sz w:val="24"/>
          <w:szCs w:val="24"/>
          <w:vertAlign w:val="baseline"/>
        </w:rPr>
        <w:t xml:space="preserve"> period, the exorcism is deemed effective.</w:t>
      </w:r>
      <w:r w:rsidRPr="007D11E4">
        <w:rPr>
          <w:rFonts w:ascii="Times New Roman" w:hAnsi="Times New Roman" w:cs="Times New Roman"/>
          <w:sz w:val="24"/>
          <w:szCs w:val="24"/>
        </w:rPr>
        <w:footnoteReference w:id="395"/>
      </w:r>
      <w:r w:rsidRPr="007D11E4">
        <w:rPr>
          <w:rFonts w:ascii="Times New Roman" w:hAnsi="Times New Roman" w:cs="Times New Roman"/>
          <w:sz w:val="24"/>
          <w:szCs w:val="24"/>
          <w:vertAlign w:val="baseline"/>
        </w:rPr>
        <w:t xml:space="preserve"> If not, the process must be repeated.</w:t>
      </w:r>
    </w:p>
    <w:p w14:paraId="5CCAFB3A" w14:textId="77777777" w:rsidR="007D11E4" w:rsidRPr="007D11E4" w:rsidRDefault="007D11E4" w:rsidP="007D11E4">
      <w:pPr>
        <w:spacing w:line="480" w:lineRule="auto"/>
        <w:ind w:firstLine="720"/>
        <w:jc w:val="both"/>
        <w:rPr>
          <w:rFonts w:ascii="Times New Roman" w:hAnsi="Times New Roman" w:cs="Times New Roman"/>
          <w:sz w:val="24"/>
          <w:szCs w:val="24"/>
          <w:vertAlign w:val="baseline"/>
        </w:rPr>
      </w:pPr>
    </w:p>
    <w:p w14:paraId="7214C1C6" w14:textId="6023B7D8" w:rsidR="007D11E4" w:rsidRPr="007D11E4" w:rsidRDefault="00C82836" w:rsidP="006515DE">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3.13 CONCLUSION</w:t>
      </w:r>
    </w:p>
    <w:p w14:paraId="215AC3BD" w14:textId="731B8C95" w:rsidR="007D11E4" w:rsidRPr="007D11E4" w:rsidRDefault="007D11E4" w:rsidP="007D11E4">
      <w:pPr>
        <w:spacing w:line="480" w:lineRule="auto"/>
        <w:ind w:firstLine="720"/>
        <w:jc w:val="both"/>
        <w:rPr>
          <w:rFonts w:ascii="Times New Roman" w:hAnsi="Times New Roman" w:cs="Times New Roman"/>
          <w:sz w:val="24"/>
          <w:szCs w:val="24"/>
          <w:vertAlign w:val="baseline"/>
        </w:rPr>
      </w:pPr>
      <w:r w:rsidRPr="007D11E4">
        <w:rPr>
          <w:rFonts w:ascii="Times New Roman" w:hAnsi="Times New Roman" w:cs="Times New Roman"/>
          <w:sz w:val="24"/>
          <w:szCs w:val="24"/>
          <w:vertAlign w:val="baseline"/>
        </w:rPr>
        <w:t>The phenomenon of witchcraft is not a new one, yet it is one, which, over recen</w:t>
      </w:r>
      <w:r w:rsidR="00B41C86">
        <w:rPr>
          <w:rFonts w:ascii="Times New Roman" w:hAnsi="Times New Roman" w:cs="Times New Roman"/>
          <w:sz w:val="24"/>
          <w:szCs w:val="24"/>
          <w:vertAlign w:val="baseline"/>
        </w:rPr>
        <w:t xml:space="preserve">t years, has gathered momentum. </w:t>
      </w:r>
      <w:r w:rsidRPr="007D11E4">
        <w:rPr>
          <w:rFonts w:ascii="Times New Roman" w:hAnsi="Times New Roman" w:cs="Times New Roman"/>
          <w:sz w:val="24"/>
          <w:szCs w:val="24"/>
          <w:vertAlign w:val="baseline"/>
        </w:rPr>
        <w:t>Thus, the importance of witchcraft, within society, is certainly not to be overlooked. As a subject, witchcraft traverses many differing disciplines, yet the extensive global distribution of witchcraft, coupled with its ambiguous nature, provides problems with terminology, definition, identification, understanding and, inevitably, solution</w:t>
      </w:r>
      <w:r w:rsidR="009E741A">
        <w:rPr>
          <w:rFonts w:ascii="Times New Roman" w:hAnsi="Times New Roman" w:cs="Times New Roman"/>
          <w:sz w:val="24"/>
          <w:szCs w:val="24"/>
          <w:vertAlign w:val="baseline"/>
        </w:rPr>
        <w:t>s. Evans-Pritchard’s definition</w:t>
      </w:r>
      <w:r w:rsidRPr="007D11E4">
        <w:rPr>
          <w:rFonts w:ascii="Times New Roman" w:hAnsi="Times New Roman" w:cs="Times New Roman"/>
          <w:sz w:val="24"/>
          <w:szCs w:val="24"/>
          <w:vertAlign w:val="baseline"/>
        </w:rPr>
        <w:t xml:space="preserve"> remains, undoubtedly</w:t>
      </w:r>
      <w:r w:rsidR="009E741A">
        <w:rPr>
          <w:rFonts w:ascii="Times New Roman" w:hAnsi="Times New Roman" w:cs="Times New Roman"/>
          <w:sz w:val="24"/>
          <w:szCs w:val="24"/>
          <w:vertAlign w:val="baseline"/>
        </w:rPr>
        <w:t>,</w:t>
      </w:r>
      <w:r w:rsidRPr="007D11E4">
        <w:rPr>
          <w:rFonts w:ascii="Times New Roman" w:hAnsi="Times New Roman" w:cs="Times New Roman"/>
          <w:sz w:val="24"/>
          <w:szCs w:val="24"/>
          <w:vertAlign w:val="baseline"/>
        </w:rPr>
        <w:t xml:space="preserve"> the most respected account of witchcraft, highlighting the crucial distinction between the </w:t>
      </w:r>
      <w:r w:rsidRPr="007D11E4">
        <w:rPr>
          <w:rFonts w:ascii="Times New Roman" w:hAnsi="Times New Roman" w:cs="Times New Roman"/>
          <w:i/>
          <w:sz w:val="24"/>
          <w:szCs w:val="24"/>
          <w:vertAlign w:val="baseline"/>
        </w:rPr>
        <w:t>belief</w:t>
      </w:r>
      <w:r w:rsidRPr="007D11E4">
        <w:rPr>
          <w:rFonts w:ascii="Times New Roman" w:hAnsi="Times New Roman" w:cs="Times New Roman"/>
          <w:sz w:val="24"/>
          <w:szCs w:val="24"/>
          <w:vertAlign w:val="baseline"/>
        </w:rPr>
        <w:t xml:space="preserve"> in witchcraft and witchcraft </w:t>
      </w:r>
      <w:r w:rsidRPr="007D11E4">
        <w:rPr>
          <w:rFonts w:ascii="Times New Roman" w:hAnsi="Times New Roman" w:cs="Times New Roman"/>
          <w:i/>
          <w:sz w:val="24"/>
          <w:szCs w:val="24"/>
          <w:vertAlign w:val="baseline"/>
        </w:rPr>
        <w:t xml:space="preserve">per se. </w:t>
      </w:r>
      <w:r w:rsidRPr="007D11E4">
        <w:rPr>
          <w:rFonts w:ascii="Times New Roman" w:hAnsi="Times New Roman" w:cs="Times New Roman"/>
          <w:sz w:val="24"/>
          <w:szCs w:val="24"/>
          <w:vertAlign w:val="baseline"/>
        </w:rPr>
        <w:t xml:space="preserve">Witchcraft beliefs provide the mechanism for the regulation of societal values. They explain the unexplainable, they allow individuals to deal with conflict and dissolve unwanted relationships, without the acknowledgment or acceptance of any personal responsibility, they provide a way of dealing with ‘difference’ and, as discussed in the following chapter, they become an ideal mechanism for marginalising women within </w:t>
      </w:r>
      <w:r w:rsidR="00754F67">
        <w:rPr>
          <w:rFonts w:ascii="Times New Roman" w:hAnsi="Times New Roman" w:cs="Times New Roman"/>
          <w:sz w:val="24"/>
          <w:szCs w:val="24"/>
          <w:vertAlign w:val="baseline"/>
        </w:rPr>
        <w:t>patriarchal societies</w:t>
      </w:r>
      <w:r w:rsidRPr="007D11E4">
        <w:rPr>
          <w:rFonts w:ascii="Times New Roman" w:hAnsi="Times New Roman" w:cs="Times New Roman"/>
          <w:sz w:val="24"/>
          <w:szCs w:val="24"/>
          <w:vertAlign w:val="baseline"/>
        </w:rPr>
        <w:t xml:space="preserve">, providing a way to exert power, out of fear, over those who fail to adhere to societal, conventional and religious norms. This chapter also discussed those individuals who monopolise the witchcraft discourse to their own advantage, examining the role of the witchdoctor within society and explaining the key practices employed by witchdoctors in order to detect a witch. The witchcraft discourse is self-perpetuating, extremely malleable and, fundamentally, the witchcraft discourse is fool proof. Furthermore, the witchcraft discourse is not particular when deciding on its victim. Whilst it is asserted that poverty or jealousy is the main trigger of an accusation, I submit that no single motivating factor trumps another; witchcraft is, essentially, a product of human emotion and environment. Thus, the discourse differs within differing societies. Utilising Van Beek’s seven-stage </w:t>
      </w:r>
      <w:r w:rsidR="00077BDD" w:rsidRPr="007D11E4">
        <w:rPr>
          <w:rFonts w:ascii="Times New Roman" w:hAnsi="Times New Roman" w:cs="Times New Roman"/>
          <w:sz w:val="24"/>
          <w:szCs w:val="24"/>
          <w:vertAlign w:val="baseline"/>
        </w:rPr>
        <w:t>model</w:t>
      </w:r>
      <w:r w:rsidRPr="007D11E4">
        <w:rPr>
          <w:rFonts w:ascii="Times New Roman" w:hAnsi="Times New Roman" w:cs="Times New Roman"/>
          <w:sz w:val="24"/>
          <w:szCs w:val="24"/>
          <w:vertAlign w:val="baseline"/>
        </w:rPr>
        <w:t xml:space="preserve"> helps us to understand the internal reasoning behind the witchcraft discourse, noting that whilst there may be differences, each society also shares a commonality, specifically the sequence of events within the discourse. </w:t>
      </w:r>
    </w:p>
    <w:p w14:paraId="1D1D7611" w14:textId="77777777" w:rsidR="00D4104C" w:rsidRDefault="00D4104C" w:rsidP="00F008D5">
      <w:pPr>
        <w:spacing w:line="480" w:lineRule="auto"/>
        <w:jc w:val="both"/>
        <w:rPr>
          <w:rFonts w:ascii="Times New Roman" w:hAnsi="Times New Roman" w:cs="Times New Roman"/>
          <w:sz w:val="24"/>
          <w:szCs w:val="24"/>
          <w:vertAlign w:val="baseline"/>
        </w:rPr>
        <w:sectPr w:rsidR="00D4104C" w:rsidSect="00EA2769">
          <w:pgSz w:w="11900" w:h="16840"/>
          <w:pgMar w:top="1418" w:right="1418" w:bottom="1418" w:left="2155" w:header="708" w:footer="708" w:gutter="0"/>
          <w:cols w:space="708"/>
          <w:docGrid w:linePitch="360"/>
        </w:sectPr>
      </w:pPr>
    </w:p>
    <w:p w14:paraId="0D724D8B" w14:textId="77777777" w:rsidR="005F7752" w:rsidRPr="005F7752" w:rsidRDefault="005F7752" w:rsidP="005F7752">
      <w:pPr>
        <w:spacing w:line="480" w:lineRule="auto"/>
        <w:jc w:val="center"/>
        <w:rPr>
          <w:rFonts w:ascii="Times New Roman" w:hAnsi="Times New Roman" w:cs="Times New Roman"/>
          <w:b/>
          <w:sz w:val="28"/>
          <w:szCs w:val="28"/>
          <w:vertAlign w:val="baseline"/>
        </w:rPr>
      </w:pPr>
      <w:r w:rsidRPr="005F7752">
        <w:rPr>
          <w:rFonts w:ascii="Times New Roman" w:hAnsi="Times New Roman" w:cs="Times New Roman"/>
          <w:b/>
          <w:sz w:val="28"/>
          <w:szCs w:val="28"/>
          <w:vertAlign w:val="baseline"/>
        </w:rPr>
        <w:t>Chapter Four – The Gendering of Witchcraft</w:t>
      </w:r>
    </w:p>
    <w:p w14:paraId="7515870A" w14:textId="77777777" w:rsidR="005F7752" w:rsidRPr="005F7752" w:rsidRDefault="005F7752" w:rsidP="005F7752">
      <w:pPr>
        <w:spacing w:line="480" w:lineRule="auto"/>
        <w:jc w:val="both"/>
        <w:rPr>
          <w:rFonts w:ascii="Times New Roman" w:hAnsi="Times New Roman" w:cs="Times New Roman"/>
          <w:b/>
          <w:sz w:val="24"/>
          <w:szCs w:val="24"/>
          <w:u w:val="single"/>
          <w:vertAlign w:val="baseline"/>
        </w:rPr>
      </w:pPr>
    </w:p>
    <w:p w14:paraId="55EA77A7" w14:textId="2E71C63D" w:rsidR="005F7752" w:rsidRPr="005F7752" w:rsidRDefault="009430F1" w:rsidP="005F7752">
      <w:pPr>
        <w:spacing w:line="480" w:lineRule="auto"/>
        <w:jc w:val="both"/>
        <w:rPr>
          <w:rFonts w:ascii="Times New Roman" w:hAnsi="Times New Roman" w:cs="Times New Roman"/>
          <w:b/>
          <w:sz w:val="24"/>
          <w:szCs w:val="24"/>
          <w:vertAlign w:val="baseline"/>
        </w:rPr>
      </w:pPr>
      <w:r>
        <w:rPr>
          <w:rFonts w:ascii="Times New Roman" w:hAnsi="Times New Roman" w:cs="Times New Roman"/>
          <w:b/>
          <w:sz w:val="24"/>
          <w:szCs w:val="24"/>
          <w:u w:val="single"/>
          <w:vertAlign w:val="baseline"/>
        </w:rPr>
        <w:t>4</w:t>
      </w:r>
      <w:r w:rsidR="005F7752">
        <w:rPr>
          <w:rFonts w:ascii="Times New Roman" w:hAnsi="Times New Roman" w:cs="Times New Roman"/>
          <w:b/>
          <w:sz w:val="24"/>
          <w:szCs w:val="24"/>
          <w:u w:val="single"/>
          <w:vertAlign w:val="baseline"/>
        </w:rPr>
        <w:t xml:space="preserve">.1 </w:t>
      </w:r>
      <w:r w:rsidR="005F7752" w:rsidRPr="005F7752">
        <w:rPr>
          <w:rFonts w:ascii="Times New Roman" w:hAnsi="Times New Roman" w:cs="Times New Roman"/>
          <w:b/>
          <w:sz w:val="24"/>
          <w:szCs w:val="24"/>
          <w:u w:val="single"/>
          <w:vertAlign w:val="baseline"/>
        </w:rPr>
        <w:t>I</w:t>
      </w:r>
      <w:r>
        <w:rPr>
          <w:rFonts w:ascii="Times New Roman" w:hAnsi="Times New Roman" w:cs="Times New Roman"/>
          <w:b/>
          <w:sz w:val="24"/>
          <w:szCs w:val="24"/>
          <w:u w:val="single"/>
          <w:vertAlign w:val="baseline"/>
        </w:rPr>
        <w:t>NTRODUCTION</w:t>
      </w:r>
    </w:p>
    <w:p w14:paraId="1EFD2699" w14:textId="32F4AC63" w:rsidR="005F7752" w:rsidRPr="005F7752" w:rsidRDefault="005F7752" w:rsidP="006F3A67">
      <w:pPr>
        <w:spacing w:line="480" w:lineRule="auto"/>
        <w:ind w:firstLine="36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 xml:space="preserve">This chapter will examine the gendering of witchcraft. It will examine how and why </w:t>
      </w:r>
      <w:r w:rsidR="003861F4">
        <w:rPr>
          <w:rFonts w:ascii="Times New Roman" w:hAnsi="Times New Roman" w:cs="Times New Roman"/>
          <w:sz w:val="24"/>
          <w:szCs w:val="24"/>
          <w:vertAlign w:val="baseline"/>
        </w:rPr>
        <w:t>women are accused of witchcraft</w:t>
      </w:r>
      <w:r w:rsidRPr="005F7752">
        <w:rPr>
          <w:rFonts w:ascii="Times New Roman" w:hAnsi="Times New Roman" w:cs="Times New Roman"/>
          <w:sz w:val="24"/>
          <w:szCs w:val="24"/>
          <w:vertAlign w:val="baseline"/>
        </w:rPr>
        <w:t xml:space="preserve"> and the effects of such accusations on the enjoyment of human rights. Essentially, witchcraft accusations are often used as a marginalising tool, in order to keep women within their traditional roles in society. Thus, the relationship between violence against women and the traditions of culture and custom will be examined, focusing explicitly on the phenomenon of witchcraft accusations. This chapter will examine the way in which the witchcraft discourse manifests itself within different societies. Focusing specifically on four countries, Ghana, India, Nepal and Papua New Guinea,</w:t>
      </w:r>
      <w:r w:rsidR="00EE23D3">
        <w:rPr>
          <w:rFonts w:ascii="Times New Roman" w:hAnsi="Times New Roman" w:cs="Times New Roman"/>
          <w:sz w:val="24"/>
          <w:szCs w:val="24"/>
          <w:vertAlign w:val="baseline"/>
        </w:rPr>
        <w:t xml:space="preserve"> common themes and differences </w:t>
      </w:r>
      <w:r w:rsidRPr="005F7752">
        <w:rPr>
          <w:rFonts w:ascii="Times New Roman" w:hAnsi="Times New Roman" w:cs="Times New Roman"/>
          <w:sz w:val="24"/>
          <w:szCs w:val="24"/>
          <w:vertAlign w:val="baseline"/>
        </w:rPr>
        <w:t>within the witchcraft discourse, will be identified and examined, in order to ascertain whether the disposition of the contemporary witchcraft discourse retains its feminine nature.</w:t>
      </w:r>
    </w:p>
    <w:p w14:paraId="70BE88C1" w14:textId="77777777" w:rsidR="005F7752" w:rsidRPr="005F7752" w:rsidRDefault="005F7752" w:rsidP="005F7752">
      <w:pPr>
        <w:spacing w:line="480" w:lineRule="auto"/>
        <w:jc w:val="both"/>
        <w:rPr>
          <w:rFonts w:ascii="Times New Roman" w:hAnsi="Times New Roman" w:cs="Times New Roman"/>
          <w:sz w:val="24"/>
          <w:szCs w:val="24"/>
          <w:vertAlign w:val="baseline"/>
        </w:rPr>
      </w:pPr>
    </w:p>
    <w:p w14:paraId="589157C3" w14:textId="0E6946F0" w:rsidR="005F7752" w:rsidRPr="005F7752" w:rsidRDefault="0035109F" w:rsidP="00AE617E">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4</w:t>
      </w:r>
      <w:r w:rsidR="00AE617E">
        <w:rPr>
          <w:rFonts w:ascii="Times New Roman" w:hAnsi="Times New Roman" w:cs="Times New Roman"/>
          <w:b/>
          <w:sz w:val="24"/>
          <w:szCs w:val="24"/>
          <w:u w:val="single"/>
          <w:vertAlign w:val="baseline"/>
        </w:rPr>
        <w:t xml:space="preserve">.2 </w:t>
      </w:r>
      <w:r>
        <w:rPr>
          <w:rFonts w:ascii="Times New Roman" w:hAnsi="Times New Roman" w:cs="Times New Roman"/>
          <w:b/>
          <w:sz w:val="24"/>
          <w:szCs w:val="24"/>
          <w:u w:val="single"/>
          <w:vertAlign w:val="baseline"/>
        </w:rPr>
        <w:t>HISTORICAL GENDERING</w:t>
      </w:r>
    </w:p>
    <w:p w14:paraId="620CC1D5" w14:textId="2DC76BD1" w:rsidR="00E05C29" w:rsidRDefault="00E05C29" w:rsidP="00544EF6">
      <w:pPr>
        <w:spacing w:line="480" w:lineRule="auto"/>
        <w:ind w:firstLine="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For the purposes of this section, the historical assessment of witchcraft will focus upon European witchcraft. </w:t>
      </w:r>
      <w:r w:rsidR="00544EF6">
        <w:rPr>
          <w:rFonts w:ascii="Times New Roman" w:hAnsi="Times New Roman" w:cs="Times New Roman"/>
          <w:sz w:val="24"/>
          <w:szCs w:val="24"/>
          <w:vertAlign w:val="baseline"/>
        </w:rPr>
        <w:t xml:space="preserve">Whilst this could be understood as a euro-centric understanding of the phenomenon, this comparison is necessary for a number of reasons. </w:t>
      </w:r>
      <w:r>
        <w:rPr>
          <w:rFonts w:ascii="Times New Roman" w:hAnsi="Times New Roman" w:cs="Times New Roman"/>
          <w:sz w:val="24"/>
          <w:szCs w:val="24"/>
          <w:vertAlign w:val="baseline"/>
        </w:rPr>
        <w:t>Primarily, the basis of witchcraft accusations in Ghana and Papua New</w:t>
      </w:r>
      <w:r w:rsidR="00285341">
        <w:rPr>
          <w:rFonts w:ascii="Times New Roman" w:hAnsi="Times New Roman" w:cs="Times New Roman"/>
          <w:sz w:val="24"/>
          <w:szCs w:val="24"/>
          <w:vertAlign w:val="baseline"/>
        </w:rPr>
        <w:t xml:space="preserve"> Guinea are</w:t>
      </w:r>
      <w:r>
        <w:rPr>
          <w:rFonts w:ascii="Times New Roman" w:hAnsi="Times New Roman" w:cs="Times New Roman"/>
          <w:sz w:val="24"/>
          <w:szCs w:val="24"/>
          <w:vertAlign w:val="baseline"/>
        </w:rPr>
        <w:t xml:space="preserve"> strongly linked to Christianity, which </w:t>
      </w:r>
      <w:r w:rsidR="00285341">
        <w:rPr>
          <w:rFonts w:ascii="Times New Roman" w:hAnsi="Times New Roman" w:cs="Times New Roman"/>
          <w:sz w:val="24"/>
          <w:szCs w:val="24"/>
          <w:vertAlign w:val="baseline"/>
        </w:rPr>
        <w:t xml:space="preserve">also </w:t>
      </w:r>
      <w:r>
        <w:rPr>
          <w:rFonts w:ascii="Times New Roman" w:hAnsi="Times New Roman" w:cs="Times New Roman"/>
          <w:sz w:val="24"/>
          <w:szCs w:val="24"/>
          <w:vertAlign w:val="baseline"/>
        </w:rPr>
        <w:t xml:space="preserve">provides the </w:t>
      </w:r>
      <w:r w:rsidR="004A4353">
        <w:rPr>
          <w:rFonts w:ascii="Times New Roman" w:hAnsi="Times New Roman" w:cs="Times New Roman"/>
          <w:sz w:val="24"/>
          <w:szCs w:val="24"/>
          <w:vertAlign w:val="baseline"/>
        </w:rPr>
        <w:t>source of</w:t>
      </w:r>
      <w:r>
        <w:rPr>
          <w:rFonts w:ascii="Times New Roman" w:hAnsi="Times New Roman" w:cs="Times New Roman"/>
          <w:sz w:val="24"/>
          <w:szCs w:val="24"/>
          <w:vertAlign w:val="baseline"/>
        </w:rPr>
        <w:t xml:space="preserve"> the witchcraft trials in Europe. Secondly, in </w:t>
      </w:r>
      <w:r w:rsidR="004A4353">
        <w:rPr>
          <w:rFonts w:ascii="Times New Roman" w:hAnsi="Times New Roman" w:cs="Times New Roman"/>
          <w:sz w:val="24"/>
          <w:szCs w:val="24"/>
          <w:vertAlign w:val="baseline"/>
        </w:rPr>
        <w:t xml:space="preserve">all four countries, specifically in </w:t>
      </w:r>
      <w:r>
        <w:rPr>
          <w:rFonts w:ascii="Times New Roman" w:hAnsi="Times New Roman" w:cs="Times New Roman"/>
          <w:sz w:val="24"/>
          <w:szCs w:val="24"/>
          <w:vertAlign w:val="baseline"/>
        </w:rPr>
        <w:t>India and Nepal, whose witchcraf</w:t>
      </w:r>
      <w:r w:rsidR="004A4353">
        <w:rPr>
          <w:rFonts w:ascii="Times New Roman" w:hAnsi="Times New Roman" w:cs="Times New Roman"/>
          <w:sz w:val="24"/>
          <w:szCs w:val="24"/>
          <w:vertAlign w:val="baseline"/>
        </w:rPr>
        <w:t>t is linked to Hinduism, there is little, if any, documentation on historical witchcraft. This is largely due to the unwritten nature of many of the important Hindu scriptures (</w:t>
      </w:r>
      <w:r w:rsidR="004A4353" w:rsidRPr="004A4353">
        <w:rPr>
          <w:rFonts w:ascii="Times New Roman" w:hAnsi="Times New Roman" w:cs="Times New Roman"/>
          <w:i/>
          <w:sz w:val="24"/>
          <w:szCs w:val="24"/>
          <w:vertAlign w:val="baseline"/>
        </w:rPr>
        <w:t>S</w:t>
      </w:r>
      <w:r w:rsidR="004A4353">
        <w:rPr>
          <w:rFonts w:ascii="Times New Roman" w:hAnsi="Times New Roman" w:cs="Times New Roman"/>
          <w:i/>
          <w:sz w:val="24"/>
          <w:szCs w:val="24"/>
          <w:vertAlign w:val="baseline"/>
        </w:rPr>
        <w:t>h</w:t>
      </w:r>
      <w:r w:rsidR="004A4353" w:rsidRPr="004A4353">
        <w:rPr>
          <w:rFonts w:ascii="Times New Roman" w:hAnsi="Times New Roman" w:cs="Times New Roman"/>
          <w:i/>
          <w:sz w:val="24"/>
          <w:szCs w:val="24"/>
          <w:vertAlign w:val="baseline"/>
        </w:rPr>
        <w:t>rutis</w:t>
      </w:r>
      <w:r w:rsidR="004A4353">
        <w:rPr>
          <w:rFonts w:ascii="Times New Roman" w:hAnsi="Times New Roman" w:cs="Times New Roman"/>
          <w:sz w:val="24"/>
          <w:szCs w:val="24"/>
          <w:vertAlign w:val="baseline"/>
        </w:rPr>
        <w:t xml:space="preserve">) </w:t>
      </w:r>
      <w:r w:rsidR="004A4353" w:rsidRPr="004A4353">
        <w:rPr>
          <w:rFonts w:ascii="Times New Roman" w:hAnsi="Times New Roman" w:cs="Times New Roman"/>
          <w:sz w:val="24"/>
          <w:szCs w:val="24"/>
          <w:vertAlign w:val="baseline"/>
        </w:rPr>
        <w:t>and</w:t>
      </w:r>
      <w:r w:rsidR="004A4353">
        <w:rPr>
          <w:rFonts w:ascii="Times New Roman" w:hAnsi="Times New Roman" w:cs="Times New Roman"/>
          <w:sz w:val="24"/>
          <w:szCs w:val="24"/>
          <w:vertAlign w:val="baseline"/>
        </w:rPr>
        <w:t xml:space="preserve"> texts, which were transmitted verbally from generation to generation.</w:t>
      </w:r>
      <w:r w:rsidR="00544EF6">
        <w:rPr>
          <w:rFonts w:ascii="Times New Roman" w:hAnsi="Times New Roman" w:cs="Times New Roman"/>
          <w:sz w:val="24"/>
          <w:szCs w:val="24"/>
          <w:vertAlign w:val="baseline"/>
        </w:rPr>
        <w:t xml:space="preserve"> </w:t>
      </w:r>
      <w:r w:rsidR="00285341">
        <w:rPr>
          <w:rFonts w:ascii="Times New Roman" w:hAnsi="Times New Roman" w:cs="Times New Roman"/>
          <w:sz w:val="24"/>
          <w:szCs w:val="24"/>
          <w:vertAlign w:val="baseline"/>
        </w:rPr>
        <w:t xml:space="preserve">Thus, a historical analysis of witchcraft within these countries proved to be problematic. However, the link between women and witchcraft, as will be demonstrated </w:t>
      </w:r>
      <w:r w:rsidR="0007532E">
        <w:rPr>
          <w:rFonts w:ascii="Times New Roman" w:hAnsi="Times New Roman" w:cs="Times New Roman"/>
          <w:sz w:val="24"/>
          <w:szCs w:val="24"/>
          <w:vertAlign w:val="baseline"/>
        </w:rPr>
        <w:t>throughout this chapter, remains</w:t>
      </w:r>
      <w:r w:rsidR="00285341">
        <w:rPr>
          <w:rFonts w:ascii="Times New Roman" w:hAnsi="Times New Roman" w:cs="Times New Roman"/>
          <w:sz w:val="24"/>
          <w:szCs w:val="24"/>
          <w:vertAlign w:val="baseline"/>
        </w:rPr>
        <w:t xml:space="preserve"> undeniable in all four countries. </w:t>
      </w:r>
    </w:p>
    <w:p w14:paraId="403FEF92" w14:textId="77777777" w:rsidR="00285341" w:rsidRDefault="00285341" w:rsidP="00544EF6">
      <w:pPr>
        <w:spacing w:line="480" w:lineRule="auto"/>
        <w:ind w:firstLine="720"/>
        <w:jc w:val="both"/>
        <w:rPr>
          <w:rFonts w:ascii="Times New Roman" w:hAnsi="Times New Roman" w:cs="Times New Roman"/>
          <w:sz w:val="24"/>
          <w:szCs w:val="24"/>
          <w:vertAlign w:val="baseline"/>
        </w:rPr>
      </w:pPr>
    </w:p>
    <w:p w14:paraId="5AE0B339" w14:textId="77777777" w:rsidR="005F7752" w:rsidRPr="005F7752" w:rsidRDefault="005F7752" w:rsidP="00AE617E">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Whilst it is submitted that there were male victims of the witchcraft trials held the 16</w:t>
      </w:r>
      <w:r w:rsidRPr="005F7752">
        <w:rPr>
          <w:rFonts w:ascii="Times New Roman" w:hAnsi="Times New Roman" w:cs="Times New Roman"/>
          <w:sz w:val="24"/>
          <w:szCs w:val="24"/>
        </w:rPr>
        <w:t>th</w:t>
      </w:r>
      <w:r w:rsidRPr="005F7752">
        <w:rPr>
          <w:rFonts w:ascii="Times New Roman" w:hAnsi="Times New Roman" w:cs="Times New Roman"/>
          <w:sz w:val="24"/>
          <w:szCs w:val="24"/>
          <w:vertAlign w:val="baseline"/>
        </w:rPr>
        <w:t xml:space="preserve"> and 18</w:t>
      </w:r>
      <w:r w:rsidRPr="005F7752">
        <w:rPr>
          <w:rFonts w:ascii="Times New Roman" w:hAnsi="Times New Roman" w:cs="Times New Roman"/>
          <w:sz w:val="24"/>
          <w:szCs w:val="24"/>
        </w:rPr>
        <w:t>th</w:t>
      </w:r>
      <w:r w:rsidRPr="005F7752">
        <w:rPr>
          <w:rFonts w:ascii="Times New Roman" w:hAnsi="Times New Roman" w:cs="Times New Roman"/>
          <w:sz w:val="24"/>
          <w:szCs w:val="24"/>
          <w:vertAlign w:val="baseline"/>
        </w:rPr>
        <w:t xml:space="preserve"> centuries, it cannot be denied that women were the main targets of witchcraft accusations. As Karlsen observes, ‘the history of witchcraft is primarily a history of women.’</w:t>
      </w:r>
      <w:r w:rsidRPr="005F7752">
        <w:rPr>
          <w:rFonts w:ascii="Times New Roman" w:hAnsi="Times New Roman" w:cs="Times New Roman"/>
          <w:sz w:val="24"/>
          <w:szCs w:val="24"/>
        </w:rPr>
        <w:footnoteReference w:id="396"/>
      </w:r>
      <w:r w:rsidRPr="005F7752">
        <w:rPr>
          <w:rFonts w:ascii="Times New Roman" w:hAnsi="Times New Roman" w:cs="Times New Roman"/>
          <w:sz w:val="24"/>
          <w:szCs w:val="24"/>
          <w:vertAlign w:val="baseline"/>
        </w:rPr>
        <w:t xml:space="preserve"> MacFarlane documents that in England more than ninety percent of those formally accused of witchcraft were women.</w:t>
      </w:r>
      <w:r w:rsidRPr="005F7752">
        <w:rPr>
          <w:rFonts w:ascii="Times New Roman" w:hAnsi="Times New Roman" w:cs="Times New Roman"/>
          <w:sz w:val="24"/>
          <w:szCs w:val="24"/>
        </w:rPr>
        <w:footnoteReference w:id="397"/>
      </w:r>
      <w:r w:rsidRPr="005F7752">
        <w:rPr>
          <w:rFonts w:ascii="Times New Roman" w:hAnsi="Times New Roman" w:cs="Times New Roman"/>
          <w:sz w:val="24"/>
          <w:szCs w:val="24"/>
          <w:vertAlign w:val="baseline"/>
        </w:rPr>
        <w:t xml:space="preserve"> This particular period, in which the witch-hunts occurred, was a time of major social change. Hester observes, </w:t>
      </w:r>
    </w:p>
    <w:p w14:paraId="7948744F" w14:textId="77777777" w:rsidR="005F7752" w:rsidRPr="005F7752" w:rsidRDefault="005F7752" w:rsidP="009B7AF8">
      <w:pPr>
        <w:spacing w:line="480" w:lineRule="auto"/>
        <w:ind w:left="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Existing social structures, beliefs and relationships were undergoing transformations including, potentially, also men’s and women’s roles. At that particular time a number of economic, political, legal, ideological and religious factors combined, which allowed and also prompted persecution for witchcraft.</w:t>
      </w:r>
      <w:r w:rsidRPr="005F7752">
        <w:rPr>
          <w:rFonts w:ascii="Times New Roman" w:hAnsi="Times New Roman" w:cs="Times New Roman"/>
          <w:sz w:val="24"/>
          <w:szCs w:val="24"/>
        </w:rPr>
        <w:footnoteReference w:id="398"/>
      </w:r>
    </w:p>
    <w:p w14:paraId="6BA2FC66" w14:textId="77777777" w:rsidR="005F7752" w:rsidRPr="005F7752" w:rsidRDefault="005F7752" w:rsidP="005F7752">
      <w:pPr>
        <w:spacing w:line="480" w:lineRule="auto"/>
        <w:jc w:val="both"/>
        <w:rPr>
          <w:rFonts w:ascii="Times New Roman" w:hAnsi="Times New Roman" w:cs="Times New Roman"/>
          <w:sz w:val="24"/>
          <w:szCs w:val="24"/>
          <w:vertAlign w:val="baseline"/>
        </w:rPr>
      </w:pPr>
    </w:p>
    <w:p w14:paraId="66B9BF14" w14:textId="10D723EE" w:rsidR="005F7752" w:rsidRPr="005F7752" w:rsidRDefault="005F7752" w:rsidP="003861F4">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As documented in Chapter two,</w:t>
      </w:r>
      <w:r w:rsidRPr="005F7752">
        <w:rPr>
          <w:rFonts w:ascii="Times New Roman" w:hAnsi="Times New Roman" w:cs="Times New Roman"/>
          <w:sz w:val="24"/>
          <w:szCs w:val="24"/>
        </w:rPr>
        <w:footnoteReference w:id="399"/>
      </w:r>
      <w:r w:rsidRPr="005F7752">
        <w:rPr>
          <w:rFonts w:ascii="Times New Roman" w:hAnsi="Times New Roman" w:cs="Times New Roman"/>
          <w:sz w:val="24"/>
          <w:szCs w:val="24"/>
          <w:vertAlign w:val="baseline"/>
        </w:rPr>
        <w:t xml:space="preserve"> Stark proposes three major factors, which provided explanations as to when and</w:t>
      </w:r>
      <w:r w:rsidR="003861F4">
        <w:rPr>
          <w:rFonts w:ascii="Times New Roman" w:hAnsi="Times New Roman" w:cs="Times New Roman"/>
          <w:sz w:val="24"/>
          <w:szCs w:val="24"/>
          <w:vertAlign w:val="baseline"/>
        </w:rPr>
        <w:t xml:space="preserve"> where the witch-hunts occurred,</w:t>
      </w:r>
      <w:r w:rsidRPr="005F7752">
        <w:rPr>
          <w:rFonts w:ascii="Times New Roman" w:hAnsi="Times New Roman" w:cs="Times New Roman"/>
          <w:sz w:val="24"/>
          <w:szCs w:val="24"/>
          <w:vertAlign w:val="baseline"/>
        </w:rPr>
        <w:t xml:space="preserve"> the persistence of magic, intense and constant religious conflicts and a lack of governance.</w:t>
      </w:r>
      <w:r w:rsidRPr="005F7752">
        <w:rPr>
          <w:rFonts w:ascii="Times New Roman" w:hAnsi="Times New Roman" w:cs="Times New Roman"/>
          <w:sz w:val="24"/>
          <w:szCs w:val="24"/>
        </w:rPr>
        <w:footnoteReference w:id="400"/>
      </w:r>
      <w:r w:rsidRPr="005F7752">
        <w:rPr>
          <w:rFonts w:ascii="Times New Roman" w:hAnsi="Times New Roman" w:cs="Times New Roman"/>
          <w:sz w:val="24"/>
          <w:szCs w:val="24"/>
          <w:vertAlign w:val="baseline"/>
        </w:rPr>
        <w:t xml:space="preserve"> However, such factors do not attempt to explain why women were the primary targets of witchcraft accusations. Witchcraft is undoubtedly an ideological concept. It is based upon a belief system, related to religion and superstition, which affects the way a person views the world, providing answers to otherwise incomprehensible natural phenomena, whilst regulating social relationships.</w:t>
      </w:r>
      <w:r w:rsidRPr="005F7752">
        <w:rPr>
          <w:rFonts w:ascii="Times New Roman" w:hAnsi="Times New Roman" w:cs="Times New Roman"/>
          <w:sz w:val="24"/>
          <w:szCs w:val="24"/>
        </w:rPr>
        <w:footnoteReference w:id="401"/>
      </w:r>
      <w:r w:rsidRPr="005F7752">
        <w:rPr>
          <w:rFonts w:ascii="Times New Roman" w:hAnsi="Times New Roman" w:cs="Times New Roman"/>
          <w:sz w:val="24"/>
          <w:szCs w:val="24"/>
          <w:vertAlign w:val="baseline"/>
        </w:rPr>
        <w:t xml:space="preserve"> I contend that both the historical witch-hunts of the 16</w:t>
      </w:r>
      <w:r w:rsidRPr="005F7752">
        <w:rPr>
          <w:rFonts w:ascii="Times New Roman" w:hAnsi="Times New Roman" w:cs="Times New Roman"/>
          <w:sz w:val="24"/>
          <w:szCs w:val="24"/>
        </w:rPr>
        <w:t>th</w:t>
      </w:r>
      <w:r w:rsidRPr="005F7752">
        <w:rPr>
          <w:rFonts w:ascii="Times New Roman" w:hAnsi="Times New Roman" w:cs="Times New Roman"/>
          <w:sz w:val="24"/>
          <w:szCs w:val="24"/>
          <w:vertAlign w:val="baseline"/>
        </w:rPr>
        <w:t xml:space="preserve"> to 18</w:t>
      </w:r>
      <w:r w:rsidRPr="005F7752">
        <w:rPr>
          <w:rFonts w:ascii="Times New Roman" w:hAnsi="Times New Roman" w:cs="Times New Roman"/>
          <w:sz w:val="24"/>
          <w:szCs w:val="24"/>
        </w:rPr>
        <w:t>th</w:t>
      </w:r>
      <w:r w:rsidRPr="005F7752">
        <w:rPr>
          <w:rFonts w:ascii="Times New Roman" w:hAnsi="Times New Roman" w:cs="Times New Roman"/>
          <w:sz w:val="24"/>
          <w:szCs w:val="24"/>
          <w:vertAlign w:val="baseline"/>
        </w:rPr>
        <w:t xml:space="preserve"> century and the contemporary witchcraft accusations and persecutions of the 21</w:t>
      </w:r>
      <w:r w:rsidRPr="005F7752">
        <w:rPr>
          <w:rFonts w:ascii="Times New Roman" w:hAnsi="Times New Roman" w:cs="Times New Roman"/>
          <w:sz w:val="24"/>
          <w:szCs w:val="24"/>
        </w:rPr>
        <w:t>st</w:t>
      </w:r>
      <w:r w:rsidRPr="005F7752">
        <w:rPr>
          <w:rFonts w:ascii="Times New Roman" w:hAnsi="Times New Roman" w:cs="Times New Roman"/>
          <w:sz w:val="24"/>
          <w:szCs w:val="24"/>
          <w:vertAlign w:val="baseline"/>
        </w:rPr>
        <w:t xml:space="preserve"> century are an attempt to marginalise women in order to preserve patriarchal norms. Whilst many different approaches have explained the development of the witch-hunts,</w:t>
      </w:r>
      <w:r w:rsidRPr="005F7752">
        <w:rPr>
          <w:rFonts w:ascii="Times New Roman" w:hAnsi="Times New Roman" w:cs="Times New Roman"/>
          <w:sz w:val="24"/>
          <w:szCs w:val="24"/>
        </w:rPr>
        <w:footnoteReference w:id="402"/>
      </w:r>
      <w:r w:rsidRPr="005F7752">
        <w:rPr>
          <w:rFonts w:ascii="Times New Roman" w:hAnsi="Times New Roman" w:cs="Times New Roman"/>
          <w:sz w:val="24"/>
          <w:szCs w:val="24"/>
          <w:vertAlign w:val="baseline"/>
        </w:rPr>
        <w:t xml:space="preserve"> they fail to acknowledge the specific link between witchcraft and women. As observed by Barstow, </w:t>
      </w:r>
    </w:p>
    <w:p w14:paraId="7EE43D00" w14:textId="57C622BC" w:rsidR="005F7752" w:rsidRPr="005F7752" w:rsidRDefault="005F7752" w:rsidP="009B7AF8">
      <w:pPr>
        <w:spacing w:line="480" w:lineRule="auto"/>
        <w:ind w:left="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 xml:space="preserve">In the development of witchcraft studies, a pattern of denial is clear. Historians were denying that misogyny and patriarchy are valid historical categories and were refusing to treat </w:t>
      </w:r>
      <w:r w:rsidR="0015470C">
        <w:rPr>
          <w:rFonts w:ascii="Times New Roman" w:hAnsi="Times New Roman" w:cs="Times New Roman"/>
          <w:sz w:val="24"/>
          <w:szCs w:val="24"/>
          <w:vertAlign w:val="baseline"/>
        </w:rPr>
        <w:t>women</w:t>
      </w:r>
      <w:r w:rsidR="0015470C" w:rsidRPr="005F7752">
        <w:rPr>
          <w:rFonts w:ascii="Times New Roman" w:hAnsi="Times New Roman" w:cs="Times New Roman"/>
          <w:sz w:val="24"/>
          <w:szCs w:val="24"/>
          <w:vertAlign w:val="baseline"/>
        </w:rPr>
        <w:t xml:space="preserve"> as a recognisable group</w:t>
      </w:r>
      <w:r w:rsidR="00A62844">
        <w:rPr>
          <w:rFonts w:ascii="Times New Roman" w:hAnsi="Times New Roman" w:cs="Times New Roman"/>
          <w:sz w:val="24"/>
          <w:szCs w:val="24"/>
          <w:vertAlign w:val="baseline"/>
        </w:rPr>
        <w:t xml:space="preserve"> </w:t>
      </w:r>
      <w:r w:rsidR="0015470C">
        <w:rPr>
          <w:rFonts w:ascii="Times New Roman" w:hAnsi="Times New Roman" w:cs="Times New Roman"/>
          <w:sz w:val="24"/>
          <w:szCs w:val="24"/>
          <w:vertAlign w:val="baseline"/>
        </w:rPr>
        <w:t xml:space="preserve">… </w:t>
      </w:r>
      <w:r w:rsidRPr="005F7752">
        <w:rPr>
          <w:rFonts w:ascii="Times New Roman" w:hAnsi="Times New Roman" w:cs="Times New Roman"/>
          <w:sz w:val="24"/>
          <w:szCs w:val="24"/>
          <w:vertAlign w:val="baseline"/>
        </w:rPr>
        <w:t>Without the mention of a tradition of oppression of women, the implication for the 16</w:t>
      </w:r>
      <w:r w:rsidRPr="005F7752">
        <w:rPr>
          <w:rFonts w:ascii="Times New Roman" w:hAnsi="Times New Roman" w:cs="Times New Roman"/>
          <w:sz w:val="24"/>
          <w:szCs w:val="24"/>
        </w:rPr>
        <w:t>th</w:t>
      </w:r>
      <w:r w:rsidRPr="005F7752">
        <w:rPr>
          <w:rFonts w:ascii="Times New Roman" w:hAnsi="Times New Roman" w:cs="Times New Roman"/>
          <w:sz w:val="24"/>
          <w:szCs w:val="24"/>
          <w:vertAlign w:val="baseline"/>
        </w:rPr>
        <w:t xml:space="preserve"> century is that of course women would be attacked – and that it somehow must be their fault. This is what historians conclude when they have no awareness of traditional misogyny or traditional oppression of women.</w:t>
      </w:r>
      <w:r w:rsidRPr="005F7752">
        <w:rPr>
          <w:rFonts w:ascii="Times New Roman" w:hAnsi="Times New Roman" w:cs="Times New Roman"/>
          <w:sz w:val="24"/>
          <w:szCs w:val="24"/>
        </w:rPr>
        <w:footnoteReference w:id="403"/>
      </w:r>
    </w:p>
    <w:p w14:paraId="150527EE" w14:textId="77777777" w:rsidR="005F7752" w:rsidRPr="005F7752" w:rsidRDefault="005F7752" w:rsidP="005F7752">
      <w:pPr>
        <w:spacing w:line="480" w:lineRule="auto"/>
        <w:jc w:val="both"/>
        <w:rPr>
          <w:rFonts w:ascii="Times New Roman" w:hAnsi="Times New Roman" w:cs="Times New Roman"/>
          <w:sz w:val="24"/>
          <w:szCs w:val="24"/>
          <w:vertAlign w:val="baseline"/>
        </w:rPr>
      </w:pPr>
    </w:p>
    <w:p w14:paraId="0A3B6070" w14:textId="22EF66F4" w:rsidR="009D4430" w:rsidRDefault="005F7752" w:rsidP="009D4430">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Witchcraft revives and exaggerates prior associations of women and evil, specifically, the ‘denigration of the body and its functions, the notion that demonic forces work through the feminine unconscious, and the pernicious scapegoating of women in the myths of the Fall.’</w:t>
      </w:r>
      <w:r w:rsidRPr="005F7752">
        <w:rPr>
          <w:rFonts w:ascii="Times New Roman" w:hAnsi="Times New Roman" w:cs="Times New Roman"/>
          <w:sz w:val="24"/>
          <w:szCs w:val="24"/>
        </w:rPr>
        <w:footnoteReference w:id="404"/>
      </w:r>
      <w:r w:rsidRPr="005F7752">
        <w:rPr>
          <w:rFonts w:ascii="Times New Roman" w:hAnsi="Times New Roman" w:cs="Times New Roman"/>
          <w:sz w:val="24"/>
          <w:szCs w:val="24"/>
          <w:vertAlign w:val="baseline"/>
        </w:rPr>
        <w:t xml:space="preserve"> This link, between women and evil was promoted throughout the 16-18</w:t>
      </w:r>
      <w:r w:rsidRPr="005F7752">
        <w:rPr>
          <w:rFonts w:ascii="Times New Roman" w:hAnsi="Times New Roman" w:cs="Times New Roman"/>
          <w:sz w:val="24"/>
          <w:szCs w:val="24"/>
        </w:rPr>
        <w:t>th</w:t>
      </w:r>
      <w:r w:rsidRPr="005F7752">
        <w:rPr>
          <w:rFonts w:ascii="Times New Roman" w:hAnsi="Times New Roman" w:cs="Times New Roman"/>
          <w:sz w:val="24"/>
          <w:szCs w:val="24"/>
          <w:vertAlign w:val="baseline"/>
        </w:rPr>
        <w:t xml:space="preserve"> centuries by early modern demonologists.</w:t>
      </w:r>
      <w:r w:rsidRPr="005F7752">
        <w:rPr>
          <w:rFonts w:ascii="Times New Roman" w:hAnsi="Times New Roman" w:cs="Times New Roman"/>
          <w:sz w:val="24"/>
          <w:szCs w:val="24"/>
        </w:rPr>
        <w:footnoteReference w:id="405"/>
      </w:r>
      <w:r w:rsidRPr="005F7752">
        <w:rPr>
          <w:rFonts w:ascii="Times New Roman" w:hAnsi="Times New Roman" w:cs="Times New Roman"/>
          <w:sz w:val="24"/>
          <w:szCs w:val="24"/>
          <w:vertAlign w:val="baseline"/>
        </w:rPr>
        <w:t xml:space="preserve"> However, examining the aspects of gender through the work of demonologists has its limitations. Demonologists believed that women possessed specific attributes, which meant they were more easily disposed to be witches. As observed by Sharpe, </w:t>
      </w:r>
    </w:p>
    <w:p w14:paraId="79796814" w14:textId="77777777" w:rsidR="00280BC3" w:rsidRPr="005F7752" w:rsidRDefault="00280BC3" w:rsidP="009D4430">
      <w:pPr>
        <w:spacing w:line="480" w:lineRule="auto"/>
        <w:ind w:firstLine="720"/>
        <w:jc w:val="both"/>
        <w:rPr>
          <w:rFonts w:ascii="Times New Roman" w:hAnsi="Times New Roman" w:cs="Times New Roman"/>
          <w:sz w:val="24"/>
          <w:szCs w:val="24"/>
          <w:vertAlign w:val="baseline"/>
        </w:rPr>
      </w:pPr>
    </w:p>
    <w:p w14:paraId="1572024E" w14:textId="316E0BB0" w:rsidR="005F7752" w:rsidRPr="005F7752" w:rsidRDefault="005F7752" w:rsidP="009B7AF8">
      <w:pPr>
        <w:spacing w:line="480" w:lineRule="auto"/>
        <w:ind w:left="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Women were credulous and thus easily deceived; they had an overdeveloped sense of curiosity … they have, since Eve, had a greater capacity to fall, a greater tendency for wrath and a greater appetite for revenge; and they are of a slipping tongue and full of words.</w:t>
      </w:r>
      <w:r w:rsidRPr="005F7752">
        <w:rPr>
          <w:rFonts w:ascii="Times New Roman" w:hAnsi="Times New Roman" w:cs="Times New Roman"/>
          <w:sz w:val="24"/>
          <w:szCs w:val="24"/>
        </w:rPr>
        <w:footnoteReference w:id="406"/>
      </w:r>
      <w:r w:rsidRPr="005F7752">
        <w:rPr>
          <w:rFonts w:ascii="Times New Roman" w:hAnsi="Times New Roman" w:cs="Times New Roman"/>
          <w:sz w:val="24"/>
          <w:szCs w:val="24"/>
          <w:vertAlign w:val="baseline"/>
        </w:rPr>
        <w:t xml:space="preserve">  </w:t>
      </w:r>
    </w:p>
    <w:p w14:paraId="65C323A5" w14:textId="77777777" w:rsidR="009D4430" w:rsidRDefault="009D4430" w:rsidP="005F7752">
      <w:pPr>
        <w:spacing w:line="480" w:lineRule="auto"/>
        <w:jc w:val="both"/>
        <w:rPr>
          <w:rFonts w:ascii="Times New Roman" w:hAnsi="Times New Roman" w:cs="Times New Roman"/>
          <w:sz w:val="24"/>
          <w:szCs w:val="24"/>
          <w:vertAlign w:val="baseline"/>
        </w:rPr>
      </w:pPr>
    </w:p>
    <w:p w14:paraId="1389484A" w14:textId="77777777" w:rsidR="005F7752" w:rsidRDefault="005F7752" w:rsidP="0015470C">
      <w:pPr>
        <w:spacing w:line="480" w:lineRule="auto"/>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Thus, whilst most demonologists were clear on the reasons why the majority of witches were women, further discussion on the matter was limited.</w:t>
      </w:r>
      <w:r w:rsidRPr="005F7752">
        <w:rPr>
          <w:rFonts w:ascii="Times New Roman" w:hAnsi="Times New Roman" w:cs="Times New Roman"/>
          <w:sz w:val="24"/>
          <w:szCs w:val="24"/>
        </w:rPr>
        <w:footnoteReference w:id="407"/>
      </w:r>
      <w:r w:rsidRPr="005F7752">
        <w:rPr>
          <w:rFonts w:ascii="Times New Roman" w:hAnsi="Times New Roman" w:cs="Times New Roman"/>
          <w:sz w:val="24"/>
          <w:szCs w:val="24"/>
          <w:vertAlign w:val="baseline"/>
        </w:rPr>
        <w:t xml:space="preserve"> Nevertheless, as noted by Clark, </w:t>
      </w:r>
    </w:p>
    <w:p w14:paraId="419AC166" w14:textId="77777777" w:rsidR="00280BC3" w:rsidRPr="005F7752" w:rsidRDefault="00280BC3" w:rsidP="009D4430">
      <w:pPr>
        <w:spacing w:line="480" w:lineRule="auto"/>
        <w:ind w:firstLine="720"/>
        <w:jc w:val="both"/>
        <w:rPr>
          <w:rFonts w:ascii="Times New Roman" w:hAnsi="Times New Roman" w:cs="Times New Roman"/>
          <w:sz w:val="24"/>
          <w:szCs w:val="24"/>
          <w:vertAlign w:val="baseline"/>
        </w:rPr>
      </w:pPr>
    </w:p>
    <w:p w14:paraId="14A6FFC6" w14:textId="672F684D" w:rsidR="005F7752" w:rsidRPr="005F7752" w:rsidRDefault="005F7752" w:rsidP="009B7AF8">
      <w:pPr>
        <w:spacing w:line="480" w:lineRule="auto"/>
        <w:ind w:left="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This silence, as it were, is itself important … writers on witchcraft evidently took for granted a greater propensity to demonism in women</w:t>
      </w:r>
      <w:r w:rsidR="0015470C">
        <w:rPr>
          <w:rFonts w:ascii="Times New Roman" w:hAnsi="Times New Roman" w:cs="Times New Roman"/>
          <w:sz w:val="24"/>
          <w:szCs w:val="24"/>
          <w:vertAlign w:val="baseline"/>
        </w:rPr>
        <w:t xml:space="preserve"> </w:t>
      </w:r>
      <w:r w:rsidRPr="005F7752">
        <w:rPr>
          <w:rFonts w:ascii="Times New Roman" w:hAnsi="Times New Roman" w:cs="Times New Roman"/>
          <w:sz w:val="24"/>
          <w:szCs w:val="24"/>
          <w:vertAlign w:val="baseline"/>
        </w:rPr>
        <w:t>… the connection was so obvious to them, so deep-rooted in their beliefs and behaviour, that they felt no need to elaborate on, or indulge in additional women hating to back it up.</w:t>
      </w:r>
      <w:r w:rsidRPr="005F7752">
        <w:rPr>
          <w:rFonts w:ascii="Times New Roman" w:hAnsi="Times New Roman" w:cs="Times New Roman"/>
          <w:sz w:val="24"/>
          <w:szCs w:val="24"/>
        </w:rPr>
        <w:footnoteReference w:id="408"/>
      </w:r>
    </w:p>
    <w:p w14:paraId="65AF0DF1" w14:textId="77777777" w:rsidR="005F7752" w:rsidRPr="005F7752" w:rsidRDefault="005F7752" w:rsidP="005F7752">
      <w:pPr>
        <w:spacing w:line="480" w:lineRule="auto"/>
        <w:jc w:val="both"/>
        <w:rPr>
          <w:rFonts w:ascii="Times New Roman" w:hAnsi="Times New Roman" w:cs="Times New Roman"/>
          <w:sz w:val="24"/>
          <w:szCs w:val="24"/>
          <w:vertAlign w:val="baseline"/>
        </w:rPr>
      </w:pPr>
    </w:p>
    <w:p w14:paraId="07B6CD8A" w14:textId="3118F570" w:rsidR="005F7752" w:rsidRDefault="005F7752" w:rsidP="009D4430">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 xml:space="preserve">Conversely, the publication of </w:t>
      </w:r>
      <w:r w:rsidRPr="005F7752">
        <w:rPr>
          <w:rFonts w:ascii="Times New Roman" w:hAnsi="Times New Roman" w:cs="Times New Roman"/>
          <w:i/>
          <w:sz w:val="24"/>
          <w:szCs w:val="24"/>
          <w:vertAlign w:val="baseline"/>
        </w:rPr>
        <w:t>Malleus Maleficarum,</w:t>
      </w:r>
      <w:r w:rsidRPr="005F7752">
        <w:rPr>
          <w:rFonts w:ascii="Times New Roman" w:hAnsi="Times New Roman" w:cs="Times New Roman"/>
          <w:sz w:val="24"/>
          <w:szCs w:val="24"/>
        </w:rPr>
        <w:footnoteReference w:id="409"/>
      </w:r>
      <w:r w:rsidRPr="005F7752">
        <w:rPr>
          <w:rFonts w:ascii="Times New Roman" w:hAnsi="Times New Roman" w:cs="Times New Roman"/>
          <w:sz w:val="24"/>
          <w:szCs w:val="24"/>
          <w:vertAlign w:val="baseline"/>
        </w:rPr>
        <w:t xml:space="preserve"> which summarised the views of demonologists, did indulge in a great deal of misogyny. The difference with </w:t>
      </w:r>
      <w:r w:rsidRPr="005F7752">
        <w:rPr>
          <w:rFonts w:ascii="Times New Roman" w:hAnsi="Times New Roman" w:cs="Times New Roman"/>
          <w:i/>
          <w:sz w:val="24"/>
          <w:szCs w:val="24"/>
          <w:vertAlign w:val="baseline"/>
        </w:rPr>
        <w:t xml:space="preserve">Malleus Maleficarum </w:t>
      </w:r>
      <w:r w:rsidRPr="005F7752">
        <w:rPr>
          <w:rFonts w:ascii="Times New Roman" w:hAnsi="Times New Roman" w:cs="Times New Roman"/>
          <w:sz w:val="24"/>
          <w:szCs w:val="24"/>
          <w:vertAlign w:val="baseline"/>
        </w:rPr>
        <w:t xml:space="preserve">was not the insistence that women were naturally disposed to practise </w:t>
      </w:r>
      <w:r w:rsidR="0015470C" w:rsidRPr="005F7752">
        <w:rPr>
          <w:rFonts w:ascii="Times New Roman" w:hAnsi="Times New Roman" w:cs="Times New Roman"/>
          <w:sz w:val="24"/>
          <w:szCs w:val="24"/>
          <w:vertAlign w:val="baseline"/>
        </w:rPr>
        <w:t>magic;</w:t>
      </w:r>
      <w:r w:rsidRPr="005F7752">
        <w:rPr>
          <w:rFonts w:ascii="Times New Roman" w:hAnsi="Times New Roman" w:cs="Times New Roman"/>
          <w:sz w:val="24"/>
          <w:szCs w:val="24"/>
          <w:vertAlign w:val="baseline"/>
        </w:rPr>
        <w:t xml:space="preserve"> it was the assertion that destructive magic belonged exclusively to women, thus, constructing the conceptual link between witchcraft and women. This link was clearly alluded to in the title of the book, </w:t>
      </w:r>
      <w:r w:rsidRPr="005F7752">
        <w:rPr>
          <w:rFonts w:ascii="Times New Roman" w:hAnsi="Times New Roman" w:cs="Times New Roman"/>
          <w:i/>
          <w:sz w:val="24"/>
          <w:szCs w:val="24"/>
          <w:vertAlign w:val="baseline"/>
        </w:rPr>
        <w:t>Malleus Maleficarum.</w:t>
      </w:r>
      <w:r w:rsidRPr="005F7752">
        <w:rPr>
          <w:rFonts w:ascii="Times New Roman" w:hAnsi="Times New Roman" w:cs="Times New Roman"/>
          <w:sz w:val="24"/>
          <w:szCs w:val="24"/>
          <w:vertAlign w:val="baseline"/>
        </w:rPr>
        <w:t xml:space="preserve"> </w:t>
      </w:r>
      <w:r w:rsidRPr="005F7752">
        <w:rPr>
          <w:rFonts w:ascii="Times New Roman" w:hAnsi="Times New Roman" w:cs="Times New Roman"/>
          <w:i/>
          <w:sz w:val="24"/>
          <w:szCs w:val="24"/>
          <w:vertAlign w:val="baseline"/>
        </w:rPr>
        <w:t>Malleus</w:t>
      </w:r>
      <w:r w:rsidRPr="005F7752">
        <w:rPr>
          <w:rFonts w:ascii="Times New Roman" w:hAnsi="Times New Roman" w:cs="Times New Roman"/>
          <w:sz w:val="24"/>
          <w:szCs w:val="24"/>
          <w:vertAlign w:val="baseline"/>
        </w:rPr>
        <w:t>, translated from Latin, meant a hammer or mallet.</w:t>
      </w:r>
      <w:r w:rsidRPr="005F7752">
        <w:rPr>
          <w:rFonts w:ascii="Times New Roman" w:hAnsi="Times New Roman" w:cs="Times New Roman"/>
          <w:sz w:val="24"/>
          <w:szCs w:val="24"/>
        </w:rPr>
        <w:footnoteReference w:id="410"/>
      </w:r>
      <w:r w:rsidRPr="005F7752">
        <w:rPr>
          <w:rFonts w:ascii="Times New Roman" w:hAnsi="Times New Roman" w:cs="Times New Roman"/>
          <w:sz w:val="24"/>
          <w:szCs w:val="24"/>
          <w:vertAlign w:val="baseline"/>
        </w:rPr>
        <w:t xml:space="preserve"> The Latin term for ‘crime, harm, wrongdoing or injury’ was the noun </w:t>
      </w:r>
      <w:r w:rsidRPr="005F7752">
        <w:rPr>
          <w:rFonts w:ascii="Times New Roman" w:hAnsi="Times New Roman" w:cs="Times New Roman"/>
          <w:i/>
          <w:sz w:val="24"/>
          <w:szCs w:val="24"/>
          <w:vertAlign w:val="baseline"/>
        </w:rPr>
        <w:t>maleficium,</w:t>
      </w:r>
      <w:r w:rsidRPr="005F7752">
        <w:rPr>
          <w:rFonts w:ascii="Times New Roman" w:hAnsi="Times New Roman" w:cs="Times New Roman"/>
          <w:sz w:val="24"/>
          <w:szCs w:val="24"/>
          <w:vertAlign w:val="baseline"/>
        </w:rPr>
        <w:t xml:space="preserve"> from which came the derivatives of</w:t>
      </w:r>
      <w:r w:rsidRPr="005F7752">
        <w:rPr>
          <w:rFonts w:ascii="Times New Roman" w:hAnsi="Times New Roman" w:cs="Times New Roman"/>
          <w:i/>
          <w:sz w:val="24"/>
          <w:szCs w:val="24"/>
          <w:vertAlign w:val="baseline"/>
        </w:rPr>
        <w:t xml:space="preserve"> maleficus </w:t>
      </w:r>
      <w:r w:rsidRPr="005F7752">
        <w:rPr>
          <w:rFonts w:ascii="Times New Roman" w:hAnsi="Times New Roman" w:cs="Times New Roman"/>
          <w:sz w:val="24"/>
          <w:szCs w:val="24"/>
          <w:vertAlign w:val="baseline"/>
        </w:rPr>
        <w:t xml:space="preserve">(masculine) or </w:t>
      </w:r>
      <w:r w:rsidRPr="005F7752">
        <w:rPr>
          <w:rFonts w:ascii="Times New Roman" w:hAnsi="Times New Roman" w:cs="Times New Roman"/>
          <w:i/>
          <w:sz w:val="24"/>
          <w:szCs w:val="24"/>
          <w:vertAlign w:val="baseline"/>
        </w:rPr>
        <w:t xml:space="preserve">malefica </w:t>
      </w:r>
      <w:r w:rsidRPr="005F7752">
        <w:rPr>
          <w:rFonts w:ascii="Times New Roman" w:hAnsi="Times New Roman" w:cs="Times New Roman"/>
          <w:sz w:val="24"/>
          <w:szCs w:val="24"/>
          <w:vertAlign w:val="baseline"/>
        </w:rPr>
        <w:t>(feminine).</w:t>
      </w:r>
      <w:r w:rsidRPr="005F7752">
        <w:rPr>
          <w:rFonts w:ascii="Times New Roman" w:hAnsi="Times New Roman" w:cs="Times New Roman"/>
          <w:sz w:val="24"/>
          <w:szCs w:val="24"/>
        </w:rPr>
        <w:footnoteReference w:id="411"/>
      </w:r>
      <w:r w:rsidRPr="005F7752">
        <w:rPr>
          <w:rFonts w:ascii="Times New Roman" w:hAnsi="Times New Roman" w:cs="Times New Roman"/>
          <w:sz w:val="24"/>
          <w:szCs w:val="24"/>
          <w:vertAlign w:val="baseline"/>
        </w:rPr>
        <w:t xml:space="preserve"> Thus, </w:t>
      </w:r>
      <w:r w:rsidRPr="005F7752">
        <w:rPr>
          <w:rFonts w:ascii="Times New Roman" w:hAnsi="Times New Roman" w:cs="Times New Roman"/>
          <w:i/>
          <w:sz w:val="24"/>
          <w:szCs w:val="24"/>
          <w:vertAlign w:val="baseline"/>
        </w:rPr>
        <w:t>maleficarum</w:t>
      </w:r>
      <w:r w:rsidRPr="005F7752">
        <w:rPr>
          <w:rFonts w:ascii="Times New Roman" w:hAnsi="Times New Roman" w:cs="Times New Roman"/>
          <w:sz w:val="24"/>
          <w:szCs w:val="24"/>
          <w:vertAlign w:val="baseline"/>
        </w:rPr>
        <w:t xml:space="preserve">, as stated in the title, is the plural of the feminine form. Accordingly a book aimed at male witches would be called </w:t>
      </w:r>
      <w:r w:rsidRPr="005F7752">
        <w:rPr>
          <w:rFonts w:ascii="Times New Roman" w:hAnsi="Times New Roman" w:cs="Times New Roman"/>
          <w:i/>
          <w:sz w:val="24"/>
          <w:szCs w:val="24"/>
          <w:vertAlign w:val="baseline"/>
        </w:rPr>
        <w:t>Malleus Maleficorum.</w:t>
      </w:r>
      <w:r w:rsidRPr="005F7752">
        <w:rPr>
          <w:rFonts w:ascii="Times New Roman" w:hAnsi="Times New Roman" w:cs="Times New Roman"/>
          <w:sz w:val="24"/>
          <w:szCs w:val="24"/>
          <w:vertAlign w:val="baseline"/>
        </w:rPr>
        <w:t xml:space="preserve"> As emphasised by Broedel,</w:t>
      </w:r>
      <w:r w:rsidRPr="005F7752">
        <w:rPr>
          <w:rFonts w:ascii="Times New Roman" w:hAnsi="Times New Roman" w:cs="Times New Roman"/>
          <w:sz w:val="24"/>
          <w:szCs w:val="24"/>
        </w:rPr>
        <w:footnoteReference w:id="412"/>
      </w:r>
      <w:r w:rsidRPr="005F7752">
        <w:rPr>
          <w:rFonts w:ascii="Times New Roman" w:hAnsi="Times New Roman" w:cs="Times New Roman"/>
          <w:sz w:val="24"/>
          <w:szCs w:val="24"/>
          <w:vertAlign w:val="baseline"/>
        </w:rPr>
        <w:t xml:space="preserve"> the misogynistic arguments in </w:t>
      </w:r>
      <w:r w:rsidRPr="005F7752">
        <w:rPr>
          <w:rFonts w:ascii="Times New Roman" w:hAnsi="Times New Roman" w:cs="Times New Roman"/>
          <w:i/>
          <w:sz w:val="24"/>
          <w:szCs w:val="24"/>
          <w:vertAlign w:val="baseline"/>
        </w:rPr>
        <w:t>Malleus Maleficarum</w:t>
      </w:r>
      <w:r w:rsidRPr="005F7752">
        <w:rPr>
          <w:rFonts w:ascii="Times New Roman" w:hAnsi="Times New Roman" w:cs="Times New Roman"/>
          <w:sz w:val="24"/>
          <w:szCs w:val="24"/>
          <w:vertAlign w:val="baseline"/>
        </w:rPr>
        <w:t xml:space="preserve"> should not be taken for granted, as although such views were undoubtedly common within that period, ‘nowhere else are they so forcefully linked to notions of witchcraft.’</w:t>
      </w:r>
      <w:r w:rsidRPr="005F7752">
        <w:rPr>
          <w:rFonts w:ascii="Times New Roman" w:hAnsi="Times New Roman" w:cs="Times New Roman"/>
          <w:sz w:val="24"/>
          <w:szCs w:val="24"/>
        </w:rPr>
        <w:footnoteReference w:id="413"/>
      </w:r>
      <w:r w:rsidRPr="005F7752">
        <w:rPr>
          <w:rFonts w:ascii="Times New Roman" w:hAnsi="Times New Roman" w:cs="Times New Roman"/>
          <w:sz w:val="24"/>
          <w:szCs w:val="24"/>
          <w:vertAlign w:val="baseline"/>
        </w:rPr>
        <w:t xml:space="preserve"> The premise behind the relationship between women and witchcraft was constructed on three simplistic propositions.</w:t>
      </w:r>
      <w:r w:rsidRPr="005F7752">
        <w:rPr>
          <w:rFonts w:ascii="Times New Roman" w:hAnsi="Times New Roman" w:cs="Times New Roman"/>
          <w:sz w:val="24"/>
          <w:szCs w:val="24"/>
        </w:rPr>
        <w:footnoteReference w:id="414"/>
      </w:r>
      <w:r w:rsidRPr="005F7752">
        <w:rPr>
          <w:rFonts w:ascii="Times New Roman" w:hAnsi="Times New Roman" w:cs="Times New Roman"/>
          <w:sz w:val="24"/>
          <w:szCs w:val="24"/>
          <w:vertAlign w:val="baseline"/>
        </w:rPr>
        <w:t xml:space="preserve"> First, it was assumed that women were, by nature, weaker than men, both intellectually and psychologically, thus, they were more likely to commit sin. As explained by Clark, </w:t>
      </w:r>
    </w:p>
    <w:p w14:paraId="68FA42E3" w14:textId="77777777" w:rsidR="00280BC3" w:rsidRPr="005F7752" w:rsidRDefault="00280BC3" w:rsidP="009D4430">
      <w:pPr>
        <w:spacing w:line="480" w:lineRule="auto"/>
        <w:ind w:firstLine="720"/>
        <w:jc w:val="both"/>
        <w:rPr>
          <w:rFonts w:ascii="Times New Roman" w:hAnsi="Times New Roman" w:cs="Times New Roman"/>
          <w:sz w:val="24"/>
          <w:szCs w:val="24"/>
          <w:vertAlign w:val="baseline"/>
        </w:rPr>
      </w:pPr>
    </w:p>
    <w:p w14:paraId="0AF7EBB2" w14:textId="77777777" w:rsidR="005F7752" w:rsidRPr="005F7752" w:rsidRDefault="005F7752" w:rsidP="009B7AF8">
      <w:pPr>
        <w:spacing w:line="480" w:lineRule="auto"/>
        <w:ind w:left="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They were credulous and impressionable, had inordinate affections and appetites … were resentful of authority and difficult to discipline. They were feeble in mind and unstable in behaviour, inherently imperfect creatures from whom evil and depravity were only to be expected.</w:t>
      </w:r>
      <w:r w:rsidRPr="005F7752">
        <w:rPr>
          <w:rFonts w:ascii="Times New Roman" w:hAnsi="Times New Roman" w:cs="Times New Roman"/>
          <w:sz w:val="24"/>
          <w:szCs w:val="24"/>
        </w:rPr>
        <w:footnoteReference w:id="415"/>
      </w:r>
    </w:p>
    <w:p w14:paraId="6419C6DB" w14:textId="77777777" w:rsidR="005F7752" w:rsidRPr="005F7752" w:rsidRDefault="005F7752" w:rsidP="005F7752">
      <w:pPr>
        <w:spacing w:line="480" w:lineRule="auto"/>
        <w:jc w:val="both"/>
        <w:rPr>
          <w:rFonts w:ascii="Times New Roman" w:hAnsi="Times New Roman" w:cs="Times New Roman"/>
          <w:sz w:val="24"/>
          <w:szCs w:val="24"/>
          <w:vertAlign w:val="baseline"/>
        </w:rPr>
      </w:pPr>
    </w:p>
    <w:p w14:paraId="4BEEAC6E" w14:textId="77777777" w:rsidR="005F7752" w:rsidRDefault="005F7752" w:rsidP="0015470C">
      <w:pPr>
        <w:spacing w:line="480" w:lineRule="auto"/>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Second, as a result of their weakness, women were the preferred targets of the Devil. As highlighted within the writings of the renowned early Christian theologian Tertullian,</w:t>
      </w:r>
      <w:r w:rsidRPr="005F7752">
        <w:rPr>
          <w:rFonts w:ascii="Times New Roman" w:hAnsi="Times New Roman" w:cs="Times New Roman"/>
          <w:sz w:val="24"/>
          <w:szCs w:val="24"/>
        </w:rPr>
        <w:footnoteReference w:id="416"/>
      </w:r>
      <w:r w:rsidRPr="005F7752">
        <w:rPr>
          <w:rFonts w:ascii="Times New Roman" w:hAnsi="Times New Roman" w:cs="Times New Roman"/>
          <w:sz w:val="24"/>
          <w:szCs w:val="24"/>
          <w:vertAlign w:val="baseline"/>
        </w:rPr>
        <w:t xml:space="preserve"> Eve’s original sin extended to all women, infamously referring to women as the ‘devil’s gateway,’ </w:t>
      </w:r>
    </w:p>
    <w:p w14:paraId="63E500B0" w14:textId="77777777" w:rsidR="00280BC3" w:rsidRPr="005F7752" w:rsidRDefault="00280BC3" w:rsidP="00EC7531">
      <w:pPr>
        <w:spacing w:line="480" w:lineRule="auto"/>
        <w:ind w:firstLine="720"/>
        <w:jc w:val="both"/>
        <w:rPr>
          <w:rFonts w:ascii="Times New Roman" w:hAnsi="Times New Roman" w:cs="Times New Roman"/>
          <w:sz w:val="24"/>
          <w:szCs w:val="24"/>
          <w:vertAlign w:val="baseline"/>
        </w:rPr>
      </w:pPr>
    </w:p>
    <w:p w14:paraId="1E59CEE1" w14:textId="77777777" w:rsidR="005F7752" w:rsidRPr="005F7752" w:rsidRDefault="005F7752" w:rsidP="009B7AF8">
      <w:pPr>
        <w:spacing w:line="480" w:lineRule="auto"/>
        <w:ind w:left="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You are the Devil’s gateway; you are the unsealer of that tree; you are the first foresaker of the divine law; you are the one who persuaded him whom the Devil was not brave enough to approach; you so lightly crushed the image of God, the man Adam.</w:t>
      </w:r>
      <w:r w:rsidRPr="005F7752">
        <w:rPr>
          <w:rFonts w:ascii="Times New Roman" w:hAnsi="Times New Roman" w:cs="Times New Roman"/>
          <w:sz w:val="24"/>
          <w:szCs w:val="24"/>
        </w:rPr>
        <w:footnoteReference w:id="417"/>
      </w:r>
    </w:p>
    <w:p w14:paraId="3B25843C" w14:textId="77777777" w:rsidR="00EC7531" w:rsidRDefault="00EC7531" w:rsidP="005F7752">
      <w:pPr>
        <w:spacing w:line="480" w:lineRule="auto"/>
        <w:jc w:val="both"/>
        <w:rPr>
          <w:rFonts w:ascii="Times New Roman" w:hAnsi="Times New Roman" w:cs="Times New Roman"/>
          <w:sz w:val="24"/>
          <w:szCs w:val="24"/>
          <w:vertAlign w:val="baseline"/>
        </w:rPr>
      </w:pPr>
    </w:p>
    <w:p w14:paraId="36777E19" w14:textId="77777777" w:rsidR="005F7752" w:rsidRDefault="005F7752" w:rsidP="00EC7531">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 xml:space="preserve">Thus, all women, like Eve, were more likely to be seduced into a life of sin. As documented in </w:t>
      </w:r>
      <w:r w:rsidRPr="005F7752">
        <w:rPr>
          <w:rFonts w:ascii="Times New Roman" w:hAnsi="Times New Roman" w:cs="Times New Roman"/>
          <w:i/>
          <w:sz w:val="24"/>
          <w:szCs w:val="24"/>
          <w:vertAlign w:val="baseline"/>
        </w:rPr>
        <w:t xml:space="preserve">Malleus Maleficarum, </w:t>
      </w:r>
      <w:r w:rsidRPr="005F7752">
        <w:rPr>
          <w:rFonts w:ascii="Times New Roman" w:hAnsi="Times New Roman" w:cs="Times New Roman"/>
          <w:sz w:val="24"/>
          <w:szCs w:val="24"/>
          <w:vertAlign w:val="baseline"/>
        </w:rPr>
        <w:t>women were alleged to be sexually insatiable and who, ‘for the sake of quenching their lusts, excite themselves with devils.’</w:t>
      </w:r>
      <w:r w:rsidRPr="005F7752">
        <w:rPr>
          <w:rFonts w:ascii="Times New Roman" w:hAnsi="Times New Roman" w:cs="Times New Roman"/>
          <w:sz w:val="24"/>
          <w:szCs w:val="24"/>
        </w:rPr>
        <w:footnoteReference w:id="418"/>
      </w:r>
      <w:r w:rsidRPr="005F7752">
        <w:rPr>
          <w:rFonts w:ascii="Times New Roman" w:hAnsi="Times New Roman" w:cs="Times New Roman"/>
          <w:sz w:val="24"/>
          <w:szCs w:val="24"/>
          <w:vertAlign w:val="baseline"/>
        </w:rPr>
        <w:t xml:space="preserve"> Third, the crime of witchcraft exhibited characteristics, which were deemed to be predominant only in women, such as curiosity, pride, vanity, vindictiveness and talkativeness.</w:t>
      </w:r>
      <w:r w:rsidRPr="005F7752">
        <w:rPr>
          <w:rFonts w:ascii="Times New Roman" w:hAnsi="Times New Roman" w:cs="Times New Roman"/>
          <w:sz w:val="24"/>
          <w:szCs w:val="24"/>
        </w:rPr>
        <w:footnoteReference w:id="419"/>
      </w:r>
      <w:r w:rsidRPr="005F7752">
        <w:rPr>
          <w:rFonts w:ascii="Times New Roman" w:hAnsi="Times New Roman" w:cs="Times New Roman"/>
          <w:sz w:val="24"/>
          <w:szCs w:val="24"/>
          <w:vertAlign w:val="baseline"/>
        </w:rPr>
        <w:t xml:space="preserve"> </w:t>
      </w:r>
    </w:p>
    <w:p w14:paraId="294EB4DC" w14:textId="77777777" w:rsidR="00EC7531" w:rsidRPr="005F7752" w:rsidRDefault="00EC7531" w:rsidP="00EC7531">
      <w:pPr>
        <w:spacing w:line="480" w:lineRule="auto"/>
        <w:ind w:firstLine="720"/>
        <w:jc w:val="both"/>
        <w:rPr>
          <w:rFonts w:ascii="Times New Roman" w:hAnsi="Times New Roman" w:cs="Times New Roman"/>
          <w:sz w:val="24"/>
          <w:szCs w:val="24"/>
          <w:vertAlign w:val="baseline"/>
        </w:rPr>
      </w:pPr>
    </w:p>
    <w:p w14:paraId="212D44D9" w14:textId="6F5338F9" w:rsidR="005F7752" w:rsidRPr="005F7752" w:rsidRDefault="00437170" w:rsidP="005F7752">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4</w:t>
      </w:r>
      <w:r w:rsidR="00873C76">
        <w:rPr>
          <w:rFonts w:ascii="Times New Roman" w:hAnsi="Times New Roman" w:cs="Times New Roman"/>
          <w:b/>
          <w:sz w:val="24"/>
          <w:szCs w:val="24"/>
          <w:u w:val="single"/>
          <w:vertAlign w:val="baseline"/>
        </w:rPr>
        <w:t>.3 S</w:t>
      </w:r>
      <w:r w:rsidR="00A54E58">
        <w:rPr>
          <w:rFonts w:ascii="Times New Roman" w:hAnsi="Times New Roman" w:cs="Times New Roman"/>
          <w:b/>
          <w:sz w:val="24"/>
          <w:szCs w:val="24"/>
          <w:u w:val="single"/>
          <w:vertAlign w:val="baseline"/>
        </w:rPr>
        <w:t>EX-RELATED OR SEX SPECIFIC?</w:t>
      </w:r>
    </w:p>
    <w:p w14:paraId="60B70269" w14:textId="3D262636" w:rsidR="005F7752" w:rsidRDefault="005F7752" w:rsidP="000D2680">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 xml:space="preserve">There is considerable debate amongst feminists as to whether witchcraft can be classified as sex-specific or sex-related. Essentially, whether women </w:t>
      </w:r>
      <w:r w:rsidRPr="005F7752">
        <w:rPr>
          <w:rFonts w:ascii="Times New Roman" w:hAnsi="Times New Roman" w:cs="Times New Roman"/>
          <w:i/>
          <w:sz w:val="24"/>
          <w:szCs w:val="24"/>
          <w:vertAlign w:val="baseline"/>
        </w:rPr>
        <w:t xml:space="preserve">are </w:t>
      </w:r>
      <w:r w:rsidRPr="005F7752">
        <w:rPr>
          <w:rFonts w:ascii="Times New Roman" w:hAnsi="Times New Roman" w:cs="Times New Roman"/>
          <w:sz w:val="24"/>
          <w:szCs w:val="24"/>
          <w:vertAlign w:val="baseline"/>
        </w:rPr>
        <w:t xml:space="preserve">considered to be the central issue here, or whether they </w:t>
      </w:r>
      <w:r w:rsidRPr="005F7752">
        <w:rPr>
          <w:rFonts w:ascii="Times New Roman" w:hAnsi="Times New Roman" w:cs="Times New Roman"/>
          <w:i/>
          <w:sz w:val="24"/>
          <w:szCs w:val="24"/>
          <w:vertAlign w:val="baseline"/>
        </w:rPr>
        <w:t>are not.</w:t>
      </w:r>
      <w:r w:rsidRPr="005F7752">
        <w:rPr>
          <w:rFonts w:ascii="Times New Roman" w:hAnsi="Times New Roman" w:cs="Times New Roman"/>
          <w:sz w:val="24"/>
          <w:szCs w:val="24"/>
          <w:vertAlign w:val="baseline"/>
        </w:rPr>
        <w:t xml:space="preserve"> Larner, in her book </w:t>
      </w:r>
      <w:r w:rsidRPr="005F7752">
        <w:rPr>
          <w:rFonts w:ascii="Times New Roman" w:hAnsi="Times New Roman" w:cs="Times New Roman"/>
          <w:i/>
          <w:sz w:val="24"/>
          <w:szCs w:val="24"/>
          <w:vertAlign w:val="baseline"/>
        </w:rPr>
        <w:t>Enemies of God</w:t>
      </w:r>
      <w:r w:rsidRPr="005F7752">
        <w:rPr>
          <w:rFonts w:ascii="Times New Roman" w:hAnsi="Times New Roman" w:cs="Times New Roman"/>
          <w:sz w:val="24"/>
          <w:szCs w:val="24"/>
          <w:vertAlign w:val="baseline"/>
        </w:rPr>
        <w:t>,</w:t>
      </w:r>
      <w:r w:rsidRPr="005F7752">
        <w:rPr>
          <w:rFonts w:ascii="Times New Roman" w:hAnsi="Times New Roman" w:cs="Times New Roman"/>
          <w:sz w:val="24"/>
          <w:szCs w:val="24"/>
        </w:rPr>
        <w:footnoteReference w:id="420"/>
      </w:r>
      <w:r w:rsidRPr="005F7752">
        <w:rPr>
          <w:rFonts w:ascii="Times New Roman" w:hAnsi="Times New Roman" w:cs="Times New Roman"/>
          <w:sz w:val="24"/>
          <w:szCs w:val="24"/>
          <w:vertAlign w:val="baseline"/>
        </w:rPr>
        <w:t xml:space="preserve"> produces a detailed analysis of why the witch hunts of the sixteen and seventeenth centuries were not merely about women, thus</w:t>
      </w:r>
      <w:r w:rsidR="0015470C">
        <w:rPr>
          <w:rFonts w:ascii="Times New Roman" w:hAnsi="Times New Roman" w:cs="Times New Roman"/>
          <w:sz w:val="24"/>
          <w:szCs w:val="24"/>
          <w:vertAlign w:val="baseline"/>
        </w:rPr>
        <w:t>,</w:t>
      </w:r>
      <w:r w:rsidRPr="005F7752">
        <w:rPr>
          <w:rFonts w:ascii="Times New Roman" w:hAnsi="Times New Roman" w:cs="Times New Roman"/>
          <w:sz w:val="24"/>
          <w:szCs w:val="24"/>
          <w:vertAlign w:val="baseline"/>
        </w:rPr>
        <w:t xml:space="preserve"> concluding that the witch-hunts were sex-related as opposed to being sex-specific. Her analysis is based upon the fact that the ‘substantial proportion of male witches in most parts of Europe means that a witch was not defined exclusively in female terms.’</w:t>
      </w:r>
      <w:r w:rsidRPr="005F7752">
        <w:rPr>
          <w:rFonts w:ascii="Times New Roman" w:hAnsi="Times New Roman" w:cs="Times New Roman"/>
          <w:sz w:val="24"/>
          <w:szCs w:val="24"/>
        </w:rPr>
        <w:footnoteReference w:id="421"/>
      </w:r>
      <w:r w:rsidRPr="005F7752">
        <w:rPr>
          <w:rFonts w:ascii="Times New Roman" w:hAnsi="Times New Roman" w:cs="Times New Roman"/>
          <w:sz w:val="24"/>
          <w:szCs w:val="24"/>
          <w:vertAlign w:val="baseline"/>
        </w:rPr>
        <w:t xml:space="preserve"> For Larner, the greatest emphasis of her work is based upon religious ideology. Whilst she concedes that there is a strong patriarchal religious ideological link between witch-hunting and </w:t>
      </w:r>
      <w:r w:rsidR="0015470C" w:rsidRPr="005F7752">
        <w:rPr>
          <w:rFonts w:ascii="Times New Roman" w:hAnsi="Times New Roman" w:cs="Times New Roman"/>
          <w:sz w:val="24"/>
          <w:szCs w:val="24"/>
          <w:vertAlign w:val="baseline"/>
        </w:rPr>
        <w:t>women hunting</w:t>
      </w:r>
      <w:r w:rsidR="00DD62D3">
        <w:rPr>
          <w:rFonts w:ascii="Times New Roman" w:hAnsi="Times New Roman" w:cs="Times New Roman"/>
          <w:sz w:val="24"/>
          <w:szCs w:val="24"/>
          <w:vertAlign w:val="baseline"/>
        </w:rPr>
        <w:t>,</w:t>
      </w:r>
      <w:r w:rsidRPr="005F7752">
        <w:rPr>
          <w:rFonts w:ascii="Times New Roman" w:hAnsi="Times New Roman" w:cs="Times New Roman"/>
          <w:sz w:val="24"/>
          <w:szCs w:val="24"/>
          <w:vertAlign w:val="baseline"/>
        </w:rPr>
        <w:t xml:space="preserve"> ‘witch-hunting </w:t>
      </w:r>
      <w:r w:rsidRPr="005F7752">
        <w:rPr>
          <w:rFonts w:ascii="Times New Roman" w:hAnsi="Times New Roman" w:cs="Times New Roman"/>
          <w:i/>
          <w:sz w:val="24"/>
          <w:szCs w:val="24"/>
          <w:vertAlign w:val="baseline"/>
        </w:rPr>
        <w:t xml:space="preserve">is </w:t>
      </w:r>
      <w:r w:rsidRPr="005F7752">
        <w:rPr>
          <w:rFonts w:ascii="Times New Roman" w:hAnsi="Times New Roman" w:cs="Times New Roman"/>
          <w:sz w:val="24"/>
          <w:szCs w:val="24"/>
          <w:vertAlign w:val="baseline"/>
        </w:rPr>
        <w:t>women-hunting or at least it is the hunting of women who do not fulfil the male view of how women ought to conduct themselves,’</w:t>
      </w:r>
      <w:r w:rsidRPr="005F7752">
        <w:rPr>
          <w:rFonts w:ascii="Times New Roman" w:hAnsi="Times New Roman" w:cs="Times New Roman"/>
          <w:sz w:val="24"/>
          <w:szCs w:val="24"/>
        </w:rPr>
        <w:footnoteReference w:id="422"/>
      </w:r>
      <w:r w:rsidRPr="005F7752">
        <w:rPr>
          <w:rFonts w:ascii="Times New Roman" w:hAnsi="Times New Roman" w:cs="Times New Roman"/>
          <w:sz w:val="24"/>
          <w:szCs w:val="24"/>
          <w:vertAlign w:val="baseline"/>
        </w:rPr>
        <w:t xml:space="preserve"> Larner considers that such ideology was simply part of a wider declaration of religious ideological conformity. Thus, in her opinion, women were not the central issue,</w:t>
      </w:r>
    </w:p>
    <w:p w14:paraId="078EAF5B" w14:textId="77777777" w:rsidR="003F5996" w:rsidRPr="005F7752" w:rsidRDefault="003F5996" w:rsidP="000D2680">
      <w:pPr>
        <w:spacing w:line="480" w:lineRule="auto"/>
        <w:ind w:firstLine="720"/>
        <w:jc w:val="both"/>
        <w:rPr>
          <w:rFonts w:ascii="Times New Roman" w:hAnsi="Times New Roman" w:cs="Times New Roman"/>
          <w:sz w:val="24"/>
          <w:szCs w:val="24"/>
          <w:vertAlign w:val="baseline"/>
        </w:rPr>
      </w:pPr>
    </w:p>
    <w:p w14:paraId="67E45E38" w14:textId="54AC9A79" w:rsidR="005F7752" w:rsidRPr="005F7752" w:rsidRDefault="005F7752" w:rsidP="003F5996">
      <w:pPr>
        <w:spacing w:line="480" w:lineRule="auto"/>
        <w:ind w:left="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 xml:space="preserve">The relationship between women and the stereotype of witchcraft is quite direct; witches are women; all women are potential witches. The relationship between witch-hunting and women-hunting however, is less direct. Witches were hunted in the first place as witches. The total </w:t>
      </w:r>
      <w:r w:rsidR="0015470C" w:rsidRPr="005F7752">
        <w:rPr>
          <w:rFonts w:ascii="Times New Roman" w:hAnsi="Times New Roman" w:cs="Times New Roman"/>
          <w:sz w:val="24"/>
          <w:szCs w:val="24"/>
          <w:vertAlign w:val="baseline"/>
        </w:rPr>
        <w:t>evil, which they represented,</w:t>
      </w:r>
      <w:r w:rsidRPr="005F7752">
        <w:rPr>
          <w:rFonts w:ascii="Times New Roman" w:hAnsi="Times New Roman" w:cs="Times New Roman"/>
          <w:sz w:val="24"/>
          <w:szCs w:val="24"/>
          <w:vertAlign w:val="baseline"/>
        </w:rPr>
        <w:t xml:space="preserve"> was not actually sex-specific. Indeed the Devil himself was male. Witch-hunting was directed for ideological reasons against the enemies of God, and the fact that eighty percent or more of these were women was, though not accidental, one degree removed from an attack on women as such.</w:t>
      </w:r>
      <w:r w:rsidRPr="005F7752">
        <w:rPr>
          <w:rFonts w:ascii="Times New Roman" w:hAnsi="Times New Roman" w:cs="Times New Roman"/>
          <w:sz w:val="24"/>
          <w:szCs w:val="24"/>
        </w:rPr>
        <w:footnoteReference w:id="423"/>
      </w:r>
    </w:p>
    <w:p w14:paraId="3EFF6FA6" w14:textId="77777777" w:rsidR="005F7752" w:rsidRPr="005F7752" w:rsidRDefault="005F7752" w:rsidP="005F7752">
      <w:pPr>
        <w:spacing w:line="480" w:lineRule="auto"/>
        <w:jc w:val="both"/>
        <w:rPr>
          <w:rFonts w:ascii="Times New Roman" w:hAnsi="Times New Roman" w:cs="Times New Roman"/>
          <w:sz w:val="24"/>
          <w:szCs w:val="24"/>
          <w:vertAlign w:val="baseline"/>
        </w:rPr>
      </w:pPr>
    </w:p>
    <w:p w14:paraId="56C7D78A" w14:textId="10022BFE" w:rsidR="005F7752" w:rsidRDefault="005F7752" w:rsidP="0089364F">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Whilst I would agree that religious ideology played a systemic part in the witch-hunts, the mere fact that ‘all witches are women and all women are potential witches’ implicates that it is specifically men who benefit from such stereotyped direct association. Thus, witchcraft does not only constitute an ideology; it constitutes a gendered ideology</w:t>
      </w:r>
      <w:r w:rsidR="00F85738">
        <w:rPr>
          <w:rFonts w:ascii="Times New Roman" w:hAnsi="Times New Roman" w:cs="Times New Roman"/>
          <w:sz w:val="24"/>
          <w:szCs w:val="24"/>
          <w:vertAlign w:val="baseline"/>
        </w:rPr>
        <w:t>.</w:t>
      </w:r>
      <w:r w:rsidRPr="005F7752">
        <w:rPr>
          <w:rFonts w:ascii="Times New Roman" w:hAnsi="Times New Roman" w:cs="Times New Roman"/>
          <w:sz w:val="24"/>
          <w:szCs w:val="24"/>
        </w:rPr>
        <w:footnoteReference w:id="424"/>
      </w:r>
      <w:r w:rsidR="00F85738">
        <w:rPr>
          <w:rFonts w:ascii="Times New Roman" w:hAnsi="Times New Roman" w:cs="Times New Roman"/>
          <w:sz w:val="24"/>
          <w:szCs w:val="24"/>
          <w:vertAlign w:val="baseline"/>
        </w:rPr>
        <w:t xml:space="preserve">  </w:t>
      </w:r>
      <w:r w:rsidR="00D41390">
        <w:rPr>
          <w:rFonts w:ascii="Times New Roman" w:hAnsi="Times New Roman" w:cs="Times New Roman"/>
          <w:sz w:val="24"/>
          <w:szCs w:val="24"/>
          <w:vertAlign w:val="baseline"/>
        </w:rPr>
        <w:t>I</w:t>
      </w:r>
      <w:r w:rsidR="00FC5494">
        <w:rPr>
          <w:rFonts w:ascii="Times New Roman" w:hAnsi="Times New Roman" w:cs="Times New Roman"/>
          <w:sz w:val="24"/>
          <w:szCs w:val="24"/>
          <w:vertAlign w:val="baseline"/>
        </w:rPr>
        <w:t xml:space="preserve">t is accepted that there are examples of </w:t>
      </w:r>
      <w:r w:rsidR="00973AF3">
        <w:rPr>
          <w:rFonts w:ascii="Times New Roman" w:hAnsi="Times New Roman" w:cs="Times New Roman"/>
          <w:sz w:val="24"/>
          <w:szCs w:val="24"/>
          <w:vertAlign w:val="baseline"/>
        </w:rPr>
        <w:t xml:space="preserve">men accused of historic </w:t>
      </w:r>
      <w:r w:rsidR="00D41390">
        <w:rPr>
          <w:rFonts w:ascii="Times New Roman" w:hAnsi="Times New Roman" w:cs="Times New Roman"/>
          <w:sz w:val="24"/>
          <w:szCs w:val="24"/>
          <w:vertAlign w:val="baseline"/>
        </w:rPr>
        <w:t xml:space="preserve">witchcraft, </w:t>
      </w:r>
      <w:r w:rsidR="008B7E63">
        <w:rPr>
          <w:rFonts w:ascii="Times New Roman" w:hAnsi="Times New Roman" w:cs="Times New Roman"/>
          <w:sz w:val="24"/>
          <w:szCs w:val="24"/>
          <w:vertAlign w:val="baseline"/>
        </w:rPr>
        <w:t>generally due to accusations of heresy and deviation from the church</w:t>
      </w:r>
      <w:r w:rsidR="00D41390">
        <w:rPr>
          <w:rFonts w:ascii="Times New Roman" w:hAnsi="Times New Roman" w:cs="Times New Roman"/>
          <w:sz w:val="24"/>
          <w:szCs w:val="24"/>
          <w:vertAlign w:val="baseline"/>
        </w:rPr>
        <w:t>.</w:t>
      </w:r>
      <w:r w:rsidR="00D41390">
        <w:rPr>
          <w:rStyle w:val="FootnoteReference"/>
          <w:rFonts w:ascii="Times New Roman" w:hAnsi="Times New Roman" w:cs="Times New Roman"/>
          <w:sz w:val="24"/>
          <w:szCs w:val="24"/>
        </w:rPr>
        <w:footnoteReference w:id="425"/>
      </w:r>
      <w:r w:rsidR="00F92F92">
        <w:rPr>
          <w:rFonts w:ascii="Times New Roman" w:hAnsi="Times New Roman" w:cs="Times New Roman"/>
          <w:sz w:val="24"/>
          <w:szCs w:val="24"/>
          <w:vertAlign w:val="baseline"/>
        </w:rPr>
        <w:t xml:space="preserve"> </w:t>
      </w:r>
      <w:r w:rsidR="00D911F7">
        <w:rPr>
          <w:rFonts w:ascii="Times New Roman" w:hAnsi="Times New Roman" w:cs="Times New Roman"/>
          <w:sz w:val="24"/>
          <w:szCs w:val="24"/>
          <w:vertAlign w:val="baseline"/>
        </w:rPr>
        <w:t>Accusations against men, unlike those against women, had no sexual connotations and were fundamentally concerned with the how men governed, both themselves and within the community.</w:t>
      </w:r>
      <w:r w:rsidR="00D911F7">
        <w:rPr>
          <w:rStyle w:val="FootnoteReference"/>
          <w:rFonts w:ascii="Times New Roman" w:hAnsi="Times New Roman" w:cs="Times New Roman"/>
          <w:sz w:val="24"/>
          <w:szCs w:val="24"/>
        </w:rPr>
        <w:footnoteReference w:id="426"/>
      </w:r>
      <w:r w:rsidR="00D911F7">
        <w:rPr>
          <w:rFonts w:ascii="Times New Roman" w:hAnsi="Times New Roman" w:cs="Times New Roman"/>
          <w:sz w:val="24"/>
          <w:szCs w:val="24"/>
          <w:vertAlign w:val="baseline"/>
        </w:rPr>
        <w:t xml:space="preserve"> M</w:t>
      </w:r>
      <w:r w:rsidR="00F92F92">
        <w:rPr>
          <w:rFonts w:ascii="Times New Roman" w:hAnsi="Times New Roman" w:cs="Times New Roman"/>
          <w:sz w:val="24"/>
          <w:szCs w:val="24"/>
          <w:vertAlign w:val="baseline"/>
        </w:rPr>
        <w:t xml:space="preserve">en accused of witchcraft were perceived as </w:t>
      </w:r>
      <w:r w:rsidR="00EB29D7">
        <w:rPr>
          <w:rFonts w:ascii="Times New Roman" w:hAnsi="Times New Roman" w:cs="Times New Roman"/>
          <w:sz w:val="24"/>
          <w:szCs w:val="24"/>
          <w:vertAlign w:val="baseline"/>
        </w:rPr>
        <w:t xml:space="preserve">threats to the stability of the </w:t>
      </w:r>
      <w:r w:rsidR="00F92F92">
        <w:rPr>
          <w:rFonts w:ascii="Times New Roman" w:hAnsi="Times New Roman" w:cs="Times New Roman"/>
          <w:sz w:val="24"/>
          <w:szCs w:val="24"/>
          <w:vertAlign w:val="baseline"/>
        </w:rPr>
        <w:t xml:space="preserve">masculine governance of the </w:t>
      </w:r>
      <w:r w:rsidR="00EB29D7">
        <w:rPr>
          <w:rFonts w:ascii="Times New Roman" w:hAnsi="Times New Roman" w:cs="Times New Roman"/>
          <w:sz w:val="24"/>
          <w:szCs w:val="24"/>
          <w:vertAlign w:val="baseline"/>
        </w:rPr>
        <w:t xml:space="preserve">church </w:t>
      </w:r>
      <w:r w:rsidR="00F92F92">
        <w:rPr>
          <w:rFonts w:ascii="Times New Roman" w:hAnsi="Times New Roman" w:cs="Times New Roman"/>
          <w:sz w:val="24"/>
          <w:szCs w:val="24"/>
          <w:vertAlign w:val="baseline"/>
        </w:rPr>
        <w:t>and</w:t>
      </w:r>
      <w:r w:rsidR="00EB29D7">
        <w:rPr>
          <w:rFonts w:ascii="Times New Roman" w:hAnsi="Times New Roman" w:cs="Times New Roman"/>
          <w:sz w:val="24"/>
          <w:szCs w:val="24"/>
          <w:vertAlign w:val="baseline"/>
        </w:rPr>
        <w:t xml:space="preserve"> to the ideology of patriarchal power</w:t>
      </w:r>
      <w:r w:rsidR="00F92F92">
        <w:rPr>
          <w:rFonts w:ascii="Times New Roman" w:hAnsi="Times New Roman" w:cs="Times New Roman"/>
          <w:sz w:val="24"/>
          <w:szCs w:val="24"/>
          <w:vertAlign w:val="baseline"/>
        </w:rPr>
        <w:t xml:space="preserve">, thus, representing the continuous struggle for </w:t>
      </w:r>
      <w:r w:rsidR="00627B61">
        <w:rPr>
          <w:rFonts w:ascii="Times New Roman" w:hAnsi="Times New Roman" w:cs="Times New Roman"/>
          <w:sz w:val="24"/>
          <w:szCs w:val="24"/>
          <w:vertAlign w:val="baseline"/>
        </w:rPr>
        <w:t xml:space="preserve">male </w:t>
      </w:r>
      <w:r w:rsidR="00F92F92">
        <w:rPr>
          <w:rFonts w:ascii="Times New Roman" w:hAnsi="Times New Roman" w:cs="Times New Roman"/>
          <w:sz w:val="24"/>
          <w:szCs w:val="24"/>
          <w:vertAlign w:val="baseline"/>
        </w:rPr>
        <w:t xml:space="preserve">power </w:t>
      </w:r>
      <w:r w:rsidR="00627B61">
        <w:rPr>
          <w:rFonts w:ascii="Times New Roman" w:hAnsi="Times New Roman" w:cs="Times New Roman"/>
          <w:sz w:val="24"/>
          <w:szCs w:val="24"/>
          <w:vertAlign w:val="baseline"/>
        </w:rPr>
        <w:t xml:space="preserve">over women and also over other men, </w:t>
      </w:r>
      <w:r w:rsidR="00F92F92">
        <w:rPr>
          <w:rFonts w:ascii="Times New Roman" w:hAnsi="Times New Roman" w:cs="Times New Roman"/>
          <w:sz w:val="24"/>
          <w:szCs w:val="24"/>
          <w:vertAlign w:val="baseline"/>
        </w:rPr>
        <w:t>within patriarchal systems</w:t>
      </w:r>
      <w:r w:rsidR="00D911F7">
        <w:rPr>
          <w:rFonts w:ascii="Times New Roman" w:hAnsi="Times New Roman" w:cs="Times New Roman"/>
          <w:sz w:val="24"/>
          <w:szCs w:val="24"/>
          <w:vertAlign w:val="baseline"/>
        </w:rPr>
        <w:t>.</w:t>
      </w:r>
      <w:r w:rsidR="00F92F92">
        <w:rPr>
          <w:rFonts w:ascii="Times New Roman" w:hAnsi="Times New Roman" w:cs="Times New Roman"/>
          <w:sz w:val="24"/>
          <w:szCs w:val="24"/>
          <w:vertAlign w:val="baseline"/>
        </w:rPr>
        <w:t xml:space="preserve"> </w:t>
      </w:r>
      <w:r w:rsidR="0089364F">
        <w:rPr>
          <w:rFonts w:ascii="Times New Roman" w:hAnsi="Times New Roman" w:cs="Times New Roman"/>
          <w:sz w:val="24"/>
          <w:szCs w:val="24"/>
          <w:vertAlign w:val="baseline"/>
        </w:rPr>
        <w:t>It is this struggle for patriarchal power</w:t>
      </w:r>
      <w:r w:rsidR="00511B20">
        <w:rPr>
          <w:rFonts w:ascii="Times New Roman" w:hAnsi="Times New Roman" w:cs="Times New Roman"/>
          <w:sz w:val="24"/>
          <w:szCs w:val="24"/>
          <w:vertAlign w:val="baseline"/>
        </w:rPr>
        <w:t xml:space="preserve"> and the need to conform to such authority</w:t>
      </w:r>
      <w:r w:rsidR="0089364F">
        <w:rPr>
          <w:rFonts w:ascii="Times New Roman" w:hAnsi="Times New Roman" w:cs="Times New Roman"/>
          <w:sz w:val="24"/>
          <w:szCs w:val="24"/>
          <w:vertAlign w:val="baseline"/>
        </w:rPr>
        <w:t xml:space="preserve"> that provides the rationale for the witch-hunts</w:t>
      </w:r>
      <w:r w:rsidR="00511B20">
        <w:rPr>
          <w:rFonts w:ascii="Times New Roman" w:hAnsi="Times New Roman" w:cs="Times New Roman"/>
          <w:sz w:val="24"/>
          <w:szCs w:val="24"/>
          <w:vertAlign w:val="baseline"/>
        </w:rPr>
        <w:t>, whilst also demonstrating their sex-specific nature.</w:t>
      </w:r>
      <w:r w:rsidR="00627B61">
        <w:rPr>
          <w:rFonts w:ascii="Times New Roman" w:hAnsi="Times New Roman" w:cs="Times New Roman"/>
          <w:sz w:val="24"/>
          <w:szCs w:val="24"/>
          <w:vertAlign w:val="baseline"/>
        </w:rPr>
        <w:t xml:space="preserve"> </w:t>
      </w:r>
      <w:r w:rsidR="00522DCF">
        <w:rPr>
          <w:rFonts w:ascii="Times New Roman" w:hAnsi="Times New Roman" w:cs="Times New Roman"/>
          <w:sz w:val="24"/>
          <w:szCs w:val="24"/>
          <w:vertAlign w:val="baseline"/>
        </w:rPr>
        <w:t>Moreover, it is no coincidence that ‘the majority of the accusers, the ministers, priests, constables, jailers, judges, doctors, prickers,</w:t>
      </w:r>
      <w:r w:rsidR="00412787">
        <w:rPr>
          <w:rStyle w:val="FootnoteReference"/>
          <w:rFonts w:ascii="Times New Roman" w:hAnsi="Times New Roman" w:cs="Times New Roman"/>
          <w:sz w:val="24"/>
          <w:szCs w:val="24"/>
        </w:rPr>
        <w:footnoteReference w:id="427"/>
      </w:r>
      <w:r w:rsidR="00522DCF">
        <w:rPr>
          <w:rFonts w:ascii="Times New Roman" w:hAnsi="Times New Roman" w:cs="Times New Roman"/>
          <w:sz w:val="24"/>
          <w:szCs w:val="24"/>
          <w:vertAlign w:val="baseline"/>
        </w:rPr>
        <w:t xml:space="preserve"> torturers and executioners and the courts of appeal as well, were 100 percent male.’</w:t>
      </w:r>
      <w:r w:rsidR="00522DCF">
        <w:rPr>
          <w:rStyle w:val="FootnoteReference"/>
          <w:rFonts w:ascii="Times New Roman" w:hAnsi="Times New Roman" w:cs="Times New Roman"/>
          <w:sz w:val="24"/>
          <w:szCs w:val="24"/>
        </w:rPr>
        <w:footnoteReference w:id="428"/>
      </w:r>
      <w:r w:rsidR="00522DCF">
        <w:rPr>
          <w:rFonts w:ascii="Times New Roman" w:hAnsi="Times New Roman" w:cs="Times New Roman"/>
          <w:sz w:val="24"/>
          <w:szCs w:val="24"/>
          <w:vertAlign w:val="baseline"/>
        </w:rPr>
        <w:t xml:space="preserve"> </w:t>
      </w:r>
      <w:r w:rsidR="0089364F">
        <w:rPr>
          <w:rFonts w:ascii="Times New Roman" w:hAnsi="Times New Roman" w:cs="Times New Roman"/>
          <w:sz w:val="24"/>
          <w:szCs w:val="24"/>
          <w:vertAlign w:val="baseline"/>
        </w:rPr>
        <w:t>Thus, f</w:t>
      </w:r>
      <w:r w:rsidR="00F85738">
        <w:rPr>
          <w:rFonts w:ascii="Times New Roman" w:hAnsi="Times New Roman" w:cs="Times New Roman"/>
          <w:sz w:val="24"/>
          <w:szCs w:val="24"/>
          <w:vertAlign w:val="baseline"/>
        </w:rPr>
        <w:t>or me, and f</w:t>
      </w:r>
      <w:r w:rsidRPr="005F7752">
        <w:rPr>
          <w:rFonts w:ascii="Times New Roman" w:hAnsi="Times New Roman" w:cs="Times New Roman"/>
          <w:sz w:val="24"/>
          <w:szCs w:val="24"/>
          <w:vertAlign w:val="baseline"/>
        </w:rPr>
        <w:t>or feminists such as Daly,</w:t>
      </w:r>
      <w:r w:rsidRPr="005F7752">
        <w:rPr>
          <w:rFonts w:ascii="Times New Roman" w:hAnsi="Times New Roman" w:cs="Times New Roman"/>
          <w:sz w:val="24"/>
          <w:szCs w:val="24"/>
        </w:rPr>
        <w:footnoteReference w:id="429"/>
      </w:r>
      <w:r w:rsidRPr="005F7752">
        <w:rPr>
          <w:rFonts w:ascii="Times New Roman" w:hAnsi="Times New Roman" w:cs="Times New Roman"/>
          <w:sz w:val="24"/>
          <w:szCs w:val="24"/>
          <w:vertAlign w:val="baseline"/>
        </w:rPr>
        <w:t xml:space="preserve"> the witch-hunts</w:t>
      </w:r>
      <w:r w:rsidR="001F19E9">
        <w:rPr>
          <w:rFonts w:ascii="Times New Roman" w:hAnsi="Times New Roman" w:cs="Times New Roman"/>
          <w:sz w:val="24"/>
          <w:szCs w:val="24"/>
          <w:vertAlign w:val="baseline"/>
        </w:rPr>
        <w:t xml:space="preserve"> were undeniably </w:t>
      </w:r>
      <w:r w:rsidRPr="005F7752">
        <w:rPr>
          <w:rFonts w:ascii="Times New Roman" w:hAnsi="Times New Roman" w:cs="Times New Roman"/>
          <w:sz w:val="24"/>
          <w:szCs w:val="24"/>
          <w:vertAlign w:val="baseline"/>
        </w:rPr>
        <w:t>sex-specific and were a way of controlling or eliminating women who did not conform to patriarchal supremacy,</w:t>
      </w:r>
    </w:p>
    <w:p w14:paraId="6358544D" w14:textId="77777777" w:rsidR="00280BC3" w:rsidRPr="005F7752" w:rsidRDefault="00280BC3" w:rsidP="0089364F">
      <w:pPr>
        <w:spacing w:line="480" w:lineRule="auto"/>
        <w:ind w:firstLine="720"/>
        <w:jc w:val="both"/>
        <w:rPr>
          <w:rFonts w:ascii="Times New Roman" w:hAnsi="Times New Roman" w:cs="Times New Roman"/>
          <w:sz w:val="24"/>
          <w:szCs w:val="24"/>
          <w:vertAlign w:val="baseline"/>
        </w:rPr>
      </w:pPr>
    </w:p>
    <w:p w14:paraId="4BA4B99A" w14:textId="77777777" w:rsidR="005F7752" w:rsidRPr="005F7752" w:rsidRDefault="005F7752" w:rsidP="003F5996">
      <w:pPr>
        <w:spacing w:line="480" w:lineRule="auto"/>
        <w:ind w:left="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Lest there be any doubt that the motive of the European witch-craze was to purify society … The witch-hunters sought to purify their society of these “indigestible” elements – women whose physical, intellectual, economic, moral, and spiritual independence and activity profoundly threatened the male monopoly in every sphere.</w:t>
      </w:r>
      <w:r w:rsidRPr="005F7752">
        <w:rPr>
          <w:rFonts w:ascii="Times New Roman" w:hAnsi="Times New Roman" w:cs="Times New Roman"/>
          <w:sz w:val="24"/>
          <w:szCs w:val="24"/>
        </w:rPr>
        <w:footnoteReference w:id="430"/>
      </w:r>
    </w:p>
    <w:p w14:paraId="09711513" w14:textId="77777777" w:rsidR="005F7752" w:rsidRPr="005F7752" w:rsidRDefault="005F7752" w:rsidP="005F7752">
      <w:pPr>
        <w:spacing w:line="480" w:lineRule="auto"/>
        <w:jc w:val="both"/>
        <w:rPr>
          <w:rFonts w:ascii="Times New Roman" w:hAnsi="Times New Roman" w:cs="Times New Roman"/>
          <w:sz w:val="24"/>
          <w:szCs w:val="24"/>
          <w:vertAlign w:val="baseline"/>
        </w:rPr>
      </w:pPr>
    </w:p>
    <w:p w14:paraId="5242425B" w14:textId="77777777" w:rsidR="005F7752" w:rsidRDefault="005F7752" w:rsidP="002D5A51">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Thus, the witch-hunts were a product of male/female power relations, necessary to ‘purify’ society of women who had been seen to actively challenge male supremacy and who did not succumb or conform to the patriarchal society.</w:t>
      </w:r>
      <w:r w:rsidRPr="005F7752">
        <w:rPr>
          <w:rFonts w:ascii="Times New Roman" w:hAnsi="Times New Roman" w:cs="Times New Roman"/>
          <w:sz w:val="24"/>
          <w:szCs w:val="24"/>
        </w:rPr>
        <w:footnoteReference w:id="431"/>
      </w:r>
      <w:r w:rsidRPr="005F7752">
        <w:rPr>
          <w:rFonts w:ascii="Times New Roman" w:hAnsi="Times New Roman" w:cs="Times New Roman"/>
          <w:sz w:val="24"/>
          <w:szCs w:val="24"/>
          <w:vertAlign w:val="baseline"/>
        </w:rPr>
        <w:t xml:space="preserve"> For Karlsen, the witch-hunts were a way of controlling social order, </w:t>
      </w:r>
    </w:p>
    <w:p w14:paraId="168BFAF4" w14:textId="77777777" w:rsidR="003F5996" w:rsidRPr="005F7752" w:rsidRDefault="003F5996" w:rsidP="002D5A51">
      <w:pPr>
        <w:spacing w:line="480" w:lineRule="auto"/>
        <w:ind w:firstLine="720"/>
        <w:jc w:val="both"/>
        <w:rPr>
          <w:rFonts w:ascii="Times New Roman" w:hAnsi="Times New Roman" w:cs="Times New Roman"/>
          <w:sz w:val="24"/>
          <w:szCs w:val="24"/>
          <w:vertAlign w:val="baseline"/>
        </w:rPr>
      </w:pPr>
    </w:p>
    <w:p w14:paraId="52F88FB3" w14:textId="77777777" w:rsidR="005F7752" w:rsidRPr="005F7752" w:rsidRDefault="005F7752" w:rsidP="003F5996">
      <w:pPr>
        <w:spacing w:line="480" w:lineRule="auto"/>
        <w:ind w:left="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For Puritans, hierarchy and order were the most cherished values. People who did not accept their place in the social order were the embodiments of evil. Disorderly women placed a greater threat than disorderly men because the male/female relation provided the very model of and for all hierarchical relations, and because Puritans hoped that the subordination of women to men would ensure men’s stake in maintaining those relations.</w:t>
      </w:r>
      <w:r w:rsidRPr="005F7752">
        <w:rPr>
          <w:rFonts w:ascii="Times New Roman" w:hAnsi="Times New Roman" w:cs="Times New Roman"/>
          <w:sz w:val="24"/>
          <w:szCs w:val="24"/>
        </w:rPr>
        <w:footnoteReference w:id="432"/>
      </w:r>
    </w:p>
    <w:p w14:paraId="24AD9C6C" w14:textId="77777777" w:rsidR="005F7752" w:rsidRPr="005F7752" w:rsidRDefault="005F7752" w:rsidP="005F7752">
      <w:pPr>
        <w:spacing w:line="480" w:lineRule="auto"/>
        <w:jc w:val="both"/>
        <w:rPr>
          <w:rFonts w:ascii="Times New Roman" w:hAnsi="Times New Roman" w:cs="Times New Roman"/>
          <w:sz w:val="24"/>
          <w:szCs w:val="24"/>
          <w:vertAlign w:val="baseline"/>
        </w:rPr>
      </w:pPr>
    </w:p>
    <w:p w14:paraId="33569F45" w14:textId="73F7E2D8" w:rsidR="005F7752" w:rsidRDefault="005F7752" w:rsidP="0071511A">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Disorderly women typically fitted into a specific category. Thus, whilst all women were susceptible to accusations of witchcraft, there were specific groups of women who found themselves most vulnerable to witchcraft accusations; specifically women over the age of forty years old and single women, namely, spinsters, widows, separated, divorced or deserted.</w:t>
      </w:r>
      <w:r w:rsidRPr="005F7752">
        <w:rPr>
          <w:rFonts w:ascii="Times New Roman" w:hAnsi="Times New Roman" w:cs="Times New Roman"/>
          <w:sz w:val="24"/>
          <w:szCs w:val="24"/>
        </w:rPr>
        <w:footnoteReference w:id="433"/>
      </w:r>
      <w:r w:rsidRPr="005F7752">
        <w:rPr>
          <w:rFonts w:ascii="Times New Roman" w:hAnsi="Times New Roman" w:cs="Times New Roman"/>
          <w:sz w:val="24"/>
          <w:szCs w:val="24"/>
          <w:vertAlign w:val="baseline"/>
        </w:rPr>
        <w:t xml:space="preserve"> As Karslen observes, ‘since most of the accused were beyond their childbearing years, they “lacked” the natural control pregnancy provided; those who were single or widowed, moreover, lacked the restraint of a husbands presence.’</w:t>
      </w:r>
      <w:r w:rsidRPr="005F7752">
        <w:rPr>
          <w:rFonts w:ascii="Times New Roman" w:hAnsi="Times New Roman" w:cs="Times New Roman"/>
          <w:sz w:val="24"/>
          <w:szCs w:val="24"/>
        </w:rPr>
        <w:footnoteReference w:id="434"/>
      </w:r>
      <w:r w:rsidRPr="005F7752">
        <w:rPr>
          <w:rFonts w:ascii="Times New Roman" w:hAnsi="Times New Roman" w:cs="Times New Roman"/>
          <w:sz w:val="24"/>
          <w:szCs w:val="24"/>
          <w:vertAlign w:val="baseline"/>
        </w:rPr>
        <w:t xml:space="preserve"> Without such ‘restraints’ the insatiable sexual nature of women, as documented in </w:t>
      </w:r>
      <w:r w:rsidRPr="005F7752">
        <w:rPr>
          <w:rFonts w:ascii="Times New Roman" w:hAnsi="Times New Roman" w:cs="Times New Roman"/>
          <w:i/>
          <w:sz w:val="24"/>
          <w:szCs w:val="24"/>
          <w:vertAlign w:val="baseline"/>
        </w:rPr>
        <w:t>Malleus Maleficarum,</w:t>
      </w:r>
      <w:r w:rsidRPr="005F7752">
        <w:rPr>
          <w:rFonts w:ascii="Times New Roman" w:hAnsi="Times New Roman" w:cs="Times New Roman"/>
          <w:i/>
          <w:sz w:val="24"/>
          <w:szCs w:val="24"/>
        </w:rPr>
        <w:footnoteReference w:id="435"/>
      </w:r>
      <w:r w:rsidRPr="005F7752">
        <w:rPr>
          <w:rFonts w:ascii="Times New Roman" w:hAnsi="Times New Roman" w:cs="Times New Roman"/>
          <w:sz w:val="24"/>
          <w:szCs w:val="24"/>
          <w:vertAlign w:val="baseline"/>
        </w:rPr>
        <w:t xml:space="preserve"> meant that women succumbed easily to temptation by the devil, thus, leading others into similar temptation. In </w:t>
      </w:r>
      <w:r w:rsidRPr="005F7752">
        <w:rPr>
          <w:rFonts w:ascii="Times New Roman" w:hAnsi="Times New Roman" w:cs="Times New Roman"/>
          <w:i/>
          <w:sz w:val="24"/>
          <w:szCs w:val="24"/>
          <w:vertAlign w:val="baseline"/>
        </w:rPr>
        <w:t xml:space="preserve">Malleus, </w:t>
      </w:r>
      <w:r w:rsidRPr="005F7752">
        <w:rPr>
          <w:rFonts w:ascii="Times New Roman" w:hAnsi="Times New Roman" w:cs="Times New Roman"/>
          <w:sz w:val="24"/>
          <w:szCs w:val="24"/>
          <w:vertAlign w:val="baseline"/>
        </w:rPr>
        <w:t>whilst women were represented as possessing a variety of innate weaknesses, carnality and lust represented the most specific characteristic of witches.</w:t>
      </w:r>
      <w:r w:rsidRPr="005F7752">
        <w:rPr>
          <w:rFonts w:ascii="Times New Roman" w:hAnsi="Times New Roman" w:cs="Times New Roman"/>
          <w:sz w:val="24"/>
          <w:szCs w:val="24"/>
        </w:rPr>
        <w:footnoteReference w:id="436"/>
      </w:r>
      <w:r w:rsidRPr="005F7752">
        <w:rPr>
          <w:rFonts w:ascii="Times New Roman" w:hAnsi="Times New Roman" w:cs="Times New Roman"/>
          <w:sz w:val="24"/>
          <w:szCs w:val="24"/>
          <w:vertAlign w:val="baseline"/>
        </w:rPr>
        <w:t xml:space="preserve"> This was of huge concern to the authors of </w:t>
      </w:r>
      <w:r w:rsidRPr="005F7752">
        <w:rPr>
          <w:rFonts w:ascii="Times New Roman" w:hAnsi="Times New Roman" w:cs="Times New Roman"/>
          <w:i/>
          <w:sz w:val="24"/>
          <w:szCs w:val="24"/>
          <w:vertAlign w:val="baseline"/>
        </w:rPr>
        <w:t>Malleus,</w:t>
      </w:r>
      <w:r w:rsidRPr="005F7752">
        <w:rPr>
          <w:rFonts w:ascii="Times New Roman" w:hAnsi="Times New Roman" w:cs="Times New Roman"/>
          <w:sz w:val="24"/>
          <w:szCs w:val="24"/>
          <w:vertAlign w:val="baseline"/>
        </w:rPr>
        <w:t xml:space="preserve"> who worried that the interrelated sins of witchcraft, sexual deviance and femininity threatened the extermination </w:t>
      </w:r>
      <w:r w:rsidR="00714F03">
        <w:rPr>
          <w:rFonts w:ascii="Times New Roman" w:hAnsi="Times New Roman" w:cs="Times New Roman"/>
          <w:sz w:val="24"/>
          <w:szCs w:val="24"/>
          <w:vertAlign w:val="baseline"/>
        </w:rPr>
        <w:t>of faith and society as a whole,</w:t>
      </w:r>
    </w:p>
    <w:p w14:paraId="77117664" w14:textId="77777777" w:rsidR="00714F03" w:rsidRPr="005F7752" w:rsidRDefault="00714F03" w:rsidP="0071511A">
      <w:pPr>
        <w:spacing w:line="480" w:lineRule="auto"/>
        <w:ind w:firstLine="720"/>
        <w:jc w:val="both"/>
        <w:rPr>
          <w:rFonts w:ascii="Times New Roman" w:hAnsi="Times New Roman" w:cs="Times New Roman"/>
          <w:sz w:val="24"/>
          <w:szCs w:val="24"/>
          <w:vertAlign w:val="baseline"/>
        </w:rPr>
      </w:pPr>
    </w:p>
    <w:p w14:paraId="1D28F136" w14:textId="77777777" w:rsidR="005F7752" w:rsidRPr="005F7752" w:rsidRDefault="005F7752" w:rsidP="00437170">
      <w:pPr>
        <w:spacing w:line="480" w:lineRule="auto"/>
        <w:ind w:left="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Witchcraft arises more often from adulteresses, fornicatresses, etc. … which threatens both the extermination of the faith and intolerable daily danger, because witches know how to change their minds so that they will permit no harm to be done to them by their lovers themselves or others. And so their numbers daily increase.</w:t>
      </w:r>
      <w:r w:rsidRPr="005F7752">
        <w:rPr>
          <w:rFonts w:ascii="Times New Roman" w:hAnsi="Times New Roman" w:cs="Times New Roman"/>
          <w:sz w:val="24"/>
          <w:szCs w:val="24"/>
        </w:rPr>
        <w:footnoteReference w:id="437"/>
      </w:r>
    </w:p>
    <w:p w14:paraId="46BA619C" w14:textId="77777777" w:rsidR="005F7752" w:rsidRPr="005F7752" w:rsidRDefault="005F7752" w:rsidP="005F7752">
      <w:pPr>
        <w:spacing w:line="480" w:lineRule="auto"/>
        <w:jc w:val="both"/>
        <w:rPr>
          <w:rFonts w:ascii="Times New Roman" w:hAnsi="Times New Roman" w:cs="Times New Roman"/>
          <w:sz w:val="24"/>
          <w:szCs w:val="24"/>
          <w:vertAlign w:val="baseline"/>
        </w:rPr>
      </w:pPr>
    </w:p>
    <w:p w14:paraId="4A94BC05" w14:textId="77777777" w:rsidR="00437170" w:rsidRDefault="005F7752" w:rsidP="00F930C6">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 xml:space="preserve">This led to a weakness in masculinity, as men had allowed themselves to be dominated or ‘bewitched’ by women, thus, creating a reversal of the natural order in </w:t>
      </w:r>
      <w:r w:rsidRPr="005F7752">
        <w:rPr>
          <w:rFonts w:ascii="Times New Roman" w:hAnsi="Times New Roman" w:cs="Times New Roman"/>
          <w:i/>
          <w:sz w:val="24"/>
          <w:szCs w:val="24"/>
          <w:vertAlign w:val="baseline"/>
        </w:rPr>
        <w:t>Malleus’s</w:t>
      </w:r>
      <w:r w:rsidRPr="005F7752">
        <w:rPr>
          <w:rFonts w:ascii="Times New Roman" w:hAnsi="Times New Roman" w:cs="Times New Roman"/>
          <w:sz w:val="24"/>
          <w:szCs w:val="24"/>
          <w:vertAlign w:val="baseline"/>
        </w:rPr>
        <w:t xml:space="preserve"> vision of a world overrun with witches and sexual deviance.</w:t>
      </w:r>
      <w:r w:rsidRPr="005F7752">
        <w:rPr>
          <w:rFonts w:ascii="Times New Roman" w:hAnsi="Times New Roman" w:cs="Times New Roman"/>
          <w:sz w:val="24"/>
          <w:szCs w:val="24"/>
        </w:rPr>
        <w:footnoteReference w:id="438"/>
      </w:r>
      <w:r w:rsidRPr="005F7752">
        <w:rPr>
          <w:rFonts w:ascii="Times New Roman" w:hAnsi="Times New Roman" w:cs="Times New Roman"/>
          <w:sz w:val="24"/>
          <w:szCs w:val="24"/>
          <w:vertAlign w:val="baseline"/>
        </w:rPr>
        <w:t xml:space="preserve"> Another contributing factor, when considering male/female relations, is that of the economy. As observed by Hester, ‘when there are changes in the economic sphere, such as changes in production methods, conflict around male/female power relations also takes place in order to ensure male dominance.’</w:t>
      </w:r>
      <w:r w:rsidRPr="005F7752">
        <w:rPr>
          <w:rFonts w:ascii="Times New Roman" w:hAnsi="Times New Roman" w:cs="Times New Roman"/>
          <w:sz w:val="24"/>
          <w:szCs w:val="24"/>
        </w:rPr>
        <w:footnoteReference w:id="439"/>
      </w:r>
      <w:r w:rsidRPr="005F7752">
        <w:rPr>
          <w:rFonts w:ascii="Times New Roman" w:hAnsi="Times New Roman" w:cs="Times New Roman"/>
          <w:sz w:val="24"/>
          <w:szCs w:val="24"/>
          <w:vertAlign w:val="baseline"/>
        </w:rPr>
        <w:t xml:space="preserve"> Moreover, the implications, within this period, of a rapidly growing population coupled with a scarcity of land turned local poverty into a liability. Vagrants and beggars, in particular widows, generated hostile relationships with neighbours by their relentless begging.</w:t>
      </w:r>
      <w:r w:rsidRPr="005F7752">
        <w:rPr>
          <w:rFonts w:ascii="Times New Roman" w:hAnsi="Times New Roman" w:cs="Times New Roman"/>
          <w:sz w:val="24"/>
          <w:szCs w:val="24"/>
        </w:rPr>
        <w:footnoteReference w:id="440"/>
      </w:r>
      <w:r w:rsidRPr="005F7752">
        <w:rPr>
          <w:rFonts w:ascii="Times New Roman" w:hAnsi="Times New Roman" w:cs="Times New Roman"/>
          <w:sz w:val="24"/>
          <w:szCs w:val="24"/>
          <w:vertAlign w:val="baseline"/>
        </w:rPr>
        <w:t xml:space="preserve"> Historically, witches emerged as scapegoats within the masculine struggle to define legitimate power and authority.</w:t>
      </w:r>
      <w:r w:rsidRPr="005F7752">
        <w:rPr>
          <w:rFonts w:ascii="Times New Roman" w:hAnsi="Times New Roman" w:cs="Times New Roman"/>
          <w:sz w:val="24"/>
          <w:szCs w:val="24"/>
        </w:rPr>
        <w:footnoteReference w:id="441"/>
      </w:r>
      <w:r w:rsidRPr="005F7752">
        <w:rPr>
          <w:rFonts w:ascii="Times New Roman" w:hAnsi="Times New Roman" w:cs="Times New Roman"/>
          <w:sz w:val="24"/>
          <w:szCs w:val="24"/>
          <w:vertAlign w:val="baseline"/>
        </w:rPr>
        <w:t xml:space="preserve"> Moreover, witchcraft provided a way to marginalise the less fortunate, an example of the sociological concept of ‘the other.’ The concept considers the way in which society defines its relationships, in which ‘the other’ is an individual, socially constructed to be fundamentally different; essentially, those individuals that do not meet the relevant ‘standard’ are treated as inferior.</w:t>
      </w:r>
      <w:r w:rsidRPr="005F7752">
        <w:rPr>
          <w:rFonts w:ascii="Times New Roman" w:hAnsi="Times New Roman" w:cs="Times New Roman"/>
          <w:sz w:val="24"/>
          <w:szCs w:val="24"/>
        </w:rPr>
        <w:footnoteReference w:id="442"/>
      </w:r>
      <w:r w:rsidRPr="005F7752">
        <w:rPr>
          <w:rFonts w:ascii="Times New Roman" w:hAnsi="Times New Roman" w:cs="Times New Roman"/>
          <w:sz w:val="24"/>
          <w:szCs w:val="24"/>
          <w:vertAlign w:val="baseline"/>
        </w:rPr>
        <w:t xml:space="preserve"> For Simone de Beauvoir, in </w:t>
      </w:r>
      <w:r w:rsidRPr="005F7752">
        <w:rPr>
          <w:rFonts w:ascii="Times New Roman" w:hAnsi="Times New Roman" w:cs="Times New Roman"/>
          <w:i/>
          <w:sz w:val="24"/>
          <w:szCs w:val="24"/>
          <w:vertAlign w:val="baseline"/>
        </w:rPr>
        <w:t>The Second Sex,</w:t>
      </w:r>
      <w:r w:rsidRPr="005F7752">
        <w:rPr>
          <w:rFonts w:ascii="Times New Roman" w:hAnsi="Times New Roman" w:cs="Times New Roman"/>
          <w:i/>
          <w:sz w:val="24"/>
          <w:szCs w:val="24"/>
        </w:rPr>
        <w:footnoteReference w:id="443"/>
      </w:r>
      <w:r w:rsidRPr="005F7752">
        <w:rPr>
          <w:rFonts w:ascii="Times New Roman" w:hAnsi="Times New Roman" w:cs="Times New Roman"/>
          <w:i/>
          <w:sz w:val="24"/>
          <w:szCs w:val="24"/>
          <w:vertAlign w:val="baseline"/>
        </w:rPr>
        <w:t xml:space="preserve"> </w:t>
      </w:r>
      <w:r w:rsidRPr="005F7752">
        <w:rPr>
          <w:rFonts w:ascii="Times New Roman" w:hAnsi="Times New Roman" w:cs="Times New Roman"/>
          <w:sz w:val="24"/>
          <w:szCs w:val="24"/>
          <w:vertAlign w:val="baseline"/>
        </w:rPr>
        <w:t>‘the other’ illustrates the experience of women who have been alienated and oppress</w:t>
      </w:r>
      <w:r w:rsidR="00437170">
        <w:rPr>
          <w:rFonts w:ascii="Times New Roman" w:hAnsi="Times New Roman" w:cs="Times New Roman"/>
          <w:sz w:val="24"/>
          <w:szCs w:val="24"/>
          <w:vertAlign w:val="baseline"/>
        </w:rPr>
        <w:t>ed, by men, throughout humanity,</w:t>
      </w:r>
    </w:p>
    <w:p w14:paraId="773F71F7" w14:textId="46FDF551" w:rsidR="005F7752" w:rsidRPr="005F7752" w:rsidRDefault="005F7752" w:rsidP="00F930C6">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 xml:space="preserve"> </w:t>
      </w:r>
    </w:p>
    <w:p w14:paraId="5803F7D5" w14:textId="77777777" w:rsidR="005F7752" w:rsidRPr="005F7752" w:rsidRDefault="005F7752" w:rsidP="00437170">
      <w:pPr>
        <w:spacing w:line="480" w:lineRule="auto"/>
        <w:ind w:left="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[Woman] is simply what man decrees; thus she is called ‘the sex,’ by which is meant that she appears simply to the male as a sexual being. For him she is sex – absolute sex, no less. She is defined and differentiated with reference to man and not he with reference to her; she is incidental, the inessential as opposed to the essential. He is the Subject, he is the Absolute – she is the Other.</w:t>
      </w:r>
      <w:r w:rsidRPr="005F7752">
        <w:rPr>
          <w:rFonts w:ascii="Times New Roman" w:hAnsi="Times New Roman" w:cs="Times New Roman"/>
          <w:sz w:val="24"/>
          <w:szCs w:val="24"/>
        </w:rPr>
        <w:footnoteReference w:id="444"/>
      </w:r>
    </w:p>
    <w:p w14:paraId="2B477DD2" w14:textId="77777777" w:rsidR="005F7752" w:rsidRPr="005F7752" w:rsidRDefault="005F7752" w:rsidP="005F7752">
      <w:pPr>
        <w:spacing w:line="480" w:lineRule="auto"/>
        <w:jc w:val="both"/>
        <w:rPr>
          <w:rFonts w:ascii="Times New Roman" w:hAnsi="Times New Roman" w:cs="Times New Roman"/>
          <w:b/>
          <w:sz w:val="24"/>
          <w:szCs w:val="24"/>
          <w:u w:val="single"/>
          <w:vertAlign w:val="baseline"/>
        </w:rPr>
      </w:pPr>
    </w:p>
    <w:p w14:paraId="70B2BA27" w14:textId="2D8F58EE" w:rsidR="005F7752" w:rsidRPr="005F7752" w:rsidRDefault="00437170" w:rsidP="00743099">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4.4 CONTEMPORARY GENDERING OF WITCHCRAFT</w:t>
      </w:r>
    </w:p>
    <w:p w14:paraId="139C5458" w14:textId="3036DBFC" w:rsidR="005F7752" w:rsidRDefault="005F7752" w:rsidP="0019748F">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Whilst the hype surrounding the witch trials declined after the 18</w:t>
      </w:r>
      <w:r w:rsidRPr="005F7752">
        <w:rPr>
          <w:rFonts w:ascii="Times New Roman" w:hAnsi="Times New Roman" w:cs="Times New Roman"/>
          <w:sz w:val="24"/>
          <w:szCs w:val="24"/>
        </w:rPr>
        <w:t>th</w:t>
      </w:r>
      <w:r w:rsidRPr="005F7752">
        <w:rPr>
          <w:rFonts w:ascii="Times New Roman" w:hAnsi="Times New Roman" w:cs="Times New Roman"/>
          <w:sz w:val="24"/>
          <w:szCs w:val="24"/>
          <w:vertAlign w:val="baseline"/>
        </w:rPr>
        <w:t xml:space="preserve"> century, the importance of witchcraft within contemporary society is not to be taken lightly. As observed in chapter three,</w:t>
      </w:r>
      <w:r w:rsidRPr="005F7752">
        <w:rPr>
          <w:rFonts w:ascii="Times New Roman" w:hAnsi="Times New Roman" w:cs="Times New Roman"/>
          <w:sz w:val="24"/>
          <w:szCs w:val="24"/>
        </w:rPr>
        <w:footnoteReference w:id="445"/>
      </w:r>
      <w:r w:rsidRPr="005F7752">
        <w:rPr>
          <w:rFonts w:ascii="Times New Roman" w:hAnsi="Times New Roman" w:cs="Times New Roman"/>
          <w:sz w:val="24"/>
          <w:szCs w:val="24"/>
          <w:vertAlign w:val="baseline"/>
        </w:rPr>
        <w:t xml:space="preserve"> anthropological studies</w:t>
      </w:r>
      <w:r w:rsidRPr="005F7752">
        <w:rPr>
          <w:rFonts w:ascii="Times New Roman" w:hAnsi="Times New Roman" w:cs="Times New Roman"/>
          <w:sz w:val="24"/>
          <w:szCs w:val="24"/>
        </w:rPr>
        <w:footnoteReference w:id="446"/>
      </w:r>
      <w:r w:rsidRPr="005F7752">
        <w:rPr>
          <w:rFonts w:ascii="Times New Roman" w:hAnsi="Times New Roman" w:cs="Times New Roman"/>
          <w:sz w:val="24"/>
          <w:szCs w:val="24"/>
          <w:vertAlign w:val="baseline"/>
        </w:rPr>
        <w:t xml:space="preserve"> illustrate that witchcraft beliefs are encountered in virtually al</w:t>
      </w:r>
      <w:r w:rsidR="00714F03">
        <w:rPr>
          <w:rFonts w:ascii="Times New Roman" w:hAnsi="Times New Roman" w:cs="Times New Roman"/>
          <w:sz w:val="24"/>
          <w:szCs w:val="24"/>
          <w:vertAlign w:val="baseline"/>
        </w:rPr>
        <w:t>l continents of the world and continue</w:t>
      </w:r>
      <w:r w:rsidRPr="005F7752">
        <w:rPr>
          <w:rFonts w:ascii="Times New Roman" w:hAnsi="Times New Roman" w:cs="Times New Roman"/>
          <w:sz w:val="24"/>
          <w:szCs w:val="24"/>
          <w:vertAlign w:val="baseline"/>
        </w:rPr>
        <w:t xml:space="preserve"> to be an important characteristic of contemporary times.</w:t>
      </w:r>
      <w:r w:rsidRPr="005F7752">
        <w:rPr>
          <w:rFonts w:ascii="Times New Roman" w:hAnsi="Times New Roman" w:cs="Times New Roman"/>
          <w:sz w:val="24"/>
          <w:szCs w:val="24"/>
        </w:rPr>
        <w:footnoteReference w:id="447"/>
      </w:r>
      <w:r w:rsidRPr="005F7752">
        <w:rPr>
          <w:rFonts w:ascii="Times New Roman" w:hAnsi="Times New Roman" w:cs="Times New Roman"/>
          <w:sz w:val="24"/>
          <w:szCs w:val="24"/>
          <w:vertAlign w:val="baseline"/>
        </w:rPr>
        <w:t xml:space="preserve"> Moreover, the link between women and witchcraft has remained. As Ter Haar observes,</w:t>
      </w:r>
    </w:p>
    <w:p w14:paraId="07C676E0" w14:textId="77777777" w:rsidR="00714F03" w:rsidRPr="005F7752" w:rsidRDefault="00714F03" w:rsidP="0019748F">
      <w:pPr>
        <w:spacing w:line="480" w:lineRule="auto"/>
        <w:ind w:firstLine="720"/>
        <w:jc w:val="both"/>
        <w:rPr>
          <w:rFonts w:ascii="Times New Roman" w:hAnsi="Times New Roman" w:cs="Times New Roman"/>
          <w:sz w:val="24"/>
          <w:szCs w:val="24"/>
          <w:vertAlign w:val="baseline"/>
        </w:rPr>
      </w:pPr>
    </w:p>
    <w:p w14:paraId="6F5C7647" w14:textId="77777777" w:rsidR="005F7752" w:rsidRPr="005F7752" w:rsidRDefault="005F7752" w:rsidP="00714F03">
      <w:pPr>
        <w:spacing w:line="480" w:lineRule="auto"/>
        <w:ind w:left="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Ghana is only one example where witchcraft accusations frequently lead to the abuse of the human rights of women … Typically, it is women whose association with mystical powers is usually considered negative … in other African countries too, the worst types of witchcraft are associated with women. A gender bias can also be observed in the belief that women are generally responsible for passing on witchcraft powers from one generation to another …</w:t>
      </w:r>
      <w:r w:rsidRPr="005F7752">
        <w:rPr>
          <w:rFonts w:ascii="Times New Roman" w:hAnsi="Times New Roman" w:cs="Times New Roman"/>
          <w:sz w:val="24"/>
          <w:szCs w:val="24"/>
        </w:rPr>
        <w:footnoteReference w:id="448"/>
      </w:r>
    </w:p>
    <w:p w14:paraId="4932787B" w14:textId="77777777" w:rsidR="005F7752" w:rsidRPr="005F7752" w:rsidRDefault="005F7752" w:rsidP="005F7752">
      <w:pPr>
        <w:spacing w:line="480" w:lineRule="auto"/>
        <w:jc w:val="both"/>
        <w:rPr>
          <w:rFonts w:ascii="Times New Roman" w:hAnsi="Times New Roman" w:cs="Times New Roman"/>
          <w:sz w:val="24"/>
          <w:szCs w:val="24"/>
          <w:vertAlign w:val="baseline"/>
        </w:rPr>
      </w:pPr>
    </w:p>
    <w:p w14:paraId="5BC858F9" w14:textId="204A5325" w:rsidR="005F7752" w:rsidRDefault="00D335B6" w:rsidP="00101011">
      <w:pPr>
        <w:spacing w:line="480" w:lineRule="auto"/>
        <w:ind w:firstLine="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Whilst Ter Haa</w:t>
      </w:r>
      <w:r w:rsidR="005F7752" w:rsidRPr="005F7752">
        <w:rPr>
          <w:rFonts w:ascii="Times New Roman" w:hAnsi="Times New Roman" w:cs="Times New Roman"/>
          <w:sz w:val="24"/>
          <w:szCs w:val="24"/>
          <w:vertAlign w:val="baseline"/>
        </w:rPr>
        <w:t>r emphasises the link between women and witchcraft in Ghana and ‘in other African countries,’ it is not acceptable to assume that practices or beliefs labelled as witchcraft in different places are necessarily one and the same.</w:t>
      </w:r>
      <w:r w:rsidR="005F7752" w:rsidRPr="005F7752">
        <w:rPr>
          <w:rFonts w:ascii="Times New Roman" w:hAnsi="Times New Roman" w:cs="Times New Roman"/>
          <w:sz w:val="24"/>
          <w:szCs w:val="24"/>
        </w:rPr>
        <w:footnoteReference w:id="449"/>
      </w:r>
      <w:r w:rsidR="005F7752" w:rsidRPr="005F7752">
        <w:rPr>
          <w:rFonts w:ascii="Times New Roman" w:hAnsi="Times New Roman" w:cs="Times New Roman"/>
          <w:sz w:val="24"/>
          <w:szCs w:val="24"/>
          <w:vertAlign w:val="baseline"/>
        </w:rPr>
        <w:t xml:space="preserve"> Thus, in order to examine the gendering of witchcraft in contemporary society it is necessary to identify the nature of witchcraft within different societies. For the purposes of this examination I have chosen four countries, in which there is a notable prevalence of witchcraft accusations and persecution of women; Ghana, India, Nepal and Papua New Guinea. In 2009, the previous Special </w:t>
      </w:r>
      <w:r w:rsidR="00757C91" w:rsidRPr="005F7752">
        <w:rPr>
          <w:rFonts w:ascii="Times New Roman" w:hAnsi="Times New Roman" w:cs="Times New Roman"/>
          <w:sz w:val="24"/>
          <w:szCs w:val="24"/>
          <w:vertAlign w:val="baseline"/>
        </w:rPr>
        <w:t>Rapporteur</w:t>
      </w:r>
      <w:r w:rsidR="005F7752" w:rsidRPr="005F7752">
        <w:rPr>
          <w:rFonts w:ascii="Times New Roman" w:hAnsi="Times New Roman" w:cs="Times New Roman"/>
          <w:sz w:val="24"/>
          <w:szCs w:val="24"/>
          <w:vertAlign w:val="baseline"/>
        </w:rPr>
        <w:t xml:space="preserve"> on extrajudicial, summary or arbitrary executions, Philip Alston, produced a generic report, ‘Promotion and Protection of All Human Rights, Civil Political, Economic, Social and Cultural Rights, including the Right to Development,’</w:t>
      </w:r>
      <w:r w:rsidR="005F7752" w:rsidRPr="005F7752">
        <w:rPr>
          <w:rFonts w:ascii="Times New Roman" w:hAnsi="Times New Roman" w:cs="Times New Roman"/>
          <w:sz w:val="24"/>
          <w:szCs w:val="24"/>
        </w:rPr>
        <w:footnoteReference w:id="450"/>
      </w:r>
      <w:r w:rsidR="005F7752" w:rsidRPr="005F7752">
        <w:rPr>
          <w:rFonts w:ascii="Times New Roman" w:hAnsi="Times New Roman" w:cs="Times New Roman"/>
          <w:sz w:val="24"/>
          <w:szCs w:val="24"/>
          <w:vertAlign w:val="baseline"/>
        </w:rPr>
        <w:t xml:space="preserve"> which documented the killing of witches as an ‘issue of particular importance.’</w:t>
      </w:r>
      <w:r w:rsidR="005F7752" w:rsidRPr="005F7752">
        <w:rPr>
          <w:rFonts w:ascii="Times New Roman" w:hAnsi="Times New Roman" w:cs="Times New Roman"/>
          <w:sz w:val="24"/>
          <w:szCs w:val="24"/>
        </w:rPr>
        <w:footnoteReference w:id="451"/>
      </w:r>
      <w:r w:rsidR="005F7752" w:rsidRPr="005F7752">
        <w:rPr>
          <w:rFonts w:ascii="Times New Roman" w:hAnsi="Times New Roman" w:cs="Times New Roman"/>
          <w:sz w:val="24"/>
          <w:szCs w:val="24"/>
          <w:vertAlign w:val="baseline"/>
        </w:rPr>
        <w:t xml:space="preserve"> Within this report, all four countries, India, Nepal, Ghana and PNG are referred to within the paragraph headed ‘Human rights, extrajudicial executions and witchcraft.’</w:t>
      </w:r>
      <w:r w:rsidR="005F7752" w:rsidRPr="005F7752">
        <w:rPr>
          <w:rFonts w:ascii="Times New Roman" w:hAnsi="Times New Roman" w:cs="Times New Roman"/>
          <w:sz w:val="24"/>
          <w:szCs w:val="24"/>
        </w:rPr>
        <w:footnoteReference w:id="452"/>
      </w:r>
      <w:r w:rsidR="005F7752" w:rsidRPr="005F7752">
        <w:rPr>
          <w:rFonts w:ascii="Times New Roman" w:hAnsi="Times New Roman" w:cs="Times New Roman"/>
          <w:sz w:val="24"/>
          <w:szCs w:val="24"/>
          <w:vertAlign w:val="baseline"/>
        </w:rPr>
        <w:t xml:space="preserve"> Within this section, Alston acknowledges that, ‘the relevance of the practice of witchcraft to human rights is clearly a complex matter, and it is not possible to do justice to it within the confines of a report of this nature.’</w:t>
      </w:r>
      <w:r w:rsidR="005F7752" w:rsidRPr="005F7752">
        <w:rPr>
          <w:rFonts w:ascii="Times New Roman" w:hAnsi="Times New Roman" w:cs="Times New Roman"/>
          <w:sz w:val="24"/>
          <w:szCs w:val="24"/>
        </w:rPr>
        <w:footnoteReference w:id="453"/>
      </w:r>
      <w:r w:rsidR="005F7752" w:rsidRPr="005F7752">
        <w:rPr>
          <w:rFonts w:ascii="Times New Roman" w:hAnsi="Times New Roman" w:cs="Times New Roman"/>
          <w:sz w:val="24"/>
          <w:szCs w:val="24"/>
          <w:vertAlign w:val="baseline"/>
        </w:rPr>
        <w:t xml:space="preserve"> In his concluding remarks on the issue of WAP, Alston affirms that, internationally, the number of ‘so-called witches’ that are persecuted is high, involving ‘serious and systematic forms of discrimination, especially on the ground of gender, age and disability.’</w:t>
      </w:r>
      <w:r w:rsidR="005F7752" w:rsidRPr="005F7752">
        <w:rPr>
          <w:rFonts w:ascii="Times New Roman" w:hAnsi="Times New Roman" w:cs="Times New Roman"/>
          <w:sz w:val="24"/>
          <w:szCs w:val="24"/>
        </w:rPr>
        <w:footnoteReference w:id="454"/>
      </w:r>
      <w:r w:rsidR="005F7752" w:rsidRPr="005F7752">
        <w:rPr>
          <w:rFonts w:ascii="Times New Roman" w:hAnsi="Times New Roman" w:cs="Times New Roman"/>
          <w:sz w:val="24"/>
          <w:szCs w:val="24"/>
          <w:vertAlign w:val="baseline"/>
        </w:rPr>
        <w:t xml:space="preserve"> </w:t>
      </w:r>
    </w:p>
    <w:p w14:paraId="549A019A" w14:textId="77777777" w:rsidR="00101011" w:rsidRPr="005F7752" w:rsidRDefault="00101011" w:rsidP="00101011">
      <w:pPr>
        <w:spacing w:line="480" w:lineRule="auto"/>
        <w:ind w:firstLine="720"/>
        <w:jc w:val="both"/>
        <w:rPr>
          <w:rFonts w:ascii="Times New Roman" w:hAnsi="Times New Roman" w:cs="Times New Roman"/>
          <w:sz w:val="24"/>
          <w:szCs w:val="24"/>
          <w:vertAlign w:val="baseline"/>
        </w:rPr>
      </w:pPr>
    </w:p>
    <w:p w14:paraId="300A33D5" w14:textId="08720AD9" w:rsidR="005F7752" w:rsidRPr="00101011" w:rsidRDefault="004868EC" w:rsidP="004C44AF">
      <w:pPr>
        <w:spacing w:line="480" w:lineRule="auto"/>
        <w:jc w:val="both"/>
        <w:rPr>
          <w:rFonts w:ascii="Times New Roman" w:hAnsi="Times New Roman" w:cs="Times New Roman"/>
          <w:b/>
          <w:i/>
          <w:sz w:val="24"/>
          <w:szCs w:val="24"/>
          <w:vertAlign w:val="baseline"/>
        </w:rPr>
      </w:pPr>
      <w:r>
        <w:rPr>
          <w:rFonts w:ascii="Times New Roman" w:hAnsi="Times New Roman" w:cs="Times New Roman"/>
          <w:b/>
          <w:i/>
          <w:sz w:val="24"/>
          <w:szCs w:val="24"/>
          <w:vertAlign w:val="baseline"/>
        </w:rPr>
        <w:t>4</w:t>
      </w:r>
      <w:r w:rsidR="00101011" w:rsidRPr="00101011">
        <w:rPr>
          <w:rFonts w:ascii="Times New Roman" w:hAnsi="Times New Roman" w:cs="Times New Roman"/>
          <w:b/>
          <w:i/>
          <w:sz w:val="24"/>
          <w:szCs w:val="24"/>
          <w:vertAlign w:val="baseline"/>
        </w:rPr>
        <w:t>.4.1 Ghana</w:t>
      </w:r>
    </w:p>
    <w:p w14:paraId="12733106" w14:textId="179F2460" w:rsidR="005F7752" w:rsidRDefault="005F7752" w:rsidP="004C44AF">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Ghana, a British colony until March 1957, is tremendously diverse, in terms of culture, language and religious practices, with the majority of the population of Ghana working within the agricultural and fishing sector. Within Ghana there are over one hundred different ethnic groups/tribes, with as many as one hundred languages and dialects spoken within these groups.</w:t>
      </w:r>
      <w:r w:rsidRPr="005F7752">
        <w:rPr>
          <w:rFonts w:ascii="Times New Roman" w:hAnsi="Times New Roman" w:cs="Times New Roman"/>
          <w:sz w:val="24"/>
          <w:szCs w:val="24"/>
        </w:rPr>
        <w:footnoteReference w:id="455"/>
      </w:r>
      <w:r w:rsidRPr="005F7752">
        <w:rPr>
          <w:rFonts w:ascii="Times New Roman" w:hAnsi="Times New Roman" w:cs="Times New Roman"/>
          <w:sz w:val="24"/>
          <w:szCs w:val="24"/>
          <w:vertAlign w:val="baseline"/>
        </w:rPr>
        <w:t xml:space="preserve"> The major ethnic groups in Ghana include the Akan,</w:t>
      </w:r>
      <w:r w:rsidRPr="005F7752">
        <w:rPr>
          <w:rFonts w:ascii="Times New Roman" w:hAnsi="Times New Roman" w:cs="Times New Roman"/>
          <w:sz w:val="24"/>
          <w:szCs w:val="24"/>
        </w:rPr>
        <w:footnoteReference w:id="456"/>
      </w:r>
      <w:r w:rsidRPr="005F7752">
        <w:rPr>
          <w:rFonts w:ascii="Times New Roman" w:hAnsi="Times New Roman" w:cs="Times New Roman"/>
          <w:sz w:val="24"/>
          <w:szCs w:val="24"/>
          <w:vertAlign w:val="baseline"/>
        </w:rPr>
        <w:t xml:space="preserve"> Ewe,</w:t>
      </w:r>
      <w:r w:rsidRPr="005F7752">
        <w:rPr>
          <w:rFonts w:ascii="Times New Roman" w:hAnsi="Times New Roman" w:cs="Times New Roman"/>
          <w:sz w:val="24"/>
          <w:szCs w:val="24"/>
        </w:rPr>
        <w:footnoteReference w:id="457"/>
      </w:r>
      <w:r w:rsidRPr="005F7752">
        <w:rPr>
          <w:rFonts w:ascii="Times New Roman" w:hAnsi="Times New Roman" w:cs="Times New Roman"/>
          <w:sz w:val="24"/>
          <w:szCs w:val="24"/>
          <w:vertAlign w:val="baseline"/>
        </w:rPr>
        <w:t xml:space="preserve"> Mole-Dagbon,</w:t>
      </w:r>
      <w:r w:rsidRPr="005F7752">
        <w:rPr>
          <w:rFonts w:ascii="Times New Roman" w:hAnsi="Times New Roman" w:cs="Times New Roman"/>
          <w:sz w:val="24"/>
          <w:szCs w:val="24"/>
        </w:rPr>
        <w:footnoteReference w:id="458"/>
      </w:r>
      <w:r w:rsidRPr="005F7752">
        <w:rPr>
          <w:rFonts w:ascii="Times New Roman" w:hAnsi="Times New Roman" w:cs="Times New Roman"/>
          <w:sz w:val="24"/>
          <w:szCs w:val="24"/>
          <w:vertAlign w:val="baseline"/>
        </w:rPr>
        <w:t xml:space="preserve"> Guan</w:t>
      </w:r>
      <w:r w:rsidRPr="005F7752">
        <w:rPr>
          <w:rFonts w:ascii="Times New Roman" w:hAnsi="Times New Roman" w:cs="Times New Roman"/>
          <w:sz w:val="24"/>
          <w:szCs w:val="24"/>
        </w:rPr>
        <w:footnoteReference w:id="459"/>
      </w:r>
      <w:r w:rsidRPr="005F7752">
        <w:rPr>
          <w:rFonts w:ascii="Times New Roman" w:hAnsi="Times New Roman" w:cs="Times New Roman"/>
          <w:sz w:val="24"/>
          <w:szCs w:val="24"/>
          <w:vertAlign w:val="baseline"/>
        </w:rPr>
        <w:t xml:space="preserve"> and the Ga-Adangbe.</w:t>
      </w:r>
      <w:r w:rsidRPr="005F7752">
        <w:rPr>
          <w:rFonts w:ascii="Times New Roman" w:hAnsi="Times New Roman" w:cs="Times New Roman"/>
          <w:sz w:val="24"/>
          <w:szCs w:val="24"/>
        </w:rPr>
        <w:footnoteReference w:id="460"/>
      </w:r>
      <w:r w:rsidRPr="005F7752">
        <w:rPr>
          <w:rFonts w:ascii="Times New Roman" w:hAnsi="Times New Roman" w:cs="Times New Roman"/>
          <w:sz w:val="24"/>
          <w:szCs w:val="24"/>
          <w:vertAlign w:val="baseline"/>
        </w:rPr>
        <w:t xml:space="preserve"> Whilst there are numerous subdivisions of each of these ethnic groups, each share common cultural customs, languages and origins.</w:t>
      </w:r>
      <w:r w:rsidRPr="005F7752">
        <w:rPr>
          <w:rFonts w:ascii="Times New Roman" w:hAnsi="Times New Roman" w:cs="Times New Roman"/>
          <w:sz w:val="24"/>
          <w:szCs w:val="24"/>
        </w:rPr>
        <w:footnoteReference w:id="461"/>
      </w:r>
      <w:r w:rsidRPr="005F7752">
        <w:rPr>
          <w:rFonts w:ascii="Times New Roman" w:hAnsi="Times New Roman" w:cs="Times New Roman"/>
          <w:sz w:val="24"/>
          <w:szCs w:val="24"/>
          <w:vertAlign w:val="baseline"/>
        </w:rPr>
        <w:t xml:space="preserve"> In terms of religion, it is estimated that 60% of the population are Christian, 15% are Muslim, with a small minority of Hindu, Buddhists, Jewish and the Ba-ha’i faith; the remainder follow traditional religions such as the belief in animism, supernatural forces and the worship of ancestors.</w:t>
      </w:r>
      <w:r w:rsidRPr="005F7752">
        <w:rPr>
          <w:rFonts w:ascii="Times New Roman" w:hAnsi="Times New Roman" w:cs="Times New Roman"/>
          <w:sz w:val="24"/>
          <w:szCs w:val="24"/>
        </w:rPr>
        <w:footnoteReference w:id="462"/>
      </w:r>
      <w:r w:rsidRPr="005F7752">
        <w:rPr>
          <w:rFonts w:ascii="Times New Roman" w:hAnsi="Times New Roman" w:cs="Times New Roman"/>
          <w:sz w:val="24"/>
          <w:szCs w:val="24"/>
          <w:vertAlign w:val="baseline"/>
        </w:rPr>
        <w:t xml:space="preserve"> What is noticeable in Ghana is that even amongst the predominant religions there is an intense respect for these traditional religious beliefs.</w:t>
      </w:r>
      <w:r w:rsidRPr="005F7752">
        <w:rPr>
          <w:rFonts w:ascii="Times New Roman" w:hAnsi="Times New Roman" w:cs="Times New Roman"/>
          <w:sz w:val="24"/>
          <w:szCs w:val="24"/>
        </w:rPr>
        <w:footnoteReference w:id="463"/>
      </w:r>
      <w:r w:rsidRPr="005F7752">
        <w:rPr>
          <w:rFonts w:ascii="Times New Roman" w:hAnsi="Times New Roman" w:cs="Times New Roman"/>
          <w:sz w:val="24"/>
          <w:szCs w:val="24"/>
          <w:vertAlign w:val="baseline"/>
        </w:rPr>
        <w:t xml:space="preserve"> Furthermore, as Adinkrah explains, ‘the demarcation between the spiritual and public spheres as independent, mutually exclusive entities is rather blurred. Religious beliefs and practices permeate the entire social fabric including marriage, education, economic affairs and politics.’</w:t>
      </w:r>
      <w:r w:rsidRPr="005F7752">
        <w:rPr>
          <w:rFonts w:ascii="Times New Roman" w:hAnsi="Times New Roman" w:cs="Times New Roman"/>
          <w:sz w:val="24"/>
          <w:szCs w:val="24"/>
        </w:rPr>
        <w:footnoteReference w:id="464"/>
      </w:r>
      <w:r w:rsidRPr="005F7752">
        <w:rPr>
          <w:rFonts w:ascii="Times New Roman" w:hAnsi="Times New Roman" w:cs="Times New Roman"/>
          <w:sz w:val="24"/>
          <w:szCs w:val="24"/>
          <w:vertAlign w:val="baseline"/>
        </w:rPr>
        <w:t xml:space="preserve"> </w:t>
      </w:r>
    </w:p>
    <w:p w14:paraId="4F4327A7" w14:textId="77777777" w:rsidR="006375D9" w:rsidRPr="005F7752" w:rsidRDefault="006375D9" w:rsidP="004C44AF">
      <w:pPr>
        <w:spacing w:line="480" w:lineRule="auto"/>
        <w:ind w:firstLine="720"/>
        <w:jc w:val="both"/>
        <w:rPr>
          <w:rFonts w:ascii="Times New Roman" w:hAnsi="Times New Roman" w:cs="Times New Roman"/>
          <w:sz w:val="24"/>
          <w:szCs w:val="24"/>
          <w:vertAlign w:val="baseline"/>
        </w:rPr>
      </w:pPr>
    </w:p>
    <w:p w14:paraId="61E29638" w14:textId="1F41DFD8" w:rsidR="00B6172F" w:rsidRDefault="005F7752" w:rsidP="00FA264A">
      <w:pPr>
        <w:spacing w:line="480" w:lineRule="auto"/>
        <w:ind w:firstLine="720"/>
        <w:jc w:val="both"/>
        <w:rPr>
          <w:rFonts w:ascii="Times New Roman" w:hAnsi="Times New Roman" w:cs="Times New Roman"/>
          <w:sz w:val="24"/>
          <w:szCs w:val="24"/>
          <w:vertAlign w:val="baseline"/>
          <w:lang w:val="en-US"/>
        </w:rPr>
      </w:pPr>
      <w:r w:rsidRPr="005F7752">
        <w:rPr>
          <w:rFonts w:ascii="Times New Roman" w:hAnsi="Times New Roman" w:cs="Times New Roman"/>
          <w:sz w:val="24"/>
          <w:szCs w:val="24"/>
          <w:vertAlign w:val="baseline"/>
        </w:rPr>
        <w:t>Ghana is an ethnically diverse state; thus, the status of women within Ghana differs within each ethnic group. For example, in northern ethnic groups such as the Gonja, Dagomba, Mamprusi, Nanumba and Konkomba, together with patriarchal tribes such as the Ewes, women are noticeably subordinate to men within social relationships.</w:t>
      </w:r>
      <w:r w:rsidRPr="005F7752">
        <w:rPr>
          <w:rFonts w:ascii="Times New Roman" w:hAnsi="Times New Roman" w:cs="Times New Roman"/>
          <w:sz w:val="24"/>
          <w:szCs w:val="24"/>
        </w:rPr>
        <w:footnoteReference w:id="465"/>
      </w:r>
      <w:r w:rsidR="00131620">
        <w:rPr>
          <w:rFonts w:ascii="Times New Roman" w:hAnsi="Times New Roman" w:cs="Times New Roman"/>
          <w:sz w:val="24"/>
          <w:szCs w:val="24"/>
          <w:vertAlign w:val="baseline"/>
        </w:rPr>
        <w:t xml:space="preserve"> W</w:t>
      </w:r>
      <w:r w:rsidRPr="005F7752">
        <w:rPr>
          <w:rFonts w:ascii="Times New Roman" w:hAnsi="Times New Roman" w:cs="Times New Roman"/>
          <w:sz w:val="24"/>
          <w:szCs w:val="24"/>
          <w:vertAlign w:val="baseline"/>
        </w:rPr>
        <w:t>ithin matrilineal</w:t>
      </w:r>
      <w:r w:rsidRPr="005F7752">
        <w:rPr>
          <w:rFonts w:ascii="Times New Roman" w:hAnsi="Times New Roman" w:cs="Times New Roman"/>
          <w:sz w:val="24"/>
          <w:szCs w:val="24"/>
        </w:rPr>
        <w:footnoteReference w:id="466"/>
      </w:r>
      <w:r w:rsidRPr="005F7752">
        <w:rPr>
          <w:rFonts w:ascii="Times New Roman" w:hAnsi="Times New Roman" w:cs="Times New Roman"/>
          <w:sz w:val="24"/>
          <w:szCs w:val="24"/>
          <w:vertAlign w:val="baseline"/>
        </w:rPr>
        <w:t xml:space="preserve"> tribes</w:t>
      </w:r>
      <w:r w:rsidR="00131620">
        <w:rPr>
          <w:rFonts w:ascii="Times New Roman" w:hAnsi="Times New Roman" w:cs="Times New Roman"/>
          <w:sz w:val="24"/>
          <w:szCs w:val="24"/>
          <w:vertAlign w:val="baseline"/>
        </w:rPr>
        <w:t>,</w:t>
      </w:r>
      <w:r w:rsidRPr="005F7752">
        <w:rPr>
          <w:rFonts w:ascii="Times New Roman" w:hAnsi="Times New Roman" w:cs="Times New Roman"/>
          <w:sz w:val="24"/>
          <w:szCs w:val="24"/>
          <w:vertAlign w:val="baseline"/>
        </w:rPr>
        <w:t xml:space="preserve"> such as the Akan-speaking groups (</w:t>
      </w:r>
      <w:r w:rsidRPr="005F7752">
        <w:rPr>
          <w:rFonts w:ascii="Times New Roman" w:hAnsi="Times New Roman" w:cs="Times New Roman"/>
          <w:sz w:val="24"/>
          <w:szCs w:val="24"/>
          <w:vertAlign w:val="baseline"/>
          <w:lang w:val="en-US"/>
        </w:rPr>
        <w:t xml:space="preserve">Ashanti, Akuapem, Akyem, Fante, Nzema, Bono, Ahanta and Kwahu) women enjoy a </w:t>
      </w:r>
      <w:r w:rsidR="00B6172F">
        <w:rPr>
          <w:rFonts w:ascii="Times New Roman" w:hAnsi="Times New Roman" w:cs="Times New Roman"/>
          <w:sz w:val="24"/>
          <w:szCs w:val="24"/>
          <w:vertAlign w:val="baseline"/>
          <w:lang w:val="en-US"/>
        </w:rPr>
        <w:t xml:space="preserve">marginally </w:t>
      </w:r>
      <w:r w:rsidRPr="005F7752">
        <w:rPr>
          <w:rFonts w:ascii="Times New Roman" w:hAnsi="Times New Roman" w:cs="Times New Roman"/>
          <w:sz w:val="24"/>
          <w:szCs w:val="24"/>
          <w:vertAlign w:val="baseline"/>
          <w:lang w:val="en-US"/>
        </w:rPr>
        <w:t>higher social status due to the ma</w:t>
      </w:r>
      <w:r w:rsidR="002B675A">
        <w:rPr>
          <w:rFonts w:ascii="Times New Roman" w:hAnsi="Times New Roman" w:cs="Times New Roman"/>
          <w:sz w:val="24"/>
          <w:szCs w:val="24"/>
          <w:vertAlign w:val="baseline"/>
          <w:lang w:val="en-US"/>
        </w:rPr>
        <w:t>t</w:t>
      </w:r>
      <w:r w:rsidR="00131620">
        <w:rPr>
          <w:rFonts w:ascii="Times New Roman" w:hAnsi="Times New Roman" w:cs="Times New Roman"/>
          <w:sz w:val="24"/>
          <w:szCs w:val="24"/>
          <w:vertAlign w:val="baseline"/>
          <w:lang w:val="en-US"/>
        </w:rPr>
        <w:t>rilinea</w:t>
      </w:r>
      <w:r w:rsidR="00B10C72">
        <w:rPr>
          <w:rFonts w:ascii="Times New Roman" w:hAnsi="Times New Roman" w:cs="Times New Roman"/>
          <w:sz w:val="24"/>
          <w:szCs w:val="24"/>
          <w:vertAlign w:val="baseline"/>
          <w:lang w:val="en-US"/>
        </w:rPr>
        <w:t>l nature of their group.</w:t>
      </w:r>
      <w:r w:rsidR="00B10C72">
        <w:rPr>
          <w:rStyle w:val="FootnoteReference"/>
          <w:rFonts w:ascii="Times New Roman" w:hAnsi="Times New Roman" w:cs="Times New Roman"/>
          <w:sz w:val="24"/>
          <w:szCs w:val="24"/>
          <w:lang w:val="en-US"/>
        </w:rPr>
        <w:footnoteReference w:id="467"/>
      </w:r>
      <w:r w:rsidR="00B10C72">
        <w:rPr>
          <w:rFonts w:ascii="Times New Roman" w:hAnsi="Times New Roman" w:cs="Times New Roman"/>
          <w:sz w:val="24"/>
          <w:szCs w:val="24"/>
          <w:vertAlign w:val="baseline"/>
          <w:lang w:val="en-US"/>
        </w:rPr>
        <w:t xml:space="preserve"> Whilst</w:t>
      </w:r>
      <w:r w:rsidR="00B54FB0">
        <w:rPr>
          <w:rFonts w:ascii="Times New Roman" w:hAnsi="Times New Roman" w:cs="Times New Roman"/>
          <w:sz w:val="24"/>
          <w:szCs w:val="24"/>
          <w:vertAlign w:val="baseline"/>
          <w:lang w:val="en-US"/>
        </w:rPr>
        <w:t xml:space="preserve"> the Akan matrilineal structure would seem to suggest that women were automatically entitled to inheritance, ‘women do not have the religio-cultural rights of inheritance</w:t>
      </w:r>
      <w:r w:rsidR="006D77FF">
        <w:rPr>
          <w:rFonts w:ascii="Times New Roman" w:hAnsi="Times New Roman" w:cs="Times New Roman"/>
          <w:sz w:val="24"/>
          <w:szCs w:val="24"/>
          <w:vertAlign w:val="baseline"/>
          <w:lang w:val="en-US"/>
        </w:rPr>
        <w:t xml:space="preserve"> in Ghana … daughters have the right of inheritance, not women (wives).</w:t>
      </w:r>
      <w:r w:rsidR="00B54FB0">
        <w:rPr>
          <w:rFonts w:ascii="Times New Roman" w:hAnsi="Times New Roman" w:cs="Times New Roman"/>
          <w:sz w:val="24"/>
          <w:szCs w:val="24"/>
          <w:vertAlign w:val="baseline"/>
          <w:lang w:val="en-US"/>
        </w:rPr>
        <w:t>’</w:t>
      </w:r>
      <w:r w:rsidR="00B54FB0">
        <w:rPr>
          <w:rStyle w:val="FootnoteReference"/>
          <w:rFonts w:ascii="Times New Roman" w:hAnsi="Times New Roman" w:cs="Times New Roman"/>
          <w:sz w:val="24"/>
          <w:szCs w:val="24"/>
          <w:lang w:val="en-US"/>
        </w:rPr>
        <w:footnoteReference w:id="468"/>
      </w:r>
      <w:r w:rsidR="006D77FF">
        <w:rPr>
          <w:rFonts w:ascii="Times New Roman" w:hAnsi="Times New Roman" w:cs="Times New Roman"/>
          <w:sz w:val="24"/>
          <w:szCs w:val="24"/>
          <w:vertAlign w:val="baseline"/>
          <w:lang w:val="en-US"/>
        </w:rPr>
        <w:t xml:space="preserve"> More</w:t>
      </w:r>
      <w:r w:rsidR="00403C56">
        <w:rPr>
          <w:rFonts w:ascii="Times New Roman" w:hAnsi="Times New Roman" w:cs="Times New Roman"/>
          <w:sz w:val="24"/>
          <w:szCs w:val="24"/>
          <w:vertAlign w:val="baseline"/>
          <w:lang w:val="en-US"/>
        </w:rPr>
        <w:t xml:space="preserve">over, when daughters </w:t>
      </w:r>
      <w:r w:rsidR="006D77FF">
        <w:rPr>
          <w:rFonts w:ascii="Times New Roman" w:hAnsi="Times New Roman" w:cs="Times New Roman"/>
          <w:sz w:val="24"/>
          <w:szCs w:val="24"/>
          <w:vertAlign w:val="baseline"/>
          <w:lang w:val="en-US"/>
        </w:rPr>
        <w:t>get married and often relocate to live with their husbands, tradition dictates that</w:t>
      </w:r>
      <w:r w:rsidR="00403C56">
        <w:rPr>
          <w:rFonts w:ascii="Times New Roman" w:hAnsi="Times New Roman" w:cs="Times New Roman"/>
          <w:sz w:val="24"/>
          <w:szCs w:val="24"/>
          <w:vertAlign w:val="baseline"/>
          <w:lang w:val="en-US"/>
        </w:rPr>
        <w:t xml:space="preserve"> only</w:t>
      </w:r>
      <w:r w:rsidR="006D77FF">
        <w:rPr>
          <w:rFonts w:ascii="Times New Roman" w:hAnsi="Times New Roman" w:cs="Times New Roman"/>
          <w:sz w:val="24"/>
          <w:szCs w:val="24"/>
          <w:vertAlign w:val="baseline"/>
          <w:lang w:val="en-US"/>
        </w:rPr>
        <w:t xml:space="preserve"> </w:t>
      </w:r>
      <w:r w:rsidR="00403C56">
        <w:rPr>
          <w:rFonts w:ascii="Times New Roman" w:hAnsi="Times New Roman" w:cs="Times New Roman"/>
          <w:sz w:val="24"/>
          <w:szCs w:val="24"/>
          <w:vertAlign w:val="baseline"/>
          <w:lang w:val="en-US"/>
        </w:rPr>
        <w:t>men must be appointed as legal custodians of family property.</w:t>
      </w:r>
      <w:r w:rsidR="00403C56">
        <w:rPr>
          <w:rStyle w:val="FootnoteReference"/>
          <w:rFonts w:ascii="Times New Roman" w:hAnsi="Times New Roman" w:cs="Times New Roman"/>
          <w:sz w:val="24"/>
          <w:szCs w:val="24"/>
          <w:lang w:val="en-US"/>
        </w:rPr>
        <w:footnoteReference w:id="469"/>
      </w:r>
      <w:r w:rsidR="00FA264A">
        <w:rPr>
          <w:rFonts w:ascii="Times New Roman" w:hAnsi="Times New Roman" w:cs="Times New Roman"/>
          <w:sz w:val="24"/>
          <w:szCs w:val="24"/>
          <w:vertAlign w:val="baseline"/>
          <w:lang w:val="en-US"/>
        </w:rPr>
        <w:t xml:space="preserve"> As Amenga-Etego explains, </w:t>
      </w:r>
    </w:p>
    <w:p w14:paraId="5C4C131A" w14:textId="77777777" w:rsidR="00B6172F" w:rsidRDefault="00B6172F" w:rsidP="00FA264A">
      <w:pPr>
        <w:spacing w:line="480" w:lineRule="auto"/>
        <w:ind w:firstLine="720"/>
        <w:jc w:val="both"/>
        <w:rPr>
          <w:rFonts w:ascii="Times New Roman" w:hAnsi="Times New Roman" w:cs="Times New Roman"/>
          <w:sz w:val="24"/>
          <w:szCs w:val="24"/>
          <w:vertAlign w:val="baseline"/>
          <w:lang w:val="en-US"/>
        </w:rPr>
      </w:pPr>
    </w:p>
    <w:p w14:paraId="267FE16F" w14:textId="19549104" w:rsidR="00B6172F" w:rsidRDefault="00B6172F" w:rsidP="00B6172F">
      <w:pPr>
        <w:spacing w:line="480" w:lineRule="auto"/>
        <w:ind w:left="720"/>
        <w:jc w:val="both"/>
        <w:rPr>
          <w:rFonts w:ascii="Times New Roman" w:eastAsia="Times New Roman" w:hAnsi="Times New Roman" w:cs="Times New Roman"/>
          <w:sz w:val="24"/>
          <w:szCs w:val="24"/>
          <w:vertAlign w:val="baseline"/>
        </w:rPr>
      </w:pPr>
      <w:r>
        <w:rPr>
          <w:rFonts w:ascii="Times New Roman" w:hAnsi="Times New Roman" w:cs="Times New Roman"/>
          <w:sz w:val="24"/>
          <w:szCs w:val="24"/>
          <w:vertAlign w:val="baseline"/>
          <w:lang w:val="en-US"/>
        </w:rPr>
        <w:t>W</w:t>
      </w:r>
      <w:r w:rsidR="00FA264A" w:rsidRPr="00FA264A">
        <w:rPr>
          <w:rFonts w:ascii="Times New Roman" w:eastAsia="Times New Roman" w:hAnsi="Times New Roman" w:cs="Times New Roman"/>
          <w:sz w:val="24"/>
          <w:szCs w:val="24"/>
          <w:vertAlign w:val="baseline"/>
        </w:rPr>
        <w:t xml:space="preserve">omen in matrilineal societies do not really possess power or inheritance. It is either passed on from father to sister’s son, known in Akan as </w:t>
      </w:r>
      <w:r w:rsidR="00FA264A" w:rsidRPr="00FA264A">
        <w:rPr>
          <w:rFonts w:ascii="Times New Roman" w:eastAsia="Times New Roman" w:hAnsi="Times New Roman" w:cs="Times New Roman"/>
          <w:i/>
          <w:sz w:val="24"/>
          <w:szCs w:val="24"/>
          <w:vertAlign w:val="baseline"/>
        </w:rPr>
        <w:t>wofa</w:t>
      </w:r>
      <w:r w:rsidR="00C36B38">
        <w:rPr>
          <w:rFonts w:ascii="Times New Roman" w:eastAsia="Times New Roman" w:hAnsi="Times New Roman" w:cs="Times New Roman"/>
          <w:sz w:val="24"/>
          <w:szCs w:val="24"/>
          <w:vertAlign w:val="baseline"/>
        </w:rPr>
        <w:t xml:space="preserve"> (mother’s brother)</w:t>
      </w:r>
      <w:r w:rsidR="00FA264A">
        <w:rPr>
          <w:rFonts w:ascii="Times New Roman" w:eastAsia="Times New Roman" w:hAnsi="Times New Roman" w:cs="Times New Roman"/>
          <w:i/>
          <w:sz w:val="24"/>
          <w:szCs w:val="24"/>
          <w:vertAlign w:val="baseline"/>
        </w:rPr>
        <w:t>,</w:t>
      </w:r>
      <w:r w:rsidR="00FA264A" w:rsidRPr="00FA264A">
        <w:rPr>
          <w:rFonts w:ascii="Times New Roman" w:eastAsia="Times New Roman" w:hAnsi="Times New Roman" w:cs="Times New Roman"/>
          <w:sz w:val="24"/>
          <w:szCs w:val="24"/>
          <w:vertAlign w:val="baseline"/>
        </w:rPr>
        <w:t xml:space="preserve"> or daughters to their </w:t>
      </w:r>
      <w:r w:rsidR="00FA264A" w:rsidRPr="00FA264A">
        <w:rPr>
          <w:rFonts w:ascii="Times New Roman" w:eastAsia="Times New Roman" w:hAnsi="Times New Roman" w:cs="Times New Roman"/>
          <w:i/>
          <w:sz w:val="24"/>
          <w:szCs w:val="24"/>
          <w:vertAlign w:val="baseline"/>
        </w:rPr>
        <w:t>abusua panin</w:t>
      </w:r>
      <w:r w:rsidR="00C36B38">
        <w:rPr>
          <w:rFonts w:ascii="Times New Roman" w:eastAsia="Times New Roman" w:hAnsi="Times New Roman" w:cs="Times New Roman"/>
          <w:sz w:val="24"/>
          <w:szCs w:val="24"/>
          <w:vertAlign w:val="baseline"/>
        </w:rPr>
        <w:t xml:space="preserve"> (senior male elder)</w:t>
      </w:r>
      <w:r w:rsidR="00FA264A">
        <w:rPr>
          <w:rFonts w:ascii="Times New Roman" w:eastAsia="Times New Roman" w:hAnsi="Times New Roman" w:cs="Times New Roman"/>
          <w:i/>
          <w:sz w:val="24"/>
          <w:szCs w:val="24"/>
          <w:vertAlign w:val="baseline"/>
        </w:rPr>
        <w:t>,</w:t>
      </w:r>
      <w:r w:rsidR="00FA264A" w:rsidRPr="00FA264A">
        <w:rPr>
          <w:rFonts w:ascii="Times New Roman" w:eastAsia="Times New Roman" w:hAnsi="Times New Roman" w:cs="Times New Roman"/>
          <w:sz w:val="24"/>
          <w:szCs w:val="24"/>
          <w:vertAlign w:val="baseline"/>
        </w:rPr>
        <w:t xml:space="preserve"> due to the inherent subversive tenets in the system.</w:t>
      </w:r>
      <w:r w:rsidR="00FA264A">
        <w:rPr>
          <w:rFonts w:ascii="Times New Roman" w:eastAsia="Times New Roman" w:hAnsi="Times New Roman" w:cs="Times New Roman"/>
          <w:sz w:val="24"/>
          <w:szCs w:val="24"/>
          <w:vertAlign w:val="baseline"/>
        </w:rPr>
        <w:t>’</w:t>
      </w:r>
      <w:r w:rsidR="00FA264A">
        <w:rPr>
          <w:rStyle w:val="FootnoteReference"/>
          <w:rFonts w:ascii="Times New Roman" w:eastAsia="Times New Roman" w:hAnsi="Times New Roman" w:cs="Times New Roman"/>
          <w:sz w:val="24"/>
          <w:szCs w:val="24"/>
        </w:rPr>
        <w:footnoteReference w:id="470"/>
      </w:r>
      <w:r w:rsidR="00FA264A">
        <w:rPr>
          <w:rFonts w:ascii="Times New Roman" w:eastAsia="Times New Roman" w:hAnsi="Times New Roman" w:cs="Times New Roman"/>
          <w:sz w:val="24"/>
          <w:szCs w:val="24"/>
          <w:vertAlign w:val="baseline"/>
        </w:rPr>
        <w:t xml:space="preserve"> </w:t>
      </w:r>
    </w:p>
    <w:p w14:paraId="06748A30" w14:textId="77777777" w:rsidR="00403C56" w:rsidRDefault="00403C56" w:rsidP="00B6172F">
      <w:pPr>
        <w:spacing w:line="480" w:lineRule="auto"/>
        <w:ind w:left="720"/>
        <w:jc w:val="both"/>
        <w:rPr>
          <w:rFonts w:ascii="Times New Roman" w:eastAsia="Times New Roman" w:hAnsi="Times New Roman" w:cs="Times New Roman"/>
          <w:sz w:val="24"/>
          <w:szCs w:val="24"/>
          <w:vertAlign w:val="baseline"/>
        </w:rPr>
      </w:pPr>
    </w:p>
    <w:p w14:paraId="022359E9" w14:textId="60ED0506" w:rsidR="006E675A" w:rsidRPr="00FA264A" w:rsidRDefault="00306174" w:rsidP="003D43C7">
      <w:pPr>
        <w:spacing w:line="480" w:lineRule="auto"/>
        <w:jc w:val="both"/>
        <w:rPr>
          <w:rFonts w:ascii="Times New Roman" w:hAnsi="Times New Roman" w:cs="Times New Roman"/>
          <w:sz w:val="24"/>
          <w:szCs w:val="24"/>
          <w:vertAlign w:val="baseline"/>
          <w:lang w:val="en-US"/>
        </w:rPr>
      </w:pPr>
      <w:r>
        <w:rPr>
          <w:rFonts w:ascii="Times New Roman" w:eastAsia="Times New Roman" w:hAnsi="Times New Roman" w:cs="Times New Roman"/>
          <w:sz w:val="24"/>
          <w:szCs w:val="24"/>
          <w:vertAlign w:val="baseline"/>
        </w:rPr>
        <w:t>Thus, e</w:t>
      </w:r>
      <w:r w:rsidR="00403C56">
        <w:rPr>
          <w:rFonts w:ascii="Times New Roman" w:eastAsia="Times New Roman" w:hAnsi="Times New Roman" w:cs="Times New Roman"/>
          <w:sz w:val="24"/>
          <w:szCs w:val="24"/>
          <w:vertAlign w:val="baseline"/>
        </w:rPr>
        <w:t>ven in matrilineal societies patri</w:t>
      </w:r>
      <w:r>
        <w:rPr>
          <w:rFonts w:ascii="Times New Roman" w:eastAsia="Times New Roman" w:hAnsi="Times New Roman" w:cs="Times New Roman"/>
          <w:sz w:val="24"/>
          <w:szCs w:val="24"/>
          <w:vertAlign w:val="baseline"/>
        </w:rPr>
        <w:t>archal systems remain dominant and as observed by Adinkrah,</w:t>
      </w:r>
      <w:r w:rsidR="00403C56">
        <w:rPr>
          <w:rFonts w:ascii="Times New Roman" w:hAnsi="Times New Roman" w:cs="Times New Roman"/>
          <w:sz w:val="24"/>
          <w:szCs w:val="24"/>
          <w:vertAlign w:val="baseline"/>
          <w:lang w:val="en-US"/>
        </w:rPr>
        <w:t xml:space="preserve"> </w:t>
      </w:r>
      <w:r w:rsidR="005F7752" w:rsidRPr="005F7752">
        <w:rPr>
          <w:rFonts w:ascii="Times New Roman" w:hAnsi="Times New Roman" w:cs="Times New Roman"/>
          <w:sz w:val="24"/>
          <w:szCs w:val="24"/>
          <w:vertAlign w:val="baseline"/>
          <w:lang w:val="en-US"/>
        </w:rPr>
        <w:t>‘</w:t>
      </w:r>
      <w:r w:rsidR="005F7752" w:rsidRPr="005F7752">
        <w:rPr>
          <w:rFonts w:ascii="Times New Roman" w:hAnsi="Times New Roman" w:cs="Times New Roman"/>
          <w:sz w:val="24"/>
          <w:szCs w:val="24"/>
          <w:vertAlign w:val="baseline"/>
        </w:rPr>
        <w:t>patriarchal attitudes, misogynistic beliefs, and ageist values mediate witch beliefs in Akan society.</w:t>
      </w:r>
      <w:r w:rsidR="005F7752" w:rsidRPr="005F7752">
        <w:rPr>
          <w:rFonts w:ascii="Times New Roman" w:hAnsi="Times New Roman" w:cs="Times New Roman"/>
          <w:sz w:val="24"/>
          <w:szCs w:val="24"/>
          <w:vertAlign w:val="baseline"/>
          <w:lang w:val="en-US"/>
        </w:rPr>
        <w:t>’</w:t>
      </w:r>
      <w:r w:rsidR="005F7752" w:rsidRPr="005F7752">
        <w:rPr>
          <w:rFonts w:ascii="Times New Roman" w:hAnsi="Times New Roman" w:cs="Times New Roman"/>
          <w:sz w:val="24"/>
          <w:szCs w:val="24"/>
          <w:lang w:val="en-US"/>
        </w:rPr>
        <w:footnoteReference w:id="471"/>
      </w:r>
      <w:r w:rsidR="00AB1157">
        <w:rPr>
          <w:rFonts w:ascii="Times New Roman" w:hAnsi="Times New Roman" w:cs="Times New Roman"/>
          <w:sz w:val="24"/>
          <w:szCs w:val="24"/>
          <w:vertAlign w:val="baseline"/>
          <w:lang w:val="en-US"/>
        </w:rPr>
        <w:t xml:space="preserve"> </w:t>
      </w:r>
      <w:r w:rsidR="005F7752" w:rsidRPr="005F7752">
        <w:rPr>
          <w:rFonts w:ascii="Times New Roman" w:hAnsi="Times New Roman" w:cs="Times New Roman"/>
          <w:sz w:val="24"/>
          <w:szCs w:val="24"/>
          <w:vertAlign w:val="baseline"/>
        </w:rPr>
        <w:t>Due to the prevalence of Akan-speaking tribes throughout Ghana, approximately 49.3% of the population, it is the witchcraft beliefs of these tribes that are most widespread within Ghana. However, the one witchcraft belief that is common to all ethnic groups in Ghana is the belief that women are more susceptible to witchcraft, due to their weaker disposition.</w:t>
      </w:r>
      <w:r w:rsidR="005F7752" w:rsidRPr="005F7752">
        <w:rPr>
          <w:rFonts w:ascii="Times New Roman" w:hAnsi="Times New Roman" w:cs="Times New Roman"/>
          <w:sz w:val="24"/>
          <w:szCs w:val="24"/>
        </w:rPr>
        <w:footnoteReference w:id="472"/>
      </w:r>
      <w:r w:rsidR="005F7752" w:rsidRPr="005F7752">
        <w:rPr>
          <w:rFonts w:ascii="Times New Roman" w:hAnsi="Times New Roman" w:cs="Times New Roman"/>
          <w:sz w:val="24"/>
          <w:szCs w:val="24"/>
          <w:vertAlign w:val="baseline"/>
        </w:rPr>
        <w:t xml:space="preserve"> </w:t>
      </w:r>
      <w:r w:rsidR="005F7752" w:rsidRPr="005F7752">
        <w:rPr>
          <w:rFonts w:ascii="Times New Roman" w:hAnsi="Times New Roman" w:cs="Times New Roman"/>
          <w:sz w:val="24"/>
          <w:szCs w:val="24"/>
          <w:vertAlign w:val="baseline"/>
          <w:lang w:val="en-US"/>
        </w:rPr>
        <w:t>The dominant view is that women play a subordinate role to their male counterparts within virtually all aspects of social life, with cultural expectations that ‘women demonstrate respect, passivity, obedience, submissiveness and acquiescence toward men, particularly with respect to husbands’ wishes and demands.’</w:t>
      </w:r>
      <w:r w:rsidR="005F7752" w:rsidRPr="005F7752">
        <w:rPr>
          <w:rFonts w:ascii="Times New Roman" w:hAnsi="Times New Roman" w:cs="Times New Roman"/>
          <w:sz w:val="24"/>
          <w:szCs w:val="24"/>
          <w:lang w:val="en-US"/>
        </w:rPr>
        <w:footnoteReference w:id="473"/>
      </w:r>
      <w:r w:rsidR="005F7752" w:rsidRPr="005F7752">
        <w:rPr>
          <w:rFonts w:ascii="Times New Roman" w:hAnsi="Times New Roman" w:cs="Times New Roman"/>
          <w:sz w:val="24"/>
          <w:szCs w:val="24"/>
          <w:vertAlign w:val="baseline"/>
          <w:lang w:val="en-US"/>
        </w:rPr>
        <w:t xml:space="preserve"> </w:t>
      </w:r>
    </w:p>
    <w:p w14:paraId="016B27C9" w14:textId="77777777" w:rsidR="006E675A" w:rsidRDefault="006E675A" w:rsidP="006E675A">
      <w:pPr>
        <w:spacing w:line="480" w:lineRule="auto"/>
        <w:ind w:firstLine="720"/>
        <w:jc w:val="both"/>
        <w:rPr>
          <w:rFonts w:ascii="Times New Roman" w:hAnsi="Times New Roman" w:cs="Times New Roman"/>
          <w:sz w:val="24"/>
          <w:szCs w:val="24"/>
          <w:vertAlign w:val="baseline"/>
        </w:rPr>
      </w:pPr>
    </w:p>
    <w:p w14:paraId="3D25C921" w14:textId="77777777" w:rsidR="00C35FB0" w:rsidRDefault="005F7752" w:rsidP="00C35FB0">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Gender inequality is commonplace within Ghanaian society. As documented by the United Nations Development Programme (UNDP) Gender Inequality Index,</w:t>
      </w:r>
      <w:r w:rsidRPr="005F7752">
        <w:rPr>
          <w:rFonts w:ascii="Times New Roman" w:hAnsi="Times New Roman" w:cs="Times New Roman"/>
          <w:sz w:val="24"/>
          <w:szCs w:val="24"/>
        </w:rPr>
        <w:footnoteReference w:id="474"/>
      </w:r>
      <w:r w:rsidRPr="005F7752">
        <w:rPr>
          <w:rFonts w:ascii="Times New Roman" w:hAnsi="Times New Roman" w:cs="Times New Roman"/>
          <w:sz w:val="24"/>
          <w:szCs w:val="24"/>
          <w:vertAlign w:val="baseline"/>
        </w:rPr>
        <w:t xml:space="preserve"> which measures the global levels of gender disparity, Ghana ranks 123 out of 148 countries. </w:t>
      </w:r>
      <w:r w:rsidR="00C35FB0" w:rsidRPr="005F7752">
        <w:rPr>
          <w:rFonts w:ascii="Times New Roman" w:hAnsi="Times New Roman" w:cs="Times New Roman"/>
          <w:sz w:val="24"/>
          <w:szCs w:val="24"/>
          <w:vertAlign w:val="baseline"/>
        </w:rPr>
        <w:t>As ob</w:t>
      </w:r>
      <w:r w:rsidR="00C35FB0">
        <w:rPr>
          <w:rFonts w:ascii="Times New Roman" w:hAnsi="Times New Roman" w:cs="Times New Roman"/>
          <w:sz w:val="24"/>
          <w:szCs w:val="24"/>
          <w:vertAlign w:val="baseline"/>
        </w:rPr>
        <w:t xml:space="preserve">served by Womankind Worldwide, </w:t>
      </w:r>
    </w:p>
    <w:p w14:paraId="4EA6EB2F" w14:textId="77777777" w:rsidR="00280BC3" w:rsidRDefault="00280BC3" w:rsidP="00C35FB0">
      <w:pPr>
        <w:spacing w:line="480" w:lineRule="auto"/>
        <w:ind w:firstLine="720"/>
        <w:jc w:val="both"/>
        <w:rPr>
          <w:rFonts w:ascii="Times New Roman" w:hAnsi="Times New Roman" w:cs="Times New Roman"/>
          <w:sz w:val="24"/>
          <w:szCs w:val="24"/>
          <w:vertAlign w:val="baseline"/>
        </w:rPr>
      </w:pPr>
    </w:p>
    <w:p w14:paraId="6DA1DD56" w14:textId="77777777" w:rsidR="00C35FB0" w:rsidRPr="005F7752" w:rsidRDefault="00C35FB0" w:rsidP="0048745F">
      <w:pPr>
        <w:spacing w:line="480" w:lineRule="auto"/>
        <w:ind w:left="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D</w:t>
      </w:r>
      <w:r w:rsidRPr="005F7752">
        <w:rPr>
          <w:rFonts w:ascii="Times New Roman" w:hAnsi="Times New Roman" w:cs="Times New Roman"/>
          <w:sz w:val="24"/>
          <w:szCs w:val="24"/>
          <w:vertAlign w:val="baseline"/>
        </w:rPr>
        <w:t>espite Ghana’s democratic stability and sustained economic growth, women are often excluded from the political system … but due to men holding positions of power and women’s traditional role in society many Ghanaian women are prevented from exercising their rights.</w:t>
      </w:r>
      <w:r w:rsidRPr="005F7752">
        <w:rPr>
          <w:rFonts w:ascii="Times New Roman" w:hAnsi="Times New Roman" w:cs="Times New Roman"/>
          <w:sz w:val="24"/>
          <w:szCs w:val="24"/>
        </w:rPr>
        <w:footnoteReference w:id="475"/>
      </w:r>
    </w:p>
    <w:p w14:paraId="43291B25" w14:textId="77777777" w:rsidR="00C35FB0" w:rsidRDefault="00C35FB0" w:rsidP="00C35FB0">
      <w:pPr>
        <w:spacing w:line="480" w:lineRule="auto"/>
        <w:jc w:val="both"/>
        <w:rPr>
          <w:rFonts w:ascii="Times New Roman" w:hAnsi="Times New Roman" w:cs="Times New Roman"/>
          <w:sz w:val="24"/>
          <w:szCs w:val="24"/>
          <w:vertAlign w:val="baseline"/>
        </w:rPr>
      </w:pPr>
    </w:p>
    <w:p w14:paraId="682C60F5" w14:textId="06E1F867" w:rsidR="005F7752" w:rsidRPr="005F7752" w:rsidRDefault="005F7752" w:rsidP="00C35FB0">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Gender inequality and high levels of violence against women (VAW) in Ghana are also documented within the reports of the Special Rapporteur (SR) on VAW and the SR on torture.</w:t>
      </w:r>
      <w:r w:rsidRPr="005F7752">
        <w:rPr>
          <w:rFonts w:ascii="Times New Roman" w:hAnsi="Times New Roman" w:cs="Times New Roman"/>
          <w:sz w:val="24"/>
          <w:szCs w:val="24"/>
        </w:rPr>
        <w:footnoteReference w:id="476"/>
      </w:r>
      <w:r w:rsidRPr="005F7752">
        <w:rPr>
          <w:rFonts w:ascii="Times New Roman" w:hAnsi="Times New Roman" w:cs="Times New Roman"/>
          <w:sz w:val="24"/>
          <w:szCs w:val="24"/>
          <w:vertAlign w:val="baseline"/>
        </w:rPr>
        <w:t xml:space="preserve"> Ghana’s dual system of government allows formal State institutions to coexist with a customary system known as the ‘chieftaincy system,’ which is a hierarchically organised and diverse group, consisting of tribal kings, paramount chiefs, chiefs and sub-chiefs.</w:t>
      </w:r>
      <w:r w:rsidRPr="005F7752">
        <w:rPr>
          <w:rFonts w:ascii="Times New Roman" w:hAnsi="Times New Roman" w:cs="Times New Roman"/>
          <w:sz w:val="24"/>
          <w:szCs w:val="24"/>
        </w:rPr>
        <w:footnoteReference w:id="477"/>
      </w:r>
      <w:r w:rsidRPr="005F7752">
        <w:rPr>
          <w:rFonts w:ascii="Times New Roman" w:hAnsi="Times New Roman" w:cs="Times New Roman"/>
          <w:sz w:val="24"/>
          <w:szCs w:val="24"/>
          <w:vertAlign w:val="baseline"/>
        </w:rPr>
        <w:t xml:space="preserve"> Within this male dominated system, traditional authorities hold considerable influence. As noted by Erturk, ‘traditional authorities deal with all matters supposedly involving supernatural interference (e.g. witchcraft). The State authorities are usually not in a position to resolve such matters.’</w:t>
      </w:r>
      <w:r w:rsidRPr="005F7752">
        <w:rPr>
          <w:rFonts w:ascii="Times New Roman" w:hAnsi="Times New Roman" w:cs="Times New Roman"/>
          <w:sz w:val="24"/>
          <w:szCs w:val="24"/>
        </w:rPr>
        <w:footnoteReference w:id="478"/>
      </w:r>
      <w:r w:rsidRPr="005F7752">
        <w:rPr>
          <w:rFonts w:ascii="Times New Roman" w:hAnsi="Times New Roman" w:cs="Times New Roman"/>
          <w:sz w:val="24"/>
          <w:szCs w:val="24"/>
          <w:vertAlign w:val="baseline"/>
        </w:rPr>
        <w:t xml:space="preserve"> </w:t>
      </w:r>
    </w:p>
    <w:p w14:paraId="1B03218D" w14:textId="77777777" w:rsidR="00C35FB0" w:rsidRDefault="00C35FB0" w:rsidP="00C35FB0">
      <w:pPr>
        <w:spacing w:line="480" w:lineRule="auto"/>
        <w:ind w:firstLine="720"/>
        <w:jc w:val="both"/>
        <w:rPr>
          <w:rFonts w:ascii="Times New Roman" w:hAnsi="Times New Roman" w:cs="Times New Roman"/>
          <w:sz w:val="24"/>
          <w:szCs w:val="24"/>
          <w:vertAlign w:val="baseline"/>
        </w:rPr>
      </w:pPr>
    </w:p>
    <w:p w14:paraId="09909689" w14:textId="7CAEFD74" w:rsidR="005F7752" w:rsidRPr="005F7752" w:rsidRDefault="005F7752" w:rsidP="00C35FB0">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For many Ghanaians, witchcraft is a phenomenon that is taken for granted. As observed by Akrong, ‘in Ghanaian society generally, witchcraft is often associated with supernatural activities that are believed to bring about negative or evil consequences for individuals and families.’</w:t>
      </w:r>
      <w:r w:rsidRPr="005F7752">
        <w:rPr>
          <w:rFonts w:ascii="Times New Roman" w:hAnsi="Times New Roman" w:cs="Times New Roman"/>
          <w:sz w:val="24"/>
          <w:szCs w:val="24"/>
        </w:rPr>
        <w:footnoteReference w:id="479"/>
      </w:r>
      <w:r w:rsidRPr="005F7752">
        <w:rPr>
          <w:rFonts w:ascii="Times New Roman" w:hAnsi="Times New Roman" w:cs="Times New Roman"/>
          <w:sz w:val="24"/>
          <w:szCs w:val="24"/>
          <w:vertAlign w:val="baseline"/>
        </w:rPr>
        <w:t xml:space="preserve"> However, there is also a strong understanding that witchcraft can be utilised in a benevolent way, enhancing a person’s ability to be able to perform remarkable accomplishments. This view is often attributed to the Western world, in particular scientific developments, thus</w:t>
      </w:r>
      <w:r w:rsidR="0015470C">
        <w:rPr>
          <w:rFonts w:ascii="Times New Roman" w:hAnsi="Times New Roman" w:cs="Times New Roman"/>
          <w:sz w:val="24"/>
          <w:szCs w:val="24"/>
          <w:vertAlign w:val="baseline"/>
        </w:rPr>
        <w:t>,</w:t>
      </w:r>
      <w:r w:rsidRPr="005F7752">
        <w:rPr>
          <w:rFonts w:ascii="Times New Roman" w:hAnsi="Times New Roman" w:cs="Times New Roman"/>
          <w:sz w:val="24"/>
          <w:szCs w:val="24"/>
          <w:vertAlign w:val="baseline"/>
        </w:rPr>
        <w:t xml:space="preserve"> acquiring the name of ‘white man’s witchcraft.’</w:t>
      </w:r>
      <w:r w:rsidRPr="005F7752">
        <w:rPr>
          <w:rFonts w:ascii="Times New Roman" w:hAnsi="Times New Roman" w:cs="Times New Roman"/>
          <w:sz w:val="24"/>
          <w:szCs w:val="24"/>
        </w:rPr>
        <w:footnoteReference w:id="480"/>
      </w:r>
      <w:r w:rsidRPr="005F7752">
        <w:rPr>
          <w:rFonts w:ascii="Times New Roman" w:hAnsi="Times New Roman" w:cs="Times New Roman"/>
          <w:sz w:val="24"/>
          <w:szCs w:val="24"/>
          <w:vertAlign w:val="baseline"/>
        </w:rPr>
        <w:t xml:space="preserve"> Thus, in Ghana, the witchcraft spirit is neutral and can be manipulated by the will and character of the person utilising it, either for good or evil intentions. However, as Dovlo explains, ‘traditionally, when witchcraft is seen as good, it is associated with men, whilst the evil use of witchcraft is associated with women.’</w:t>
      </w:r>
      <w:r w:rsidRPr="005F7752">
        <w:rPr>
          <w:rFonts w:ascii="Times New Roman" w:hAnsi="Times New Roman" w:cs="Times New Roman"/>
          <w:sz w:val="24"/>
          <w:szCs w:val="24"/>
        </w:rPr>
        <w:footnoteReference w:id="481"/>
      </w:r>
      <w:r w:rsidRPr="005F7752">
        <w:rPr>
          <w:rFonts w:ascii="Times New Roman" w:hAnsi="Times New Roman" w:cs="Times New Roman"/>
          <w:sz w:val="24"/>
          <w:szCs w:val="24"/>
          <w:vertAlign w:val="baseline"/>
        </w:rPr>
        <w:t xml:space="preserve"> </w:t>
      </w:r>
    </w:p>
    <w:p w14:paraId="56CAE50D" w14:textId="77777777" w:rsidR="00E66BE7" w:rsidRDefault="00E66BE7" w:rsidP="005F7752">
      <w:pPr>
        <w:spacing w:line="480" w:lineRule="auto"/>
        <w:jc w:val="both"/>
        <w:rPr>
          <w:rFonts w:ascii="Times New Roman" w:hAnsi="Times New Roman" w:cs="Times New Roman"/>
          <w:sz w:val="24"/>
          <w:szCs w:val="24"/>
          <w:vertAlign w:val="baseline"/>
        </w:rPr>
      </w:pPr>
    </w:p>
    <w:p w14:paraId="0AEBBF18" w14:textId="77777777" w:rsidR="005F7752" w:rsidRDefault="005F7752" w:rsidP="00E66BE7">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Ghanaian folklore specifies that the spirit of witchcraft is kept in earthenware containing blood and leaves the body at night, entering into the spiritual realm of the witches.</w:t>
      </w:r>
      <w:r w:rsidRPr="005F7752">
        <w:rPr>
          <w:rFonts w:ascii="Times New Roman" w:hAnsi="Times New Roman" w:cs="Times New Roman"/>
          <w:sz w:val="24"/>
          <w:szCs w:val="24"/>
        </w:rPr>
        <w:footnoteReference w:id="482"/>
      </w:r>
      <w:r w:rsidRPr="005F7752">
        <w:rPr>
          <w:rFonts w:ascii="Times New Roman" w:hAnsi="Times New Roman" w:cs="Times New Roman"/>
          <w:sz w:val="24"/>
          <w:szCs w:val="24"/>
          <w:vertAlign w:val="baseline"/>
        </w:rPr>
        <w:t xml:space="preserve"> Witches are generally understood to operate in groups of between ten and twenty under the guide of a lead witch, meeting in remote and inaccessible areas, to which they travel under the guise of an animal, such as an owl or snake.</w:t>
      </w:r>
      <w:r w:rsidRPr="005F7752">
        <w:rPr>
          <w:rFonts w:ascii="Times New Roman" w:hAnsi="Times New Roman" w:cs="Times New Roman"/>
          <w:sz w:val="24"/>
          <w:szCs w:val="24"/>
        </w:rPr>
        <w:footnoteReference w:id="483"/>
      </w:r>
      <w:r w:rsidRPr="005F7752">
        <w:rPr>
          <w:rFonts w:ascii="Times New Roman" w:hAnsi="Times New Roman" w:cs="Times New Roman"/>
          <w:sz w:val="24"/>
          <w:szCs w:val="24"/>
          <w:vertAlign w:val="baseline"/>
        </w:rPr>
        <w:t xml:space="preserve"> Within Ghanaian folklore, witchcraft is feminine and the witchcraft spirit be acquired in a variety of different ways. As observed by Akrong,</w:t>
      </w:r>
    </w:p>
    <w:p w14:paraId="74994269" w14:textId="77777777" w:rsidR="00280BC3" w:rsidRPr="005F7752" w:rsidRDefault="00280BC3" w:rsidP="00E66BE7">
      <w:pPr>
        <w:spacing w:line="480" w:lineRule="auto"/>
        <w:ind w:firstLine="720"/>
        <w:jc w:val="both"/>
        <w:rPr>
          <w:rFonts w:ascii="Times New Roman" w:hAnsi="Times New Roman" w:cs="Times New Roman"/>
          <w:sz w:val="24"/>
          <w:szCs w:val="24"/>
          <w:vertAlign w:val="baseline"/>
        </w:rPr>
      </w:pPr>
    </w:p>
    <w:p w14:paraId="110EAD79" w14:textId="77777777" w:rsidR="005F7752" w:rsidRPr="005F7752" w:rsidRDefault="005F7752" w:rsidP="0048745F">
      <w:pPr>
        <w:spacing w:line="480" w:lineRule="auto"/>
        <w:ind w:left="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It can be transmitted to a child at birth, or from a mother who is a witch. However, even a mother who is not a witch can still transfer witchcraft to a child if she is contaminated unwittingly by the witchcraft substance that is left behind after witches have bathed in a river. The witchcraft spirit can also be acquired through gifts, or may be purchased from a wizard.</w:t>
      </w:r>
      <w:r w:rsidRPr="005F7752">
        <w:rPr>
          <w:rFonts w:ascii="Times New Roman" w:hAnsi="Times New Roman" w:cs="Times New Roman"/>
          <w:sz w:val="24"/>
          <w:szCs w:val="24"/>
        </w:rPr>
        <w:footnoteReference w:id="484"/>
      </w:r>
    </w:p>
    <w:p w14:paraId="7B21C5CF" w14:textId="77777777" w:rsidR="005F7752" w:rsidRPr="005F7752" w:rsidRDefault="005F7752" w:rsidP="005F7752">
      <w:pPr>
        <w:spacing w:line="480" w:lineRule="auto"/>
        <w:jc w:val="both"/>
        <w:rPr>
          <w:rFonts w:ascii="Times New Roman" w:hAnsi="Times New Roman" w:cs="Times New Roman"/>
          <w:sz w:val="24"/>
          <w:szCs w:val="24"/>
          <w:vertAlign w:val="baseline"/>
        </w:rPr>
      </w:pPr>
    </w:p>
    <w:p w14:paraId="59AE81A5" w14:textId="77777777" w:rsidR="005F7752" w:rsidRDefault="005F7752" w:rsidP="00E66BE7">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 xml:space="preserve">Yet, it is the belief in Ghana that the witchcraft spirit can only function amongst blood relations, thus, highlighting the prevalence of witchcraft accusations within the family. In Ghanaian society, a woman’s traditional role in society is often rigid, based upon the concepts of biological femininity. </w:t>
      </w:r>
      <w:r w:rsidRPr="005F7752">
        <w:rPr>
          <w:rFonts w:ascii="Times New Roman" w:hAnsi="Times New Roman" w:cs="Times New Roman"/>
          <w:sz w:val="24"/>
          <w:szCs w:val="24"/>
        </w:rPr>
        <w:footnoteReference w:id="485"/>
      </w:r>
      <w:r w:rsidRPr="005F7752">
        <w:rPr>
          <w:rFonts w:ascii="Times New Roman" w:hAnsi="Times New Roman" w:cs="Times New Roman"/>
          <w:sz w:val="24"/>
          <w:szCs w:val="24"/>
          <w:vertAlign w:val="baseline"/>
        </w:rPr>
        <w:t xml:space="preserve"> Thus, giving birth, caring for her children and looking after the family home are roles attributed to women within Ghanaian society. Women who do not satisfy gender stereotypes, for example those who are unable to have children, widows and the unmarried, become particularly susceptible to witchcraft accusations.</w:t>
      </w:r>
      <w:r w:rsidRPr="005F7752">
        <w:rPr>
          <w:rFonts w:ascii="Times New Roman" w:hAnsi="Times New Roman" w:cs="Times New Roman"/>
          <w:sz w:val="24"/>
          <w:szCs w:val="24"/>
        </w:rPr>
        <w:footnoteReference w:id="486"/>
      </w:r>
      <w:r w:rsidRPr="005F7752">
        <w:rPr>
          <w:rFonts w:ascii="Times New Roman" w:hAnsi="Times New Roman" w:cs="Times New Roman"/>
          <w:sz w:val="24"/>
          <w:szCs w:val="24"/>
          <w:vertAlign w:val="baseline"/>
        </w:rPr>
        <w:t xml:space="preserve"> In this way, witchcraft is used as an enforcement mechanism, one that marginalises women into roles ‘traditionally’ reserved for them, whilst actively discouraging them from crossing the boundaries into the traditionally male roles. </w:t>
      </w:r>
    </w:p>
    <w:p w14:paraId="363208B4" w14:textId="77777777" w:rsidR="007A3E2B" w:rsidRPr="005F7752" w:rsidRDefault="007A3E2B" w:rsidP="00E66BE7">
      <w:pPr>
        <w:spacing w:line="480" w:lineRule="auto"/>
        <w:ind w:firstLine="720"/>
        <w:jc w:val="both"/>
        <w:rPr>
          <w:rFonts w:ascii="Times New Roman" w:hAnsi="Times New Roman" w:cs="Times New Roman"/>
          <w:sz w:val="24"/>
          <w:szCs w:val="24"/>
          <w:vertAlign w:val="baseline"/>
        </w:rPr>
      </w:pPr>
    </w:p>
    <w:p w14:paraId="3A2B3559" w14:textId="77777777" w:rsidR="0048745F" w:rsidRDefault="005F7752" w:rsidP="007A3E2B">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The feminine nature of witchcraft in Ghana, in particular the association of older women with witchcraft, is demonstrated in the construction of witch-camps in Northern Ghana.</w:t>
      </w:r>
      <w:r w:rsidRPr="005F7752">
        <w:rPr>
          <w:rFonts w:ascii="Times New Roman" w:hAnsi="Times New Roman" w:cs="Times New Roman"/>
          <w:sz w:val="24"/>
          <w:szCs w:val="24"/>
        </w:rPr>
        <w:footnoteReference w:id="487"/>
      </w:r>
      <w:r w:rsidRPr="005F7752">
        <w:rPr>
          <w:rFonts w:ascii="Times New Roman" w:hAnsi="Times New Roman" w:cs="Times New Roman"/>
          <w:sz w:val="24"/>
          <w:szCs w:val="24"/>
          <w:vertAlign w:val="baseline"/>
        </w:rPr>
        <w:t xml:space="preserve"> The traditional treatment allotted to alleged witches, in Ghana, is to exile them from their communities. That is, if they survive the impending attack by members of this community. As documented by Action Aid, ‘those that reach the witch camps are the lucky ones.’</w:t>
      </w:r>
      <w:r w:rsidRPr="005F7752">
        <w:rPr>
          <w:rFonts w:ascii="Times New Roman" w:hAnsi="Times New Roman" w:cs="Times New Roman"/>
          <w:sz w:val="24"/>
          <w:szCs w:val="24"/>
        </w:rPr>
        <w:footnoteReference w:id="488"/>
      </w:r>
      <w:r w:rsidRPr="005F7752">
        <w:rPr>
          <w:rFonts w:ascii="Times New Roman" w:hAnsi="Times New Roman" w:cs="Times New Roman"/>
          <w:sz w:val="24"/>
          <w:szCs w:val="24"/>
          <w:vertAlign w:val="baseline"/>
        </w:rPr>
        <w:t xml:space="preserve"> However, there are many reports of women being attacked and killed once they have been accused of witchcraft. One example, in November 2010, of a seventy two year old Ghanaian woman, Ama Hemmah, who was burned to death on suspicion of being a witch made headlines globally. Newspaper images showing the woman's injuries caused revulsion in Ghana, with the incident subsequently being condemned by human rights and women's activists.</w:t>
      </w:r>
      <w:r w:rsidRPr="005F7752">
        <w:rPr>
          <w:rFonts w:ascii="Times New Roman" w:hAnsi="Times New Roman" w:cs="Times New Roman"/>
          <w:sz w:val="24"/>
          <w:szCs w:val="24"/>
        </w:rPr>
        <w:footnoteReference w:id="489"/>
      </w:r>
      <w:r w:rsidRPr="005F7752">
        <w:rPr>
          <w:rFonts w:ascii="Times New Roman" w:hAnsi="Times New Roman" w:cs="Times New Roman"/>
          <w:sz w:val="24"/>
          <w:szCs w:val="24"/>
          <w:vertAlign w:val="baseline"/>
        </w:rPr>
        <w:t xml:space="preserve"> Ama Hemmah was allegedly attacked by a group of five people, who tortured her into confessing she was a witch, doused her in kerosene and set her alight. She suffered horrific burns and died the following day.</w:t>
      </w:r>
      <w:r w:rsidRPr="005F7752">
        <w:rPr>
          <w:rFonts w:ascii="Times New Roman" w:hAnsi="Times New Roman" w:cs="Times New Roman"/>
          <w:sz w:val="24"/>
          <w:szCs w:val="24"/>
        </w:rPr>
        <w:footnoteReference w:id="490"/>
      </w:r>
      <w:r w:rsidRPr="005F7752">
        <w:rPr>
          <w:rFonts w:ascii="Times New Roman" w:hAnsi="Times New Roman" w:cs="Times New Roman"/>
          <w:sz w:val="24"/>
          <w:szCs w:val="24"/>
          <w:vertAlign w:val="baseline"/>
        </w:rPr>
        <w:t xml:space="preserve"> </w:t>
      </w:r>
    </w:p>
    <w:p w14:paraId="704F1E7C" w14:textId="77777777" w:rsidR="0048745F" w:rsidRDefault="0048745F" w:rsidP="007A3E2B">
      <w:pPr>
        <w:spacing w:line="480" w:lineRule="auto"/>
        <w:ind w:firstLine="720"/>
        <w:jc w:val="both"/>
        <w:rPr>
          <w:rFonts w:ascii="Times New Roman" w:hAnsi="Times New Roman" w:cs="Times New Roman"/>
          <w:sz w:val="24"/>
          <w:szCs w:val="24"/>
          <w:vertAlign w:val="baseline"/>
        </w:rPr>
      </w:pPr>
    </w:p>
    <w:p w14:paraId="48E3A723" w14:textId="3695BC44" w:rsidR="00A60606" w:rsidRDefault="008A7A16" w:rsidP="00280BC3">
      <w:pPr>
        <w:spacing w:line="480" w:lineRule="auto"/>
        <w:ind w:firstLine="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There are currently seven</w:t>
      </w:r>
      <w:r w:rsidR="005F7752" w:rsidRPr="005F7752">
        <w:rPr>
          <w:rFonts w:ascii="Times New Roman" w:hAnsi="Times New Roman" w:cs="Times New Roman"/>
          <w:sz w:val="24"/>
          <w:szCs w:val="24"/>
          <w:vertAlign w:val="baseline"/>
        </w:rPr>
        <w:t xml:space="preserve"> main witch camps</w:t>
      </w:r>
      <w:r w:rsidR="005F7752" w:rsidRPr="005F7752">
        <w:rPr>
          <w:rFonts w:ascii="Times New Roman" w:hAnsi="Times New Roman" w:cs="Times New Roman"/>
          <w:sz w:val="24"/>
          <w:szCs w:val="24"/>
        </w:rPr>
        <w:footnoteReference w:id="491"/>
      </w:r>
      <w:r w:rsidR="005F7752" w:rsidRPr="005F7752">
        <w:rPr>
          <w:rFonts w:ascii="Times New Roman" w:hAnsi="Times New Roman" w:cs="Times New Roman"/>
          <w:sz w:val="24"/>
          <w:szCs w:val="24"/>
          <w:vertAlign w:val="baseline"/>
        </w:rPr>
        <w:t xml:space="preserve"> in Ghana, only existing in the Northern region of the country where poverty levels are at their highest.</w:t>
      </w:r>
      <w:r w:rsidR="005F7752" w:rsidRPr="005F7752">
        <w:rPr>
          <w:rFonts w:ascii="Times New Roman" w:hAnsi="Times New Roman" w:cs="Times New Roman"/>
          <w:sz w:val="24"/>
          <w:szCs w:val="24"/>
        </w:rPr>
        <w:footnoteReference w:id="492"/>
      </w:r>
      <w:r w:rsidR="005F7752" w:rsidRPr="005F7752">
        <w:rPr>
          <w:rFonts w:ascii="Times New Roman" w:hAnsi="Times New Roman" w:cs="Times New Roman"/>
          <w:sz w:val="24"/>
          <w:szCs w:val="24"/>
          <w:vertAlign w:val="baseline"/>
        </w:rPr>
        <w:t xml:space="preserve"> As Adam observes, ‘spiritual beliefs are also strongest in the poorest areas. It is no coincidence that the witch camps are found only in northern Ghana, which is one of the poorest regions of the country and suffers from low education and literacy standards.’</w:t>
      </w:r>
      <w:r w:rsidR="005F7752" w:rsidRPr="005F7752">
        <w:rPr>
          <w:rFonts w:ascii="Times New Roman" w:hAnsi="Times New Roman" w:cs="Times New Roman"/>
          <w:sz w:val="24"/>
          <w:szCs w:val="24"/>
        </w:rPr>
        <w:footnoteReference w:id="493"/>
      </w:r>
      <w:r w:rsidR="005F7752" w:rsidRPr="005F7752">
        <w:rPr>
          <w:rFonts w:ascii="Times New Roman" w:hAnsi="Times New Roman" w:cs="Times New Roman"/>
          <w:sz w:val="24"/>
          <w:szCs w:val="24"/>
          <w:vertAlign w:val="baseline"/>
        </w:rPr>
        <w:t xml:space="preserve"> This is corroborated by the Ghanaian government, which states that 78% of those aged fifteen and over in Northern Ghana are illiterate compared to 42.1% nationally.</w:t>
      </w:r>
      <w:r w:rsidR="005F7752" w:rsidRPr="005F7752">
        <w:rPr>
          <w:rFonts w:ascii="Times New Roman" w:hAnsi="Times New Roman" w:cs="Times New Roman"/>
          <w:sz w:val="24"/>
          <w:szCs w:val="24"/>
        </w:rPr>
        <w:footnoteReference w:id="494"/>
      </w:r>
      <w:r w:rsidR="00023F68">
        <w:rPr>
          <w:rFonts w:ascii="Times New Roman" w:hAnsi="Times New Roman" w:cs="Times New Roman"/>
          <w:sz w:val="24"/>
          <w:szCs w:val="24"/>
          <w:vertAlign w:val="baseline"/>
        </w:rPr>
        <w:t xml:space="preserve"> </w:t>
      </w:r>
      <w:r w:rsidR="005F7752" w:rsidRPr="005F7752">
        <w:rPr>
          <w:rFonts w:ascii="Times New Roman" w:hAnsi="Times New Roman" w:cs="Times New Roman"/>
          <w:sz w:val="24"/>
          <w:szCs w:val="24"/>
          <w:vertAlign w:val="baseline"/>
        </w:rPr>
        <w:t>In the Kukuo camp, there are 137 alleged witches, with 172 children (comprised of children and grand-children of the alleged witches). There are no males in this camp. Approximately 66 per cent of the women in the camp are 70 years old and above, originating from Bimbilla, and surrounding communities, and Nakpali in the Zabzugu District.</w:t>
      </w:r>
      <w:r w:rsidR="005F7752" w:rsidRPr="005F7752">
        <w:rPr>
          <w:rFonts w:ascii="Times New Roman" w:hAnsi="Times New Roman" w:cs="Times New Roman"/>
          <w:sz w:val="24"/>
          <w:szCs w:val="24"/>
        </w:rPr>
        <w:footnoteReference w:id="495"/>
      </w:r>
      <w:r w:rsidR="005F7752" w:rsidRPr="005F7752">
        <w:rPr>
          <w:rFonts w:ascii="Times New Roman" w:hAnsi="Times New Roman" w:cs="Times New Roman"/>
          <w:sz w:val="24"/>
          <w:szCs w:val="24"/>
          <w:vertAlign w:val="baseline"/>
        </w:rPr>
        <w:t xml:space="preserve"> Unlike the Kukuo camp, the Ghani-Tindang camp is comprised of both sexes; there are 273 alleged witches and wizards, comprising of 173 (80.4 per cent) women and 42 (19.6 per cent male). 72 per cent of the population camp are aged 70 and above. There are a further 231 children and grandchildren of the alleged witches in the camp. Within this camp there are two distinguishable ethnic groups, the Dagombas and the Kokombas.</w:t>
      </w:r>
      <w:r w:rsidR="005F7752" w:rsidRPr="005F7752">
        <w:rPr>
          <w:rFonts w:ascii="Times New Roman" w:hAnsi="Times New Roman" w:cs="Times New Roman"/>
          <w:sz w:val="24"/>
          <w:szCs w:val="24"/>
        </w:rPr>
        <w:footnoteReference w:id="496"/>
      </w:r>
      <w:r w:rsidR="005F7752" w:rsidRPr="005F7752">
        <w:rPr>
          <w:rFonts w:ascii="Times New Roman" w:hAnsi="Times New Roman" w:cs="Times New Roman"/>
          <w:sz w:val="24"/>
          <w:szCs w:val="24"/>
          <w:vertAlign w:val="baseline"/>
        </w:rPr>
        <w:t xml:space="preserve"> The Timdan-zhie camp (Kpatinga) is comprised of 40 alleged witches, with over 100 children and grandchildren. As with the other camps, more than 70 per cent of the population is aged 70 years and over.</w:t>
      </w:r>
      <w:r w:rsidR="005F7752" w:rsidRPr="005F7752">
        <w:rPr>
          <w:rFonts w:ascii="Times New Roman" w:hAnsi="Times New Roman" w:cs="Times New Roman"/>
          <w:sz w:val="24"/>
          <w:szCs w:val="24"/>
        </w:rPr>
        <w:footnoteReference w:id="497"/>
      </w:r>
      <w:r w:rsidR="005F7752" w:rsidRPr="005F7752">
        <w:rPr>
          <w:rFonts w:ascii="Times New Roman" w:hAnsi="Times New Roman" w:cs="Times New Roman"/>
          <w:sz w:val="24"/>
          <w:szCs w:val="24"/>
          <w:vertAlign w:val="baseline"/>
        </w:rPr>
        <w:t xml:space="preserve"> The Nabuli camp contains 140 alleged witches, with no children and is documented to be the newest and fastest growing camp. </w:t>
      </w:r>
      <w:r w:rsidR="005F7752" w:rsidRPr="005F7752">
        <w:rPr>
          <w:rFonts w:ascii="Times New Roman" w:hAnsi="Times New Roman" w:cs="Times New Roman"/>
          <w:sz w:val="24"/>
          <w:szCs w:val="24"/>
        </w:rPr>
        <w:footnoteReference w:id="498"/>
      </w:r>
      <w:r w:rsidR="005F7752" w:rsidRPr="005F7752">
        <w:rPr>
          <w:rFonts w:ascii="Times New Roman" w:hAnsi="Times New Roman" w:cs="Times New Roman"/>
          <w:sz w:val="24"/>
          <w:szCs w:val="24"/>
          <w:vertAlign w:val="baseline"/>
        </w:rPr>
        <w:t xml:space="preserve"> </w:t>
      </w:r>
      <w:r w:rsidR="00023F68">
        <w:rPr>
          <w:rFonts w:ascii="Times New Roman" w:hAnsi="Times New Roman" w:cs="Times New Roman"/>
          <w:sz w:val="24"/>
          <w:szCs w:val="24"/>
          <w:vertAlign w:val="baseline"/>
        </w:rPr>
        <w:t xml:space="preserve">The </w:t>
      </w:r>
      <w:r w:rsidR="005F7752" w:rsidRPr="005F7752">
        <w:rPr>
          <w:rFonts w:ascii="Times New Roman" w:hAnsi="Times New Roman" w:cs="Times New Roman"/>
          <w:sz w:val="24"/>
          <w:szCs w:val="24"/>
          <w:vertAlign w:val="baseline"/>
        </w:rPr>
        <w:t>Bonyase camp is the smallest of the camps with only 3 alleged witches and no children.</w:t>
      </w:r>
      <w:r w:rsidR="005F7752" w:rsidRPr="005F7752">
        <w:rPr>
          <w:rFonts w:ascii="Times New Roman" w:hAnsi="Times New Roman" w:cs="Times New Roman"/>
          <w:sz w:val="24"/>
          <w:szCs w:val="24"/>
        </w:rPr>
        <w:footnoteReference w:id="499"/>
      </w:r>
      <w:r w:rsidR="005F7752" w:rsidRPr="005F7752">
        <w:rPr>
          <w:rFonts w:ascii="Times New Roman" w:hAnsi="Times New Roman" w:cs="Times New Roman"/>
          <w:sz w:val="24"/>
          <w:szCs w:val="24"/>
          <w:vertAlign w:val="baseline"/>
        </w:rPr>
        <w:t xml:space="preserve"> </w:t>
      </w:r>
      <w:r w:rsidR="00023F68">
        <w:rPr>
          <w:rFonts w:ascii="Times New Roman" w:hAnsi="Times New Roman" w:cs="Times New Roman"/>
          <w:sz w:val="24"/>
          <w:szCs w:val="24"/>
          <w:vertAlign w:val="baseline"/>
        </w:rPr>
        <w:t xml:space="preserve">The </w:t>
      </w:r>
      <w:r w:rsidR="005F7752" w:rsidRPr="005F7752">
        <w:rPr>
          <w:rFonts w:ascii="Times New Roman" w:hAnsi="Times New Roman" w:cs="Times New Roman"/>
          <w:sz w:val="24"/>
          <w:szCs w:val="24"/>
          <w:vertAlign w:val="baseline"/>
        </w:rPr>
        <w:t xml:space="preserve">Gambaga camp is the </w:t>
      </w:r>
      <w:r w:rsidR="00023F68">
        <w:rPr>
          <w:rFonts w:ascii="Times New Roman" w:hAnsi="Times New Roman" w:cs="Times New Roman"/>
          <w:sz w:val="24"/>
          <w:szCs w:val="24"/>
          <w:vertAlign w:val="baseline"/>
        </w:rPr>
        <w:t>best</w:t>
      </w:r>
      <w:r w:rsidR="005F7752" w:rsidRPr="005F7752">
        <w:rPr>
          <w:rFonts w:ascii="Times New Roman" w:hAnsi="Times New Roman" w:cs="Times New Roman"/>
          <w:sz w:val="24"/>
          <w:szCs w:val="24"/>
          <w:vertAlign w:val="baseline"/>
        </w:rPr>
        <w:t xml:space="preserve"> known of the camps, holding 88 alleged witches, the majority aged 60 years and over.</w:t>
      </w:r>
      <w:r w:rsidR="005F7752" w:rsidRPr="005F7752">
        <w:rPr>
          <w:rFonts w:ascii="Times New Roman" w:hAnsi="Times New Roman" w:cs="Times New Roman"/>
          <w:sz w:val="24"/>
          <w:szCs w:val="24"/>
        </w:rPr>
        <w:footnoteReference w:id="500"/>
      </w:r>
    </w:p>
    <w:p w14:paraId="29645BF0" w14:textId="77777777" w:rsidR="00280BC3" w:rsidRPr="005F7752" w:rsidRDefault="00280BC3" w:rsidP="00280BC3">
      <w:pPr>
        <w:spacing w:line="480" w:lineRule="auto"/>
        <w:ind w:firstLine="720"/>
        <w:jc w:val="both"/>
        <w:rPr>
          <w:rFonts w:ascii="Times New Roman" w:hAnsi="Times New Roman" w:cs="Times New Roman"/>
          <w:sz w:val="24"/>
          <w:szCs w:val="24"/>
          <w:vertAlign w:val="baseline"/>
        </w:rPr>
      </w:pPr>
    </w:p>
    <w:p w14:paraId="11F5AF3B" w14:textId="2A840797" w:rsidR="005F7752" w:rsidRPr="005F7752" w:rsidRDefault="005F7752" w:rsidP="00604FEF">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The camps, situated in remote areas, offer poor living conditions consisting largely of thatched wooden huts, with inadequate food and water supplies. For example, the inhabitants of the Kukuo camp have to endure a three mile walk each day to the River Otti for water, struggling back up steep hills with heavy containers;</w:t>
      </w:r>
      <w:r w:rsidRPr="005F7752">
        <w:rPr>
          <w:rFonts w:ascii="Times New Roman" w:hAnsi="Times New Roman" w:cs="Times New Roman"/>
          <w:sz w:val="24"/>
          <w:szCs w:val="24"/>
        </w:rPr>
        <w:footnoteReference w:id="501"/>
      </w:r>
      <w:r w:rsidRPr="005F7752">
        <w:rPr>
          <w:rFonts w:ascii="Times New Roman" w:hAnsi="Times New Roman" w:cs="Times New Roman"/>
          <w:sz w:val="24"/>
          <w:szCs w:val="24"/>
          <w:vertAlign w:val="baseline"/>
        </w:rPr>
        <w:t xml:space="preserve"> an extremely arduous task considering the majority of the women in these camps are elderly. As observed by Action Aid, ‘the witch camps are effectively women’s prisons where inmates have been given no trial, have no right of appeal but have received a life sentence.’</w:t>
      </w:r>
      <w:r w:rsidRPr="005F7752">
        <w:rPr>
          <w:rFonts w:ascii="Times New Roman" w:hAnsi="Times New Roman" w:cs="Times New Roman"/>
          <w:sz w:val="24"/>
          <w:szCs w:val="24"/>
        </w:rPr>
        <w:footnoteReference w:id="502"/>
      </w:r>
      <w:r w:rsidRPr="005F7752">
        <w:rPr>
          <w:rFonts w:ascii="Times New Roman" w:hAnsi="Times New Roman" w:cs="Times New Roman"/>
          <w:sz w:val="24"/>
          <w:szCs w:val="24"/>
          <w:vertAlign w:val="baseline"/>
        </w:rPr>
        <w:t xml:space="preserve"> Women who arrive at the camp are initially subjected to purification rituals, performed by </w:t>
      </w:r>
      <w:r w:rsidRPr="005F7752">
        <w:rPr>
          <w:rFonts w:ascii="Times New Roman" w:hAnsi="Times New Roman" w:cs="Times New Roman"/>
          <w:i/>
          <w:sz w:val="24"/>
          <w:szCs w:val="24"/>
          <w:vertAlign w:val="baseline"/>
        </w:rPr>
        <w:t>Tindanas,</w:t>
      </w:r>
      <w:r w:rsidRPr="005F7752">
        <w:rPr>
          <w:rFonts w:ascii="Times New Roman" w:hAnsi="Times New Roman" w:cs="Times New Roman"/>
          <w:sz w:val="24"/>
          <w:szCs w:val="24"/>
        </w:rPr>
        <w:footnoteReference w:id="503"/>
      </w:r>
      <w:r w:rsidRPr="005F7752">
        <w:rPr>
          <w:rFonts w:ascii="Times New Roman" w:hAnsi="Times New Roman" w:cs="Times New Roman"/>
          <w:sz w:val="24"/>
          <w:szCs w:val="24"/>
          <w:vertAlign w:val="baseline"/>
        </w:rPr>
        <w:t xml:space="preserve"> to determine whether or not she is a witch. The accused has to buy a brightly coloured chicken, which is then offered to the </w:t>
      </w:r>
      <w:r w:rsidRPr="005F7752">
        <w:rPr>
          <w:rFonts w:ascii="Times New Roman" w:hAnsi="Times New Roman" w:cs="Times New Roman"/>
          <w:i/>
          <w:sz w:val="24"/>
          <w:szCs w:val="24"/>
          <w:vertAlign w:val="baseline"/>
        </w:rPr>
        <w:t>Tindana</w:t>
      </w:r>
      <w:r w:rsidRPr="005F7752">
        <w:rPr>
          <w:rFonts w:ascii="Times New Roman" w:hAnsi="Times New Roman" w:cs="Times New Roman"/>
          <w:sz w:val="24"/>
          <w:szCs w:val="24"/>
          <w:vertAlign w:val="baseline"/>
        </w:rPr>
        <w:t xml:space="preserve">. The purification ritual is then performed, with the </w:t>
      </w:r>
      <w:r w:rsidRPr="005F7752">
        <w:rPr>
          <w:rFonts w:ascii="Times New Roman" w:hAnsi="Times New Roman" w:cs="Times New Roman"/>
          <w:i/>
          <w:sz w:val="24"/>
          <w:szCs w:val="24"/>
          <w:vertAlign w:val="baseline"/>
        </w:rPr>
        <w:t>Tindana</w:t>
      </w:r>
      <w:r w:rsidRPr="005F7752">
        <w:rPr>
          <w:rFonts w:ascii="Times New Roman" w:hAnsi="Times New Roman" w:cs="Times New Roman"/>
          <w:sz w:val="24"/>
          <w:szCs w:val="24"/>
          <w:vertAlign w:val="baseline"/>
        </w:rPr>
        <w:t xml:space="preserve"> slitting the throat of the chicken. The final posture of the chicken determines the fate of the accused</w:t>
      </w:r>
      <w:r w:rsidR="0015470C">
        <w:rPr>
          <w:rFonts w:ascii="Times New Roman" w:hAnsi="Times New Roman" w:cs="Times New Roman"/>
          <w:sz w:val="24"/>
          <w:szCs w:val="24"/>
          <w:vertAlign w:val="baseline"/>
        </w:rPr>
        <w:t>; if the chicken dies face down</w:t>
      </w:r>
      <w:r w:rsidRPr="005F7752">
        <w:rPr>
          <w:rFonts w:ascii="Times New Roman" w:hAnsi="Times New Roman" w:cs="Times New Roman"/>
          <w:sz w:val="24"/>
          <w:szCs w:val="24"/>
          <w:vertAlign w:val="baseline"/>
        </w:rPr>
        <w:t xml:space="preserve"> the accused is guil</w:t>
      </w:r>
      <w:r w:rsidR="0015470C">
        <w:rPr>
          <w:rFonts w:ascii="Times New Roman" w:hAnsi="Times New Roman" w:cs="Times New Roman"/>
          <w:sz w:val="24"/>
          <w:szCs w:val="24"/>
          <w:vertAlign w:val="baseline"/>
        </w:rPr>
        <w:t>ty, if the chicken dies face up</w:t>
      </w:r>
      <w:r w:rsidRPr="005F7752">
        <w:rPr>
          <w:rFonts w:ascii="Times New Roman" w:hAnsi="Times New Roman" w:cs="Times New Roman"/>
          <w:sz w:val="24"/>
          <w:szCs w:val="24"/>
          <w:vertAlign w:val="baseline"/>
        </w:rPr>
        <w:t xml:space="preserve"> the accused is innocent.</w:t>
      </w:r>
      <w:r w:rsidRPr="005F7752">
        <w:rPr>
          <w:rFonts w:ascii="Times New Roman" w:hAnsi="Times New Roman" w:cs="Times New Roman"/>
          <w:sz w:val="24"/>
          <w:szCs w:val="24"/>
        </w:rPr>
        <w:footnoteReference w:id="504"/>
      </w:r>
      <w:r w:rsidRPr="005F7752">
        <w:rPr>
          <w:rFonts w:ascii="Times New Roman" w:hAnsi="Times New Roman" w:cs="Times New Roman"/>
          <w:sz w:val="24"/>
          <w:szCs w:val="24"/>
          <w:vertAlign w:val="baseline"/>
        </w:rPr>
        <w:t xml:space="preserve"> For the innocent, they may then begin their life in the camp. Those that are found guilty are then subjected to a ritual cleansing ceremony. This involves drinking a ‘cleansing concoction’ containing a mixture of chicken blood, monkey skulls and soil.</w:t>
      </w:r>
      <w:r w:rsidRPr="005F7752">
        <w:rPr>
          <w:rFonts w:ascii="Times New Roman" w:hAnsi="Times New Roman" w:cs="Times New Roman"/>
          <w:sz w:val="24"/>
          <w:szCs w:val="24"/>
        </w:rPr>
        <w:footnoteReference w:id="505"/>
      </w:r>
      <w:r w:rsidRPr="005F7752">
        <w:rPr>
          <w:rFonts w:ascii="Times New Roman" w:hAnsi="Times New Roman" w:cs="Times New Roman"/>
          <w:sz w:val="24"/>
          <w:szCs w:val="24"/>
          <w:vertAlign w:val="baseline"/>
        </w:rPr>
        <w:t xml:space="preserve"> After seven days have passed, if the accused has not fallen ill within this period, she is deemed to have been cleansed of witchcraft and may return to the camp. However, for those that become ill within the </w:t>
      </w:r>
      <w:r w:rsidR="00DD2F8A" w:rsidRPr="005F7752">
        <w:rPr>
          <w:rFonts w:ascii="Times New Roman" w:hAnsi="Times New Roman" w:cs="Times New Roman"/>
          <w:sz w:val="24"/>
          <w:szCs w:val="24"/>
          <w:vertAlign w:val="baseline"/>
        </w:rPr>
        <w:t>seven-day</w:t>
      </w:r>
      <w:r w:rsidRPr="005F7752">
        <w:rPr>
          <w:rFonts w:ascii="Times New Roman" w:hAnsi="Times New Roman" w:cs="Times New Roman"/>
          <w:sz w:val="24"/>
          <w:szCs w:val="24"/>
          <w:vertAlign w:val="baseline"/>
        </w:rPr>
        <w:t xml:space="preserve"> period, the ritual must be performed again.</w:t>
      </w:r>
      <w:r w:rsidRPr="005F7752">
        <w:rPr>
          <w:rFonts w:ascii="Times New Roman" w:hAnsi="Times New Roman" w:cs="Times New Roman"/>
          <w:sz w:val="24"/>
          <w:szCs w:val="24"/>
        </w:rPr>
        <w:footnoteReference w:id="506"/>
      </w:r>
    </w:p>
    <w:p w14:paraId="602BF5BA" w14:textId="77777777" w:rsidR="00482028" w:rsidRDefault="00482028" w:rsidP="00482028">
      <w:pPr>
        <w:spacing w:line="480" w:lineRule="auto"/>
        <w:ind w:firstLine="720"/>
        <w:jc w:val="both"/>
        <w:rPr>
          <w:rFonts w:ascii="Times New Roman" w:hAnsi="Times New Roman" w:cs="Times New Roman"/>
          <w:sz w:val="24"/>
          <w:szCs w:val="24"/>
          <w:vertAlign w:val="baseline"/>
        </w:rPr>
      </w:pPr>
    </w:p>
    <w:p w14:paraId="195020FC" w14:textId="4EFB4F56" w:rsidR="005F7752" w:rsidRPr="005F7752" w:rsidRDefault="005F7752" w:rsidP="00482028">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Both the SR on VAW and the SR on torture have documented the levels of inequality and VAW within the witch-camps of Northern Ghana. Yakin Ertürk, who held the position of SR on VAW from 2003 to 2009, published the most recent country report on VAW in Ghana on 21 February 2008.</w:t>
      </w:r>
      <w:r w:rsidRPr="005F7752">
        <w:rPr>
          <w:rFonts w:ascii="Times New Roman" w:hAnsi="Times New Roman" w:cs="Times New Roman"/>
          <w:sz w:val="24"/>
          <w:szCs w:val="24"/>
        </w:rPr>
        <w:footnoteReference w:id="507"/>
      </w:r>
      <w:r w:rsidRPr="005F7752">
        <w:rPr>
          <w:rFonts w:ascii="Times New Roman" w:hAnsi="Times New Roman" w:cs="Times New Roman"/>
          <w:sz w:val="24"/>
          <w:szCs w:val="24"/>
          <w:vertAlign w:val="baseline"/>
        </w:rPr>
        <w:t xml:space="preserve"> The report contains the findings of the SR on VAW following her mission to Ghana from 7 to 14 July 2007 and addresses specific types of VAW ‘within the context of the dual normative system in the country and women’s subordinate status in the society at large.’</w:t>
      </w:r>
      <w:r w:rsidRPr="005F7752">
        <w:rPr>
          <w:rFonts w:ascii="Times New Roman" w:hAnsi="Times New Roman" w:cs="Times New Roman"/>
          <w:sz w:val="24"/>
          <w:szCs w:val="24"/>
        </w:rPr>
        <w:footnoteReference w:id="508"/>
      </w:r>
      <w:r w:rsidRPr="005F7752">
        <w:rPr>
          <w:rFonts w:ascii="Times New Roman" w:hAnsi="Times New Roman" w:cs="Times New Roman"/>
          <w:sz w:val="24"/>
          <w:szCs w:val="24"/>
          <w:vertAlign w:val="baseline"/>
        </w:rPr>
        <w:t xml:space="preserve"> During her visit to Ghana, the SR visited the Gambaga witch camp, noting that VAW remains widespread in Ghana, stating that ‘there are many cases, in which women and occasionally men are accused of practising witchcraft to bring harm to members of their family or community.’</w:t>
      </w:r>
      <w:r w:rsidRPr="005F7752">
        <w:rPr>
          <w:rFonts w:ascii="Times New Roman" w:hAnsi="Times New Roman" w:cs="Times New Roman"/>
          <w:sz w:val="24"/>
          <w:szCs w:val="24"/>
        </w:rPr>
        <w:footnoteReference w:id="509"/>
      </w:r>
      <w:r w:rsidRPr="005F7752">
        <w:rPr>
          <w:rFonts w:ascii="Times New Roman" w:hAnsi="Times New Roman" w:cs="Times New Roman"/>
          <w:sz w:val="24"/>
          <w:szCs w:val="24"/>
          <w:vertAlign w:val="baseline"/>
        </w:rPr>
        <w:t xml:space="preserve"> Moreover, the SR notes that belief in the supernatural is deep-rooted in Ghanaian tradition and</w:t>
      </w:r>
      <w:r w:rsidR="00DD2F8A">
        <w:rPr>
          <w:rFonts w:ascii="Times New Roman" w:hAnsi="Times New Roman" w:cs="Times New Roman"/>
          <w:sz w:val="24"/>
          <w:szCs w:val="24"/>
          <w:vertAlign w:val="baseline"/>
        </w:rPr>
        <w:t xml:space="preserve"> is widespread throughout Ghana;</w:t>
      </w:r>
      <w:r w:rsidRPr="005F7752">
        <w:rPr>
          <w:rFonts w:ascii="Times New Roman" w:hAnsi="Times New Roman" w:cs="Times New Roman"/>
          <w:sz w:val="24"/>
          <w:szCs w:val="24"/>
          <w:vertAlign w:val="baseline"/>
        </w:rPr>
        <w:t xml:space="preserve"> however, the visibility of WAP is more prevalent within the north of Ghana, due to the existence of the witch camps. On visiting the Gambaga camp, where it is believed that witches c</w:t>
      </w:r>
      <w:r w:rsidR="00C5437F">
        <w:rPr>
          <w:rFonts w:ascii="Times New Roman" w:hAnsi="Times New Roman" w:cs="Times New Roman"/>
          <w:sz w:val="24"/>
          <w:szCs w:val="24"/>
          <w:vertAlign w:val="baseline"/>
        </w:rPr>
        <w:t>an be purified by the Gambarana</w:t>
      </w:r>
      <w:r w:rsidRPr="005F7752">
        <w:rPr>
          <w:rFonts w:ascii="Times New Roman" w:hAnsi="Times New Roman" w:cs="Times New Roman"/>
          <w:sz w:val="24"/>
          <w:szCs w:val="24"/>
          <w:vertAlign w:val="baseline"/>
        </w:rPr>
        <w:t xml:space="preserve"> </w:t>
      </w:r>
      <w:r w:rsidR="00C5437F">
        <w:rPr>
          <w:rFonts w:ascii="Times New Roman" w:hAnsi="Times New Roman" w:cs="Times New Roman"/>
          <w:sz w:val="24"/>
          <w:szCs w:val="24"/>
          <w:vertAlign w:val="baseline"/>
        </w:rPr>
        <w:t xml:space="preserve">(the local chief), </w:t>
      </w:r>
      <w:r w:rsidRPr="005F7752">
        <w:rPr>
          <w:rFonts w:ascii="Times New Roman" w:hAnsi="Times New Roman" w:cs="Times New Roman"/>
          <w:sz w:val="24"/>
          <w:szCs w:val="24"/>
          <w:vertAlign w:val="baseline"/>
        </w:rPr>
        <w:t>the SR observes that whilst the local community surrounding Gambaga are not afraid to interact or live nearby to these women, due to the purification ritual, certain stigmas remain and women accused of witchcraft are limited to ‘income-generating activities such as firewood collection.’</w:t>
      </w:r>
      <w:r w:rsidRPr="005F7752">
        <w:rPr>
          <w:rFonts w:ascii="Times New Roman" w:hAnsi="Times New Roman" w:cs="Times New Roman"/>
          <w:sz w:val="24"/>
          <w:szCs w:val="24"/>
        </w:rPr>
        <w:footnoteReference w:id="510"/>
      </w:r>
      <w:r w:rsidRPr="005F7752">
        <w:rPr>
          <w:rFonts w:ascii="Times New Roman" w:hAnsi="Times New Roman" w:cs="Times New Roman"/>
          <w:sz w:val="24"/>
          <w:szCs w:val="24"/>
          <w:vertAlign w:val="baseline"/>
        </w:rPr>
        <w:t xml:space="preserve"> In her conclusions, the SR states that VAW is widespread in Ghana, with particular groups of women, such as widows and the elderly, deemed more vulnerable.</w:t>
      </w:r>
      <w:r w:rsidRPr="005F7752">
        <w:rPr>
          <w:rFonts w:ascii="Times New Roman" w:hAnsi="Times New Roman" w:cs="Times New Roman"/>
          <w:sz w:val="24"/>
          <w:szCs w:val="24"/>
        </w:rPr>
        <w:footnoteReference w:id="511"/>
      </w:r>
      <w:r w:rsidRPr="005F7752">
        <w:rPr>
          <w:rFonts w:ascii="Times New Roman" w:hAnsi="Times New Roman" w:cs="Times New Roman"/>
          <w:sz w:val="24"/>
          <w:szCs w:val="24"/>
          <w:vertAlign w:val="baseline"/>
        </w:rPr>
        <w:t xml:space="preserve"> Similarly the current SR on torture, Juan E. Mendez, made reference to the witch camps in Ghana, inviting the current SR on VAW to follow up on practices in witch camps, due to the SR on torture being unable to address this fully in his current report.</w:t>
      </w:r>
      <w:r w:rsidRPr="005F7752">
        <w:rPr>
          <w:rFonts w:ascii="Times New Roman" w:hAnsi="Times New Roman" w:cs="Times New Roman"/>
          <w:sz w:val="24"/>
          <w:szCs w:val="24"/>
        </w:rPr>
        <w:footnoteReference w:id="512"/>
      </w:r>
      <w:r w:rsidRPr="005F7752">
        <w:rPr>
          <w:rFonts w:ascii="Times New Roman" w:hAnsi="Times New Roman" w:cs="Times New Roman"/>
          <w:sz w:val="24"/>
          <w:szCs w:val="24"/>
          <w:vertAlign w:val="baseline"/>
        </w:rPr>
        <w:t xml:space="preserve"> Recommendations to the Ghanaian government on the issue of WAP include the need to, ‘publicly question the existence of harmful witchcraft,’</w:t>
      </w:r>
      <w:r w:rsidRPr="005F7752">
        <w:rPr>
          <w:rFonts w:ascii="Times New Roman" w:hAnsi="Times New Roman" w:cs="Times New Roman"/>
          <w:sz w:val="24"/>
          <w:szCs w:val="24"/>
        </w:rPr>
        <w:footnoteReference w:id="513"/>
      </w:r>
      <w:r w:rsidRPr="005F7752">
        <w:rPr>
          <w:rFonts w:ascii="Times New Roman" w:hAnsi="Times New Roman" w:cs="Times New Roman"/>
          <w:sz w:val="24"/>
          <w:szCs w:val="24"/>
          <w:vertAlign w:val="baseline"/>
        </w:rPr>
        <w:t xml:space="preserve"> ‘demystify the beliefs around witchcraft and sorcery and criminalize acts of undue accusations of persons of causing harm through the use of supernatural powers,’</w:t>
      </w:r>
      <w:r w:rsidRPr="005F7752">
        <w:rPr>
          <w:rFonts w:ascii="Times New Roman" w:hAnsi="Times New Roman" w:cs="Times New Roman"/>
          <w:sz w:val="24"/>
          <w:szCs w:val="24"/>
        </w:rPr>
        <w:footnoteReference w:id="514"/>
      </w:r>
      <w:r w:rsidRPr="005F7752">
        <w:rPr>
          <w:rFonts w:ascii="Times New Roman" w:hAnsi="Times New Roman" w:cs="Times New Roman"/>
          <w:sz w:val="24"/>
          <w:szCs w:val="24"/>
          <w:vertAlign w:val="baseline"/>
        </w:rPr>
        <w:t xml:space="preserve"> and to ‘challenge prejudices underlying the abuse of girls and women, including the notion of witchcraft.’</w:t>
      </w:r>
      <w:r w:rsidRPr="005F7752">
        <w:rPr>
          <w:rFonts w:ascii="Times New Roman" w:hAnsi="Times New Roman" w:cs="Times New Roman"/>
          <w:sz w:val="24"/>
          <w:szCs w:val="24"/>
        </w:rPr>
        <w:footnoteReference w:id="515"/>
      </w:r>
      <w:r w:rsidRPr="005F7752">
        <w:rPr>
          <w:rFonts w:ascii="Times New Roman" w:hAnsi="Times New Roman" w:cs="Times New Roman"/>
          <w:sz w:val="24"/>
          <w:szCs w:val="24"/>
          <w:vertAlign w:val="baseline"/>
        </w:rPr>
        <w:t xml:space="preserve"> To date, there has been no response to these recommendations by the Ghanaian government. </w:t>
      </w:r>
    </w:p>
    <w:p w14:paraId="320E2004" w14:textId="77777777" w:rsidR="005F7752" w:rsidRPr="005F7752" w:rsidRDefault="005F7752" w:rsidP="005F7752">
      <w:pPr>
        <w:spacing w:line="480" w:lineRule="auto"/>
        <w:jc w:val="both"/>
        <w:rPr>
          <w:rFonts w:ascii="Times New Roman" w:hAnsi="Times New Roman" w:cs="Times New Roman"/>
          <w:sz w:val="24"/>
          <w:szCs w:val="24"/>
          <w:vertAlign w:val="baseline"/>
        </w:rPr>
      </w:pPr>
    </w:p>
    <w:p w14:paraId="62EF0355" w14:textId="77777777" w:rsidR="005F7752" w:rsidRDefault="005F7752" w:rsidP="00C77120">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Whilst it is clear that in Ghana, witchcraft accusations are borne out of existential problems such as ill health, unexplained deaths and poverty, Dovlo asserts that in Ghana, witchcraft accusations became intensified after 1995, which saw a huge increase in the amount of women who were exiled to the witch camps.</w:t>
      </w:r>
      <w:r w:rsidRPr="005F7752">
        <w:rPr>
          <w:rFonts w:ascii="Times New Roman" w:hAnsi="Times New Roman" w:cs="Times New Roman"/>
          <w:sz w:val="24"/>
          <w:szCs w:val="24"/>
        </w:rPr>
        <w:footnoteReference w:id="516"/>
      </w:r>
      <w:r w:rsidRPr="005F7752">
        <w:rPr>
          <w:rFonts w:ascii="Times New Roman" w:hAnsi="Times New Roman" w:cs="Times New Roman"/>
          <w:sz w:val="24"/>
          <w:szCs w:val="24"/>
          <w:vertAlign w:val="baseline"/>
        </w:rPr>
        <w:t xml:space="preserve"> On examination, Dovlo found that the increase in witchcraft accusations occurred after the northern ethnic wars of 1994, particularly in Dagbon, in Northern Ghana, as a result of ‘the acquisition of new Gods.’</w:t>
      </w:r>
      <w:r w:rsidRPr="005F7752">
        <w:rPr>
          <w:rFonts w:ascii="Times New Roman" w:hAnsi="Times New Roman" w:cs="Times New Roman"/>
          <w:sz w:val="24"/>
          <w:szCs w:val="24"/>
        </w:rPr>
        <w:footnoteReference w:id="517"/>
      </w:r>
      <w:r w:rsidRPr="005F7752">
        <w:rPr>
          <w:rFonts w:ascii="Times New Roman" w:hAnsi="Times New Roman" w:cs="Times New Roman"/>
          <w:sz w:val="24"/>
          <w:szCs w:val="24"/>
          <w:vertAlign w:val="baseline"/>
        </w:rPr>
        <w:t xml:space="preserve"> As Dovlo explains,</w:t>
      </w:r>
    </w:p>
    <w:p w14:paraId="0A27DADC" w14:textId="77777777" w:rsidR="00280BC3" w:rsidRPr="005F7752" w:rsidRDefault="00280BC3" w:rsidP="00C77120">
      <w:pPr>
        <w:spacing w:line="480" w:lineRule="auto"/>
        <w:ind w:firstLine="720"/>
        <w:jc w:val="both"/>
        <w:rPr>
          <w:rFonts w:ascii="Times New Roman" w:hAnsi="Times New Roman" w:cs="Times New Roman"/>
          <w:sz w:val="24"/>
          <w:szCs w:val="24"/>
          <w:vertAlign w:val="baseline"/>
        </w:rPr>
      </w:pPr>
    </w:p>
    <w:p w14:paraId="065FB178" w14:textId="77777777" w:rsidR="005F7752" w:rsidRPr="005F7752" w:rsidRDefault="005F7752" w:rsidP="00F600B7">
      <w:pPr>
        <w:spacing w:line="480" w:lineRule="auto"/>
        <w:ind w:left="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It is recounted that during the war the quest for spiritual support against the enemy led to the introduction of a new God from northern Togo, called Tsamkpana. It is alleged that part of the potency of this God is the ability to detect witches. This led to an increase in the incidence of witchcraft accusations after 1995.</w:t>
      </w:r>
      <w:r w:rsidRPr="005F7752">
        <w:rPr>
          <w:rFonts w:ascii="Times New Roman" w:hAnsi="Times New Roman" w:cs="Times New Roman"/>
          <w:sz w:val="24"/>
          <w:szCs w:val="24"/>
        </w:rPr>
        <w:footnoteReference w:id="518"/>
      </w:r>
    </w:p>
    <w:p w14:paraId="2027F70D" w14:textId="77777777" w:rsidR="005F7752" w:rsidRPr="005F7752" w:rsidRDefault="005F7752" w:rsidP="005F7752">
      <w:pPr>
        <w:spacing w:line="480" w:lineRule="auto"/>
        <w:jc w:val="both"/>
        <w:rPr>
          <w:rFonts w:ascii="Times New Roman" w:hAnsi="Times New Roman" w:cs="Times New Roman"/>
          <w:sz w:val="24"/>
          <w:szCs w:val="24"/>
          <w:vertAlign w:val="baseline"/>
        </w:rPr>
      </w:pPr>
    </w:p>
    <w:p w14:paraId="383D78E0" w14:textId="77777777" w:rsidR="005F7752" w:rsidRPr="005F7752" w:rsidRDefault="005F7752" w:rsidP="00D246E0">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Moreover, witchcraft accusations in Ghana appear to be linked to the prevalence of infectious diseases in Northern Ghana. For example, there is a high prevalence of accusations linked with cases of Cerebral Spinal Meningitis (CSM), a disease spread by bacteria droplets such as sneezing, coughing etc., are particularly high. As observed by the Cambridge Network, there have already been 60 cases of CSM in Northern Ghana between January and March 2014.</w:t>
      </w:r>
      <w:r w:rsidRPr="005F7752">
        <w:rPr>
          <w:rFonts w:ascii="Times New Roman" w:hAnsi="Times New Roman" w:cs="Times New Roman"/>
          <w:sz w:val="24"/>
          <w:szCs w:val="24"/>
        </w:rPr>
        <w:footnoteReference w:id="519"/>
      </w:r>
      <w:r w:rsidRPr="005F7752">
        <w:rPr>
          <w:rFonts w:ascii="Times New Roman" w:hAnsi="Times New Roman" w:cs="Times New Roman"/>
          <w:sz w:val="24"/>
          <w:szCs w:val="24"/>
          <w:vertAlign w:val="baseline"/>
        </w:rPr>
        <w:t xml:space="preserve"> Guinea worm</w:t>
      </w:r>
      <w:r w:rsidRPr="005F7752">
        <w:rPr>
          <w:rFonts w:ascii="Times New Roman" w:hAnsi="Times New Roman" w:cs="Times New Roman"/>
          <w:sz w:val="24"/>
          <w:szCs w:val="24"/>
        </w:rPr>
        <w:footnoteReference w:id="520"/>
      </w:r>
      <w:r w:rsidRPr="005F7752">
        <w:rPr>
          <w:rFonts w:ascii="Times New Roman" w:hAnsi="Times New Roman" w:cs="Times New Roman"/>
          <w:sz w:val="24"/>
          <w:szCs w:val="24"/>
          <w:vertAlign w:val="baseline"/>
        </w:rPr>
        <w:t xml:space="preserve"> and Malaria in the region are also often attributed to witchcraft. </w:t>
      </w:r>
    </w:p>
    <w:p w14:paraId="29530A55" w14:textId="77777777" w:rsidR="005F7752" w:rsidRPr="005F7752" w:rsidRDefault="005F7752" w:rsidP="005F7752">
      <w:pPr>
        <w:spacing w:line="480" w:lineRule="auto"/>
        <w:jc w:val="both"/>
        <w:rPr>
          <w:rFonts w:ascii="Times New Roman" w:hAnsi="Times New Roman" w:cs="Times New Roman"/>
          <w:b/>
          <w:sz w:val="24"/>
          <w:szCs w:val="24"/>
          <w:u w:val="single"/>
          <w:vertAlign w:val="baseline"/>
        </w:rPr>
      </w:pPr>
    </w:p>
    <w:p w14:paraId="71C03A5D" w14:textId="7C06803E" w:rsidR="005F7752" w:rsidRPr="004868EC" w:rsidRDefault="004868EC" w:rsidP="00B50189">
      <w:pPr>
        <w:spacing w:line="480" w:lineRule="auto"/>
        <w:jc w:val="both"/>
        <w:rPr>
          <w:rFonts w:ascii="Times New Roman" w:hAnsi="Times New Roman" w:cs="Times New Roman"/>
          <w:b/>
          <w:i/>
          <w:sz w:val="24"/>
          <w:szCs w:val="24"/>
          <w:vertAlign w:val="baseline"/>
        </w:rPr>
      </w:pPr>
      <w:r>
        <w:rPr>
          <w:rFonts w:ascii="Times New Roman" w:hAnsi="Times New Roman" w:cs="Times New Roman"/>
          <w:b/>
          <w:i/>
          <w:sz w:val="24"/>
          <w:szCs w:val="24"/>
          <w:vertAlign w:val="baseline"/>
        </w:rPr>
        <w:t>4</w:t>
      </w:r>
      <w:r w:rsidR="00B50189" w:rsidRPr="004868EC">
        <w:rPr>
          <w:rFonts w:ascii="Times New Roman" w:hAnsi="Times New Roman" w:cs="Times New Roman"/>
          <w:b/>
          <w:i/>
          <w:sz w:val="24"/>
          <w:szCs w:val="24"/>
          <w:vertAlign w:val="baseline"/>
        </w:rPr>
        <w:t xml:space="preserve">.4.2 </w:t>
      </w:r>
      <w:r w:rsidR="005F7752" w:rsidRPr="004868EC">
        <w:rPr>
          <w:rFonts w:ascii="Times New Roman" w:hAnsi="Times New Roman" w:cs="Times New Roman"/>
          <w:b/>
          <w:i/>
          <w:sz w:val="24"/>
          <w:szCs w:val="24"/>
          <w:vertAlign w:val="baseline"/>
        </w:rPr>
        <w:t>India</w:t>
      </w:r>
    </w:p>
    <w:p w14:paraId="768BF9AB" w14:textId="1D45A26E" w:rsidR="005F7752" w:rsidRPr="005F7752" w:rsidRDefault="005F7752" w:rsidP="006906F5">
      <w:pPr>
        <w:spacing w:line="480" w:lineRule="auto"/>
        <w:ind w:firstLine="720"/>
        <w:jc w:val="both"/>
        <w:rPr>
          <w:rFonts w:ascii="Times New Roman" w:hAnsi="Times New Roman" w:cs="Times New Roman"/>
          <w:sz w:val="24"/>
          <w:szCs w:val="24"/>
          <w:vertAlign w:val="baseline"/>
          <w:lang w:val="en-US"/>
        </w:rPr>
      </w:pPr>
      <w:r w:rsidRPr="005F7752">
        <w:rPr>
          <w:rFonts w:ascii="Times New Roman" w:hAnsi="Times New Roman" w:cs="Times New Roman"/>
          <w:sz w:val="24"/>
          <w:szCs w:val="24"/>
          <w:vertAlign w:val="baseline"/>
          <w:lang w:val="en-US"/>
        </w:rPr>
        <w:t>India, a British colony until 1947, is a densely populated country, comprising of 29 States and 7 Union Territories,</w:t>
      </w:r>
      <w:r w:rsidRPr="005F7752">
        <w:rPr>
          <w:rFonts w:ascii="Times New Roman" w:hAnsi="Times New Roman" w:cs="Times New Roman"/>
          <w:sz w:val="24"/>
          <w:szCs w:val="24"/>
          <w:lang w:val="en-US"/>
        </w:rPr>
        <w:footnoteReference w:id="521"/>
      </w:r>
      <w:r w:rsidRPr="005F7752">
        <w:rPr>
          <w:rFonts w:ascii="Times New Roman" w:hAnsi="Times New Roman" w:cs="Times New Roman"/>
          <w:sz w:val="24"/>
          <w:szCs w:val="24"/>
          <w:vertAlign w:val="baseline"/>
          <w:lang w:val="en-US"/>
        </w:rPr>
        <w:t xml:space="preserve"> with an estimated population of over 1.25 billion people</w:t>
      </w:r>
      <w:r w:rsidRPr="005F7752">
        <w:rPr>
          <w:rFonts w:ascii="Times New Roman" w:hAnsi="Times New Roman" w:cs="Times New Roman"/>
          <w:sz w:val="24"/>
          <w:szCs w:val="24"/>
          <w:lang w:val="en-US"/>
        </w:rPr>
        <w:footnoteReference w:id="522"/>
      </w:r>
      <w:r w:rsidRPr="005F7752">
        <w:rPr>
          <w:rFonts w:ascii="Times New Roman" w:hAnsi="Times New Roman" w:cs="Times New Roman"/>
          <w:sz w:val="24"/>
          <w:szCs w:val="24"/>
          <w:vertAlign w:val="baseline"/>
          <w:lang w:val="en-US"/>
        </w:rPr>
        <w:t xml:space="preserve"> and is arguably the most diverse country in the world, with a greater linguistic diversity than any other large country.</w:t>
      </w:r>
      <w:r w:rsidRPr="005F7752">
        <w:rPr>
          <w:rFonts w:ascii="Times New Roman" w:hAnsi="Times New Roman" w:cs="Times New Roman"/>
          <w:sz w:val="24"/>
          <w:szCs w:val="24"/>
          <w:lang w:val="en-US"/>
        </w:rPr>
        <w:footnoteReference w:id="523"/>
      </w:r>
      <w:r w:rsidRPr="005F7752">
        <w:rPr>
          <w:rFonts w:ascii="Times New Roman" w:hAnsi="Times New Roman" w:cs="Times New Roman"/>
          <w:sz w:val="24"/>
          <w:szCs w:val="24"/>
          <w:vertAlign w:val="baseline"/>
          <w:lang w:val="en-US"/>
        </w:rPr>
        <w:t xml:space="preserve"> In terms of religion, a 2001 Indian census on religion</w:t>
      </w:r>
      <w:r w:rsidRPr="005F7752">
        <w:rPr>
          <w:rFonts w:ascii="Times New Roman" w:hAnsi="Times New Roman" w:cs="Times New Roman"/>
          <w:sz w:val="24"/>
          <w:szCs w:val="24"/>
          <w:lang w:val="en-US"/>
        </w:rPr>
        <w:footnoteReference w:id="524"/>
      </w:r>
      <w:r w:rsidRPr="005F7752">
        <w:rPr>
          <w:rFonts w:ascii="Times New Roman" w:hAnsi="Times New Roman" w:cs="Times New Roman"/>
          <w:sz w:val="24"/>
          <w:szCs w:val="24"/>
          <w:vertAlign w:val="baseline"/>
          <w:lang w:val="en-US"/>
        </w:rPr>
        <w:t xml:space="preserve"> showed that the majority of the population are Hindu (80.5%), with 13.4% Muslim, 2.3% Christians, 1.9% Sikh, 0.8% Buddhists and 0.4% are Jain. Due to the predominance of Hinduism within India, India has, thus, inherited the caste system. The caste system is a dominant tradition, entrenched within the Hindu religion, which classifies people hierarchically and distinguishes Hinduism from other religions.</w:t>
      </w:r>
      <w:r w:rsidRPr="005F7752">
        <w:rPr>
          <w:rFonts w:ascii="Times New Roman" w:hAnsi="Times New Roman" w:cs="Times New Roman"/>
          <w:sz w:val="24"/>
          <w:szCs w:val="24"/>
          <w:lang w:val="en-US"/>
        </w:rPr>
        <w:footnoteReference w:id="525"/>
      </w:r>
      <w:r w:rsidRPr="005F7752">
        <w:rPr>
          <w:rFonts w:ascii="Times New Roman" w:hAnsi="Times New Roman" w:cs="Times New Roman"/>
          <w:sz w:val="24"/>
          <w:szCs w:val="24"/>
          <w:vertAlign w:val="baseline"/>
          <w:lang w:val="en-US"/>
        </w:rPr>
        <w:t xml:space="preserve"> There are four main castes, the Brahmins (priests and teachers), the highest caste engaged in scriptural education and teaching, the Kshatriya (warriors and rulers), the second highest caste engaged in public service, the Vaishya (Farmers, Merchants and Artisans), the third caste who engage in commercial activity and the Shudra (labourers), the lowest caste who work as semi and unskilled workers.</w:t>
      </w:r>
      <w:r w:rsidRPr="005F7752">
        <w:rPr>
          <w:rFonts w:ascii="Times New Roman" w:hAnsi="Times New Roman" w:cs="Times New Roman"/>
          <w:sz w:val="24"/>
          <w:szCs w:val="24"/>
          <w:lang w:val="en-US"/>
        </w:rPr>
        <w:footnoteReference w:id="526"/>
      </w:r>
      <w:r w:rsidRPr="005F7752">
        <w:rPr>
          <w:rFonts w:ascii="Times New Roman" w:hAnsi="Times New Roman" w:cs="Times New Roman"/>
          <w:sz w:val="24"/>
          <w:szCs w:val="24"/>
          <w:vertAlign w:val="baseline"/>
          <w:lang w:val="en-US"/>
        </w:rPr>
        <w:t xml:space="preserve"> Outside of the caste system are the Adivasi, an umbrella term used to describe India’s aboriginal tribes, and the Dalits (untouchables) who are the lowest class within Hindu society and are typically associated with occupations that are ‘ritually impure,’ such as removal of waste and carcasses.</w:t>
      </w:r>
      <w:r w:rsidRPr="005F7752">
        <w:rPr>
          <w:rFonts w:ascii="Times New Roman" w:hAnsi="Times New Roman" w:cs="Times New Roman"/>
          <w:sz w:val="24"/>
          <w:szCs w:val="24"/>
          <w:lang w:val="en-US"/>
        </w:rPr>
        <w:footnoteReference w:id="527"/>
      </w:r>
      <w:r w:rsidRPr="005F7752">
        <w:rPr>
          <w:rFonts w:ascii="Times New Roman" w:hAnsi="Times New Roman" w:cs="Times New Roman"/>
          <w:sz w:val="24"/>
          <w:szCs w:val="24"/>
          <w:vertAlign w:val="baseline"/>
          <w:lang w:val="en-US"/>
        </w:rPr>
        <w:t xml:space="preserve"> Thus, the nature of the caste system promotes multiple levels of discrimination and exploitation. </w:t>
      </w:r>
      <w:r w:rsidRPr="005F7752">
        <w:rPr>
          <w:rFonts w:ascii="Times New Roman" w:hAnsi="Times New Roman" w:cs="Times New Roman"/>
          <w:sz w:val="24"/>
          <w:szCs w:val="24"/>
          <w:vertAlign w:val="baseline"/>
        </w:rPr>
        <w:t>As documented by Human Rights Watch, ‘discriminatory and cruel, inhuman degrading treatment of over 165 million people in India has been justified on the basis of caste.’</w:t>
      </w:r>
      <w:r w:rsidRPr="005F7752">
        <w:rPr>
          <w:rFonts w:ascii="Times New Roman" w:hAnsi="Times New Roman" w:cs="Times New Roman"/>
          <w:sz w:val="24"/>
          <w:szCs w:val="24"/>
        </w:rPr>
        <w:footnoteReference w:id="528"/>
      </w:r>
    </w:p>
    <w:p w14:paraId="72F606EF" w14:textId="77777777" w:rsidR="005F7752" w:rsidRPr="005F7752" w:rsidRDefault="005F7752" w:rsidP="005F7752">
      <w:pPr>
        <w:spacing w:line="480" w:lineRule="auto"/>
        <w:jc w:val="both"/>
        <w:rPr>
          <w:rFonts w:ascii="Times New Roman" w:hAnsi="Times New Roman" w:cs="Times New Roman"/>
          <w:sz w:val="24"/>
          <w:szCs w:val="24"/>
          <w:vertAlign w:val="baseline"/>
          <w:lang w:val="en-US"/>
        </w:rPr>
      </w:pPr>
    </w:p>
    <w:p w14:paraId="6374FBBA" w14:textId="77777777" w:rsidR="005F7752" w:rsidRPr="005F7752" w:rsidRDefault="005F7752" w:rsidP="000A6FED">
      <w:pPr>
        <w:spacing w:line="480" w:lineRule="auto"/>
        <w:ind w:firstLine="720"/>
        <w:jc w:val="both"/>
        <w:rPr>
          <w:rFonts w:ascii="Times New Roman" w:hAnsi="Times New Roman" w:cs="Times New Roman"/>
          <w:sz w:val="24"/>
          <w:szCs w:val="24"/>
          <w:vertAlign w:val="baseline"/>
          <w:lang w:val="en-US"/>
        </w:rPr>
      </w:pPr>
      <w:r w:rsidRPr="005F7752">
        <w:rPr>
          <w:rFonts w:ascii="Times New Roman" w:hAnsi="Times New Roman" w:cs="Times New Roman"/>
          <w:sz w:val="24"/>
          <w:szCs w:val="24"/>
          <w:vertAlign w:val="baseline"/>
          <w:lang w:val="en-US"/>
        </w:rPr>
        <w:t>Violence against women is prevalent in India, with the caste system reinforcing the controlling, repressive nature of patriarchy. A poll by the Thomson Reuters Foundation,</w:t>
      </w:r>
      <w:r w:rsidRPr="005F7752">
        <w:rPr>
          <w:rFonts w:ascii="Times New Roman" w:hAnsi="Times New Roman" w:cs="Times New Roman"/>
          <w:sz w:val="24"/>
          <w:szCs w:val="24"/>
          <w:lang w:val="en-US"/>
        </w:rPr>
        <w:footnoteReference w:id="529"/>
      </w:r>
      <w:r w:rsidRPr="005F7752">
        <w:rPr>
          <w:rFonts w:ascii="Times New Roman" w:hAnsi="Times New Roman" w:cs="Times New Roman"/>
          <w:sz w:val="24"/>
          <w:szCs w:val="24"/>
          <w:vertAlign w:val="baseline"/>
          <w:lang w:val="en-US"/>
        </w:rPr>
        <w:t xml:space="preserve"> in which 213 experts, from five continents, ranked countries on six categories, ‘</w:t>
      </w:r>
      <w:r w:rsidRPr="005F7752">
        <w:rPr>
          <w:rFonts w:ascii="Times New Roman" w:hAnsi="Times New Roman" w:cs="Times New Roman"/>
          <w:sz w:val="24"/>
          <w:szCs w:val="24"/>
          <w:vertAlign w:val="baseline"/>
        </w:rPr>
        <w:t>health threats, sexual violence, non-sexual violence, harmful practices rooted in culture, tradition and/or religion, lack of access to economic resources and human trafficking,’</w:t>
      </w:r>
      <w:r w:rsidRPr="005F7752">
        <w:rPr>
          <w:rFonts w:ascii="Times New Roman" w:hAnsi="Times New Roman" w:cs="Times New Roman"/>
          <w:sz w:val="24"/>
          <w:szCs w:val="24"/>
        </w:rPr>
        <w:footnoteReference w:id="530"/>
      </w:r>
      <w:r w:rsidRPr="005F7752">
        <w:rPr>
          <w:rFonts w:ascii="Times New Roman" w:hAnsi="Times New Roman" w:cs="Times New Roman"/>
          <w:sz w:val="24"/>
          <w:szCs w:val="24"/>
          <w:vertAlign w:val="baseline"/>
        </w:rPr>
        <w:t xml:space="preserve"> reveals that India is the fourth most dangerous place in the world to be a woman.</w:t>
      </w:r>
      <w:r w:rsidRPr="005F7752">
        <w:rPr>
          <w:rFonts w:ascii="Times New Roman" w:hAnsi="Times New Roman" w:cs="Times New Roman"/>
          <w:sz w:val="24"/>
          <w:szCs w:val="24"/>
        </w:rPr>
        <w:footnoteReference w:id="531"/>
      </w:r>
      <w:r w:rsidRPr="005F7752">
        <w:rPr>
          <w:rFonts w:ascii="Times New Roman" w:hAnsi="Times New Roman" w:cs="Times New Roman"/>
          <w:sz w:val="24"/>
          <w:szCs w:val="24"/>
          <w:vertAlign w:val="baseline"/>
        </w:rPr>
        <w:t xml:space="preserve"> Whilst discrimination permeates all levels of the caste system, it is the Dalit women who are ‘victims of a collision of deep-rooted gender and caste discrimination,’</w:t>
      </w:r>
      <w:r w:rsidRPr="005F7752">
        <w:rPr>
          <w:rFonts w:ascii="Times New Roman" w:hAnsi="Times New Roman" w:cs="Times New Roman"/>
          <w:sz w:val="24"/>
          <w:szCs w:val="24"/>
        </w:rPr>
        <w:footnoteReference w:id="532"/>
      </w:r>
      <w:r w:rsidRPr="005F7752">
        <w:rPr>
          <w:rFonts w:ascii="Times New Roman" w:hAnsi="Times New Roman" w:cs="Times New Roman"/>
          <w:sz w:val="24"/>
          <w:szCs w:val="24"/>
          <w:vertAlign w:val="baseline"/>
        </w:rPr>
        <w:t xml:space="preserve"> and are particularly susceptible to WAP.</w:t>
      </w:r>
    </w:p>
    <w:p w14:paraId="19EA06FC" w14:textId="77777777" w:rsidR="005F7752" w:rsidRPr="005F7752" w:rsidRDefault="005F7752" w:rsidP="005F7752">
      <w:pPr>
        <w:spacing w:line="480" w:lineRule="auto"/>
        <w:jc w:val="both"/>
        <w:rPr>
          <w:rFonts w:ascii="Times New Roman" w:hAnsi="Times New Roman" w:cs="Times New Roman"/>
          <w:sz w:val="24"/>
          <w:szCs w:val="24"/>
          <w:vertAlign w:val="baseline"/>
        </w:rPr>
      </w:pPr>
    </w:p>
    <w:p w14:paraId="421AA10D" w14:textId="77777777" w:rsidR="005F7752" w:rsidRDefault="005F7752" w:rsidP="000A6FED">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Witchcraft accusations and persecution are extremely prevalent within India. As noted by the Witchcraft and Human Rights Information Network (WHRIN), in Asia the largest number of reports of witchcraft comes from India.</w:t>
      </w:r>
      <w:r w:rsidRPr="005F7752">
        <w:rPr>
          <w:rFonts w:ascii="Times New Roman" w:hAnsi="Times New Roman" w:cs="Times New Roman"/>
          <w:sz w:val="24"/>
          <w:szCs w:val="24"/>
        </w:rPr>
        <w:footnoteReference w:id="533"/>
      </w:r>
      <w:r w:rsidRPr="005F7752">
        <w:rPr>
          <w:rFonts w:ascii="Times New Roman" w:hAnsi="Times New Roman" w:cs="Times New Roman"/>
          <w:sz w:val="24"/>
          <w:szCs w:val="24"/>
          <w:vertAlign w:val="baseline"/>
        </w:rPr>
        <w:t xml:space="preserve"> Moreover, the UNDP ranks India 127</w:t>
      </w:r>
      <w:r w:rsidRPr="005F7752">
        <w:rPr>
          <w:rFonts w:ascii="Times New Roman" w:hAnsi="Times New Roman" w:cs="Times New Roman"/>
          <w:sz w:val="24"/>
          <w:szCs w:val="24"/>
        </w:rPr>
        <w:t>th</w:t>
      </w:r>
      <w:r w:rsidRPr="005F7752">
        <w:rPr>
          <w:rFonts w:ascii="Times New Roman" w:hAnsi="Times New Roman" w:cs="Times New Roman"/>
          <w:sz w:val="24"/>
          <w:szCs w:val="24"/>
          <w:vertAlign w:val="baseline"/>
        </w:rPr>
        <w:t xml:space="preserve"> out of 148 countries in terms of gender inequality.</w:t>
      </w:r>
      <w:r w:rsidRPr="005F7752">
        <w:rPr>
          <w:rFonts w:ascii="Times New Roman" w:hAnsi="Times New Roman" w:cs="Times New Roman"/>
          <w:sz w:val="24"/>
          <w:szCs w:val="24"/>
        </w:rPr>
        <w:footnoteReference w:id="534"/>
      </w:r>
      <w:r w:rsidRPr="005F7752">
        <w:rPr>
          <w:rFonts w:ascii="Times New Roman" w:hAnsi="Times New Roman" w:cs="Times New Roman"/>
          <w:sz w:val="24"/>
          <w:szCs w:val="24"/>
          <w:vertAlign w:val="baseline"/>
        </w:rPr>
        <w:t xml:space="preserve"> As stated by Mishra,</w:t>
      </w:r>
      <w:r w:rsidRPr="005F7752">
        <w:rPr>
          <w:rFonts w:ascii="Times New Roman" w:hAnsi="Times New Roman" w:cs="Times New Roman"/>
          <w:sz w:val="24"/>
          <w:szCs w:val="24"/>
        </w:rPr>
        <w:footnoteReference w:id="535"/>
      </w:r>
      <w:r w:rsidRPr="005F7752">
        <w:rPr>
          <w:rFonts w:ascii="Times New Roman" w:hAnsi="Times New Roman" w:cs="Times New Roman"/>
          <w:sz w:val="24"/>
          <w:szCs w:val="24"/>
          <w:vertAlign w:val="baseline"/>
        </w:rPr>
        <w:t xml:space="preserve"> when examining the National Crime Records Bureau, over 1791 women had died between 2001 and 2010 due to accusations of witchcraft. Women are, without doubt, the key targets for witchcraft accusations in Indian society. As Singh explains, </w:t>
      </w:r>
    </w:p>
    <w:p w14:paraId="462D75BF" w14:textId="77777777" w:rsidR="00034EC6" w:rsidRPr="005F7752" w:rsidRDefault="00034EC6" w:rsidP="000A6FED">
      <w:pPr>
        <w:spacing w:line="480" w:lineRule="auto"/>
        <w:ind w:firstLine="720"/>
        <w:jc w:val="both"/>
        <w:rPr>
          <w:rFonts w:ascii="Times New Roman" w:hAnsi="Times New Roman" w:cs="Times New Roman"/>
          <w:sz w:val="24"/>
          <w:szCs w:val="24"/>
          <w:vertAlign w:val="baseline"/>
        </w:rPr>
      </w:pPr>
    </w:p>
    <w:p w14:paraId="12A14FB5" w14:textId="77777777" w:rsidR="005F7752" w:rsidRPr="005F7752" w:rsidRDefault="005F7752" w:rsidP="00F540A1">
      <w:pPr>
        <w:spacing w:line="480" w:lineRule="auto"/>
        <w:ind w:left="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 xml:space="preserve">Witch-hunting is essentially a legacy of violence against women in our society. For almost invariable, it is women, especially Dalit or Adivasi women, who are branded as </w:t>
      </w:r>
      <w:r w:rsidRPr="005F7752">
        <w:rPr>
          <w:rFonts w:ascii="Times New Roman" w:hAnsi="Times New Roman" w:cs="Times New Roman"/>
          <w:i/>
          <w:sz w:val="24"/>
          <w:szCs w:val="24"/>
          <w:vertAlign w:val="baseline"/>
        </w:rPr>
        <w:t>dayans</w:t>
      </w:r>
      <w:r w:rsidRPr="005F7752">
        <w:rPr>
          <w:rFonts w:ascii="Times New Roman" w:hAnsi="Times New Roman" w:cs="Times New Roman"/>
          <w:sz w:val="24"/>
          <w:szCs w:val="24"/>
          <w:vertAlign w:val="baseline"/>
        </w:rPr>
        <w:t xml:space="preserve"> or witches. By punishing those who are seen as vile and wild, oppressors perhaps want to send a not-so-subtle message to women: docility and domesticity gets rewarded, anything else gets punished.</w:t>
      </w:r>
      <w:r w:rsidRPr="005F7752">
        <w:rPr>
          <w:rFonts w:ascii="Times New Roman" w:hAnsi="Times New Roman" w:cs="Times New Roman"/>
          <w:sz w:val="24"/>
          <w:szCs w:val="24"/>
        </w:rPr>
        <w:footnoteReference w:id="536"/>
      </w:r>
    </w:p>
    <w:p w14:paraId="39A3EA06" w14:textId="77777777" w:rsidR="00E83DCE" w:rsidRDefault="00E83DCE" w:rsidP="005F7752">
      <w:pPr>
        <w:spacing w:line="480" w:lineRule="auto"/>
        <w:jc w:val="both"/>
        <w:rPr>
          <w:rFonts w:ascii="Times New Roman" w:hAnsi="Times New Roman" w:cs="Times New Roman"/>
          <w:sz w:val="24"/>
          <w:szCs w:val="24"/>
          <w:vertAlign w:val="baseline"/>
        </w:rPr>
      </w:pPr>
    </w:p>
    <w:p w14:paraId="7742904C" w14:textId="7676BAD0" w:rsidR="001D7609" w:rsidRDefault="005F7752" w:rsidP="00E83DCE">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Historically, as observed in Europe, witchcraft killings have long been a part rural India’s history, as too has the devaluation and oppression of women.</w:t>
      </w:r>
      <w:r w:rsidRPr="005F7752">
        <w:rPr>
          <w:rFonts w:ascii="Times New Roman" w:hAnsi="Times New Roman" w:cs="Times New Roman"/>
          <w:sz w:val="24"/>
          <w:szCs w:val="24"/>
        </w:rPr>
        <w:footnoteReference w:id="537"/>
      </w:r>
      <w:r w:rsidRPr="005F7752">
        <w:rPr>
          <w:rFonts w:ascii="Times New Roman" w:hAnsi="Times New Roman" w:cs="Times New Roman"/>
          <w:sz w:val="24"/>
          <w:szCs w:val="24"/>
          <w:vertAlign w:val="baseline"/>
        </w:rPr>
        <w:t xml:space="preserve"> Whilst India is a deeply superstitious and religious country, superstition and religion are not the only reasons behind accusations of witchcraft. The caste system in India has provided a stark divide between the ‘educated and the uneducated.’</w:t>
      </w:r>
      <w:r w:rsidRPr="005F7752">
        <w:rPr>
          <w:rFonts w:ascii="Times New Roman" w:hAnsi="Times New Roman" w:cs="Times New Roman"/>
          <w:sz w:val="24"/>
          <w:szCs w:val="24"/>
        </w:rPr>
        <w:footnoteReference w:id="538"/>
      </w:r>
      <w:r w:rsidRPr="005F7752">
        <w:rPr>
          <w:rFonts w:ascii="Times New Roman" w:hAnsi="Times New Roman" w:cs="Times New Roman"/>
          <w:sz w:val="24"/>
          <w:szCs w:val="24"/>
          <w:vertAlign w:val="baseline"/>
        </w:rPr>
        <w:t xml:space="preserve"> Thus, accusations are predominant within the lower castes, rooted in land disputes, poverty, village politics or as punishment for the rebuffing of sexual advances. As noted by Singh, ‘identifying Dalit and Adivasi women as witches helps preserve caste structures or maintain upper-caste hegemony.’</w:t>
      </w:r>
      <w:r w:rsidRPr="005F7752">
        <w:rPr>
          <w:rFonts w:ascii="Times New Roman" w:hAnsi="Times New Roman" w:cs="Times New Roman"/>
          <w:sz w:val="24"/>
          <w:szCs w:val="24"/>
        </w:rPr>
        <w:footnoteReference w:id="539"/>
      </w:r>
      <w:r w:rsidRPr="005F7752">
        <w:rPr>
          <w:rFonts w:ascii="Times New Roman" w:hAnsi="Times New Roman" w:cs="Times New Roman"/>
          <w:sz w:val="24"/>
          <w:szCs w:val="24"/>
          <w:vertAlign w:val="baseline"/>
        </w:rPr>
        <w:t xml:space="preserve"> Moreover, witch killings appear to be particularly prevalent within certain states in India.</w:t>
      </w:r>
      <w:r w:rsidRPr="005F7752">
        <w:rPr>
          <w:rFonts w:ascii="Times New Roman" w:hAnsi="Times New Roman" w:cs="Times New Roman"/>
          <w:sz w:val="24"/>
          <w:szCs w:val="24"/>
        </w:rPr>
        <w:footnoteReference w:id="540"/>
      </w:r>
      <w:r w:rsidRPr="005F7752">
        <w:rPr>
          <w:rFonts w:ascii="Times New Roman" w:hAnsi="Times New Roman" w:cs="Times New Roman"/>
          <w:sz w:val="24"/>
          <w:szCs w:val="24"/>
          <w:vertAlign w:val="baseline"/>
        </w:rPr>
        <w:t xml:space="preserve">  Unlike Ghana, there are no witch-camps in India. In fact, in India those that survive witchcraft accusations a</w:t>
      </w:r>
      <w:r w:rsidR="007173A5">
        <w:rPr>
          <w:rFonts w:ascii="Times New Roman" w:hAnsi="Times New Roman" w:cs="Times New Roman"/>
          <w:sz w:val="24"/>
          <w:szCs w:val="24"/>
          <w:vertAlign w:val="baseline"/>
        </w:rPr>
        <w:t>re rare. Punishment allotted to</w:t>
      </w:r>
      <w:r w:rsidRPr="005F7752">
        <w:rPr>
          <w:rFonts w:ascii="Times New Roman" w:hAnsi="Times New Roman" w:cs="Times New Roman"/>
          <w:sz w:val="24"/>
          <w:szCs w:val="24"/>
          <w:vertAlign w:val="baseline"/>
        </w:rPr>
        <w:t xml:space="preserve"> alleged witches is severe and women are subjected to extreme forms of torture, both mentally and physically.</w:t>
      </w:r>
      <w:r w:rsidRPr="005F7752">
        <w:rPr>
          <w:rFonts w:ascii="Times New Roman" w:hAnsi="Times New Roman" w:cs="Times New Roman"/>
          <w:sz w:val="24"/>
          <w:szCs w:val="24"/>
        </w:rPr>
        <w:footnoteReference w:id="541"/>
      </w:r>
      <w:r w:rsidRPr="005F7752">
        <w:rPr>
          <w:rFonts w:ascii="Times New Roman" w:hAnsi="Times New Roman" w:cs="Times New Roman"/>
          <w:sz w:val="24"/>
          <w:szCs w:val="24"/>
          <w:vertAlign w:val="baseline"/>
        </w:rPr>
        <w:t xml:space="preserve"> The abuse is diverse, often taking place in front of the village community. Abuse may include the stripping of women, shaving their heads, ‘defanging’ (pulling her teeth out so they are no longer able to curse), public whipping/ branding, forcefully being fed human excreta, public hangings, hacked with machetes, ‘necklacing’ (placing a tyre around the neck of the victim and setting it alight) and being buried or burnt alive.</w:t>
      </w:r>
      <w:r w:rsidRPr="005F7752">
        <w:rPr>
          <w:rFonts w:ascii="Times New Roman" w:hAnsi="Times New Roman" w:cs="Times New Roman"/>
          <w:sz w:val="24"/>
          <w:szCs w:val="24"/>
        </w:rPr>
        <w:footnoteReference w:id="542"/>
      </w:r>
      <w:r w:rsidRPr="005F7752">
        <w:rPr>
          <w:rFonts w:ascii="Times New Roman" w:hAnsi="Times New Roman" w:cs="Times New Roman"/>
          <w:sz w:val="24"/>
          <w:szCs w:val="24"/>
          <w:vertAlign w:val="baseline"/>
        </w:rPr>
        <w:t xml:space="preserve"> </w:t>
      </w:r>
    </w:p>
    <w:p w14:paraId="4678A4E6" w14:textId="77777777" w:rsidR="001D7609" w:rsidRDefault="001D7609" w:rsidP="00E83DCE">
      <w:pPr>
        <w:spacing w:line="480" w:lineRule="auto"/>
        <w:ind w:firstLine="720"/>
        <w:jc w:val="both"/>
        <w:rPr>
          <w:rFonts w:ascii="Times New Roman" w:hAnsi="Times New Roman" w:cs="Times New Roman"/>
          <w:sz w:val="24"/>
          <w:szCs w:val="24"/>
          <w:vertAlign w:val="baseline"/>
        </w:rPr>
      </w:pPr>
    </w:p>
    <w:p w14:paraId="0EC489F9" w14:textId="3AC3AAD8" w:rsidR="005F7752" w:rsidRPr="005F7752" w:rsidRDefault="005F7752" w:rsidP="00E83DCE">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Documented reports include the murder of Dukalheen Bai, who died after she was stripped, beaten and tortured for hours by her brother-in-law Nakul Patel and several other family members in front of the village community on 27 October 2014 in Chhattisgarh.</w:t>
      </w:r>
      <w:r w:rsidRPr="005F7752">
        <w:rPr>
          <w:rFonts w:ascii="Times New Roman" w:hAnsi="Times New Roman" w:cs="Times New Roman"/>
          <w:sz w:val="24"/>
          <w:szCs w:val="24"/>
        </w:rPr>
        <w:footnoteReference w:id="543"/>
      </w:r>
      <w:r w:rsidRPr="005F7752">
        <w:rPr>
          <w:rFonts w:ascii="Times New Roman" w:hAnsi="Times New Roman" w:cs="Times New Roman"/>
          <w:sz w:val="24"/>
          <w:szCs w:val="24"/>
          <w:vertAlign w:val="baseline"/>
        </w:rPr>
        <w:t xml:space="preserve"> It was alleged by Nakul Patel that his sister-in-law had made his son ill through witchcraft. Similarly on 14 June 2014, in Jharkhand, a 70-year-old woman and her 42-year-old daughter-in-law were killed by a large number of village women, after being accused of witchcraft in a spate of recent deaths of their children.</w:t>
      </w:r>
      <w:r w:rsidRPr="005F7752">
        <w:rPr>
          <w:rFonts w:ascii="Times New Roman" w:hAnsi="Times New Roman" w:cs="Times New Roman"/>
          <w:sz w:val="24"/>
          <w:szCs w:val="24"/>
        </w:rPr>
        <w:footnoteReference w:id="544"/>
      </w:r>
      <w:r w:rsidRPr="005F7752">
        <w:rPr>
          <w:rFonts w:ascii="Times New Roman" w:hAnsi="Times New Roman" w:cs="Times New Roman"/>
          <w:sz w:val="24"/>
          <w:szCs w:val="24"/>
          <w:vertAlign w:val="baseline"/>
        </w:rPr>
        <w:t xml:space="preserve"> In Bihar, on 12 August 2014, </w:t>
      </w:r>
      <w:r w:rsidR="00221810">
        <w:rPr>
          <w:rFonts w:ascii="Times New Roman" w:hAnsi="Times New Roman" w:cs="Times New Roman"/>
          <w:sz w:val="24"/>
          <w:szCs w:val="24"/>
          <w:vertAlign w:val="baseline"/>
        </w:rPr>
        <w:t xml:space="preserve">a </w:t>
      </w:r>
      <w:r w:rsidR="00221810" w:rsidRPr="005F7752">
        <w:rPr>
          <w:rFonts w:ascii="Times New Roman" w:hAnsi="Times New Roman" w:cs="Times New Roman"/>
          <w:sz w:val="24"/>
          <w:szCs w:val="24"/>
          <w:vertAlign w:val="baseline"/>
        </w:rPr>
        <w:t>35-year-old</w:t>
      </w:r>
      <w:r w:rsidRPr="005F7752">
        <w:rPr>
          <w:rFonts w:ascii="Times New Roman" w:hAnsi="Times New Roman" w:cs="Times New Roman"/>
          <w:sz w:val="24"/>
          <w:szCs w:val="24"/>
          <w:vertAlign w:val="baseline"/>
        </w:rPr>
        <w:t xml:space="preserve"> Dalit woman was dragged out of her home, slapped, punched and forced to eat human faeces by a group of eleven </w:t>
      </w:r>
      <w:r w:rsidR="00F540A1">
        <w:rPr>
          <w:rFonts w:ascii="Times New Roman" w:hAnsi="Times New Roman" w:cs="Times New Roman"/>
          <w:sz w:val="24"/>
          <w:szCs w:val="24"/>
          <w:vertAlign w:val="baseline"/>
        </w:rPr>
        <w:t>villagers who attacked the woma</w:t>
      </w:r>
      <w:r w:rsidRPr="005F7752">
        <w:rPr>
          <w:rFonts w:ascii="Times New Roman" w:hAnsi="Times New Roman" w:cs="Times New Roman"/>
          <w:sz w:val="24"/>
          <w:szCs w:val="24"/>
          <w:vertAlign w:val="baseline"/>
        </w:rPr>
        <w:t>n whilst her husband was away. It is alleged that she has caused the death of another villager through witchcraft, who had died the previous week from an illness. There are numerous examples of such violence documented in the media daily, with government statistics</w:t>
      </w:r>
      <w:r w:rsidRPr="005F7752">
        <w:rPr>
          <w:rFonts w:ascii="Times New Roman" w:hAnsi="Times New Roman" w:cs="Times New Roman"/>
          <w:sz w:val="24"/>
          <w:szCs w:val="24"/>
        </w:rPr>
        <w:footnoteReference w:id="545"/>
      </w:r>
      <w:r w:rsidRPr="005F7752">
        <w:rPr>
          <w:rFonts w:ascii="Times New Roman" w:hAnsi="Times New Roman" w:cs="Times New Roman"/>
          <w:sz w:val="24"/>
          <w:szCs w:val="24"/>
          <w:vertAlign w:val="baseline"/>
        </w:rPr>
        <w:t xml:space="preserve"> showing that there was an increase in the cases of murder linked to witch hunts; 160 cases in 2013 compared to 119 cases in 2012. In the state of Jharkhand alone, witchcraft related murders accounted for 33.8% of all murders in the region; 54 out of 160 cases.</w:t>
      </w:r>
      <w:r w:rsidRPr="005F7752">
        <w:rPr>
          <w:rFonts w:ascii="Times New Roman" w:hAnsi="Times New Roman" w:cs="Times New Roman"/>
          <w:sz w:val="24"/>
          <w:szCs w:val="24"/>
        </w:rPr>
        <w:footnoteReference w:id="546"/>
      </w:r>
      <w:r w:rsidRPr="005F7752">
        <w:rPr>
          <w:rFonts w:ascii="Times New Roman" w:hAnsi="Times New Roman" w:cs="Times New Roman"/>
          <w:sz w:val="24"/>
          <w:szCs w:val="24"/>
          <w:vertAlign w:val="baseline"/>
        </w:rPr>
        <w:t xml:space="preserve"> Yet it is accepted that these reported incidents are only the tip of the iceberg. </w:t>
      </w:r>
    </w:p>
    <w:p w14:paraId="303CB38B" w14:textId="77777777" w:rsidR="00BD5013" w:rsidRDefault="00BD5013" w:rsidP="005F7752">
      <w:pPr>
        <w:spacing w:line="480" w:lineRule="auto"/>
        <w:jc w:val="both"/>
        <w:rPr>
          <w:rFonts w:ascii="Times New Roman" w:hAnsi="Times New Roman" w:cs="Times New Roman"/>
          <w:sz w:val="24"/>
          <w:szCs w:val="24"/>
          <w:vertAlign w:val="baseline"/>
        </w:rPr>
      </w:pPr>
    </w:p>
    <w:p w14:paraId="541F4984" w14:textId="7D90E064" w:rsidR="005F7752" w:rsidRPr="005F7752" w:rsidRDefault="005F7752" w:rsidP="00BD5013">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High levels of VAW in India have been also been documented in reports by Rashida Manjoo, the current SR on VAW and by Christof Heyns, the current SR on extrajudicial, summary or arbitrary executions. Despite the SR on torture placing a request in 1993 to visit India, there has been no response from India. As stated by Juan E. Mendez, the current SR on torture, ‘in the case of India, we have been asking to go to India for the last 25 years repeating our requests. We get no answer whatsoever.’</w:t>
      </w:r>
      <w:r w:rsidRPr="005F7752">
        <w:rPr>
          <w:rFonts w:ascii="Times New Roman" w:hAnsi="Times New Roman" w:cs="Times New Roman"/>
          <w:sz w:val="24"/>
          <w:szCs w:val="24"/>
        </w:rPr>
        <w:footnoteReference w:id="547"/>
      </w:r>
      <w:r w:rsidR="00BD5013">
        <w:rPr>
          <w:rFonts w:ascii="Times New Roman" w:hAnsi="Times New Roman" w:cs="Times New Roman"/>
          <w:sz w:val="24"/>
          <w:szCs w:val="24"/>
          <w:vertAlign w:val="baseline"/>
        </w:rPr>
        <w:t xml:space="preserve"> </w:t>
      </w:r>
      <w:r w:rsidRPr="005F7752">
        <w:rPr>
          <w:rFonts w:ascii="Times New Roman" w:hAnsi="Times New Roman" w:cs="Times New Roman"/>
          <w:sz w:val="24"/>
          <w:szCs w:val="24"/>
          <w:vertAlign w:val="baseline"/>
        </w:rPr>
        <w:t>The SR on VAW, Rashida Manjoo visited India from 22 April to 1 May 2013. The rationale for the visit was to examine VAW in India, including its root causes, consequences and the implications VAW has on women in India.</w:t>
      </w:r>
      <w:r w:rsidRPr="005F7752">
        <w:rPr>
          <w:rFonts w:ascii="Times New Roman" w:hAnsi="Times New Roman" w:cs="Times New Roman"/>
          <w:sz w:val="24"/>
          <w:szCs w:val="24"/>
        </w:rPr>
        <w:footnoteReference w:id="548"/>
      </w:r>
      <w:r w:rsidRPr="005F7752">
        <w:rPr>
          <w:rFonts w:ascii="Times New Roman" w:hAnsi="Times New Roman" w:cs="Times New Roman"/>
          <w:sz w:val="24"/>
          <w:szCs w:val="24"/>
          <w:vertAlign w:val="baseline"/>
        </w:rPr>
        <w:t xml:space="preserve"> In her report, Manjoo documents, ‘brutal acts of violence against women, including executions, commonly referred to as “witch-hunting.”’</w:t>
      </w:r>
      <w:r w:rsidRPr="005F7752">
        <w:rPr>
          <w:rFonts w:ascii="Times New Roman" w:hAnsi="Times New Roman" w:cs="Times New Roman"/>
          <w:sz w:val="24"/>
          <w:szCs w:val="24"/>
        </w:rPr>
        <w:footnoteReference w:id="549"/>
      </w:r>
      <w:r w:rsidRPr="005F7752">
        <w:rPr>
          <w:rFonts w:ascii="Times New Roman" w:hAnsi="Times New Roman" w:cs="Times New Roman"/>
          <w:sz w:val="24"/>
          <w:szCs w:val="24"/>
          <w:vertAlign w:val="baseline"/>
        </w:rPr>
        <w:t xml:space="preserve"> Manjoo notes that the stigma attached to women accused of witchcraft is </w:t>
      </w:r>
      <w:r w:rsidR="00666B4D" w:rsidRPr="005F7752">
        <w:rPr>
          <w:rFonts w:ascii="Times New Roman" w:hAnsi="Times New Roman" w:cs="Times New Roman"/>
          <w:sz w:val="24"/>
          <w:szCs w:val="24"/>
          <w:vertAlign w:val="baseline"/>
        </w:rPr>
        <w:t>life changing</w:t>
      </w:r>
      <w:r w:rsidRPr="005F7752">
        <w:rPr>
          <w:rFonts w:ascii="Times New Roman" w:hAnsi="Times New Roman" w:cs="Times New Roman"/>
          <w:sz w:val="24"/>
          <w:szCs w:val="24"/>
          <w:vertAlign w:val="baseline"/>
        </w:rPr>
        <w:t>, affecting family members across generations, with little or no official investigation into WAP.</w:t>
      </w:r>
      <w:r w:rsidRPr="005F7752">
        <w:rPr>
          <w:rFonts w:ascii="Times New Roman" w:hAnsi="Times New Roman" w:cs="Times New Roman"/>
          <w:sz w:val="24"/>
          <w:szCs w:val="24"/>
        </w:rPr>
        <w:footnoteReference w:id="550"/>
      </w:r>
      <w:r w:rsidRPr="005F7752">
        <w:rPr>
          <w:rFonts w:ascii="Times New Roman" w:hAnsi="Times New Roman" w:cs="Times New Roman"/>
          <w:sz w:val="24"/>
          <w:szCs w:val="24"/>
          <w:vertAlign w:val="baseline"/>
        </w:rPr>
        <w:t xml:space="preserve"> VAW in India, is systematic, occurring in both public and private spheres, underpinned by the ‘persistence of pat</w:t>
      </w:r>
      <w:r w:rsidR="006D7DAA">
        <w:rPr>
          <w:rFonts w:ascii="Times New Roman" w:hAnsi="Times New Roman" w:cs="Times New Roman"/>
          <w:sz w:val="24"/>
          <w:szCs w:val="24"/>
          <w:vertAlign w:val="baseline"/>
        </w:rPr>
        <w:t>riarchal social norms and inter</w:t>
      </w:r>
      <w:r w:rsidRPr="005F7752">
        <w:rPr>
          <w:rFonts w:ascii="Times New Roman" w:hAnsi="Times New Roman" w:cs="Times New Roman"/>
          <w:sz w:val="24"/>
          <w:szCs w:val="24"/>
          <w:vertAlign w:val="baseline"/>
        </w:rPr>
        <w:t xml:space="preserve"> and intra-gender hierarchies,’ with manifestations of VAW being a ‘reflection of the structural and institutional inequality that is a reality for most women in India.’</w:t>
      </w:r>
      <w:r w:rsidRPr="005F7752">
        <w:rPr>
          <w:rFonts w:ascii="Times New Roman" w:hAnsi="Times New Roman" w:cs="Times New Roman"/>
          <w:sz w:val="24"/>
          <w:szCs w:val="24"/>
        </w:rPr>
        <w:footnoteReference w:id="551"/>
      </w:r>
      <w:r w:rsidRPr="005F7752">
        <w:rPr>
          <w:rFonts w:ascii="Times New Roman" w:hAnsi="Times New Roman" w:cs="Times New Roman"/>
          <w:sz w:val="24"/>
          <w:szCs w:val="24"/>
          <w:vertAlign w:val="baseline"/>
        </w:rPr>
        <w:t xml:space="preserve"> On the issue of VAW, the SR recommends the Indian government undergo a process of ‘societal transformation, including awareness-raising, addressing gender stereotypes and women’s empowerment,’</w:t>
      </w:r>
      <w:r w:rsidRPr="005F7752">
        <w:rPr>
          <w:rFonts w:ascii="Times New Roman" w:hAnsi="Times New Roman" w:cs="Times New Roman"/>
          <w:sz w:val="24"/>
          <w:szCs w:val="24"/>
        </w:rPr>
        <w:footnoteReference w:id="552"/>
      </w:r>
      <w:r w:rsidRPr="005F7752">
        <w:rPr>
          <w:rFonts w:ascii="Times New Roman" w:hAnsi="Times New Roman" w:cs="Times New Roman"/>
          <w:sz w:val="24"/>
          <w:szCs w:val="24"/>
          <w:vertAlign w:val="baseline"/>
        </w:rPr>
        <w:t xml:space="preserve"> for police officers, who face the responsibility of filing complaints of VAW,</w:t>
      </w:r>
      <w:r w:rsidRPr="005F7752">
        <w:rPr>
          <w:rFonts w:ascii="Times New Roman" w:hAnsi="Times New Roman" w:cs="Times New Roman"/>
          <w:sz w:val="24"/>
          <w:szCs w:val="24"/>
        </w:rPr>
        <w:footnoteReference w:id="553"/>
      </w:r>
      <w:r w:rsidRPr="005F7752">
        <w:rPr>
          <w:rFonts w:ascii="Times New Roman" w:hAnsi="Times New Roman" w:cs="Times New Roman"/>
          <w:sz w:val="24"/>
          <w:szCs w:val="24"/>
          <w:vertAlign w:val="baseline"/>
        </w:rPr>
        <w:t xml:space="preserve"> on </w:t>
      </w:r>
      <w:r w:rsidR="006D7DAA">
        <w:rPr>
          <w:rFonts w:ascii="Times New Roman" w:hAnsi="Times New Roman" w:cs="Times New Roman"/>
          <w:sz w:val="24"/>
          <w:szCs w:val="24"/>
          <w:vertAlign w:val="baseline"/>
        </w:rPr>
        <w:t xml:space="preserve">a </w:t>
      </w:r>
      <w:r w:rsidRPr="005F7752">
        <w:rPr>
          <w:rFonts w:ascii="Times New Roman" w:hAnsi="Times New Roman" w:cs="Times New Roman"/>
          <w:sz w:val="24"/>
          <w:szCs w:val="24"/>
          <w:vertAlign w:val="baseline"/>
        </w:rPr>
        <w:t>community level, to educate about harmful customary practices such as witch-hunting,</w:t>
      </w:r>
      <w:r w:rsidRPr="005F7752">
        <w:rPr>
          <w:rFonts w:ascii="Times New Roman" w:hAnsi="Times New Roman" w:cs="Times New Roman"/>
          <w:sz w:val="24"/>
          <w:szCs w:val="24"/>
        </w:rPr>
        <w:footnoteReference w:id="554"/>
      </w:r>
      <w:r w:rsidRPr="005F7752">
        <w:rPr>
          <w:rFonts w:ascii="Times New Roman" w:hAnsi="Times New Roman" w:cs="Times New Roman"/>
          <w:sz w:val="24"/>
          <w:szCs w:val="24"/>
          <w:vertAlign w:val="baseline"/>
        </w:rPr>
        <w:t xml:space="preserve"> to the media, who should be trained and sensitised on VAW and women’s rights, so that they can contribute towards ‘changing cultural and social beliefs based on patriarchal norms that perpetuate harmful stereotypes and myths about women,’</w:t>
      </w:r>
      <w:r w:rsidRPr="005F7752">
        <w:rPr>
          <w:rFonts w:ascii="Times New Roman" w:hAnsi="Times New Roman" w:cs="Times New Roman"/>
          <w:sz w:val="24"/>
          <w:szCs w:val="24"/>
        </w:rPr>
        <w:footnoteReference w:id="555"/>
      </w:r>
      <w:r w:rsidRPr="005F7752">
        <w:rPr>
          <w:rFonts w:ascii="Times New Roman" w:hAnsi="Times New Roman" w:cs="Times New Roman"/>
          <w:sz w:val="24"/>
          <w:szCs w:val="24"/>
          <w:vertAlign w:val="baseline"/>
        </w:rPr>
        <w:t xml:space="preserve"> and on a professional level, including public officials, members of the judiciary and Parliament, health-care professionals and service providers.</w:t>
      </w:r>
      <w:r w:rsidRPr="005F7752">
        <w:rPr>
          <w:rFonts w:ascii="Times New Roman" w:hAnsi="Times New Roman" w:cs="Times New Roman"/>
          <w:sz w:val="24"/>
          <w:szCs w:val="24"/>
        </w:rPr>
        <w:footnoteReference w:id="556"/>
      </w:r>
      <w:r w:rsidRPr="005F7752">
        <w:rPr>
          <w:rFonts w:ascii="Times New Roman" w:hAnsi="Times New Roman" w:cs="Times New Roman"/>
          <w:sz w:val="24"/>
          <w:szCs w:val="24"/>
          <w:vertAlign w:val="baseline"/>
        </w:rPr>
        <w:t xml:space="preserve"> On 6 June 2014, India responded, unfavourably, to the report of the SR on VAW stating that, </w:t>
      </w:r>
    </w:p>
    <w:p w14:paraId="4F543DA5" w14:textId="77777777" w:rsidR="005F7752" w:rsidRPr="005F7752" w:rsidRDefault="005F7752" w:rsidP="00DB6B32">
      <w:pPr>
        <w:spacing w:line="480" w:lineRule="auto"/>
        <w:ind w:left="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India is forced to make certain observations on the Report of the SR as there are too many instances in the report that leads to a conclusion that the Report lacks full objectivity and exhibits a tendency to over-simplify the issues at hand. It is rather difficult to comprehend the reasons for the SR, who despite her learned experience, has taken a rather simplistic approach … the proclivity for making unsubstantiated yet sweeping generalisations is very high … which tends to point to either a lack of understanding of issues or a very high degree of prejudice …</w:t>
      </w:r>
      <w:r w:rsidRPr="005F7752">
        <w:rPr>
          <w:rFonts w:ascii="Times New Roman" w:hAnsi="Times New Roman" w:cs="Times New Roman"/>
          <w:sz w:val="24"/>
          <w:szCs w:val="24"/>
        </w:rPr>
        <w:footnoteReference w:id="557"/>
      </w:r>
      <w:r w:rsidRPr="005F7752">
        <w:rPr>
          <w:rFonts w:ascii="Times New Roman" w:hAnsi="Times New Roman" w:cs="Times New Roman"/>
          <w:sz w:val="24"/>
          <w:szCs w:val="24"/>
          <w:vertAlign w:val="baseline"/>
        </w:rPr>
        <w:t xml:space="preserve"> </w:t>
      </w:r>
    </w:p>
    <w:p w14:paraId="6DCDC3F9" w14:textId="77777777" w:rsidR="005F7752" w:rsidRPr="005F7752" w:rsidRDefault="005F7752" w:rsidP="005F7752">
      <w:pPr>
        <w:spacing w:line="480" w:lineRule="auto"/>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 xml:space="preserve"> </w:t>
      </w:r>
    </w:p>
    <w:p w14:paraId="09E409EB" w14:textId="77777777" w:rsidR="005F7752" w:rsidRDefault="005F7752" w:rsidP="00703833">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Specific reference is made within this report to the issue of VAW and witch-hunting. In paragraph three, India dismisses the labelling of VAW as ‘systematic,’ as per the SR’s report, stating that, ‘such a sweeping remark smacks of a highly prejudiced state of mind. It also fails to recognize that India, the world’s largest democracy, values and respects the rule of law as one of its major strengths.’</w:t>
      </w:r>
      <w:r w:rsidRPr="005F7752">
        <w:rPr>
          <w:rFonts w:ascii="Times New Roman" w:hAnsi="Times New Roman" w:cs="Times New Roman"/>
          <w:sz w:val="24"/>
          <w:szCs w:val="24"/>
        </w:rPr>
        <w:footnoteReference w:id="558"/>
      </w:r>
      <w:r w:rsidRPr="005F7752">
        <w:rPr>
          <w:rFonts w:ascii="Times New Roman" w:hAnsi="Times New Roman" w:cs="Times New Roman"/>
          <w:sz w:val="24"/>
          <w:szCs w:val="24"/>
          <w:vertAlign w:val="baseline"/>
        </w:rPr>
        <w:t xml:space="preserve"> Regarding the phenomenon of ‘witch-hunting’ India refers to the SR’s observations, which state that there is ‘little or no official investigations into such violence.’</w:t>
      </w:r>
      <w:r w:rsidRPr="005F7752">
        <w:rPr>
          <w:rFonts w:ascii="Times New Roman" w:hAnsi="Times New Roman" w:cs="Times New Roman"/>
          <w:sz w:val="24"/>
          <w:szCs w:val="24"/>
        </w:rPr>
        <w:footnoteReference w:id="559"/>
      </w:r>
      <w:r w:rsidRPr="005F7752">
        <w:rPr>
          <w:rFonts w:ascii="Times New Roman" w:hAnsi="Times New Roman" w:cs="Times New Roman"/>
          <w:sz w:val="24"/>
          <w:szCs w:val="24"/>
          <w:vertAlign w:val="baseline"/>
        </w:rPr>
        <w:t xml:space="preserve"> In response, India alleges that,</w:t>
      </w:r>
    </w:p>
    <w:p w14:paraId="590AF8F3" w14:textId="77777777" w:rsidR="00034EC6" w:rsidRPr="005F7752" w:rsidRDefault="00034EC6" w:rsidP="00703833">
      <w:pPr>
        <w:spacing w:line="480" w:lineRule="auto"/>
        <w:ind w:firstLine="720"/>
        <w:jc w:val="both"/>
        <w:rPr>
          <w:rFonts w:ascii="Times New Roman" w:hAnsi="Times New Roman" w:cs="Times New Roman"/>
          <w:sz w:val="24"/>
          <w:szCs w:val="24"/>
          <w:vertAlign w:val="baseline"/>
        </w:rPr>
      </w:pPr>
    </w:p>
    <w:p w14:paraId="0C5D2390" w14:textId="77777777" w:rsidR="005F7752" w:rsidRPr="005F7752" w:rsidRDefault="005F7752" w:rsidP="00DB6B32">
      <w:pPr>
        <w:spacing w:line="480" w:lineRule="auto"/>
        <w:ind w:left="720"/>
        <w:jc w:val="both"/>
        <w:rPr>
          <w:rFonts w:ascii="Times New Roman" w:hAnsi="Times New Roman" w:cs="Times New Roman"/>
          <w:b/>
          <w:sz w:val="24"/>
          <w:szCs w:val="24"/>
          <w:u w:val="single"/>
          <w:vertAlign w:val="baseline"/>
        </w:rPr>
      </w:pPr>
      <w:r w:rsidRPr="005F7752">
        <w:rPr>
          <w:rFonts w:ascii="Times New Roman" w:hAnsi="Times New Roman" w:cs="Times New Roman"/>
          <w:sz w:val="24"/>
          <w:szCs w:val="24"/>
          <w:vertAlign w:val="baseline"/>
        </w:rPr>
        <w:t>By placing this paragraph after remarks that say “sexual violence including rape and sexual harassment are widespread across the country”, the report makes it appear as if this (witch-hunting) is a national phenomenon. Taking such isolated local incidents and generalizing them for the entire country brings into question the understanding of the Special Rapporteur has of the issue as well as of the country.</w:t>
      </w:r>
      <w:r w:rsidRPr="005F7752">
        <w:rPr>
          <w:rFonts w:ascii="Times New Roman" w:hAnsi="Times New Roman" w:cs="Times New Roman"/>
          <w:sz w:val="24"/>
          <w:szCs w:val="24"/>
        </w:rPr>
        <w:footnoteReference w:id="560"/>
      </w:r>
    </w:p>
    <w:p w14:paraId="6C29FEB6" w14:textId="77777777" w:rsidR="005F7752" w:rsidRPr="005F7752" w:rsidRDefault="005F7752" w:rsidP="005F7752">
      <w:pPr>
        <w:spacing w:line="480" w:lineRule="auto"/>
        <w:jc w:val="both"/>
        <w:rPr>
          <w:rFonts w:ascii="Times New Roman" w:hAnsi="Times New Roman" w:cs="Times New Roman"/>
          <w:b/>
          <w:sz w:val="24"/>
          <w:szCs w:val="24"/>
          <w:u w:val="single"/>
          <w:vertAlign w:val="baseline"/>
        </w:rPr>
      </w:pPr>
    </w:p>
    <w:p w14:paraId="605851A8" w14:textId="19A88EB9" w:rsidR="005F7752" w:rsidRDefault="005F7752" w:rsidP="00E45F63">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The SR on extrajudicial, summary or arbitrary executions, Christof Heyns, conducted his most recent visit to India from 19 to 30 March 2012.</w:t>
      </w:r>
      <w:r w:rsidRPr="005F7752">
        <w:rPr>
          <w:rFonts w:ascii="Times New Roman" w:hAnsi="Times New Roman" w:cs="Times New Roman"/>
          <w:sz w:val="24"/>
          <w:szCs w:val="24"/>
        </w:rPr>
        <w:footnoteReference w:id="561"/>
      </w:r>
      <w:r w:rsidRPr="005F7752">
        <w:rPr>
          <w:rFonts w:ascii="Times New Roman" w:hAnsi="Times New Roman" w:cs="Times New Roman"/>
          <w:sz w:val="24"/>
          <w:szCs w:val="24"/>
          <w:vertAlign w:val="baseline"/>
        </w:rPr>
        <w:t xml:space="preserve"> Whilst the SR observes that there are many positive elements to India’s human rights situation, he also expressed concern at the level of extrajudicial executions in India, including women, who are at ‘particular risk of killing.’</w:t>
      </w:r>
      <w:r w:rsidRPr="005F7752">
        <w:rPr>
          <w:rFonts w:ascii="Times New Roman" w:hAnsi="Times New Roman" w:cs="Times New Roman"/>
          <w:sz w:val="24"/>
          <w:szCs w:val="24"/>
        </w:rPr>
        <w:footnoteReference w:id="562"/>
      </w:r>
      <w:r w:rsidRPr="005F7752">
        <w:rPr>
          <w:rFonts w:ascii="Times New Roman" w:hAnsi="Times New Roman" w:cs="Times New Roman"/>
          <w:sz w:val="24"/>
          <w:szCs w:val="24"/>
          <w:vertAlign w:val="baseline"/>
        </w:rPr>
        <w:t xml:space="preserve"> Heyns devotes a section to witch-killings within his report,</w:t>
      </w:r>
      <w:r w:rsidRPr="005F7752">
        <w:rPr>
          <w:rFonts w:ascii="Times New Roman" w:hAnsi="Times New Roman" w:cs="Times New Roman"/>
          <w:sz w:val="24"/>
          <w:szCs w:val="24"/>
        </w:rPr>
        <w:footnoteReference w:id="563"/>
      </w:r>
      <w:r w:rsidRPr="005F7752">
        <w:rPr>
          <w:rFonts w:ascii="Times New Roman" w:hAnsi="Times New Roman" w:cs="Times New Roman"/>
          <w:sz w:val="24"/>
          <w:szCs w:val="24"/>
          <w:vertAlign w:val="baseline"/>
        </w:rPr>
        <w:t xml:space="preserve"> noting that the phenomenon is prevalent amongst poorer members of the population and ‘appears to be largely directed at women.’</w:t>
      </w:r>
      <w:r w:rsidRPr="005F7752">
        <w:rPr>
          <w:rFonts w:ascii="Times New Roman" w:hAnsi="Times New Roman" w:cs="Times New Roman"/>
          <w:sz w:val="24"/>
          <w:szCs w:val="24"/>
        </w:rPr>
        <w:footnoteReference w:id="564"/>
      </w:r>
      <w:r w:rsidRPr="005F7752">
        <w:rPr>
          <w:rFonts w:ascii="Times New Roman" w:hAnsi="Times New Roman" w:cs="Times New Roman"/>
          <w:sz w:val="24"/>
          <w:szCs w:val="24"/>
          <w:vertAlign w:val="baseline"/>
        </w:rPr>
        <w:t xml:space="preserve"> Despite an increase in the number of reported deaths due to witchcraft, Indian authorities informed the SR that ‘witch killings did not warrant his concern.’</w:t>
      </w:r>
      <w:r w:rsidRPr="005F7752">
        <w:rPr>
          <w:rFonts w:ascii="Times New Roman" w:hAnsi="Times New Roman" w:cs="Times New Roman"/>
          <w:sz w:val="24"/>
          <w:szCs w:val="24"/>
        </w:rPr>
        <w:footnoteReference w:id="565"/>
      </w:r>
      <w:r w:rsidRPr="005F7752">
        <w:rPr>
          <w:rFonts w:ascii="Times New Roman" w:hAnsi="Times New Roman" w:cs="Times New Roman"/>
          <w:sz w:val="24"/>
          <w:szCs w:val="24"/>
          <w:vertAlign w:val="baseline"/>
        </w:rPr>
        <w:t xml:space="preserve"> The Indian government responded to this on 27 May 2013, stating that,</w:t>
      </w:r>
    </w:p>
    <w:p w14:paraId="14FD76F2" w14:textId="77777777" w:rsidR="00034EC6" w:rsidRPr="005F7752" w:rsidRDefault="00034EC6" w:rsidP="00E45F63">
      <w:pPr>
        <w:spacing w:line="480" w:lineRule="auto"/>
        <w:ind w:firstLine="720"/>
        <w:jc w:val="both"/>
        <w:rPr>
          <w:rFonts w:ascii="Times New Roman" w:hAnsi="Times New Roman" w:cs="Times New Roman"/>
          <w:sz w:val="24"/>
          <w:szCs w:val="24"/>
          <w:vertAlign w:val="baseline"/>
        </w:rPr>
      </w:pPr>
    </w:p>
    <w:p w14:paraId="37419537" w14:textId="39FD49CD" w:rsidR="005F7752" w:rsidRPr="005F7752" w:rsidRDefault="005F7752" w:rsidP="00DB6B32">
      <w:pPr>
        <w:spacing w:line="480" w:lineRule="auto"/>
        <w:ind w:left="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In its discussion on the issue of witch</w:t>
      </w:r>
      <w:r w:rsidR="006D7DAA">
        <w:rPr>
          <w:rFonts w:ascii="Times New Roman" w:hAnsi="Times New Roman" w:cs="Times New Roman"/>
          <w:sz w:val="24"/>
          <w:szCs w:val="24"/>
          <w:vertAlign w:val="baseline"/>
        </w:rPr>
        <w:t xml:space="preserve"> killings</w:t>
      </w:r>
      <w:r w:rsidRPr="005F7752">
        <w:rPr>
          <w:rFonts w:ascii="Times New Roman" w:hAnsi="Times New Roman" w:cs="Times New Roman"/>
          <w:sz w:val="24"/>
          <w:szCs w:val="24"/>
          <w:vertAlign w:val="baseline"/>
        </w:rPr>
        <w:t>, in paragraph 62, the report states that ‘The Special Rapporteur heard from the Indian authorities that witch killings did not warrant his concern.’ This assertion is uncalled for as no Indian authority has done so. On the contrary, localized problems are acknowledged and tackled at local levels by State authorities.</w:t>
      </w:r>
      <w:r w:rsidRPr="005F7752">
        <w:rPr>
          <w:rFonts w:ascii="Times New Roman" w:hAnsi="Times New Roman" w:cs="Times New Roman"/>
          <w:sz w:val="24"/>
          <w:szCs w:val="24"/>
        </w:rPr>
        <w:t xml:space="preserve"> </w:t>
      </w:r>
      <w:r w:rsidRPr="005F7752">
        <w:rPr>
          <w:rFonts w:ascii="Times New Roman" w:hAnsi="Times New Roman" w:cs="Times New Roman"/>
          <w:sz w:val="24"/>
          <w:szCs w:val="24"/>
        </w:rPr>
        <w:footnoteReference w:id="566"/>
      </w:r>
    </w:p>
    <w:p w14:paraId="098B3B50" w14:textId="77777777" w:rsidR="005F7752" w:rsidRPr="005F7752" w:rsidRDefault="005F7752" w:rsidP="005F7752">
      <w:pPr>
        <w:spacing w:line="480" w:lineRule="auto"/>
        <w:jc w:val="both"/>
        <w:rPr>
          <w:rFonts w:ascii="Times New Roman" w:hAnsi="Times New Roman" w:cs="Times New Roman"/>
          <w:sz w:val="24"/>
          <w:szCs w:val="24"/>
          <w:vertAlign w:val="baseline"/>
        </w:rPr>
      </w:pPr>
    </w:p>
    <w:p w14:paraId="3D6F2130" w14:textId="49F11E54" w:rsidR="005F7752" w:rsidRPr="005F7752" w:rsidRDefault="005F7752" w:rsidP="00E45F63">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 xml:space="preserve">Whilst there is legislation already in place in the states of Bihar, Jharkhand and </w:t>
      </w:r>
      <w:r w:rsidR="00DD62D3" w:rsidRPr="005F7752">
        <w:rPr>
          <w:rFonts w:ascii="Times New Roman" w:hAnsi="Times New Roman" w:cs="Times New Roman"/>
          <w:sz w:val="24"/>
          <w:szCs w:val="24"/>
          <w:vertAlign w:val="baseline"/>
        </w:rPr>
        <w:t>Chhattisgarh</w:t>
      </w:r>
      <w:r w:rsidRPr="005F7752">
        <w:rPr>
          <w:rFonts w:ascii="Times New Roman" w:hAnsi="Times New Roman" w:cs="Times New Roman"/>
          <w:sz w:val="24"/>
          <w:szCs w:val="24"/>
          <w:vertAlign w:val="baseline"/>
        </w:rPr>
        <w:t>, the SR noted that the punishment was insufficient when considering the long-term negative impact on the victims.</w:t>
      </w:r>
      <w:r w:rsidRPr="005F7752">
        <w:rPr>
          <w:rFonts w:ascii="Times New Roman" w:hAnsi="Times New Roman" w:cs="Times New Roman"/>
          <w:sz w:val="24"/>
          <w:szCs w:val="24"/>
        </w:rPr>
        <w:footnoteReference w:id="567"/>
      </w:r>
      <w:r w:rsidRPr="005F7752">
        <w:rPr>
          <w:rFonts w:ascii="Times New Roman" w:hAnsi="Times New Roman" w:cs="Times New Roman"/>
          <w:sz w:val="24"/>
          <w:szCs w:val="24"/>
          <w:vertAlign w:val="baseline"/>
        </w:rPr>
        <w:t xml:space="preserve"> In terms of witnesses, the SR was informed that many are unwilling to provide statements, due to fear of repercussions, or because ‘they regard death as an appropriate punishment.’</w:t>
      </w:r>
      <w:r w:rsidRPr="005F7752">
        <w:rPr>
          <w:rFonts w:ascii="Times New Roman" w:hAnsi="Times New Roman" w:cs="Times New Roman"/>
          <w:sz w:val="24"/>
          <w:szCs w:val="24"/>
        </w:rPr>
        <w:footnoteReference w:id="568"/>
      </w:r>
      <w:r w:rsidRPr="005F7752">
        <w:rPr>
          <w:rFonts w:ascii="Times New Roman" w:hAnsi="Times New Roman" w:cs="Times New Roman"/>
          <w:sz w:val="24"/>
          <w:szCs w:val="24"/>
          <w:vertAlign w:val="baseline"/>
        </w:rPr>
        <w:t xml:space="preserve"> The SR also noted that the large numbers of killings of persons belonging to the lower castes, such as scheduled castes or tribes, related to witchcraft accusations, due to their low social status and vulnerability.</w:t>
      </w:r>
      <w:r w:rsidRPr="005F7752">
        <w:rPr>
          <w:rFonts w:ascii="Times New Roman" w:hAnsi="Times New Roman" w:cs="Times New Roman"/>
          <w:sz w:val="24"/>
          <w:szCs w:val="24"/>
        </w:rPr>
        <w:footnoteReference w:id="569"/>
      </w:r>
      <w:r w:rsidRPr="005F7752">
        <w:rPr>
          <w:rFonts w:ascii="Times New Roman" w:hAnsi="Times New Roman" w:cs="Times New Roman"/>
          <w:sz w:val="24"/>
          <w:szCs w:val="24"/>
          <w:vertAlign w:val="baseline"/>
        </w:rPr>
        <w:t xml:space="preserve"> As regards vulnerability, the SR recommends that information and awareness-raising campaigns should be launched, with a particular focus on vulnerable people such as women and lower caste members, to increase the level of knowledge on human rights and access to justice.</w:t>
      </w:r>
      <w:r w:rsidRPr="005F7752">
        <w:rPr>
          <w:rFonts w:ascii="Times New Roman" w:hAnsi="Times New Roman" w:cs="Times New Roman"/>
          <w:sz w:val="24"/>
          <w:szCs w:val="24"/>
        </w:rPr>
        <w:footnoteReference w:id="570"/>
      </w:r>
      <w:r w:rsidRPr="005F7752">
        <w:rPr>
          <w:rFonts w:ascii="Times New Roman" w:hAnsi="Times New Roman" w:cs="Times New Roman"/>
          <w:sz w:val="24"/>
          <w:szCs w:val="24"/>
          <w:vertAlign w:val="baseline"/>
        </w:rPr>
        <w:t xml:space="preserve"> In concluding, the SR noted that the central problem, within India, is impunity.</w:t>
      </w:r>
      <w:r w:rsidRPr="005F7752">
        <w:rPr>
          <w:rFonts w:ascii="Times New Roman" w:hAnsi="Times New Roman" w:cs="Times New Roman"/>
          <w:sz w:val="24"/>
          <w:szCs w:val="24"/>
        </w:rPr>
        <w:footnoteReference w:id="571"/>
      </w:r>
      <w:r w:rsidRPr="005F7752">
        <w:rPr>
          <w:rFonts w:ascii="Times New Roman" w:hAnsi="Times New Roman" w:cs="Times New Roman"/>
          <w:sz w:val="24"/>
          <w:szCs w:val="24"/>
          <w:vertAlign w:val="baseline"/>
        </w:rPr>
        <w:t xml:space="preserve"> Whilst the required structures are in place to decrease extrajudicial executions, there is a need for a ‘concerted and systematic effort’</w:t>
      </w:r>
      <w:r w:rsidRPr="005F7752">
        <w:rPr>
          <w:rFonts w:ascii="Times New Roman" w:hAnsi="Times New Roman" w:cs="Times New Roman"/>
          <w:sz w:val="24"/>
          <w:szCs w:val="24"/>
        </w:rPr>
        <w:footnoteReference w:id="572"/>
      </w:r>
      <w:r w:rsidRPr="005F7752">
        <w:rPr>
          <w:rFonts w:ascii="Times New Roman" w:hAnsi="Times New Roman" w:cs="Times New Roman"/>
          <w:sz w:val="24"/>
          <w:szCs w:val="24"/>
          <w:vertAlign w:val="baseline"/>
        </w:rPr>
        <w:t xml:space="preserve"> by the State, civil society and the public. In respect of all forms of killings of women, the SR recommends the need for ‘increased sensitisation and orientation programmes’</w:t>
      </w:r>
      <w:r w:rsidRPr="005F7752">
        <w:rPr>
          <w:rFonts w:ascii="Times New Roman" w:hAnsi="Times New Roman" w:cs="Times New Roman"/>
          <w:sz w:val="24"/>
          <w:szCs w:val="24"/>
        </w:rPr>
        <w:footnoteReference w:id="573"/>
      </w:r>
      <w:r w:rsidRPr="005F7752">
        <w:rPr>
          <w:rFonts w:ascii="Times New Roman" w:hAnsi="Times New Roman" w:cs="Times New Roman"/>
          <w:sz w:val="24"/>
          <w:szCs w:val="24"/>
          <w:vertAlign w:val="baseline"/>
        </w:rPr>
        <w:t xml:space="preserve"> to be undertaken by the police, judiciary and the public, particularly in the areas most affected. In terms of human rights obligations, the SR recommends that India should ratify, amongst others, the CAT and the Optional Protocol to CEDAW, with a review of all criminal legislation, to ensure that gender based killings, together with those of lower castes, receive high sentences.</w:t>
      </w:r>
      <w:r w:rsidRPr="005F7752">
        <w:rPr>
          <w:rFonts w:ascii="Times New Roman" w:hAnsi="Times New Roman" w:cs="Times New Roman"/>
          <w:sz w:val="24"/>
          <w:szCs w:val="24"/>
        </w:rPr>
        <w:footnoteReference w:id="574"/>
      </w:r>
      <w:r w:rsidRPr="005F7752">
        <w:rPr>
          <w:rFonts w:ascii="Times New Roman" w:hAnsi="Times New Roman" w:cs="Times New Roman"/>
          <w:sz w:val="24"/>
          <w:szCs w:val="24"/>
          <w:vertAlign w:val="baseline"/>
        </w:rPr>
        <w:t xml:space="preserve"> </w:t>
      </w:r>
    </w:p>
    <w:p w14:paraId="533B2291" w14:textId="77777777" w:rsidR="00580FD7" w:rsidRDefault="00580FD7" w:rsidP="005F7752">
      <w:pPr>
        <w:spacing w:line="480" w:lineRule="auto"/>
        <w:jc w:val="both"/>
        <w:rPr>
          <w:rFonts w:ascii="Times New Roman" w:hAnsi="Times New Roman" w:cs="Times New Roman"/>
          <w:sz w:val="24"/>
          <w:szCs w:val="24"/>
          <w:vertAlign w:val="baseline"/>
        </w:rPr>
      </w:pPr>
    </w:p>
    <w:p w14:paraId="2E5F723C" w14:textId="5AC8CE45" w:rsidR="00295042" w:rsidRDefault="005F7752" w:rsidP="00034EC6">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On 6 May 2015, the SR produced a follow up report, documenting the steps India has taken to address human rights violations.</w:t>
      </w:r>
      <w:r w:rsidRPr="005F7752">
        <w:rPr>
          <w:rFonts w:ascii="Times New Roman" w:hAnsi="Times New Roman" w:cs="Times New Roman"/>
          <w:sz w:val="24"/>
          <w:szCs w:val="24"/>
        </w:rPr>
        <w:footnoteReference w:id="575"/>
      </w:r>
      <w:r w:rsidRPr="005F7752">
        <w:rPr>
          <w:rFonts w:ascii="Times New Roman" w:hAnsi="Times New Roman" w:cs="Times New Roman"/>
          <w:sz w:val="24"/>
          <w:szCs w:val="24"/>
          <w:vertAlign w:val="baseline"/>
        </w:rPr>
        <w:t xml:space="preserve"> The SR welcomed the response of India, regarding the acknowledgment and challenging of WAP, at local level, by state authorities.</w:t>
      </w:r>
      <w:r w:rsidRPr="005F7752">
        <w:rPr>
          <w:rFonts w:ascii="Times New Roman" w:hAnsi="Times New Roman" w:cs="Times New Roman"/>
          <w:sz w:val="24"/>
          <w:szCs w:val="24"/>
        </w:rPr>
        <w:footnoteReference w:id="576"/>
      </w:r>
      <w:r w:rsidRPr="005F7752">
        <w:rPr>
          <w:rFonts w:ascii="Times New Roman" w:hAnsi="Times New Roman" w:cs="Times New Roman"/>
          <w:sz w:val="24"/>
          <w:szCs w:val="24"/>
          <w:vertAlign w:val="baseline"/>
        </w:rPr>
        <w:t xml:space="preserve"> However, concern was expressed at the lack of punishment for offenders of WAP, in light of the stigma, public humiliation, and violence, and, in many cases, death, of victims. This was apparent in rural areas, where women with no financial means were unable to gain access to justice, including reluctance by the police to register and investigate incidents of WAP.</w:t>
      </w:r>
      <w:r w:rsidRPr="005F7752">
        <w:rPr>
          <w:rFonts w:ascii="Times New Roman" w:hAnsi="Times New Roman" w:cs="Times New Roman"/>
          <w:sz w:val="24"/>
          <w:szCs w:val="24"/>
        </w:rPr>
        <w:footnoteReference w:id="577"/>
      </w:r>
      <w:r w:rsidRPr="005F7752">
        <w:rPr>
          <w:rFonts w:ascii="Times New Roman" w:hAnsi="Times New Roman" w:cs="Times New Roman"/>
          <w:sz w:val="24"/>
          <w:szCs w:val="24"/>
          <w:vertAlign w:val="baseline"/>
        </w:rPr>
        <w:t xml:space="preserve"> Furthermore, the SR noted the challenges in respect of witnesses, who face fear and societal pressures, and the failure of the state to implement an effective witness and victim protection programme.</w:t>
      </w:r>
    </w:p>
    <w:p w14:paraId="50604BD2" w14:textId="77777777" w:rsidR="005F7752" w:rsidRPr="005F7752" w:rsidRDefault="005F7752" w:rsidP="00295042">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India continues to state that official investigations are always conducted when a complaint is registered or an incident is brought to their attention.</w:t>
      </w:r>
      <w:r w:rsidRPr="005F7752">
        <w:rPr>
          <w:rFonts w:ascii="Times New Roman" w:hAnsi="Times New Roman" w:cs="Times New Roman"/>
          <w:sz w:val="24"/>
          <w:szCs w:val="24"/>
        </w:rPr>
        <w:footnoteReference w:id="578"/>
      </w:r>
      <w:r w:rsidRPr="005F7752">
        <w:rPr>
          <w:rFonts w:ascii="Times New Roman" w:hAnsi="Times New Roman" w:cs="Times New Roman"/>
          <w:sz w:val="24"/>
          <w:szCs w:val="24"/>
          <w:vertAlign w:val="baseline"/>
        </w:rPr>
        <w:t xml:space="preserve"> Despite India’s denial, civil society and media reports portray a very different story, with incidents of WAP and lack of justice documented on an almost daily basis.</w:t>
      </w:r>
      <w:r w:rsidRPr="005F7752">
        <w:rPr>
          <w:rFonts w:ascii="Times New Roman" w:hAnsi="Times New Roman" w:cs="Times New Roman"/>
          <w:sz w:val="24"/>
          <w:szCs w:val="24"/>
        </w:rPr>
        <w:footnoteReference w:id="579"/>
      </w:r>
    </w:p>
    <w:p w14:paraId="0A27EBC6" w14:textId="77777777" w:rsidR="00F925C0" w:rsidRDefault="00F925C0" w:rsidP="000B152D">
      <w:pPr>
        <w:spacing w:line="480" w:lineRule="auto"/>
        <w:jc w:val="both"/>
        <w:rPr>
          <w:rFonts w:ascii="Times New Roman" w:hAnsi="Times New Roman" w:cs="Times New Roman"/>
          <w:b/>
          <w:i/>
          <w:sz w:val="24"/>
          <w:szCs w:val="24"/>
          <w:vertAlign w:val="baseline"/>
        </w:rPr>
      </w:pPr>
    </w:p>
    <w:p w14:paraId="35D2F65A" w14:textId="7081802D" w:rsidR="005F7752" w:rsidRPr="004868EC" w:rsidRDefault="004868EC" w:rsidP="000B152D">
      <w:pPr>
        <w:spacing w:line="480" w:lineRule="auto"/>
        <w:jc w:val="both"/>
        <w:rPr>
          <w:rFonts w:ascii="Times New Roman" w:hAnsi="Times New Roman" w:cs="Times New Roman"/>
          <w:b/>
          <w:i/>
          <w:sz w:val="24"/>
          <w:szCs w:val="24"/>
          <w:vertAlign w:val="baseline"/>
        </w:rPr>
      </w:pPr>
      <w:r>
        <w:rPr>
          <w:rFonts w:ascii="Times New Roman" w:hAnsi="Times New Roman" w:cs="Times New Roman"/>
          <w:b/>
          <w:i/>
          <w:sz w:val="24"/>
          <w:szCs w:val="24"/>
          <w:vertAlign w:val="baseline"/>
        </w:rPr>
        <w:t>4</w:t>
      </w:r>
      <w:r w:rsidR="000B152D" w:rsidRPr="004868EC">
        <w:rPr>
          <w:rFonts w:ascii="Times New Roman" w:hAnsi="Times New Roman" w:cs="Times New Roman"/>
          <w:b/>
          <w:i/>
          <w:sz w:val="24"/>
          <w:szCs w:val="24"/>
          <w:vertAlign w:val="baseline"/>
        </w:rPr>
        <w:t xml:space="preserve">.4.3 </w:t>
      </w:r>
      <w:r w:rsidR="005F7752" w:rsidRPr="004868EC">
        <w:rPr>
          <w:rFonts w:ascii="Times New Roman" w:hAnsi="Times New Roman" w:cs="Times New Roman"/>
          <w:b/>
          <w:i/>
          <w:sz w:val="24"/>
          <w:szCs w:val="24"/>
          <w:vertAlign w:val="baseline"/>
        </w:rPr>
        <w:t>Nepal</w:t>
      </w:r>
    </w:p>
    <w:p w14:paraId="7941A997" w14:textId="77777777" w:rsidR="005F7752" w:rsidRPr="005F7752" w:rsidRDefault="005F7752" w:rsidP="000B152D">
      <w:pPr>
        <w:spacing w:line="480" w:lineRule="auto"/>
        <w:ind w:firstLine="720"/>
        <w:jc w:val="both"/>
        <w:rPr>
          <w:rFonts w:ascii="Times New Roman" w:hAnsi="Times New Roman" w:cs="Times New Roman"/>
          <w:b/>
          <w:bCs/>
          <w:sz w:val="24"/>
          <w:szCs w:val="24"/>
          <w:u w:val="single"/>
          <w:vertAlign w:val="baseline"/>
        </w:rPr>
      </w:pPr>
      <w:r w:rsidRPr="005F7752">
        <w:rPr>
          <w:rFonts w:ascii="Times New Roman" w:hAnsi="Times New Roman" w:cs="Times New Roman"/>
          <w:bCs/>
          <w:sz w:val="24"/>
          <w:szCs w:val="24"/>
          <w:vertAlign w:val="baseline"/>
        </w:rPr>
        <w:t>Prior to 2006, Nepal was a Hindu Kingdom with a constitutional monarchy. However Nepal was declared a secular state on 18</w:t>
      </w:r>
      <w:r w:rsidRPr="005F7752">
        <w:rPr>
          <w:rFonts w:ascii="Times New Roman" w:hAnsi="Times New Roman" w:cs="Times New Roman"/>
          <w:bCs/>
          <w:sz w:val="24"/>
          <w:szCs w:val="24"/>
        </w:rPr>
        <w:t xml:space="preserve"> </w:t>
      </w:r>
      <w:r w:rsidRPr="005F7752">
        <w:rPr>
          <w:rFonts w:ascii="Times New Roman" w:hAnsi="Times New Roman" w:cs="Times New Roman"/>
          <w:bCs/>
          <w:sz w:val="24"/>
          <w:szCs w:val="24"/>
          <w:vertAlign w:val="baseline"/>
        </w:rPr>
        <w:t>May 2006, following a unanimous vote within the House of Representatives and is now officially the Federal Democratic Republic of Nepal.</w:t>
      </w:r>
      <w:r w:rsidRPr="005F7752">
        <w:rPr>
          <w:rFonts w:ascii="Times New Roman" w:hAnsi="Times New Roman" w:cs="Times New Roman"/>
          <w:bCs/>
          <w:sz w:val="24"/>
          <w:szCs w:val="24"/>
        </w:rPr>
        <w:footnoteReference w:id="580"/>
      </w:r>
      <w:r w:rsidRPr="005F7752">
        <w:rPr>
          <w:rFonts w:ascii="Times New Roman" w:hAnsi="Times New Roman" w:cs="Times New Roman"/>
          <w:bCs/>
          <w:sz w:val="24"/>
          <w:szCs w:val="24"/>
          <w:vertAlign w:val="baseline"/>
        </w:rPr>
        <w:t xml:space="preserve"> Nepal has an estimated population of over 26 million people, comprising of over forty different ethnic groups, descended from three major migrations from India, Tibet and Central Asia.</w:t>
      </w:r>
      <w:r w:rsidRPr="005F7752">
        <w:rPr>
          <w:rFonts w:ascii="Times New Roman" w:hAnsi="Times New Roman" w:cs="Times New Roman"/>
          <w:bCs/>
          <w:sz w:val="24"/>
          <w:szCs w:val="24"/>
        </w:rPr>
        <w:footnoteReference w:id="581"/>
      </w:r>
      <w:r w:rsidRPr="005F7752">
        <w:rPr>
          <w:rFonts w:ascii="Times New Roman" w:hAnsi="Times New Roman" w:cs="Times New Roman"/>
          <w:bCs/>
          <w:sz w:val="24"/>
          <w:szCs w:val="24"/>
          <w:vertAlign w:val="baseline"/>
        </w:rPr>
        <w:t xml:space="preserve"> Geographically, Nepal is divided into three regions, Himalayan region, Hill region and the Terai (plain) region, with many cultures and customs developed by the influences of these regions. Thus, the main ethnic groups can be divided between these three regions.</w:t>
      </w:r>
      <w:r w:rsidRPr="005F7752">
        <w:rPr>
          <w:rFonts w:ascii="Times New Roman" w:hAnsi="Times New Roman" w:cs="Times New Roman"/>
          <w:bCs/>
          <w:sz w:val="24"/>
          <w:szCs w:val="24"/>
        </w:rPr>
        <w:footnoteReference w:id="582"/>
      </w:r>
      <w:r w:rsidRPr="005F7752">
        <w:rPr>
          <w:rFonts w:ascii="Times New Roman" w:hAnsi="Times New Roman" w:cs="Times New Roman"/>
          <w:bCs/>
          <w:sz w:val="24"/>
          <w:szCs w:val="24"/>
          <w:vertAlign w:val="baseline"/>
        </w:rPr>
        <w:t xml:space="preserve"> As documented in the 2011 Nepal Census</w:t>
      </w:r>
      <w:r w:rsidRPr="005F7752">
        <w:rPr>
          <w:rFonts w:ascii="Times New Roman" w:hAnsi="Times New Roman" w:cs="Times New Roman"/>
          <w:bCs/>
          <w:sz w:val="24"/>
          <w:szCs w:val="24"/>
        </w:rPr>
        <w:footnoteReference w:id="583"/>
      </w:r>
      <w:r w:rsidRPr="005F7752">
        <w:rPr>
          <w:rFonts w:ascii="Times New Roman" w:hAnsi="Times New Roman" w:cs="Times New Roman"/>
          <w:bCs/>
          <w:sz w:val="24"/>
          <w:szCs w:val="24"/>
          <w:vertAlign w:val="baseline"/>
        </w:rPr>
        <w:t xml:space="preserve"> there are ten different religions within Nepal. The majority of the population, 81.3%, are Hindu, with Buddhism at 9% and Islam at 4.4%.</w:t>
      </w:r>
      <w:r w:rsidRPr="005F7752">
        <w:rPr>
          <w:rFonts w:ascii="Times New Roman" w:hAnsi="Times New Roman" w:cs="Times New Roman"/>
          <w:bCs/>
          <w:sz w:val="24"/>
          <w:szCs w:val="24"/>
        </w:rPr>
        <w:footnoteReference w:id="584"/>
      </w:r>
      <w:r w:rsidRPr="005F7752">
        <w:rPr>
          <w:rFonts w:ascii="Times New Roman" w:hAnsi="Times New Roman" w:cs="Times New Roman"/>
          <w:bCs/>
          <w:sz w:val="24"/>
          <w:szCs w:val="24"/>
          <w:vertAlign w:val="baseline"/>
        </w:rPr>
        <w:t xml:space="preserve"> Due to the influence of Hinduism, Nepal, akin to India, has inherited the caste system. However, unlike India, where all levels of the caste system may be subject to WAP, in Nepal only women from the Dalit community are victims of WAP.</w:t>
      </w:r>
      <w:r w:rsidRPr="005F7752">
        <w:rPr>
          <w:rFonts w:ascii="Times New Roman" w:hAnsi="Times New Roman" w:cs="Times New Roman"/>
          <w:bCs/>
          <w:sz w:val="24"/>
          <w:szCs w:val="24"/>
        </w:rPr>
        <w:footnoteReference w:id="585"/>
      </w:r>
      <w:r w:rsidRPr="005F7752">
        <w:rPr>
          <w:rFonts w:ascii="Times New Roman" w:hAnsi="Times New Roman" w:cs="Times New Roman"/>
          <w:bCs/>
          <w:sz w:val="24"/>
          <w:szCs w:val="24"/>
          <w:vertAlign w:val="baseline"/>
        </w:rPr>
        <w:t xml:space="preserve"> In Nepal, gender based violence is the leading cause of death of women aged between 19 to 44 years old, with 77% of the VAW coming from within the family.</w:t>
      </w:r>
      <w:r w:rsidRPr="005F7752">
        <w:rPr>
          <w:rFonts w:ascii="Times New Roman" w:hAnsi="Times New Roman" w:cs="Times New Roman"/>
          <w:bCs/>
          <w:sz w:val="24"/>
          <w:szCs w:val="24"/>
        </w:rPr>
        <w:footnoteReference w:id="586"/>
      </w:r>
      <w:r w:rsidRPr="005F7752">
        <w:rPr>
          <w:rFonts w:ascii="Times New Roman" w:hAnsi="Times New Roman" w:cs="Times New Roman"/>
          <w:bCs/>
          <w:sz w:val="24"/>
          <w:szCs w:val="24"/>
          <w:vertAlign w:val="baseline"/>
        </w:rPr>
        <w:t xml:space="preserve"> As observed by Paudel, </w:t>
      </w:r>
    </w:p>
    <w:p w14:paraId="67141052" w14:textId="77777777" w:rsidR="005F7752" w:rsidRPr="005F7752" w:rsidRDefault="005F7752" w:rsidP="00C86227">
      <w:pPr>
        <w:spacing w:line="480" w:lineRule="auto"/>
        <w:ind w:left="720"/>
        <w:jc w:val="both"/>
        <w:rPr>
          <w:rFonts w:ascii="Times New Roman" w:hAnsi="Times New Roman" w:cs="Times New Roman"/>
          <w:bCs/>
          <w:sz w:val="24"/>
          <w:szCs w:val="24"/>
          <w:vertAlign w:val="baseline"/>
        </w:rPr>
      </w:pPr>
      <w:r w:rsidRPr="005F7752">
        <w:rPr>
          <w:rFonts w:ascii="Times New Roman" w:hAnsi="Times New Roman" w:cs="Times New Roman"/>
          <w:bCs/>
          <w:sz w:val="24"/>
          <w:szCs w:val="24"/>
          <w:vertAlign w:val="baseline"/>
        </w:rPr>
        <w:t>One prime example of a modern day patriarchal legal system and society is that of Nepal. Both have been developed in accordance with Hindu customs and traditions over centuries. The patriarchal system set up controls over women’s body, labour, income, mobility, sexuality ideology and even identity … Nepal’s legal system does a poor job of protecting women’s rights … largely because Nepali society continues to be based on traditions, maintaining the belief that women are inferior to men.</w:t>
      </w:r>
      <w:r w:rsidRPr="005F7752">
        <w:rPr>
          <w:rFonts w:ascii="Times New Roman" w:hAnsi="Times New Roman" w:cs="Times New Roman"/>
          <w:bCs/>
          <w:sz w:val="24"/>
          <w:szCs w:val="24"/>
        </w:rPr>
        <w:footnoteReference w:id="587"/>
      </w:r>
    </w:p>
    <w:p w14:paraId="07C30D68" w14:textId="77777777" w:rsidR="005F7752" w:rsidRPr="005F7752" w:rsidRDefault="005F7752" w:rsidP="005F7752">
      <w:pPr>
        <w:spacing w:line="480" w:lineRule="auto"/>
        <w:jc w:val="both"/>
        <w:rPr>
          <w:rFonts w:ascii="Times New Roman" w:hAnsi="Times New Roman" w:cs="Times New Roman"/>
          <w:bCs/>
          <w:sz w:val="24"/>
          <w:szCs w:val="24"/>
          <w:vertAlign w:val="baseline"/>
        </w:rPr>
      </w:pPr>
    </w:p>
    <w:p w14:paraId="053999DB" w14:textId="1BE7126E" w:rsidR="00E37017" w:rsidRDefault="005F7752" w:rsidP="00CA3ADF">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Witchcraft belief in Nepal remains dominant and widespread, although belief is particularly entrenched within rural communities, namely the Terai and Mahottari districts, largely due to the impervious nature of deep-rooted animistic and shamanistic traditional and religious practices.</w:t>
      </w:r>
      <w:r w:rsidRPr="005F7752">
        <w:rPr>
          <w:rFonts w:ascii="Times New Roman" w:hAnsi="Times New Roman" w:cs="Times New Roman"/>
          <w:sz w:val="24"/>
          <w:szCs w:val="24"/>
        </w:rPr>
        <w:footnoteReference w:id="588"/>
      </w:r>
      <w:r w:rsidRPr="005F7752">
        <w:rPr>
          <w:rFonts w:ascii="Times New Roman" w:hAnsi="Times New Roman" w:cs="Times New Roman"/>
          <w:sz w:val="24"/>
          <w:szCs w:val="24"/>
          <w:vertAlign w:val="baseline"/>
        </w:rPr>
        <w:t xml:space="preserve"> The UNDP ranks Nepal 98</w:t>
      </w:r>
      <w:r w:rsidRPr="005F7752">
        <w:rPr>
          <w:rFonts w:ascii="Times New Roman" w:hAnsi="Times New Roman" w:cs="Times New Roman"/>
          <w:sz w:val="24"/>
          <w:szCs w:val="24"/>
        </w:rPr>
        <w:t>th</w:t>
      </w:r>
      <w:r w:rsidRPr="005F7752">
        <w:rPr>
          <w:rFonts w:ascii="Times New Roman" w:hAnsi="Times New Roman" w:cs="Times New Roman"/>
          <w:sz w:val="24"/>
          <w:szCs w:val="24"/>
          <w:vertAlign w:val="baseline"/>
        </w:rPr>
        <w:t xml:space="preserve"> out of 148 countries as regards the levels of gender inequality.</w:t>
      </w:r>
      <w:r w:rsidRPr="005F7752">
        <w:rPr>
          <w:rFonts w:ascii="Times New Roman" w:hAnsi="Times New Roman" w:cs="Times New Roman"/>
          <w:sz w:val="24"/>
          <w:szCs w:val="24"/>
        </w:rPr>
        <w:footnoteReference w:id="589"/>
      </w:r>
      <w:r w:rsidRPr="005F7752">
        <w:rPr>
          <w:rFonts w:ascii="Times New Roman" w:hAnsi="Times New Roman" w:cs="Times New Roman"/>
          <w:sz w:val="24"/>
          <w:szCs w:val="24"/>
          <w:vertAlign w:val="baseline"/>
        </w:rPr>
        <w:t xml:space="preserve"> In Nepal, women are primarily the targets of witchcraft accusations, typically those that are poor, elderly, single and illiterate. As stated by Ghimire, ‘It is without doubt that witchcraft is one of the worst allegations against women that is prevalent in the Nepali society today.’</w:t>
      </w:r>
      <w:r w:rsidRPr="005F7752">
        <w:rPr>
          <w:rFonts w:ascii="Times New Roman" w:hAnsi="Times New Roman" w:cs="Times New Roman"/>
          <w:sz w:val="24"/>
          <w:szCs w:val="24"/>
        </w:rPr>
        <w:footnoteReference w:id="590"/>
      </w:r>
      <w:r w:rsidRPr="005F7752">
        <w:rPr>
          <w:rFonts w:ascii="Times New Roman" w:hAnsi="Times New Roman" w:cs="Times New Roman"/>
          <w:sz w:val="24"/>
          <w:szCs w:val="24"/>
          <w:vertAlign w:val="baseline"/>
        </w:rPr>
        <w:t xml:space="preserve"> As with witchcraft in India and Ghana, there are many causative factors behind witchcraft accusations. Whilst patriarchal attitudes, superstition and religious beliefs are at the root of the issue, these combined with factors such as a lack of education, high illiteracy rates and poverty merely enhance the pervasiveness of witchcraft in Nepal.</w:t>
      </w:r>
      <w:r w:rsidRPr="005F7752">
        <w:rPr>
          <w:rFonts w:ascii="Times New Roman" w:hAnsi="Times New Roman" w:cs="Times New Roman"/>
          <w:sz w:val="24"/>
          <w:szCs w:val="24"/>
        </w:rPr>
        <w:footnoteReference w:id="591"/>
      </w:r>
      <w:r w:rsidRPr="005F7752">
        <w:rPr>
          <w:rFonts w:ascii="Times New Roman" w:hAnsi="Times New Roman" w:cs="Times New Roman"/>
          <w:sz w:val="24"/>
          <w:szCs w:val="24"/>
          <w:vertAlign w:val="baseline"/>
        </w:rPr>
        <w:t xml:space="preserve"> </w:t>
      </w:r>
      <w:r w:rsidR="00906788" w:rsidRPr="005F7752">
        <w:rPr>
          <w:rFonts w:ascii="Times New Roman" w:hAnsi="Times New Roman" w:cs="Times New Roman"/>
          <w:sz w:val="24"/>
          <w:szCs w:val="24"/>
          <w:vertAlign w:val="baseline"/>
        </w:rPr>
        <w:t>Nepal remains one of the poorest countries in the world, with a Human Development Index ranking of 157 out of 187 countries.</w:t>
      </w:r>
      <w:r w:rsidR="00906788" w:rsidRPr="005F7752">
        <w:rPr>
          <w:rFonts w:ascii="Times New Roman" w:hAnsi="Times New Roman" w:cs="Times New Roman"/>
          <w:sz w:val="24"/>
          <w:szCs w:val="24"/>
        </w:rPr>
        <w:footnoteReference w:id="592"/>
      </w:r>
      <w:r w:rsidR="00906788">
        <w:rPr>
          <w:rFonts w:ascii="Times New Roman" w:hAnsi="Times New Roman" w:cs="Times New Roman"/>
          <w:sz w:val="24"/>
          <w:szCs w:val="24"/>
          <w:vertAlign w:val="baseline"/>
        </w:rPr>
        <w:t xml:space="preserve"> T</w:t>
      </w:r>
      <w:r w:rsidR="00906788" w:rsidRPr="005F7752">
        <w:rPr>
          <w:rFonts w:ascii="Times New Roman" w:hAnsi="Times New Roman" w:cs="Times New Roman"/>
          <w:sz w:val="24"/>
          <w:szCs w:val="24"/>
          <w:vertAlign w:val="baseline"/>
        </w:rPr>
        <w:t xml:space="preserve">he International Fund for Agricultural Development (IFAD) </w:t>
      </w:r>
      <w:r w:rsidR="00906788">
        <w:rPr>
          <w:rFonts w:ascii="Times New Roman" w:hAnsi="Times New Roman" w:cs="Times New Roman"/>
          <w:sz w:val="24"/>
          <w:szCs w:val="24"/>
          <w:vertAlign w:val="baseline"/>
        </w:rPr>
        <w:t xml:space="preserve">documents that </w:t>
      </w:r>
      <w:r w:rsidR="00906788" w:rsidRPr="005F7752">
        <w:rPr>
          <w:rFonts w:ascii="Times New Roman" w:hAnsi="Times New Roman" w:cs="Times New Roman"/>
          <w:sz w:val="24"/>
          <w:szCs w:val="24"/>
          <w:vertAlign w:val="baseline"/>
        </w:rPr>
        <w:t>approximately 80 per cent of Nepal's population live in rural areas and depend on subsistenc</w:t>
      </w:r>
      <w:r w:rsidR="00AC5184">
        <w:rPr>
          <w:rFonts w:ascii="Times New Roman" w:hAnsi="Times New Roman" w:cs="Times New Roman"/>
          <w:sz w:val="24"/>
          <w:szCs w:val="24"/>
          <w:vertAlign w:val="baseline"/>
        </w:rPr>
        <w:t>e farming for their livelihoods, with most rural households having</w:t>
      </w:r>
      <w:r w:rsidR="00AC5184" w:rsidRPr="005F7752">
        <w:rPr>
          <w:rFonts w:ascii="Times New Roman" w:hAnsi="Times New Roman" w:cs="Times New Roman"/>
          <w:sz w:val="24"/>
          <w:szCs w:val="24"/>
          <w:vertAlign w:val="baseline"/>
        </w:rPr>
        <w:t xml:space="preserve"> little or no access to primary health care, education, safe drinking water, sanitation or other basic services.</w:t>
      </w:r>
      <w:r w:rsidR="00906788" w:rsidRPr="005F7752">
        <w:rPr>
          <w:rFonts w:ascii="Times New Roman" w:hAnsi="Times New Roman" w:cs="Times New Roman"/>
          <w:sz w:val="24"/>
          <w:szCs w:val="24"/>
        </w:rPr>
        <w:footnoteReference w:id="593"/>
      </w:r>
      <w:r w:rsidR="00906788" w:rsidRPr="005F7752">
        <w:rPr>
          <w:rFonts w:ascii="Times New Roman" w:hAnsi="Times New Roman" w:cs="Times New Roman"/>
          <w:sz w:val="24"/>
          <w:szCs w:val="24"/>
          <w:vertAlign w:val="baseline"/>
        </w:rPr>
        <w:t xml:space="preserve"> </w:t>
      </w:r>
      <w:r w:rsidR="00906788">
        <w:rPr>
          <w:rFonts w:ascii="Times New Roman" w:hAnsi="Times New Roman" w:cs="Times New Roman"/>
          <w:sz w:val="24"/>
          <w:szCs w:val="24"/>
          <w:vertAlign w:val="baseline"/>
        </w:rPr>
        <w:t>A</w:t>
      </w:r>
      <w:r w:rsidRPr="005F7752">
        <w:rPr>
          <w:rFonts w:ascii="Times New Roman" w:hAnsi="Times New Roman" w:cs="Times New Roman"/>
          <w:sz w:val="24"/>
          <w:szCs w:val="24"/>
          <w:vertAlign w:val="baseline"/>
        </w:rPr>
        <w:t>s noted by the Forum for the Protection of People’s Rights, Nepal (PPR Nepal), ‘another contributing factor is high prevalence of gender inequality in terms of education and rights to property which has perpetrated violence against women.’</w:t>
      </w:r>
      <w:r w:rsidRPr="005F7752">
        <w:rPr>
          <w:rFonts w:ascii="Times New Roman" w:hAnsi="Times New Roman" w:cs="Times New Roman"/>
          <w:sz w:val="24"/>
          <w:szCs w:val="24"/>
        </w:rPr>
        <w:footnoteReference w:id="594"/>
      </w:r>
      <w:r w:rsidRPr="005F7752">
        <w:rPr>
          <w:rFonts w:ascii="Times New Roman" w:hAnsi="Times New Roman" w:cs="Times New Roman"/>
          <w:sz w:val="24"/>
          <w:szCs w:val="24"/>
          <w:vertAlign w:val="baseline"/>
        </w:rPr>
        <w:t xml:space="preserve">  Due to a lack of reporting, social stigmas, lack of awareness and also the remoteness of many of the villages where incidents of witchcraft abuse take place, NGOs have struggled to accurately provide an exact figure of violence relating to witchcraft accusations and persecution. It is estimated by PPR Nepal, that approximately 100 cases of alleged witchcraft are documented through the media and civil society organisations.</w:t>
      </w:r>
      <w:r w:rsidRPr="005F7752">
        <w:rPr>
          <w:rFonts w:ascii="Times New Roman" w:hAnsi="Times New Roman" w:cs="Times New Roman"/>
          <w:sz w:val="24"/>
          <w:szCs w:val="24"/>
        </w:rPr>
        <w:footnoteReference w:id="595"/>
      </w:r>
      <w:r w:rsidRPr="005F7752">
        <w:rPr>
          <w:rFonts w:ascii="Times New Roman" w:hAnsi="Times New Roman" w:cs="Times New Roman"/>
          <w:sz w:val="24"/>
          <w:szCs w:val="24"/>
          <w:vertAlign w:val="baseline"/>
        </w:rPr>
        <w:t xml:space="preserve"> Again, this figure is considered to be only the tip of the iceberg.</w:t>
      </w:r>
      <w:r w:rsidR="00152210">
        <w:rPr>
          <w:rStyle w:val="FootnoteReference"/>
          <w:rFonts w:ascii="Times New Roman" w:hAnsi="Times New Roman" w:cs="Times New Roman"/>
          <w:sz w:val="24"/>
          <w:szCs w:val="24"/>
        </w:rPr>
        <w:footnoteReference w:id="596"/>
      </w:r>
      <w:r w:rsidRPr="005F7752">
        <w:rPr>
          <w:rFonts w:ascii="Times New Roman" w:hAnsi="Times New Roman" w:cs="Times New Roman"/>
          <w:sz w:val="24"/>
          <w:szCs w:val="24"/>
          <w:vertAlign w:val="baseline"/>
        </w:rPr>
        <w:t xml:space="preserve"> </w:t>
      </w:r>
    </w:p>
    <w:p w14:paraId="057206B4" w14:textId="77777777" w:rsidR="00E37017" w:rsidRDefault="00E37017" w:rsidP="00CA3ADF">
      <w:pPr>
        <w:spacing w:line="480" w:lineRule="auto"/>
        <w:ind w:firstLine="720"/>
        <w:jc w:val="both"/>
        <w:rPr>
          <w:rFonts w:ascii="Times New Roman" w:hAnsi="Times New Roman" w:cs="Times New Roman"/>
          <w:sz w:val="24"/>
          <w:szCs w:val="24"/>
          <w:vertAlign w:val="baseline"/>
        </w:rPr>
      </w:pPr>
    </w:p>
    <w:p w14:paraId="60E60CAC" w14:textId="0DD026ED" w:rsidR="005F7752" w:rsidRPr="005F7752" w:rsidRDefault="005F7752" w:rsidP="00CA3ADF">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 xml:space="preserve">The punishment for alleged </w:t>
      </w:r>
      <w:r w:rsidRPr="005F7752">
        <w:rPr>
          <w:rFonts w:ascii="Times New Roman" w:hAnsi="Times New Roman" w:cs="Times New Roman"/>
          <w:i/>
          <w:sz w:val="24"/>
          <w:szCs w:val="24"/>
          <w:vertAlign w:val="baseline"/>
        </w:rPr>
        <w:t xml:space="preserve">bokshis </w:t>
      </w:r>
      <w:r w:rsidRPr="005F7752">
        <w:rPr>
          <w:rFonts w:ascii="Times New Roman" w:hAnsi="Times New Roman" w:cs="Times New Roman"/>
          <w:sz w:val="24"/>
          <w:szCs w:val="24"/>
          <w:vertAlign w:val="baseline"/>
        </w:rPr>
        <w:t>(witches) in Nepal varies from case to case. The majority of the women are severely beaten, tortured and forced to eat excreta. Some women are also sexually abused, with implements inserted into their private parts. The most severe cases culminate in murder, where women are often set on fire and burned alive, as documented in the case of Dengani Devi Mahato, mentioned previously in chapter three,</w:t>
      </w:r>
      <w:r w:rsidRPr="005F7752">
        <w:rPr>
          <w:rFonts w:ascii="Times New Roman" w:hAnsi="Times New Roman" w:cs="Times New Roman"/>
          <w:sz w:val="24"/>
          <w:szCs w:val="24"/>
        </w:rPr>
        <w:footnoteReference w:id="597"/>
      </w:r>
      <w:r w:rsidRPr="005F7752">
        <w:rPr>
          <w:rFonts w:ascii="Times New Roman" w:hAnsi="Times New Roman" w:cs="Times New Roman"/>
          <w:sz w:val="24"/>
          <w:szCs w:val="24"/>
          <w:vertAlign w:val="baseline"/>
        </w:rPr>
        <w:t xml:space="preserve"> who was accused of killing a boy through witchcraft, who had drowned in a river the year before. Dengani died after she was severely beaten by nine people, doused in kerosene, had straw thrown over her and was then set alight.</w:t>
      </w:r>
      <w:r w:rsidRPr="005F7752">
        <w:rPr>
          <w:rFonts w:ascii="Times New Roman" w:hAnsi="Times New Roman" w:cs="Times New Roman"/>
          <w:sz w:val="24"/>
          <w:szCs w:val="24"/>
        </w:rPr>
        <w:footnoteReference w:id="598"/>
      </w:r>
      <w:r w:rsidRPr="005F7752">
        <w:rPr>
          <w:rFonts w:ascii="Times New Roman" w:hAnsi="Times New Roman" w:cs="Times New Roman"/>
          <w:sz w:val="24"/>
          <w:szCs w:val="24"/>
          <w:vertAlign w:val="baseline"/>
        </w:rPr>
        <w:t xml:space="preserve"> Other documented incidents include Ram Kumari Marik, a 30 year old Dalit women, who was beaten by locals, sustaining several injuries to her hands, neck, chest and back, after allegedly practising witchcraft on an 18 year old girl;</w:t>
      </w:r>
      <w:r w:rsidRPr="005F7752">
        <w:rPr>
          <w:rFonts w:ascii="Times New Roman" w:hAnsi="Times New Roman" w:cs="Times New Roman"/>
          <w:sz w:val="24"/>
          <w:szCs w:val="24"/>
        </w:rPr>
        <w:footnoteReference w:id="599"/>
      </w:r>
      <w:r w:rsidRPr="005F7752">
        <w:rPr>
          <w:rFonts w:ascii="Times New Roman" w:hAnsi="Times New Roman" w:cs="Times New Roman"/>
          <w:sz w:val="24"/>
          <w:szCs w:val="24"/>
          <w:vertAlign w:val="baseline"/>
        </w:rPr>
        <w:t xml:space="preserve"> and Basanti Maharjan, a 42 year old woman, who was killed by her brother-in-law Hari Bahadur Maharjan for practising witchcraft against him, which allegedly caused his wife to leave him. Basanti Maharjan was severely beaten, strangled to death and then buried in a shallow grave.</w:t>
      </w:r>
      <w:r w:rsidRPr="005F7752">
        <w:rPr>
          <w:rFonts w:ascii="Times New Roman" w:hAnsi="Times New Roman" w:cs="Times New Roman"/>
          <w:sz w:val="24"/>
          <w:szCs w:val="24"/>
        </w:rPr>
        <w:footnoteReference w:id="600"/>
      </w:r>
      <w:r w:rsidRPr="005F7752">
        <w:rPr>
          <w:rFonts w:ascii="Times New Roman" w:hAnsi="Times New Roman" w:cs="Times New Roman"/>
          <w:sz w:val="24"/>
          <w:szCs w:val="24"/>
          <w:vertAlign w:val="baseline"/>
        </w:rPr>
        <w:t xml:space="preserve"> </w:t>
      </w:r>
    </w:p>
    <w:p w14:paraId="7480FDAB" w14:textId="77777777" w:rsidR="005F7752" w:rsidRPr="005F7752" w:rsidRDefault="005F7752" w:rsidP="005F7752">
      <w:pPr>
        <w:spacing w:line="480" w:lineRule="auto"/>
        <w:jc w:val="both"/>
        <w:rPr>
          <w:rFonts w:ascii="Times New Roman" w:hAnsi="Times New Roman" w:cs="Times New Roman"/>
          <w:sz w:val="24"/>
          <w:szCs w:val="24"/>
          <w:vertAlign w:val="baseline"/>
        </w:rPr>
      </w:pPr>
    </w:p>
    <w:p w14:paraId="13908B80" w14:textId="77777777" w:rsidR="005F7752" w:rsidRPr="005F7752" w:rsidRDefault="005F7752" w:rsidP="00E37017">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Regrettably, unlike the other three countries discussed, there has been no mention of witchcraft related violence with any of the Special Rapporteur’s reports on Nepal. The last report of the SR on VAW for Nepal was a combined mission to Bangladesh, Nepal and India, 28 October to 15 November 2000, and focused specifically on the issue of trafficking of women and girls.</w:t>
      </w:r>
      <w:r w:rsidRPr="005F7752">
        <w:rPr>
          <w:rFonts w:ascii="Times New Roman" w:hAnsi="Times New Roman" w:cs="Times New Roman"/>
          <w:sz w:val="24"/>
          <w:szCs w:val="24"/>
        </w:rPr>
        <w:footnoteReference w:id="601"/>
      </w:r>
      <w:r w:rsidRPr="005F7752">
        <w:rPr>
          <w:rFonts w:ascii="Times New Roman" w:hAnsi="Times New Roman" w:cs="Times New Roman"/>
          <w:sz w:val="24"/>
          <w:szCs w:val="24"/>
          <w:vertAlign w:val="baseline"/>
        </w:rPr>
        <w:t xml:space="preserve"> There is no mention of WAP within this report and there have been no further SR on VAW reports on Nepal. Similarly, the last report by the SR on torture in Nepal was in 2006, with no mention of WAP within the report on Nepal.</w:t>
      </w:r>
      <w:r w:rsidRPr="005F7752">
        <w:rPr>
          <w:rFonts w:ascii="Times New Roman" w:hAnsi="Times New Roman" w:cs="Times New Roman"/>
          <w:sz w:val="24"/>
          <w:szCs w:val="24"/>
        </w:rPr>
        <w:footnoteReference w:id="602"/>
      </w:r>
      <w:r w:rsidRPr="005F7752">
        <w:rPr>
          <w:rFonts w:ascii="Times New Roman" w:hAnsi="Times New Roman" w:cs="Times New Roman"/>
          <w:sz w:val="24"/>
          <w:szCs w:val="24"/>
          <w:vertAlign w:val="baseline"/>
        </w:rPr>
        <w:t xml:space="preserve"> The SR on executions last visited Nepal in 2001.</w:t>
      </w:r>
      <w:r w:rsidRPr="005F7752">
        <w:rPr>
          <w:rFonts w:ascii="Times New Roman" w:hAnsi="Times New Roman" w:cs="Times New Roman"/>
          <w:sz w:val="24"/>
          <w:szCs w:val="24"/>
        </w:rPr>
        <w:footnoteReference w:id="603"/>
      </w:r>
      <w:r w:rsidRPr="005F7752">
        <w:rPr>
          <w:rFonts w:ascii="Times New Roman" w:hAnsi="Times New Roman" w:cs="Times New Roman"/>
          <w:sz w:val="24"/>
          <w:szCs w:val="24"/>
          <w:vertAlign w:val="baseline"/>
        </w:rPr>
        <w:t xml:space="preserve"> Again, there is no specific reference to WAP in this report; however the SR emphasises the need to address the human rights aspects of women’s development, ‘such as the continuing use of bonded labour, the caste system and the marginalized position of women ruled by traditional values and customs.’</w:t>
      </w:r>
      <w:r w:rsidRPr="005F7752">
        <w:rPr>
          <w:rFonts w:ascii="Times New Roman" w:hAnsi="Times New Roman" w:cs="Times New Roman"/>
          <w:sz w:val="24"/>
          <w:szCs w:val="24"/>
        </w:rPr>
        <w:footnoteReference w:id="604"/>
      </w:r>
    </w:p>
    <w:p w14:paraId="2B446313" w14:textId="77777777" w:rsidR="005F7752" w:rsidRPr="005F7752" w:rsidRDefault="005F7752" w:rsidP="005F7752">
      <w:pPr>
        <w:spacing w:line="480" w:lineRule="auto"/>
        <w:jc w:val="both"/>
        <w:rPr>
          <w:rFonts w:ascii="Times New Roman" w:hAnsi="Times New Roman" w:cs="Times New Roman"/>
          <w:sz w:val="24"/>
          <w:szCs w:val="24"/>
          <w:vertAlign w:val="baseline"/>
        </w:rPr>
      </w:pPr>
    </w:p>
    <w:p w14:paraId="7999A4DE" w14:textId="4C7F4948" w:rsidR="005F7752" w:rsidRPr="004868EC" w:rsidRDefault="004868EC" w:rsidP="006319F5">
      <w:pPr>
        <w:spacing w:line="480" w:lineRule="auto"/>
        <w:jc w:val="both"/>
        <w:rPr>
          <w:rFonts w:ascii="Times New Roman" w:hAnsi="Times New Roman" w:cs="Times New Roman"/>
          <w:b/>
          <w:i/>
          <w:sz w:val="24"/>
          <w:szCs w:val="24"/>
          <w:vertAlign w:val="baseline"/>
        </w:rPr>
      </w:pPr>
      <w:r>
        <w:rPr>
          <w:rFonts w:ascii="Times New Roman" w:hAnsi="Times New Roman" w:cs="Times New Roman"/>
          <w:b/>
          <w:i/>
          <w:sz w:val="24"/>
          <w:szCs w:val="24"/>
          <w:vertAlign w:val="baseline"/>
        </w:rPr>
        <w:t>4</w:t>
      </w:r>
      <w:r w:rsidR="006319F5" w:rsidRPr="004868EC">
        <w:rPr>
          <w:rFonts w:ascii="Times New Roman" w:hAnsi="Times New Roman" w:cs="Times New Roman"/>
          <w:b/>
          <w:i/>
          <w:sz w:val="24"/>
          <w:szCs w:val="24"/>
          <w:vertAlign w:val="baseline"/>
        </w:rPr>
        <w:t xml:space="preserve">.4.4 </w:t>
      </w:r>
      <w:r w:rsidR="005F7752" w:rsidRPr="004868EC">
        <w:rPr>
          <w:rFonts w:ascii="Times New Roman" w:hAnsi="Times New Roman" w:cs="Times New Roman"/>
          <w:b/>
          <w:i/>
          <w:sz w:val="24"/>
          <w:szCs w:val="24"/>
          <w:vertAlign w:val="baseline"/>
        </w:rPr>
        <w:t>Papua New Guinea</w:t>
      </w:r>
    </w:p>
    <w:p w14:paraId="1656D81B" w14:textId="77777777" w:rsidR="005F7752" w:rsidRDefault="005F7752" w:rsidP="00A05C4F">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PNG comprises of six hundred islands with over 800 known spoken languages, with an estimated population of just over 7.3 million, comprised of 85% living within rural areas and 15% living in urban areas.</w:t>
      </w:r>
      <w:r w:rsidRPr="005F7752">
        <w:rPr>
          <w:rFonts w:ascii="Times New Roman" w:hAnsi="Times New Roman" w:cs="Times New Roman"/>
          <w:sz w:val="24"/>
          <w:szCs w:val="24"/>
        </w:rPr>
        <w:footnoteReference w:id="605"/>
      </w:r>
      <w:r w:rsidRPr="005F7752">
        <w:rPr>
          <w:rFonts w:ascii="Times New Roman" w:hAnsi="Times New Roman" w:cs="Times New Roman"/>
          <w:sz w:val="24"/>
          <w:szCs w:val="24"/>
          <w:vertAlign w:val="baseline"/>
        </w:rPr>
        <w:t xml:space="preserve"> As documented in a 2012 Report,</w:t>
      </w:r>
      <w:r w:rsidRPr="005F7752">
        <w:rPr>
          <w:rFonts w:ascii="Times New Roman" w:hAnsi="Times New Roman" w:cs="Times New Roman"/>
          <w:sz w:val="24"/>
          <w:szCs w:val="24"/>
        </w:rPr>
        <w:footnoteReference w:id="606"/>
      </w:r>
      <w:r w:rsidRPr="005F7752">
        <w:rPr>
          <w:rFonts w:ascii="Times New Roman" w:hAnsi="Times New Roman" w:cs="Times New Roman"/>
          <w:sz w:val="24"/>
          <w:szCs w:val="24"/>
          <w:vertAlign w:val="baseline"/>
        </w:rPr>
        <w:t xml:space="preserve"> 96% of the population of PNG identified themselves as Christian,</w:t>
      </w:r>
      <w:r w:rsidRPr="005F7752">
        <w:rPr>
          <w:rFonts w:ascii="Times New Roman" w:hAnsi="Times New Roman" w:cs="Times New Roman"/>
          <w:sz w:val="24"/>
          <w:szCs w:val="24"/>
        </w:rPr>
        <w:footnoteReference w:id="607"/>
      </w:r>
      <w:r w:rsidRPr="005F7752">
        <w:rPr>
          <w:rFonts w:ascii="Times New Roman" w:hAnsi="Times New Roman" w:cs="Times New Roman"/>
          <w:sz w:val="24"/>
          <w:szCs w:val="24"/>
          <w:vertAlign w:val="baseline"/>
        </w:rPr>
        <w:t xml:space="preserve"> with the remainder holding indigenous or other beliefs. However, it is noted that the majority of citizens integrate their belief in the Christian faith with indigenous beliefs and practices.</w:t>
      </w:r>
      <w:r w:rsidRPr="005F7752">
        <w:rPr>
          <w:rFonts w:ascii="Times New Roman" w:hAnsi="Times New Roman" w:cs="Times New Roman"/>
          <w:sz w:val="24"/>
          <w:szCs w:val="24"/>
        </w:rPr>
        <w:footnoteReference w:id="608"/>
      </w:r>
      <w:r w:rsidRPr="005F7752">
        <w:rPr>
          <w:rFonts w:ascii="Times New Roman" w:hAnsi="Times New Roman" w:cs="Times New Roman"/>
          <w:sz w:val="24"/>
          <w:szCs w:val="24"/>
          <w:vertAlign w:val="baseline"/>
        </w:rPr>
        <w:t xml:space="preserve"> Due to the indigenous nature of PNG, the country is one of the most culturally diverse places in the world, with several thousand communities divided by language, custom and tradition. PNG has a prevalence of tribal violence, predominantly fighting over land disputes.</w:t>
      </w:r>
      <w:r w:rsidRPr="005F7752">
        <w:rPr>
          <w:rFonts w:ascii="Times New Roman" w:hAnsi="Times New Roman" w:cs="Times New Roman"/>
          <w:sz w:val="24"/>
          <w:szCs w:val="24"/>
        </w:rPr>
        <w:footnoteReference w:id="609"/>
      </w:r>
      <w:r w:rsidRPr="005F7752">
        <w:rPr>
          <w:rFonts w:ascii="Times New Roman" w:hAnsi="Times New Roman" w:cs="Times New Roman"/>
          <w:sz w:val="24"/>
          <w:szCs w:val="24"/>
          <w:vertAlign w:val="baseline"/>
        </w:rPr>
        <w:t xml:space="preserve"> </w:t>
      </w:r>
    </w:p>
    <w:p w14:paraId="7A886BFF" w14:textId="77777777" w:rsidR="00A05C4F" w:rsidRPr="005F7752" w:rsidRDefault="00A05C4F" w:rsidP="00A05C4F">
      <w:pPr>
        <w:spacing w:line="480" w:lineRule="auto"/>
        <w:ind w:firstLine="720"/>
        <w:jc w:val="both"/>
        <w:rPr>
          <w:rFonts w:ascii="Times New Roman" w:hAnsi="Times New Roman" w:cs="Times New Roman"/>
          <w:sz w:val="24"/>
          <w:szCs w:val="24"/>
          <w:vertAlign w:val="baseline"/>
        </w:rPr>
      </w:pPr>
    </w:p>
    <w:p w14:paraId="1CAD363D" w14:textId="77777777" w:rsidR="005F7752" w:rsidRPr="005F7752" w:rsidRDefault="005F7752" w:rsidP="00A05C4F">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Women in PNG endure some of the most extreme levels of violence in the world.</w:t>
      </w:r>
      <w:r w:rsidRPr="005F7752">
        <w:rPr>
          <w:rFonts w:ascii="Times New Roman" w:hAnsi="Times New Roman" w:cs="Times New Roman"/>
          <w:sz w:val="24"/>
          <w:szCs w:val="24"/>
        </w:rPr>
        <w:footnoteReference w:id="610"/>
      </w:r>
      <w:r w:rsidRPr="005F7752">
        <w:rPr>
          <w:rFonts w:ascii="Times New Roman" w:hAnsi="Times New Roman" w:cs="Times New Roman"/>
          <w:sz w:val="24"/>
          <w:szCs w:val="24"/>
          <w:vertAlign w:val="baseline"/>
        </w:rPr>
        <w:t xml:space="preserve"> In a Human Rights Watch (HRW) 2015 World Report, they document PNG to be ‘one of the most dangerous places in the world to be a woman, with an estimated 70% of women experiencing rape or assault in their lifetime.’</w:t>
      </w:r>
      <w:r w:rsidRPr="005F7752">
        <w:rPr>
          <w:rFonts w:ascii="Times New Roman" w:hAnsi="Times New Roman" w:cs="Times New Roman"/>
          <w:sz w:val="24"/>
          <w:szCs w:val="24"/>
        </w:rPr>
        <w:footnoteReference w:id="611"/>
      </w:r>
      <w:r w:rsidRPr="005F7752">
        <w:rPr>
          <w:rFonts w:ascii="Times New Roman" w:hAnsi="Times New Roman" w:cs="Times New Roman"/>
          <w:sz w:val="24"/>
          <w:szCs w:val="24"/>
          <w:vertAlign w:val="baseline"/>
        </w:rPr>
        <w:t xml:space="preserve"> Belief in witchcraft is prevalent in PNG and the violence associated with WAP is horrific. Whilst witchcraft in PNG is often attributed to causing unexplained incidences and deaths, the prevalence of HIV within the country, spread by high levels of rape, polygamy and infidelity only exacerbate accusations of WAP, as women are often accused of spreading HIV via witchcraft.</w:t>
      </w:r>
      <w:r w:rsidRPr="005F7752">
        <w:rPr>
          <w:rFonts w:ascii="Times New Roman" w:hAnsi="Times New Roman" w:cs="Times New Roman"/>
          <w:sz w:val="24"/>
          <w:szCs w:val="24"/>
        </w:rPr>
        <w:footnoteReference w:id="612"/>
      </w:r>
    </w:p>
    <w:p w14:paraId="49223153" w14:textId="77777777" w:rsidR="00414218" w:rsidRDefault="00414218" w:rsidP="005F7752">
      <w:pPr>
        <w:spacing w:line="480" w:lineRule="auto"/>
        <w:jc w:val="both"/>
        <w:rPr>
          <w:rFonts w:ascii="Times New Roman" w:hAnsi="Times New Roman" w:cs="Times New Roman"/>
          <w:sz w:val="24"/>
          <w:szCs w:val="24"/>
          <w:vertAlign w:val="baseline"/>
        </w:rPr>
      </w:pPr>
    </w:p>
    <w:p w14:paraId="3C067F01" w14:textId="77777777" w:rsidR="005F7752" w:rsidRDefault="005F7752" w:rsidP="00414218">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Due to the largely patriarchal nature of many communities, women in Papua New Guinea have very low social status. As a consequence, gender-based violence is prevalent throughout the country.</w:t>
      </w:r>
      <w:r w:rsidRPr="005F7752">
        <w:rPr>
          <w:rFonts w:ascii="Times New Roman" w:hAnsi="Times New Roman" w:cs="Times New Roman"/>
          <w:sz w:val="24"/>
          <w:szCs w:val="24"/>
        </w:rPr>
        <w:footnoteReference w:id="613"/>
      </w:r>
      <w:r w:rsidRPr="005F7752">
        <w:rPr>
          <w:rFonts w:ascii="Times New Roman" w:hAnsi="Times New Roman" w:cs="Times New Roman"/>
          <w:sz w:val="24"/>
          <w:szCs w:val="24"/>
          <w:vertAlign w:val="baseline"/>
        </w:rPr>
        <w:t xml:space="preserve"> This is validated by the UNDP, who ranks Papua New Guinea 135</w:t>
      </w:r>
      <w:r w:rsidRPr="005F7752">
        <w:rPr>
          <w:rFonts w:ascii="Times New Roman" w:hAnsi="Times New Roman" w:cs="Times New Roman"/>
          <w:sz w:val="24"/>
          <w:szCs w:val="24"/>
        </w:rPr>
        <w:t>th</w:t>
      </w:r>
      <w:r w:rsidRPr="005F7752">
        <w:rPr>
          <w:rFonts w:ascii="Times New Roman" w:hAnsi="Times New Roman" w:cs="Times New Roman"/>
          <w:sz w:val="24"/>
          <w:szCs w:val="24"/>
          <w:vertAlign w:val="baseline"/>
        </w:rPr>
        <w:t xml:space="preserve"> out of 148 countries on the Gender Inequality Index.</w:t>
      </w:r>
      <w:r w:rsidRPr="005F7752">
        <w:rPr>
          <w:rFonts w:ascii="Times New Roman" w:hAnsi="Times New Roman" w:cs="Times New Roman"/>
          <w:sz w:val="24"/>
          <w:szCs w:val="24"/>
        </w:rPr>
        <w:footnoteReference w:id="614"/>
      </w:r>
      <w:r w:rsidRPr="005F7752">
        <w:rPr>
          <w:rFonts w:ascii="Times New Roman" w:hAnsi="Times New Roman" w:cs="Times New Roman"/>
          <w:sz w:val="24"/>
          <w:szCs w:val="24"/>
          <w:vertAlign w:val="baseline"/>
        </w:rPr>
        <w:t xml:space="preserve"> Witchcraft (</w:t>
      </w:r>
      <w:r w:rsidRPr="005F7752">
        <w:rPr>
          <w:rFonts w:ascii="Times New Roman" w:hAnsi="Times New Roman" w:cs="Times New Roman"/>
          <w:i/>
          <w:sz w:val="24"/>
          <w:szCs w:val="24"/>
          <w:vertAlign w:val="baseline"/>
        </w:rPr>
        <w:t>sanguma</w:t>
      </w:r>
      <w:r w:rsidRPr="005F7752">
        <w:rPr>
          <w:rFonts w:ascii="Times New Roman" w:hAnsi="Times New Roman" w:cs="Times New Roman"/>
          <w:sz w:val="24"/>
          <w:szCs w:val="24"/>
          <w:vertAlign w:val="baseline"/>
        </w:rPr>
        <w:t>) killings in Papua New Guinea, particularly within the remote and vast Highlands region, are on the increase and as observed by the Special Rapporteur on torture and other cruel, inhuman or degrading treatment or punishment, authorities ‘lack the capacity to prevent and investigate crimes relating to … accusations of sorcery.’</w:t>
      </w:r>
      <w:r w:rsidRPr="005F7752">
        <w:rPr>
          <w:rFonts w:ascii="Times New Roman" w:hAnsi="Times New Roman" w:cs="Times New Roman"/>
          <w:sz w:val="24"/>
          <w:szCs w:val="24"/>
        </w:rPr>
        <w:footnoteReference w:id="615"/>
      </w:r>
      <w:r w:rsidRPr="005F7752">
        <w:rPr>
          <w:rFonts w:ascii="Times New Roman" w:hAnsi="Times New Roman" w:cs="Times New Roman"/>
          <w:sz w:val="24"/>
          <w:szCs w:val="24"/>
          <w:vertAlign w:val="baseline"/>
        </w:rPr>
        <w:t xml:space="preserve">  According to Amnesty International, the Papua New Guinea authorities claim that women are six times more likely to be accused of sorcery (</w:t>
      </w:r>
      <w:r w:rsidRPr="005F7752">
        <w:rPr>
          <w:rFonts w:ascii="Times New Roman" w:hAnsi="Times New Roman" w:cs="Times New Roman"/>
          <w:i/>
          <w:sz w:val="24"/>
          <w:szCs w:val="24"/>
          <w:vertAlign w:val="baseline"/>
        </w:rPr>
        <w:t>puri-puri</w:t>
      </w:r>
      <w:r w:rsidRPr="005F7752">
        <w:rPr>
          <w:rFonts w:ascii="Times New Roman" w:hAnsi="Times New Roman" w:cs="Times New Roman"/>
          <w:sz w:val="24"/>
          <w:szCs w:val="24"/>
          <w:vertAlign w:val="baseline"/>
        </w:rPr>
        <w:t>) than men.</w:t>
      </w:r>
      <w:r w:rsidRPr="005F7752">
        <w:rPr>
          <w:rFonts w:ascii="Times New Roman" w:hAnsi="Times New Roman" w:cs="Times New Roman"/>
          <w:sz w:val="24"/>
          <w:szCs w:val="24"/>
        </w:rPr>
        <w:footnoteReference w:id="616"/>
      </w:r>
      <w:r w:rsidRPr="005F7752">
        <w:rPr>
          <w:rFonts w:ascii="Times New Roman" w:hAnsi="Times New Roman" w:cs="Times New Roman"/>
          <w:sz w:val="24"/>
          <w:szCs w:val="24"/>
          <w:vertAlign w:val="baseline"/>
        </w:rPr>
        <w:t xml:space="preserve"> Women are automatically suited to ‘house’ the witchcraft spirit, as the spirit is alleged to reside in the womb.</w:t>
      </w:r>
      <w:r w:rsidRPr="005F7752">
        <w:rPr>
          <w:rFonts w:ascii="Times New Roman" w:hAnsi="Times New Roman" w:cs="Times New Roman"/>
          <w:sz w:val="24"/>
          <w:szCs w:val="24"/>
        </w:rPr>
        <w:footnoteReference w:id="617"/>
      </w:r>
      <w:r w:rsidRPr="005F7752">
        <w:rPr>
          <w:rFonts w:ascii="Times New Roman" w:hAnsi="Times New Roman" w:cs="Times New Roman"/>
          <w:sz w:val="24"/>
          <w:szCs w:val="24"/>
          <w:vertAlign w:val="baseline"/>
        </w:rPr>
        <w:t xml:space="preserve"> Punishment allotted to alleged witches in Papua New Guinea is extreme,</w:t>
      </w:r>
    </w:p>
    <w:p w14:paraId="649E1B49" w14:textId="77777777" w:rsidR="00034EC6" w:rsidRPr="005F7752" w:rsidRDefault="00034EC6" w:rsidP="00414218">
      <w:pPr>
        <w:spacing w:line="480" w:lineRule="auto"/>
        <w:ind w:firstLine="720"/>
        <w:jc w:val="both"/>
        <w:rPr>
          <w:rFonts w:ascii="Times New Roman" w:hAnsi="Times New Roman" w:cs="Times New Roman"/>
          <w:sz w:val="24"/>
          <w:szCs w:val="24"/>
          <w:vertAlign w:val="baseline"/>
        </w:rPr>
      </w:pPr>
    </w:p>
    <w:p w14:paraId="60430FB8" w14:textId="77777777" w:rsidR="005F7752" w:rsidRPr="005F7752" w:rsidRDefault="005F7752" w:rsidP="00CF5DA2">
      <w:pPr>
        <w:spacing w:line="480" w:lineRule="auto"/>
        <w:ind w:left="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The accused face inhumane treatment such as beatings with barbed wire, having their bones broken, burning with red hot metal, rape, suspending people over fire, cutting of body parts, amputation of limbs and dragging victims behind moving vehicles. Amongst murders reported to police were those where victims had been buried alive, beheaded, choked to death, thrown over a cliff or into rivers or caves, starved, axed, electrocuted, suffocated with smoke, forced to drink petrol, stoned or shot.</w:t>
      </w:r>
      <w:r w:rsidRPr="005F7752">
        <w:rPr>
          <w:rFonts w:ascii="Times New Roman" w:hAnsi="Times New Roman" w:cs="Times New Roman"/>
          <w:sz w:val="24"/>
          <w:szCs w:val="24"/>
        </w:rPr>
        <w:footnoteReference w:id="618"/>
      </w:r>
      <w:r w:rsidRPr="005F7752">
        <w:rPr>
          <w:rFonts w:ascii="Times New Roman" w:hAnsi="Times New Roman" w:cs="Times New Roman"/>
          <w:sz w:val="24"/>
          <w:szCs w:val="24"/>
          <w:vertAlign w:val="baseline"/>
        </w:rPr>
        <w:t xml:space="preserve"> </w:t>
      </w:r>
    </w:p>
    <w:p w14:paraId="07BEF531" w14:textId="77777777" w:rsidR="005F7752" w:rsidRPr="005F7752" w:rsidRDefault="005F7752" w:rsidP="005F7752">
      <w:pPr>
        <w:spacing w:line="480" w:lineRule="auto"/>
        <w:jc w:val="both"/>
        <w:rPr>
          <w:rFonts w:ascii="Times New Roman" w:hAnsi="Times New Roman" w:cs="Times New Roman"/>
          <w:sz w:val="24"/>
          <w:szCs w:val="24"/>
          <w:vertAlign w:val="baseline"/>
        </w:rPr>
      </w:pPr>
    </w:p>
    <w:p w14:paraId="43D10921" w14:textId="27D097B6" w:rsidR="005F7752" w:rsidRDefault="005F7752" w:rsidP="00CF5DA2">
      <w:pPr>
        <w:spacing w:line="480" w:lineRule="auto"/>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 xml:space="preserve">The </w:t>
      </w:r>
      <w:r w:rsidR="004107A1" w:rsidRPr="005F7752">
        <w:rPr>
          <w:rFonts w:ascii="Times New Roman" w:hAnsi="Times New Roman" w:cs="Times New Roman"/>
          <w:sz w:val="24"/>
          <w:szCs w:val="24"/>
          <w:vertAlign w:val="baseline"/>
        </w:rPr>
        <w:t>perpetrators justify the brutality of the violence</w:t>
      </w:r>
      <w:r w:rsidRPr="005F7752">
        <w:rPr>
          <w:rFonts w:ascii="Times New Roman" w:hAnsi="Times New Roman" w:cs="Times New Roman"/>
          <w:sz w:val="24"/>
          <w:szCs w:val="24"/>
          <w:vertAlign w:val="baseline"/>
        </w:rPr>
        <w:t xml:space="preserve"> by stating that witches do not feel the same pain as humans. As observed by Eves and Kelly-Hanku, </w:t>
      </w:r>
    </w:p>
    <w:p w14:paraId="67C180FD" w14:textId="77777777" w:rsidR="00CF5DA2" w:rsidRPr="005F7752" w:rsidRDefault="00CF5DA2" w:rsidP="00CF5DA2">
      <w:pPr>
        <w:spacing w:line="480" w:lineRule="auto"/>
        <w:jc w:val="both"/>
        <w:rPr>
          <w:rFonts w:ascii="Times New Roman" w:hAnsi="Times New Roman" w:cs="Times New Roman"/>
          <w:sz w:val="24"/>
          <w:szCs w:val="24"/>
          <w:vertAlign w:val="baseline"/>
        </w:rPr>
      </w:pPr>
    </w:p>
    <w:p w14:paraId="455816E6" w14:textId="77777777" w:rsidR="005F7752" w:rsidRPr="005F7752" w:rsidRDefault="005F7752" w:rsidP="00CF5DA2">
      <w:pPr>
        <w:spacing w:line="480" w:lineRule="auto"/>
        <w:ind w:left="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The perpetrators (and others) consistently commented that witches do not experience being cut or burnt, that their skin is like ‘rubber’ and knives bounce off them, or that wounds inflicted by heated iron rods heal instantly. Several perpetrators claimed that victims who have been dismembered have been seen alive in other places because witches have the power to re-form (</w:t>
      </w:r>
      <w:r w:rsidRPr="005F7752">
        <w:rPr>
          <w:rFonts w:ascii="Times New Roman" w:hAnsi="Times New Roman" w:cs="Times New Roman"/>
          <w:i/>
          <w:sz w:val="24"/>
          <w:szCs w:val="24"/>
          <w:vertAlign w:val="baseline"/>
        </w:rPr>
        <w:t>join-join).</w:t>
      </w:r>
      <w:r w:rsidRPr="005F7752">
        <w:rPr>
          <w:rFonts w:ascii="Times New Roman" w:hAnsi="Times New Roman" w:cs="Times New Roman"/>
          <w:sz w:val="24"/>
          <w:szCs w:val="24"/>
        </w:rPr>
        <w:t xml:space="preserve"> </w:t>
      </w:r>
      <w:r w:rsidRPr="005F7752">
        <w:rPr>
          <w:rFonts w:ascii="Times New Roman" w:hAnsi="Times New Roman" w:cs="Times New Roman"/>
          <w:sz w:val="24"/>
          <w:szCs w:val="24"/>
        </w:rPr>
        <w:footnoteReference w:id="619"/>
      </w:r>
    </w:p>
    <w:p w14:paraId="5F733C36" w14:textId="77777777" w:rsidR="005F7752" w:rsidRPr="005F7752" w:rsidRDefault="005F7752" w:rsidP="00CF5DA2">
      <w:pPr>
        <w:spacing w:line="480" w:lineRule="auto"/>
        <w:jc w:val="both"/>
        <w:rPr>
          <w:rFonts w:ascii="Times New Roman" w:hAnsi="Times New Roman" w:cs="Times New Roman"/>
          <w:sz w:val="24"/>
          <w:szCs w:val="24"/>
          <w:vertAlign w:val="baseline"/>
        </w:rPr>
      </w:pPr>
    </w:p>
    <w:p w14:paraId="3214A65B" w14:textId="1EB19382" w:rsidR="00AA4F0B" w:rsidRDefault="005F7752" w:rsidP="000D7FA8">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 xml:space="preserve">The shocking murder of </w:t>
      </w:r>
      <w:r w:rsidR="00B923EE" w:rsidRPr="005F7752">
        <w:rPr>
          <w:rFonts w:ascii="Times New Roman" w:hAnsi="Times New Roman" w:cs="Times New Roman"/>
          <w:sz w:val="24"/>
          <w:szCs w:val="24"/>
          <w:vertAlign w:val="baseline"/>
        </w:rPr>
        <w:t>20-year-old</w:t>
      </w:r>
      <w:r w:rsidRPr="005F7752">
        <w:rPr>
          <w:rFonts w:ascii="Times New Roman" w:hAnsi="Times New Roman" w:cs="Times New Roman"/>
          <w:sz w:val="24"/>
          <w:szCs w:val="24"/>
          <w:vertAlign w:val="baseline"/>
        </w:rPr>
        <w:t xml:space="preserve"> Kepari </w:t>
      </w:r>
      <w:r w:rsidR="00DD62D3" w:rsidRPr="005F7752">
        <w:rPr>
          <w:rFonts w:ascii="Times New Roman" w:hAnsi="Times New Roman" w:cs="Times New Roman"/>
          <w:sz w:val="24"/>
          <w:szCs w:val="24"/>
          <w:vertAlign w:val="baseline"/>
        </w:rPr>
        <w:t>Leniata</w:t>
      </w:r>
      <w:r w:rsidRPr="005F7752">
        <w:rPr>
          <w:rFonts w:ascii="Times New Roman" w:hAnsi="Times New Roman" w:cs="Times New Roman"/>
          <w:sz w:val="24"/>
          <w:szCs w:val="24"/>
          <w:vertAlign w:val="baseline"/>
        </w:rPr>
        <w:t xml:space="preserve"> brought the issue of witchcraft accusations and persecution within Papua New Guinea to the attention of the global community and was reported worldwide in the media.  In February 2013, in the highland village of Paiala, Kepari Leniata was accused of murdering a neighbour’s </w:t>
      </w:r>
      <w:r w:rsidR="007E786D" w:rsidRPr="005F7752">
        <w:rPr>
          <w:rFonts w:ascii="Times New Roman" w:hAnsi="Times New Roman" w:cs="Times New Roman"/>
          <w:sz w:val="24"/>
          <w:szCs w:val="24"/>
          <w:vertAlign w:val="baseline"/>
        </w:rPr>
        <w:t>6-year-old</w:t>
      </w:r>
      <w:r w:rsidRPr="005F7752">
        <w:rPr>
          <w:rFonts w:ascii="Times New Roman" w:hAnsi="Times New Roman" w:cs="Times New Roman"/>
          <w:sz w:val="24"/>
          <w:szCs w:val="24"/>
          <w:vertAlign w:val="baseline"/>
        </w:rPr>
        <w:t xml:space="preserve"> son through witchcraft. As a result, she was dragged from her hut, stripped naked and tortured with hot iron rods, before being dragged to the local rubbish dump, where she had her hands and feet bound, was doused in petrol and thrown onto a fire of burning tires. It is reported that whilst she screamed in pain, members of the boy’s family continued to throw more petrol-soaked tyres on top of her.</w:t>
      </w:r>
      <w:r w:rsidRPr="005F7752">
        <w:rPr>
          <w:rFonts w:ascii="Times New Roman" w:hAnsi="Times New Roman" w:cs="Times New Roman"/>
          <w:sz w:val="24"/>
          <w:szCs w:val="24"/>
        </w:rPr>
        <w:footnoteReference w:id="620"/>
      </w:r>
      <w:r w:rsidRPr="005F7752">
        <w:rPr>
          <w:rFonts w:ascii="Times New Roman" w:hAnsi="Times New Roman" w:cs="Times New Roman"/>
          <w:sz w:val="24"/>
          <w:szCs w:val="24"/>
          <w:vertAlign w:val="baseline"/>
        </w:rPr>
        <w:t xml:space="preserve"> In June 2013, a 40 year old teacher, Helen Rumbali was accused of practising witchcraft against her neighbour, who had become ill and died. It is alleged that a ‘swarm of fire flies’ led the villagers from the grave of the deceased towards the home of Helen Rumbali.</w:t>
      </w:r>
      <w:r w:rsidRPr="005F7752">
        <w:rPr>
          <w:rFonts w:ascii="Times New Roman" w:hAnsi="Times New Roman" w:cs="Times New Roman"/>
          <w:sz w:val="24"/>
          <w:szCs w:val="24"/>
        </w:rPr>
        <w:footnoteReference w:id="621"/>
      </w:r>
      <w:r w:rsidRPr="005F7752">
        <w:rPr>
          <w:rFonts w:ascii="Times New Roman" w:hAnsi="Times New Roman" w:cs="Times New Roman"/>
          <w:sz w:val="24"/>
          <w:szCs w:val="24"/>
          <w:vertAlign w:val="baseline"/>
        </w:rPr>
        <w:t xml:space="preserve"> On reaching the house, the villages dragged Helen Rumbali from her home before setting fire to it. She was then slashed repeatedly with machetes and axes before being publicly beheaded.</w:t>
      </w:r>
      <w:r w:rsidRPr="005F7752">
        <w:rPr>
          <w:rFonts w:ascii="Times New Roman" w:hAnsi="Times New Roman" w:cs="Times New Roman"/>
          <w:sz w:val="24"/>
          <w:szCs w:val="24"/>
        </w:rPr>
        <w:footnoteReference w:id="622"/>
      </w:r>
      <w:r w:rsidRPr="005F7752">
        <w:rPr>
          <w:rFonts w:ascii="Times New Roman" w:hAnsi="Times New Roman" w:cs="Times New Roman"/>
          <w:sz w:val="24"/>
          <w:szCs w:val="24"/>
          <w:vertAlign w:val="baseline"/>
        </w:rPr>
        <w:t xml:space="preserve"> </w:t>
      </w:r>
    </w:p>
    <w:p w14:paraId="4DACE335" w14:textId="77777777" w:rsidR="00AA4F0B" w:rsidRDefault="00AA4F0B" w:rsidP="000D7FA8">
      <w:pPr>
        <w:spacing w:line="480" w:lineRule="auto"/>
        <w:ind w:firstLine="720"/>
        <w:jc w:val="both"/>
        <w:rPr>
          <w:rFonts w:ascii="Times New Roman" w:hAnsi="Times New Roman" w:cs="Times New Roman"/>
          <w:sz w:val="24"/>
          <w:szCs w:val="24"/>
          <w:vertAlign w:val="baseline"/>
        </w:rPr>
      </w:pPr>
    </w:p>
    <w:p w14:paraId="62D9C878" w14:textId="1FAAE904" w:rsidR="005F7752" w:rsidRDefault="005F7752" w:rsidP="000D7FA8">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Poulsen, a human rights advisor on Papua New Guinea to the United Nations, suggests that ‘allegations follow a sudden death or illness within the community. However, some observers have also pointed out that issues such as social stress and change, poverty, uneven development and dispute over land may also play a role in some cases.’</w:t>
      </w:r>
      <w:r w:rsidRPr="005F7752">
        <w:rPr>
          <w:rFonts w:ascii="Times New Roman" w:hAnsi="Times New Roman" w:cs="Times New Roman"/>
          <w:sz w:val="24"/>
          <w:szCs w:val="24"/>
        </w:rPr>
        <w:footnoteReference w:id="623"/>
      </w:r>
      <w:r w:rsidRPr="005F7752">
        <w:rPr>
          <w:rFonts w:ascii="Times New Roman" w:hAnsi="Times New Roman" w:cs="Times New Roman"/>
          <w:sz w:val="24"/>
          <w:szCs w:val="24"/>
          <w:vertAlign w:val="baseline"/>
        </w:rPr>
        <w:t xml:space="preserve"> This is validated by Helen Hakena, chairwoman of the North Bougainville Human Rights Committee in Papua New Guinea, who believes that the witchcraft accusation against Hel</w:t>
      </w:r>
      <w:r w:rsidR="007E786D">
        <w:rPr>
          <w:rFonts w:ascii="Times New Roman" w:hAnsi="Times New Roman" w:cs="Times New Roman"/>
          <w:sz w:val="24"/>
          <w:szCs w:val="24"/>
          <w:vertAlign w:val="baseline"/>
        </w:rPr>
        <w:t>en Rumbali was simply an excuse;</w:t>
      </w:r>
      <w:r w:rsidRPr="005F7752">
        <w:rPr>
          <w:rFonts w:ascii="Times New Roman" w:hAnsi="Times New Roman" w:cs="Times New Roman"/>
          <w:sz w:val="24"/>
          <w:szCs w:val="24"/>
          <w:vertAlign w:val="baseline"/>
        </w:rPr>
        <w:t xml:space="preserve"> </w:t>
      </w:r>
    </w:p>
    <w:p w14:paraId="5C1C3360" w14:textId="40EBDFF6" w:rsidR="00524BD2" w:rsidRPr="005F7752" w:rsidRDefault="00524BD2" w:rsidP="000D7FA8">
      <w:pPr>
        <w:spacing w:line="480" w:lineRule="auto"/>
        <w:ind w:firstLine="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               </w:t>
      </w:r>
    </w:p>
    <w:p w14:paraId="57EC902A" w14:textId="65975F89" w:rsidR="005F7752" w:rsidRPr="005F7752" w:rsidRDefault="005F7752" w:rsidP="00CF5DA2">
      <w:pPr>
        <w:spacing w:line="480" w:lineRule="auto"/>
        <w:ind w:left="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Jealousy is causing a lot of hatred. People who are so jealous of those who are doing well in life, they resort to what our people believe in, sorcery, to kill them, to stop them continuing their own development</w:t>
      </w:r>
      <w:r w:rsidR="008158D5">
        <w:rPr>
          <w:rFonts w:ascii="Times New Roman" w:hAnsi="Times New Roman" w:cs="Times New Roman"/>
          <w:sz w:val="24"/>
          <w:szCs w:val="24"/>
          <w:vertAlign w:val="baseline"/>
        </w:rPr>
        <w:t xml:space="preserve"> </w:t>
      </w:r>
      <w:r w:rsidRPr="005F7752">
        <w:rPr>
          <w:rFonts w:ascii="Times New Roman" w:hAnsi="Times New Roman" w:cs="Times New Roman"/>
          <w:sz w:val="24"/>
          <w:szCs w:val="24"/>
          <w:vertAlign w:val="baseline"/>
        </w:rPr>
        <w:t>…</w:t>
      </w:r>
      <w:r w:rsidR="008158D5">
        <w:rPr>
          <w:rFonts w:ascii="Times New Roman" w:hAnsi="Times New Roman" w:cs="Times New Roman"/>
          <w:sz w:val="24"/>
          <w:szCs w:val="24"/>
          <w:vertAlign w:val="baseline"/>
        </w:rPr>
        <w:t xml:space="preserve"> </w:t>
      </w:r>
      <w:r w:rsidRPr="005F7752">
        <w:rPr>
          <w:rFonts w:ascii="Times New Roman" w:hAnsi="Times New Roman" w:cs="Times New Roman"/>
          <w:sz w:val="24"/>
          <w:szCs w:val="24"/>
          <w:vertAlign w:val="baseline"/>
        </w:rPr>
        <w:t>That was definitely a case of jealousy because her family is really quite well off.</w:t>
      </w:r>
      <w:r w:rsidRPr="005F7752">
        <w:rPr>
          <w:rFonts w:ascii="Times New Roman" w:hAnsi="Times New Roman" w:cs="Times New Roman"/>
          <w:sz w:val="24"/>
          <w:szCs w:val="24"/>
        </w:rPr>
        <w:footnoteReference w:id="624"/>
      </w:r>
    </w:p>
    <w:p w14:paraId="29637CAB" w14:textId="77777777" w:rsidR="005F7752" w:rsidRPr="005F7752" w:rsidRDefault="005F7752" w:rsidP="005F7752">
      <w:pPr>
        <w:spacing w:line="480" w:lineRule="auto"/>
        <w:jc w:val="both"/>
        <w:rPr>
          <w:rFonts w:ascii="Times New Roman" w:hAnsi="Times New Roman" w:cs="Times New Roman"/>
          <w:b/>
          <w:sz w:val="24"/>
          <w:szCs w:val="24"/>
          <w:u w:val="single"/>
          <w:vertAlign w:val="baseline"/>
        </w:rPr>
      </w:pPr>
    </w:p>
    <w:p w14:paraId="703625AD" w14:textId="6BAE38C0" w:rsidR="00FB5CA9" w:rsidRPr="005F7752" w:rsidRDefault="005F7752" w:rsidP="00FB5CA9">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 xml:space="preserve">The SR on VAW, the SR on torture and the SR on extrajudicial, summary or arbitrary executions have all documented high levels of WAP related violence in PNG. </w:t>
      </w:r>
      <w:r w:rsidR="00FB5CA9" w:rsidRPr="005F7752">
        <w:rPr>
          <w:rFonts w:ascii="Times New Roman" w:hAnsi="Times New Roman" w:cs="Times New Roman"/>
          <w:sz w:val="24"/>
          <w:szCs w:val="24"/>
          <w:vertAlign w:val="baseline"/>
        </w:rPr>
        <w:t>The previous SR on torture, Manfred Nowak, produced his report on PNG in 2011.</w:t>
      </w:r>
      <w:r w:rsidR="00FB5CA9" w:rsidRPr="005F7752">
        <w:rPr>
          <w:rFonts w:ascii="Times New Roman" w:hAnsi="Times New Roman" w:cs="Times New Roman"/>
          <w:sz w:val="24"/>
          <w:szCs w:val="24"/>
        </w:rPr>
        <w:footnoteReference w:id="625"/>
      </w:r>
      <w:r w:rsidR="00FB5CA9">
        <w:rPr>
          <w:rFonts w:ascii="Times New Roman" w:hAnsi="Times New Roman" w:cs="Times New Roman"/>
          <w:sz w:val="24"/>
          <w:szCs w:val="24"/>
          <w:vertAlign w:val="baseline"/>
        </w:rPr>
        <w:t xml:space="preserve"> </w:t>
      </w:r>
      <w:r w:rsidR="00FB5CA9" w:rsidRPr="005F7752">
        <w:rPr>
          <w:rFonts w:ascii="Times New Roman" w:hAnsi="Times New Roman" w:cs="Times New Roman"/>
          <w:sz w:val="24"/>
          <w:szCs w:val="24"/>
          <w:vertAlign w:val="baseline"/>
        </w:rPr>
        <w:t>As regards the situation in PNG, the SR on torture was concerned by the fact that the Royal Papua New Guinea Constabulary ‘lacks the capacity to prevent and investigate crimes related to domestic violence, tribal fighting and accusations of sorcery.’</w:t>
      </w:r>
      <w:r w:rsidR="00FB5CA9" w:rsidRPr="005F7752">
        <w:rPr>
          <w:rFonts w:ascii="Times New Roman" w:hAnsi="Times New Roman" w:cs="Times New Roman"/>
          <w:sz w:val="24"/>
          <w:szCs w:val="24"/>
        </w:rPr>
        <w:footnoteReference w:id="626"/>
      </w:r>
      <w:r w:rsidR="00FB5CA9" w:rsidRPr="005F7752">
        <w:rPr>
          <w:rFonts w:ascii="Times New Roman" w:hAnsi="Times New Roman" w:cs="Times New Roman"/>
          <w:sz w:val="24"/>
          <w:szCs w:val="24"/>
          <w:vertAlign w:val="baseline"/>
        </w:rPr>
        <w:t xml:space="preserve"> Moreover, the report makes reference to the CEDAW Committee, who have expressed ‘serious concern about reports of torture and killings of women and girls accused of sorcery, and urged the State to take immediate and effective measures to investigate these acts.’</w:t>
      </w:r>
      <w:r w:rsidR="00FB5CA9" w:rsidRPr="005F7752">
        <w:rPr>
          <w:rFonts w:ascii="Times New Roman" w:hAnsi="Times New Roman" w:cs="Times New Roman"/>
          <w:sz w:val="24"/>
          <w:szCs w:val="24"/>
        </w:rPr>
        <w:footnoteReference w:id="627"/>
      </w:r>
      <w:r w:rsidR="00FB5CA9" w:rsidRPr="005F7752">
        <w:rPr>
          <w:rFonts w:ascii="Times New Roman" w:hAnsi="Times New Roman" w:cs="Times New Roman"/>
          <w:sz w:val="24"/>
          <w:szCs w:val="24"/>
          <w:vertAlign w:val="baseline"/>
        </w:rPr>
        <w:t xml:space="preserve"> The SR on torture “witnessed” high levels of violence by the authorities in PNG, with a particular incident of violence aimed directly at the SR by an intelligence officer at Buka police station. There were also incidents of victims of WAP being held in cells at police stations for their own protection. On arrival at the Arawa police station, in the Autonomous Region of Bougainville, the SR on torture learned that the police station was supported by approximately seventy community police officers who had no power to investigate any crimes.</w:t>
      </w:r>
      <w:r w:rsidR="00FB5CA9" w:rsidRPr="005F7752">
        <w:rPr>
          <w:rFonts w:ascii="Times New Roman" w:hAnsi="Times New Roman" w:cs="Times New Roman"/>
          <w:sz w:val="24"/>
          <w:szCs w:val="24"/>
        </w:rPr>
        <w:footnoteReference w:id="628"/>
      </w:r>
      <w:r w:rsidR="00FB5CA9" w:rsidRPr="005F7752">
        <w:rPr>
          <w:rFonts w:ascii="Times New Roman" w:hAnsi="Times New Roman" w:cs="Times New Roman"/>
          <w:sz w:val="24"/>
          <w:szCs w:val="24"/>
          <w:vertAlign w:val="baseline"/>
        </w:rPr>
        <w:t xml:space="preserve"> Regarding cases of sorcery, the SR was informed that in Arawa, the police had not investigated any such cases in the villages stating that ‘there are too many cases in the communities and not enough resources.’</w:t>
      </w:r>
      <w:r w:rsidR="00FB5CA9" w:rsidRPr="005F7752">
        <w:rPr>
          <w:rFonts w:ascii="Times New Roman" w:hAnsi="Times New Roman" w:cs="Times New Roman"/>
          <w:sz w:val="24"/>
          <w:szCs w:val="24"/>
        </w:rPr>
        <w:footnoteReference w:id="629"/>
      </w:r>
    </w:p>
    <w:p w14:paraId="685045D9" w14:textId="77777777" w:rsidR="00FB5CA9" w:rsidRPr="005F7752" w:rsidRDefault="00FB5CA9" w:rsidP="00FB5CA9">
      <w:pPr>
        <w:spacing w:line="480" w:lineRule="auto"/>
        <w:jc w:val="both"/>
        <w:rPr>
          <w:rFonts w:ascii="Times New Roman" w:hAnsi="Times New Roman" w:cs="Times New Roman"/>
          <w:sz w:val="24"/>
          <w:szCs w:val="24"/>
          <w:vertAlign w:val="baseline"/>
        </w:rPr>
      </w:pPr>
    </w:p>
    <w:p w14:paraId="6A94742A" w14:textId="63E08A64" w:rsidR="00FB5CA9" w:rsidRDefault="00FB5CA9" w:rsidP="00FB5CA9">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 xml:space="preserve">The </w:t>
      </w:r>
      <w:r>
        <w:rPr>
          <w:rFonts w:ascii="Times New Roman" w:hAnsi="Times New Roman" w:cs="Times New Roman"/>
          <w:sz w:val="24"/>
          <w:szCs w:val="24"/>
          <w:vertAlign w:val="baseline"/>
        </w:rPr>
        <w:t xml:space="preserve">current </w:t>
      </w:r>
      <w:r w:rsidRPr="005F7752">
        <w:rPr>
          <w:rFonts w:ascii="Times New Roman" w:hAnsi="Times New Roman" w:cs="Times New Roman"/>
          <w:sz w:val="24"/>
          <w:szCs w:val="24"/>
          <w:vertAlign w:val="baseline"/>
        </w:rPr>
        <w:t>SR on torture visited PNG from 3 to 14 March 2014. As with India, there is a section within his report dedicated to violence related to sorcery and witchcraft accusations.</w:t>
      </w:r>
      <w:r w:rsidRPr="005F7752">
        <w:rPr>
          <w:rFonts w:ascii="Times New Roman" w:hAnsi="Times New Roman" w:cs="Times New Roman"/>
          <w:sz w:val="24"/>
          <w:szCs w:val="24"/>
        </w:rPr>
        <w:footnoteReference w:id="630"/>
      </w:r>
      <w:r w:rsidRPr="005F7752">
        <w:rPr>
          <w:rFonts w:ascii="Times New Roman" w:hAnsi="Times New Roman" w:cs="Times New Roman"/>
          <w:sz w:val="24"/>
          <w:szCs w:val="24"/>
          <w:vertAlign w:val="baseline"/>
        </w:rPr>
        <w:t xml:space="preserve"> Within his report, the SR makes reference to the ‘wantok’</w:t>
      </w:r>
      <w:r w:rsidRPr="005F7752">
        <w:rPr>
          <w:rFonts w:ascii="Times New Roman" w:hAnsi="Times New Roman" w:cs="Times New Roman"/>
          <w:sz w:val="24"/>
          <w:szCs w:val="24"/>
        </w:rPr>
        <w:footnoteReference w:id="631"/>
      </w:r>
      <w:r w:rsidRPr="005F7752">
        <w:rPr>
          <w:rFonts w:ascii="Times New Roman" w:hAnsi="Times New Roman" w:cs="Times New Roman"/>
          <w:sz w:val="24"/>
          <w:szCs w:val="24"/>
          <w:vertAlign w:val="baseline"/>
        </w:rPr>
        <w:t xml:space="preserve"> system, in which ‘customs are often stronger than that of the law and the State,’</w:t>
      </w:r>
      <w:r w:rsidRPr="005F7752">
        <w:rPr>
          <w:rFonts w:ascii="Times New Roman" w:hAnsi="Times New Roman" w:cs="Times New Roman"/>
          <w:sz w:val="24"/>
          <w:szCs w:val="24"/>
        </w:rPr>
        <w:footnoteReference w:id="632"/>
      </w:r>
      <w:r w:rsidRPr="005F7752">
        <w:rPr>
          <w:rFonts w:ascii="Times New Roman" w:hAnsi="Times New Roman" w:cs="Times New Roman"/>
          <w:sz w:val="24"/>
          <w:szCs w:val="24"/>
          <w:vertAlign w:val="baseline"/>
        </w:rPr>
        <w:t xml:space="preserve"> and documents the practice of ‘payback,’ which is essentially a form of retaliation carried out by a group when a member has been harmed in some way. The strong belief in the power of the supernatural, in particular sorcery and witchcraft, combined with the aforementioned practices of wantok and payback can have serious consequences for victims of WAP. Thus, when someone dies from unexplained causes, the accused is punished through the practice of ‘payback’ and the perpetrators protected through the system of ‘wantok.’ The report documents the prevalent and traumatising nature of witchcraft in PNG, stating that,</w:t>
      </w:r>
    </w:p>
    <w:p w14:paraId="2089A0C7" w14:textId="77777777" w:rsidR="00034EC6" w:rsidRPr="005F7752" w:rsidRDefault="00034EC6" w:rsidP="00FB5CA9">
      <w:pPr>
        <w:spacing w:line="480" w:lineRule="auto"/>
        <w:ind w:firstLine="720"/>
        <w:jc w:val="both"/>
        <w:rPr>
          <w:rFonts w:ascii="Times New Roman" w:hAnsi="Times New Roman" w:cs="Times New Roman"/>
          <w:sz w:val="24"/>
          <w:szCs w:val="24"/>
          <w:vertAlign w:val="baseline"/>
        </w:rPr>
      </w:pPr>
    </w:p>
    <w:p w14:paraId="5C396365" w14:textId="77777777" w:rsidR="00FB5CA9" w:rsidRPr="005F7752" w:rsidRDefault="00FB5CA9" w:rsidP="00FB5CA9">
      <w:pPr>
        <w:spacing w:line="480" w:lineRule="auto"/>
        <w:ind w:left="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The reality of the terror, pain and suffering and social disruption caused by accusations of sorcery and witchcraft is only fully understood when one is confronted with the family of victims and the survivors who carry the scars of the attacks … it is a vicious practice with no place in today’s human rights era.</w:t>
      </w:r>
      <w:r w:rsidRPr="005F7752">
        <w:rPr>
          <w:rFonts w:ascii="Times New Roman" w:hAnsi="Times New Roman" w:cs="Times New Roman"/>
          <w:sz w:val="24"/>
          <w:szCs w:val="24"/>
        </w:rPr>
        <w:footnoteReference w:id="633"/>
      </w:r>
    </w:p>
    <w:p w14:paraId="62DB6A9F" w14:textId="77777777" w:rsidR="00FB5CA9" w:rsidRDefault="00FB5CA9" w:rsidP="00FE5F41">
      <w:pPr>
        <w:spacing w:line="480" w:lineRule="auto"/>
        <w:ind w:firstLine="720"/>
        <w:jc w:val="both"/>
        <w:rPr>
          <w:rFonts w:ascii="Times New Roman" w:hAnsi="Times New Roman" w:cs="Times New Roman"/>
          <w:sz w:val="24"/>
          <w:szCs w:val="24"/>
          <w:vertAlign w:val="baseline"/>
        </w:rPr>
      </w:pPr>
    </w:p>
    <w:p w14:paraId="68B264B1" w14:textId="16964BC7" w:rsidR="005F7752" w:rsidRPr="005F7752" w:rsidRDefault="005F7752" w:rsidP="00FB5CA9">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The</w:t>
      </w:r>
      <w:r w:rsidR="00CF5DA2">
        <w:rPr>
          <w:rFonts w:ascii="Times New Roman" w:hAnsi="Times New Roman" w:cs="Times New Roman"/>
          <w:sz w:val="24"/>
          <w:szCs w:val="24"/>
          <w:vertAlign w:val="baseline"/>
        </w:rPr>
        <w:t xml:space="preserve"> current Special Rapporteur</w:t>
      </w:r>
      <w:r w:rsidRPr="005F7752">
        <w:rPr>
          <w:rFonts w:ascii="Times New Roman" w:hAnsi="Times New Roman" w:cs="Times New Roman"/>
          <w:sz w:val="24"/>
          <w:szCs w:val="24"/>
          <w:vertAlign w:val="baseline"/>
        </w:rPr>
        <w:t xml:space="preserve"> on VAW, Rashida Manjoo, visited PNG from the 18 to 26 March 2012.</w:t>
      </w:r>
      <w:r w:rsidRPr="005F7752">
        <w:rPr>
          <w:rFonts w:ascii="Times New Roman" w:hAnsi="Times New Roman" w:cs="Times New Roman"/>
          <w:sz w:val="24"/>
          <w:szCs w:val="24"/>
        </w:rPr>
        <w:footnoteReference w:id="634"/>
      </w:r>
      <w:r w:rsidRPr="005F7752">
        <w:rPr>
          <w:rFonts w:ascii="Times New Roman" w:hAnsi="Times New Roman" w:cs="Times New Roman"/>
          <w:sz w:val="24"/>
          <w:szCs w:val="24"/>
          <w:vertAlign w:val="baseline"/>
        </w:rPr>
        <w:t xml:space="preserve"> The rationale for the visit was to examine the state of VAW in PNG, specifically violence in the family and community, violence in institutional settings and violence related to the development of PNG’s extractive industries.</w:t>
      </w:r>
      <w:r w:rsidRPr="005F7752">
        <w:rPr>
          <w:rFonts w:ascii="Times New Roman" w:hAnsi="Times New Roman" w:cs="Times New Roman"/>
          <w:sz w:val="24"/>
          <w:szCs w:val="24"/>
        </w:rPr>
        <w:footnoteReference w:id="635"/>
      </w:r>
      <w:r w:rsidRPr="005F7752">
        <w:rPr>
          <w:rFonts w:ascii="Times New Roman" w:hAnsi="Times New Roman" w:cs="Times New Roman"/>
          <w:sz w:val="24"/>
          <w:szCs w:val="24"/>
          <w:vertAlign w:val="baseline"/>
        </w:rPr>
        <w:t xml:space="preserve"> In her report, the SR discusses how the state has responded to such violence and provides recommendations to the state. VAW, in various forms is prevalent in PNG, as is the belief in sorcery and witchcraft, with an estimated 90 per cent of the population believing in its existence.</w:t>
      </w:r>
      <w:r w:rsidRPr="005F7752">
        <w:rPr>
          <w:rFonts w:ascii="Times New Roman" w:hAnsi="Times New Roman" w:cs="Times New Roman"/>
          <w:sz w:val="24"/>
          <w:szCs w:val="24"/>
        </w:rPr>
        <w:footnoteReference w:id="636"/>
      </w:r>
      <w:r w:rsidRPr="005F7752">
        <w:rPr>
          <w:rFonts w:ascii="Times New Roman" w:hAnsi="Times New Roman" w:cs="Times New Roman"/>
          <w:sz w:val="24"/>
          <w:szCs w:val="24"/>
          <w:vertAlign w:val="baseline"/>
        </w:rPr>
        <w:t xml:space="preserve"> The SR reports that this belief is shared throughout ‘all educational and socioeconomic levels, who fear harm or misfortune that they see as caused deliberately through supernatural powers.’</w:t>
      </w:r>
      <w:r w:rsidRPr="005F7752">
        <w:rPr>
          <w:rFonts w:ascii="Times New Roman" w:hAnsi="Times New Roman" w:cs="Times New Roman"/>
          <w:sz w:val="24"/>
          <w:szCs w:val="24"/>
        </w:rPr>
        <w:footnoteReference w:id="637"/>
      </w:r>
      <w:r w:rsidRPr="005F7752">
        <w:rPr>
          <w:rFonts w:ascii="Times New Roman" w:hAnsi="Times New Roman" w:cs="Times New Roman"/>
          <w:sz w:val="24"/>
          <w:szCs w:val="24"/>
          <w:vertAlign w:val="baseline"/>
        </w:rPr>
        <w:t xml:space="preserve"> Due to such belief, natural causes and medical reasons for illness and death are dismissed. Consequently, in PNG, there are high levels of interrogation, torture, rape, mutilation, exile and murders of alleged witches. During the SR’s visit to PNG, </w:t>
      </w:r>
      <w:r w:rsidR="00CF5DA2">
        <w:rPr>
          <w:rFonts w:ascii="Times New Roman" w:hAnsi="Times New Roman" w:cs="Times New Roman"/>
          <w:sz w:val="24"/>
          <w:szCs w:val="24"/>
          <w:vertAlign w:val="baseline"/>
        </w:rPr>
        <w:t>she</w:t>
      </w:r>
      <w:r w:rsidRPr="005F7752">
        <w:rPr>
          <w:rFonts w:ascii="Times New Roman" w:hAnsi="Times New Roman" w:cs="Times New Roman"/>
          <w:sz w:val="24"/>
          <w:szCs w:val="24"/>
          <w:vertAlign w:val="baseline"/>
        </w:rPr>
        <w:t xml:space="preserve"> witnessed the level of brutality perpetrated against alleged witches, meeting with women survivors who shared oral and written testimonies of the abuse.</w:t>
      </w:r>
      <w:r w:rsidRPr="005F7752">
        <w:rPr>
          <w:rFonts w:ascii="Times New Roman" w:hAnsi="Times New Roman" w:cs="Times New Roman"/>
          <w:sz w:val="24"/>
          <w:szCs w:val="24"/>
        </w:rPr>
        <w:footnoteReference w:id="638"/>
      </w:r>
      <w:r w:rsidRPr="005F7752">
        <w:rPr>
          <w:rFonts w:ascii="Times New Roman" w:hAnsi="Times New Roman" w:cs="Times New Roman"/>
          <w:sz w:val="24"/>
          <w:szCs w:val="24"/>
          <w:vertAlign w:val="baseline"/>
        </w:rPr>
        <w:t xml:space="preserve"> The SR documents two testimonies of women accused of witchcraft within her report.</w:t>
      </w:r>
      <w:r w:rsidRPr="005F7752">
        <w:rPr>
          <w:rFonts w:ascii="Times New Roman" w:hAnsi="Times New Roman" w:cs="Times New Roman"/>
          <w:sz w:val="24"/>
          <w:szCs w:val="24"/>
        </w:rPr>
        <w:footnoteReference w:id="639"/>
      </w:r>
      <w:r w:rsidRPr="005F7752">
        <w:rPr>
          <w:rFonts w:ascii="Times New Roman" w:hAnsi="Times New Roman" w:cs="Times New Roman"/>
          <w:sz w:val="24"/>
          <w:szCs w:val="24"/>
          <w:vertAlign w:val="baseline"/>
        </w:rPr>
        <w:t xml:space="preserve"> </w:t>
      </w:r>
    </w:p>
    <w:p w14:paraId="70772503" w14:textId="77777777" w:rsidR="006D14C1" w:rsidRDefault="006D14C1" w:rsidP="005F7752">
      <w:pPr>
        <w:spacing w:line="480" w:lineRule="auto"/>
        <w:jc w:val="both"/>
        <w:rPr>
          <w:rFonts w:ascii="Times New Roman" w:hAnsi="Times New Roman" w:cs="Times New Roman"/>
          <w:sz w:val="24"/>
          <w:szCs w:val="24"/>
          <w:vertAlign w:val="baseline"/>
        </w:rPr>
      </w:pPr>
    </w:p>
    <w:p w14:paraId="1ECDB976" w14:textId="1C3C2145" w:rsidR="005F7752" w:rsidRPr="005F7752" w:rsidRDefault="005F7752" w:rsidP="006D14C1">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On 14 March 2012 victim A, a fifty year old women from Simbu province, was accused of killing her husband, through sorcery, by a group of men, from the same village. The men attacked the victim in her garden with bush knives and axes, injuring her head and legs, before dragging her to a ‘hausman.’</w:t>
      </w:r>
      <w:r w:rsidRPr="005F7752">
        <w:rPr>
          <w:rFonts w:ascii="Times New Roman" w:hAnsi="Times New Roman" w:cs="Times New Roman"/>
          <w:sz w:val="24"/>
          <w:szCs w:val="24"/>
        </w:rPr>
        <w:footnoteReference w:id="640"/>
      </w:r>
      <w:r w:rsidRPr="005F7752">
        <w:rPr>
          <w:rFonts w:ascii="Times New Roman" w:hAnsi="Times New Roman" w:cs="Times New Roman"/>
          <w:sz w:val="24"/>
          <w:szCs w:val="24"/>
          <w:vertAlign w:val="baseline"/>
        </w:rPr>
        <w:t xml:space="preserve"> Here, the victim was tied up with a rope, around her neck and body, stripped naked and raped with a red-hot iron blade. Four of her teeth were broken and all her fingers were chopped off.</w:t>
      </w:r>
      <w:r w:rsidRPr="005F7752">
        <w:rPr>
          <w:rFonts w:ascii="Times New Roman" w:hAnsi="Times New Roman" w:cs="Times New Roman"/>
          <w:sz w:val="24"/>
          <w:szCs w:val="24"/>
        </w:rPr>
        <w:footnoteReference w:id="641"/>
      </w:r>
      <w:r w:rsidRPr="005F7752">
        <w:rPr>
          <w:rFonts w:ascii="Times New Roman" w:hAnsi="Times New Roman" w:cs="Times New Roman"/>
          <w:sz w:val="24"/>
          <w:szCs w:val="24"/>
          <w:vertAlign w:val="baseline"/>
        </w:rPr>
        <w:t xml:space="preserve"> In April 2009, victim C, a married mother of three, was accused of murdering her </w:t>
      </w:r>
      <w:r w:rsidR="00DD62D3" w:rsidRPr="005F7752">
        <w:rPr>
          <w:rFonts w:ascii="Times New Roman" w:hAnsi="Times New Roman" w:cs="Times New Roman"/>
          <w:sz w:val="24"/>
          <w:szCs w:val="24"/>
          <w:vertAlign w:val="baseline"/>
        </w:rPr>
        <w:t>stepson</w:t>
      </w:r>
      <w:r w:rsidRPr="005F7752">
        <w:rPr>
          <w:rFonts w:ascii="Times New Roman" w:hAnsi="Times New Roman" w:cs="Times New Roman"/>
          <w:sz w:val="24"/>
          <w:szCs w:val="24"/>
          <w:vertAlign w:val="baseline"/>
        </w:rPr>
        <w:t xml:space="preserve"> who had died in a bike accident. Her husband, who frequently used iron rods to beat her, abused the victim both verbally and physically. Following the death of the husband’s brother in law, who died during surgery, and his younger brother, who died from malaria, the abuse intensified and the victim was publicly assaulted and exiled.</w:t>
      </w:r>
      <w:r w:rsidRPr="005F7752">
        <w:rPr>
          <w:rFonts w:ascii="Times New Roman" w:hAnsi="Times New Roman" w:cs="Times New Roman"/>
          <w:sz w:val="24"/>
          <w:szCs w:val="24"/>
        </w:rPr>
        <w:footnoteReference w:id="642"/>
      </w:r>
    </w:p>
    <w:p w14:paraId="25D3D589" w14:textId="77777777" w:rsidR="006D14C1" w:rsidRDefault="006D14C1" w:rsidP="005F7752">
      <w:pPr>
        <w:spacing w:line="480" w:lineRule="auto"/>
        <w:jc w:val="both"/>
        <w:rPr>
          <w:rFonts w:ascii="Times New Roman" w:hAnsi="Times New Roman" w:cs="Times New Roman"/>
          <w:sz w:val="24"/>
          <w:szCs w:val="24"/>
          <w:vertAlign w:val="baseline"/>
        </w:rPr>
      </w:pPr>
    </w:p>
    <w:p w14:paraId="4AA22344" w14:textId="7B38E534" w:rsidR="00B36788" w:rsidRDefault="005F7752" w:rsidP="00FB5CA9">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The SR noted that PNG has the highest number of reported cases of WAP, increasing annually. Whilst the SR notes that precise numbers are difficult to estimate due to a lack in reporting such crimes, she highlights that ‘in the Simbu Province alone, it is estimated that 150 cases of violence and killings occur each year as a result of witchcraft accusations, with impunity as the norm.’</w:t>
      </w:r>
      <w:r w:rsidRPr="005F7752">
        <w:rPr>
          <w:rFonts w:ascii="Times New Roman" w:hAnsi="Times New Roman" w:cs="Times New Roman"/>
          <w:sz w:val="24"/>
          <w:szCs w:val="24"/>
        </w:rPr>
        <w:footnoteReference w:id="643"/>
      </w:r>
      <w:r w:rsidRPr="005F7752">
        <w:rPr>
          <w:rFonts w:ascii="Times New Roman" w:hAnsi="Times New Roman" w:cs="Times New Roman"/>
          <w:sz w:val="24"/>
          <w:szCs w:val="24"/>
          <w:vertAlign w:val="baseline"/>
        </w:rPr>
        <w:t xml:space="preserve"> Moreover, the SR reports that whilst there have been occasions where men have been accused of witchcraft, women are ‘six times more likely to be accused of sorcery than men … women are the first to be blamed and targeted when there is an unexplained death or misfortune in a family or in a village and thus they live with a constant fear of being accused of sorcery.’</w:t>
      </w:r>
      <w:r w:rsidRPr="005F7752">
        <w:rPr>
          <w:rFonts w:ascii="Times New Roman" w:hAnsi="Times New Roman" w:cs="Times New Roman"/>
          <w:sz w:val="24"/>
          <w:szCs w:val="24"/>
        </w:rPr>
        <w:footnoteReference w:id="644"/>
      </w:r>
      <w:r w:rsidRPr="005F7752">
        <w:rPr>
          <w:rFonts w:ascii="Times New Roman" w:hAnsi="Times New Roman" w:cs="Times New Roman"/>
          <w:sz w:val="24"/>
          <w:szCs w:val="24"/>
          <w:vertAlign w:val="baseline"/>
        </w:rPr>
        <w:t xml:space="preserve"> The report also highlights the use of economic and personally motivated WAP. With economic motivated WAP, the primary targets are widows or women with no male relatives to defend them, who own land, homes, produce or livestock. Regarding personally motivated WAP</w:t>
      </w:r>
      <w:r w:rsidR="008158D5">
        <w:rPr>
          <w:rFonts w:ascii="Times New Roman" w:hAnsi="Times New Roman" w:cs="Times New Roman"/>
          <w:sz w:val="24"/>
          <w:szCs w:val="24"/>
          <w:vertAlign w:val="baseline"/>
        </w:rPr>
        <w:t>,</w:t>
      </w:r>
      <w:r w:rsidRPr="005F7752">
        <w:rPr>
          <w:rFonts w:ascii="Times New Roman" w:hAnsi="Times New Roman" w:cs="Times New Roman"/>
          <w:sz w:val="24"/>
          <w:szCs w:val="24"/>
          <w:vertAlign w:val="baseline"/>
        </w:rPr>
        <w:t xml:space="preserve"> the SR notes that ‘accusations of sorcery are often a convenient cover for premeditated killings triggered by personal dislikes, jealousy, envy, greed, rivalry or revenge and the targeting of women form other tribes and communities.’</w:t>
      </w:r>
      <w:r w:rsidRPr="005F7752">
        <w:rPr>
          <w:rFonts w:ascii="Times New Roman" w:hAnsi="Times New Roman" w:cs="Times New Roman"/>
          <w:sz w:val="24"/>
          <w:szCs w:val="24"/>
        </w:rPr>
        <w:footnoteReference w:id="645"/>
      </w:r>
      <w:r w:rsidRPr="005F7752">
        <w:rPr>
          <w:rFonts w:ascii="Times New Roman" w:hAnsi="Times New Roman" w:cs="Times New Roman"/>
          <w:sz w:val="24"/>
          <w:szCs w:val="24"/>
          <w:vertAlign w:val="baseline"/>
        </w:rPr>
        <w:t xml:space="preserve"> </w:t>
      </w:r>
    </w:p>
    <w:p w14:paraId="5AE9C34A" w14:textId="77777777" w:rsidR="00034EC6" w:rsidRDefault="00034EC6" w:rsidP="00FB5CA9">
      <w:pPr>
        <w:spacing w:line="480" w:lineRule="auto"/>
        <w:ind w:firstLine="720"/>
        <w:jc w:val="both"/>
        <w:rPr>
          <w:rFonts w:ascii="Times New Roman" w:hAnsi="Times New Roman" w:cs="Times New Roman"/>
          <w:sz w:val="24"/>
          <w:szCs w:val="24"/>
          <w:vertAlign w:val="baseline"/>
        </w:rPr>
      </w:pPr>
    </w:p>
    <w:p w14:paraId="5550B191" w14:textId="50BE054F" w:rsidR="005F7752" w:rsidRPr="005F7752" w:rsidRDefault="005F7752" w:rsidP="00B36788">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Impunity for perpetrators accused of WAP is standard in PNG, largel</w:t>
      </w:r>
      <w:r w:rsidR="00FB5CA9">
        <w:rPr>
          <w:rFonts w:ascii="Times New Roman" w:hAnsi="Times New Roman" w:cs="Times New Roman"/>
          <w:sz w:val="24"/>
          <w:szCs w:val="24"/>
          <w:vertAlign w:val="baseline"/>
        </w:rPr>
        <w:t>y due to the use of the ‘wantok</w:t>
      </w:r>
      <w:r w:rsidRPr="005F7752">
        <w:rPr>
          <w:rFonts w:ascii="Times New Roman" w:hAnsi="Times New Roman" w:cs="Times New Roman"/>
          <w:sz w:val="24"/>
          <w:szCs w:val="24"/>
          <w:vertAlign w:val="baseline"/>
        </w:rPr>
        <w:t>’</w:t>
      </w:r>
      <w:r w:rsidR="00FB5CA9">
        <w:rPr>
          <w:rFonts w:ascii="Times New Roman" w:hAnsi="Times New Roman" w:cs="Times New Roman"/>
          <w:sz w:val="24"/>
          <w:szCs w:val="24"/>
          <w:vertAlign w:val="baseline"/>
        </w:rPr>
        <w:t xml:space="preserve"> system,</w:t>
      </w:r>
      <w:r w:rsidRPr="005F7752">
        <w:rPr>
          <w:rFonts w:ascii="Times New Roman" w:hAnsi="Times New Roman" w:cs="Times New Roman"/>
          <w:sz w:val="24"/>
          <w:szCs w:val="24"/>
          <w:vertAlign w:val="baseline"/>
        </w:rPr>
        <w:t xml:space="preserve"> a tradition based on solidarity where the members of the tribe protect each other from external threats. Thus, victims and witnesses are reluctant to report crimes to the police and the perpetrators are protected within their community. Moreover, the police lack the skills and resources necessary to investigate thoroughly. In this 2012 report on PNG, the SR recommends that the Sorcery Act 1971 should be repealed. Following the report, in May 2013, PNG repealed the Sorcery Act, instead reintroducing the death penalty and expanding the list of crimes punishable by death, including sorcery-related murder. Human-rights defenders, such as Amnesty International have condemned this move by PNG, stating that ‘perpetrators should be brought to just</w:t>
      </w:r>
      <w:r w:rsidR="008158D5">
        <w:rPr>
          <w:rFonts w:ascii="Times New Roman" w:hAnsi="Times New Roman" w:cs="Times New Roman"/>
          <w:sz w:val="24"/>
          <w:szCs w:val="24"/>
          <w:vertAlign w:val="baseline"/>
        </w:rPr>
        <w:t>ice</w:t>
      </w:r>
      <w:r w:rsidRPr="005F7752">
        <w:rPr>
          <w:rFonts w:ascii="Times New Roman" w:hAnsi="Times New Roman" w:cs="Times New Roman"/>
          <w:sz w:val="24"/>
          <w:szCs w:val="24"/>
          <w:vertAlign w:val="baseline"/>
        </w:rPr>
        <w:t xml:space="preserve"> in fair trials, without recourse to the death penalty.’</w:t>
      </w:r>
      <w:r w:rsidRPr="005F7752">
        <w:rPr>
          <w:rFonts w:ascii="Times New Roman" w:hAnsi="Times New Roman" w:cs="Times New Roman"/>
          <w:sz w:val="24"/>
          <w:szCs w:val="24"/>
        </w:rPr>
        <w:footnoteReference w:id="646"/>
      </w:r>
      <w:r w:rsidRPr="005F7752">
        <w:rPr>
          <w:rFonts w:ascii="Times New Roman" w:hAnsi="Times New Roman" w:cs="Times New Roman"/>
          <w:sz w:val="24"/>
          <w:szCs w:val="24"/>
          <w:vertAlign w:val="baseline"/>
        </w:rPr>
        <w:t xml:space="preserve"> Despite such moves by PNG, WAP remains prevalent.</w:t>
      </w:r>
    </w:p>
    <w:p w14:paraId="3A400E61" w14:textId="77777777" w:rsidR="005F7752" w:rsidRPr="005F7752" w:rsidRDefault="005F7752" w:rsidP="005F7752">
      <w:pPr>
        <w:spacing w:line="480" w:lineRule="auto"/>
        <w:jc w:val="both"/>
        <w:rPr>
          <w:rFonts w:ascii="Times New Roman" w:hAnsi="Times New Roman" w:cs="Times New Roman"/>
          <w:b/>
          <w:sz w:val="24"/>
          <w:szCs w:val="24"/>
          <w:u w:val="single"/>
          <w:vertAlign w:val="baseline"/>
        </w:rPr>
      </w:pPr>
    </w:p>
    <w:p w14:paraId="54F5D548" w14:textId="76041E78" w:rsidR="00034EC6" w:rsidRPr="0030034D" w:rsidRDefault="0030034D" w:rsidP="005F7752">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4</w:t>
      </w:r>
      <w:r w:rsidR="00E83C9D">
        <w:rPr>
          <w:rFonts w:ascii="Times New Roman" w:hAnsi="Times New Roman" w:cs="Times New Roman"/>
          <w:b/>
          <w:sz w:val="24"/>
          <w:szCs w:val="24"/>
          <w:u w:val="single"/>
          <w:vertAlign w:val="baseline"/>
        </w:rPr>
        <w:t xml:space="preserve">.5 </w:t>
      </w:r>
      <w:r>
        <w:rPr>
          <w:rFonts w:ascii="Times New Roman" w:hAnsi="Times New Roman" w:cs="Times New Roman"/>
          <w:b/>
          <w:sz w:val="24"/>
          <w:szCs w:val="24"/>
          <w:u w:val="single"/>
          <w:vertAlign w:val="baseline"/>
        </w:rPr>
        <w:t>COMMON THEMES</w:t>
      </w:r>
    </w:p>
    <w:p w14:paraId="7A42295F" w14:textId="0D6DAD2D" w:rsidR="005F7752" w:rsidRPr="0030034D" w:rsidRDefault="0030034D" w:rsidP="005F7752">
      <w:pPr>
        <w:spacing w:line="480" w:lineRule="auto"/>
        <w:jc w:val="both"/>
        <w:rPr>
          <w:rFonts w:ascii="Times New Roman" w:hAnsi="Times New Roman" w:cs="Times New Roman"/>
          <w:b/>
          <w:i/>
          <w:sz w:val="24"/>
          <w:szCs w:val="24"/>
          <w:vertAlign w:val="baseline"/>
        </w:rPr>
      </w:pPr>
      <w:r w:rsidRPr="0030034D">
        <w:rPr>
          <w:rFonts w:ascii="Times New Roman" w:hAnsi="Times New Roman" w:cs="Times New Roman"/>
          <w:b/>
          <w:i/>
          <w:sz w:val="24"/>
          <w:szCs w:val="24"/>
          <w:vertAlign w:val="baseline"/>
        </w:rPr>
        <w:t>4</w:t>
      </w:r>
      <w:r w:rsidR="00253C7E" w:rsidRPr="0030034D">
        <w:rPr>
          <w:rFonts w:ascii="Times New Roman" w:hAnsi="Times New Roman" w:cs="Times New Roman"/>
          <w:b/>
          <w:i/>
          <w:sz w:val="24"/>
          <w:szCs w:val="24"/>
          <w:vertAlign w:val="baseline"/>
        </w:rPr>
        <w:t xml:space="preserve">.5.1 </w:t>
      </w:r>
      <w:r w:rsidR="005F7752" w:rsidRPr="0030034D">
        <w:rPr>
          <w:rFonts w:ascii="Times New Roman" w:hAnsi="Times New Roman" w:cs="Times New Roman"/>
          <w:b/>
          <w:i/>
          <w:sz w:val="24"/>
          <w:szCs w:val="24"/>
          <w:vertAlign w:val="baseline"/>
        </w:rPr>
        <w:t>Patriarchal Society</w:t>
      </w:r>
    </w:p>
    <w:p w14:paraId="12627956" w14:textId="7EAF657F" w:rsidR="00A27AA8" w:rsidRDefault="005F7752" w:rsidP="0031723A">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 xml:space="preserve">It becomes clear, on examination of the four countries above that, whilst there are </w:t>
      </w:r>
      <w:r w:rsidR="0030034D">
        <w:rPr>
          <w:rFonts w:ascii="Times New Roman" w:hAnsi="Times New Roman" w:cs="Times New Roman"/>
          <w:sz w:val="24"/>
          <w:szCs w:val="24"/>
          <w:vertAlign w:val="baseline"/>
        </w:rPr>
        <w:t>differences</w:t>
      </w:r>
      <w:r w:rsidRPr="005F7752">
        <w:rPr>
          <w:rFonts w:ascii="Times New Roman" w:hAnsi="Times New Roman" w:cs="Times New Roman"/>
          <w:sz w:val="24"/>
          <w:szCs w:val="24"/>
          <w:vertAlign w:val="baseline"/>
        </w:rPr>
        <w:t xml:space="preserve"> throughout the witchcraft discourse, there are also </w:t>
      </w:r>
      <w:r w:rsidR="0030034D">
        <w:rPr>
          <w:rFonts w:ascii="Times New Roman" w:hAnsi="Times New Roman" w:cs="Times New Roman"/>
          <w:sz w:val="24"/>
          <w:szCs w:val="24"/>
          <w:vertAlign w:val="baseline"/>
        </w:rPr>
        <w:t xml:space="preserve">common themes </w:t>
      </w:r>
      <w:r w:rsidRPr="005F7752">
        <w:rPr>
          <w:rFonts w:ascii="Times New Roman" w:hAnsi="Times New Roman" w:cs="Times New Roman"/>
          <w:sz w:val="24"/>
          <w:szCs w:val="24"/>
          <w:vertAlign w:val="baseline"/>
        </w:rPr>
        <w:t xml:space="preserve">in the way in which the phenomenon of witchcraft manifests itself within </w:t>
      </w:r>
      <w:r w:rsidR="00B35BD0">
        <w:rPr>
          <w:rFonts w:ascii="Times New Roman" w:hAnsi="Times New Roman" w:cs="Times New Roman"/>
          <w:sz w:val="24"/>
          <w:szCs w:val="24"/>
          <w:vertAlign w:val="baseline"/>
        </w:rPr>
        <w:t>these</w:t>
      </w:r>
      <w:r w:rsidRPr="005F7752">
        <w:rPr>
          <w:rFonts w:ascii="Times New Roman" w:hAnsi="Times New Roman" w:cs="Times New Roman"/>
          <w:sz w:val="24"/>
          <w:szCs w:val="24"/>
          <w:vertAlign w:val="baseline"/>
        </w:rPr>
        <w:t xml:space="preserve"> societies. Within all four countries, witchcraft accusations and persecution agai</w:t>
      </w:r>
      <w:r w:rsidR="00A82CE1">
        <w:rPr>
          <w:rFonts w:ascii="Times New Roman" w:hAnsi="Times New Roman" w:cs="Times New Roman"/>
          <w:sz w:val="24"/>
          <w:szCs w:val="24"/>
          <w:vertAlign w:val="baseline"/>
        </w:rPr>
        <w:t xml:space="preserve">nst women are prevalent. </w:t>
      </w:r>
      <w:r w:rsidR="00F84379">
        <w:rPr>
          <w:rFonts w:ascii="Times New Roman" w:hAnsi="Times New Roman" w:cs="Times New Roman"/>
          <w:sz w:val="24"/>
          <w:szCs w:val="24"/>
          <w:vertAlign w:val="baseline"/>
        </w:rPr>
        <w:t>All four countries discussed have patriarchal societies</w:t>
      </w:r>
      <w:r w:rsidR="006F1A33">
        <w:rPr>
          <w:rFonts w:ascii="Times New Roman" w:hAnsi="Times New Roman" w:cs="Times New Roman"/>
          <w:sz w:val="24"/>
          <w:szCs w:val="24"/>
          <w:vertAlign w:val="baseline"/>
        </w:rPr>
        <w:t xml:space="preserve">; patriarchy as a system is deeply entrenched within these societies, present within </w:t>
      </w:r>
      <w:r w:rsidR="00CF0B77">
        <w:rPr>
          <w:rFonts w:ascii="Times New Roman" w:hAnsi="Times New Roman" w:cs="Times New Roman"/>
          <w:sz w:val="24"/>
          <w:szCs w:val="24"/>
          <w:vertAlign w:val="baseline"/>
        </w:rPr>
        <w:t xml:space="preserve">traditional </w:t>
      </w:r>
      <w:r w:rsidR="006F1A33">
        <w:rPr>
          <w:rFonts w:ascii="Times New Roman" w:hAnsi="Times New Roman" w:cs="Times New Roman"/>
          <w:sz w:val="24"/>
          <w:szCs w:val="24"/>
          <w:vertAlign w:val="baseline"/>
        </w:rPr>
        <w:t>cultural</w:t>
      </w:r>
      <w:r w:rsidR="00961E5D">
        <w:rPr>
          <w:rFonts w:ascii="Times New Roman" w:hAnsi="Times New Roman" w:cs="Times New Roman"/>
          <w:sz w:val="24"/>
          <w:szCs w:val="24"/>
          <w:vertAlign w:val="baseline"/>
        </w:rPr>
        <w:t>, religious</w:t>
      </w:r>
      <w:r w:rsidR="006F1A33">
        <w:rPr>
          <w:rFonts w:ascii="Times New Roman" w:hAnsi="Times New Roman" w:cs="Times New Roman"/>
          <w:sz w:val="24"/>
          <w:szCs w:val="24"/>
          <w:vertAlign w:val="baseline"/>
        </w:rPr>
        <w:t xml:space="preserve"> and customary values</w:t>
      </w:r>
      <w:r w:rsidR="00961E5D">
        <w:rPr>
          <w:rFonts w:ascii="Times New Roman" w:hAnsi="Times New Roman" w:cs="Times New Roman"/>
          <w:sz w:val="24"/>
          <w:szCs w:val="24"/>
          <w:vertAlign w:val="baseline"/>
        </w:rPr>
        <w:t xml:space="preserve"> and propagated by those that benefit from it, men.</w:t>
      </w:r>
      <w:r w:rsidR="00B70C16">
        <w:rPr>
          <w:rFonts w:ascii="Times New Roman" w:hAnsi="Times New Roman" w:cs="Times New Roman"/>
          <w:sz w:val="24"/>
          <w:szCs w:val="24"/>
          <w:vertAlign w:val="baseline"/>
        </w:rPr>
        <w:t xml:space="preserve"> </w:t>
      </w:r>
      <w:r w:rsidR="001A45E5">
        <w:rPr>
          <w:rFonts w:ascii="Times New Roman" w:hAnsi="Times New Roman" w:cs="Times New Roman"/>
          <w:sz w:val="24"/>
          <w:szCs w:val="24"/>
          <w:vertAlign w:val="baseline"/>
        </w:rPr>
        <w:t xml:space="preserve">Within such societies that retain the importance of </w:t>
      </w:r>
      <w:r w:rsidR="005E23E8">
        <w:rPr>
          <w:rFonts w:ascii="Times New Roman" w:hAnsi="Times New Roman" w:cs="Times New Roman"/>
          <w:sz w:val="24"/>
          <w:szCs w:val="24"/>
          <w:vertAlign w:val="baseline"/>
        </w:rPr>
        <w:t xml:space="preserve">discriminatory </w:t>
      </w:r>
      <w:r w:rsidR="001A45E5">
        <w:rPr>
          <w:rFonts w:ascii="Times New Roman" w:hAnsi="Times New Roman" w:cs="Times New Roman"/>
          <w:sz w:val="24"/>
          <w:szCs w:val="24"/>
          <w:vertAlign w:val="baseline"/>
        </w:rPr>
        <w:t xml:space="preserve">traditional values, men are </w:t>
      </w:r>
      <w:r w:rsidR="00B70C16">
        <w:rPr>
          <w:rFonts w:ascii="Times New Roman" w:hAnsi="Times New Roman" w:cs="Times New Roman"/>
          <w:sz w:val="24"/>
          <w:szCs w:val="24"/>
          <w:vertAlign w:val="baseline"/>
        </w:rPr>
        <w:t>born into an elevated position within society</w:t>
      </w:r>
      <w:r w:rsidR="001A45E5">
        <w:rPr>
          <w:rFonts w:ascii="Times New Roman" w:hAnsi="Times New Roman" w:cs="Times New Roman"/>
          <w:sz w:val="24"/>
          <w:szCs w:val="24"/>
          <w:vertAlign w:val="baseline"/>
        </w:rPr>
        <w:t>, whereas</w:t>
      </w:r>
      <w:r w:rsidR="007F0287">
        <w:rPr>
          <w:rFonts w:ascii="Times New Roman" w:hAnsi="Times New Roman" w:cs="Times New Roman"/>
          <w:sz w:val="24"/>
          <w:szCs w:val="24"/>
          <w:vertAlign w:val="baseline"/>
        </w:rPr>
        <w:t xml:space="preserve"> the role of women is inferior</w:t>
      </w:r>
      <w:r w:rsidRPr="005F7752">
        <w:rPr>
          <w:rFonts w:ascii="Times New Roman" w:hAnsi="Times New Roman" w:cs="Times New Roman"/>
          <w:sz w:val="24"/>
          <w:szCs w:val="24"/>
          <w:vertAlign w:val="baseline"/>
        </w:rPr>
        <w:t>. Their role is domestic; they are primarily there to reproduce and attend to their husband, children and family home.</w:t>
      </w:r>
      <w:r w:rsidR="00CD35C1">
        <w:rPr>
          <w:rFonts w:ascii="Times New Roman" w:hAnsi="Times New Roman" w:cs="Times New Roman"/>
          <w:sz w:val="24"/>
          <w:szCs w:val="24"/>
          <w:vertAlign w:val="baseline"/>
        </w:rPr>
        <w:t xml:space="preserve"> </w:t>
      </w:r>
      <w:r w:rsidR="00945F4C">
        <w:rPr>
          <w:rFonts w:ascii="Times New Roman" w:hAnsi="Times New Roman" w:cs="Times New Roman"/>
          <w:sz w:val="24"/>
          <w:szCs w:val="24"/>
          <w:vertAlign w:val="baseline"/>
        </w:rPr>
        <w:t>Women who</w:t>
      </w:r>
      <w:r w:rsidR="00A82CE1">
        <w:rPr>
          <w:rFonts w:ascii="Times New Roman" w:hAnsi="Times New Roman" w:cs="Times New Roman"/>
          <w:sz w:val="24"/>
          <w:szCs w:val="24"/>
          <w:vertAlign w:val="baseline"/>
        </w:rPr>
        <w:t xml:space="preserve"> are unable to </w:t>
      </w:r>
      <w:r w:rsidR="00945F4C">
        <w:rPr>
          <w:rFonts w:ascii="Times New Roman" w:hAnsi="Times New Roman" w:cs="Times New Roman"/>
          <w:sz w:val="24"/>
          <w:szCs w:val="24"/>
          <w:vertAlign w:val="baseline"/>
        </w:rPr>
        <w:t>satisfy such stereotypes become vulnerable. U</w:t>
      </w:r>
      <w:r w:rsidR="00945F4C" w:rsidRPr="005F7752">
        <w:rPr>
          <w:rFonts w:ascii="Times New Roman" w:hAnsi="Times New Roman" w:cs="Times New Roman"/>
          <w:sz w:val="24"/>
          <w:szCs w:val="24"/>
          <w:vertAlign w:val="baseline"/>
        </w:rPr>
        <w:t xml:space="preserve">ndeniably, women are the predominant targets of witchcraft accusations. Although the witchcraft discourse is not particularly selective of its victims, women accused fall generally into a specific category; single, sterile and/ or widowed. </w:t>
      </w:r>
      <w:r w:rsidR="0031723A">
        <w:rPr>
          <w:rFonts w:ascii="Times New Roman" w:hAnsi="Times New Roman" w:cs="Times New Roman"/>
          <w:sz w:val="24"/>
          <w:szCs w:val="24"/>
          <w:vertAlign w:val="baseline"/>
        </w:rPr>
        <w:t>For example, in Nepal, a high rate of child marriage consequently results in a higher percentage of widows, who are the most marginalised group in Nepal.</w:t>
      </w:r>
      <w:r w:rsidR="0031723A" w:rsidRPr="008C3633">
        <w:rPr>
          <w:rFonts w:ascii="Times New Roman" w:hAnsi="Times New Roman" w:cs="Times New Roman"/>
          <w:bCs/>
          <w:sz w:val="24"/>
          <w:szCs w:val="24"/>
        </w:rPr>
        <w:footnoteReference w:id="647"/>
      </w:r>
      <w:r w:rsidR="0031723A">
        <w:rPr>
          <w:rFonts w:ascii="Times New Roman" w:hAnsi="Times New Roman" w:cs="Times New Roman"/>
          <w:sz w:val="24"/>
          <w:szCs w:val="24"/>
          <w:vertAlign w:val="baseline"/>
        </w:rPr>
        <w:t xml:space="preserve"> </w:t>
      </w:r>
      <w:r w:rsidR="0031723A">
        <w:rPr>
          <w:rFonts w:ascii="Times New Roman" w:hAnsi="Times New Roman" w:cs="Times New Roman"/>
          <w:bCs/>
          <w:sz w:val="24"/>
          <w:szCs w:val="24"/>
          <w:vertAlign w:val="baseline"/>
        </w:rPr>
        <w:t>A</w:t>
      </w:r>
      <w:r w:rsidR="00E216A7" w:rsidRPr="008C3633">
        <w:rPr>
          <w:rFonts w:ascii="Times New Roman" w:hAnsi="Times New Roman" w:cs="Times New Roman"/>
          <w:bCs/>
          <w:sz w:val="24"/>
          <w:szCs w:val="24"/>
          <w:vertAlign w:val="baseline"/>
        </w:rPr>
        <w:t>ccusations of WAP provide families with the ideal opportunity to exploit the vulnerability of widows in order to seek financial gain.</w:t>
      </w:r>
      <w:r w:rsidR="0031723A">
        <w:rPr>
          <w:rFonts w:ascii="Times New Roman" w:hAnsi="Times New Roman" w:cs="Times New Roman"/>
          <w:sz w:val="24"/>
          <w:szCs w:val="24"/>
          <w:vertAlign w:val="baseline"/>
        </w:rPr>
        <w:t xml:space="preserve"> </w:t>
      </w:r>
      <w:r w:rsidR="00945F4C" w:rsidRPr="005F7752">
        <w:rPr>
          <w:rFonts w:ascii="Times New Roman" w:hAnsi="Times New Roman" w:cs="Times New Roman"/>
          <w:sz w:val="24"/>
          <w:szCs w:val="24"/>
          <w:vertAlign w:val="baseline"/>
        </w:rPr>
        <w:t>Thus, as noted by Beauvoir, when documenting her concept of ‘otherness,’ the oppression of women is seemingly linked to the women’s biology and ability to reproduce.</w:t>
      </w:r>
      <w:r w:rsidR="00945F4C" w:rsidRPr="005F7752">
        <w:rPr>
          <w:rFonts w:ascii="Times New Roman" w:hAnsi="Times New Roman" w:cs="Times New Roman"/>
          <w:sz w:val="24"/>
          <w:szCs w:val="24"/>
        </w:rPr>
        <w:footnoteReference w:id="648"/>
      </w:r>
      <w:r w:rsidR="00A27AA8">
        <w:rPr>
          <w:rFonts w:ascii="Times New Roman" w:hAnsi="Times New Roman" w:cs="Times New Roman"/>
          <w:sz w:val="24"/>
          <w:szCs w:val="24"/>
          <w:vertAlign w:val="baseline"/>
        </w:rPr>
        <w:t xml:space="preserve"> </w:t>
      </w:r>
    </w:p>
    <w:p w14:paraId="28A30BEC" w14:textId="77777777" w:rsidR="00A27AA8" w:rsidRDefault="00A27AA8" w:rsidP="00A27AA8">
      <w:pPr>
        <w:spacing w:line="480" w:lineRule="auto"/>
        <w:ind w:firstLine="720"/>
        <w:jc w:val="both"/>
        <w:rPr>
          <w:rFonts w:ascii="Times New Roman" w:hAnsi="Times New Roman" w:cs="Times New Roman"/>
          <w:sz w:val="24"/>
          <w:szCs w:val="24"/>
          <w:vertAlign w:val="baseline"/>
        </w:rPr>
      </w:pPr>
    </w:p>
    <w:p w14:paraId="573A0B89" w14:textId="790E7308" w:rsidR="005F7752" w:rsidRDefault="007E1902" w:rsidP="00A27AA8">
      <w:pPr>
        <w:spacing w:line="480" w:lineRule="auto"/>
        <w:ind w:firstLine="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I</w:t>
      </w:r>
      <w:r w:rsidR="004E65AF">
        <w:rPr>
          <w:rFonts w:ascii="Times New Roman" w:hAnsi="Times New Roman" w:cs="Times New Roman"/>
          <w:sz w:val="24"/>
          <w:szCs w:val="24"/>
          <w:vertAlign w:val="baseline"/>
        </w:rPr>
        <w:t>n traditional matrilineal societies,</w:t>
      </w:r>
      <w:r w:rsidR="00851F38">
        <w:rPr>
          <w:rFonts w:ascii="Times New Roman" w:hAnsi="Times New Roman" w:cs="Times New Roman"/>
          <w:sz w:val="24"/>
          <w:szCs w:val="24"/>
          <w:vertAlign w:val="baseline"/>
        </w:rPr>
        <w:t xml:space="preserve"> as observed </w:t>
      </w:r>
      <w:r w:rsidR="00B44FB2">
        <w:rPr>
          <w:rFonts w:ascii="Times New Roman" w:hAnsi="Times New Roman" w:cs="Times New Roman"/>
          <w:sz w:val="24"/>
          <w:szCs w:val="24"/>
          <w:vertAlign w:val="baseline"/>
        </w:rPr>
        <w:t>in Ghana</w:t>
      </w:r>
      <w:r w:rsidR="004E65AF">
        <w:rPr>
          <w:rFonts w:ascii="Times New Roman" w:hAnsi="Times New Roman" w:cs="Times New Roman"/>
          <w:sz w:val="24"/>
          <w:szCs w:val="24"/>
          <w:vertAlign w:val="baseline"/>
        </w:rPr>
        <w:t>, where descent is determined through female ancestry,</w:t>
      </w:r>
      <w:r>
        <w:rPr>
          <w:rFonts w:ascii="Times New Roman" w:hAnsi="Times New Roman" w:cs="Times New Roman"/>
          <w:sz w:val="24"/>
          <w:szCs w:val="24"/>
          <w:vertAlign w:val="baseline"/>
        </w:rPr>
        <w:t xml:space="preserve"> the domestic role of women as mothers is</w:t>
      </w:r>
      <w:r w:rsidR="00FC7A24">
        <w:rPr>
          <w:rFonts w:ascii="Times New Roman" w:hAnsi="Times New Roman" w:cs="Times New Roman"/>
          <w:sz w:val="24"/>
          <w:szCs w:val="24"/>
          <w:vertAlign w:val="baseline"/>
        </w:rPr>
        <w:t xml:space="preserve"> also</w:t>
      </w:r>
      <w:r>
        <w:rPr>
          <w:rFonts w:ascii="Times New Roman" w:hAnsi="Times New Roman" w:cs="Times New Roman"/>
          <w:sz w:val="24"/>
          <w:szCs w:val="24"/>
          <w:vertAlign w:val="baseline"/>
        </w:rPr>
        <w:t xml:space="preserve"> dominant</w:t>
      </w:r>
      <w:r w:rsidR="004E65AF">
        <w:rPr>
          <w:rFonts w:ascii="Times New Roman" w:hAnsi="Times New Roman" w:cs="Times New Roman"/>
          <w:sz w:val="24"/>
          <w:szCs w:val="24"/>
          <w:vertAlign w:val="baseline"/>
        </w:rPr>
        <w:t xml:space="preserve">. </w:t>
      </w:r>
      <w:r w:rsidR="00162B03">
        <w:rPr>
          <w:rFonts w:ascii="Times New Roman" w:hAnsi="Times New Roman" w:cs="Times New Roman"/>
          <w:sz w:val="24"/>
          <w:szCs w:val="24"/>
          <w:vertAlign w:val="baseline"/>
        </w:rPr>
        <w:t xml:space="preserve">As observed by Ferreira, </w:t>
      </w:r>
      <w:r w:rsidR="004E65AF">
        <w:rPr>
          <w:rFonts w:ascii="Times New Roman" w:hAnsi="Times New Roman" w:cs="Times New Roman"/>
          <w:sz w:val="24"/>
          <w:szCs w:val="24"/>
          <w:vertAlign w:val="baseline"/>
        </w:rPr>
        <w:t xml:space="preserve">  </w:t>
      </w:r>
    </w:p>
    <w:p w14:paraId="1711D057" w14:textId="77777777" w:rsidR="00034EC6" w:rsidRPr="005F7752" w:rsidRDefault="00034EC6" w:rsidP="00A27AA8">
      <w:pPr>
        <w:spacing w:line="480" w:lineRule="auto"/>
        <w:ind w:firstLine="720"/>
        <w:jc w:val="both"/>
        <w:rPr>
          <w:rFonts w:ascii="Times New Roman" w:hAnsi="Times New Roman" w:cs="Times New Roman"/>
          <w:sz w:val="24"/>
          <w:szCs w:val="24"/>
          <w:vertAlign w:val="baseline"/>
        </w:rPr>
      </w:pPr>
    </w:p>
    <w:p w14:paraId="5DBBC5EC" w14:textId="23D0BF40" w:rsidR="00CD35C1" w:rsidRPr="00162B03" w:rsidRDefault="00CD35C1" w:rsidP="00162B03">
      <w:pPr>
        <w:spacing w:line="480" w:lineRule="auto"/>
        <w:ind w:left="720"/>
        <w:jc w:val="both"/>
        <w:rPr>
          <w:rFonts w:ascii="Times New Roman" w:eastAsia="Times New Roman" w:hAnsi="Times New Roman" w:cs="Times New Roman"/>
          <w:sz w:val="24"/>
          <w:szCs w:val="24"/>
          <w:vertAlign w:val="baseline"/>
        </w:rPr>
      </w:pPr>
      <w:r w:rsidRPr="00162B03">
        <w:rPr>
          <w:rFonts w:ascii="Times New Roman" w:eastAsia="Times New Roman" w:hAnsi="Times New Roman" w:cs="Times New Roman"/>
          <w:sz w:val="24"/>
          <w:szCs w:val="24"/>
          <w:vertAlign w:val="baseline"/>
        </w:rPr>
        <w:t>In the African conception, a matriarchy is a society in which maternal energy and mother love are socially cohesive forces. Thus matriarchy is not, like patriarchy, a dominating ruling system—it is a social organization focused on the power of women as mothers and on the matrilineal ownership of the home and wealth</w:t>
      </w:r>
      <w:r w:rsidR="00162B03">
        <w:rPr>
          <w:rFonts w:ascii="Times New Roman" w:eastAsia="Times New Roman" w:hAnsi="Times New Roman" w:cs="Times New Roman"/>
          <w:sz w:val="24"/>
          <w:szCs w:val="24"/>
          <w:vertAlign w:val="baseline"/>
        </w:rPr>
        <w:t>.</w:t>
      </w:r>
      <w:r w:rsidR="00162B03">
        <w:rPr>
          <w:rStyle w:val="FootnoteReference"/>
          <w:rFonts w:ascii="Times New Roman" w:eastAsia="Times New Roman" w:hAnsi="Times New Roman" w:cs="Times New Roman"/>
          <w:sz w:val="24"/>
          <w:szCs w:val="24"/>
        </w:rPr>
        <w:footnoteReference w:id="649"/>
      </w:r>
    </w:p>
    <w:p w14:paraId="188128FB" w14:textId="77777777" w:rsidR="00AB6D4B" w:rsidRDefault="00AB6D4B" w:rsidP="005F7752">
      <w:pPr>
        <w:spacing w:line="480" w:lineRule="auto"/>
        <w:jc w:val="both"/>
        <w:rPr>
          <w:rFonts w:ascii="Times New Roman" w:hAnsi="Times New Roman" w:cs="Times New Roman"/>
          <w:sz w:val="24"/>
          <w:szCs w:val="24"/>
          <w:vertAlign w:val="baseline"/>
        </w:rPr>
      </w:pPr>
    </w:p>
    <w:p w14:paraId="0DCE6B57" w14:textId="03BECC64" w:rsidR="00C9495E" w:rsidRPr="00CD63CB" w:rsidRDefault="00AB6D4B" w:rsidP="005F7752">
      <w:pPr>
        <w:spacing w:line="480" w:lineRule="auto"/>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A</w:t>
      </w:r>
      <w:r w:rsidR="000547B3">
        <w:rPr>
          <w:rFonts w:ascii="Times New Roman" w:hAnsi="Times New Roman" w:cs="Times New Roman"/>
          <w:sz w:val="24"/>
          <w:szCs w:val="24"/>
          <w:vertAlign w:val="baseline"/>
        </w:rPr>
        <w:t>s</w:t>
      </w:r>
      <w:r>
        <w:rPr>
          <w:rFonts w:ascii="Times New Roman" w:hAnsi="Times New Roman" w:cs="Times New Roman"/>
          <w:sz w:val="24"/>
          <w:szCs w:val="24"/>
          <w:vertAlign w:val="baseline"/>
        </w:rPr>
        <w:t xml:space="preserve"> discussed previously,</w:t>
      </w:r>
      <w:r>
        <w:rPr>
          <w:rStyle w:val="FootnoteReference"/>
          <w:rFonts w:ascii="Times New Roman" w:hAnsi="Times New Roman" w:cs="Times New Roman"/>
          <w:sz w:val="24"/>
          <w:szCs w:val="24"/>
        </w:rPr>
        <w:footnoteReference w:id="650"/>
      </w:r>
      <w:r>
        <w:rPr>
          <w:rFonts w:ascii="Times New Roman" w:hAnsi="Times New Roman" w:cs="Times New Roman"/>
          <w:sz w:val="24"/>
          <w:szCs w:val="24"/>
          <w:vertAlign w:val="baseline"/>
        </w:rPr>
        <w:t xml:space="preserve"> </w:t>
      </w:r>
      <w:r w:rsidR="007E1902">
        <w:rPr>
          <w:rFonts w:ascii="Times New Roman" w:hAnsi="Times New Roman" w:cs="Times New Roman"/>
          <w:sz w:val="24"/>
          <w:szCs w:val="24"/>
          <w:vertAlign w:val="baseline"/>
        </w:rPr>
        <w:t>despite women possessing ‘power’ as mothers and on issues of inheritance</w:t>
      </w:r>
      <w:r w:rsidR="00C715F5">
        <w:rPr>
          <w:rFonts w:ascii="Times New Roman" w:hAnsi="Times New Roman" w:cs="Times New Roman"/>
          <w:sz w:val="24"/>
          <w:szCs w:val="24"/>
          <w:vertAlign w:val="baseline"/>
        </w:rPr>
        <w:t>, tradition dictates that only men are to be appointed legal custodians of property. Furthermore, the Ghanaian belief that witchcraft can only funct</w:t>
      </w:r>
      <w:r w:rsidR="00DD71BA">
        <w:rPr>
          <w:rFonts w:ascii="Times New Roman" w:hAnsi="Times New Roman" w:cs="Times New Roman"/>
          <w:sz w:val="24"/>
          <w:szCs w:val="24"/>
          <w:vertAlign w:val="baseline"/>
        </w:rPr>
        <w:t xml:space="preserve">ion through blood relations, </w:t>
      </w:r>
      <w:r w:rsidR="00C715F5">
        <w:rPr>
          <w:rFonts w:ascii="Times New Roman" w:hAnsi="Times New Roman" w:cs="Times New Roman"/>
          <w:sz w:val="24"/>
          <w:szCs w:val="24"/>
          <w:vertAlign w:val="baseline"/>
        </w:rPr>
        <w:t>inherited through the mother</w:t>
      </w:r>
      <w:r w:rsidR="00DD71BA">
        <w:rPr>
          <w:rFonts w:ascii="Times New Roman" w:hAnsi="Times New Roman" w:cs="Times New Roman"/>
          <w:sz w:val="24"/>
          <w:szCs w:val="24"/>
          <w:vertAlign w:val="baseline"/>
        </w:rPr>
        <w:t>, allows for patriarchal systems to retain control and ma</w:t>
      </w:r>
      <w:r w:rsidR="008D5E3B">
        <w:rPr>
          <w:rFonts w:ascii="Times New Roman" w:hAnsi="Times New Roman" w:cs="Times New Roman"/>
          <w:sz w:val="24"/>
          <w:szCs w:val="24"/>
          <w:vertAlign w:val="baseline"/>
        </w:rPr>
        <w:t>rginalise women,</w:t>
      </w:r>
      <w:r w:rsidR="00DD71BA">
        <w:rPr>
          <w:rFonts w:ascii="Times New Roman" w:hAnsi="Times New Roman" w:cs="Times New Roman"/>
          <w:sz w:val="24"/>
          <w:szCs w:val="24"/>
          <w:vertAlign w:val="baseline"/>
        </w:rPr>
        <w:t xml:space="preserve"> within those societies where women enjoy some form of </w:t>
      </w:r>
      <w:r w:rsidR="008D5E3B">
        <w:rPr>
          <w:rFonts w:ascii="Times New Roman" w:hAnsi="Times New Roman" w:cs="Times New Roman"/>
          <w:sz w:val="24"/>
          <w:szCs w:val="24"/>
          <w:vertAlign w:val="baseline"/>
        </w:rPr>
        <w:t>‘</w:t>
      </w:r>
      <w:r w:rsidR="00DD71BA">
        <w:rPr>
          <w:rFonts w:ascii="Times New Roman" w:hAnsi="Times New Roman" w:cs="Times New Roman"/>
          <w:sz w:val="24"/>
          <w:szCs w:val="24"/>
          <w:vertAlign w:val="baseline"/>
        </w:rPr>
        <w:t>elevated</w:t>
      </w:r>
      <w:r w:rsidR="008D5E3B">
        <w:rPr>
          <w:rFonts w:ascii="Times New Roman" w:hAnsi="Times New Roman" w:cs="Times New Roman"/>
          <w:sz w:val="24"/>
          <w:szCs w:val="24"/>
          <w:vertAlign w:val="baseline"/>
        </w:rPr>
        <w:t>’</w:t>
      </w:r>
      <w:r w:rsidR="00DD71BA">
        <w:rPr>
          <w:rFonts w:ascii="Times New Roman" w:hAnsi="Times New Roman" w:cs="Times New Roman"/>
          <w:sz w:val="24"/>
          <w:szCs w:val="24"/>
          <w:vertAlign w:val="baseline"/>
        </w:rPr>
        <w:t xml:space="preserve"> status. </w:t>
      </w:r>
      <w:r w:rsidR="008843A3">
        <w:rPr>
          <w:rFonts w:ascii="Times New Roman" w:hAnsi="Times New Roman" w:cs="Times New Roman"/>
          <w:sz w:val="24"/>
          <w:szCs w:val="24"/>
          <w:vertAlign w:val="baseline"/>
        </w:rPr>
        <w:t>W</w:t>
      </w:r>
      <w:r w:rsidR="00C9495E" w:rsidRPr="005F7752">
        <w:rPr>
          <w:rFonts w:ascii="Times New Roman" w:hAnsi="Times New Roman" w:cs="Times New Roman"/>
          <w:sz w:val="24"/>
          <w:szCs w:val="24"/>
          <w:vertAlign w:val="baseline"/>
        </w:rPr>
        <w:t xml:space="preserve">itchcraft, as a mechanism, enforces such marginalisation. </w:t>
      </w:r>
      <w:r w:rsidR="00A27AA8">
        <w:rPr>
          <w:rFonts w:ascii="Times New Roman" w:hAnsi="Times New Roman" w:cs="Times New Roman"/>
          <w:sz w:val="24"/>
          <w:szCs w:val="24"/>
          <w:vertAlign w:val="baseline"/>
        </w:rPr>
        <w:t xml:space="preserve">Hence, </w:t>
      </w:r>
      <w:r w:rsidR="006065A0">
        <w:rPr>
          <w:rFonts w:ascii="Times New Roman" w:hAnsi="Times New Roman" w:cs="Times New Roman"/>
          <w:sz w:val="24"/>
          <w:szCs w:val="24"/>
          <w:vertAlign w:val="baseline"/>
        </w:rPr>
        <w:t>the gendered ideology of witchcraft allows w</w:t>
      </w:r>
      <w:r w:rsidR="00A27AA8">
        <w:rPr>
          <w:rFonts w:ascii="Times New Roman" w:hAnsi="Times New Roman" w:cs="Times New Roman"/>
          <w:sz w:val="24"/>
          <w:szCs w:val="24"/>
          <w:vertAlign w:val="baseline"/>
        </w:rPr>
        <w:t xml:space="preserve">itchcraft accusations </w:t>
      </w:r>
      <w:r w:rsidR="006065A0">
        <w:rPr>
          <w:rFonts w:ascii="Times New Roman" w:hAnsi="Times New Roman" w:cs="Times New Roman"/>
          <w:sz w:val="24"/>
          <w:szCs w:val="24"/>
          <w:vertAlign w:val="baseline"/>
        </w:rPr>
        <w:t xml:space="preserve">to be </w:t>
      </w:r>
      <w:r w:rsidR="00A27AA8">
        <w:rPr>
          <w:rFonts w:ascii="Times New Roman" w:hAnsi="Times New Roman" w:cs="Times New Roman"/>
          <w:sz w:val="24"/>
          <w:szCs w:val="24"/>
          <w:vertAlign w:val="baseline"/>
        </w:rPr>
        <w:t xml:space="preserve">used as a marginalisation mechanism of women, in order to preserve patriarchal norms. </w:t>
      </w:r>
    </w:p>
    <w:p w14:paraId="0B6B8235" w14:textId="77777777" w:rsidR="00F925C0" w:rsidRDefault="00F925C0" w:rsidP="005F7752">
      <w:pPr>
        <w:spacing w:line="480" w:lineRule="auto"/>
        <w:jc w:val="both"/>
        <w:rPr>
          <w:rFonts w:ascii="Times New Roman" w:hAnsi="Times New Roman" w:cs="Times New Roman"/>
          <w:b/>
          <w:i/>
          <w:sz w:val="24"/>
          <w:szCs w:val="24"/>
          <w:vertAlign w:val="baseline"/>
        </w:rPr>
      </w:pPr>
    </w:p>
    <w:p w14:paraId="68D96181" w14:textId="7B7825BE" w:rsidR="005F7752" w:rsidRPr="00AB486A" w:rsidRDefault="00AB486A" w:rsidP="005F7752">
      <w:pPr>
        <w:spacing w:line="480" w:lineRule="auto"/>
        <w:jc w:val="both"/>
        <w:rPr>
          <w:rFonts w:ascii="Times New Roman" w:hAnsi="Times New Roman" w:cs="Times New Roman"/>
          <w:b/>
          <w:i/>
          <w:sz w:val="24"/>
          <w:szCs w:val="24"/>
          <w:vertAlign w:val="baseline"/>
        </w:rPr>
      </w:pPr>
      <w:r w:rsidRPr="00AB486A">
        <w:rPr>
          <w:rFonts w:ascii="Times New Roman" w:hAnsi="Times New Roman" w:cs="Times New Roman"/>
          <w:b/>
          <w:i/>
          <w:sz w:val="24"/>
          <w:szCs w:val="24"/>
          <w:vertAlign w:val="baseline"/>
        </w:rPr>
        <w:t>4</w:t>
      </w:r>
      <w:r w:rsidR="00C319D2" w:rsidRPr="00AB486A">
        <w:rPr>
          <w:rFonts w:ascii="Times New Roman" w:hAnsi="Times New Roman" w:cs="Times New Roman"/>
          <w:b/>
          <w:i/>
          <w:sz w:val="24"/>
          <w:szCs w:val="24"/>
          <w:vertAlign w:val="baseline"/>
        </w:rPr>
        <w:t xml:space="preserve">.5.2 </w:t>
      </w:r>
      <w:r w:rsidR="005F7752" w:rsidRPr="00AB486A">
        <w:rPr>
          <w:rFonts w:ascii="Times New Roman" w:hAnsi="Times New Roman" w:cs="Times New Roman"/>
          <w:b/>
          <w:i/>
          <w:sz w:val="24"/>
          <w:szCs w:val="24"/>
          <w:vertAlign w:val="baseline"/>
        </w:rPr>
        <w:t>Poverty and Remoteness</w:t>
      </w:r>
    </w:p>
    <w:p w14:paraId="767E90CA" w14:textId="77777777" w:rsidR="005F7752" w:rsidRDefault="005F7752" w:rsidP="00E42027">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Poverty is one of the major factors attributed to the prevalence of witchcraft accusations and persecution and is evident within all four countries.</w:t>
      </w:r>
      <w:r w:rsidRPr="005F7752">
        <w:rPr>
          <w:rFonts w:ascii="Times New Roman" w:hAnsi="Times New Roman" w:cs="Times New Roman"/>
          <w:sz w:val="24"/>
          <w:szCs w:val="24"/>
        </w:rPr>
        <w:footnoteReference w:id="651"/>
      </w:r>
      <w:r w:rsidRPr="005F7752">
        <w:rPr>
          <w:rFonts w:ascii="Times New Roman" w:hAnsi="Times New Roman" w:cs="Times New Roman"/>
          <w:sz w:val="24"/>
          <w:szCs w:val="24"/>
          <w:vertAlign w:val="baseline"/>
        </w:rPr>
        <w:t xml:space="preserve"> According to the UNDP Human Development Index,</w:t>
      </w:r>
      <w:r w:rsidRPr="005F7752">
        <w:rPr>
          <w:rFonts w:ascii="Times New Roman" w:hAnsi="Times New Roman" w:cs="Times New Roman"/>
          <w:sz w:val="24"/>
          <w:szCs w:val="24"/>
        </w:rPr>
        <w:footnoteReference w:id="652"/>
      </w:r>
      <w:r w:rsidRPr="005F7752">
        <w:rPr>
          <w:rFonts w:ascii="Times New Roman" w:hAnsi="Times New Roman" w:cs="Times New Roman"/>
          <w:sz w:val="24"/>
          <w:szCs w:val="24"/>
          <w:vertAlign w:val="baseline"/>
        </w:rPr>
        <w:t xml:space="preserve"> which measures the average achievement in key dimensions of human development (health, education and living standards) and the UNDP Multidimensional Poverty Index,</w:t>
      </w:r>
      <w:r w:rsidRPr="005F7752">
        <w:rPr>
          <w:rFonts w:ascii="Times New Roman" w:hAnsi="Times New Roman" w:cs="Times New Roman"/>
          <w:sz w:val="24"/>
          <w:szCs w:val="24"/>
        </w:rPr>
        <w:footnoteReference w:id="653"/>
      </w:r>
      <w:r w:rsidRPr="005F7752">
        <w:rPr>
          <w:rFonts w:ascii="Times New Roman" w:hAnsi="Times New Roman" w:cs="Times New Roman"/>
          <w:sz w:val="24"/>
          <w:szCs w:val="24"/>
          <w:vertAlign w:val="baseline"/>
        </w:rPr>
        <w:t xml:space="preserve"> which measures the percentage of the population that are multidimensionally poor, all four countries are ranked towards the lower end of the table. Out of 187 countries, India ranks 135</w:t>
      </w:r>
      <w:r w:rsidRPr="005F7752">
        <w:rPr>
          <w:rFonts w:ascii="Times New Roman" w:hAnsi="Times New Roman" w:cs="Times New Roman"/>
          <w:sz w:val="24"/>
          <w:szCs w:val="24"/>
        </w:rPr>
        <w:t>th</w:t>
      </w:r>
      <w:r w:rsidRPr="005F7752">
        <w:rPr>
          <w:rFonts w:ascii="Times New Roman" w:hAnsi="Times New Roman" w:cs="Times New Roman"/>
          <w:sz w:val="24"/>
          <w:szCs w:val="24"/>
          <w:vertAlign w:val="baseline"/>
        </w:rPr>
        <w:t>, Ghana 138</w:t>
      </w:r>
      <w:r w:rsidRPr="005F7752">
        <w:rPr>
          <w:rFonts w:ascii="Times New Roman" w:hAnsi="Times New Roman" w:cs="Times New Roman"/>
          <w:sz w:val="24"/>
          <w:szCs w:val="24"/>
        </w:rPr>
        <w:t>th</w:t>
      </w:r>
      <w:r w:rsidRPr="005F7752">
        <w:rPr>
          <w:rFonts w:ascii="Times New Roman" w:hAnsi="Times New Roman" w:cs="Times New Roman"/>
          <w:sz w:val="24"/>
          <w:szCs w:val="24"/>
          <w:vertAlign w:val="baseline"/>
        </w:rPr>
        <w:t>, Nepal 145</w:t>
      </w:r>
      <w:r w:rsidRPr="005F7752">
        <w:rPr>
          <w:rFonts w:ascii="Times New Roman" w:hAnsi="Times New Roman" w:cs="Times New Roman"/>
          <w:sz w:val="24"/>
          <w:szCs w:val="24"/>
        </w:rPr>
        <w:t>th</w:t>
      </w:r>
      <w:r w:rsidRPr="005F7752">
        <w:rPr>
          <w:rFonts w:ascii="Times New Roman" w:hAnsi="Times New Roman" w:cs="Times New Roman"/>
          <w:sz w:val="24"/>
          <w:szCs w:val="24"/>
          <w:vertAlign w:val="baseline"/>
        </w:rPr>
        <w:t xml:space="preserve"> and Papua New Guinea 157</w:t>
      </w:r>
      <w:r w:rsidRPr="005F7752">
        <w:rPr>
          <w:rFonts w:ascii="Times New Roman" w:hAnsi="Times New Roman" w:cs="Times New Roman"/>
          <w:sz w:val="24"/>
          <w:szCs w:val="24"/>
        </w:rPr>
        <w:t>th</w:t>
      </w:r>
      <w:r w:rsidRPr="005F7752">
        <w:rPr>
          <w:rFonts w:ascii="Times New Roman" w:hAnsi="Times New Roman" w:cs="Times New Roman"/>
          <w:sz w:val="24"/>
          <w:szCs w:val="24"/>
          <w:vertAlign w:val="baseline"/>
        </w:rPr>
        <w:t>. Moreover, it becomes evident that high levels of witchcraft accusations and persecution are predominantly concentrated within the poorest and often most remote areas of each country. Another theme that is common to all four countries and runs concurrently with poverty is the issue of remoteness. Witchcraft accusations are often most prevalent within the rural communities, which remain detached from the more modern inner-city societies. In Ghana, research</w:t>
      </w:r>
      <w:r w:rsidRPr="005F7752">
        <w:rPr>
          <w:rFonts w:ascii="Times New Roman" w:hAnsi="Times New Roman" w:cs="Times New Roman"/>
          <w:sz w:val="24"/>
          <w:szCs w:val="24"/>
        </w:rPr>
        <w:footnoteReference w:id="654"/>
      </w:r>
      <w:r w:rsidRPr="005F7752">
        <w:rPr>
          <w:rFonts w:ascii="Times New Roman" w:hAnsi="Times New Roman" w:cs="Times New Roman"/>
          <w:sz w:val="24"/>
          <w:szCs w:val="24"/>
          <w:vertAlign w:val="baseline"/>
        </w:rPr>
        <w:t xml:space="preserve"> has shown that whilst overall poverty levels have declined, with Ghana establishing itself as one of the more developed nations within Sub-Saharan Africa, the northern region of Ghana, which is home to all of the witch-camps, is also home to some of the poorest socio-economic groups in Ghana. As observed by The World Bank</w:t>
      </w:r>
      <w:r w:rsidRPr="005F7752">
        <w:rPr>
          <w:rFonts w:ascii="Times New Roman" w:hAnsi="Times New Roman" w:cs="Times New Roman"/>
          <w:sz w:val="24"/>
          <w:szCs w:val="24"/>
        </w:rPr>
        <w:footnoteReference w:id="655"/>
      </w:r>
    </w:p>
    <w:p w14:paraId="21725F11" w14:textId="77777777" w:rsidR="00034EC6" w:rsidRPr="005F7752" w:rsidRDefault="00034EC6" w:rsidP="00E42027">
      <w:pPr>
        <w:spacing w:line="480" w:lineRule="auto"/>
        <w:ind w:firstLine="720"/>
        <w:jc w:val="both"/>
        <w:rPr>
          <w:rFonts w:ascii="Times New Roman" w:hAnsi="Times New Roman" w:cs="Times New Roman"/>
          <w:sz w:val="24"/>
          <w:szCs w:val="24"/>
          <w:vertAlign w:val="baseline"/>
        </w:rPr>
      </w:pPr>
    </w:p>
    <w:p w14:paraId="70858A0B" w14:textId="77777777" w:rsidR="005F7752" w:rsidRPr="005F7752" w:rsidRDefault="005F7752" w:rsidP="00AB486A">
      <w:pPr>
        <w:spacing w:line="480" w:lineRule="auto"/>
        <w:ind w:left="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Twenty years of rapid economic development in Ghana has done little, if anything, to reduce the historical North, South divide in standards of living. While rural development and urbanization have led to significant poverty reduction in the South, similar dynamics have been largely absent from Northern Ghana. Between 1992 and 2006, the number of the poor declined by 2.5 million in the South and increased by 0.9 million in the North. Ghana's success story in poverty reduction is the success story of its South.</w:t>
      </w:r>
      <w:r w:rsidRPr="005F7752">
        <w:rPr>
          <w:rFonts w:ascii="Times New Roman" w:hAnsi="Times New Roman" w:cs="Times New Roman"/>
          <w:sz w:val="24"/>
          <w:szCs w:val="24"/>
        </w:rPr>
        <w:footnoteReference w:id="656"/>
      </w:r>
    </w:p>
    <w:p w14:paraId="4E0DC128" w14:textId="77777777" w:rsidR="005F7752" w:rsidRPr="005F7752" w:rsidRDefault="005F7752" w:rsidP="005F7752">
      <w:pPr>
        <w:spacing w:line="480" w:lineRule="auto"/>
        <w:jc w:val="both"/>
        <w:rPr>
          <w:rFonts w:ascii="Times New Roman" w:hAnsi="Times New Roman" w:cs="Times New Roman"/>
          <w:sz w:val="24"/>
          <w:szCs w:val="24"/>
          <w:vertAlign w:val="baseline"/>
        </w:rPr>
      </w:pPr>
    </w:p>
    <w:p w14:paraId="00B7EA6F" w14:textId="77777777" w:rsidR="005F7752" w:rsidRDefault="005F7752" w:rsidP="00AB486A">
      <w:pPr>
        <w:spacing w:line="480" w:lineRule="auto"/>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This is substantiated by ActionAid who observe, ‘the (witch) camps only exist in the northern region of Ghana, where poverty levels are far higher than other areas … women who are economically successful and independent are accused, as a way of taking away their wealth and power.’</w:t>
      </w:r>
      <w:r w:rsidRPr="005F7752">
        <w:rPr>
          <w:rFonts w:ascii="Times New Roman" w:hAnsi="Times New Roman" w:cs="Times New Roman"/>
          <w:sz w:val="24"/>
          <w:szCs w:val="24"/>
        </w:rPr>
        <w:footnoteReference w:id="657"/>
      </w:r>
      <w:r w:rsidRPr="005F7752">
        <w:rPr>
          <w:rFonts w:ascii="Times New Roman" w:hAnsi="Times New Roman" w:cs="Times New Roman"/>
          <w:sz w:val="24"/>
          <w:szCs w:val="24"/>
          <w:vertAlign w:val="baseline"/>
        </w:rPr>
        <w:t xml:space="preserve"> Poverty and remoteness are also key factors of witchcraft accusations and persecution throughout India. As Nathan observes, </w:t>
      </w:r>
    </w:p>
    <w:p w14:paraId="4B4CDBFD" w14:textId="77777777" w:rsidR="00AB486A" w:rsidRPr="005F7752" w:rsidRDefault="00AB486A" w:rsidP="00AB486A">
      <w:pPr>
        <w:spacing w:line="480" w:lineRule="auto"/>
        <w:jc w:val="both"/>
        <w:rPr>
          <w:rFonts w:ascii="Times New Roman" w:hAnsi="Times New Roman" w:cs="Times New Roman"/>
          <w:sz w:val="24"/>
          <w:szCs w:val="24"/>
          <w:vertAlign w:val="baseline"/>
        </w:rPr>
      </w:pPr>
    </w:p>
    <w:p w14:paraId="2AA96211" w14:textId="580B4086" w:rsidR="005F7752" w:rsidRPr="005F7752" w:rsidRDefault="005F7752" w:rsidP="00AB486A">
      <w:pPr>
        <w:spacing w:line="480" w:lineRule="auto"/>
        <w:ind w:left="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 xml:space="preserve">[In India] earlier accusations of witchcraft did not include being economically better off as a factor. But more recent accounts … mention the rise of being </w:t>
      </w:r>
      <w:r w:rsidR="00956E88" w:rsidRPr="005F7752">
        <w:rPr>
          <w:rFonts w:ascii="Times New Roman" w:hAnsi="Times New Roman" w:cs="Times New Roman"/>
          <w:sz w:val="24"/>
          <w:szCs w:val="24"/>
          <w:vertAlign w:val="baseline"/>
        </w:rPr>
        <w:t>better off</w:t>
      </w:r>
      <w:r w:rsidRPr="005F7752">
        <w:rPr>
          <w:rFonts w:ascii="Times New Roman" w:hAnsi="Times New Roman" w:cs="Times New Roman"/>
          <w:sz w:val="24"/>
          <w:szCs w:val="24"/>
          <w:vertAlign w:val="baseline"/>
        </w:rPr>
        <w:t xml:space="preserve"> as a factor in witchcraft accusations. There is a new kind of background to witch accusations … of households that do well or better than others … the witch could be thought to have used evil or at least occult powers to secure some benefit for her family. The good fortune of these households is directly linked to the absence of good fortune of other less advantaged households.’</w:t>
      </w:r>
      <w:r w:rsidRPr="005F7752">
        <w:rPr>
          <w:rFonts w:ascii="Times New Roman" w:hAnsi="Times New Roman" w:cs="Times New Roman"/>
          <w:sz w:val="24"/>
          <w:szCs w:val="24"/>
        </w:rPr>
        <w:footnoteReference w:id="658"/>
      </w:r>
    </w:p>
    <w:p w14:paraId="767FE392" w14:textId="77777777" w:rsidR="004F0D82" w:rsidRDefault="004F0D82" w:rsidP="005F7752">
      <w:pPr>
        <w:spacing w:line="480" w:lineRule="auto"/>
        <w:jc w:val="both"/>
        <w:rPr>
          <w:rFonts w:ascii="Times New Roman" w:hAnsi="Times New Roman" w:cs="Times New Roman"/>
          <w:sz w:val="24"/>
          <w:szCs w:val="24"/>
          <w:vertAlign w:val="baseline"/>
        </w:rPr>
      </w:pPr>
    </w:p>
    <w:p w14:paraId="3F23F36E" w14:textId="79CCC134" w:rsidR="005F7752" w:rsidRPr="005F7752" w:rsidRDefault="005F7752" w:rsidP="004F0D82">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In India, within the economic system, there has been a substantial change from subsidence to accumulation.</w:t>
      </w:r>
      <w:r w:rsidRPr="005F7752">
        <w:rPr>
          <w:rFonts w:ascii="Times New Roman" w:hAnsi="Times New Roman" w:cs="Times New Roman"/>
          <w:sz w:val="24"/>
          <w:szCs w:val="24"/>
        </w:rPr>
        <w:footnoteReference w:id="659"/>
      </w:r>
      <w:r w:rsidRPr="005F7752">
        <w:rPr>
          <w:rFonts w:ascii="Times New Roman" w:hAnsi="Times New Roman" w:cs="Times New Roman"/>
          <w:sz w:val="24"/>
          <w:szCs w:val="24"/>
          <w:vertAlign w:val="baseline"/>
        </w:rPr>
        <w:t xml:space="preserve"> Thus, there is not just a change in the type of production, but also in the attitudes towards production. Whereas previously, the emphasis on labour was on meeting the needs of the family, there is now greater emphasis on the accumulation of wealth and maximizing income.</w:t>
      </w:r>
      <w:r w:rsidRPr="005F7752">
        <w:rPr>
          <w:rFonts w:ascii="Times New Roman" w:hAnsi="Times New Roman" w:cs="Times New Roman"/>
          <w:sz w:val="24"/>
          <w:szCs w:val="24"/>
        </w:rPr>
        <w:footnoteReference w:id="660"/>
      </w:r>
      <w:r w:rsidRPr="005F7752">
        <w:rPr>
          <w:rFonts w:ascii="Times New Roman" w:hAnsi="Times New Roman" w:cs="Times New Roman"/>
          <w:sz w:val="24"/>
          <w:szCs w:val="24"/>
          <w:vertAlign w:val="baseline"/>
        </w:rPr>
        <w:t xml:space="preserve"> In situations where particular members of society are thriving, jealousy, resentment and envy are noticeable within those less prosperous members of society. Here, the witchcraft discourse comes into play. It is assumed that those who are prosperous have utilised the power of witchcraft and those who are failing economically have been damaged by those more prosperous, again under the influence of witchcraft. Thus, in India, witchcraft accusations and persecution serves as a ‘levelling tendency,’</w:t>
      </w:r>
      <w:r w:rsidRPr="005F7752">
        <w:rPr>
          <w:rFonts w:ascii="Times New Roman" w:hAnsi="Times New Roman" w:cs="Times New Roman"/>
          <w:sz w:val="24"/>
          <w:szCs w:val="24"/>
        </w:rPr>
        <w:footnoteReference w:id="661"/>
      </w:r>
      <w:r w:rsidRPr="005F7752">
        <w:rPr>
          <w:rFonts w:ascii="Times New Roman" w:hAnsi="Times New Roman" w:cs="Times New Roman"/>
          <w:sz w:val="24"/>
          <w:szCs w:val="24"/>
          <w:vertAlign w:val="baseline"/>
        </w:rPr>
        <w:t xml:space="preserve"> one that does not allow for the accumulation of wealth by some</w:t>
      </w:r>
      <w:r w:rsidR="00D8627B">
        <w:rPr>
          <w:rFonts w:ascii="Times New Roman" w:hAnsi="Times New Roman" w:cs="Times New Roman"/>
          <w:sz w:val="24"/>
          <w:szCs w:val="24"/>
          <w:vertAlign w:val="baseline"/>
        </w:rPr>
        <w:t>, particularly women,</w:t>
      </w:r>
      <w:r w:rsidRPr="005F7752">
        <w:rPr>
          <w:rFonts w:ascii="Times New Roman" w:hAnsi="Times New Roman" w:cs="Times New Roman"/>
          <w:sz w:val="24"/>
          <w:szCs w:val="24"/>
          <w:vertAlign w:val="baseline"/>
        </w:rPr>
        <w:t xml:space="preserve"> in society.</w:t>
      </w:r>
      <w:r w:rsidR="00AB486A">
        <w:rPr>
          <w:rFonts w:ascii="Times New Roman" w:hAnsi="Times New Roman" w:cs="Times New Roman"/>
          <w:sz w:val="24"/>
          <w:szCs w:val="24"/>
          <w:vertAlign w:val="baseline"/>
        </w:rPr>
        <w:t xml:space="preserve"> </w:t>
      </w:r>
      <w:r w:rsidRPr="005F7752">
        <w:rPr>
          <w:rFonts w:ascii="Times New Roman" w:hAnsi="Times New Roman" w:cs="Times New Roman"/>
          <w:sz w:val="24"/>
          <w:szCs w:val="24"/>
          <w:vertAlign w:val="baseline"/>
        </w:rPr>
        <w:t>Nathan makes an important distinction between two specific prosperous groups. The first group is comprised of those individuals who enter into employment and move away from their village. The fact that they have relocated makes them resistant to the levelling pressures of the village community.</w:t>
      </w:r>
      <w:r w:rsidRPr="005F7752">
        <w:rPr>
          <w:rFonts w:ascii="Times New Roman" w:hAnsi="Times New Roman" w:cs="Times New Roman"/>
          <w:sz w:val="24"/>
          <w:szCs w:val="24"/>
        </w:rPr>
        <w:footnoteReference w:id="662"/>
      </w:r>
      <w:r w:rsidRPr="005F7752">
        <w:rPr>
          <w:rFonts w:ascii="Times New Roman" w:hAnsi="Times New Roman" w:cs="Times New Roman"/>
          <w:sz w:val="24"/>
          <w:szCs w:val="24"/>
          <w:vertAlign w:val="baseline"/>
        </w:rPr>
        <w:t xml:space="preserve"> The second group, however, is comprised of those individuals who have done well, yet remain within the village community. Nathan asserts that it is this group who are most vulnerable to levelling pressures; ‘one would expect that it is among them that women are likely to be denounced as witches and subject to persecution.’</w:t>
      </w:r>
      <w:r w:rsidRPr="005F7752">
        <w:rPr>
          <w:rFonts w:ascii="Times New Roman" w:hAnsi="Times New Roman" w:cs="Times New Roman"/>
          <w:sz w:val="24"/>
          <w:szCs w:val="24"/>
        </w:rPr>
        <w:footnoteReference w:id="663"/>
      </w:r>
      <w:r w:rsidRPr="005F7752">
        <w:rPr>
          <w:rFonts w:ascii="Times New Roman" w:hAnsi="Times New Roman" w:cs="Times New Roman"/>
          <w:sz w:val="24"/>
          <w:szCs w:val="24"/>
          <w:vertAlign w:val="baseline"/>
        </w:rPr>
        <w:t xml:space="preserve"> </w:t>
      </w:r>
      <w:r w:rsidR="00D0786C">
        <w:rPr>
          <w:rFonts w:ascii="Times New Roman" w:hAnsi="Times New Roman" w:cs="Times New Roman"/>
          <w:sz w:val="24"/>
          <w:szCs w:val="24"/>
          <w:vertAlign w:val="baseline"/>
        </w:rPr>
        <w:t xml:space="preserve">For women, who are ‘allocated’ subordinate positions within </w:t>
      </w:r>
      <w:r w:rsidR="00D204C1">
        <w:rPr>
          <w:rFonts w:ascii="Times New Roman" w:hAnsi="Times New Roman" w:cs="Times New Roman"/>
          <w:sz w:val="24"/>
          <w:szCs w:val="24"/>
          <w:vertAlign w:val="baseline"/>
        </w:rPr>
        <w:t>these societies</w:t>
      </w:r>
      <w:r w:rsidR="00D0786C">
        <w:rPr>
          <w:rFonts w:ascii="Times New Roman" w:hAnsi="Times New Roman" w:cs="Times New Roman"/>
          <w:sz w:val="24"/>
          <w:szCs w:val="24"/>
          <w:vertAlign w:val="baseline"/>
        </w:rPr>
        <w:t>, t</w:t>
      </w:r>
      <w:r w:rsidR="00D0786C" w:rsidRPr="005F7752">
        <w:rPr>
          <w:rFonts w:ascii="Times New Roman" w:hAnsi="Times New Roman" w:cs="Times New Roman"/>
          <w:sz w:val="24"/>
          <w:szCs w:val="24"/>
          <w:vertAlign w:val="baseline"/>
        </w:rPr>
        <w:t xml:space="preserve">he fear of </w:t>
      </w:r>
      <w:r w:rsidR="00D0786C">
        <w:rPr>
          <w:rFonts w:ascii="Times New Roman" w:hAnsi="Times New Roman" w:cs="Times New Roman"/>
          <w:sz w:val="24"/>
          <w:szCs w:val="24"/>
          <w:vertAlign w:val="baseline"/>
        </w:rPr>
        <w:t xml:space="preserve">an </w:t>
      </w:r>
      <w:r w:rsidR="00D0786C" w:rsidRPr="005F7752">
        <w:rPr>
          <w:rFonts w:ascii="Times New Roman" w:hAnsi="Times New Roman" w:cs="Times New Roman"/>
          <w:sz w:val="24"/>
          <w:szCs w:val="24"/>
          <w:vertAlign w:val="baseline"/>
        </w:rPr>
        <w:t>accusation</w:t>
      </w:r>
      <w:r w:rsidR="00D0786C">
        <w:rPr>
          <w:rFonts w:ascii="Times New Roman" w:hAnsi="Times New Roman" w:cs="Times New Roman"/>
          <w:sz w:val="24"/>
          <w:szCs w:val="24"/>
          <w:vertAlign w:val="baseline"/>
        </w:rPr>
        <w:t xml:space="preserve"> of witchcraft</w:t>
      </w:r>
      <w:r w:rsidR="00D0786C" w:rsidRPr="005F7752">
        <w:rPr>
          <w:rFonts w:ascii="Times New Roman" w:hAnsi="Times New Roman" w:cs="Times New Roman"/>
          <w:sz w:val="24"/>
          <w:szCs w:val="24"/>
          <w:vertAlign w:val="baseline"/>
        </w:rPr>
        <w:t xml:space="preserve"> is enough to discourage women from ‘getting ideas above their station.’</w:t>
      </w:r>
      <w:r w:rsidR="00D0786C">
        <w:rPr>
          <w:rFonts w:ascii="Times New Roman" w:hAnsi="Times New Roman" w:cs="Times New Roman"/>
          <w:sz w:val="24"/>
          <w:szCs w:val="24"/>
          <w:vertAlign w:val="baseline"/>
        </w:rPr>
        <w:t xml:space="preserve"> </w:t>
      </w:r>
      <w:r w:rsidRPr="005F7752">
        <w:rPr>
          <w:rFonts w:ascii="Times New Roman" w:hAnsi="Times New Roman" w:cs="Times New Roman"/>
          <w:sz w:val="24"/>
          <w:szCs w:val="24"/>
          <w:vertAlign w:val="baseline"/>
        </w:rPr>
        <w:t xml:space="preserve">Thus, it becomes evident that witchcraft accusations are often most prevalent within the rural communities, which remain detached from the more modern inner-city societies. </w:t>
      </w:r>
    </w:p>
    <w:p w14:paraId="254A7E3D" w14:textId="77777777" w:rsidR="00AB486A" w:rsidRDefault="00AB486A" w:rsidP="008323A0">
      <w:pPr>
        <w:spacing w:line="480" w:lineRule="auto"/>
        <w:jc w:val="both"/>
        <w:rPr>
          <w:rFonts w:ascii="Times New Roman" w:hAnsi="Times New Roman" w:cs="Times New Roman"/>
          <w:sz w:val="24"/>
          <w:szCs w:val="24"/>
          <w:vertAlign w:val="baseline"/>
        </w:rPr>
      </w:pPr>
    </w:p>
    <w:p w14:paraId="3D8CE67A" w14:textId="6C567B66" w:rsidR="00AB486A" w:rsidRPr="008323A0" w:rsidRDefault="008323A0" w:rsidP="00AB486A">
      <w:pPr>
        <w:spacing w:line="480" w:lineRule="auto"/>
        <w:jc w:val="both"/>
        <w:rPr>
          <w:rFonts w:ascii="Times New Roman" w:hAnsi="Times New Roman" w:cs="Times New Roman"/>
          <w:b/>
          <w:i/>
          <w:sz w:val="24"/>
          <w:szCs w:val="24"/>
          <w:vertAlign w:val="baseline"/>
        </w:rPr>
      </w:pPr>
      <w:r w:rsidRPr="008323A0">
        <w:rPr>
          <w:rFonts w:ascii="Times New Roman" w:hAnsi="Times New Roman" w:cs="Times New Roman"/>
          <w:b/>
          <w:i/>
          <w:sz w:val="24"/>
          <w:szCs w:val="24"/>
          <w:vertAlign w:val="baseline"/>
        </w:rPr>
        <w:t>4.5.3</w:t>
      </w:r>
      <w:r w:rsidR="00AB486A" w:rsidRPr="008323A0">
        <w:rPr>
          <w:rFonts w:ascii="Times New Roman" w:hAnsi="Times New Roman" w:cs="Times New Roman"/>
          <w:b/>
          <w:i/>
          <w:sz w:val="24"/>
          <w:szCs w:val="24"/>
          <w:vertAlign w:val="baseline"/>
        </w:rPr>
        <w:t xml:space="preserve"> Healthcare and Pandemics</w:t>
      </w:r>
    </w:p>
    <w:p w14:paraId="6172B747" w14:textId="5B0C1EB6" w:rsidR="00AB486A" w:rsidRPr="005F7752" w:rsidRDefault="00AB486A" w:rsidP="00AB486A">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In rural areas, where access to healthcare is problematic and the causes of illness and disease are largely misunderstood, sudden and ‘inexplicable’ deaths and illnesses become attributed to witchcraft. Healthcare is a noticeable factor in the prevalence of witchcraft accusations in both Ghana and Papua New Guinea. As noted previously, within Ghana there is a high prevalence of accusations linked with cases of Cerebral Spinal Meningitis (CSM), a disease spread by bacteria droplets such as sneezing, coughing etc. As observed by the Cambridge Network, there have already been 60 cases of CSM in Northern Ghana between January and March 2014.</w:t>
      </w:r>
      <w:r w:rsidRPr="005F7752">
        <w:rPr>
          <w:rFonts w:ascii="Times New Roman" w:hAnsi="Times New Roman" w:cs="Times New Roman"/>
          <w:sz w:val="24"/>
          <w:szCs w:val="24"/>
        </w:rPr>
        <w:footnoteReference w:id="664"/>
      </w:r>
      <w:r w:rsidRPr="005F7752">
        <w:rPr>
          <w:rFonts w:ascii="Times New Roman" w:hAnsi="Times New Roman" w:cs="Times New Roman"/>
          <w:sz w:val="24"/>
          <w:szCs w:val="24"/>
          <w:vertAlign w:val="baseline"/>
        </w:rPr>
        <w:t xml:space="preserve"> Guinea worm</w:t>
      </w:r>
      <w:r w:rsidRPr="005F7752">
        <w:rPr>
          <w:rFonts w:ascii="Times New Roman" w:hAnsi="Times New Roman" w:cs="Times New Roman"/>
          <w:sz w:val="24"/>
          <w:szCs w:val="24"/>
        </w:rPr>
        <w:footnoteReference w:id="665"/>
      </w:r>
      <w:r w:rsidRPr="005F7752">
        <w:rPr>
          <w:rFonts w:ascii="Times New Roman" w:hAnsi="Times New Roman" w:cs="Times New Roman"/>
          <w:sz w:val="24"/>
          <w:szCs w:val="24"/>
          <w:vertAlign w:val="baseline"/>
        </w:rPr>
        <w:t xml:space="preserve"> and Malaria in Ghana are also often attributed to witchcraft. Papua New Guinea is unquestionably the poorest and most under-developed of all four countries ranking 157</w:t>
      </w:r>
      <w:r w:rsidRPr="005F7752">
        <w:rPr>
          <w:rFonts w:ascii="Times New Roman" w:hAnsi="Times New Roman" w:cs="Times New Roman"/>
          <w:sz w:val="24"/>
          <w:szCs w:val="24"/>
        </w:rPr>
        <w:t>th</w:t>
      </w:r>
      <w:r w:rsidRPr="005F7752">
        <w:rPr>
          <w:rFonts w:ascii="Times New Roman" w:hAnsi="Times New Roman" w:cs="Times New Roman"/>
          <w:sz w:val="24"/>
          <w:szCs w:val="24"/>
          <w:vertAlign w:val="baseline"/>
        </w:rPr>
        <w:t xml:space="preserve"> out of 187 countries on the UNDP Human Development Index.</w:t>
      </w:r>
      <w:r w:rsidRPr="005F7752">
        <w:rPr>
          <w:rFonts w:ascii="Times New Roman" w:hAnsi="Times New Roman" w:cs="Times New Roman"/>
          <w:sz w:val="24"/>
          <w:szCs w:val="24"/>
        </w:rPr>
        <w:footnoteReference w:id="666"/>
      </w:r>
      <w:r w:rsidRPr="005F7752">
        <w:rPr>
          <w:rFonts w:ascii="Times New Roman" w:hAnsi="Times New Roman" w:cs="Times New Roman"/>
          <w:sz w:val="24"/>
          <w:szCs w:val="24"/>
          <w:vertAlign w:val="baseline"/>
        </w:rPr>
        <w:t xml:space="preserve"> There is some dispute as to the apparent increase in witchcraft accusations in Papua New Guinea. Whilst some</w:t>
      </w:r>
      <w:r w:rsidRPr="005F7752">
        <w:rPr>
          <w:rFonts w:ascii="Times New Roman" w:hAnsi="Times New Roman" w:cs="Times New Roman"/>
          <w:sz w:val="24"/>
          <w:szCs w:val="24"/>
        </w:rPr>
        <w:footnoteReference w:id="667"/>
      </w:r>
      <w:r w:rsidRPr="005F7752">
        <w:rPr>
          <w:rFonts w:ascii="Times New Roman" w:hAnsi="Times New Roman" w:cs="Times New Roman"/>
          <w:sz w:val="24"/>
          <w:szCs w:val="24"/>
          <w:vertAlign w:val="baseline"/>
        </w:rPr>
        <w:t xml:space="preserve"> argue that tribal and family conflicts are the main cause of accusations, others</w:t>
      </w:r>
      <w:r w:rsidRPr="005F7752">
        <w:rPr>
          <w:rFonts w:ascii="Times New Roman" w:hAnsi="Times New Roman" w:cs="Times New Roman"/>
          <w:sz w:val="24"/>
          <w:szCs w:val="24"/>
        </w:rPr>
        <w:footnoteReference w:id="668"/>
      </w:r>
      <w:r w:rsidRPr="005F7752">
        <w:rPr>
          <w:rFonts w:ascii="Times New Roman" w:hAnsi="Times New Roman" w:cs="Times New Roman"/>
          <w:sz w:val="24"/>
          <w:szCs w:val="24"/>
          <w:vertAlign w:val="baseline"/>
        </w:rPr>
        <w:t xml:space="preserve"> argue that witchcraft accusations may be linked to the preval</w:t>
      </w:r>
      <w:r w:rsidR="00D400BC">
        <w:rPr>
          <w:rFonts w:ascii="Times New Roman" w:hAnsi="Times New Roman" w:cs="Times New Roman"/>
          <w:sz w:val="24"/>
          <w:szCs w:val="24"/>
          <w:vertAlign w:val="baseline"/>
        </w:rPr>
        <w:t>ence of diseases such as HIV/AIDS</w:t>
      </w:r>
      <w:r w:rsidRPr="005F7752">
        <w:rPr>
          <w:rFonts w:ascii="Times New Roman" w:hAnsi="Times New Roman" w:cs="Times New Roman"/>
          <w:sz w:val="24"/>
          <w:szCs w:val="24"/>
          <w:vertAlign w:val="baseline"/>
        </w:rPr>
        <w:t>, as the disease is thought to be a result of sorcery.</w:t>
      </w:r>
      <w:r w:rsidRPr="005F7752">
        <w:rPr>
          <w:rFonts w:ascii="Times New Roman" w:hAnsi="Times New Roman" w:cs="Times New Roman"/>
          <w:sz w:val="24"/>
          <w:szCs w:val="24"/>
        </w:rPr>
        <w:footnoteReference w:id="669"/>
      </w:r>
      <w:r w:rsidRPr="005F7752">
        <w:rPr>
          <w:rFonts w:ascii="Times New Roman" w:hAnsi="Times New Roman" w:cs="Times New Roman"/>
          <w:sz w:val="24"/>
          <w:szCs w:val="24"/>
          <w:vertAlign w:val="baseline"/>
        </w:rPr>
        <w:t xml:space="preserve"> UNAIDs, the Joint United Nations Programme on HIV/AIDS, estimates that there are approximately 32,000 people living with HIV in Papua New Guinea, of which an estimated 59 percent are women.</w:t>
      </w:r>
      <w:r w:rsidRPr="005F7752">
        <w:rPr>
          <w:rFonts w:ascii="Times New Roman" w:hAnsi="Times New Roman" w:cs="Times New Roman"/>
          <w:sz w:val="24"/>
          <w:szCs w:val="24"/>
        </w:rPr>
        <w:footnoteReference w:id="670"/>
      </w:r>
      <w:r w:rsidRPr="005F7752">
        <w:rPr>
          <w:rFonts w:ascii="Times New Roman" w:hAnsi="Times New Roman" w:cs="Times New Roman"/>
          <w:sz w:val="24"/>
          <w:szCs w:val="24"/>
          <w:vertAlign w:val="baseline"/>
        </w:rPr>
        <w:t xml:space="preserve"> Studies</w:t>
      </w:r>
      <w:r w:rsidRPr="005F7752">
        <w:rPr>
          <w:rFonts w:ascii="Times New Roman" w:hAnsi="Times New Roman" w:cs="Times New Roman"/>
          <w:sz w:val="24"/>
          <w:szCs w:val="24"/>
        </w:rPr>
        <w:footnoteReference w:id="671"/>
      </w:r>
      <w:r w:rsidRPr="005F7752">
        <w:rPr>
          <w:rFonts w:ascii="Times New Roman" w:hAnsi="Times New Roman" w:cs="Times New Roman"/>
          <w:sz w:val="24"/>
          <w:szCs w:val="24"/>
          <w:vertAlign w:val="baseline"/>
        </w:rPr>
        <w:t xml:space="preserve"> have shown that the prevalence of HIV has strong links to the prevalence of gender-based violence, due to high levels of rape, polygamy and infidelity. Thus, as reported by Amnesty International, ‘a traditional belief in witchcraft and magic … is often a pretext for brutal acts of violence against women who are accused of being a witch and spreading HIV.’</w:t>
      </w:r>
      <w:r w:rsidRPr="005F7752">
        <w:rPr>
          <w:rFonts w:ascii="Times New Roman" w:hAnsi="Times New Roman" w:cs="Times New Roman"/>
          <w:sz w:val="24"/>
          <w:szCs w:val="24"/>
        </w:rPr>
        <w:footnoteReference w:id="672"/>
      </w:r>
    </w:p>
    <w:p w14:paraId="11CF684D" w14:textId="77777777" w:rsidR="00C3212A" w:rsidRDefault="00C3212A" w:rsidP="005F7752">
      <w:pPr>
        <w:spacing w:line="480" w:lineRule="auto"/>
        <w:jc w:val="both"/>
        <w:rPr>
          <w:rFonts w:ascii="Times New Roman" w:hAnsi="Times New Roman" w:cs="Times New Roman"/>
          <w:sz w:val="24"/>
          <w:szCs w:val="24"/>
          <w:vertAlign w:val="baseline"/>
        </w:rPr>
      </w:pPr>
    </w:p>
    <w:p w14:paraId="53DF538A" w14:textId="77777777" w:rsidR="00EB2500" w:rsidRDefault="00EB2500" w:rsidP="005F7752">
      <w:pPr>
        <w:spacing w:line="480" w:lineRule="auto"/>
        <w:jc w:val="both"/>
        <w:rPr>
          <w:rFonts w:ascii="Times New Roman" w:hAnsi="Times New Roman" w:cs="Times New Roman"/>
          <w:sz w:val="24"/>
          <w:szCs w:val="24"/>
          <w:vertAlign w:val="baseline"/>
        </w:rPr>
      </w:pPr>
    </w:p>
    <w:p w14:paraId="379B427F" w14:textId="7708DE35" w:rsidR="005F7752" w:rsidRPr="00D44E62" w:rsidRDefault="00D44E62" w:rsidP="005F7752">
      <w:pPr>
        <w:spacing w:line="480" w:lineRule="auto"/>
        <w:jc w:val="both"/>
        <w:rPr>
          <w:rFonts w:ascii="Times New Roman" w:hAnsi="Times New Roman" w:cs="Times New Roman"/>
          <w:b/>
          <w:i/>
          <w:sz w:val="24"/>
          <w:szCs w:val="24"/>
          <w:vertAlign w:val="baseline"/>
        </w:rPr>
      </w:pPr>
      <w:r w:rsidRPr="00D44E62">
        <w:rPr>
          <w:rFonts w:ascii="Times New Roman" w:hAnsi="Times New Roman" w:cs="Times New Roman"/>
          <w:b/>
          <w:i/>
          <w:sz w:val="24"/>
          <w:szCs w:val="24"/>
          <w:vertAlign w:val="baseline"/>
        </w:rPr>
        <w:t>4.5.4</w:t>
      </w:r>
      <w:r w:rsidR="00C3212A" w:rsidRPr="00D44E62">
        <w:rPr>
          <w:rFonts w:ascii="Times New Roman" w:hAnsi="Times New Roman" w:cs="Times New Roman"/>
          <w:b/>
          <w:i/>
          <w:sz w:val="24"/>
          <w:szCs w:val="24"/>
          <w:vertAlign w:val="baseline"/>
        </w:rPr>
        <w:t xml:space="preserve"> C</w:t>
      </w:r>
      <w:r w:rsidR="005F7752" w:rsidRPr="00D44E62">
        <w:rPr>
          <w:rFonts w:ascii="Times New Roman" w:hAnsi="Times New Roman" w:cs="Times New Roman"/>
          <w:b/>
          <w:i/>
          <w:sz w:val="24"/>
          <w:szCs w:val="24"/>
          <w:vertAlign w:val="baseline"/>
        </w:rPr>
        <w:t>aste System</w:t>
      </w:r>
    </w:p>
    <w:p w14:paraId="34CB7A27" w14:textId="45E903C6" w:rsidR="005F7752" w:rsidRPr="005F7752" w:rsidRDefault="005F7752" w:rsidP="005358BF">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The key factor behind witchcraft accusations and persecution in both Nepal and India is the caste system.</w:t>
      </w:r>
      <w:r w:rsidR="006D11DD">
        <w:rPr>
          <w:rFonts w:ascii="Times New Roman" w:hAnsi="Times New Roman" w:cs="Times New Roman"/>
          <w:sz w:val="24"/>
          <w:szCs w:val="24"/>
          <w:vertAlign w:val="baseline"/>
        </w:rPr>
        <w:t xml:space="preserve"> Although th</w:t>
      </w:r>
      <w:r w:rsidR="00170E57">
        <w:rPr>
          <w:rFonts w:ascii="Times New Roman" w:hAnsi="Times New Roman" w:cs="Times New Roman"/>
          <w:sz w:val="24"/>
          <w:szCs w:val="24"/>
          <w:vertAlign w:val="baseline"/>
        </w:rPr>
        <w:t>e caste system</w:t>
      </w:r>
      <w:r w:rsidRPr="005F7752">
        <w:rPr>
          <w:rFonts w:ascii="Times New Roman" w:hAnsi="Times New Roman" w:cs="Times New Roman"/>
          <w:sz w:val="24"/>
          <w:szCs w:val="24"/>
          <w:vertAlign w:val="baseline"/>
        </w:rPr>
        <w:t xml:space="preserve"> </w:t>
      </w:r>
      <w:r w:rsidR="006D11DD">
        <w:rPr>
          <w:rFonts w:ascii="Times New Roman" w:hAnsi="Times New Roman" w:cs="Times New Roman"/>
          <w:sz w:val="24"/>
          <w:szCs w:val="24"/>
          <w:vertAlign w:val="baseline"/>
        </w:rPr>
        <w:t xml:space="preserve">is only present in two of the four countries, it must be emphasised that </w:t>
      </w:r>
      <w:r w:rsidR="00170E57">
        <w:rPr>
          <w:rFonts w:ascii="Times New Roman" w:hAnsi="Times New Roman" w:cs="Times New Roman"/>
          <w:sz w:val="24"/>
          <w:szCs w:val="24"/>
          <w:vertAlign w:val="baseline"/>
        </w:rPr>
        <w:t xml:space="preserve">the commonality rests in the fact that </w:t>
      </w:r>
      <w:r w:rsidR="006D11DD">
        <w:rPr>
          <w:rFonts w:ascii="Times New Roman" w:hAnsi="Times New Roman" w:cs="Times New Roman"/>
          <w:sz w:val="24"/>
          <w:szCs w:val="24"/>
          <w:vertAlign w:val="baseline"/>
        </w:rPr>
        <w:t>the caste system acts as a form of discrimination and subordination,</w:t>
      </w:r>
      <w:r w:rsidR="008D3C87">
        <w:rPr>
          <w:rFonts w:ascii="Times New Roman" w:hAnsi="Times New Roman" w:cs="Times New Roman"/>
          <w:sz w:val="24"/>
          <w:szCs w:val="24"/>
          <w:vertAlign w:val="baseline"/>
        </w:rPr>
        <w:t xml:space="preserve"> </w:t>
      </w:r>
      <w:r w:rsidR="00170E57">
        <w:rPr>
          <w:rFonts w:ascii="Times New Roman" w:hAnsi="Times New Roman" w:cs="Times New Roman"/>
          <w:sz w:val="24"/>
          <w:szCs w:val="24"/>
          <w:vertAlign w:val="baseline"/>
        </w:rPr>
        <w:t xml:space="preserve">which is </w:t>
      </w:r>
      <w:r w:rsidR="008D3C87">
        <w:rPr>
          <w:rFonts w:ascii="Times New Roman" w:hAnsi="Times New Roman" w:cs="Times New Roman"/>
          <w:sz w:val="24"/>
          <w:szCs w:val="24"/>
          <w:vertAlign w:val="baseline"/>
        </w:rPr>
        <w:t>common</w:t>
      </w:r>
      <w:r w:rsidR="00170E57">
        <w:rPr>
          <w:rFonts w:ascii="Times New Roman" w:hAnsi="Times New Roman" w:cs="Times New Roman"/>
          <w:sz w:val="24"/>
          <w:szCs w:val="24"/>
          <w:vertAlign w:val="baseline"/>
        </w:rPr>
        <w:t>,</w:t>
      </w:r>
      <w:r w:rsidR="008D3C87">
        <w:rPr>
          <w:rFonts w:ascii="Times New Roman" w:hAnsi="Times New Roman" w:cs="Times New Roman"/>
          <w:sz w:val="24"/>
          <w:szCs w:val="24"/>
          <w:vertAlign w:val="baseline"/>
        </w:rPr>
        <w:t xml:space="preserve"> in</w:t>
      </w:r>
      <w:r w:rsidR="006D11DD">
        <w:rPr>
          <w:rFonts w:ascii="Times New Roman" w:hAnsi="Times New Roman" w:cs="Times New Roman"/>
          <w:sz w:val="24"/>
          <w:szCs w:val="24"/>
          <w:vertAlign w:val="baseline"/>
        </w:rPr>
        <w:t xml:space="preserve"> </w:t>
      </w:r>
      <w:r w:rsidR="00170E57">
        <w:rPr>
          <w:rFonts w:ascii="Times New Roman" w:hAnsi="Times New Roman" w:cs="Times New Roman"/>
          <w:sz w:val="24"/>
          <w:szCs w:val="24"/>
          <w:vertAlign w:val="baseline"/>
        </w:rPr>
        <w:t xml:space="preserve">different forms, to </w:t>
      </w:r>
      <w:r w:rsidR="006D11DD">
        <w:rPr>
          <w:rFonts w:ascii="Times New Roman" w:hAnsi="Times New Roman" w:cs="Times New Roman"/>
          <w:sz w:val="24"/>
          <w:szCs w:val="24"/>
          <w:vertAlign w:val="baseline"/>
        </w:rPr>
        <w:t xml:space="preserve">all four countries. </w:t>
      </w:r>
      <w:r w:rsidRPr="005F7752">
        <w:rPr>
          <w:rFonts w:ascii="Times New Roman" w:hAnsi="Times New Roman" w:cs="Times New Roman"/>
          <w:sz w:val="24"/>
          <w:szCs w:val="24"/>
          <w:vertAlign w:val="baseline"/>
        </w:rPr>
        <w:t>In both Nepal and India, the caste system specifically provides a stark divide between those who are educated and those who are not. Thus, there is a high prevalence of witchcraft accusations targeted specifically at lower caste women. As affirmed by Mathur, ‘poor, low-caste women are easy targets for [witchcraft] naming/branding ... women who are widowed, infertile, possess 'ugly' features or are old, unprotected, poor or socially ostracised are easy targets.’</w:t>
      </w:r>
      <w:r w:rsidRPr="005F7752">
        <w:rPr>
          <w:rFonts w:ascii="Times New Roman" w:hAnsi="Times New Roman" w:cs="Times New Roman"/>
          <w:sz w:val="24"/>
          <w:szCs w:val="24"/>
        </w:rPr>
        <w:footnoteReference w:id="673"/>
      </w:r>
      <w:r w:rsidRPr="005F7752">
        <w:rPr>
          <w:rFonts w:ascii="Times New Roman" w:hAnsi="Times New Roman" w:cs="Times New Roman"/>
          <w:sz w:val="24"/>
          <w:szCs w:val="24"/>
          <w:vertAlign w:val="baseline"/>
        </w:rPr>
        <w:t xml:space="preserve"> However, there is a stark difference between the two countries. As observed by the Women’s News Network,</w:t>
      </w:r>
      <w:r w:rsidRPr="005F7752">
        <w:rPr>
          <w:rFonts w:ascii="Times New Roman" w:hAnsi="Times New Roman" w:cs="Times New Roman"/>
          <w:sz w:val="24"/>
          <w:szCs w:val="24"/>
        </w:rPr>
        <w:footnoteReference w:id="674"/>
      </w:r>
      <w:r w:rsidRPr="005F7752">
        <w:rPr>
          <w:rFonts w:ascii="Times New Roman" w:hAnsi="Times New Roman" w:cs="Times New Roman"/>
          <w:sz w:val="24"/>
          <w:szCs w:val="24"/>
          <w:vertAlign w:val="baseline"/>
        </w:rPr>
        <w:t xml:space="preserve"> powerful women, in India, who are seen as a threat to male supremacy can also become the target of witch hunting.</w:t>
      </w:r>
      <w:r w:rsidRPr="005F7752">
        <w:rPr>
          <w:rFonts w:ascii="Times New Roman" w:hAnsi="Times New Roman" w:cs="Times New Roman"/>
          <w:sz w:val="24"/>
          <w:szCs w:val="24"/>
        </w:rPr>
        <w:footnoteReference w:id="675"/>
      </w:r>
      <w:r w:rsidRPr="005F7752">
        <w:rPr>
          <w:rFonts w:ascii="Times New Roman" w:hAnsi="Times New Roman" w:cs="Times New Roman"/>
          <w:sz w:val="24"/>
          <w:szCs w:val="24"/>
          <w:vertAlign w:val="baseline"/>
        </w:rPr>
        <w:t xml:space="preserve"> Conversely, in Nepal, Pant asserts that ‘an educated woman from a higher income family and higher caste never gets accused of practising witchcraft.’</w:t>
      </w:r>
      <w:r w:rsidRPr="005F7752">
        <w:rPr>
          <w:rFonts w:ascii="Times New Roman" w:hAnsi="Times New Roman" w:cs="Times New Roman"/>
          <w:sz w:val="24"/>
          <w:szCs w:val="24"/>
        </w:rPr>
        <w:footnoteReference w:id="676"/>
      </w:r>
      <w:r w:rsidRPr="005F7752">
        <w:rPr>
          <w:rFonts w:ascii="Times New Roman" w:hAnsi="Times New Roman" w:cs="Times New Roman"/>
          <w:sz w:val="24"/>
          <w:szCs w:val="24"/>
          <w:vertAlign w:val="baseline"/>
        </w:rPr>
        <w:t xml:space="preserve"> In Nepal, it is only women from the Dalit community or other minority tribes that are labelled as witches. Bishwakarma,</w:t>
      </w:r>
      <w:r w:rsidRPr="005F7752">
        <w:rPr>
          <w:rFonts w:ascii="Times New Roman" w:hAnsi="Times New Roman" w:cs="Times New Roman"/>
          <w:sz w:val="24"/>
          <w:szCs w:val="24"/>
        </w:rPr>
        <w:footnoteReference w:id="677"/>
      </w:r>
      <w:r w:rsidRPr="005F7752">
        <w:rPr>
          <w:rFonts w:ascii="Times New Roman" w:hAnsi="Times New Roman" w:cs="Times New Roman"/>
          <w:sz w:val="24"/>
          <w:szCs w:val="24"/>
          <w:vertAlign w:val="baseline"/>
        </w:rPr>
        <w:t xml:space="preserve"> who has been documenting cases of Dalit women accused of witchcraft states, ‘[In Nepal] Dalit and other minority women are the most vulnerable because they are socially, culturally, financially and politically backward.’</w:t>
      </w:r>
      <w:r w:rsidRPr="005F7752">
        <w:rPr>
          <w:rFonts w:ascii="Times New Roman" w:hAnsi="Times New Roman" w:cs="Times New Roman"/>
          <w:sz w:val="24"/>
          <w:szCs w:val="24"/>
        </w:rPr>
        <w:footnoteReference w:id="678"/>
      </w:r>
    </w:p>
    <w:p w14:paraId="509728AD" w14:textId="77777777" w:rsidR="00E0537B" w:rsidRDefault="00E0537B" w:rsidP="005F7752">
      <w:pPr>
        <w:spacing w:line="480" w:lineRule="auto"/>
        <w:jc w:val="both"/>
        <w:rPr>
          <w:rFonts w:ascii="Times New Roman" w:hAnsi="Times New Roman" w:cs="Times New Roman"/>
          <w:b/>
          <w:sz w:val="24"/>
          <w:szCs w:val="24"/>
          <w:u w:val="single"/>
          <w:vertAlign w:val="baseline"/>
        </w:rPr>
      </w:pPr>
    </w:p>
    <w:p w14:paraId="087B2887" w14:textId="4E6209A9" w:rsidR="005F7752" w:rsidRPr="005F7752" w:rsidRDefault="0085317D" w:rsidP="005F7752">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4</w:t>
      </w:r>
      <w:r w:rsidR="00E0537B">
        <w:rPr>
          <w:rFonts w:ascii="Times New Roman" w:hAnsi="Times New Roman" w:cs="Times New Roman"/>
          <w:b/>
          <w:sz w:val="24"/>
          <w:szCs w:val="24"/>
          <w:u w:val="single"/>
          <w:vertAlign w:val="baseline"/>
        </w:rPr>
        <w:t xml:space="preserve">.6 </w:t>
      </w:r>
      <w:r>
        <w:rPr>
          <w:rFonts w:ascii="Times New Roman" w:hAnsi="Times New Roman" w:cs="Times New Roman"/>
          <w:b/>
          <w:sz w:val="24"/>
          <w:szCs w:val="24"/>
          <w:u w:val="single"/>
          <w:vertAlign w:val="baseline"/>
        </w:rPr>
        <w:t>DIFFERENCES</w:t>
      </w:r>
    </w:p>
    <w:p w14:paraId="77CE7A43" w14:textId="30CA1321" w:rsidR="005F7752" w:rsidRPr="005F7752" w:rsidRDefault="005F7752" w:rsidP="000E5AFA">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On examination it becomes evident that the belief in witchcraft, rooted in superstition and religious beliefs, is deeply entrenched within all four countries. It would appear that these beliefs, combined with deep-rooted patriarchal attitudes, have become woven in with further factors such as poverty, poor healthcare facilities, gender inequality and remoteness of societies, which simply enhance both the pervasiveness of gender inequality and subsequent witchcraft accusations and persecution against women. Whilst these factors are present within all four countries, there are differences as to which factor plays a leading role in witchcraft accusations and persecution. In Ghana the main cause of witchcraft accusations can be attributed to a combination of high levels of gender inequality, combined with a high prevalence of specific diseases, such as Cerebral Spinal Meningitis, Guinea Worm and Malaria. The same can be said for Papua New Guinea; however, here there is a specific link to sexual violence, which is attributed to the HIV/Aids epidemic and consequently the rise in witchcraft accusations and persecution in Papua New Guinea. Nepal and India differ from both Ghana and Papua New Guinea, due to the established tradition of the caste system, present within both countries. Yet, whilst lower caste women remain prime target for witchcraft accusations and persecution in both countries, victims of witchcraft within the two countries differ. In India, although rare, women from any caste may be targeted, whereas in Nepal it is only those from the lowest ca</w:t>
      </w:r>
      <w:r w:rsidR="00506589">
        <w:rPr>
          <w:rFonts w:ascii="Times New Roman" w:hAnsi="Times New Roman" w:cs="Times New Roman"/>
          <w:sz w:val="24"/>
          <w:szCs w:val="24"/>
          <w:vertAlign w:val="baseline"/>
        </w:rPr>
        <w:t>ste who are targeted as witches, due to their vulnerability</w:t>
      </w:r>
      <w:r w:rsidR="00DC7701">
        <w:rPr>
          <w:rFonts w:ascii="Times New Roman" w:hAnsi="Times New Roman" w:cs="Times New Roman"/>
          <w:sz w:val="24"/>
          <w:szCs w:val="24"/>
          <w:vertAlign w:val="baseline"/>
        </w:rPr>
        <w:t xml:space="preserve"> within society</w:t>
      </w:r>
      <w:r w:rsidR="00506589">
        <w:rPr>
          <w:rFonts w:ascii="Times New Roman" w:hAnsi="Times New Roman" w:cs="Times New Roman"/>
          <w:sz w:val="24"/>
          <w:szCs w:val="24"/>
          <w:vertAlign w:val="baseline"/>
        </w:rPr>
        <w:t xml:space="preserve">. </w:t>
      </w:r>
    </w:p>
    <w:p w14:paraId="47355786" w14:textId="77777777" w:rsidR="005F7752" w:rsidRPr="005F7752" w:rsidRDefault="005F7752" w:rsidP="005F7752">
      <w:pPr>
        <w:spacing w:line="480" w:lineRule="auto"/>
        <w:jc w:val="both"/>
        <w:rPr>
          <w:rFonts w:ascii="Times New Roman" w:hAnsi="Times New Roman" w:cs="Times New Roman"/>
          <w:sz w:val="24"/>
          <w:szCs w:val="24"/>
          <w:vertAlign w:val="baseline"/>
        </w:rPr>
      </w:pPr>
    </w:p>
    <w:p w14:paraId="0A541E57" w14:textId="7AE35B7A" w:rsidR="005F7752" w:rsidRDefault="005F7752" w:rsidP="004273E2">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Moreover, there are significant differences in the way witchcraft is detected and dealt with, within each country. All women, accused of witchcraft are exiled from their communities. Burning of witches is, again, a common theme; there have been incidences of women being burnt alive in all four countries.</w:t>
      </w:r>
      <w:r w:rsidRPr="005F7752">
        <w:rPr>
          <w:rFonts w:ascii="Times New Roman" w:hAnsi="Times New Roman" w:cs="Times New Roman"/>
          <w:sz w:val="24"/>
          <w:szCs w:val="24"/>
        </w:rPr>
        <w:footnoteReference w:id="679"/>
      </w:r>
      <w:r w:rsidRPr="005F7752">
        <w:rPr>
          <w:rFonts w:ascii="Times New Roman" w:hAnsi="Times New Roman" w:cs="Times New Roman"/>
          <w:sz w:val="24"/>
          <w:szCs w:val="24"/>
          <w:vertAlign w:val="baseline"/>
        </w:rPr>
        <w:t xml:space="preserve"> However, the types and levels of violence that follow an accusation of witchcraft vary significantly. In Ghana, women, that survive a lynching by their society, are ostracised to witch camps. Contrast this to Nepal, India and Papua New Guinea. Here there are no witch camps. In Nepal, India and Papua New Guinea, the torture of women is predominantly public. As in all societies, the punishment allotted differs from case to case. Yet, some forms of violence appear specific to each particular country. For instance, in Nepal, whilst severe, the torture of women seems to follow a particular path. Women are forced to eat excreta, they are publically tortured, sometimes sexually, and typically with iron rods.</w:t>
      </w:r>
      <w:r w:rsidRPr="005F7752">
        <w:rPr>
          <w:rFonts w:ascii="Times New Roman" w:hAnsi="Times New Roman" w:cs="Times New Roman"/>
          <w:sz w:val="24"/>
          <w:szCs w:val="24"/>
        </w:rPr>
        <w:footnoteReference w:id="680"/>
      </w:r>
      <w:r w:rsidRPr="005F7752">
        <w:rPr>
          <w:rFonts w:ascii="Times New Roman" w:hAnsi="Times New Roman" w:cs="Times New Roman"/>
          <w:sz w:val="24"/>
          <w:szCs w:val="24"/>
          <w:vertAlign w:val="baseline"/>
        </w:rPr>
        <w:t xml:space="preserve"> Whilst some women are then left alone to deal with their trauma, others are burnt alive. In India, the punishment is slightly more diverse. Whilst there are cases of women being forcibly fed excreta, as in Nepal, the levels of violence in India appear to be higher. Here, punishment includes public hangings, hacking with machetes, de-fanging, necklacing and being burnt alive. In contrast with Nepal, there appears to be fewer survivors of witchcraft persecution in India.</w:t>
      </w:r>
      <w:r w:rsidRPr="005F7752">
        <w:rPr>
          <w:rFonts w:ascii="Times New Roman" w:hAnsi="Times New Roman" w:cs="Times New Roman"/>
          <w:sz w:val="24"/>
          <w:szCs w:val="24"/>
        </w:rPr>
        <w:footnoteReference w:id="681"/>
      </w:r>
      <w:r w:rsidRPr="005F7752">
        <w:rPr>
          <w:rFonts w:ascii="Times New Roman" w:hAnsi="Times New Roman" w:cs="Times New Roman"/>
          <w:sz w:val="24"/>
          <w:szCs w:val="24"/>
          <w:vertAlign w:val="baseline"/>
        </w:rPr>
        <w:t xml:space="preserve"> The most shocking and diverse levels of violence, against women accused of witchcraft, are undeniably found in Papua New Guinea. It is, therefore, not surprising that Papua New Guinea ranks below Nepal, Ghana and India, positioned within the lowest tier on the both the Gender Inequality Index and the Human Development Index. In Papua New Guinea the violence allotted to alleged witches is extreme. As previously documented, violence includes; torture using barbed wire, burning with red hot metal, amputation of body parts, bones broken, rape, beheadings, suffocation, electrocution, forceful poisoning and stoning. Victims are also shot, thrown off cliffs or into rivers and dragged behind moving vehicles. It is evident that here, that there are no boundaries or delineations to witchcraft violence. </w:t>
      </w:r>
    </w:p>
    <w:p w14:paraId="657B55AC" w14:textId="77777777" w:rsidR="00034EC6" w:rsidRPr="005F7752" w:rsidRDefault="00034EC6" w:rsidP="00EB2500">
      <w:pPr>
        <w:spacing w:line="480" w:lineRule="auto"/>
        <w:jc w:val="both"/>
        <w:rPr>
          <w:rFonts w:ascii="Times New Roman" w:hAnsi="Times New Roman" w:cs="Times New Roman"/>
          <w:sz w:val="24"/>
          <w:szCs w:val="24"/>
          <w:vertAlign w:val="baseline"/>
        </w:rPr>
      </w:pPr>
    </w:p>
    <w:p w14:paraId="581CA4BA" w14:textId="528513E0" w:rsidR="005F7752" w:rsidRPr="005F7752" w:rsidRDefault="001A0A64" w:rsidP="005F7752">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4</w:t>
      </w:r>
      <w:r w:rsidR="00292DC3">
        <w:rPr>
          <w:rFonts w:ascii="Times New Roman" w:hAnsi="Times New Roman" w:cs="Times New Roman"/>
          <w:b/>
          <w:sz w:val="24"/>
          <w:szCs w:val="24"/>
          <w:u w:val="single"/>
          <w:vertAlign w:val="baseline"/>
        </w:rPr>
        <w:t xml:space="preserve">.7 </w:t>
      </w:r>
      <w:r w:rsidR="005F7752" w:rsidRPr="005F7752">
        <w:rPr>
          <w:rFonts w:ascii="Times New Roman" w:hAnsi="Times New Roman" w:cs="Times New Roman"/>
          <w:b/>
          <w:sz w:val="24"/>
          <w:szCs w:val="24"/>
          <w:u w:val="single"/>
          <w:vertAlign w:val="baseline"/>
        </w:rPr>
        <w:t>C</w:t>
      </w:r>
      <w:r>
        <w:rPr>
          <w:rFonts w:ascii="Times New Roman" w:hAnsi="Times New Roman" w:cs="Times New Roman"/>
          <w:b/>
          <w:sz w:val="24"/>
          <w:szCs w:val="24"/>
          <w:u w:val="single"/>
          <w:vertAlign w:val="baseline"/>
        </w:rPr>
        <w:t>ONCLUSION</w:t>
      </w:r>
    </w:p>
    <w:p w14:paraId="5DE86B74" w14:textId="51196FB8" w:rsidR="005F7752" w:rsidRPr="005F7752" w:rsidRDefault="005F7752" w:rsidP="002C71C3">
      <w:pPr>
        <w:spacing w:line="480" w:lineRule="auto"/>
        <w:ind w:firstLine="720"/>
        <w:jc w:val="both"/>
        <w:rPr>
          <w:rFonts w:ascii="Times New Roman" w:hAnsi="Times New Roman" w:cs="Times New Roman"/>
          <w:sz w:val="24"/>
          <w:szCs w:val="24"/>
          <w:vertAlign w:val="baseline"/>
        </w:rPr>
      </w:pPr>
      <w:r w:rsidRPr="005F7752">
        <w:rPr>
          <w:rFonts w:ascii="Times New Roman" w:hAnsi="Times New Roman" w:cs="Times New Roman"/>
          <w:sz w:val="24"/>
          <w:szCs w:val="24"/>
          <w:vertAlign w:val="baseline"/>
        </w:rPr>
        <w:t>This chapter has examined the gendering of witchcraft, establishing that women are almost invariably the prime targets of both historical and contemporary witchcraft accusations and persecution. It has sought to explain that women were, and still are, the primary targets of such allegations, by contending that witchcraft accusations and persecutions are an attempt to marginalise women in order to preserve patriarchal norms. Witchcraft revives and exaggerates associations of women with evil; they remain easy victims who are more likely to be seduced into a life of sin, based on the premise that women are, by nature, the weaker sex. Whilst there are debates regarding the gendered aspect of witchcraft, essentially whether witchcraft is sex-specific or sex-related, this chapter suggests that witchcraft is unquestionably sex-specific, constituting a gendered ideology, one where it is specifically men who benefit from such stereotyped direct association. Women, or witches, become scapegoats within the masculine struggle to define their legitimate power and authority. Thus, the witchcraft discourse provides a way of controlling social order and purifying society of those women who do not conform to patriarchal values. Within these societies, women are subsidiary; they are merely sexual objects, necessary only for male pleasure and reproduction.</w:t>
      </w:r>
      <w:r w:rsidRPr="005F7752">
        <w:rPr>
          <w:rFonts w:ascii="Times New Roman" w:hAnsi="Times New Roman" w:cs="Times New Roman"/>
          <w:sz w:val="24"/>
          <w:szCs w:val="24"/>
        </w:rPr>
        <w:footnoteReference w:id="682"/>
      </w:r>
      <w:r w:rsidRPr="005F7752">
        <w:rPr>
          <w:rFonts w:ascii="Times New Roman" w:hAnsi="Times New Roman" w:cs="Times New Roman"/>
          <w:sz w:val="24"/>
          <w:szCs w:val="24"/>
          <w:vertAlign w:val="baseline"/>
        </w:rPr>
        <w:t xml:space="preserve"> Whilst there are variations in the manifestation of witchcraft violence within different societies, the driving force behind witchcraft accusations and persecution remains the same. The historically feminine nature of witchcraft is not only retained, but also exacerbated within contemporary society, as a means of preserving male supremacy by promoting the suppression of women. Thus, the witchcraft discourse is gendered, providing society with the ideal marginalisation mechanism against women.</w:t>
      </w:r>
      <w:r w:rsidR="00D368C6">
        <w:rPr>
          <w:rFonts w:ascii="Times New Roman" w:hAnsi="Times New Roman" w:cs="Times New Roman"/>
          <w:sz w:val="24"/>
          <w:szCs w:val="24"/>
          <w:vertAlign w:val="baseline"/>
        </w:rPr>
        <w:t xml:space="preserve"> The next chapter will examine the legal dimension of WAP and </w:t>
      </w:r>
      <w:r w:rsidR="00826F9C">
        <w:rPr>
          <w:rFonts w:ascii="Times New Roman" w:hAnsi="Times New Roman" w:cs="Times New Roman"/>
          <w:sz w:val="24"/>
          <w:szCs w:val="24"/>
          <w:vertAlign w:val="baseline"/>
        </w:rPr>
        <w:t xml:space="preserve">associated </w:t>
      </w:r>
      <w:r w:rsidR="00D368C6">
        <w:rPr>
          <w:rFonts w:ascii="Times New Roman" w:hAnsi="Times New Roman" w:cs="Times New Roman"/>
          <w:sz w:val="24"/>
          <w:szCs w:val="24"/>
          <w:vertAlign w:val="baseline"/>
        </w:rPr>
        <w:t>human rights violations under international human rights law.</w:t>
      </w:r>
    </w:p>
    <w:p w14:paraId="43162B9F" w14:textId="77777777" w:rsidR="001C6724" w:rsidRDefault="005F7752" w:rsidP="005F7752">
      <w:pPr>
        <w:spacing w:line="480" w:lineRule="auto"/>
        <w:jc w:val="both"/>
        <w:rPr>
          <w:rFonts w:ascii="Times New Roman" w:hAnsi="Times New Roman" w:cs="Times New Roman"/>
          <w:sz w:val="24"/>
          <w:szCs w:val="24"/>
          <w:vertAlign w:val="baseline"/>
        </w:rPr>
        <w:sectPr w:rsidR="001C6724" w:rsidSect="00EA2769">
          <w:pgSz w:w="11900" w:h="16840"/>
          <w:pgMar w:top="1418" w:right="1418" w:bottom="1418" w:left="2155" w:header="708" w:footer="708" w:gutter="0"/>
          <w:cols w:space="708"/>
          <w:docGrid w:linePitch="360"/>
        </w:sectPr>
      </w:pPr>
      <w:r w:rsidRPr="005F7752">
        <w:rPr>
          <w:rFonts w:ascii="Times New Roman" w:hAnsi="Times New Roman" w:cs="Times New Roman"/>
          <w:sz w:val="24"/>
          <w:szCs w:val="24"/>
          <w:vertAlign w:val="baseline"/>
        </w:rPr>
        <w:tab/>
      </w:r>
    </w:p>
    <w:p w14:paraId="63757CA5" w14:textId="77777777" w:rsidR="001C6724" w:rsidRPr="007E1BAF" w:rsidRDefault="001C6724" w:rsidP="007E1BAF">
      <w:pPr>
        <w:spacing w:line="480" w:lineRule="auto"/>
        <w:jc w:val="center"/>
        <w:rPr>
          <w:rFonts w:ascii="Times New Roman" w:hAnsi="Times New Roman" w:cs="Times New Roman"/>
          <w:b/>
          <w:sz w:val="28"/>
          <w:szCs w:val="28"/>
          <w:vertAlign w:val="baseline"/>
        </w:rPr>
      </w:pPr>
      <w:r w:rsidRPr="007E1BAF">
        <w:rPr>
          <w:rFonts w:ascii="Times New Roman" w:hAnsi="Times New Roman" w:cs="Times New Roman"/>
          <w:b/>
          <w:sz w:val="28"/>
          <w:szCs w:val="28"/>
          <w:vertAlign w:val="baseline"/>
        </w:rPr>
        <w:t>Chapter Five – Witchcraft, Violence against Women and International Human Rights Law</w:t>
      </w:r>
    </w:p>
    <w:p w14:paraId="63706D32"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624FEAB5" w14:textId="77969A15" w:rsidR="001C6724" w:rsidRPr="00E27AF0" w:rsidRDefault="001E4AFD" w:rsidP="001C6724">
      <w:pPr>
        <w:spacing w:line="480" w:lineRule="auto"/>
        <w:jc w:val="both"/>
        <w:rPr>
          <w:rFonts w:ascii="Times New Roman" w:hAnsi="Times New Roman" w:cs="Times New Roman"/>
          <w:b/>
          <w:bCs/>
          <w:sz w:val="24"/>
          <w:szCs w:val="24"/>
          <w:u w:val="single"/>
          <w:vertAlign w:val="baseline"/>
        </w:rPr>
      </w:pPr>
      <w:r>
        <w:rPr>
          <w:rFonts w:ascii="Times New Roman" w:hAnsi="Times New Roman" w:cs="Times New Roman"/>
          <w:b/>
          <w:bCs/>
          <w:sz w:val="24"/>
          <w:szCs w:val="24"/>
          <w:u w:val="single"/>
          <w:vertAlign w:val="baseline"/>
        </w:rPr>
        <w:t>5.1 INTRODUCTION</w:t>
      </w:r>
    </w:p>
    <w:p w14:paraId="2EEC106D" w14:textId="7F394E3A" w:rsidR="001C6724" w:rsidRPr="001C6724" w:rsidRDefault="001C6724" w:rsidP="00960F37">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Following on from the previous chapter, which examined the gendered nature of the witchcraft discourse, this chapter will explore the protection of women’s rights under international human rights law, examining the relationship between witchcraft accusations and persecution (WAP), violence against women (VAW) and international human rights</w:t>
      </w:r>
      <w:r w:rsidR="00B45C22">
        <w:rPr>
          <w:rFonts w:ascii="Times New Roman" w:hAnsi="Times New Roman" w:cs="Times New Roman"/>
          <w:sz w:val="24"/>
          <w:szCs w:val="24"/>
          <w:vertAlign w:val="baseline"/>
        </w:rPr>
        <w:t xml:space="preserve"> law</w:t>
      </w:r>
      <w:r w:rsidRPr="001C6724">
        <w:rPr>
          <w:rFonts w:ascii="Times New Roman" w:hAnsi="Times New Roman" w:cs="Times New Roman"/>
          <w:sz w:val="24"/>
          <w:szCs w:val="24"/>
          <w:vertAlign w:val="baseline"/>
        </w:rPr>
        <w:t>. It will initially survey international and regional human rights instruments relevant to women and WAP, before examining the related UN and intergovernmental bodies and their reports on the issue of witchcraft, in relation to India, Papua New Gu</w:t>
      </w:r>
      <w:r w:rsidR="00B45C22">
        <w:rPr>
          <w:rFonts w:ascii="Times New Roman" w:hAnsi="Times New Roman" w:cs="Times New Roman"/>
          <w:sz w:val="24"/>
          <w:szCs w:val="24"/>
          <w:vertAlign w:val="baseline"/>
        </w:rPr>
        <w:t>inea, Ghana and Nepal. T</w:t>
      </w:r>
      <w:r w:rsidRPr="001C6724">
        <w:rPr>
          <w:rFonts w:ascii="Times New Roman" w:hAnsi="Times New Roman" w:cs="Times New Roman"/>
          <w:sz w:val="24"/>
          <w:szCs w:val="24"/>
          <w:vertAlign w:val="baseline"/>
        </w:rPr>
        <w:t xml:space="preserve">his chapter will </w:t>
      </w:r>
      <w:r w:rsidR="00B45C22">
        <w:rPr>
          <w:rFonts w:ascii="Times New Roman" w:hAnsi="Times New Roman" w:cs="Times New Roman"/>
          <w:sz w:val="24"/>
          <w:szCs w:val="24"/>
          <w:vertAlign w:val="baseline"/>
        </w:rPr>
        <w:t>utilise the feminist methodology, in chapter one, as a lens</w:t>
      </w:r>
      <w:r w:rsidR="00223132">
        <w:rPr>
          <w:rFonts w:ascii="Times New Roman" w:hAnsi="Times New Roman" w:cs="Times New Roman"/>
          <w:sz w:val="24"/>
          <w:szCs w:val="24"/>
          <w:vertAlign w:val="baseline"/>
        </w:rPr>
        <w:t xml:space="preserve">, </w:t>
      </w:r>
      <w:r w:rsidR="00B60D2E">
        <w:rPr>
          <w:rFonts w:ascii="Times New Roman" w:hAnsi="Times New Roman" w:cs="Times New Roman"/>
          <w:sz w:val="24"/>
          <w:szCs w:val="24"/>
          <w:vertAlign w:val="baseline"/>
        </w:rPr>
        <w:t>examining the masculine administrative and normative structure of international human rights law, in particular the public/private dichotomy,</w:t>
      </w:r>
      <w:r w:rsidR="00B45C22">
        <w:rPr>
          <w:rFonts w:ascii="Times New Roman" w:hAnsi="Times New Roman" w:cs="Times New Roman"/>
          <w:sz w:val="24"/>
          <w:szCs w:val="24"/>
          <w:vertAlign w:val="baseline"/>
        </w:rPr>
        <w:t xml:space="preserve"> in order to </w:t>
      </w:r>
      <w:r w:rsidRPr="001C6724">
        <w:rPr>
          <w:rFonts w:ascii="Times New Roman" w:hAnsi="Times New Roman" w:cs="Times New Roman"/>
          <w:sz w:val="24"/>
          <w:szCs w:val="24"/>
          <w:vertAlign w:val="baseline"/>
        </w:rPr>
        <w:t xml:space="preserve">assess the effectiveness of </w:t>
      </w:r>
      <w:r w:rsidR="00B60D2E">
        <w:rPr>
          <w:rFonts w:ascii="Times New Roman" w:hAnsi="Times New Roman" w:cs="Times New Roman"/>
          <w:sz w:val="24"/>
          <w:szCs w:val="24"/>
          <w:vertAlign w:val="baseline"/>
        </w:rPr>
        <w:t>the same</w:t>
      </w:r>
      <w:r w:rsidRPr="001C6724">
        <w:rPr>
          <w:rFonts w:ascii="Times New Roman" w:hAnsi="Times New Roman" w:cs="Times New Roman"/>
          <w:sz w:val="24"/>
          <w:szCs w:val="24"/>
          <w:vertAlign w:val="baseline"/>
        </w:rPr>
        <w:t xml:space="preserve"> in protecting women from WAP.</w:t>
      </w:r>
    </w:p>
    <w:p w14:paraId="313EE3F0" w14:textId="77777777" w:rsidR="001C6724" w:rsidRPr="001C6724" w:rsidRDefault="001C6724" w:rsidP="001C6724">
      <w:pPr>
        <w:spacing w:line="480" w:lineRule="auto"/>
        <w:jc w:val="both"/>
        <w:rPr>
          <w:rFonts w:ascii="Times New Roman" w:hAnsi="Times New Roman" w:cs="Times New Roman"/>
          <w:b/>
          <w:sz w:val="24"/>
          <w:szCs w:val="24"/>
          <w:u w:val="single"/>
          <w:vertAlign w:val="baseline"/>
        </w:rPr>
      </w:pPr>
    </w:p>
    <w:p w14:paraId="54BB4CD2" w14:textId="631A6631" w:rsidR="001C6724" w:rsidRPr="001C6724" w:rsidRDefault="00BA5A47" w:rsidP="001C6724">
      <w:pPr>
        <w:spacing w:line="480" w:lineRule="auto"/>
        <w:jc w:val="both"/>
        <w:rPr>
          <w:rFonts w:ascii="Times New Roman" w:hAnsi="Times New Roman" w:cs="Times New Roman"/>
          <w:sz w:val="24"/>
          <w:szCs w:val="24"/>
          <w:vertAlign w:val="baseline"/>
        </w:rPr>
      </w:pPr>
      <w:r>
        <w:rPr>
          <w:rFonts w:ascii="Times New Roman" w:hAnsi="Times New Roman" w:cs="Times New Roman"/>
          <w:b/>
          <w:sz w:val="24"/>
          <w:szCs w:val="24"/>
          <w:u w:val="single"/>
          <w:vertAlign w:val="baseline"/>
        </w:rPr>
        <w:t>5</w:t>
      </w:r>
      <w:r w:rsidR="00611ED9">
        <w:rPr>
          <w:rFonts w:ascii="Times New Roman" w:hAnsi="Times New Roman" w:cs="Times New Roman"/>
          <w:b/>
          <w:sz w:val="24"/>
          <w:szCs w:val="24"/>
          <w:u w:val="single"/>
          <w:vertAlign w:val="baseline"/>
        </w:rPr>
        <w:t xml:space="preserve">.2 </w:t>
      </w:r>
      <w:r w:rsidR="001C6724" w:rsidRPr="001C6724">
        <w:rPr>
          <w:rFonts w:ascii="Times New Roman" w:hAnsi="Times New Roman" w:cs="Times New Roman"/>
          <w:b/>
          <w:sz w:val="24"/>
          <w:szCs w:val="24"/>
          <w:u w:val="single"/>
          <w:vertAlign w:val="baseline"/>
        </w:rPr>
        <w:t>P</w:t>
      </w:r>
      <w:r>
        <w:rPr>
          <w:rFonts w:ascii="Times New Roman" w:hAnsi="Times New Roman" w:cs="Times New Roman"/>
          <w:b/>
          <w:sz w:val="24"/>
          <w:szCs w:val="24"/>
          <w:u w:val="single"/>
          <w:vertAlign w:val="baseline"/>
        </w:rPr>
        <w:t>ROTECTION OF WOMEN UNDER INTERNATIONAL HUMAN RIGHTS LAW</w:t>
      </w:r>
    </w:p>
    <w:p w14:paraId="12E0BE60" w14:textId="059F6363" w:rsidR="001C6724" w:rsidRDefault="001C6724" w:rsidP="00E27AF0">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Human rights are rights inherent to all. Universal human rights are communicated within a variety of forms, such as treaties, general principles, customary international law and other sources of international law. International human rights law promotes and protects the human rights of individuals and groups by laying down the obligations of Governments to act or refrain from acting in a particular way.</w:t>
      </w:r>
      <w:r w:rsidRPr="001C6724">
        <w:rPr>
          <w:rFonts w:ascii="Times New Roman" w:hAnsi="Times New Roman" w:cs="Times New Roman"/>
          <w:sz w:val="24"/>
          <w:szCs w:val="24"/>
        </w:rPr>
        <w:footnoteReference w:id="683"/>
      </w:r>
      <w:r w:rsidRPr="001C6724">
        <w:rPr>
          <w:rFonts w:ascii="Times New Roman" w:hAnsi="Times New Roman" w:cs="Times New Roman"/>
          <w:sz w:val="24"/>
          <w:szCs w:val="24"/>
          <w:vertAlign w:val="baseline"/>
        </w:rPr>
        <w:t xml:space="preserve"> Consequently, human rights norms found within these sources can be employed to protect women from WAP. However, whilst there is an affirmation of equality laid out in the UN Charter, </w:t>
      </w:r>
      <w:r w:rsidR="00DD38F5">
        <w:rPr>
          <w:rFonts w:ascii="Times New Roman" w:hAnsi="Times New Roman" w:cs="Times New Roman"/>
          <w:sz w:val="24"/>
          <w:szCs w:val="24"/>
          <w:vertAlign w:val="baseline"/>
        </w:rPr>
        <w:t xml:space="preserve">the </w:t>
      </w:r>
      <w:r w:rsidRPr="001C6724">
        <w:rPr>
          <w:rFonts w:ascii="Times New Roman" w:hAnsi="Times New Roman" w:cs="Times New Roman"/>
          <w:sz w:val="24"/>
          <w:szCs w:val="24"/>
          <w:vertAlign w:val="baseline"/>
        </w:rPr>
        <w:t>Universal Declaration of Human Rights (UDHR),</w:t>
      </w:r>
      <w:r w:rsidRPr="001C6724">
        <w:rPr>
          <w:rFonts w:ascii="Times New Roman" w:hAnsi="Times New Roman" w:cs="Times New Roman"/>
          <w:sz w:val="24"/>
          <w:szCs w:val="24"/>
        </w:rPr>
        <w:footnoteReference w:id="684"/>
      </w:r>
      <w:r w:rsidRPr="001C6724">
        <w:rPr>
          <w:rFonts w:ascii="Times New Roman" w:hAnsi="Times New Roman" w:cs="Times New Roman"/>
          <w:sz w:val="24"/>
          <w:szCs w:val="24"/>
          <w:vertAlign w:val="baseline"/>
        </w:rPr>
        <w:t xml:space="preserve"> </w:t>
      </w:r>
      <w:r w:rsidR="00DD38F5">
        <w:rPr>
          <w:rFonts w:ascii="Times New Roman" w:hAnsi="Times New Roman" w:cs="Times New Roman"/>
          <w:sz w:val="24"/>
          <w:szCs w:val="24"/>
          <w:vertAlign w:val="baseline"/>
        </w:rPr>
        <w:t xml:space="preserve">the </w:t>
      </w:r>
      <w:r w:rsidRPr="001C6724">
        <w:rPr>
          <w:rFonts w:ascii="Times New Roman" w:hAnsi="Times New Roman" w:cs="Times New Roman"/>
          <w:sz w:val="24"/>
          <w:szCs w:val="24"/>
          <w:vertAlign w:val="baseline"/>
        </w:rPr>
        <w:t>International Covenant on Civil and Political Rights (ICCPR),</w:t>
      </w:r>
      <w:r w:rsidRPr="001C6724">
        <w:rPr>
          <w:rFonts w:ascii="Times New Roman" w:hAnsi="Times New Roman" w:cs="Times New Roman"/>
          <w:sz w:val="24"/>
          <w:szCs w:val="24"/>
        </w:rPr>
        <w:footnoteReference w:id="685"/>
      </w:r>
      <w:r w:rsidRPr="001C6724">
        <w:rPr>
          <w:rFonts w:ascii="Times New Roman" w:hAnsi="Times New Roman" w:cs="Times New Roman"/>
          <w:sz w:val="24"/>
          <w:szCs w:val="24"/>
          <w:vertAlign w:val="baseline"/>
        </w:rPr>
        <w:t xml:space="preserve"> and the International Covenant on Economic, Social and Cultural Rights (ICESCR),</w:t>
      </w:r>
      <w:r w:rsidRPr="001C6724">
        <w:rPr>
          <w:rFonts w:ascii="Times New Roman" w:hAnsi="Times New Roman" w:cs="Times New Roman"/>
          <w:sz w:val="24"/>
          <w:szCs w:val="24"/>
        </w:rPr>
        <w:footnoteReference w:id="686"/>
      </w:r>
      <w:r w:rsidRPr="001C6724">
        <w:rPr>
          <w:rFonts w:ascii="Times New Roman" w:hAnsi="Times New Roman" w:cs="Times New Roman"/>
          <w:sz w:val="24"/>
          <w:szCs w:val="24"/>
          <w:vertAlign w:val="baseline"/>
        </w:rPr>
        <w:t xml:space="preserve"> they do not adequately address the specific needs of women and, despite the general protections, extensive discrimination continues to exist. Women’s rights have been continually relegated in international human rights law.</w:t>
      </w:r>
      <w:r w:rsidRPr="001C6724">
        <w:rPr>
          <w:rFonts w:ascii="Times New Roman" w:hAnsi="Times New Roman" w:cs="Times New Roman"/>
          <w:sz w:val="24"/>
          <w:szCs w:val="24"/>
        </w:rPr>
        <w:footnoteReference w:id="687"/>
      </w:r>
      <w:r w:rsidRPr="001C6724">
        <w:rPr>
          <w:rFonts w:ascii="Times New Roman" w:hAnsi="Times New Roman" w:cs="Times New Roman"/>
          <w:sz w:val="24"/>
          <w:szCs w:val="24"/>
          <w:vertAlign w:val="baseline"/>
        </w:rPr>
        <w:t xml:space="preserve"> One of the main obstacles to the effective protection of women’s rights in international human rights law has been the neglect of the gender difference between men and women.</w:t>
      </w:r>
      <w:r w:rsidRPr="001C6724">
        <w:rPr>
          <w:rFonts w:ascii="Times New Roman" w:hAnsi="Times New Roman" w:cs="Times New Roman"/>
          <w:sz w:val="24"/>
          <w:szCs w:val="24"/>
        </w:rPr>
        <w:footnoteReference w:id="688"/>
      </w:r>
      <w:r w:rsidRPr="001C6724">
        <w:rPr>
          <w:rFonts w:ascii="Times New Roman" w:hAnsi="Times New Roman" w:cs="Times New Roman"/>
          <w:sz w:val="24"/>
          <w:szCs w:val="24"/>
          <w:vertAlign w:val="baseline"/>
        </w:rPr>
        <w:t xml:space="preserve"> Within a jurisprudentially male international legal system, women are considered under traditional male standards. Thus, the universal, yet masculine principles of equality and discrimination within international human rights law have been inadequate to remedy the problem, due to their reliance on gender neutrality and lack of attention regarding violence against women.</w:t>
      </w:r>
      <w:r w:rsidRPr="001C6724">
        <w:rPr>
          <w:rFonts w:ascii="Times New Roman" w:hAnsi="Times New Roman" w:cs="Times New Roman"/>
          <w:sz w:val="24"/>
          <w:szCs w:val="24"/>
        </w:rPr>
        <w:footnoteReference w:id="689"/>
      </w:r>
      <w:r w:rsidRPr="001C6724">
        <w:rPr>
          <w:rFonts w:ascii="Times New Roman" w:hAnsi="Times New Roman" w:cs="Times New Roman"/>
          <w:sz w:val="24"/>
          <w:szCs w:val="24"/>
          <w:vertAlign w:val="baseline"/>
        </w:rPr>
        <w:t xml:space="preserve"> As a result, the widespread phenomenon of violence against women has remained in precarious positions within international law and policy.</w:t>
      </w:r>
      <w:r w:rsidRPr="001C6724">
        <w:rPr>
          <w:rFonts w:ascii="Times New Roman" w:hAnsi="Times New Roman" w:cs="Times New Roman"/>
          <w:sz w:val="24"/>
          <w:szCs w:val="24"/>
        </w:rPr>
        <w:footnoteReference w:id="690"/>
      </w:r>
      <w:r w:rsidRPr="001C6724">
        <w:rPr>
          <w:rFonts w:ascii="Times New Roman" w:hAnsi="Times New Roman" w:cs="Times New Roman"/>
          <w:sz w:val="24"/>
          <w:szCs w:val="24"/>
          <w:vertAlign w:val="baseline"/>
        </w:rPr>
        <w:t xml:space="preserve"> </w:t>
      </w:r>
    </w:p>
    <w:p w14:paraId="47929867" w14:textId="77777777" w:rsidR="00034EC6" w:rsidRDefault="00034EC6" w:rsidP="00E27AF0">
      <w:pPr>
        <w:spacing w:line="480" w:lineRule="auto"/>
        <w:ind w:firstLine="720"/>
        <w:jc w:val="both"/>
        <w:rPr>
          <w:rFonts w:ascii="Times New Roman" w:hAnsi="Times New Roman" w:cs="Times New Roman"/>
          <w:sz w:val="24"/>
          <w:szCs w:val="24"/>
          <w:vertAlign w:val="baseline"/>
        </w:rPr>
      </w:pPr>
    </w:p>
    <w:p w14:paraId="5DED76FE" w14:textId="77777777" w:rsidR="00034EC6" w:rsidRPr="001C6724" w:rsidRDefault="00034EC6" w:rsidP="00E27AF0">
      <w:pPr>
        <w:spacing w:line="480" w:lineRule="auto"/>
        <w:ind w:firstLine="720"/>
        <w:jc w:val="both"/>
        <w:rPr>
          <w:rFonts w:ascii="Times New Roman" w:hAnsi="Times New Roman" w:cs="Times New Roman"/>
          <w:sz w:val="24"/>
          <w:szCs w:val="24"/>
          <w:vertAlign w:val="baseline"/>
        </w:rPr>
      </w:pPr>
    </w:p>
    <w:p w14:paraId="0E9012F8" w14:textId="51528EB6" w:rsidR="00515D8E" w:rsidRPr="00515D8E" w:rsidRDefault="00515D8E" w:rsidP="00515D8E">
      <w:pPr>
        <w:spacing w:line="480" w:lineRule="auto"/>
        <w:jc w:val="both"/>
        <w:rPr>
          <w:rFonts w:ascii="Times New Roman" w:hAnsi="Times New Roman" w:cs="Times New Roman"/>
          <w:b/>
          <w:i/>
          <w:sz w:val="24"/>
          <w:szCs w:val="24"/>
          <w:vertAlign w:val="baseline"/>
        </w:rPr>
      </w:pPr>
      <w:r w:rsidRPr="00515D8E">
        <w:rPr>
          <w:rFonts w:ascii="Times New Roman" w:hAnsi="Times New Roman" w:cs="Times New Roman"/>
          <w:b/>
          <w:i/>
          <w:sz w:val="24"/>
          <w:szCs w:val="24"/>
          <w:vertAlign w:val="baseline"/>
        </w:rPr>
        <w:t>5.2.1 Establishing Human Rights Violations</w:t>
      </w:r>
    </w:p>
    <w:p w14:paraId="483478F4" w14:textId="433303DD" w:rsidR="00515D8E" w:rsidRPr="00EA1BFD" w:rsidRDefault="00515D8E" w:rsidP="00515D8E">
      <w:pPr>
        <w:spacing w:line="480" w:lineRule="auto"/>
        <w:ind w:firstLine="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In order to monitor the situation of human rights within society there are two approaches that can be utilised; the ‘violations approach,’ which seeks to recognise violations of human rights, and the ‘progressive realisation’ approach, which seeks to monitor ‘state’s efforts to progressively realise the enjoyments of human rights by its citizens.’</w:t>
      </w:r>
      <w:r>
        <w:rPr>
          <w:rStyle w:val="FootnoteReference"/>
          <w:rFonts w:ascii="Times New Roman" w:hAnsi="Times New Roman" w:cs="Times New Roman"/>
          <w:sz w:val="24"/>
          <w:szCs w:val="24"/>
        </w:rPr>
        <w:footnoteReference w:id="691"/>
      </w:r>
      <w:r>
        <w:rPr>
          <w:rFonts w:ascii="Times New Roman" w:hAnsi="Times New Roman" w:cs="Times New Roman"/>
          <w:sz w:val="24"/>
          <w:szCs w:val="24"/>
          <w:vertAlign w:val="baseline"/>
        </w:rPr>
        <w:t xml:space="preserve"> The latter approach is use</w:t>
      </w:r>
      <w:r w:rsidR="000F7754">
        <w:rPr>
          <w:rFonts w:ascii="Times New Roman" w:hAnsi="Times New Roman" w:cs="Times New Roman"/>
          <w:sz w:val="24"/>
          <w:szCs w:val="24"/>
          <w:vertAlign w:val="baseline"/>
        </w:rPr>
        <w:t>d predominantly in relation to the International Covenant on Economic Social and Cultural Rights (I</w:t>
      </w:r>
      <w:r>
        <w:rPr>
          <w:rFonts w:ascii="Times New Roman" w:hAnsi="Times New Roman" w:cs="Times New Roman"/>
          <w:sz w:val="24"/>
          <w:szCs w:val="24"/>
          <w:vertAlign w:val="baseline"/>
        </w:rPr>
        <w:t>CESCR</w:t>
      </w:r>
      <w:r w:rsidR="000F7754">
        <w:rPr>
          <w:rFonts w:ascii="Times New Roman" w:hAnsi="Times New Roman" w:cs="Times New Roman"/>
          <w:sz w:val="24"/>
          <w:szCs w:val="24"/>
          <w:vertAlign w:val="baseline"/>
        </w:rPr>
        <w:t>)</w:t>
      </w:r>
      <w:r>
        <w:rPr>
          <w:rFonts w:ascii="Times New Roman" w:hAnsi="Times New Roman" w:cs="Times New Roman"/>
          <w:sz w:val="24"/>
          <w:szCs w:val="24"/>
          <w:vertAlign w:val="baseline"/>
        </w:rPr>
        <w:t>,</w:t>
      </w:r>
      <w:r>
        <w:rPr>
          <w:rStyle w:val="FootnoteReference"/>
          <w:rFonts w:ascii="Times New Roman" w:hAnsi="Times New Roman" w:cs="Times New Roman"/>
          <w:sz w:val="24"/>
          <w:szCs w:val="24"/>
        </w:rPr>
        <w:footnoteReference w:id="692"/>
      </w:r>
      <w:r>
        <w:rPr>
          <w:rFonts w:ascii="Times New Roman" w:hAnsi="Times New Roman" w:cs="Times New Roman"/>
          <w:sz w:val="24"/>
          <w:szCs w:val="24"/>
          <w:vertAlign w:val="baseline"/>
        </w:rPr>
        <w:t xml:space="preserve"> in which article 2(1) requires state parties to ‘take steps … with a view to achieving progressively the full realisation of the rights recognised in the present Covenant.’</w:t>
      </w:r>
      <w:r>
        <w:rPr>
          <w:rStyle w:val="FootnoteReference"/>
          <w:rFonts w:ascii="Times New Roman" w:hAnsi="Times New Roman" w:cs="Times New Roman"/>
          <w:sz w:val="24"/>
          <w:szCs w:val="24"/>
        </w:rPr>
        <w:footnoteReference w:id="693"/>
      </w:r>
      <w:r>
        <w:rPr>
          <w:rFonts w:ascii="Times New Roman" w:hAnsi="Times New Roman" w:cs="Times New Roman"/>
          <w:sz w:val="24"/>
          <w:szCs w:val="24"/>
          <w:vertAlign w:val="baseline"/>
        </w:rPr>
        <w:t xml:space="preserve"> What actually constitutes a human rights violation has been subject to contentious debate, with traditional discourse specifying that</w:t>
      </w:r>
      <w:r w:rsidR="00906D16">
        <w:rPr>
          <w:rFonts w:ascii="Times New Roman" w:hAnsi="Times New Roman" w:cs="Times New Roman"/>
          <w:sz w:val="24"/>
          <w:szCs w:val="24"/>
          <w:vertAlign w:val="baseline"/>
        </w:rPr>
        <w:t>,</w:t>
      </w:r>
      <w:r>
        <w:rPr>
          <w:rFonts w:ascii="Times New Roman" w:hAnsi="Times New Roman" w:cs="Times New Roman"/>
          <w:sz w:val="24"/>
          <w:szCs w:val="24"/>
          <w:vertAlign w:val="baseline"/>
        </w:rPr>
        <w:t xml:space="preserve"> typically</w:t>
      </w:r>
      <w:r w:rsidR="00906D16">
        <w:rPr>
          <w:rFonts w:ascii="Times New Roman" w:hAnsi="Times New Roman" w:cs="Times New Roman"/>
          <w:sz w:val="24"/>
          <w:szCs w:val="24"/>
          <w:vertAlign w:val="baseline"/>
        </w:rPr>
        <w:t>,</w:t>
      </w:r>
      <w:r>
        <w:rPr>
          <w:rFonts w:ascii="Times New Roman" w:hAnsi="Times New Roman" w:cs="Times New Roman"/>
          <w:sz w:val="24"/>
          <w:szCs w:val="24"/>
          <w:vertAlign w:val="baseline"/>
        </w:rPr>
        <w:t xml:space="preserve"> violations of human rights were the responsibility of the state.</w:t>
      </w:r>
      <w:r>
        <w:rPr>
          <w:rStyle w:val="FootnoteReference"/>
          <w:rFonts w:ascii="Times New Roman" w:hAnsi="Times New Roman" w:cs="Times New Roman"/>
          <w:sz w:val="24"/>
          <w:szCs w:val="24"/>
        </w:rPr>
        <w:footnoteReference w:id="694"/>
      </w:r>
      <w:r>
        <w:rPr>
          <w:rFonts w:ascii="Times New Roman" w:hAnsi="Times New Roman" w:cs="Times New Roman"/>
          <w:sz w:val="24"/>
          <w:szCs w:val="24"/>
          <w:vertAlign w:val="baseline"/>
        </w:rPr>
        <w:t xml:space="preserve"> In order to clarify the position of state parties obligations, in 1987 the Limburg Principles</w:t>
      </w:r>
      <w:r>
        <w:rPr>
          <w:rStyle w:val="FootnoteReference"/>
          <w:rFonts w:ascii="Times New Roman" w:hAnsi="Times New Roman" w:cs="Times New Roman"/>
          <w:sz w:val="24"/>
          <w:szCs w:val="24"/>
        </w:rPr>
        <w:footnoteReference w:id="695"/>
      </w:r>
      <w:r>
        <w:rPr>
          <w:rFonts w:ascii="Times New Roman" w:hAnsi="Times New Roman" w:cs="Times New Roman"/>
          <w:sz w:val="24"/>
          <w:szCs w:val="24"/>
          <w:vertAlign w:val="baseline"/>
        </w:rPr>
        <w:t xml:space="preserve"> were established, which measured the scope and nature of human rights violation under ICESCR. Ten years later, there was a meeting of experts whose objective was to elaborate on the Limburg Principles, in order to strengthen the concept of </w:t>
      </w:r>
      <w:r w:rsidRPr="00083FD9">
        <w:rPr>
          <w:rFonts w:ascii="Times New Roman" w:hAnsi="Times New Roman" w:cs="Times New Roman"/>
          <w:sz w:val="24"/>
          <w:szCs w:val="24"/>
          <w:vertAlign w:val="baseline"/>
        </w:rPr>
        <w:t>ascribing</w:t>
      </w:r>
      <w:r>
        <w:rPr>
          <w:rFonts w:ascii="Times New Roman" w:hAnsi="Times New Roman" w:cs="Times New Roman"/>
          <w:sz w:val="24"/>
          <w:szCs w:val="24"/>
          <w:vertAlign w:val="baseline"/>
        </w:rPr>
        <w:t xml:space="preserve"> human rights violations to both state and non-state actors.</w:t>
      </w:r>
      <w:r>
        <w:rPr>
          <w:rStyle w:val="FootnoteReference"/>
          <w:rFonts w:ascii="Times New Roman" w:hAnsi="Times New Roman" w:cs="Times New Roman"/>
          <w:sz w:val="24"/>
          <w:szCs w:val="24"/>
        </w:rPr>
        <w:footnoteReference w:id="696"/>
      </w:r>
      <w:r>
        <w:rPr>
          <w:rFonts w:ascii="Times New Roman" w:hAnsi="Times New Roman" w:cs="Times New Roman"/>
          <w:sz w:val="24"/>
          <w:szCs w:val="24"/>
          <w:vertAlign w:val="baseline"/>
        </w:rPr>
        <w:t xml:space="preserve"> As a result, The Maastricht Guidelines</w:t>
      </w:r>
      <w:r>
        <w:rPr>
          <w:rStyle w:val="FootnoteReference"/>
          <w:rFonts w:ascii="Times New Roman" w:hAnsi="Times New Roman" w:cs="Times New Roman"/>
          <w:sz w:val="24"/>
          <w:szCs w:val="24"/>
        </w:rPr>
        <w:footnoteReference w:id="697"/>
      </w:r>
      <w:r>
        <w:rPr>
          <w:rFonts w:ascii="Times New Roman" w:hAnsi="Times New Roman" w:cs="Times New Roman"/>
          <w:sz w:val="24"/>
          <w:szCs w:val="24"/>
          <w:vertAlign w:val="baseline"/>
        </w:rPr>
        <w:t xml:space="preserve"> were formulated and provided a guideline on how to identify human rights violations. The Maastricht Guidelines stated that violations can occur through acts of commission, ‘through the direct action of States or other entities insufficiently regulated by States’</w:t>
      </w:r>
      <w:r>
        <w:rPr>
          <w:rStyle w:val="FootnoteReference"/>
          <w:rFonts w:ascii="Times New Roman" w:hAnsi="Times New Roman" w:cs="Times New Roman"/>
          <w:sz w:val="24"/>
          <w:szCs w:val="24"/>
        </w:rPr>
        <w:footnoteReference w:id="698"/>
      </w:r>
      <w:r>
        <w:rPr>
          <w:rFonts w:ascii="Times New Roman" w:hAnsi="Times New Roman" w:cs="Times New Roman"/>
          <w:sz w:val="24"/>
          <w:szCs w:val="24"/>
          <w:vertAlign w:val="baseline"/>
        </w:rPr>
        <w:t xml:space="preserve"> and also by through acts of omission, ‘through the omission or failure of States to take necessary measures stemming from legal obligations.’</w:t>
      </w:r>
      <w:r>
        <w:rPr>
          <w:rStyle w:val="FootnoteReference"/>
          <w:rFonts w:ascii="Times New Roman" w:hAnsi="Times New Roman" w:cs="Times New Roman"/>
          <w:sz w:val="24"/>
          <w:szCs w:val="24"/>
        </w:rPr>
        <w:footnoteReference w:id="699"/>
      </w:r>
      <w:r>
        <w:rPr>
          <w:rFonts w:ascii="Times New Roman" w:hAnsi="Times New Roman" w:cs="Times New Roman"/>
          <w:sz w:val="24"/>
          <w:szCs w:val="24"/>
          <w:vertAlign w:val="baseline"/>
        </w:rPr>
        <w:t xml:space="preserve"> Furthermore, the Guidelines specified that violations could be understood in terms of a state’s failure to comply with three different types of responsibilities: the obligation to respect, which requires the state to ‘abstain from doing anything that violated the integrity of the individual or group or infringes on their freedom,’</w:t>
      </w:r>
      <w:r>
        <w:rPr>
          <w:rStyle w:val="FootnoteReference"/>
          <w:rFonts w:ascii="Times New Roman" w:hAnsi="Times New Roman" w:cs="Times New Roman"/>
          <w:sz w:val="24"/>
          <w:szCs w:val="24"/>
        </w:rPr>
        <w:footnoteReference w:id="700"/>
      </w:r>
      <w:r>
        <w:rPr>
          <w:rFonts w:ascii="Times New Roman" w:hAnsi="Times New Roman" w:cs="Times New Roman"/>
          <w:sz w:val="24"/>
          <w:szCs w:val="24"/>
          <w:vertAlign w:val="baseline"/>
        </w:rPr>
        <w:t xml:space="preserve"> for example arbitrary arrest (violation of the right to liberty), the obligation to protect, which requires states to take ‘measures necessary to prevent others from violating the rights of an individual or group’</w:t>
      </w:r>
      <w:r>
        <w:rPr>
          <w:rStyle w:val="FootnoteReference"/>
          <w:rFonts w:ascii="Times New Roman" w:hAnsi="Times New Roman" w:cs="Times New Roman"/>
          <w:sz w:val="24"/>
          <w:szCs w:val="24"/>
        </w:rPr>
        <w:footnoteReference w:id="701"/>
      </w:r>
      <w:r>
        <w:rPr>
          <w:rFonts w:ascii="Times New Roman" w:hAnsi="Times New Roman" w:cs="Times New Roman"/>
          <w:sz w:val="24"/>
          <w:szCs w:val="24"/>
          <w:vertAlign w:val="baseline"/>
        </w:rPr>
        <w:t xml:space="preserve"> for example, failure to act when a particular ethnic group persecutes another, and the obligation to fulfil, which requires states to take necessary measures to ‘ensure for each person within its jurisdiction opportunities to obtain satisfaction of those needs which have been recognised in human rights instruments and cannot be secured by personal efforts’</w:t>
      </w:r>
      <w:r>
        <w:rPr>
          <w:rStyle w:val="FootnoteReference"/>
          <w:rFonts w:ascii="Times New Roman" w:hAnsi="Times New Roman" w:cs="Times New Roman"/>
          <w:sz w:val="24"/>
          <w:szCs w:val="24"/>
        </w:rPr>
        <w:footnoteReference w:id="702"/>
      </w:r>
      <w:r>
        <w:rPr>
          <w:rFonts w:ascii="Times New Roman" w:hAnsi="Times New Roman" w:cs="Times New Roman"/>
          <w:sz w:val="24"/>
          <w:szCs w:val="24"/>
          <w:vertAlign w:val="baseline"/>
        </w:rPr>
        <w:t xml:space="preserve"> for example health care and education. The Guidelines also make an important distinction in the accountability of states for human rights violations between the ‘inability’ of states to comply with their treaty obligations, for example in circumstances beyond their control (such as natural disasters) and the unwillingness of state compliance.</w:t>
      </w:r>
      <w:r w:rsidR="00223132">
        <w:rPr>
          <w:rStyle w:val="FootnoteReference"/>
          <w:rFonts w:ascii="Times New Roman" w:hAnsi="Times New Roman" w:cs="Times New Roman"/>
          <w:sz w:val="24"/>
          <w:szCs w:val="24"/>
        </w:rPr>
        <w:footnoteReference w:id="703"/>
      </w:r>
      <w:r>
        <w:rPr>
          <w:rFonts w:ascii="Times New Roman" w:hAnsi="Times New Roman" w:cs="Times New Roman"/>
          <w:sz w:val="24"/>
          <w:szCs w:val="24"/>
          <w:vertAlign w:val="baseline"/>
        </w:rPr>
        <w:t xml:space="preserve"> </w:t>
      </w:r>
    </w:p>
    <w:p w14:paraId="52F428B7"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3ACB4251" w14:textId="5F7111D6" w:rsidR="00F534B8" w:rsidRDefault="001C6724" w:rsidP="00EE7D7B">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 xml:space="preserve">The following sections </w:t>
      </w:r>
      <w:r w:rsidR="007F452F">
        <w:rPr>
          <w:rFonts w:ascii="Times New Roman" w:hAnsi="Times New Roman" w:cs="Times New Roman"/>
          <w:sz w:val="24"/>
          <w:szCs w:val="24"/>
          <w:vertAlign w:val="baseline"/>
        </w:rPr>
        <w:t xml:space="preserve">will examine </w:t>
      </w:r>
      <w:r w:rsidR="00497DDD">
        <w:rPr>
          <w:rFonts w:ascii="Times New Roman" w:hAnsi="Times New Roman" w:cs="Times New Roman"/>
          <w:sz w:val="24"/>
          <w:szCs w:val="24"/>
          <w:vertAlign w:val="baseline"/>
        </w:rPr>
        <w:t xml:space="preserve">instruments of international human rights law, </w:t>
      </w:r>
      <w:r w:rsidRPr="001C6724">
        <w:rPr>
          <w:rFonts w:ascii="Times New Roman" w:hAnsi="Times New Roman" w:cs="Times New Roman"/>
          <w:sz w:val="24"/>
          <w:szCs w:val="24"/>
          <w:vertAlign w:val="baseline"/>
        </w:rPr>
        <w:t xml:space="preserve">focusing specifically on four countries, Nepal, </w:t>
      </w:r>
      <w:r w:rsidR="007F452F">
        <w:rPr>
          <w:rFonts w:ascii="Times New Roman" w:hAnsi="Times New Roman" w:cs="Times New Roman"/>
          <w:sz w:val="24"/>
          <w:szCs w:val="24"/>
          <w:vertAlign w:val="baseline"/>
        </w:rPr>
        <w:t>India, PNG and Ghana</w:t>
      </w:r>
      <w:r w:rsidR="002B5F52">
        <w:rPr>
          <w:rFonts w:ascii="Times New Roman" w:hAnsi="Times New Roman" w:cs="Times New Roman"/>
          <w:sz w:val="24"/>
          <w:szCs w:val="24"/>
          <w:vertAlign w:val="baseline"/>
        </w:rPr>
        <w:t>,</w:t>
      </w:r>
      <w:r w:rsidR="002B5F52" w:rsidRPr="002B5F52">
        <w:rPr>
          <w:rFonts w:ascii="Times New Roman" w:hAnsi="Times New Roman" w:cs="Times New Roman"/>
          <w:sz w:val="24"/>
          <w:szCs w:val="24"/>
          <w:vertAlign w:val="baseline"/>
        </w:rPr>
        <w:t xml:space="preserve"> </w:t>
      </w:r>
      <w:r w:rsidR="002B5F52">
        <w:rPr>
          <w:rFonts w:ascii="Times New Roman" w:hAnsi="Times New Roman" w:cs="Times New Roman"/>
          <w:sz w:val="24"/>
          <w:szCs w:val="24"/>
          <w:vertAlign w:val="baseline"/>
        </w:rPr>
        <w:t xml:space="preserve">in order to identify violations of human rights, in respect of </w:t>
      </w:r>
      <w:r w:rsidR="00517578">
        <w:rPr>
          <w:rFonts w:ascii="Times New Roman" w:hAnsi="Times New Roman" w:cs="Times New Roman"/>
          <w:sz w:val="24"/>
          <w:szCs w:val="24"/>
          <w:vertAlign w:val="baseline"/>
        </w:rPr>
        <w:t>witchcraft accusations and persecution of women</w:t>
      </w:r>
      <w:r w:rsidR="007F452F">
        <w:rPr>
          <w:rFonts w:ascii="Times New Roman" w:hAnsi="Times New Roman" w:cs="Times New Roman"/>
          <w:sz w:val="24"/>
          <w:szCs w:val="24"/>
          <w:vertAlign w:val="baseline"/>
        </w:rPr>
        <w:t>.</w:t>
      </w:r>
      <w:r w:rsidRPr="001C6724">
        <w:rPr>
          <w:rFonts w:ascii="Times New Roman" w:hAnsi="Times New Roman" w:cs="Times New Roman"/>
          <w:sz w:val="24"/>
          <w:szCs w:val="24"/>
          <w:vertAlign w:val="baseline"/>
        </w:rPr>
        <w:t xml:space="preserve"> </w:t>
      </w:r>
      <w:r w:rsidR="009416F8">
        <w:rPr>
          <w:rFonts w:ascii="Times New Roman" w:hAnsi="Times New Roman" w:cs="Times New Roman"/>
          <w:sz w:val="24"/>
          <w:szCs w:val="24"/>
          <w:vertAlign w:val="baseline"/>
        </w:rPr>
        <w:t>Feminist analysis of international human rights law is necessary for a number for reasons. Primarily, the position of women within international human rights law would be incapable of being art</w:t>
      </w:r>
      <w:r w:rsidR="00AF0AEC">
        <w:rPr>
          <w:rFonts w:ascii="Times New Roman" w:hAnsi="Times New Roman" w:cs="Times New Roman"/>
          <w:sz w:val="24"/>
          <w:szCs w:val="24"/>
          <w:vertAlign w:val="baseline"/>
        </w:rPr>
        <w:t>iculated without the presence of</w:t>
      </w:r>
      <w:r w:rsidR="009416F8">
        <w:rPr>
          <w:rFonts w:ascii="Times New Roman" w:hAnsi="Times New Roman" w:cs="Times New Roman"/>
          <w:sz w:val="24"/>
          <w:szCs w:val="24"/>
          <w:vertAlign w:val="baseline"/>
        </w:rPr>
        <w:t xml:space="preserve"> a feminist analysis.</w:t>
      </w:r>
      <w:r w:rsidR="000F68D6">
        <w:rPr>
          <w:rFonts w:ascii="Times New Roman" w:hAnsi="Times New Roman" w:cs="Times New Roman"/>
          <w:sz w:val="24"/>
          <w:szCs w:val="24"/>
          <w:vertAlign w:val="baseline"/>
        </w:rPr>
        <w:t xml:space="preserve"> Furthermore, as discussed in the methodology</w:t>
      </w:r>
      <w:r w:rsidR="000E7C89">
        <w:rPr>
          <w:rFonts w:ascii="Times New Roman" w:hAnsi="Times New Roman" w:cs="Times New Roman"/>
          <w:sz w:val="24"/>
          <w:szCs w:val="24"/>
          <w:vertAlign w:val="baseline"/>
        </w:rPr>
        <w:t>,</w:t>
      </w:r>
      <w:r w:rsidR="000F68D6">
        <w:rPr>
          <w:rStyle w:val="FootnoteReference"/>
          <w:rFonts w:ascii="Times New Roman" w:hAnsi="Times New Roman" w:cs="Times New Roman"/>
          <w:sz w:val="24"/>
          <w:szCs w:val="24"/>
        </w:rPr>
        <w:footnoteReference w:id="704"/>
      </w:r>
      <w:r w:rsidR="000E7C89">
        <w:rPr>
          <w:rFonts w:ascii="Times New Roman" w:hAnsi="Times New Roman" w:cs="Times New Roman"/>
          <w:sz w:val="24"/>
          <w:szCs w:val="24"/>
          <w:vertAlign w:val="baseline"/>
        </w:rPr>
        <w:t xml:space="preserve"> attempts to place women under the traditional scope of a jurisprudentially masculine international human rights system, a system bu</w:t>
      </w:r>
      <w:r w:rsidR="008B3135">
        <w:rPr>
          <w:rFonts w:ascii="Times New Roman" w:hAnsi="Times New Roman" w:cs="Times New Roman"/>
          <w:sz w:val="24"/>
          <w:szCs w:val="24"/>
          <w:vertAlign w:val="baseline"/>
        </w:rPr>
        <w:t>ilt on the silence of women, is unfeasible.</w:t>
      </w:r>
      <w:r w:rsidR="001908E2">
        <w:rPr>
          <w:rStyle w:val="FootnoteReference"/>
          <w:rFonts w:ascii="Times New Roman" w:hAnsi="Times New Roman" w:cs="Times New Roman"/>
          <w:sz w:val="24"/>
          <w:szCs w:val="24"/>
        </w:rPr>
        <w:footnoteReference w:id="705"/>
      </w:r>
      <w:r w:rsidR="008B3135">
        <w:rPr>
          <w:rFonts w:ascii="Times New Roman" w:hAnsi="Times New Roman" w:cs="Times New Roman"/>
          <w:sz w:val="24"/>
          <w:szCs w:val="24"/>
          <w:vertAlign w:val="baseline"/>
        </w:rPr>
        <w:t xml:space="preserve"> </w:t>
      </w:r>
      <w:r w:rsidR="00993948">
        <w:rPr>
          <w:rFonts w:ascii="Times New Roman" w:hAnsi="Times New Roman" w:cs="Times New Roman"/>
          <w:sz w:val="24"/>
          <w:szCs w:val="24"/>
          <w:vertAlign w:val="baseline"/>
        </w:rPr>
        <w:t>Human rights instruments designed and developed by men have, thus, not been receptive</w:t>
      </w:r>
      <w:r w:rsidR="001F50F6">
        <w:rPr>
          <w:rFonts w:ascii="Times New Roman" w:hAnsi="Times New Roman" w:cs="Times New Roman"/>
          <w:sz w:val="24"/>
          <w:szCs w:val="24"/>
          <w:vertAlign w:val="baseline"/>
        </w:rPr>
        <w:t xml:space="preserve"> to the experiences of women, preventing women’s assimilation within international human rights law.</w:t>
      </w:r>
      <w:r w:rsidR="00272335">
        <w:rPr>
          <w:rFonts w:ascii="Times New Roman" w:hAnsi="Times New Roman" w:cs="Times New Roman"/>
          <w:sz w:val="24"/>
          <w:szCs w:val="24"/>
          <w:vertAlign w:val="baseline"/>
        </w:rPr>
        <w:t xml:space="preserve"> This is evident in the public/private dichotomy, where focus is directed towards the public sphere, allowing women to be marginalised and controlled within the unregulated private sphere.</w:t>
      </w:r>
      <w:r w:rsidR="001908E2">
        <w:rPr>
          <w:rStyle w:val="FootnoteReference"/>
          <w:rFonts w:ascii="Times New Roman" w:hAnsi="Times New Roman" w:cs="Times New Roman"/>
          <w:sz w:val="24"/>
          <w:szCs w:val="24"/>
        </w:rPr>
        <w:footnoteReference w:id="706"/>
      </w:r>
      <w:r w:rsidR="00272335">
        <w:rPr>
          <w:rFonts w:ascii="Times New Roman" w:hAnsi="Times New Roman" w:cs="Times New Roman"/>
          <w:sz w:val="24"/>
          <w:szCs w:val="24"/>
          <w:vertAlign w:val="baseline"/>
        </w:rPr>
        <w:t xml:space="preserve"> </w:t>
      </w:r>
      <w:r w:rsidR="00B53378">
        <w:rPr>
          <w:rFonts w:ascii="Times New Roman" w:hAnsi="Times New Roman" w:cs="Times New Roman"/>
          <w:sz w:val="24"/>
          <w:szCs w:val="24"/>
          <w:vertAlign w:val="baseline"/>
        </w:rPr>
        <w:t xml:space="preserve">Significantly, it is the private sphere where women are being marginalised due to accusations of witchcraft and subsequent persecution. </w:t>
      </w:r>
      <w:r w:rsidR="00EE7D7B">
        <w:rPr>
          <w:rFonts w:ascii="Times New Roman" w:hAnsi="Times New Roman" w:cs="Times New Roman"/>
          <w:sz w:val="24"/>
          <w:szCs w:val="24"/>
          <w:vertAlign w:val="baseline"/>
        </w:rPr>
        <w:t>This section</w:t>
      </w:r>
      <w:r w:rsidR="00864071">
        <w:rPr>
          <w:rFonts w:ascii="Times New Roman" w:hAnsi="Times New Roman" w:cs="Times New Roman"/>
          <w:sz w:val="24"/>
          <w:szCs w:val="24"/>
          <w:vertAlign w:val="baseline"/>
        </w:rPr>
        <w:t xml:space="preserve"> </w:t>
      </w:r>
      <w:r w:rsidR="00AE0122">
        <w:rPr>
          <w:rFonts w:ascii="Times New Roman" w:hAnsi="Times New Roman" w:cs="Times New Roman"/>
          <w:sz w:val="24"/>
          <w:szCs w:val="24"/>
          <w:vertAlign w:val="baseline"/>
        </w:rPr>
        <w:t>will begin with a</w:t>
      </w:r>
      <w:r w:rsidR="00EE7D7B">
        <w:rPr>
          <w:rFonts w:ascii="Times New Roman" w:hAnsi="Times New Roman" w:cs="Times New Roman"/>
          <w:sz w:val="24"/>
          <w:szCs w:val="24"/>
          <w:vertAlign w:val="baseline"/>
        </w:rPr>
        <w:t xml:space="preserve">n </w:t>
      </w:r>
      <w:r w:rsidR="00AE0122">
        <w:rPr>
          <w:rFonts w:ascii="Times New Roman" w:hAnsi="Times New Roman" w:cs="Times New Roman"/>
          <w:sz w:val="24"/>
          <w:szCs w:val="24"/>
          <w:vertAlign w:val="baseline"/>
        </w:rPr>
        <w:t>analysis of the Convention on the Elimination of All Forms of Discrimination Against Women (CEDAW)</w:t>
      </w:r>
      <w:r w:rsidR="00864071">
        <w:rPr>
          <w:rFonts w:ascii="Times New Roman" w:hAnsi="Times New Roman" w:cs="Times New Roman"/>
          <w:sz w:val="24"/>
          <w:szCs w:val="24"/>
          <w:vertAlign w:val="baseline"/>
        </w:rPr>
        <w:t xml:space="preserve">, due to </w:t>
      </w:r>
      <w:r w:rsidR="009E6DE5">
        <w:rPr>
          <w:rFonts w:ascii="Times New Roman" w:hAnsi="Times New Roman" w:cs="Times New Roman"/>
          <w:sz w:val="24"/>
          <w:szCs w:val="24"/>
          <w:vertAlign w:val="baseline"/>
        </w:rPr>
        <w:t>the</w:t>
      </w:r>
      <w:r w:rsidR="00864071">
        <w:rPr>
          <w:rFonts w:ascii="Times New Roman" w:hAnsi="Times New Roman" w:cs="Times New Roman"/>
          <w:sz w:val="24"/>
          <w:szCs w:val="24"/>
          <w:vertAlign w:val="baseline"/>
        </w:rPr>
        <w:t xml:space="preserve"> women-specific nature of the Convention</w:t>
      </w:r>
      <w:r w:rsidR="00380EC1">
        <w:rPr>
          <w:rFonts w:ascii="Times New Roman" w:hAnsi="Times New Roman" w:cs="Times New Roman"/>
          <w:sz w:val="24"/>
          <w:szCs w:val="24"/>
          <w:vertAlign w:val="baseline"/>
        </w:rPr>
        <w:t xml:space="preserve">. </w:t>
      </w:r>
    </w:p>
    <w:p w14:paraId="21265093" w14:textId="77777777" w:rsidR="00F534B8" w:rsidRDefault="00F534B8" w:rsidP="00254936">
      <w:pPr>
        <w:spacing w:line="480" w:lineRule="auto"/>
        <w:ind w:firstLine="720"/>
        <w:jc w:val="both"/>
        <w:rPr>
          <w:rFonts w:ascii="Times New Roman" w:hAnsi="Times New Roman" w:cs="Times New Roman"/>
          <w:sz w:val="24"/>
          <w:szCs w:val="24"/>
          <w:vertAlign w:val="baseline"/>
        </w:rPr>
      </w:pPr>
    </w:p>
    <w:p w14:paraId="56938927" w14:textId="049985A6" w:rsidR="006C7463" w:rsidRDefault="00A0107C" w:rsidP="00547FCA">
      <w:pPr>
        <w:spacing w:line="480" w:lineRule="auto"/>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For cl</w:t>
      </w:r>
      <w:r w:rsidR="008215E0">
        <w:rPr>
          <w:rFonts w:ascii="Times New Roman" w:hAnsi="Times New Roman" w:cs="Times New Roman"/>
          <w:sz w:val="24"/>
          <w:szCs w:val="24"/>
          <w:vertAlign w:val="baseline"/>
        </w:rPr>
        <w:t>arity and for reference, on the following page</w:t>
      </w:r>
      <w:r w:rsidR="001C6724" w:rsidRPr="001C6724">
        <w:rPr>
          <w:rFonts w:ascii="Times New Roman" w:hAnsi="Times New Roman" w:cs="Times New Roman"/>
          <w:sz w:val="24"/>
          <w:szCs w:val="24"/>
          <w:vertAlign w:val="baseline"/>
        </w:rPr>
        <w:t xml:space="preserve"> is</w:t>
      </w:r>
      <w:r w:rsidR="00380EC1">
        <w:rPr>
          <w:rFonts w:ascii="Times New Roman" w:hAnsi="Times New Roman" w:cs="Times New Roman"/>
          <w:sz w:val="24"/>
          <w:szCs w:val="24"/>
          <w:vertAlign w:val="baseline"/>
        </w:rPr>
        <w:t xml:space="preserve"> a table showing a list of the discussed</w:t>
      </w:r>
      <w:r w:rsidR="001C6724" w:rsidRPr="001C6724">
        <w:rPr>
          <w:rFonts w:ascii="Times New Roman" w:hAnsi="Times New Roman" w:cs="Times New Roman"/>
          <w:sz w:val="24"/>
          <w:szCs w:val="24"/>
          <w:vertAlign w:val="baseline"/>
        </w:rPr>
        <w:t xml:space="preserve"> interna</w:t>
      </w:r>
      <w:r w:rsidR="00254936">
        <w:rPr>
          <w:rFonts w:ascii="Times New Roman" w:hAnsi="Times New Roman" w:cs="Times New Roman"/>
          <w:sz w:val="24"/>
          <w:szCs w:val="24"/>
          <w:vertAlign w:val="baseline"/>
        </w:rPr>
        <w:t>tional human rights treaties</w:t>
      </w:r>
      <w:r w:rsidR="001C6724" w:rsidRPr="001C6724">
        <w:rPr>
          <w:rFonts w:ascii="Times New Roman" w:hAnsi="Times New Roman" w:cs="Times New Roman"/>
          <w:sz w:val="24"/>
          <w:szCs w:val="24"/>
          <w:vertAlign w:val="baseline"/>
        </w:rPr>
        <w:t xml:space="preserve"> optional protocols, with the dates of accessi</w:t>
      </w:r>
      <w:r w:rsidR="00380EC1">
        <w:rPr>
          <w:rFonts w:ascii="Times New Roman" w:hAnsi="Times New Roman" w:cs="Times New Roman"/>
          <w:sz w:val="24"/>
          <w:szCs w:val="24"/>
          <w:vertAlign w:val="baseline"/>
        </w:rPr>
        <w:t>o</w:t>
      </w:r>
      <w:r w:rsidR="00254936">
        <w:rPr>
          <w:rFonts w:ascii="Times New Roman" w:hAnsi="Times New Roman" w:cs="Times New Roman"/>
          <w:sz w:val="24"/>
          <w:szCs w:val="24"/>
          <w:vertAlign w:val="baseline"/>
        </w:rPr>
        <w:t>n/ratification of each country.</w:t>
      </w:r>
      <w:r w:rsidR="00254936" w:rsidRPr="00254936">
        <w:rPr>
          <w:rFonts w:ascii="Times New Roman" w:hAnsi="Times New Roman" w:cs="Times New Roman"/>
          <w:sz w:val="24"/>
          <w:szCs w:val="24"/>
          <w:vertAlign w:val="baseline"/>
        </w:rPr>
        <w:t xml:space="preserve"> </w:t>
      </w:r>
    </w:p>
    <w:p w14:paraId="4CF958C1" w14:textId="77777777" w:rsidR="00FE4AE2" w:rsidRDefault="00FE4AE2" w:rsidP="00254936">
      <w:pPr>
        <w:spacing w:line="480" w:lineRule="auto"/>
        <w:ind w:firstLine="720"/>
        <w:jc w:val="both"/>
        <w:rPr>
          <w:rFonts w:ascii="Times New Roman" w:hAnsi="Times New Roman" w:cs="Times New Roman"/>
          <w:sz w:val="24"/>
          <w:szCs w:val="24"/>
          <w:vertAlign w:val="baseline"/>
        </w:rPr>
      </w:pPr>
    </w:p>
    <w:p w14:paraId="07235844" w14:textId="77777777" w:rsidR="006701D5" w:rsidRDefault="006701D5" w:rsidP="00254936">
      <w:pPr>
        <w:spacing w:line="480" w:lineRule="auto"/>
        <w:ind w:firstLine="720"/>
        <w:jc w:val="both"/>
        <w:rPr>
          <w:rFonts w:ascii="Times New Roman" w:hAnsi="Times New Roman" w:cs="Times New Roman"/>
          <w:sz w:val="24"/>
          <w:szCs w:val="24"/>
          <w:vertAlign w:val="baseline"/>
        </w:rPr>
      </w:pPr>
    </w:p>
    <w:p w14:paraId="71FDD1D7" w14:textId="77777777" w:rsidR="006701D5" w:rsidRDefault="006701D5" w:rsidP="00254936">
      <w:pPr>
        <w:spacing w:line="480" w:lineRule="auto"/>
        <w:ind w:firstLine="720"/>
        <w:jc w:val="both"/>
        <w:rPr>
          <w:rFonts w:ascii="Times New Roman" w:hAnsi="Times New Roman" w:cs="Times New Roman"/>
          <w:sz w:val="24"/>
          <w:szCs w:val="24"/>
          <w:vertAlign w:val="baseline"/>
        </w:rPr>
      </w:pPr>
    </w:p>
    <w:p w14:paraId="31680B39" w14:textId="77777777" w:rsidR="006701D5" w:rsidRDefault="006701D5" w:rsidP="00254936">
      <w:pPr>
        <w:spacing w:line="480" w:lineRule="auto"/>
        <w:ind w:firstLine="720"/>
        <w:jc w:val="both"/>
        <w:rPr>
          <w:rFonts w:ascii="Times New Roman" w:hAnsi="Times New Roman" w:cs="Times New Roman"/>
          <w:sz w:val="24"/>
          <w:szCs w:val="24"/>
          <w:vertAlign w:val="baseline"/>
        </w:rPr>
      </w:pPr>
    </w:p>
    <w:p w14:paraId="7F836A70" w14:textId="77777777" w:rsidR="006701D5" w:rsidRDefault="006701D5" w:rsidP="00254936">
      <w:pPr>
        <w:spacing w:line="480" w:lineRule="auto"/>
        <w:ind w:firstLine="720"/>
        <w:jc w:val="both"/>
        <w:rPr>
          <w:rFonts w:ascii="Times New Roman" w:hAnsi="Times New Roman" w:cs="Times New Roman"/>
          <w:sz w:val="24"/>
          <w:szCs w:val="24"/>
          <w:vertAlign w:val="baseline"/>
        </w:rPr>
      </w:pPr>
    </w:p>
    <w:tbl>
      <w:tblPr>
        <w:tblStyle w:val="TableGrid"/>
        <w:tblW w:w="0" w:type="auto"/>
        <w:tblLook w:val="04A0" w:firstRow="1" w:lastRow="0" w:firstColumn="1" w:lastColumn="0" w:noHBand="0" w:noVBand="1"/>
      </w:tblPr>
      <w:tblGrid>
        <w:gridCol w:w="2203"/>
        <w:gridCol w:w="1724"/>
        <w:gridCol w:w="1622"/>
        <w:gridCol w:w="1497"/>
        <w:gridCol w:w="1497"/>
      </w:tblGrid>
      <w:tr w:rsidR="00AE0122" w14:paraId="5F22DB5E" w14:textId="77777777" w:rsidTr="00254936">
        <w:tc>
          <w:tcPr>
            <w:tcW w:w="0" w:type="auto"/>
          </w:tcPr>
          <w:p w14:paraId="492144BD" w14:textId="77777777" w:rsidR="00254936" w:rsidRPr="00E0204D" w:rsidRDefault="00254936" w:rsidP="00550927">
            <w:pPr>
              <w:jc w:val="center"/>
              <w:rPr>
                <w:b/>
              </w:rPr>
            </w:pPr>
            <w:r w:rsidRPr="00E0204D">
              <w:rPr>
                <w:rFonts w:ascii="Times New Roman" w:hAnsi="Times New Roman" w:cs="Times New Roman"/>
                <w:b/>
              </w:rPr>
              <w:t>International Human Rights Treaties and their Optional Protocols</w:t>
            </w:r>
          </w:p>
        </w:tc>
        <w:tc>
          <w:tcPr>
            <w:tcW w:w="0" w:type="auto"/>
          </w:tcPr>
          <w:p w14:paraId="1C56F39C" w14:textId="77777777" w:rsidR="00254936" w:rsidRPr="00793F6E" w:rsidRDefault="00254936" w:rsidP="00550927">
            <w:pPr>
              <w:jc w:val="center"/>
              <w:rPr>
                <w:rFonts w:ascii="Times New Roman" w:hAnsi="Times New Roman" w:cs="Times New Roman"/>
                <w:b/>
              </w:rPr>
            </w:pPr>
            <w:r w:rsidRPr="00793F6E">
              <w:rPr>
                <w:rFonts w:ascii="Times New Roman" w:hAnsi="Times New Roman" w:cs="Times New Roman"/>
                <w:b/>
              </w:rPr>
              <w:t>Date of Accession/ Ratification:</w:t>
            </w:r>
          </w:p>
          <w:p w14:paraId="4ECC5F31" w14:textId="77777777" w:rsidR="00254936" w:rsidRPr="00793F6E" w:rsidRDefault="00254936" w:rsidP="00550927">
            <w:pPr>
              <w:jc w:val="center"/>
              <w:rPr>
                <w:b/>
              </w:rPr>
            </w:pPr>
            <w:r w:rsidRPr="00793F6E">
              <w:rPr>
                <w:rFonts w:ascii="Times New Roman" w:hAnsi="Times New Roman" w:cs="Times New Roman"/>
                <w:b/>
              </w:rPr>
              <w:t>INDIA</w:t>
            </w:r>
          </w:p>
        </w:tc>
        <w:tc>
          <w:tcPr>
            <w:tcW w:w="0" w:type="auto"/>
          </w:tcPr>
          <w:p w14:paraId="116CCB7F" w14:textId="77777777" w:rsidR="00254936" w:rsidRPr="00793F6E" w:rsidRDefault="00254936" w:rsidP="00550927">
            <w:pPr>
              <w:jc w:val="center"/>
              <w:rPr>
                <w:rFonts w:ascii="Times New Roman" w:hAnsi="Times New Roman" w:cs="Times New Roman"/>
                <w:b/>
              </w:rPr>
            </w:pPr>
            <w:r w:rsidRPr="00793F6E">
              <w:rPr>
                <w:rFonts w:ascii="Times New Roman" w:hAnsi="Times New Roman" w:cs="Times New Roman"/>
                <w:b/>
              </w:rPr>
              <w:t>Date of Accession/ Ratification:</w:t>
            </w:r>
          </w:p>
          <w:p w14:paraId="15C781CF" w14:textId="77777777" w:rsidR="00254936" w:rsidRPr="00793F6E" w:rsidRDefault="00254936" w:rsidP="00550927">
            <w:pPr>
              <w:jc w:val="center"/>
              <w:rPr>
                <w:b/>
              </w:rPr>
            </w:pPr>
            <w:r w:rsidRPr="00793F6E">
              <w:rPr>
                <w:rFonts w:ascii="Times New Roman" w:hAnsi="Times New Roman" w:cs="Times New Roman"/>
                <w:b/>
              </w:rPr>
              <w:t>GHANA</w:t>
            </w:r>
          </w:p>
        </w:tc>
        <w:tc>
          <w:tcPr>
            <w:tcW w:w="0" w:type="auto"/>
          </w:tcPr>
          <w:p w14:paraId="21CB9E4B" w14:textId="77777777" w:rsidR="00254936" w:rsidRPr="00793F6E" w:rsidRDefault="00254936" w:rsidP="00550927">
            <w:pPr>
              <w:jc w:val="center"/>
              <w:rPr>
                <w:rFonts w:ascii="Times New Roman" w:hAnsi="Times New Roman" w:cs="Times New Roman"/>
                <w:b/>
              </w:rPr>
            </w:pPr>
            <w:r w:rsidRPr="00793F6E">
              <w:rPr>
                <w:rFonts w:ascii="Times New Roman" w:hAnsi="Times New Roman" w:cs="Times New Roman"/>
                <w:b/>
              </w:rPr>
              <w:t>Date of Accession/ Ratification:</w:t>
            </w:r>
          </w:p>
          <w:p w14:paraId="1B8470A6" w14:textId="77777777" w:rsidR="00254936" w:rsidRPr="00793F6E" w:rsidRDefault="00254936" w:rsidP="00550927">
            <w:pPr>
              <w:jc w:val="center"/>
              <w:rPr>
                <w:b/>
              </w:rPr>
            </w:pPr>
            <w:r w:rsidRPr="00793F6E">
              <w:rPr>
                <w:rFonts w:ascii="Times New Roman" w:hAnsi="Times New Roman" w:cs="Times New Roman"/>
                <w:b/>
              </w:rPr>
              <w:t>PAPUA NEW GUINEA</w:t>
            </w:r>
          </w:p>
        </w:tc>
        <w:tc>
          <w:tcPr>
            <w:tcW w:w="0" w:type="auto"/>
          </w:tcPr>
          <w:p w14:paraId="42E25C22" w14:textId="77777777" w:rsidR="00254936" w:rsidRPr="00793F6E" w:rsidRDefault="00254936" w:rsidP="00550927">
            <w:pPr>
              <w:jc w:val="center"/>
              <w:rPr>
                <w:rFonts w:ascii="Times New Roman" w:hAnsi="Times New Roman" w:cs="Times New Roman"/>
                <w:b/>
              </w:rPr>
            </w:pPr>
            <w:r w:rsidRPr="00793F6E">
              <w:rPr>
                <w:rFonts w:ascii="Times New Roman" w:hAnsi="Times New Roman" w:cs="Times New Roman"/>
                <w:b/>
              </w:rPr>
              <w:t>Date of Accession/ Ratification:</w:t>
            </w:r>
          </w:p>
          <w:p w14:paraId="00F5574D" w14:textId="77777777" w:rsidR="00254936" w:rsidRPr="00793F6E" w:rsidRDefault="00254936" w:rsidP="00550927">
            <w:pPr>
              <w:jc w:val="center"/>
              <w:rPr>
                <w:b/>
              </w:rPr>
            </w:pPr>
            <w:r w:rsidRPr="00793F6E">
              <w:rPr>
                <w:rFonts w:ascii="Times New Roman" w:hAnsi="Times New Roman" w:cs="Times New Roman"/>
                <w:b/>
              </w:rPr>
              <w:t>NEPAL</w:t>
            </w:r>
          </w:p>
        </w:tc>
      </w:tr>
      <w:tr w:rsidR="00AE0122" w14:paraId="41C5825C" w14:textId="77777777" w:rsidTr="00254936">
        <w:trPr>
          <w:trHeight w:val="1275"/>
        </w:trPr>
        <w:tc>
          <w:tcPr>
            <w:tcW w:w="0" w:type="auto"/>
          </w:tcPr>
          <w:p w14:paraId="5746A068" w14:textId="74907887" w:rsidR="00254936" w:rsidRPr="00E0204D" w:rsidRDefault="00254936" w:rsidP="00550927">
            <w:pPr>
              <w:pStyle w:val="NoSpacing"/>
              <w:jc w:val="both"/>
              <w:rPr>
                <w:rFonts w:ascii="Times New Roman" w:hAnsi="Times New Roman" w:cs="Times New Roman"/>
                <w:sz w:val="18"/>
                <w:szCs w:val="18"/>
              </w:rPr>
            </w:pPr>
            <w:r w:rsidRPr="00E0204D">
              <w:rPr>
                <w:rFonts w:ascii="Times New Roman" w:hAnsi="Times New Roman" w:cs="Times New Roman"/>
                <w:sz w:val="18"/>
                <w:szCs w:val="18"/>
              </w:rPr>
              <w:t xml:space="preserve">Convention on the Elimination of </w:t>
            </w:r>
            <w:r w:rsidR="00AE0122">
              <w:rPr>
                <w:rFonts w:ascii="Times New Roman" w:hAnsi="Times New Roman" w:cs="Times New Roman"/>
                <w:sz w:val="18"/>
                <w:szCs w:val="18"/>
              </w:rPr>
              <w:t xml:space="preserve">all Forms of </w:t>
            </w:r>
            <w:r w:rsidRPr="00E0204D">
              <w:rPr>
                <w:rFonts w:ascii="Times New Roman" w:hAnsi="Times New Roman" w:cs="Times New Roman"/>
                <w:sz w:val="18"/>
                <w:szCs w:val="18"/>
              </w:rPr>
              <w:t>Discrimination Against Women (CEDAW) (1979)</w:t>
            </w:r>
          </w:p>
          <w:p w14:paraId="4B84935E" w14:textId="77777777" w:rsidR="00254936" w:rsidRPr="00E0204D" w:rsidRDefault="00254936" w:rsidP="00550927">
            <w:pPr>
              <w:jc w:val="both"/>
              <w:rPr>
                <w:rFonts w:ascii="Times New Roman" w:hAnsi="Times New Roman" w:cs="Times New Roman"/>
                <w:sz w:val="18"/>
                <w:szCs w:val="18"/>
              </w:rPr>
            </w:pPr>
          </w:p>
        </w:tc>
        <w:tc>
          <w:tcPr>
            <w:tcW w:w="0" w:type="auto"/>
          </w:tcPr>
          <w:p w14:paraId="381651F8" w14:textId="77777777" w:rsidR="00254936" w:rsidRPr="00E0204D" w:rsidRDefault="00254936" w:rsidP="00550927">
            <w:pPr>
              <w:jc w:val="both"/>
              <w:rPr>
                <w:rFonts w:ascii="Times New Roman" w:hAnsi="Times New Roman" w:cs="Times New Roman"/>
                <w:sz w:val="18"/>
                <w:szCs w:val="18"/>
              </w:rPr>
            </w:pPr>
            <w:r>
              <w:rPr>
                <w:rFonts w:ascii="Times New Roman" w:hAnsi="Times New Roman" w:cs="Times New Roman"/>
                <w:sz w:val="18"/>
                <w:szCs w:val="18"/>
              </w:rPr>
              <w:t>Signed: - 30 July 1980</w:t>
            </w:r>
          </w:p>
          <w:p w14:paraId="4B53623F" w14:textId="77777777" w:rsidR="00254936" w:rsidRDefault="00254936" w:rsidP="00550927">
            <w:pPr>
              <w:rPr>
                <w:rFonts w:ascii="Times New Roman" w:hAnsi="Times New Roman" w:cs="Times New Roman"/>
                <w:sz w:val="18"/>
                <w:szCs w:val="18"/>
              </w:rPr>
            </w:pPr>
            <w:r>
              <w:rPr>
                <w:rFonts w:ascii="Times New Roman" w:hAnsi="Times New Roman" w:cs="Times New Roman"/>
                <w:sz w:val="18"/>
                <w:szCs w:val="18"/>
              </w:rPr>
              <w:t>Ratified: - 9 July 1993</w:t>
            </w:r>
          </w:p>
          <w:p w14:paraId="621670A2" w14:textId="77777777" w:rsidR="00D21F86" w:rsidRPr="00E0204D" w:rsidRDefault="00D21F86" w:rsidP="00550927">
            <w:pPr>
              <w:rPr>
                <w:rFonts w:ascii="Times New Roman" w:hAnsi="Times New Roman" w:cs="Times New Roman"/>
                <w:sz w:val="18"/>
                <w:szCs w:val="18"/>
              </w:rPr>
            </w:pPr>
          </w:p>
          <w:p w14:paraId="58ECEBD8" w14:textId="77777777" w:rsidR="00254936" w:rsidRDefault="00254936" w:rsidP="00550927">
            <w:pPr>
              <w:rPr>
                <w:rFonts w:ascii="Times New Roman" w:hAnsi="Times New Roman" w:cs="Times New Roman"/>
                <w:sz w:val="18"/>
                <w:szCs w:val="18"/>
              </w:rPr>
            </w:pPr>
            <w:r w:rsidRPr="00E0204D">
              <w:rPr>
                <w:rFonts w:ascii="Times New Roman" w:hAnsi="Times New Roman" w:cs="Times New Roman"/>
                <w:sz w:val="18"/>
                <w:szCs w:val="18"/>
              </w:rPr>
              <w:t>Declarati</w:t>
            </w:r>
            <w:r>
              <w:rPr>
                <w:rFonts w:ascii="Times New Roman" w:hAnsi="Times New Roman" w:cs="Times New Roman"/>
                <w:sz w:val="18"/>
                <w:szCs w:val="18"/>
              </w:rPr>
              <w:t>ons to articles 5(a) and 16(1)</w:t>
            </w:r>
          </w:p>
          <w:p w14:paraId="1CAE343B" w14:textId="77777777" w:rsidR="00254936" w:rsidRDefault="00254936" w:rsidP="00550927">
            <w:pPr>
              <w:rPr>
                <w:rFonts w:ascii="Times New Roman" w:hAnsi="Times New Roman" w:cs="Times New Roman"/>
                <w:sz w:val="18"/>
                <w:szCs w:val="18"/>
              </w:rPr>
            </w:pPr>
            <w:r w:rsidRPr="00E0204D">
              <w:rPr>
                <w:rFonts w:ascii="Times New Roman" w:hAnsi="Times New Roman" w:cs="Times New Roman"/>
                <w:sz w:val="18"/>
                <w:szCs w:val="18"/>
              </w:rPr>
              <w:t>Reservation entered against article 29(1)</w:t>
            </w:r>
          </w:p>
          <w:p w14:paraId="142098F6" w14:textId="77777777" w:rsidR="00D21F86" w:rsidRPr="00446AE9" w:rsidRDefault="00D21F86" w:rsidP="00550927">
            <w:pPr>
              <w:rPr>
                <w:rFonts w:ascii="Times New Roman" w:hAnsi="Times New Roman" w:cs="Times New Roman"/>
                <w:sz w:val="18"/>
                <w:szCs w:val="18"/>
              </w:rPr>
            </w:pPr>
          </w:p>
        </w:tc>
        <w:tc>
          <w:tcPr>
            <w:tcW w:w="0" w:type="auto"/>
          </w:tcPr>
          <w:p w14:paraId="4198C087" w14:textId="77777777" w:rsidR="00254936" w:rsidRDefault="00254936" w:rsidP="00550927">
            <w:pPr>
              <w:rPr>
                <w:rFonts w:ascii="Times New Roman" w:hAnsi="Times New Roman" w:cs="Times New Roman"/>
                <w:sz w:val="18"/>
                <w:szCs w:val="18"/>
              </w:rPr>
            </w:pPr>
            <w:r w:rsidRPr="00E0204D">
              <w:rPr>
                <w:rFonts w:ascii="Times New Roman" w:hAnsi="Times New Roman" w:cs="Times New Roman"/>
                <w:sz w:val="18"/>
                <w:szCs w:val="18"/>
              </w:rPr>
              <w:t>Signed: - 17 July 1980.</w:t>
            </w:r>
          </w:p>
          <w:p w14:paraId="6929A2D0" w14:textId="77777777" w:rsidR="00D21F86" w:rsidRPr="00E0204D" w:rsidRDefault="00D21F86" w:rsidP="00550927">
            <w:pPr>
              <w:rPr>
                <w:rFonts w:ascii="Times New Roman" w:hAnsi="Times New Roman" w:cs="Times New Roman"/>
                <w:sz w:val="18"/>
                <w:szCs w:val="18"/>
              </w:rPr>
            </w:pPr>
          </w:p>
          <w:p w14:paraId="1C1EC680" w14:textId="77777777" w:rsidR="00254936" w:rsidRDefault="00254936" w:rsidP="00550927">
            <w:r w:rsidRPr="00E0204D">
              <w:rPr>
                <w:rFonts w:ascii="Times New Roman" w:hAnsi="Times New Roman" w:cs="Times New Roman"/>
                <w:sz w:val="18"/>
                <w:szCs w:val="18"/>
              </w:rPr>
              <w:t>Ratified: - 2 January 1986.</w:t>
            </w:r>
          </w:p>
        </w:tc>
        <w:tc>
          <w:tcPr>
            <w:tcW w:w="0" w:type="auto"/>
          </w:tcPr>
          <w:p w14:paraId="63B1CC9A" w14:textId="77777777" w:rsidR="00254936" w:rsidRPr="00E0204D" w:rsidRDefault="00254936" w:rsidP="00550927">
            <w:pPr>
              <w:rPr>
                <w:sz w:val="18"/>
                <w:szCs w:val="18"/>
              </w:rPr>
            </w:pPr>
            <w:r w:rsidRPr="00E0204D">
              <w:rPr>
                <w:rFonts w:ascii="Times New Roman" w:hAnsi="Times New Roman" w:cs="Times New Roman"/>
                <w:sz w:val="18"/>
                <w:szCs w:val="18"/>
              </w:rPr>
              <w:t>Acceded: - 12 January 1995</w:t>
            </w:r>
          </w:p>
        </w:tc>
        <w:tc>
          <w:tcPr>
            <w:tcW w:w="0" w:type="auto"/>
          </w:tcPr>
          <w:p w14:paraId="37032150" w14:textId="77777777" w:rsidR="00254936" w:rsidRDefault="00254936" w:rsidP="00550927">
            <w:pPr>
              <w:rPr>
                <w:rFonts w:ascii="Times New Roman" w:hAnsi="Times New Roman" w:cs="Times New Roman"/>
                <w:sz w:val="18"/>
                <w:szCs w:val="18"/>
              </w:rPr>
            </w:pPr>
            <w:r w:rsidRPr="00E0204D">
              <w:rPr>
                <w:rFonts w:ascii="Times New Roman" w:hAnsi="Times New Roman" w:cs="Times New Roman"/>
                <w:sz w:val="18"/>
                <w:szCs w:val="18"/>
              </w:rPr>
              <w:t>Signed: - 5 February 1991.</w:t>
            </w:r>
          </w:p>
          <w:p w14:paraId="3221C190" w14:textId="77777777" w:rsidR="00D21F86" w:rsidRPr="00E0204D" w:rsidRDefault="00D21F86" w:rsidP="00550927">
            <w:pPr>
              <w:rPr>
                <w:rFonts w:ascii="Times New Roman" w:hAnsi="Times New Roman" w:cs="Times New Roman"/>
                <w:sz w:val="18"/>
                <w:szCs w:val="18"/>
              </w:rPr>
            </w:pPr>
          </w:p>
          <w:p w14:paraId="0E21CD16" w14:textId="77777777" w:rsidR="00254936" w:rsidRDefault="00254936" w:rsidP="00550927">
            <w:r w:rsidRPr="00E0204D">
              <w:rPr>
                <w:rFonts w:ascii="Times New Roman" w:hAnsi="Times New Roman" w:cs="Times New Roman"/>
                <w:sz w:val="18"/>
                <w:szCs w:val="18"/>
              </w:rPr>
              <w:t>Ratified: - 22 April 1991.</w:t>
            </w:r>
          </w:p>
        </w:tc>
      </w:tr>
      <w:tr w:rsidR="00AE0122" w14:paraId="5101D111" w14:textId="77777777" w:rsidTr="00254936">
        <w:trPr>
          <w:trHeight w:val="628"/>
        </w:trPr>
        <w:tc>
          <w:tcPr>
            <w:tcW w:w="0" w:type="auto"/>
          </w:tcPr>
          <w:p w14:paraId="5126D432" w14:textId="77777777" w:rsidR="00254936" w:rsidRPr="00E0204D" w:rsidRDefault="00254936" w:rsidP="00550927">
            <w:pPr>
              <w:pStyle w:val="NoSpacing"/>
              <w:jc w:val="both"/>
              <w:rPr>
                <w:rFonts w:ascii="Times New Roman" w:hAnsi="Times New Roman" w:cs="Times New Roman"/>
                <w:sz w:val="18"/>
                <w:szCs w:val="18"/>
              </w:rPr>
            </w:pPr>
            <w:r w:rsidRPr="00E0204D">
              <w:rPr>
                <w:rFonts w:ascii="Times New Roman" w:hAnsi="Times New Roman" w:cs="Times New Roman"/>
                <w:sz w:val="18"/>
                <w:szCs w:val="18"/>
              </w:rPr>
              <w:t>Optional Protocol to CEDAW (1999)</w:t>
            </w:r>
          </w:p>
          <w:p w14:paraId="59A754A9" w14:textId="77777777" w:rsidR="00254936" w:rsidRPr="00E0204D" w:rsidRDefault="00254936" w:rsidP="00550927">
            <w:pPr>
              <w:jc w:val="both"/>
              <w:rPr>
                <w:rFonts w:ascii="Times New Roman" w:hAnsi="Times New Roman" w:cs="Times New Roman"/>
                <w:sz w:val="18"/>
                <w:szCs w:val="18"/>
              </w:rPr>
            </w:pPr>
          </w:p>
        </w:tc>
        <w:tc>
          <w:tcPr>
            <w:tcW w:w="0" w:type="auto"/>
          </w:tcPr>
          <w:p w14:paraId="0367B0B7" w14:textId="77777777" w:rsidR="00254936" w:rsidRPr="00E0204D" w:rsidRDefault="00254936" w:rsidP="00550927">
            <w:pPr>
              <w:rPr>
                <w:sz w:val="18"/>
                <w:szCs w:val="18"/>
              </w:rPr>
            </w:pPr>
            <w:r w:rsidRPr="00E0204D">
              <w:rPr>
                <w:rFonts w:ascii="Times New Roman" w:hAnsi="Times New Roman" w:cs="Times New Roman"/>
                <w:sz w:val="18"/>
                <w:szCs w:val="18"/>
              </w:rPr>
              <w:t>Not signed</w:t>
            </w:r>
          </w:p>
        </w:tc>
        <w:tc>
          <w:tcPr>
            <w:tcW w:w="0" w:type="auto"/>
          </w:tcPr>
          <w:p w14:paraId="3BF2FD60" w14:textId="77777777" w:rsidR="00254936" w:rsidRDefault="00254936" w:rsidP="00550927">
            <w:pPr>
              <w:rPr>
                <w:rFonts w:ascii="Times New Roman" w:hAnsi="Times New Roman" w:cs="Times New Roman"/>
                <w:sz w:val="18"/>
                <w:szCs w:val="18"/>
              </w:rPr>
            </w:pPr>
            <w:r w:rsidRPr="00E0204D">
              <w:rPr>
                <w:rFonts w:ascii="Times New Roman" w:hAnsi="Times New Roman" w:cs="Times New Roman"/>
                <w:sz w:val="18"/>
                <w:szCs w:val="18"/>
              </w:rPr>
              <w:t>Signed: - 24 February 2000.</w:t>
            </w:r>
          </w:p>
          <w:p w14:paraId="7D57F367" w14:textId="77777777" w:rsidR="00D21F86" w:rsidRPr="00E0204D" w:rsidRDefault="00D21F86" w:rsidP="00550927">
            <w:pPr>
              <w:rPr>
                <w:rFonts w:ascii="Times New Roman" w:hAnsi="Times New Roman" w:cs="Times New Roman"/>
                <w:sz w:val="18"/>
                <w:szCs w:val="18"/>
              </w:rPr>
            </w:pPr>
          </w:p>
          <w:p w14:paraId="55EC969F" w14:textId="77777777" w:rsidR="00254936" w:rsidRDefault="00254936" w:rsidP="00550927">
            <w:pPr>
              <w:rPr>
                <w:rFonts w:ascii="Times New Roman" w:hAnsi="Times New Roman" w:cs="Times New Roman"/>
                <w:sz w:val="18"/>
                <w:szCs w:val="18"/>
              </w:rPr>
            </w:pPr>
            <w:r w:rsidRPr="00E0204D">
              <w:rPr>
                <w:rFonts w:ascii="Times New Roman" w:hAnsi="Times New Roman" w:cs="Times New Roman"/>
                <w:sz w:val="18"/>
                <w:szCs w:val="18"/>
              </w:rPr>
              <w:t>Ratified: - 3 February 2011.</w:t>
            </w:r>
          </w:p>
          <w:p w14:paraId="73EF1BBF" w14:textId="77777777" w:rsidR="00D21F86" w:rsidRPr="00E0204D" w:rsidRDefault="00D21F86" w:rsidP="00550927">
            <w:pPr>
              <w:rPr>
                <w:sz w:val="18"/>
                <w:szCs w:val="18"/>
              </w:rPr>
            </w:pPr>
          </w:p>
        </w:tc>
        <w:tc>
          <w:tcPr>
            <w:tcW w:w="0" w:type="auto"/>
          </w:tcPr>
          <w:p w14:paraId="3708605B" w14:textId="77777777" w:rsidR="00254936" w:rsidRPr="00E0204D" w:rsidRDefault="00254936" w:rsidP="00550927">
            <w:pPr>
              <w:rPr>
                <w:rFonts w:ascii="Times New Roman" w:hAnsi="Times New Roman" w:cs="Times New Roman"/>
                <w:sz w:val="18"/>
                <w:szCs w:val="18"/>
              </w:rPr>
            </w:pPr>
            <w:r w:rsidRPr="00E0204D">
              <w:rPr>
                <w:rFonts w:ascii="Times New Roman" w:hAnsi="Times New Roman" w:cs="Times New Roman"/>
                <w:sz w:val="18"/>
                <w:szCs w:val="18"/>
              </w:rPr>
              <w:t>Not signed</w:t>
            </w:r>
          </w:p>
          <w:p w14:paraId="5765412C" w14:textId="77777777" w:rsidR="00254936" w:rsidRPr="00E0204D" w:rsidRDefault="00254936" w:rsidP="00550927">
            <w:pPr>
              <w:rPr>
                <w:sz w:val="18"/>
                <w:szCs w:val="18"/>
              </w:rPr>
            </w:pPr>
          </w:p>
        </w:tc>
        <w:tc>
          <w:tcPr>
            <w:tcW w:w="0" w:type="auto"/>
          </w:tcPr>
          <w:p w14:paraId="62822513" w14:textId="77777777" w:rsidR="00254936" w:rsidRDefault="00254936" w:rsidP="00550927">
            <w:pPr>
              <w:rPr>
                <w:rFonts w:ascii="Times New Roman" w:hAnsi="Times New Roman" w:cs="Times New Roman"/>
                <w:sz w:val="18"/>
                <w:szCs w:val="18"/>
              </w:rPr>
            </w:pPr>
            <w:r w:rsidRPr="00E0204D">
              <w:rPr>
                <w:rFonts w:ascii="Times New Roman" w:hAnsi="Times New Roman" w:cs="Times New Roman"/>
                <w:sz w:val="18"/>
                <w:szCs w:val="18"/>
              </w:rPr>
              <w:t>Signed: - 18 December 2001.</w:t>
            </w:r>
          </w:p>
          <w:p w14:paraId="540B70A0" w14:textId="77777777" w:rsidR="00D21F86" w:rsidRPr="00E0204D" w:rsidRDefault="00D21F86" w:rsidP="00550927">
            <w:pPr>
              <w:rPr>
                <w:rFonts w:ascii="Times New Roman" w:hAnsi="Times New Roman" w:cs="Times New Roman"/>
                <w:sz w:val="18"/>
                <w:szCs w:val="18"/>
              </w:rPr>
            </w:pPr>
          </w:p>
          <w:p w14:paraId="35D53FEA" w14:textId="77777777" w:rsidR="00254936" w:rsidRPr="00E0204D" w:rsidRDefault="00254936" w:rsidP="00550927">
            <w:pPr>
              <w:rPr>
                <w:sz w:val="18"/>
                <w:szCs w:val="18"/>
              </w:rPr>
            </w:pPr>
            <w:r w:rsidRPr="00E0204D">
              <w:rPr>
                <w:rFonts w:ascii="Times New Roman" w:hAnsi="Times New Roman" w:cs="Times New Roman"/>
                <w:sz w:val="18"/>
                <w:szCs w:val="18"/>
              </w:rPr>
              <w:t>Ratified: - 15 June 2007.</w:t>
            </w:r>
          </w:p>
        </w:tc>
      </w:tr>
      <w:tr w:rsidR="00AE0122" w14:paraId="3A3DA71B" w14:textId="77777777" w:rsidTr="00254936">
        <w:trPr>
          <w:trHeight w:val="904"/>
        </w:trPr>
        <w:tc>
          <w:tcPr>
            <w:tcW w:w="0" w:type="auto"/>
          </w:tcPr>
          <w:p w14:paraId="4DBE69F1" w14:textId="77777777" w:rsidR="00254936" w:rsidRPr="00E0204D" w:rsidRDefault="00254936" w:rsidP="00550927">
            <w:pPr>
              <w:pStyle w:val="NoSpacing"/>
              <w:jc w:val="both"/>
              <w:rPr>
                <w:rFonts w:ascii="Times New Roman" w:hAnsi="Times New Roman" w:cs="Times New Roman"/>
                <w:sz w:val="18"/>
                <w:szCs w:val="18"/>
              </w:rPr>
            </w:pPr>
            <w:r w:rsidRPr="00E0204D">
              <w:rPr>
                <w:rFonts w:ascii="Times New Roman" w:hAnsi="Times New Roman" w:cs="Times New Roman"/>
                <w:sz w:val="18"/>
                <w:szCs w:val="18"/>
              </w:rPr>
              <w:t>Convention Against Torture and Other Cruel, Inhuman or Degrading Treatment or Punishment (CAT)</w:t>
            </w:r>
            <w:r>
              <w:rPr>
                <w:rFonts w:ascii="Times New Roman" w:hAnsi="Times New Roman" w:cs="Times New Roman"/>
                <w:sz w:val="18"/>
                <w:szCs w:val="18"/>
              </w:rPr>
              <w:t xml:space="preserve"> </w:t>
            </w:r>
            <w:r w:rsidRPr="00E0204D">
              <w:rPr>
                <w:rFonts w:ascii="Times New Roman" w:hAnsi="Times New Roman" w:cs="Times New Roman"/>
                <w:sz w:val="18"/>
                <w:szCs w:val="18"/>
              </w:rPr>
              <w:t>(1984)</w:t>
            </w:r>
          </w:p>
        </w:tc>
        <w:tc>
          <w:tcPr>
            <w:tcW w:w="0" w:type="auto"/>
          </w:tcPr>
          <w:p w14:paraId="1CF32A8E" w14:textId="77777777" w:rsidR="00254936" w:rsidRDefault="00254936" w:rsidP="00550927">
            <w:pPr>
              <w:rPr>
                <w:rFonts w:ascii="Times New Roman" w:hAnsi="Times New Roman" w:cs="Times New Roman"/>
                <w:sz w:val="18"/>
                <w:szCs w:val="18"/>
              </w:rPr>
            </w:pPr>
            <w:r w:rsidRPr="00051C0E">
              <w:rPr>
                <w:rFonts w:ascii="Times New Roman" w:hAnsi="Times New Roman" w:cs="Times New Roman"/>
                <w:sz w:val="18"/>
                <w:szCs w:val="18"/>
              </w:rPr>
              <w:t>Signed: - 14 October 1997</w:t>
            </w:r>
          </w:p>
          <w:p w14:paraId="542C11E0" w14:textId="77777777" w:rsidR="00D21F86" w:rsidRPr="00051C0E" w:rsidRDefault="00D21F86" w:rsidP="00550927">
            <w:pPr>
              <w:rPr>
                <w:rFonts w:ascii="Times New Roman" w:hAnsi="Times New Roman" w:cs="Times New Roman"/>
                <w:sz w:val="18"/>
                <w:szCs w:val="18"/>
              </w:rPr>
            </w:pPr>
          </w:p>
          <w:p w14:paraId="37B4418F" w14:textId="77777777" w:rsidR="00254936" w:rsidRPr="00051C0E" w:rsidRDefault="00254936" w:rsidP="00550927">
            <w:pPr>
              <w:rPr>
                <w:sz w:val="18"/>
                <w:szCs w:val="18"/>
              </w:rPr>
            </w:pPr>
            <w:r w:rsidRPr="00051C0E">
              <w:rPr>
                <w:rFonts w:ascii="Times New Roman" w:hAnsi="Times New Roman" w:cs="Times New Roman"/>
                <w:sz w:val="18"/>
                <w:szCs w:val="18"/>
              </w:rPr>
              <w:t>Not ratified.</w:t>
            </w:r>
          </w:p>
        </w:tc>
        <w:tc>
          <w:tcPr>
            <w:tcW w:w="0" w:type="auto"/>
          </w:tcPr>
          <w:p w14:paraId="1943D8BA" w14:textId="77777777" w:rsidR="00254936" w:rsidRPr="00051C0E" w:rsidRDefault="00254936" w:rsidP="00550927">
            <w:pPr>
              <w:rPr>
                <w:rFonts w:ascii="Times New Roman" w:hAnsi="Times New Roman" w:cs="Times New Roman"/>
                <w:sz w:val="18"/>
                <w:szCs w:val="18"/>
              </w:rPr>
            </w:pPr>
            <w:r w:rsidRPr="00051C0E">
              <w:rPr>
                <w:rFonts w:ascii="Times New Roman" w:hAnsi="Times New Roman" w:cs="Times New Roman"/>
                <w:sz w:val="18"/>
                <w:szCs w:val="18"/>
              </w:rPr>
              <w:t>Signed: - 7 September 2000</w:t>
            </w:r>
          </w:p>
          <w:p w14:paraId="5ADE1FE0" w14:textId="77777777" w:rsidR="00254936" w:rsidRDefault="00254936" w:rsidP="00550927">
            <w:pPr>
              <w:rPr>
                <w:rFonts w:ascii="Times New Roman" w:hAnsi="Times New Roman" w:cs="Times New Roman"/>
                <w:sz w:val="18"/>
                <w:szCs w:val="18"/>
              </w:rPr>
            </w:pPr>
            <w:r w:rsidRPr="00051C0E">
              <w:rPr>
                <w:rFonts w:ascii="Times New Roman" w:hAnsi="Times New Roman" w:cs="Times New Roman"/>
                <w:sz w:val="18"/>
                <w:szCs w:val="18"/>
              </w:rPr>
              <w:t>Ratified: - 7 September 2000.</w:t>
            </w:r>
          </w:p>
          <w:p w14:paraId="705B2C33" w14:textId="77777777" w:rsidR="00D21F86" w:rsidRPr="00051C0E" w:rsidRDefault="00D21F86" w:rsidP="00550927">
            <w:pPr>
              <w:rPr>
                <w:rFonts w:ascii="Times New Roman" w:hAnsi="Times New Roman" w:cs="Times New Roman"/>
                <w:sz w:val="18"/>
                <w:szCs w:val="18"/>
              </w:rPr>
            </w:pPr>
          </w:p>
          <w:p w14:paraId="74BB8394" w14:textId="77777777" w:rsidR="00254936" w:rsidRDefault="00254936" w:rsidP="00550927">
            <w:pPr>
              <w:rPr>
                <w:rFonts w:ascii="Times New Roman" w:hAnsi="Times New Roman" w:cs="Times New Roman"/>
                <w:sz w:val="18"/>
                <w:szCs w:val="18"/>
              </w:rPr>
            </w:pPr>
            <w:r w:rsidRPr="00051C0E">
              <w:rPr>
                <w:rFonts w:ascii="Times New Roman" w:hAnsi="Times New Roman" w:cs="Times New Roman"/>
                <w:sz w:val="18"/>
                <w:szCs w:val="18"/>
              </w:rPr>
              <w:t>Declarations entered against articles 21, 22 and 30.</w:t>
            </w:r>
          </w:p>
          <w:p w14:paraId="1679B915" w14:textId="77777777" w:rsidR="00D21F86" w:rsidRPr="00446AE9" w:rsidRDefault="00D21F86" w:rsidP="00550927">
            <w:pPr>
              <w:rPr>
                <w:rFonts w:ascii="Times New Roman" w:hAnsi="Times New Roman" w:cs="Times New Roman"/>
                <w:sz w:val="18"/>
                <w:szCs w:val="18"/>
              </w:rPr>
            </w:pPr>
          </w:p>
        </w:tc>
        <w:tc>
          <w:tcPr>
            <w:tcW w:w="0" w:type="auto"/>
          </w:tcPr>
          <w:p w14:paraId="56BE12E6" w14:textId="77777777" w:rsidR="00254936" w:rsidRPr="00051C0E" w:rsidRDefault="00254936" w:rsidP="00550927">
            <w:pPr>
              <w:rPr>
                <w:rFonts w:ascii="Times New Roman" w:hAnsi="Times New Roman" w:cs="Times New Roman"/>
                <w:sz w:val="18"/>
                <w:szCs w:val="18"/>
              </w:rPr>
            </w:pPr>
            <w:r w:rsidRPr="00051C0E">
              <w:rPr>
                <w:rFonts w:ascii="Times New Roman" w:hAnsi="Times New Roman" w:cs="Times New Roman"/>
                <w:sz w:val="18"/>
                <w:szCs w:val="18"/>
              </w:rPr>
              <w:t>Not signed</w:t>
            </w:r>
          </w:p>
          <w:p w14:paraId="54E7EB34" w14:textId="77777777" w:rsidR="00254936" w:rsidRPr="00051C0E" w:rsidRDefault="00254936" w:rsidP="00550927">
            <w:pPr>
              <w:rPr>
                <w:sz w:val="18"/>
                <w:szCs w:val="18"/>
              </w:rPr>
            </w:pPr>
          </w:p>
        </w:tc>
        <w:tc>
          <w:tcPr>
            <w:tcW w:w="0" w:type="auto"/>
          </w:tcPr>
          <w:p w14:paraId="60370813" w14:textId="77777777" w:rsidR="00254936" w:rsidRPr="00051C0E" w:rsidRDefault="00254936" w:rsidP="00550927">
            <w:pPr>
              <w:rPr>
                <w:sz w:val="18"/>
                <w:szCs w:val="18"/>
              </w:rPr>
            </w:pPr>
            <w:r w:rsidRPr="00051C0E">
              <w:rPr>
                <w:rFonts w:ascii="Times New Roman" w:hAnsi="Times New Roman" w:cs="Times New Roman"/>
                <w:sz w:val="18"/>
                <w:szCs w:val="18"/>
              </w:rPr>
              <w:t>Acceded: - 14 May 1991</w:t>
            </w:r>
          </w:p>
        </w:tc>
      </w:tr>
      <w:tr w:rsidR="00AE0122" w14:paraId="4A1D1429" w14:textId="77777777" w:rsidTr="00254936">
        <w:trPr>
          <w:trHeight w:val="563"/>
        </w:trPr>
        <w:tc>
          <w:tcPr>
            <w:tcW w:w="0" w:type="auto"/>
          </w:tcPr>
          <w:p w14:paraId="6A40875B" w14:textId="77777777" w:rsidR="00254936" w:rsidRPr="00E0204D" w:rsidRDefault="00254936" w:rsidP="00550927">
            <w:pPr>
              <w:pStyle w:val="NoSpacing"/>
              <w:jc w:val="both"/>
              <w:rPr>
                <w:rFonts w:ascii="Times New Roman" w:hAnsi="Times New Roman" w:cs="Times New Roman"/>
                <w:sz w:val="18"/>
                <w:szCs w:val="18"/>
              </w:rPr>
            </w:pPr>
            <w:r w:rsidRPr="00E0204D">
              <w:rPr>
                <w:rFonts w:ascii="Times New Roman" w:hAnsi="Times New Roman" w:cs="Times New Roman"/>
                <w:sz w:val="18"/>
                <w:szCs w:val="18"/>
              </w:rPr>
              <w:t>Optional Protocol to CAT</w:t>
            </w:r>
            <w:r>
              <w:rPr>
                <w:rFonts w:ascii="Times New Roman" w:hAnsi="Times New Roman" w:cs="Times New Roman"/>
                <w:sz w:val="18"/>
                <w:szCs w:val="18"/>
              </w:rPr>
              <w:t xml:space="preserve"> </w:t>
            </w:r>
            <w:r w:rsidRPr="00E0204D">
              <w:rPr>
                <w:rFonts w:ascii="Times New Roman" w:hAnsi="Times New Roman" w:cs="Times New Roman"/>
                <w:sz w:val="18"/>
                <w:szCs w:val="18"/>
              </w:rPr>
              <w:t>(2002)</w:t>
            </w:r>
          </w:p>
          <w:p w14:paraId="48959203" w14:textId="77777777" w:rsidR="00254936" w:rsidRPr="00E0204D" w:rsidRDefault="00254936" w:rsidP="00550927">
            <w:pPr>
              <w:pStyle w:val="NoSpacing"/>
              <w:jc w:val="both"/>
              <w:rPr>
                <w:rFonts w:ascii="Times New Roman" w:hAnsi="Times New Roman" w:cs="Times New Roman"/>
                <w:sz w:val="18"/>
                <w:szCs w:val="18"/>
              </w:rPr>
            </w:pPr>
          </w:p>
        </w:tc>
        <w:tc>
          <w:tcPr>
            <w:tcW w:w="0" w:type="auto"/>
          </w:tcPr>
          <w:p w14:paraId="2D0F62C5" w14:textId="77777777" w:rsidR="00254936" w:rsidRPr="00051C0E" w:rsidRDefault="00254936" w:rsidP="00550927">
            <w:pPr>
              <w:rPr>
                <w:rFonts w:ascii="Times New Roman" w:hAnsi="Times New Roman" w:cs="Times New Roman"/>
                <w:sz w:val="18"/>
                <w:szCs w:val="18"/>
              </w:rPr>
            </w:pPr>
            <w:r w:rsidRPr="00051C0E">
              <w:rPr>
                <w:rFonts w:ascii="Times New Roman" w:hAnsi="Times New Roman" w:cs="Times New Roman"/>
                <w:sz w:val="18"/>
                <w:szCs w:val="18"/>
              </w:rPr>
              <w:t>Not signed</w:t>
            </w:r>
          </w:p>
          <w:p w14:paraId="424CE5B3" w14:textId="77777777" w:rsidR="00254936" w:rsidRPr="00051C0E" w:rsidRDefault="00254936" w:rsidP="00550927">
            <w:pPr>
              <w:rPr>
                <w:sz w:val="18"/>
                <w:szCs w:val="18"/>
              </w:rPr>
            </w:pPr>
          </w:p>
        </w:tc>
        <w:tc>
          <w:tcPr>
            <w:tcW w:w="0" w:type="auto"/>
          </w:tcPr>
          <w:p w14:paraId="1B14DE78" w14:textId="77777777" w:rsidR="00254936" w:rsidRDefault="00254936" w:rsidP="00550927">
            <w:pPr>
              <w:rPr>
                <w:rFonts w:ascii="Times New Roman" w:hAnsi="Times New Roman" w:cs="Times New Roman"/>
                <w:sz w:val="18"/>
                <w:szCs w:val="18"/>
              </w:rPr>
            </w:pPr>
            <w:r w:rsidRPr="00051C0E">
              <w:rPr>
                <w:rFonts w:ascii="Times New Roman" w:hAnsi="Times New Roman" w:cs="Times New Roman"/>
                <w:sz w:val="18"/>
                <w:szCs w:val="18"/>
              </w:rPr>
              <w:t>Signed: - 6 November 2006.</w:t>
            </w:r>
          </w:p>
          <w:p w14:paraId="58B3CA10" w14:textId="77777777" w:rsidR="00D21F86" w:rsidRPr="00051C0E" w:rsidRDefault="00D21F86" w:rsidP="00550927">
            <w:pPr>
              <w:rPr>
                <w:rFonts w:ascii="Times New Roman" w:hAnsi="Times New Roman" w:cs="Times New Roman"/>
                <w:sz w:val="18"/>
                <w:szCs w:val="18"/>
              </w:rPr>
            </w:pPr>
          </w:p>
          <w:p w14:paraId="0AA75E4A" w14:textId="77777777" w:rsidR="00254936" w:rsidRPr="00446AE9" w:rsidRDefault="00254936" w:rsidP="00550927">
            <w:pPr>
              <w:rPr>
                <w:rFonts w:ascii="Times New Roman" w:hAnsi="Times New Roman" w:cs="Times New Roman"/>
                <w:sz w:val="18"/>
                <w:szCs w:val="18"/>
              </w:rPr>
            </w:pPr>
            <w:r w:rsidRPr="00051C0E">
              <w:rPr>
                <w:rFonts w:ascii="Times New Roman" w:hAnsi="Times New Roman" w:cs="Times New Roman"/>
                <w:sz w:val="18"/>
                <w:szCs w:val="18"/>
              </w:rPr>
              <w:t>Not ratified.</w:t>
            </w:r>
          </w:p>
        </w:tc>
        <w:tc>
          <w:tcPr>
            <w:tcW w:w="0" w:type="auto"/>
          </w:tcPr>
          <w:p w14:paraId="51D8F54E" w14:textId="77777777" w:rsidR="00254936" w:rsidRPr="00051C0E" w:rsidRDefault="00254936" w:rsidP="00550927">
            <w:pPr>
              <w:rPr>
                <w:rFonts w:ascii="Times New Roman" w:hAnsi="Times New Roman" w:cs="Times New Roman"/>
                <w:sz w:val="18"/>
                <w:szCs w:val="18"/>
              </w:rPr>
            </w:pPr>
            <w:r w:rsidRPr="00051C0E">
              <w:rPr>
                <w:rFonts w:ascii="Times New Roman" w:hAnsi="Times New Roman" w:cs="Times New Roman"/>
                <w:sz w:val="18"/>
                <w:szCs w:val="18"/>
              </w:rPr>
              <w:t>Not signed</w:t>
            </w:r>
          </w:p>
          <w:p w14:paraId="0B478290" w14:textId="77777777" w:rsidR="00254936" w:rsidRPr="00051C0E" w:rsidRDefault="00254936" w:rsidP="00550927">
            <w:pPr>
              <w:rPr>
                <w:sz w:val="18"/>
                <w:szCs w:val="18"/>
              </w:rPr>
            </w:pPr>
          </w:p>
        </w:tc>
        <w:tc>
          <w:tcPr>
            <w:tcW w:w="0" w:type="auto"/>
          </w:tcPr>
          <w:p w14:paraId="51687DE4" w14:textId="77777777" w:rsidR="00254936" w:rsidRPr="00051C0E" w:rsidRDefault="00254936" w:rsidP="00550927">
            <w:pPr>
              <w:rPr>
                <w:rFonts w:ascii="Times New Roman" w:hAnsi="Times New Roman" w:cs="Times New Roman"/>
                <w:sz w:val="18"/>
                <w:szCs w:val="18"/>
              </w:rPr>
            </w:pPr>
            <w:r w:rsidRPr="00051C0E">
              <w:rPr>
                <w:rFonts w:ascii="Times New Roman" w:hAnsi="Times New Roman" w:cs="Times New Roman"/>
                <w:sz w:val="18"/>
                <w:szCs w:val="18"/>
              </w:rPr>
              <w:t>Not signed</w:t>
            </w:r>
          </w:p>
          <w:p w14:paraId="30B27AC8" w14:textId="77777777" w:rsidR="00254936" w:rsidRPr="00051C0E" w:rsidRDefault="00254936" w:rsidP="00550927">
            <w:pPr>
              <w:rPr>
                <w:sz w:val="18"/>
                <w:szCs w:val="18"/>
              </w:rPr>
            </w:pPr>
          </w:p>
        </w:tc>
      </w:tr>
      <w:tr w:rsidR="00AE0122" w14:paraId="795D37AF" w14:textId="77777777" w:rsidTr="00254936">
        <w:tc>
          <w:tcPr>
            <w:tcW w:w="0" w:type="auto"/>
          </w:tcPr>
          <w:p w14:paraId="589B4A00" w14:textId="77777777" w:rsidR="00254936" w:rsidRPr="00E0204D" w:rsidRDefault="00254936" w:rsidP="00550927">
            <w:pPr>
              <w:pStyle w:val="NoSpacing"/>
              <w:jc w:val="both"/>
              <w:rPr>
                <w:rFonts w:ascii="Times New Roman" w:hAnsi="Times New Roman" w:cs="Times New Roman"/>
                <w:sz w:val="18"/>
                <w:szCs w:val="18"/>
              </w:rPr>
            </w:pPr>
            <w:r w:rsidRPr="00E0204D">
              <w:rPr>
                <w:rFonts w:ascii="Times New Roman" w:hAnsi="Times New Roman" w:cs="Times New Roman"/>
                <w:sz w:val="18"/>
                <w:szCs w:val="18"/>
              </w:rPr>
              <w:t>International Covenant on Civil and Political Rights (ICCPR)</w:t>
            </w:r>
          </w:p>
          <w:p w14:paraId="5872CB6C" w14:textId="77777777" w:rsidR="00254936" w:rsidRPr="00E0204D" w:rsidRDefault="00254936" w:rsidP="00550927">
            <w:pPr>
              <w:pStyle w:val="NoSpacing"/>
              <w:jc w:val="both"/>
              <w:rPr>
                <w:rFonts w:ascii="Times New Roman" w:hAnsi="Times New Roman" w:cs="Times New Roman"/>
                <w:sz w:val="18"/>
                <w:szCs w:val="18"/>
              </w:rPr>
            </w:pPr>
            <w:r w:rsidRPr="00E0204D">
              <w:rPr>
                <w:rFonts w:ascii="Times New Roman" w:hAnsi="Times New Roman" w:cs="Times New Roman"/>
                <w:sz w:val="18"/>
                <w:szCs w:val="18"/>
              </w:rPr>
              <w:t>(1966)</w:t>
            </w:r>
          </w:p>
          <w:p w14:paraId="46F2DDE1" w14:textId="77777777" w:rsidR="00254936" w:rsidRPr="00E0204D" w:rsidRDefault="00254936" w:rsidP="00550927">
            <w:pPr>
              <w:pStyle w:val="NoSpacing"/>
              <w:jc w:val="both"/>
              <w:rPr>
                <w:rFonts w:ascii="Times New Roman" w:hAnsi="Times New Roman" w:cs="Times New Roman"/>
                <w:sz w:val="18"/>
                <w:szCs w:val="18"/>
              </w:rPr>
            </w:pPr>
          </w:p>
        </w:tc>
        <w:tc>
          <w:tcPr>
            <w:tcW w:w="0" w:type="auto"/>
          </w:tcPr>
          <w:p w14:paraId="6E36CCF0" w14:textId="77777777" w:rsidR="00254936" w:rsidRDefault="00254936" w:rsidP="00550927">
            <w:pPr>
              <w:rPr>
                <w:rFonts w:ascii="Times New Roman" w:hAnsi="Times New Roman" w:cs="Times New Roman"/>
                <w:sz w:val="18"/>
                <w:szCs w:val="18"/>
              </w:rPr>
            </w:pPr>
            <w:r w:rsidRPr="00051C0E">
              <w:rPr>
                <w:rFonts w:ascii="Times New Roman" w:hAnsi="Times New Roman" w:cs="Times New Roman"/>
                <w:sz w:val="18"/>
                <w:szCs w:val="18"/>
              </w:rPr>
              <w:t xml:space="preserve"> Acceded: - 10 April 1979</w:t>
            </w:r>
          </w:p>
          <w:p w14:paraId="11EBCF58" w14:textId="77777777" w:rsidR="00D21F86" w:rsidRPr="00051C0E" w:rsidRDefault="00D21F86" w:rsidP="00550927">
            <w:pPr>
              <w:rPr>
                <w:rFonts w:ascii="Times New Roman" w:hAnsi="Times New Roman" w:cs="Times New Roman"/>
                <w:sz w:val="18"/>
                <w:szCs w:val="18"/>
              </w:rPr>
            </w:pPr>
          </w:p>
          <w:p w14:paraId="476108FA" w14:textId="77777777" w:rsidR="00254936" w:rsidRPr="00051C0E" w:rsidRDefault="00254936" w:rsidP="00550927">
            <w:pPr>
              <w:rPr>
                <w:rFonts w:ascii="Times New Roman" w:hAnsi="Times New Roman" w:cs="Times New Roman"/>
                <w:sz w:val="18"/>
                <w:szCs w:val="18"/>
              </w:rPr>
            </w:pPr>
            <w:r w:rsidRPr="00051C0E">
              <w:rPr>
                <w:rFonts w:ascii="Times New Roman" w:hAnsi="Times New Roman" w:cs="Times New Roman"/>
                <w:sz w:val="18"/>
                <w:szCs w:val="18"/>
              </w:rPr>
              <w:t>Declarations entered against articles 1, 9, 12, 13, 19(3), 21, 22</w:t>
            </w:r>
          </w:p>
        </w:tc>
        <w:tc>
          <w:tcPr>
            <w:tcW w:w="0" w:type="auto"/>
          </w:tcPr>
          <w:p w14:paraId="70A226F9" w14:textId="77777777" w:rsidR="00254936" w:rsidRDefault="00254936" w:rsidP="00550927">
            <w:pPr>
              <w:rPr>
                <w:rFonts w:ascii="Times New Roman" w:hAnsi="Times New Roman" w:cs="Times New Roman"/>
                <w:sz w:val="18"/>
                <w:szCs w:val="18"/>
              </w:rPr>
            </w:pPr>
            <w:r w:rsidRPr="00051C0E">
              <w:rPr>
                <w:rFonts w:ascii="Times New Roman" w:hAnsi="Times New Roman" w:cs="Times New Roman"/>
                <w:sz w:val="18"/>
                <w:szCs w:val="18"/>
              </w:rPr>
              <w:t>Signed: - 7 September 2000</w:t>
            </w:r>
          </w:p>
          <w:p w14:paraId="005D6A77" w14:textId="77777777" w:rsidR="00D21F86" w:rsidRPr="00051C0E" w:rsidRDefault="00D21F86" w:rsidP="00550927">
            <w:pPr>
              <w:rPr>
                <w:rFonts w:ascii="Times New Roman" w:hAnsi="Times New Roman" w:cs="Times New Roman"/>
                <w:sz w:val="18"/>
                <w:szCs w:val="18"/>
              </w:rPr>
            </w:pPr>
          </w:p>
          <w:p w14:paraId="17BE1B97" w14:textId="77777777" w:rsidR="00254936" w:rsidRPr="00051C0E" w:rsidRDefault="00254936" w:rsidP="00550927">
            <w:pPr>
              <w:rPr>
                <w:rFonts w:ascii="Times New Roman" w:hAnsi="Times New Roman" w:cs="Times New Roman"/>
                <w:sz w:val="18"/>
                <w:szCs w:val="18"/>
              </w:rPr>
            </w:pPr>
            <w:r w:rsidRPr="00051C0E">
              <w:rPr>
                <w:rFonts w:ascii="Times New Roman" w:hAnsi="Times New Roman" w:cs="Times New Roman"/>
                <w:sz w:val="18"/>
                <w:szCs w:val="18"/>
              </w:rPr>
              <w:t>Ratified: - 7 September 2000</w:t>
            </w:r>
          </w:p>
          <w:p w14:paraId="73353084" w14:textId="77777777" w:rsidR="00254936" w:rsidRPr="00051C0E" w:rsidRDefault="00254936" w:rsidP="00550927">
            <w:pPr>
              <w:rPr>
                <w:sz w:val="18"/>
                <w:szCs w:val="18"/>
              </w:rPr>
            </w:pPr>
          </w:p>
        </w:tc>
        <w:tc>
          <w:tcPr>
            <w:tcW w:w="0" w:type="auto"/>
          </w:tcPr>
          <w:p w14:paraId="5A932ECA" w14:textId="77777777" w:rsidR="00254936" w:rsidRPr="00051C0E" w:rsidRDefault="00254936" w:rsidP="00550927">
            <w:pPr>
              <w:rPr>
                <w:sz w:val="18"/>
                <w:szCs w:val="18"/>
              </w:rPr>
            </w:pPr>
            <w:r w:rsidRPr="00051C0E">
              <w:rPr>
                <w:rFonts w:ascii="Times New Roman" w:hAnsi="Times New Roman" w:cs="Times New Roman"/>
                <w:sz w:val="18"/>
                <w:szCs w:val="18"/>
              </w:rPr>
              <w:t>Acceded: - 21 July 2008</w:t>
            </w:r>
          </w:p>
        </w:tc>
        <w:tc>
          <w:tcPr>
            <w:tcW w:w="0" w:type="auto"/>
          </w:tcPr>
          <w:p w14:paraId="5B76D884" w14:textId="77777777" w:rsidR="00254936" w:rsidRPr="00051C0E" w:rsidRDefault="00254936" w:rsidP="00550927">
            <w:pPr>
              <w:rPr>
                <w:sz w:val="18"/>
                <w:szCs w:val="18"/>
              </w:rPr>
            </w:pPr>
            <w:r w:rsidRPr="00051C0E">
              <w:rPr>
                <w:rFonts w:ascii="Times New Roman" w:hAnsi="Times New Roman" w:cs="Times New Roman"/>
                <w:sz w:val="18"/>
                <w:szCs w:val="18"/>
              </w:rPr>
              <w:t>Acceded: - 14 May 1991</w:t>
            </w:r>
          </w:p>
        </w:tc>
      </w:tr>
      <w:tr w:rsidR="00AE0122" w14:paraId="785232A1" w14:textId="77777777" w:rsidTr="00254936">
        <w:tc>
          <w:tcPr>
            <w:tcW w:w="0" w:type="auto"/>
          </w:tcPr>
          <w:p w14:paraId="082E3ED2" w14:textId="77777777" w:rsidR="00254936" w:rsidRPr="00E0204D" w:rsidRDefault="00254936" w:rsidP="00550927">
            <w:pPr>
              <w:pStyle w:val="NoSpacing"/>
              <w:jc w:val="both"/>
              <w:rPr>
                <w:rFonts w:ascii="Times New Roman" w:hAnsi="Times New Roman" w:cs="Times New Roman"/>
                <w:sz w:val="18"/>
                <w:szCs w:val="18"/>
              </w:rPr>
            </w:pPr>
            <w:r w:rsidRPr="00E0204D">
              <w:rPr>
                <w:rFonts w:ascii="Times New Roman" w:hAnsi="Times New Roman" w:cs="Times New Roman"/>
                <w:sz w:val="18"/>
                <w:szCs w:val="18"/>
              </w:rPr>
              <w:t>First Optional Protocol to ICCPR</w:t>
            </w:r>
          </w:p>
          <w:p w14:paraId="712CB6B5" w14:textId="77777777" w:rsidR="00254936" w:rsidRPr="00E0204D" w:rsidRDefault="00254936" w:rsidP="00550927">
            <w:pPr>
              <w:pStyle w:val="NoSpacing"/>
              <w:jc w:val="both"/>
              <w:rPr>
                <w:rFonts w:ascii="Times New Roman" w:hAnsi="Times New Roman" w:cs="Times New Roman"/>
                <w:sz w:val="18"/>
                <w:szCs w:val="18"/>
              </w:rPr>
            </w:pPr>
            <w:r w:rsidRPr="00E0204D">
              <w:rPr>
                <w:rFonts w:ascii="Times New Roman" w:hAnsi="Times New Roman" w:cs="Times New Roman"/>
                <w:sz w:val="18"/>
                <w:szCs w:val="18"/>
              </w:rPr>
              <w:t>(1966)</w:t>
            </w:r>
          </w:p>
          <w:p w14:paraId="5B6A3557" w14:textId="77777777" w:rsidR="00254936" w:rsidRPr="00E0204D" w:rsidRDefault="00254936" w:rsidP="00550927">
            <w:pPr>
              <w:pStyle w:val="NoSpacing"/>
              <w:jc w:val="both"/>
              <w:rPr>
                <w:rFonts w:ascii="Times New Roman" w:hAnsi="Times New Roman" w:cs="Times New Roman"/>
                <w:sz w:val="18"/>
                <w:szCs w:val="18"/>
              </w:rPr>
            </w:pPr>
          </w:p>
        </w:tc>
        <w:tc>
          <w:tcPr>
            <w:tcW w:w="0" w:type="auto"/>
          </w:tcPr>
          <w:p w14:paraId="148D208D" w14:textId="77777777" w:rsidR="00254936" w:rsidRPr="00051C0E" w:rsidRDefault="00254936" w:rsidP="00550927">
            <w:pPr>
              <w:rPr>
                <w:rFonts w:ascii="Times New Roman" w:hAnsi="Times New Roman" w:cs="Times New Roman"/>
                <w:sz w:val="18"/>
                <w:szCs w:val="18"/>
              </w:rPr>
            </w:pPr>
            <w:r w:rsidRPr="00051C0E">
              <w:rPr>
                <w:rFonts w:ascii="Times New Roman" w:hAnsi="Times New Roman" w:cs="Times New Roman"/>
                <w:sz w:val="18"/>
                <w:szCs w:val="18"/>
              </w:rPr>
              <w:t>Not signed</w:t>
            </w:r>
          </w:p>
          <w:p w14:paraId="052681D1" w14:textId="77777777" w:rsidR="00254936" w:rsidRPr="00051C0E" w:rsidRDefault="00254936" w:rsidP="00550927">
            <w:pPr>
              <w:rPr>
                <w:sz w:val="18"/>
                <w:szCs w:val="18"/>
              </w:rPr>
            </w:pPr>
          </w:p>
        </w:tc>
        <w:tc>
          <w:tcPr>
            <w:tcW w:w="0" w:type="auto"/>
          </w:tcPr>
          <w:p w14:paraId="314ED212" w14:textId="77777777" w:rsidR="00254936" w:rsidRDefault="00254936" w:rsidP="00550927">
            <w:pPr>
              <w:rPr>
                <w:rFonts w:ascii="Times New Roman" w:hAnsi="Times New Roman" w:cs="Times New Roman"/>
                <w:sz w:val="18"/>
                <w:szCs w:val="18"/>
              </w:rPr>
            </w:pPr>
            <w:r w:rsidRPr="00051C0E">
              <w:rPr>
                <w:rFonts w:ascii="Times New Roman" w:hAnsi="Times New Roman" w:cs="Times New Roman"/>
                <w:sz w:val="18"/>
                <w:szCs w:val="18"/>
              </w:rPr>
              <w:t>Signed: - 7 September 2000</w:t>
            </w:r>
          </w:p>
          <w:p w14:paraId="1ACA0B9C" w14:textId="77777777" w:rsidR="00D21F86" w:rsidRPr="00051C0E" w:rsidRDefault="00D21F86" w:rsidP="00550927">
            <w:pPr>
              <w:rPr>
                <w:rFonts w:ascii="Times New Roman" w:hAnsi="Times New Roman" w:cs="Times New Roman"/>
                <w:sz w:val="18"/>
                <w:szCs w:val="18"/>
              </w:rPr>
            </w:pPr>
          </w:p>
          <w:p w14:paraId="37DDB749" w14:textId="77777777" w:rsidR="00254936" w:rsidRPr="00051C0E" w:rsidRDefault="00254936" w:rsidP="00550927">
            <w:pPr>
              <w:rPr>
                <w:rFonts w:ascii="Times New Roman" w:hAnsi="Times New Roman" w:cs="Times New Roman"/>
                <w:sz w:val="18"/>
                <w:szCs w:val="18"/>
              </w:rPr>
            </w:pPr>
            <w:r w:rsidRPr="00051C0E">
              <w:rPr>
                <w:rFonts w:ascii="Times New Roman" w:hAnsi="Times New Roman" w:cs="Times New Roman"/>
                <w:sz w:val="18"/>
                <w:szCs w:val="18"/>
              </w:rPr>
              <w:t>Ratified: - 7 September 2000</w:t>
            </w:r>
          </w:p>
          <w:p w14:paraId="4FCD2E94" w14:textId="77777777" w:rsidR="00254936" w:rsidRPr="00051C0E" w:rsidRDefault="00254936" w:rsidP="00550927">
            <w:pPr>
              <w:rPr>
                <w:sz w:val="18"/>
                <w:szCs w:val="18"/>
              </w:rPr>
            </w:pPr>
          </w:p>
        </w:tc>
        <w:tc>
          <w:tcPr>
            <w:tcW w:w="0" w:type="auto"/>
          </w:tcPr>
          <w:p w14:paraId="0D80D36A" w14:textId="77777777" w:rsidR="00254936" w:rsidRPr="00051C0E" w:rsidRDefault="00254936" w:rsidP="00550927">
            <w:pPr>
              <w:rPr>
                <w:rFonts w:ascii="Times New Roman" w:hAnsi="Times New Roman" w:cs="Times New Roman"/>
                <w:sz w:val="18"/>
                <w:szCs w:val="18"/>
              </w:rPr>
            </w:pPr>
            <w:r w:rsidRPr="00051C0E">
              <w:rPr>
                <w:rFonts w:ascii="Times New Roman" w:hAnsi="Times New Roman" w:cs="Times New Roman"/>
                <w:sz w:val="18"/>
                <w:szCs w:val="18"/>
              </w:rPr>
              <w:t>Not signed</w:t>
            </w:r>
          </w:p>
          <w:p w14:paraId="223B2F59" w14:textId="77777777" w:rsidR="00254936" w:rsidRPr="00051C0E" w:rsidRDefault="00254936" w:rsidP="00550927">
            <w:pPr>
              <w:rPr>
                <w:sz w:val="18"/>
                <w:szCs w:val="18"/>
              </w:rPr>
            </w:pPr>
          </w:p>
        </w:tc>
        <w:tc>
          <w:tcPr>
            <w:tcW w:w="0" w:type="auto"/>
          </w:tcPr>
          <w:p w14:paraId="539438C1" w14:textId="77777777" w:rsidR="00254936" w:rsidRPr="00051C0E" w:rsidRDefault="00254936" w:rsidP="00550927">
            <w:pPr>
              <w:rPr>
                <w:sz w:val="18"/>
                <w:szCs w:val="18"/>
              </w:rPr>
            </w:pPr>
            <w:r w:rsidRPr="00051C0E">
              <w:rPr>
                <w:rFonts w:ascii="Times New Roman" w:hAnsi="Times New Roman" w:cs="Times New Roman"/>
                <w:sz w:val="18"/>
                <w:szCs w:val="18"/>
              </w:rPr>
              <w:t>Acceded: - 14 May 1991</w:t>
            </w:r>
          </w:p>
        </w:tc>
      </w:tr>
      <w:tr w:rsidR="00AE0122" w14:paraId="7CEC1DC6" w14:textId="77777777" w:rsidTr="00254936">
        <w:trPr>
          <w:trHeight w:val="720"/>
        </w:trPr>
        <w:tc>
          <w:tcPr>
            <w:tcW w:w="0" w:type="auto"/>
          </w:tcPr>
          <w:p w14:paraId="046D479F" w14:textId="77777777" w:rsidR="00254936" w:rsidRPr="00E0204D" w:rsidRDefault="00254936" w:rsidP="00550927">
            <w:pPr>
              <w:pStyle w:val="NoSpacing"/>
              <w:jc w:val="both"/>
              <w:rPr>
                <w:rFonts w:ascii="Times New Roman" w:hAnsi="Times New Roman" w:cs="Times New Roman"/>
                <w:sz w:val="18"/>
                <w:szCs w:val="18"/>
              </w:rPr>
            </w:pPr>
            <w:r w:rsidRPr="00E0204D">
              <w:rPr>
                <w:rFonts w:ascii="Times New Roman" w:hAnsi="Times New Roman" w:cs="Times New Roman"/>
                <w:sz w:val="18"/>
                <w:szCs w:val="18"/>
              </w:rPr>
              <w:t>Second Optional Protocol to ICCPR, aiming at abolition of the death penalty</w:t>
            </w:r>
            <w:r>
              <w:rPr>
                <w:rFonts w:ascii="Times New Roman" w:hAnsi="Times New Roman" w:cs="Times New Roman"/>
                <w:sz w:val="18"/>
                <w:szCs w:val="18"/>
              </w:rPr>
              <w:t xml:space="preserve"> </w:t>
            </w:r>
            <w:r w:rsidRPr="00E0204D">
              <w:rPr>
                <w:rFonts w:ascii="Times New Roman" w:hAnsi="Times New Roman" w:cs="Times New Roman"/>
                <w:sz w:val="18"/>
                <w:szCs w:val="18"/>
              </w:rPr>
              <w:t>(1989)</w:t>
            </w:r>
          </w:p>
          <w:p w14:paraId="6F615F6C" w14:textId="77777777" w:rsidR="00254936" w:rsidRPr="00E0204D" w:rsidRDefault="00254936" w:rsidP="00550927">
            <w:pPr>
              <w:jc w:val="both"/>
              <w:rPr>
                <w:rFonts w:ascii="Times New Roman" w:hAnsi="Times New Roman" w:cs="Times New Roman"/>
                <w:sz w:val="18"/>
                <w:szCs w:val="18"/>
              </w:rPr>
            </w:pPr>
          </w:p>
        </w:tc>
        <w:tc>
          <w:tcPr>
            <w:tcW w:w="0" w:type="auto"/>
          </w:tcPr>
          <w:p w14:paraId="0596A913" w14:textId="77777777" w:rsidR="00254936" w:rsidRPr="00446AE9" w:rsidRDefault="00254936" w:rsidP="00550927">
            <w:pPr>
              <w:rPr>
                <w:rFonts w:ascii="Times New Roman" w:hAnsi="Times New Roman" w:cs="Times New Roman"/>
                <w:sz w:val="18"/>
                <w:szCs w:val="18"/>
              </w:rPr>
            </w:pPr>
            <w:r w:rsidRPr="00051C0E">
              <w:rPr>
                <w:rFonts w:ascii="Times New Roman" w:hAnsi="Times New Roman" w:cs="Times New Roman"/>
                <w:sz w:val="18"/>
                <w:szCs w:val="18"/>
              </w:rPr>
              <w:t>Not signed</w:t>
            </w:r>
          </w:p>
        </w:tc>
        <w:tc>
          <w:tcPr>
            <w:tcW w:w="0" w:type="auto"/>
          </w:tcPr>
          <w:p w14:paraId="7FE0F4AC" w14:textId="77777777" w:rsidR="00254936" w:rsidRPr="00446AE9" w:rsidRDefault="00254936" w:rsidP="00550927">
            <w:pPr>
              <w:rPr>
                <w:rFonts w:ascii="Times New Roman" w:hAnsi="Times New Roman" w:cs="Times New Roman"/>
                <w:sz w:val="18"/>
                <w:szCs w:val="18"/>
              </w:rPr>
            </w:pPr>
            <w:r w:rsidRPr="00051C0E">
              <w:rPr>
                <w:rFonts w:ascii="Times New Roman" w:hAnsi="Times New Roman" w:cs="Times New Roman"/>
                <w:sz w:val="18"/>
                <w:szCs w:val="18"/>
              </w:rPr>
              <w:t>Not signed</w:t>
            </w:r>
          </w:p>
        </w:tc>
        <w:tc>
          <w:tcPr>
            <w:tcW w:w="0" w:type="auto"/>
          </w:tcPr>
          <w:p w14:paraId="74176238" w14:textId="77777777" w:rsidR="00254936" w:rsidRPr="00051C0E" w:rsidRDefault="00254936" w:rsidP="00550927">
            <w:pPr>
              <w:rPr>
                <w:rFonts w:ascii="Times New Roman" w:hAnsi="Times New Roman" w:cs="Times New Roman"/>
                <w:sz w:val="18"/>
                <w:szCs w:val="18"/>
              </w:rPr>
            </w:pPr>
            <w:r w:rsidRPr="00051C0E">
              <w:rPr>
                <w:rFonts w:ascii="Times New Roman" w:hAnsi="Times New Roman" w:cs="Times New Roman"/>
                <w:sz w:val="18"/>
                <w:szCs w:val="18"/>
              </w:rPr>
              <w:t>Not signed</w:t>
            </w:r>
          </w:p>
          <w:p w14:paraId="401FE260" w14:textId="77777777" w:rsidR="00254936" w:rsidRPr="00051C0E" w:rsidRDefault="00254936" w:rsidP="00550927">
            <w:pPr>
              <w:rPr>
                <w:sz w:val="18"/>
                <w:szCs w:val="18"/>
              </w:rPr>
            </w:pPr>
          </w:p>
        </w:tc>
        <w:tc>
          <w:tcPr>
            <w:tcW w:w="0" w:type="auto"/>
          </w:tcPr>
          <w:p w14:paraId="223C433C" w14:textId="77777777" w:rsidR="00254936" w:rsidRPr="00051C0E" w:rsidRDefault="00254936" w:rsidP="00550927">
            <w:pPr>
              <w:rPr>
                <w:sz w:val="18"/>
                <w:szCs w:val="18"/>
              </w:rPr>
            </w:pPr>
            <w:r w:rsidRPr="00051C0E">
              <w:rPr>
                <w:rFonts w:ascii="Times New Roman" w:hAnsi="Times New Roman" w:cs="Times New Roman"/>
                <w:sz w:val="18"/>
                <w:szCs w:val="18"/>
              </w:rPr>
              <w:t>Acceded: - 4 March 1998</w:t>
            </w:r>
          </w:p>
        </w:tc>
      </w:tr>
      <w:tr w:rsidR="00AE0122" w14:paraId="5971835F" w14:textId="77777777" w:rsidTr="00254936">
        <w:trPr>
          <w:trHeight w:val="795"/>
        </w:trPr>
        <w:tc>
          <w:tcPr>
            <w:tcW w:w="0" w:type="auto"/>
          </w:tcPr>
          <w:p w14:paraId="093F31FD" w14:textId="77777777" w:rsidR="00254936" w:rsidRPr="00E0204D" w:rsidRDefault="00254936" w:rsidP="00550927">
            <w:pPr>
              <w:pStyle w:val="NoSpacing"/>
              <w:jc w:val="both"/>
              <w:rPr>
                <w:rFonts w:ascii="Times New Roman" w:hAnsi="Times New Roman" w:cs="Times New Roman"/>
                <w:sz w:val="18"/>
                <w:szCs w:val="18"/>
              </w:rPr>
            </w:pPr>
            <w:r w:rsidRPr="00E0204D">
              <w:rPr>
                <w:rFonts w:ascii="Times New Roman" w:hAnsi="Times New Roman" w:cs="Times New Roman"/>
                <w:sz w:val="18"/>
                <w:szCs w:val="18"/>
              </w:rPr>
              <w:t>International Covenant on Economic, Social and Cultural Rights (ICESCR)</w:t>
            </w:r>
            <w:r>
              <w:rPr>
                <w:rFonts w:ascii="Times New Roman" w:hAnsi="Times New Roman" w:cs="Times New Roman"/>
                <w:sz w:val="18"/>
                <w:szCs w:val="18"/>
              </w:rPr>
              <w:t xml:space="preserve"> </w:t>
            </w:r>
            <w:r w:rsidRPr="00E0204D">
              <w:rPr>
                <w:rFonts w:ascii="Times New Roman" w:hAnsi="Times New Roman" w:cs="Times New Roman"/>
                <w:sz w:val="18"/>
                <w:szCs w:val="18"/>
              </w:rPr>
              <w:t>(1966)</w:t>
            </w:r>
          </w:p>
        </w:tc>
        <w:tc>
          <w:tcPr>
            <w:tcW w:w="0" w:type="auto"/>
          </w:tcPr>
          <w:p w14:paraId="586D7087" w14:textId="77777777" w:rsidR="00254936" w:rsidRDefault="00254936" w:rsidP="00550927">
            <w:pPr>
              <w:rPr>
                <w:rFonts w:ascii="Times New Roman" w:hAnsi="Times New Roman" w:cs="Times New Roman"/>
                <w:sz w:val="18"/>
                <w:szCs w:val="18"/>
              </w:rPr>
            </w:pPr>
            <w:r w:rsidRPr="00051C0E">
              <w:rPr>
                <w:rFonts w:ascii="Times New Roman" w:hAnsi="Times New Roman" w:cs="Times New Roman"/>
                <w:sz w:val="18"/>
                <w:szCs w:val="18"/>
              </w:rPr>
              <w:t>Acceded: - 10 April 1979</w:t>
            </w:r>
          </w:p>
          <w:p w14:paraId="1E7E2A4E" w14:textId="77777777" w:rsidR="00D21F86" w:rsidRPr="00051C0E" w:rsidRDefault="00D21F86" w:rsidP="00550927">
            <w:pPr>
              <w:rPr>
                <w:rFonts w:ascii="Times New Roman" w:hAnsi="Times New Roman" w:cs="Times New Roman"/>
                <w:sz w:val="18"/>
                <w:szCs w:val="18"/>
              </w:rPr>
            </w:pPr>
          </w:p>
          <w:p w14:paraId="7982DF07" w14:textId="77777777" w:rsidR="00254936" w:rsidRPr="00051C0E" w:rsidRDefault="00254936" w:rsidP="00550927">
            <w:pPr>
              <w:rPr>
                <w:rFonts w:ascii="Times New Roman" w:hAnsi="Times New Roman" w:cs="Times New Roman"/>
                <w:sz w:val="18"/>
                <w:szCs w:val="18"/>
              </w:rPr>
            </w:pPr>
            <w:r w:rsidRPr="00051C0E">
              <w:rPr>
                <w:rFonts w:ascii="Times New Roman" w:hAnsi="Times New Roman" w:cs="Times New Roman"/>
                <w:sz w:val="18"/>
                <w:szCs w:val="18"/>
              </w:rPr>
              <w:t>Declarations entered against articles 1, 4, 7(c), 8</w:t>
            </w:r>
          </w:p>
          <w:p w14:paraId="2CB316A4" w14:textId="77777777" w:rsidR="00254936" w:rsidRPr="00051C0E" w:rsidRDefault="00254936" w:rsidP="00550927">
            <w:pPr>
              <w:rPr>
                <w:sz w:val="18"/>
                <w:szCs w:val="18"/>
              </w:rPr>
            </w:pPr>
          </w:p>
        </w:tc>
        <w:tc>
          <w:tcPr>
            <w:tcW w:w="0" w:type="auto"/>
          </w:tcPr>
          <w:p w14:paraId="6D78583C" w14:textId="77777777" w:rsidR="00254936" w:rsidRPr="00051C0E" w:rsidRDefault="00254936" w:rsidP="00550927">
            <w:pPr>
              <w:rPr>
                <w:rFonts w:ascii="Times New Roman" w:hAnsi="Times New Roman" w:cs="Times New Roman"/>
                <w:sz w:val="18"/>
                <w:szCs w:val="18"/>
              </w:rPr>
            </w:pPr>
            <w:r w:rsidRPr="00051C0E">
              <w:rPr>
                <w:rFonts w:ascii="Times New Roman" w:hAnsi="Times New Roman" w:cs="Times New Roman"/>
                <w:sz w:val="18"/>
                <w:szCs w:val="18"/>
              </w:rPr>
              <w:t>Signed: - 7 September 2000</w:t>
            </w:r>
          </w:p>
          <w:p w14:paraId="3CDDDAA7" w14:textId="77777777" w:rsidR="00254936" w:rsidRPr="00051C0E" w:rsidRDefault="00254936" w:rsidP="00550927">
            <w:pPr>
              <w:rPr>
                <w:sz w:val="18"/>
                <w:szCs w:val="18"/>
              </w:rPr>
            </w:pPr>
            <w:r w:rsidRPr="00051C0E">
              <w:rPr>
                <w:rFonts w:ascii="Times New Roman" w:hAnsi="Times New Roman" w:cs="Times New Roman"/>
                <w:sz w:val="18"/>
                <w:szCs w:val="18"/>
              </w:rPr>
              <w:t>Ratified: - 7 September 2000</w:t>
            </w:r>
          </w:p>
        </w:tc>
        <w:tc>
          <w:tcPr>
            <w:tcW w:w="0" w:type="auto"/>
          </w:tcPr>
          <w:p w14:paraId="2619FF07" w14:textId="77777777" w:rsidR="00254936" w:rsidRPr="00051C0E" w:rsidRDefault="00254936" w:rsidP="00550927">
            <w:pPr>
              <w:rPr>
                <w:sz w:val="18"/>
                <w:szCs w:val="18"/>
              </w:rPr>
            </w:pPr>
            <w:r w:rsidRPr="00051C0E">
              <w:rPr>
                <w:rFonts w:ascii="Times New Roman" w:hAnsi="Times New Roman" w:cs="Times New Roman"/>
                <w:sz w:val="18"/>
                <w:szCs w:val="18"/>
              </w:rPr>
              <w:t>Acceded: - 21 July 2008</w:t>
            </w:r>
          </w:p>
        </w:tc>
        <w:tc>
          <w:tcPr>
            <w:tcW w:w="0" w:type="auto"/>
          </w:tcPr>
          <w:p w14:paraId="4E597886" w14:textId="77777777" w:rsidR="00254936" w:rsidRPr="00051C0E" w:rsidRDefault="00254936" w:rsidP="00550927">
            <w:pPr>
              <w:rPr>
                <w:sz w:val="18"/>
                <w:szCs w:val="18"/>
              </w:rPr>
            </w:pPr>
            <w:r w:rsidRPr="00051C0E">
              <w:rPr>
                <w:rFonts w:ascii="Times New Roman" w:hAnsi="Times New Roman" w:cs="Times New Roman"/>
                <w:sz w:val="18"/>
                <w:szCs w:val="18"/>
              </w:rPr>
              <w:t>Acceded: - 14 May 1991</w:t>
            </w:r>
          </w:p>
        </w:tc>
      </w:tr>
      <w:tr w:rsidR="00AE0122" w14:paraId="1D8488CC" w14:textId="77777777" w:rsidTr="00254936">
        <w:trPr>
          <w:trHeight w:val="63"/>
        </w:trPr>
        <w:tc>
          <w:tcPr>
            <w:tcW w:w="0" w:type="auto"/>
          </w:tcPr>
          <w:p w14:paraId="72C9B36B" w14:textId="77777777" w:rsidR="00254936" w:rsidRPr="00E0204D" w:rsidRDefault="00254936" w:rsidP="00550927">
            <w:pPr>
              <w:pStyle w:val="NoSpacing"/>
              <w:jc w:val="both"/>
              <w:rPr>
                <w:rFonts w:ascii="Times New Roman" w:hAnsi="Times New Roman" w:cs="Times New Roman"/>
                <w:sz w:val="18"/>
                <w:szCs w:val="18"/>
              </w:rPr>
            </w:pPr>
            <w:r w:rsidRPr="00E0204D">
              <w:rPr>
                <w:rFonts w:ascii="Times New Roman" w:hAnsi="Times New Roman" w:cs="Times New Roman"/>
                <w:sz w:val="18"/>
                <w:szCs w:val="18"/>
              </w:rPr>
              <w:t>Optional Protocol to ICESCR</w:t>
            </w:r>
            <w:r>
              <w:rPr>
                <w:rFonts w:ascii="Times New Roman" w:hAnsi="Times New Roman" w:cs="Times New Roman"/>
                <w:sz w:val="18"/>
                <w:szCs w:val="18"/>
              </w:rPr>
              <w:t xml:space="preserve"> (2008)</w:t>
            </w:r>
          </w:p>
        </w:tc>
        <w:tc>
          <w:tcPr>
            <w:tcW w:w="0" w:type="auto"/>
          </w:tcPr>
          <w:p w14:paraId="3EF4FCE4" w14:textId="77777777" w:rsidR="00254936" w:rsidRPr="00051C0E" w:rsidRDefault="00254936" w:rsidP="00550927">
            <w:pPr>
              <w:rPr>
                <w:rFonts w:ascii="Times New Roman" w:hAnsi="Times New Roman" w:cs="Times New Roman"/>
                <w:sz w:val="18"/>
                <w:szCs w:val="18"/>
              </w:rPr>
            </w:pPr>
            <w:r w:rsidRPr="00051C0E">
              <w:rPr>
                <w:rFonts w:ascii="Times New Roman" w:hAnsi="Times New Roman" w:cs="Times New Roman"/>
                <w:sz w:val="18"/>
                <w:szCs w:val="18"/>
              </w:rPr>
              <w:t>Not signed</w:t>
            </w:r>
          </w:p>
          <w:p w14:paraId="57969BC1" w14:textId="77777777" w:rsidR="00254936" w:rsidRPr="00051C0E" w:rsidRDefault="00254936" w:rsidP="00550927">
            <w:pPr>
              <w:rPr>
                <w:sz w:val="18"/>
                <w:szCs w:val="18"/>
              </w:rPr>
            </w:pPr>
          </w:p>
        </w:tc>
        <w:tc>
          <w:tcPr>
            <w:tcW w:w="0" w:type="auto"/>
          </w:tcPr>
          <w:p w14:paraId="47E22EA7" w14:textId="77777777" w:rsidR="00254936" w:rsidRDefault="00254936" w:rsidP="00550927">
            <w:pPr>
              <w:rPr>
                <w:rFonts w:ascii="Times New Roman" w:hAnsi="Times New Roman" w:cs="Times New Roman"/>
                <w:sz w:val="18"/>
                <w:szCs w:val="18"/>
              </w:rPr>
            </w:pPr>
            <w:r w:rsidRPr="00051C0E">
              <w:rPr>
                <w:rFonts w:ascii="Times New Roman" w:hAnsi="Times New Roman" w:cs="Times New Roman"/>
                <w:sz w:val="18"/>
                <w:szCs w:val="18"/>
              </w:rPr>
              <w:t>Signed: - 7 September 2000</w:t>
            </w:r>
          </w:p>
          <w:p w14:paraId="4A858C1F" w14:textId="77777777" w:rsidR="00D21F86" w:rsidRPr="00051C0E" w:rsidRDefault="00D21F86" w:rsidP="00550927">
            <w:pPr>
              <w:rPr>
                <w:rFonts w:ascii="Times New Roman" w:hAnsi="Times New Roman" w:cs="Times New Roman"/>
                <w:sz w:val="18"/>
                <w:szCs w:val="18"/>
              </w:rPr>
            </w:pPr>
          </w:p>
          <w:p w14:paraId="045BA70D" w14:textId="77777777" w:rsidR="00254936" w:rsidRDefault="00254936" w:rsidP="00550927">
            <w:pPr>
              <w:rPr>
                <w:rFonts w:ascii="Times New Roman" w:hAnsi="Times New Roman" w:cs="Times New Roman"/>
                <w:sz w:val="18"/>
                <w:szCs w:val="18"/>
              </w:rPr>
            </w:pPr>
            <w:r w:rsidRPr="00051C0E">
              <w:rPr>
                <w:rFonts w:ascii="Times New Roman" w:hAnsi="Times New Roman" w:cs="Times New Roman"/>
                <w:sz w:val="18"/>
                <w:szCs w:val="18"/>
              </w:rPr>
              <w:t>Not ratified.</w:t>
            </w:r>
          </w:p>
          <w:p w14:paraId="4B2499F4" w14:textId="77777777" w:rsidR="00D21F86" w:rsidRPr="00051C0E" w:rsidRDefault="00D21F86" w:rsidP="00550927">
            <w:pPr>
              <w:rPr>
                <w:sz w:val="18"/>
                <w:szCs w:val="18"/>
              </w:rPr>
            </w:pPr>
          </w:p>
        </w:tc>
        <w:tc>
          <w:tcPr>
            <w:tcW w:w="0" w:type="auto"/>
          </w:tcPr>
          <w:p w14:paraId="563304F3" w14:textId="77777777" w:rsidR="00254936" w:rsidRPr="00051C0E" w:rsidRDefault="00254936" w:rsidP="00550927">
            <w:pPr>
              <w:rPr>
                <w:rFonts w:ascii="Times New Roman" w:hAnsi="Times New Roman" w:cs="Times New Roman"/>
                <w:sz w:val="18"/>
                <w:szCs w:val="18"/>
              </w:rPr>
            </w:pPr>
            <w:r w:rsidRPr="00051C0E">
              <w:rPr>
                <w:rFonts w:ascii="Times New Roman" w:hAnsi="Times New Roman" w:cs="Times New Roman"/>
                <w:sz w:val="18"/>
                <w:szCs w:val="18"/>
              </w:rPr>
              <w:t>Not signed</w:t>
            </w:r>
          </w:p>
          <w:p w14:paraId="7E51B9E9" w14:textId="77777777" w:rsidR="00254936" w:rsidRPr="00051C0E" w:rsidRDefault="00254936" w:rsidP="00550927">
            <w:pPr>
              <w:rPr>
                <w:sz w:val="18"/>
                <w:szCs w:val="18"/>
              </w:rPr>
            </w:pPr>
          </w:p>
        </w:tc>
        <w:tc>
          <w:tcPr>
            <w:tcW w:w="0" w:type="auto"/>
          </w:tcPr>
          <w:p w14:paraId="20562578" w14:textId="77777777" w:rsidR="00254936" w:rsidRPr="00051C0E" w:rsidRDefault="00254936" w:rsidP="00550927">
            <w:pPr>
              <w:rPr>
                <w:rFonts w:ascii="Times New Roman" w:hAnsi="Times New Roman" w:cs="Times New Roman"/>
                <w:sz w:val="18"/>
                <w:szCs w:val="18"/>
              </w:rPr>
            </w:pPr>
            <w:r w:rsidRPr="00051C0E">
              <w:rPr>
                <w:rFonts w:ascii="Times New Roman" w:hAnsi="Times New Roman" w:cs="Times New Roman"/>
                <w:sz w:val="18"/>
                <w:szCs w:val="18"/>
              </w:rPr>
              <w:t>Not signed</w:t>
            </w:r>
          </w:p>
          <w:p w14:paraId="23E82FF5" w14:textId="77777777" w:rsidR="00254936" w:rsidRPr="00051C0E" w:rsidRDefault="00254936" w:rsidP="00550927">
            <w:pPr>
              <w:rPr>
                <w:sz w:val="18"/>
                <w:szCs w:val="18"/>
              </w:rPr>
            </w:pPr>
          </w:p>
        </w:tc>
      </w:tr>
    </w:tbl>
    <w:p w14:paraId="3F9B6FEA" w14:textId="2AB4EA04" w:rsidR="00254936" w:rsidRPr="00254936" w:rsidRDefault="00254936" w:rsidP="00D21F86">
      <w:pPr>
        <w:spacing w:line="480" w:lineRule="auto"/>
        <w:jc w:val="center"/>
        <w:rPr>
          <w:rFonts w:ascii="Times New Roman" w:hAnsi="Times New Roman" w:cs="Times New Roman"/>
          <w:b/>
          <w:vertAlign w:val="baseline"/>
        </w:rPr>
        <w:sectPr w:rsidR="00254936" w:rsidRPr="00254936" w:rsidSect="00EA2769">
          <w:pgSz w:w="11900" w:h="16840"/>
          <w:pgMar w:top="1418" w:right="1418" w:bottom="1418" w:left="2155" w:header="708" w:footer="708" w:gutter="0"/>
          <w:cols w:space="708"/>
          <w:docGrid w:linePitch="360"/>
        </w:sectPr>
      </w:pPr>
      <w:r w:rsidRPr="00254936">
        <w:rPr>
          <w:rFonts w:ascii="Times New Roman" w:hAnsi="Times New Roman" w:cs="Times New Roman"/>
          <w:b/>
          <w:vertAlign w:val="baseline"/>
        </w:rPr>
        <w:t xml:space="preserve">Fig. 1 – International Human Rights </w:t>
      </w:r>
      <w:r w:rsidR="00052349">
        <w:rPr>
          <w:rFonts w:ascii="Times New Roman" w:hAnsi="Times New Roman" w:cs="Times New Roman"/>
          <w:b/>
          <w:vertAlign w:val="baseline"/>
        </w:rPr>
        <w:t>Treaties and their ratification</w:t>
      </w:r>
    </w:p>
    <w:p w14:paraId="795150F3" w14:textId="27767287" w:rsidR="00254936" w:rsidRDefault="00AE0122" w:rsidP="00DB12E2">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5.3 CONVENTION ON THE ELIMINATION OF ALL FORMS OF DISCRIMINATION AGAINST WOMEN</w:t>
      </w:r>
      <w:r w:rsidR="003D33DF">
        <w:rPr>
          <w:rFonts w:ascii="Times New Roman" w:hAnsi="Times New Roman" w:cs="Times New Roman"/>
          <w:b/>
          <w:sz w:val="24"/>
          <w:szCs w:val="24"/>
          <w:u w:val="single"/>
          <w:vertAlign w:val="baseline"/>
        </w:rPr>
        <w:t xml:space="preserve"> </w:t>
      </w:r>
      <w:r w:rsidR="001C6724" w:rsidRPr="001C6724">
        <w:rPr>
          <w:rFonts w:ascii="Times New Roman" w:hAnsi="Times New Roman" w:cs="Times New Roman"/>
          <w:b/>
          <w:sz w:val="24"/>
          <w:szCs w:val="24"/>
          <w:u w:val="single"/>
          <w:vertAlign w:val="baseline"/>
        </w:rPr>
        <w:t xml:space="preserve"> (CEDAW)</w:t>
      </w:r>
    </w:p>
    <w:p w14:paraId="17BCE693" w14:textId="77777777" w:rsidR="001C6724" w:rsidRPr="001C6724" w:rsidRDefault="001C6724" w:rsidP="000B047E">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After a decade-long campaign</w:t>
      </w:r>
      <w:r w:rsidRPr="001C6724">
        <w:rPr>
          <w:rFonts w:ascii="Times New Roman" w:hAnsi="Times New Roman" w:cs="Times New Roman"/>
          <w:sz w:val="24"/>
          <w:szCs w:val="24"/>
        </w:rPr>
        <w:footnoteReference w:id="707"/>
      </w:r>
      <w:r w:rsidRPr="001C6724">
        <w:rPr>
          <w:rFonts w:ascii="Times New Roman" w:hAnsi="Times New Roman" w:cs="Times New Roman"/>
          <w:sz w:val="24"/>
          <w:szCs w:val="24"/>
          <w:vertAlign w:val="baseline"/>
        </w:rPr>
        <w:t xml:space="preserve"> by the international women’s movement, the international community adopted the Convention on the Elimination of Discrimination Against Women (CEDAW)</w:t>
      </w:r>
      <w:r w:rsidRPr="001C6724">
        <w:rPr>
          <w:rFonts w:ascii="Times New Roman" w:hAnsi="Times New Roman" w:cs="Times New Roman"/>
          <w:sz w:val="24"/>
          <w:szCs w:val="24"/>
        </w:rPr>
        <w:footnoteReference w:id="708"/>
      </w:r>
      <w:r w:rsidRPr="001C6724">
        <w:rPr>
          <w:rFonts w:ascii="Times New Roman" w:hAnsi="Times New Roman" w:cs="Times New Roman"/>
          <w:sz w:val="24"/>
          <w:szCs w:val="24"/>
          <w:vertAlign w:val="baseline"/>
        </w:rPr>
        <w:t xml:space="preserve"> on 18 December 1979, entering into force on 3 September 1981. CEDAW is unique in terms of being the first comprehensive international document to deal specifically with the issue of women’s rights, incorporating all rights, including civil and political, economic and social, and many other third generation rights into the domain of women’s human rights.</w:t>
      </w:r>
      <w:r w:rsidRPr="001C6724">
        <w:rPr>
          <w:rFonts w:ascii="Times New Roman" w:hAnsi="Times New Roman" w:cs="Times New Roman"/>
          <w:sz w:val="24"/>
          <w:szCs w:val="24"/>
        </w:rPr>
        <w:footnoteReference w:id="709"/>
      </w:r>
      <w:r w:rsidRPr="001C6724">
        <w:rPr>
          <w:rFonts w:ascii="Times New Roman" w:hAnsi="Times New Roman" w:cs="Times New Roman"/>
          <w:sz w:val="24"/>
          <w:szCs w:val="24"/>
          <w:vertAlign w:val="baseline"/>
        </w:rPr>
        <w:t xml:space="preserve"> </w:t>
      </w:r>
    </w:p>
    <w:p w14:paraId="44E6541E"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5335DE03" w14:textId="77777777" w:rsidR="001C6724" w:rsidRDefault="001C6724" w:rsidP="000B047E">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Within its preamble, CEDAW acknowledges the failure of UDHR, ICCPR, ICESCR and the UN Charter to tackle discrimination against women, whilst the objective and rationale of CEDAW is to create legally binding international standards for the treatment of women by providing a supervisory framework based on the right to equality and all forms of non-discrimination based on gender. Thus, the aim of CEDAW is to bridge the traditional divisions between the ICCPR and ICESCR, whilst mandating both legal and development policy measures to guarantee women’s rights.</w:t>
      </w:r>
      <w:r w:rsidRPr="001C6724">
        <w:rPr>
          <w:rFonts w:ascii="Times New Roman" w:hAnsi="Times New Roman" w:cs="Times New Roman"/>
          <w:sz w:val="24"/>
          <w:szCs w:val="24"/>
        </w:rPr>
        <w:footnoteReference w:id="710"/>
      </w:r>
      <w:r w:rsidRPr="001C6724">
        <w:rPr>
          <w:rFonts w:ascii="Times New Roman" w:hAnsi="Times New Roman" w:cs="Times New Roman"/>
          <w:sz w:val="24"/>
          <w:szCs w:val="24"/>
          <w:vertAlign w:val="baseline"/>
        </w:rPr>
        <w:t xml:space="preserve"> CEDAW is divided into six parts</w:t>
      </w:r>
      <w:r w:rsidRPr="001C6724">
        <w:rPr>
          <w:rFonts w:ascii="Times New Roman" w:hAnsi="Times New Roman" w:cs="Times New Roman"/>
          <w:sz w:val="24"/>
          <w:szCs w:val="24"/>
        </w:rPr>
        <w:footnoteReference w:id="711"/>
      </w:r>
      <w:r w:rsidRPr="001C6724">
        <w:rPr>
          <w:rFonts w:ascii="Times New Roman" w:hAnsi="Times New Roman" w:cs="Times New Roman"/>
          <w:sz w:val="24"/>
          <w:szCs w:val="24"/>
          <w:vertAlign w:val="baseline"/>
        </w:rPr>
        <w:t xml:space="preserve"> consisting of thirty articles, defining discrimination against women, and establishing a schedule for national action to eradicate such discrimination.</w:t>
      </w:r>
      <w:r w:rsidRPr="001C6724">
        <w:rPr>
          <w:rFonts w:ascii="Times New Roman" w:hAnsi="Times New Roman" w:cs="Times New Roman"/>
          <w:sz w:val="24"/>
          <w:szCs w:val="24"/>
        </w:rPr>
        <w:footnoteReference w:id="712"/>
      </w:r>
      <w:r w:rsidRPr="001C6724">
        <w:rPr>
          <w:rFonts w:ascii="Times New Roman" w:hAnsi="Times New Roman" w:cs="Times New Roman"/>
          <w:sz w:val="24"/>
          <w:szCs w:val="24"/>
          <w:vertAlign w:val="baseline"/>
        </w:rPr>
        <w:t xml:space="preserve"> The definition for discrimination against women is found in article 1, focusing on discrimination against women in all spheres,</w:t>
      </w:r>
    </w:p>
    <w:p w14:paraId="33AAE33F" w14:textId="77777777" w:rsidR="000630BB" w:rsidRPr="001C6724" w:rsidRDefault="000630BB" w:rsidP="000B047E">
      <w:pPr>
        <w:spacing w:line="480" w:lineRule="auto"/>
        <w:ind w:firstLine="720"/>
        <w:jc w:val="both"/>
        <w:rPr>
          <w:rFonts w:ascii="Times New Roman" w:hAnsi="Times New Roman" w:cs="Times New Roman"/>
          <w:sz w:val="24"/>
          <w:szCs w:val="24"/>
          <w:vertAlign w:val="baseline"/>
        </w:rPr>
      </w:pPr>
    </w:p>
    <w:p w14:paraId="5492EE22" w14:textId="77777777" w:rsidR="001C6724" w:rsidRPr="001C6724" w:rsidRDefault="001C6724" w:rsidP="000630BB">
      <w:pPr>
        <w:spacing w:line="480" w:lineRule="auto"/>
        <w:ind w:left="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For the purposes of the present Convention, the term ‘discrimination against women’ shall mean any distinction, exclusion or restriction made on the basis of sex which has the effect or purpose of impairing or nullifying the recognition, enjoyment or exercise by women, irrespective of their marital status, on a basis of equality of men and women, of human rights and fundamental freedoms in the political, economic, social, cultural, civil or any other field.</w:t>
      </w:r>
      <w:r w:rsidRPr="001C6724">
        <w:rPr>
          <w:rFonts w:ascii="Times New Roman" w:hAnsi="Times New Roman" w:cs="Times New Roman"/>
          <w:sz w:val="24"/>
          <w:szCs w:val="24"/>
        </w:rPr>
        <w:footnoteReference w:id="713"/>
      </w:r>
    </w:p>
    <w:p w14:paraId="3DDCB1C4" w14:textId="77777777" w:rsidR="000630BB" w:rsidRDefault="000630BB" w:rsidP="000630BB">
      <w:pPr>
        <w:spacing w:line="480" w:lineRule="auto"/>
        <w:jc w:val="both"/>
        <w:rPr>
          <w:rFonts w:ascii="Times New Roman" w:hAnsi="Times New Roman" w:cs="Times New Roman"/>
          <w:sz w:val="24"/>
          <w:szCs w:val="24"/>
          <w:vertAlign w:val="baseline"/>
        </w:rPr>
      </w:pPr>
    </w:p>
    <w:p w14:paraId="0E8686BE" w14:textId="77777777" w:rsidR="001C6724" w:rsidRPr="001C6724" w:rsidRDefault="001C6724" w:rsidP="00DB12E2">
      <w:pPr>
        <w:spacing w:line="480" w:lineRule="auto"/>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CEDAW affirms the value of equality in article 2</w:t>
      </w:r>
      <w:r w:rsidRPr="001C6724">
        <w:rPr>
          <w:rFonts w:ascii="Times New Roman" w:hAnsi="Times New Roman" w:cs="Times New Roman"/>
          <w:sz w:val="24"/>
          <w:szCs w:val="24"/>
        </w:rPr>
        <w:footnoteReference w:id="714"/>
      </w:r>
      <w:r w:rsidRPr="001C6724">
        <w:rPr>
          <w:rFonts w:ascii="Times New Roman" w:hAnsi="Times New Roman" w:cs="Times New Roman"/>
          <w:sz w:val="24"/>
          <w:szCs w:val="24"/>
          <w:vertAlign w:val="baseline"/>
        </w:rPr>
        <w:t xml:space="preserve"> and again in article 3 by requiring State parties to,</w:t>
      </w:r>
    </w:p>
    <w:p w14:paraId="59EBDD45" w14:textId="77777777" w:rsidR="001C6724" w:rsidRPr="001C6724" w:rsidRDefault="001C6724" w:rsidP="0061747E">
      <w:pPr>
        <w:jc w:val="both"/>
        <w:rPr>
          <w:rFonts w:ascii="Times New Roman" w:hAnsi="Times New Roman" w:cs="Times New Roman"/>
          <w:sz w:val="24"/>
          <w:szCs w:val="24"/>
          <w:vertAlign w:val="baseline"/>
        </w:rPr>
      </w:pPr>
    </w:p>
    <w:p w14:paraId="48948D63" w14:textId="77777777" w:rsidR="001C6724" w:rsidRPr="001C6724" w:rsidRDefault="001C6724" w:rsidP="000630BB">
      <w:pPr>
        <w:spacing w:line="480" w:lineRule="auto"/>
        <w:ind w:left="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Take in all fields, in particular in the political, social economic and cultural fields, all appropriate measures, including legislation, to ensure the full development and advancement of women, for the purpose of guaranteeing them the exercise and enjoyment of human rights and fundamental freedoms on a basis of equality with men.</w:t>
      </w:r>
      <w:r w:rsidRPr="001C6724">
        <w:rPr>
          <w:rFonts w:ascii="Times New Roman" w:hAnsi="Times New Roman" w:cs="Times New Roman"/>
          <w:sz w:val="24"/>
          <w:szCs w:val="24"/>
        </w:rPr>
        <w:footnoteReference w:id="715"/>
      </w:r>
    </w:p>
    <w:p w14:paraId="0600E955"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6C04179A" w14:textId="415F7401" w:rsidR="001C6724" w:rsidRPr="001C6724" w:rsidRDefault="001C6724" w:rsidP="00613703">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The agenda for equality is specified in thirteen subsequent articles, thus, emphasising the importance of women’s equal participation with men, in the public sphere.</w:t>
      </w:r>
      <w:r w:rsidRPr="001C6724">
        <w:rPr>
          <w:rFonts w:ascii="Times New Roman" w:hAnsi="Times New Roman" w:cs="Times New Roman"/>
          <w:sz w:val="24"/>
          <w:szCs w:val="24"/>
        </w:rPr>
        <w:footnoteReference w:id="716"/>
      </w:r>
      <w:r w:rsidRPr="001C6724">
        <w:rPr>
          <w:rFonts w:ascii="Times New Roman" w:hAnsi="Times New Roman" w:cs="Times New Roman"/>
          <w:sz w:val="24"/>
          <w:szCs w:val="24"/>
          <w:vertAlign w:val="baseline"/>
        </w:rPr>
        <w:t xml:space="preserve"> Essentially, the rationale of CEDAW is to ‘alter the rules of the game.’</w:t>
      </w:r>
      <w:r w:rsidRPr="001C6724">
        <w:rPr>
          <w:rFonts w:ascii="Times New Roman" w:hAnsi="Times New Roman" w:cs="Times New Roman"/>
          <w:sz w:val="24"/>
          <w:szCs w:val="24"/>
        </w:rPr>
        <w:footnoteReference w:id="717"/>
      </w:r>
      <w:r w:rsidRPr="001C6724">
        <w:rPr>
          <w:rFonts w:ascii="Times New Roman" w:hAnsi="Times New Roman" w:cs="Times New Roman"/>
          <w:sz w:val="24"/>
          <w:szCs w:val="24"/>
          <w:vertAlign w:val="baseline"/>
        </w:rPr>
        <w:t xml:space="preserve"> By reforming institutional barriers, removing structural bias and emphasising the nee</w:t>
      </w:r>
      <w:r w:rsidR="000630BB">
        <w:rPr>
          <w:rFonts w:ascii="Times New Roman" w:hAnsi="Times New Roman" w:cs="Times New Roman"/>
          <w:sz w:val="24"/>
          <w:szCs w:val="24"/>
          <w:vertAlign w:val="baseline"/>
        </w:rPr>
        <w:t>d for equal opportunity, CEDAW</w:t>
      </w:r>
      <w:r w:rsidRPr="001C6724">
        <w:rPr>
          <w:rFonts w:ascii="Times New Roman" w:hAnsi="Times New Roman" w:cs="Times New Roman"/>
          <w:sz w:val="24"/>
          <w:szCs w:val="24"/>
          <w:vertAlign w:val="baseline"/>
        </w:rPr>
        <w:t xml:space="preserve"> provides increased opportunities for women within both employment and education, securing tangible gains into positions of elected office, equal pay, maternity and reproductive rights.</w:t>
      </w:r>
      <w:r w:rsidRPr="001C6724">
        <w:rPr>
          <w:rFonts w:ascii="Times New Roman" w:hAnsi="Times New Roman" w:cs="Times New Roman"/>
          <w:sz w:val="24"/>
          <w:szCs w:val="24"/>
        </w:rPr>
        <w:footnoteReference w:id="718"/>
      </w:r>
      <w:r w:rsidRPr="001C6724">
        <w:rPr>
          <w:rFonts w:ascii="Times New Roman" w:hAnsi="Times New Roman" w:cs="Times New Roman"/>
          <w:sz w:val="24"/>
          <w:szCs w:val="24"/>
          <w:vertAlign w:val="baseline"/>
        </w:rPr>
        <w:t xml:space="preserve"> In recognising that, within the public sphere, traditional gender-neutral policies actually disadvantage women, due to their failure to consider biological and socially created gender differences between men and women, CEDAW reconceptualises equality into a concept that acknowledges and responds to these differences. Thus, in the public sphere, CEDAW has brought significant advances in the challenging of the dominant conceptualisation of equality, rights and state responsibility.</w:t>
      </w:r>
      <w:r w:rsidRPr="001C6724">
        <w:rPr>
          <w:rFonts w:ascii="Times New Roman" w:hAnsi="Times New Roman" w:cs="Times New Roman"/>
          <w:sz w:val="24"/>
          <w:szCs w:val="24"/>
        </w:rPr>
        <w:footnoteReference w:id="719"/>
      </w:r>
      <w:r w:rsidRPr="001C6724">
        <w:rPr>
          <w:rFonts w:ascii="Times New Roman" w:hAnsi="Times New Roman" w:cs="Times New Roman"/>
          <w:sz w:val="24"/>
          <w:szCs w:val="24"/>
          <w:vertAlign w:val="baseline"/>
        </w:rPr>
        <w:t xml:space="preserve"> However, the same cannot be said for the private sphere. It is acknowledged that CEDAW has reconceptualised the androcentric assessment of equality, inherent within international human rights law; however, this reconceptualisation appears only to be applicable within the public sphere. Whilst there have been attempts by CEDAW to transpose international human rights into the private sphere, the traditional androcentric view of equality is reinforced by CEDAW’s reduced recognition of the private sphere, as opposed to its broad focus on public life, education and the law, with, astonishingly, no explicit mention of violence against women. The CEDAW Committee eventually rectified this, by way of ‘creative interpretation’ of existing provisio</w:t>
      </w:r>
      <w:r w:rsidR="00070DAD">
        <w:rPr>
          <w:rFonts w:ascii="Times New Roman" w:hAnsi="Times New Roman" w:cs="Times New Roman"/>
          <w:sz w:val="24"/>
          <w:szCs w:val="24"/>
          <w:vertAlign w:val="baseline"/>
        </w:rPr>
        <w:t>ns on VAW.</w:t>
      </w:r>
      <w:r w:rsidRPr="001C6724">
        <w:rPr>
          <w:rFonts w:ascii="Times New Roman" w:hAnsi="Times New Roman" w:cs="Times New Roman"/>
          <w:sz w:val="24"/>
          <w:szCs w:val="24"/>
          <w:vertAlign w:val="baseline"/>
        </w:rPr>
        <w:t xml:space="preserve"> General Recommendation 12 (1989)</w:t>
      </w:r>
      <w:r w:rsidRPr="001C6724">
        <w:rPr>
          <w:rFonts w:ascii="Times New Roman" w:hAnsi="Times New Roman" w:cs="Times New Roman"/>
          <w:sz w:val="24"/>
          <w:szCs w:val="24"/>
        </w:rPr>
        <w:footnoteReference w:id="720"/>
      </w:r>
      <w:r w:rsidRPr="001C6724">
        <w:rPr>
          <w:rFonts w:ascii="Times New Roman" w:hAnsi="Times New Roman" w:cs="Times New Roman"/>
          <w:sz w:val="24"/>
          <w:szCs w:val="24"/>
          <w:vertAlign w:val="baseline"/>
        </w:rPr>
        <w:t xml:space="preserve"> insinuated that articles 2, 5, 11, 12 and 16 did actually require States to recognise incidents of VAW, albeit despite specific mention of the termin</w:t>
      </w:r>
      <w:r w:rsidR="00070DAD">
        <w:rPr>
          <w:rFonts w:ascii="Times New Roman" w:hAnsi="Times New Roman" w:cs="Times New Roman"/>
          <w:sz w:val="24"/>
          <w:szCs w:val="24"/>
          <w:vertAlign w:val="baseline"/>
        </w:rPr>
        <w:t>ology within all these articles. M</w:t>
      </w:r>
      <w:r w:rsidRPr="001C6724">
        <w:rPr>
          <w:rFonts w:ascii="Times New Roman" w:hAnsi="Times New Roman" w:cs="Times New Roman"/>
          <w:sz w:val="24"/>
          <w:szCs w:val="24"/>
          <w:vertAlign w:val="baseline"/>
        </w:rPr>
        <w:t>ore</w:t>
      </w:r>
      <w:r w:rsidR="00070DAD">
        <w:rPr>
          <w:rFonts w:ascii="Times New Roman" w:hAnsi="Times New Roman" w:cs="Times New Roman"/>
          <w:sz w:val="24"/>
          <w:szCs w:val="24"/>
          <w:vertAlign w:val="baseline"/>
        </w:rPr>
        <w:t xml:space="preserve"> comprehensively, </w:t>
      </w:r>
      <w:r w:rsidRPr="001C6724">
        <w:rPr>
          <w:rFonts w:ascii="Times New Roman" w:hAnsi="Times New Roman" w:cs="Times New Roman"/>
          <w:sz w:val="24"/>
          <w:szCs w:val="24"/>
          <w:vertAlign w:val="baseline"/>
        </w:rPr>
        <w:t>General Recommendation 19 (1992),</w:t>
      </w:r>
      <w:r w:rsidRPr="001C6724">
        <w:rPr>
          <w:rFonts w:ascii="Times New Roman" w:hAnsi="Times New Roman" w:cs="Times New Roman"/>
          <w:sz w:val="24"/>
          <w:szCs w:val="24"/>
        </w:rPr>
        <w:footnoteReference w:id="721"/>
      </w:r>
      <w:r w:rsidRPr="001C6724">
        <w:rPr>
          <w:rFonts w:ascii="Times New Roman" w:hAnsi="Times New Roman" w:cs="Times New Roman"/>
          <w:sz w:val="24"/>
          <w:szCs w:val="24"/>
          <w:vertAlign w:val="baseline"/>
        </w:rPr>
        <w:t xml:space="preserve"> specifically stated that gender-based violence is a form of discrimination and should be included within the original definition of ‘discrimination against women’ found in article 1 of CEDAW.</w:t>
      </w:r>
    </w:p>
    <w:p w14:paraId="740A51D9"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61FC086D" w14:textId="695A5A86" w:rsidR="001C6724" w:rsidRPr="001C6724" w:rsidRDefault="001C6724" w:rsidP="008B4773">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This reduced recognition of the private sphere can also be seen within one of the most significant characteristics of CEDAW, specifically the formal recognition it gives to the influence of culture and tradition on the restriction of women’s enjoyment of their fundamental human rights.</w:t>
      </w:r>
      <w:r w:rsidRPr="001C6724">
        <w:rPr>
          <w:rFonts w:ascii="Times New Roman" w:hAnsi="Times New Roman" w:cs="Times New Roman"/>
          <w:sz w:val="24"/>
          <w:szCs w:val="24"/>
        </w:rPr>
        <w:footnoteReference w:id="722"/>
      </w:r>
      <w:r w:rsidRPr="001C6724">
        <w:rPr>
          <w:rFonts w:ascii="Times New Roman" w:hAnsi="Times New Roman" w:cs="Times New Roman"/>
          <w:sz w:val="24"/>
          <w:szCs w:val="24"/>
          <w:vertAlign w:val="baseline"/>
        </w:rPr>
        <w:t xml:space="preserve"> CEDAW articles central to this are article 2(f),</w:t>
      </w:r>
      <w:r w:rsidRPr="001C6724">
        <w:rPr>
          <w:rFonts w:ascii="Times New Roman" w:hAnsi="Times New Roman" w:cs="Times New Roman"/>
          <w:sz w:val="24"/>
          <w:szCs w:val="24"/>
        </w:rPr>
        <w:footnoteReference w:id="723"/>
      </w:r>
      <w:r w:rsidRPr="001C6724">
        <w:rPr>
          <w:rFonts w:ascii="Times New Roman" w:hAnsi="Times New Roman" w:cs="Times New Roman"/>
          <w:sz w:val="24"/>
          <w:szCs w:val="24"/>
          <w:vertAlign w:val="baseline"/>
        </w:rPr>
        <w:t xml:space="preserve"> which requires states to take all appropriate measures to modify or abolish traditional practices and customs, which constitute discrimination against women, article 5(a),</w:t>
      </w:r>
      <w:r w:rsidRPr="001C6724">
        <w:rPr>
          <w:rFonts w:ascii="Times New Roman" w:hAnsi="Times New Roman" w:cs="Times New Roman"/>
          <w:sz w:val="24"/>
          <w:szCs w:val="24"/>
        </w:rPr>
        <w:footnoteReference w:id="724"/>
      </w:r>
      <w:r w:rsidR="00E67C14">
        <w:rPr>
          <w:rFonts w:ascii="Times New Roman" w:hAnsi="Times New Roman" w:cs="Times New Roman"/>
          <w:sz w:val="24"/>
          <w:szCs w:val="24"/>
          <w:vertAlign w:val="baseline"/>
        </w:rPr>
        <w:t xml:space="preserve"> </w:t>
      </w:r>
      <w:r w:rsidRPr="001C6724">
        <w:rPr>
          <w:rFonts w:ascii="Times New Roman" w:hAnsi="Times New Roman" w:cs="Times New Roman"/>
          <w:sz w:val="24"/>
          <w:szCs w:val="24"/>
          <w:vertAlign w:val="baseline"/>
        </w:rPr>
        <w:t>which requires states to modify social stereotyping of women in order to eliminate the subordination of women and article 16,</w:t>
      </w:r>
      <w:r w:rsidRPr="001C6724">
        <w:rPr>
          <w:rFonts w:ascii="Times New Roman" w:hAnsi="Times New Roman" w:cs="Times New Roman"/>
          <w:sz w:val="24"/>
          <w:szCs w:val="24"/>
        </w:rPr>
        <w:footnoteReference w:id="725"/>
      </w:r>
      <w:r w:rsidRPr="001C6724">
        <w:rPr>
          <w:rFonts w:ascii="Times New Roman" w:hAnsi="Times New Roman" w:cs="Times New Roman"/>
          <w:sz w:val="24"/>
          <w:szCs w:val="24"/>
          <w:vertAlign w:val="baseline"/>
        </w:rPr>
        <w:t xml:space="preserve"> which requires States to eliminate discrimination against women in all matters relating to marriage and family relations. However, whilst this formal recognition is a positive step in addressing the right of women to be free from discrimination in the private sphere, the allowance of state reservations</w:t>
      </w:r>
      <w:r w:rsidR="00431BD2">
        <w:rPr>
          <w:rStyle w:val="FootnoteReference"/>
          <w:rFonts w:ascii="Times New Roman" w:hAnsi="Times New Roman" w:cs="Times New Roman"/>
          <w:sz w:val="24"/>
          <w:szCs w:val="24"/>
        </w:rPr>
        <w:footnoteReference w:id="726"/>
      </w:r>
      <w:r w:rsidRPr="001C6724">
        <w:rPr>
          <w:rFonts w:ascii="Times New Roman" w:hAnsi="Times New Roman" w:cs="Times New Roman"/>
          <w:sz w:val="24"/>
          <w:szCs w:val="24"/>
          <w:vertAlign w:val="baseline"/>
        </w:rPr>
        <w:t xml:space="preserve"> renders specific articles, such as these, limited or non-applicable to those states that have entered them. Unsurprisingly, many of these reservations by States address these three key elements of CEDAW.</w:t>
      </w:r>
      <w:r w:rsidRPr="001C6724">
        <w:rPr>
          <w:rFonts w:ascii="Times New Roman" w:hAnsi="Times New Roman" w:cs="Times New Roman"/>
          <w:sz w:val="24"/>
          <w:szCs w:val="24"/>
        </w:rPr>
        <w:footnoteReference w:id="727"/>
      </w:r>
      <w:r w:rsidRPr="001C6724">
        <w:rPr>
          <w:rFonts w:ascii="Times New Roman" w:hAnsi="Times New Roman" w:cs="Times New Roman"/>
          <w:sz w:val="24"/>
          <w:szCs w:val="24"/>
          <w:vertAlign w:val="baseline"/>
        </w:rPr>
        <w:t xml:space="preserve"> Allowance of such reservations is evidently contrary to the object and purpose of CEDAW.</w:t>
      </w:r>
      <w:r w:rsidRPr="001C6724">
        <w:rPr>
          <w:rFonts w:ascii="Times New Roman" w:hAnsi="Times New Roman" w:cs="Times New Roman"/>
          <w:sz w:val="24"/>
          <w:szCs w:val="24"/>
        </w:rPr>
        <w:footnoteReference w:id="728"/>
      </w:r>
      <w:r w:rsidRPr="001C6724">
        <w:rPr>
          <w:rFonts w:ascii="Times New Roman" w:hAnsi="Times New Roman" w:cs="Times New Roman"/>
          <w:sz w:val="24"/>
          <w:szCs w:val="24"/>
          <w:vertAlign w:val="baseline"/>
        </w:rPr>
        <w:t xml:space="preserve"> </w:t>
      </w:r>
      <w:r w:rsidR="00431BD2" w:rsidRPr="001C6724">
        <w:rPr>
          <w:rFonts w:ascii="Times New Roman" w:hAnsi="Times New Roman" w:cs="Times New Roman"/>
          <w:sz w:val="24"/>
          <w:szCs w:val="24"/>
          <w:vertAlign w:val="baseline"/>
        </w:rPr>
        <w:t>Ironically, it was the reservation process, which made the ratification of CEDAW, by the majority of states, possible. Yet, as Bayefsky explains, ‘the conditional ratification, by states to CEDAW, reflects the marginalisation of women’s rights within both CEDAW itself and with respect to the implementation of international human rights law.’</w:t>
      </w:r>
      <w:r w:rsidR="00431BD2" w:rsidRPr="001C6724">
        <w:rPr>
          <w:rFonts w:ascii="Times New Roman" w:hAnsi="Times New Roman" w:cs="Times New Roman"/>
          <w:sz w:val="24"/>
          <w:szCs w:val="24"/>
        </w:rPr>
        <w:footnoteReference w:id="729"/>
      </w:r>
      <w:r w:rsidR="00431BD2" w:rsidRPr="001C6724">
        <w:rPr>
          <w:rFonts w:ascii="Times New Roman" w:hAnsi="Times New Roman" w:cs="Times New Roman"/>
          <w:sz w:val="24"/>
          <w:szCs w:val="24"/>
          <w:vertAlign w:val="baseline"/>
        </w:rPr>
        <w:t xml:space="preserve"> </w:t>
      </w:r>
      <w:r w:rsidRPr="001C6724">
        <w:rPr>
          <w:rFonts w:ascii="Times New Roman" w:hAnsi="Times New Roman" w:cs="Times New Roman"/>
          <w:sz w:val="24"/>
          <w:szCs w:val="24"/>
          <w:vertAlign w:val="baseline"/>
        </w:rPr>
        <w:t>Human rights guarantees, in both national and international law, are of little practical worth unless they are effectively implemented by states.</w:t>
      </w:r>
      <w:r w:rsidRPr="001C6724">
        <w:rPr>
          <w:rFonts w:ascii="Times New Roman" w:hAnsi="Times New Roman" w:cs="Times New Roman"/>
          <w:sz w:val="24"/>
          <w:szCs w:val="24"/>
        </w:rPr>
        <w:footnoteReference w:id="730"/>
      </w:r>
      <w:r w:rsidRPr="001C6724">
        <w:rPr>
          <w:rFonts w:ascii="Times New Roman" w:hAnsi="Times New Roman" w:cs="Times New Roman"/>
          <w:sz w:val="24"/>
          <w:szCs w:val="24"/>
          <w:vertAlign w:val="baseline"/>
        </w:rPr>
        <w:t xml:space="preserve"> </w:t>
      </w:r>
      <w:r w:rsidR="00A22AE5">
        <w:rPr>
          <w:rFonts w:ascii="Times New Roman" w:hAnsi="Times New Roman" w:cs="Times New Roman"/>
          <w:sz w:val="24"/>
          <w:szCs w:val="24"/>
          <w:vertAlign w:val="baseline"/>
        </w:rPr>
        <w:t>W</w:t>
      </w:r>
      <w:r w:rsidR="00806BE4">
        <w:rPr>
          <w:rFonts w:ascii="Times New Roman" w:hAnsi="Times New Roman" w:cs="Times New Roman"/>
          <w:sz w:val="24"/>
          <w:szCs w:val="24"/>
          <w:vertAlign w:val="baseline"/>
        </w:rPr>
        <w:t>hilst reservations to CEDAW have received criticism from feminists,</w:t>
      </w:r>
      <w:r w:rsidR="00806BE4">
        <w:rPr>
          <w:rStyle w:val="FootnoteReference"/>
          <w:rFonts w:ascii="Times New Roman" w:hAnsi="Times New Roman" w:cs="Times New Roman"/>
          <w:sz w:val="24"/>
          <w:szCs w:val="24"/>
        </w:rPr>
        <w:footnoteReference w:id="731"/>
      </w:r>
      <w:r w:rsidR="00A22AE5">
        <w:rPr>
          <w:rFonts w:ascii="Times New Roman" w:hAnsi="Times New Roman" w:cs="Times New Roman"/>
          <w:sz w:val="24"/>
          <w:szCs w:val="24"/>
          <w:vertAlign w:val="baseline"/>
        </w:rPr>
        <w:t xml:space="preserve"> </w:t>
      </w:r>
      <w:r w:rsidR="00806BE4">
        <w:rPr>
          <w:rFonts w:ascii="Times New Roman" w:hAnsi="Times New Roman" w:cs="Times New Roman"/>
          <w:sz w:val="24"/>
          <w:szCs w:val="24"/>
          <w:vertAlign w:val="baseline"/>
        </w:rPr>
        <w:t xml:space="preserve">this thesis will not </w:t>
      </w:r>
      <w:r w:rsidR="00B50592">
        <w:rPr>
          <w:rFonts w:ascii="Times New Roman" w:hAnsi="Times New Roman" w:cs="Times New Roman"/>
          <w:sz w:val="24"/>
          <w:szCs w:val="24"/>
          <w:vertAlign w:val="baseline"/>
        </w:rPr>
        <w:t>deal with the</w:t>
      </w:r>
      <w:r w:rsidR="00806BE4">
        <w:rPr>
          <w:rFonts w:ascii="Times New Roman" w:hAnsi="Times New Roman" w:cs="Times New Roman"/>
          <w:sz w:val="24"/>
          <w:szCs w:val="24"/>
          <w:vertAlign w:val="baseline"/>
        </w:rPr>
        <w:t xml:space="preserve"> issue in </w:t>
      </w:r>
      <w:r w:rsidR="0044325A">
        <w:rPr>
          <w:rFonts w:ascii="Times New Roman" w:hAnsi="Times New Roman" w:cs="Times New Roman"/>
          <w:sz w:val="24"/>
          <w:szCs w:val="24"/>
          <w:vertAlign w:val="baseline"/>
        </w:rPr>
        <w:t xml:space="preserve">detail, </w:t>
      </w:r>
      <w:r w:rsidR="00A22AE5">
        <w:rPr>
          <w:rFonts w:ascii="Times New Roman" w:hAnsi="Times New Roman" w:cs="Times New Roman"/>
          <w:sz w:val="24"/>
          <w:szCs w:val="24"/>
          <w:vertAlign w:val="baseline"/>
        </w:rPr>
        <w:t>as out of the four case studies discussed in this thesis, only India has entered reservations and declarations against CEDAW.</w:t>
      </w:r>
      <w:r w:rsidR="00A22AE5">
        <w:rPr>
          <w:rStyle w:val="FootnoteReference"/>
          <w:rFonts w:ascii="Times New Roman" w:hAnsi="Times New Roman" w:cs="Times New Roman"/>
          <w:sz w:val="24"/>
          <w:szCs w:val="24"/>
        </w:rPr>
        <w:footnoteReference w:id="732"/>
      </w:r>
      <w:r w:rsidR="00A22AE5">
        <w:rPr>
          <w:rFonts w:ascii="Times New Roman" w:hAnsi="Times New Roman" w:cs="Times New Roman"/>
          <w:sz w:val="24"/>
          <w:szCs w:val="24"/>
          <w:vertAlign w:val="baseline"/>
        </w:rPr>
        <w:t xml:space="preserve"> This is clearly a positive aspect; it shows commitment from these states to fully implement all the provisions of CEDAW, to tackle discrimination against women and, in terms of WAP, provides for the modification or of harmful traditional and cultural practices.</w:t>
      </w:r>
      <w:r w:rsidR="00A22AE5">
        <w:rPr>
          <w:rStyle w:val="FootnoteReference"/>
          <w:rFonts w:ascii="Times New Roman" w:hAnsi="Times New Roman" w:cs="Times New Roman"/>
          <w:sz w:val="24"/>
          <w:szCs w:val="24"/>
        </w:rPr>
        <w:footnoteReference w:id="733"/>
      </w:r>
      <w:r w:rsidR="00A22AE5">
        <w:rPr>
          <w:rFonts w:ascii="Times New Roman" w:hAnsi="Times New Roman" w:cs="Times New Roman"/>
          <w:sz w:val="24"/>
          <w:szCs w:val="24"/>
          <w:vertAlign w:val="baseline"/>
        </w:rPr>
        <w:t xml:space="preserve"> </w:t>
      </w:r>
    </w:p>
    <w:p w14:paraId="0DC06B1D" w14:textId="77777777" w:rsidR="001C6724" w:rsidRDefault="001C6724" w:rsidP="004273E2">
      <w:pPr>
        <w:spacing w:line="480" w:lineRule="auto"/>
        <w:ind w:firstLine="720"/>
        <w:jc w:val="both"/>
        <w:rPr>
          <w:rFonts w:ascii="Times New Roman" w:hAnsi="Times New Roman" w:cs="Times New Roman"/>
          <w:sz w:val="24"/>
          <w:szCs w:val="24"/>
          <w:vertAlign w:val="baseline"/>
        </w:rPr>
      </w:pPr>
    </w:p>
    <w:p w14:paraId="54A3836C" w14:textId="77777777" w:rsidR="008B4773" w:rsidRDefault="008B4773" w:rsidP="004273E2">
      <w:pPr>
        <w:spacing w:line="480" w:lineRule="auto"/>
        <w:ind w:firstLine="720"/>
        <w:jc w:val="both"/>
        <w:rPr>
          <w:rFonts w:ascii="Times New Roman" w:hAnsi="Times New Roman" w:cs="Times New Roman"/>
          <w:sz w:val="24"/>
          <w:szCs w:val="24"/>
          <w:vertAlign w:val="baseline"/>
        </w:rPr>
      </w:pPr>
    </w:p>
    <w:p w14:paraId="1FF5B4AE" w14:textId="77777777" w:rsidR="008B4773" w:rsidRPr="001C6724" w:rsidRDefault="008B4773" w:rsidP="004273E2">
      <w:pPr>
        <w:spacing w:line="480" w:lineRule="auto"/>
        <w:ind w:firstLine="720"/>
        <w:jc w:val="both"/>
        <w:rPr>
          <w:rFonts w:ascii="Times New Roman" w:hAnsi="Times New Roman" w:cs="Times New Roman"/>
          <w:sz w:val="24"/>
          <w:szCs w:val="24"/>
          <w:vertAlign w:val="baseline"/>
        </w:rPr>
      </w:pPr>
    </w:p>
    <w:p w14:paraId="47474DDC" w14:textId="0B686AE0" w:rsidR="001C6724" w:rsidRPr="006E5454" w:rsidRDefault="00A7238A" w:rsidP="001C6724">
      <w:pPr>
        <w:spacing w:line="480" w:lineRule="auto"/>
        <w:jc w:val="both"/>
        <w:rPr>
          <w:rFonts w:ascii="Times New Roman" w:hAnsi="Times New Roman" w:cs="Times New Roman"/>
          <w:b/>
          <w:i/>
          <w:sz w:val="24"/>
          <w:szCs w:val="24"/>
          <w:vertAlign w:val="baseline"/>
        </w:rPr>
      </w:pPr>
      <w:r w:rsidRPr="00A7238A">
        <w:rPr>
          <w:rFonts w:ascii="Times New Roman" w:hAnsi="Times New Roman" w:cs="Times New Roman"/>
          <w:b/>
          <w:i/>
          <w:sz w:val="24"/>
          <w:szCs w:val="24"/>
          <w:vertAlign w:val="baseline"/>
        </w:rPr>
        <w:t>5</w:t>
      </w:r>
      <w:r w:rsidR="001C2B7D" w:rsidRPr="00A7238A">
        <w:rPr>
          <w:rFonts w:ascii="Times New Roman" w:hAnsi="Times New Roman" w:cs="Times New Roman"/>
          <w:b/>
          <w:i/>
          <w:sz w:val="24"/>
          <w:szCs w:val="24"/>
          <w:vertAlign w:val="baseline"/>
        </w:rPr>
        <w:t>.3.</w:t>
      </w:r>
      <w:r w:rsidR="00B50592">
        <w:rPr>
          <w:rFonts w:ascii="Times New Roman" w:hAnsi="Times New Roman" w:cs="Times New Roman"/>
          <w:b/>
          <w:i/>
          <w:sz w:val="24"/>
          <w:szCs w:val="24"/>
          <w:vertAlign w:val="baseline"/>
        </w:rPr>
        <w:t>1</w:t>
      </w:r>
      <w:r w:rsidR="002A6EAB" w:rsidRPr="00A7238A">
        <w:rPr>
          <w:rFonts w:ascii="Times New Roman" w:hAnsi="Times New Roman" w:cs="Times New Roman"/>
          <w:b/>
          <w:i/>
          <w:sz w:val="24"/>
          <w:szCs w:val="24"/>
          <w:vertAlign w:val="baseline"/>
        </w:rPr>
        <w:t xml:space="preserve"> </w:t>
      </w:r>
      <w:r w:rsidR="001C6724" w:rsidRPr="00A7238A">
        <w:rPr>
          <w:rFonts w:ascii="Times New Roman" w:hAnsi="Times New Roman" w:cs="Times New Roman"/>
          <w:b/>
          <w:i/>
          <w:sz w:val="24"/>
          <w:szCs w:val="24"/>
          <w:vertAlign w:val="baseline"/>
        </w:rPr>
        <w:t>Optional Protocol to CEDAW</w:t>
      </w:r>
    </w:p>
    <w:p w14:paraId="1582BFC0" w14:textId="2109922C" w:rsidR="001C6724" w:rsidRDefault="001C6724" w:rsidP="00540033">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One of the major flaws with CEDAW lay in its enforcement procedures, specifically the right to individual petition.</w:t>
      </w:r>
      <w:r w:rsidRPr="001C6724">
        <w:rPr>
          <w:rFonts w:ascii="Times New Roman" w:hAnsi="Times New Roman" w:cs="Times New Roman"/>
          <w:sz w:val="24"/>
          <w:szCs w:val="24"/>
        </w:rPr>
        <w:footnoteReference w:id="734"/>
      </w:r>
      <w:r w:rsidRPr="001C6724">
        <w:rPr>
          <w:rFonts w:ascii="Times New Roman" w:hAnsi="Times New Roman" w:cs="Times New Roman"/>
          <w:sz w:val="24"/>
          <w:szCs w:val="24"/>
          <w:vertAlign w:val="baseline"/>
        </w:rPr>
        <w:t xml:space="preserve"> On the drafting of CEDAW, limited attention was given to the possibility to individual complaints, with some states considering the subject matter </w:t>
      </w:r>
      <w:r w:rsidR="00B22B58">
        <w:rPr>
          <w:rFonts w:ascii="Times New Roman" w:hAnsi="Times New Roman" w:cs="Times New Roman"/>
          <w:sz w:val="24"/>
          <w:szCs w:val="24"/>
          <w:vertAlign w:val="baseline"/>
        </w:rPr>
        <w:t>not to be</w:t>
      </w:r>
      <w:r w:rsidRPr="001C6724">
        <w:rPr>
          <w:rFonts w:ascii="Times New Roman" w:hAnsi="Times New Roman" w:cs="Times New Roman"/>
          <w:sz w:val="24"/>
          <w:szCs w:val="24"/>
          <w:vertAlign w:val="baseline"/>
        </w:rPr>
        <w:t xml:space="preserve"> important enough to warrant a right to individual petition,</w:t>
      </w:r>
      <w:r w:rsidRPr="001C6724">
        <w:rPr>
          <w:rFonts w:ascii="Times New Roman" w:hAnsi="Times New Roman" w:cs="Times New Roman"/>
          <w:sz w:val="24"/>
          <w:szCs w:val="24"/>
        </w:rPr>
        <w:footnoteReference w:id="735"/>
      </w:r>
      <w:r w:rsidRPr="001C6724">
        <w:rPr>
          <w:rFonts w:ascii="Times New Roman" w:hAnsi="Times New Roman" w:cs="Times New Roman"/>
          <w:sz w:val="24"/>
          <w:szCs w:val="24"/>
          <w:vertAlign w:val="baseline"/>
        </w:rPr>
        <w:t xml:space="preserve"> whilst others shared concerns regarding proliferation. This led to criticism of the UN, by feminist theorists,</w:t>
      </w:r>
      <w:r w:rsidRPr="001C6724">
        <w:rPr>
          <w:rFonts w:ascii="Times New Roman" w:hAnsi="Times New Roman" w:cs="Times New Roman"/>
          <w:sz w:val="24"/>
          <w:szCs w:val="24"/>
        </w:rPr>
        <w:footnoteReference w:id="736"/>
      </w:r>
      <w:r w:rsidRPr="001C6724">
        <w:rPr>
          <w:rFonts w:ascii="Times New Roman" w:hAnsi="Times New Roman" w:cs="Times New Roman"/>
          <w:sz w:val="24"/>
          <w:szCs w:val="24"/>
          <w:vertAlign w:val="baseline"/>
        </w:rPr>
        <w:t xml:space="preserve"> for the marginalisation of women-specific structures, such as the CEDAW Committee, contending they were under-resourced, with weaker implementation obligations and procedures.</w:t>
      </w:r>
      <w:r w:rsidRPr="001C6724">
        <w:rPr>
          <w:rFonts w:ascii="Times New Roman" w:hAnsi="Times New Roman" w:cs="Times New Roman"/>
          <w:sz w:val="24"/>
          <w:szCs w:val="24"/>
        </w:rPr>
        <w:footnoteReference w:id="737"/>
      </w:r>
      <w:r w:rsidRPr="001C6724">
        <w:rPr>
          <w:rFonts w:ascii="Times New Roman" w:hAnsi="Times New Roman" w:cs="Times New Roman"/>
          <w:sz w:val="24"/>
          <w:szCs w:val="24"/>
          <w:vertAlign w:val="baseline"/>
        </w:rPr>
        <w:t xml:space="preserve"> Thus, as Edwards observes, </w:t>
      </w:r>
    </w:p>
    <w:p w14:paraId="30214703" w14:textId="77777777" w:rsidR="008B4773" w:rsidRPr="001C6724" w:rsidRDefault="008B4773" w:rsidP="00540033">
      <w:pPr>
        <w:spacing w:line="480" w:lineRule="auto"/>
        <w:ind w:firstLine="720"/>
        <w:jc w:val="both"/>
        <w:rPr>
          <w:rFonts w:ascii="Times New Roman" w:hAnsi="Times New Roman" w:cs="Times New Roman"/>
          <w:sz w:val="24"/>
          <w:szCs w:val="24"/>
          <w:vertAlign w:val="baseline"/>
        </w:rPr>
      </w:pPr>
    </w:p>
    <w:p w14:paraId="0D45E90E" w14:textId="77777777" w:rsidR="001C6724" w:rsidRPr="001C6724" w:rsidRDefault="001C6724" w:rsidP="00F73481">
      <w:pPr>
        <w:spacing w:line="480" w:lineRule="auto"/>
        <w:ind w:left="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Since this view was asserted … the Optional Protocol to CEDAW has come into force allowing women to bring individual complaints to the Women’s Committee as well as giving the power to the Committee to carry out fact-finding missions, albeit with the consent of the state party concerned.</w:t>
      </w:r>
      <w:r w:rsidRPr="001C6724">
        <w:rPr>
          <w:rFonts w:ascii="Times New Roman" w:hAnsi="Times New Roman" w:cs="Times New Roman"/>
          <w:sz w:val="24"/>
          <w:szCs w:val="24"/>
        </w:rPr>
        <w:footnoteReference w:id="738"/>
      </w:r>
    </w:p>
    <w:p w14:paraId="4E0A7B9A" w14:textId="77777777" w:rsidR="001C6724" w:rsidRPr="001C6724" w:rsidRDefault="001C6724" w:rsidP="001C6724">
      <w:pPr>
        <w:spacing w:line="480" w:lineRule="auto"/>
        <w:jc w:val="both"/>
        <w:rPr>
          <w:rFonts w:ascii="Times New Roman" w:hAnsi="Times New Roman" w:cs="Times New Roman"/>
          <w:b/>
          <w:sz w:val="24"/>
          <w:szCs w:val="24"/>
          <w:u w:val="single"/>
          <w:vertAlign w:val="baseline"/>
        </w:rPr>
      </w:pPr>
    </w:p>
    <w:p w14:paraId="07AE02BA" w14:textId="5451F1ED" w:rsidR="008B4773" w:rsidRPr="001C6724" w:rsidRDefault="001C6724" w:rsidP="00867680">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The UN General Assembly adopted the Optional Protocol in 1999, containing both an individual complaints and an inquiry procedure.</w:t>
      </w:r>
      <w:r w:rsidRPr="001C6724">
        <w:rPr>
          <w:rFonts w:ascii="Times New Roman" w:hAnsi="Times New Roman" w:cs="Times New Roman"/>
          <w:sz w:val="24"/>
          <w:szCs w:val="24"/>
        </w:rPr>
        <w:footnoteReference w:id="739"/>
      </w:r>
      <w:r w:rsidRPr="001C6724">
        <w:rPr>
          <w:rFonts w:ascii="Times New Roman" w:hAnsi="Times New Roman" w:cs="Times New Roman"/>
          <w:sz w:val="24"/>
          <w:szCs w:val="24"/>
          <w:vertAlign w:val="baseline"/>
        </w:rPr>
        <w:t xml:space="preserve"> The Optional Protocol recognised the competence of the CEDAW Committee, under article 2,</w:t>
      </w:r>
      <w:r w:rsidRPr="001C6724">
        <w:rPr>
          <w:rFonts w:ascii="Times New Roman" w:hAnsi="Times New Roman" w:cs="Times New Roman"/>
          <w:sz w:val="24"/>
          <w:szCs w:val="24"/>
        </w:rPr>
        <w:footnoteReference w:id="740"/>
      </w:r>
      <w:r w:rsidRPr="001C6724">
        <w:rPr>
          <w:rFonts w:ascii="Times New Roman" w:hAnsi="Times New Roman" w:cs="Times New Roman"/>
          <w:sz w:val="24"/>
          <w:szCs w:val="24"/>
          <w:vertAlign w:val="baseline"/>
        </w:rPr>
        <w:t xml:space="preserve"> to receive and consider petitions from individuals or groups of individuals. In terms of VAW, this is significant, as it allows groups to lodge an application on behalf of an individual, challenging domestic practices, which often sanction such violence, at an international level without exposing the individual to associated risks with litigation.</w:t>
      </w:r>
      <w:r w:rsidRPr="001C6724">
        <w:rPr>
          <w:rFonts w:ascii="Times New Roman" w:hAnsi="Times New Roman" w:cs="Times New Roman"/>
          <w:sz w:val="24"/>
          <w:szCs w:val="24"/>
        </w:rPr>
        <w:footnoteReference w:id="741"/>
      </w:r>
      <w:r w:rsidRPr="001C6724">
        <w:rPr>
          <w:rFonts w:ascii="Times New Roman" w:hAnsi="Times New Roman" w:cs="Times New Roman"/>
          <w:sz w:val="24"/>
          <w:szCs w:val="24"/>
          <w:vertAlign w:val="baseline"/>
        </w:rPr>
        <w:t xml:space="preserve"> However, the Optional Protocol to CEDAW has not yet proved particularly successful in advancing the rights of women, with an under utilised right of communication and limited use by NGOs.</w:t>
      </w:r>
      <w:r w:rsidRPr="001C6724">
        <w:rPr>
          <w:rFonts w:ascii="Times New Roman" w:hAnsi="Times New Roman" w:cs="Times New Roman"/>
          <w:sz w:val="24"/>
          <w:szCs w:val="24"/>
        </w:rPr>
        <w:footnoteReference w:id="742"/>
      </w:r>
      <w:r w:rsidRPr="001C6724">
        <w:rPr>
          <w:rFonts w:ascii="Times New Roman" w:hAnsi="Times New Roman" w:cs="Times New Roman"/>
          <w:sz w:val="24"/>
          <w:szCs w:val="24"/>
          <w:vertAlign w:val="baseline"/>
        </w:rPr>
        <w:t xml:space="preserve"> Although no reservations are permitted under the Optional Protocol, under article 17, the rights petitioned for under the individual communications procedure must pertain to those rights contained in CEDAW, as the parent treaty, thus, the reservations to CEDAW will still have effect.</w:t>
      </w:r>
      <w:r w:rsidRPr="001C6724">
        <w:rPr>
          <w:rFonts w:ascii="Times New Roman" w:hAnsi="Times New Roman" w:cs="Times New Roman"/>
          <w:sz w:val="24"/>
          <w:szCs w:val="24"/>
        </w:rPr>
        <w:footnoteReference w:id="743"/>
      </w:r>
      <w:r w:rsidRPr="001C6724">
        <w:rPr>
          <w:rFonts w:ascii="Times New Roman" w:hAnsi="Times New Roman" w:cs="Times New Roman"/>
          <w:sz w:val="24"/>
          <w:szCs w:val="24"/>
          <w:vertAlign w:val="baseline"/>
        </w:rPr>
        <w:t xml:space="preserve"> Moreover, article 10</w:t>
      </w:r>
      <w:r w:rsidRPr="001C6724">
        <w:rPr>
          <w:rFonts w:ascii="Times New Roman" w:hAnsi="Times New Roman" w:cs="Times New Roman"/>
          <w:sz w:val="24"/>
          <w:szCs w:val="24"/>
        </w:rPr>
        <w:footnoteReference w:id="744"/>
      </w:r>
      <w:r w:rsidRPr="001C6724">
        <w:rPr>
          <w:rFonts w:ascii="Times New Roman" w:hAnsi="Times New Roman" w:cs="Times New Roman"/>
          <w:sz w:val="24"/>
          <w:szCs w:val="24"/>
          <w:vertAlign w:val="baseline"/>
        </w:rPr>
        <w:t xml:space="preserve"> provides states with an opt-out clause, preventing the Committee from conducting inquiries where it has received reliable information of grave or systematic violations by a State Party of rights established in CEDAW. Whilst Ghana</w:t>
      </w:r>
      <w:r w:rsidRPr="001C6724">
        <w:rPr>
          <w:rFonts w:ascii="Times New Roman" w:hAnsi="Times New Roman" w:cs="Times New Roman"/>
          <w:sz w:val="24"/>
          <w:szCs w:val="24"/>
        </w:rPr>
        <w:footnoteReference w:id="745"/>
      </w:r>
      <w:r w:rsidRPr="001C6724">
        <w:rPr>
          <w:rFonts w:ascii="Times New Roman" w:hAnsi="Times New Roman" w:cs="Times New Roman"/>
          <w:sz w:val="24"/>
          <w:szCs w:val="24"/>
          <w:vertAlign w:val="baseline"/>
        </w:rPr>
        <w:t xml:space="preserve"> and Nepal</w:t>
      </w:r>
      <w:r w:rsidRPr="001C6724">
        <w:rPr>
          <w:rFonts w:ascii="Times New Roman" w:hAnsi="Times New Roman" w:cs="Times New Roman"/>
          <w:sz w:val="24"/>
          <w:szCs w:val="24"/>
        </w:rPr>
        <w:footnoteReference w:id="746"/>
      </w:r>
      <w:r w:rsidRPr="001C6724">
        <w:rPr>
          <w:rFonts w:ascii="Times New Roman" w:hAnsi="Times New Roman" w:cs="Times New Roman"/>
          <w:sz w:val="24"/>
          <w:szCs w:val="24"/>
          <w:vertAlign w:val="baseline"/>
        </w:rPr>
        <w:t xml:space="preserve"> have both ratified the Optional Protocol to C</w:t>
      </w:r>
      <w:r w:rsidR="00D23276">
        <w:rPr>
          <w:rFonts w:ascii="Times New Roman" w:hAnsi="Times New Roman" w:cs="Times New Roman"/>
          <w:sz w:val="24"/>
          <w:szCs w:val="24"/>
          <w:vertAlign w:val="baseline"/>
        </w:rPr>
        <w:t>EDAW, India and PNG</w:t>
      </w:r>
      <w:r w:rsidRPr="001C6724">
        <w:rPr>
          <w:rFonts w:ascii="Times New Roman" w:hAnsi="Times New Roman" w:cs="Times New Roman"/>
          <w:sz w:val="24"/>
          <w:szCs w:val="24"/>
          <w:vertAlign w:val="baseline"/>
        </w:rPr>
        <w:t>, to date, have failed to do so.</w:t>
      </w:r>
      <w:r w:rsidR="00956863">
        <w:rPr>
          <w:rFonts w:ascii="Times New Roman" w:hAnsi="Times New Roman" w:cs="Times New Roman"/>
          <w:sz w:val="24"/>
          <w:szCs w:val="24"/>
          <w:vertAlign w:val="baseline"/>
        </w:rPr>
        <w:t xml:space="preserve"> </w:t>
      </w:r>
      <w:r w:rsidR="00D23276">
        <w:rPr>
          <w:rFonts w:ascii="Times New Roman" w:hAnsi="Times New Roman" w:cs="Times New Roman"/>
          <w:sz w:val="24"/>
          <w:szCs w:val="24"/>
          <w:vertAlign w:val="baseline"/>
        </w:rPr>
        <w:t>It is</w:t>
      </w:r>
      <w:r w:rsidR="00AB66FB">
        <w:rPr>
          <w:rFonts w:ascii="Times New Roman" w:hAnsi="Times New Roman" w:cs="Times New Roman"/>
          <w:sz w:val="24"/>
          <w:szCs w:val="24"/>
          <w:vertAlign w:val="baseline"/>
        </w:rPr>
        <w:t>, therefore,</w:t>
      </w:r>
      <w:r w:rsidR="00D23276">
        <w:rPr>
          <w:rFonts w:ascii="Times New Roman" w:hAnsi="Times New Roman" w:cs="Times New Roman"/>
          <w:sz w:val="24"/>
          <w:szCs w:val="24"/>
          <w:vertAlign w:val="baseline"/>
        </w:rPr>
        <w:t xml:space="preserve"> recommended that both India and PNG should ratify the Optional Protocol, in order for it to be more effective</w:t>
      </w:r>
      <w:r w:rsidR="001B68F7">
        <w:rPr>
          <w:rFonts w:ascii="Times New Roman" w:hAnsi="Times New Roman" w:cs="Times New Roman"/>
          <w:sz w:val="24"/>
          <w:szCs w:val="24"/>
          <w:vertAlign w:val="baseline"/>
        </w:rPr>
        <w:t>, despite India’s reservations to CEDAW,</w:t>
      </w:r>
      <w:r w:rsidR="001B68F7">
        <w:rPr>
          <w:rStyle w:val="FootnoteReference"/>
          <w:rFonts w:ascii="Times New Roman" w:hAnsi="Times New Roman" w:cs="Times New Roman"/>
          <w:sz w:val="24"/>
          <w:szCs w:val="24"/>
        </w:rPr>
        <w:footnoteReference w:id="747"/>
      </w:r>
      <w:r w:rsidR="00D23276">
        <w:rPr>
          <w:rFonts w:ascii="Times New Roman" w:hAnsi="Times New Roman" w:cs="Times New Roman"/>
          <w:sz w:val="24"/>
          <w:szCs w:val="24"/>
          <w:vertAlign w:val="baseline"/>
        </w:rPr>
        <w:t xml:space="preserve"> and to provide women with the right to individual petition. </w:t>
      </w:r>
    </w:p>
    <w:p w14:paraId="323AB084" w14:textId="099967EA" w:rsidR="001C6724" w:rsidRPr="00440D18" w:rsidRDefault="00440D18" w:rsidP="0077637E">
      <w:pPr>
        <w:spacing w:line="480" w:lineRule="auto"/>
        <w:jc w:val="both"/>
        <w:rPr>
          <w:rFonts w:ascii="Times New Roman" w:hAnsi="Times New Roman" w:cs="Times New Roman"/>
          <w:b/>
          <w:i/>
          <w:sz w:val="24"/>
          <w:szCs w:val="24"/>
          <w:vertAlign w:val="baseline"/>
        </w:rPr>
      </w:pPr>
      <w:r w:rsidRPr="00440D18">
        <w:rPr>
          <w:rFonts w:ascii="Times New Roman" w:hAnsi="Times New Roman" w:cs="Times New Roman"/>
          <w:b/>
          <w:i/>
          <w:sz w:val="24"/>
          <w:szCs w:val="24"/>
          <w:vertAlign w:val="baseline"/>
        </w:rPr>
        <w:t>5</w:t>
      </w:r>
      <w:r w:rsidR="0077637E" w:rsidRPr="00440D18">
        <w:rPr>
          <w:rFonts w:ascii="Times New Roman" w:hAnsi="Times New Roman" w:cs="Times New Roman"/>
          <w:b/>
          <w:i/>
          <w:sz w:val="24"/>
          <w:szCs w:val="24"/>
          <w:vertAlign w:val="baseline"/>
        </w:rPr>
        <w:t>.3.</w:t>
      </w:r>
      <w:r w:rsidR="002C4A6E">
        <w:rPr>
          <w:rFonts w:ascii="Times New Roman" w:hAnsi="Times New Roman" w:cs="Times New Roman"/>
          <w:b/>
          <w:i/>
          <w:sz w:val="24"/>
          <w:szCs w:val="24"/>
          <w:vertAlign w:val="baseline"/>
        </w:rPr>
        <w:t>2</w:t>
      </w:r>
      <w:r w:rsidR="0077637E" w:rsidRPr="00440D18">
        <w:rPr>
          <w:rFonts w:ascii="Times New Roman" w:hAnsi="Times New Roman" w:cs="Times New Roman"/>
          <w:b/>
          <w:i/>
          <w:sz w:val="24"/>
          <w:szCs w:val="24"/>
          <w:vertAlign w:val="baseline"/>
        </w:rPr>
        <w:t xml:space="preserve"> </w:t>
      </w:r>
      <w:r w:rsidR="001C6724" w:rsidRPr="00440D18">
        <w:rPr>
          <w:rFonts w:ascii="Times New Roman" w:hAnsi="Times New Roman" w:cs="Times New Roman"/>
          <w:b/>
          <w:i/>
          <w:sz w:val="24"/>
          <w:szCs w:val="24"/>
          <w:vertAlign w:val="baseline"/>
        </w:rPr>
        <w:t>CEDAW Committee</w:t>
      </w:r>
    </w:p>
    <w:p w14:paraId="4628F241" w14:textId="2DACA2DA" w:rsidR="00077BD4" w:rsidRDefault="001C6724" w:rsidP="00077BD4">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The CEDAW Committee, established in 1982, comprises of 23 experts on women’s issues from around the world. The mandate of the CEDAW Committee is specific, observing the progress made for women within those states that are party to CEDAW, whilst monitoring the implementation of national measures, to fulfil states’ legal obligations under the Convention.</w:t>
      </w:r>
      <w:r w:rsidRPr="001C6724">
        <w:rPr>
          <w:rFonts w:ascii="Times New Roman" w:hAnsi="Times New Roman" w:cs="Times New Roman"/>
          <w:sz w:val="24"/>
          <w:szCs w:val="24"/>
        </w:rPr>
        <w:footnoteReference w:id="748"/>
      </w:r>
      <w:r w:rsidRPr="001C6724">
        <w:rPr>
          <w:rFonts w:ascii="Times New Roman" w:hAnsi="Times New Roman" w:cs="Times New Roman"/>
          <w:sz w:val="24"/>
          <w:szCs w:val="24"/>
          <w:vertAlign w:val="baseline"/>
        </w:rPr>
        <w:t xml:space="preserve"> However, this is not without issues. Initially, the Committee was only authorised an annual meeting period of two weeks, significantly less time that and other human rights bodies.</w:t>
      </w:r>
      <w:r w:rsidRPr="001C6724">
        <w:rPr>
          <w:rFonts w:ascii="Times New Roman" w:hAnsi="Times New Roman" w:cs="Times New Roman"/>
          <w:sz w:val="24"/>
          <w:szCs w:val="24"/>
        </w:rPr>
        <w:footnoteReference w:id="749"/>
      </w:r>
      <w:r w:rsidRPr="001C6724">
        <w:rPr>
          <w:rFonts w:ascii="Times New Roman" w:hAnsi="Times New Roman" w:cs="Times New Roman"/>
          <w:sz w:val="24"/>
          <w:szCs w:val="24"/>
          <w:vertAlign w:val="baseline"/>
        </w:rPr>
        <w:t xml:space="preserve"> Consequently, this reduced the Committee’s ability to monitor state implementation, which created numerous problems with the monitoring process of CEDAW.</w:t>
      </w:r>
      <w:r w:rsidRPr="001C6724">
        <w:rPr>
          <w:rFonts w:ascii="Times New Roman" w:hAnsi="Times New Roman" w:cs="Times New Roman"/>
          <w:sz w:val="24"/>
          <w:szCs w:val="24"/>
        </w:rPr>
        <w:footnoteReference w:id="750"/>
      </w:r>
      <w:r w:rsidRPr="001C6724">
        <w:rPr>
          <w:rFonts w:ascii="Times New Roman" w:hAnsi="Times New Roman" w:cs="Times New Roman"/>
          <w:sz w:val="24"/>
          <w:szCs w:val="24"/>
          <w:vertAlign w:val="baseline"/>
        </w:rPr>
        <w:t xml:space="preserve"> However, as of 2012, this increased to three meetings annually, consisting of plenary three week sessions, together with pre-sessional working groups, bringing the Committee on par with other human rights committees in the UN system.</w:t>
      </w:r>
      <w:r w:rsidRPr="001C6724">
        <w:rPr>
          <w:rFonts w:ascii="Times New Roman" w:hAnsi="Times New Roman" w:cs="Times New Roman"/>
          <w:sz w:val="24"/>
          <w:szCs w:val="24"/>
        </w:rPr>
        <w:footnoteReference w:id="751"/>
      </w:r>
      <w:r w:rsidRPr="001C6724">
        <w:rPr>
          <w:rFonts w:ascii="Times New Roman" w:hAnsi="Times New Roman" w:cs="Times New Roman"/>
          <w:sz w:val="24"/>
          <w:szCs w:val="24"/>
          <w:vertAlign w:val="baseline"/>
        </w:rPr>
        <w:t xml:space="preserve"> State implementation is monitored by the Committee through periodic state reports, as directed by article 18 of CEDAW, which is intended to improve the situation of women in relation to the rights guaranteed by the Convention. Reports must be submitted by states within one year of ratification or accession, and, thereafter, every four years.</w:t>
      </w:r>
      <w:r w:rsidRPr="001C6724">
        <w:rPr>
          <w:rFonts w:ascii="Times New Roman" w:hAnsi="Times New Roman" w:cs="Times New Roman"/>
          <w:sz w:val="24"/>
          <w:szCs w:val="24"/>
        </w:rPr>
        <w:footnoteReference w:id="752"/>
      </w:r>
      <w:r w:rsidRPr="001C6724">
        <w:rPr>
          <w:rFonts w:ascii="Times New Roman" w:hAnsi="Times New Roman" w:cs="Times New Roman"/>
          <w:sz w:val="24"/>
          <w:szCs w:val="24"/>
          <w:vertAlign w:val="baseline"/>
        </w:rPr>
        <w:t xml:space="preserve"> Within each of the allocated sessions, the Committee reviews and comments on the reports, and is able to request states to ‘submit further information on its compliance with the views and recommendations in the context of its periodic reports.’</w:t>
      </w:r>
      <w:r w:rsidRPr="001C6724">
        <w:rPr>
          <w:rFonts w:ascii="Times New Roman" w:hAnsi="Times New Roman" w:cs="Times New Roman"/>
          <w:sz w:val="24"/>
          <w:szCs w:val="24"/>
        </w:rPr>
        <w:footnoteReference w:id="753"/>
      </w:r>
      <w:r w:rsidRPr="001C6724">
        <w:rPr>
          <w:rFonts w:ascii="Times New Roman" w:hAnsi="Times New Roman" w:cs="Times New Roman"/>
          <w:sz w:val="24"/>
          <w:szCs w:val="24"/>
          <w:vertAlign w:val="baseline"/>
        </w:rPr>
        <w:t xml:space="preserve"> </w:t>
      </w:r>
    </w:p>
    <w:p w14:paraId="0E22CEBA" w14:textId="5AB5B436" w:rsidR="00DB12E2" w:rsidRDefault="001C6724" w:rsidP="009419CC">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The reporting procedure is necessary for the principle of state obligation, as not only are states obliged to harmonise national law with the requirements of CEDAW, it further ensures the practical realisation of women’s rights by undertaking extra measures to implement enabling conditions in which women’s capacity to gain access to the opportunities provided is enhanced.</w:t>
      </w:r>
      <w:r w:rsidRPr="001C6724">
        <w:rPr>
          <w:rFonts w:ascii="Times New Roman" w:hAnsi="Times New Roman" w:cs="Times New Roman"/>
          <w:sz w:val="24"/>
          <w:szCs w:val="24"/>
        </w:rPr>
        <w:footnoteReference w:id="754"/>
      </w:r>
      <w:r w:rsidRPr="001C6724">
        <w:rPr>
          <w:rFonts w:ascii="Times New Roman" w:hAnsi="Times New Roman" w:cs="Times New Roman"/>
          <w:sz w:val="24"/>
          <w:szCs w:val="24"/>
          <w:vertAlign w:val="baseline"/>
        </w:rPr>
        <w:t xml:space="preserve"> However, one issue within the monitoring process is the failure of states to adhere to their reporting obligations.</w:t>
      </w:r>
      <w:r w:rsidRPr="001C6724">
        <w:rPr>
          <w:rFonts w:ascii="Times New Roman" w:hAnsi="Times New Roman" w:cs="Times New Roman"/>
          <w:sz w:val="24"/>
          <w:szCs w:val="24"/>
        </w:rPr>
        <w:footnoteReference w:id="755"/>
      </w:r>
      <w:r w:rsidRPr="001C6724">
        <w:rPr>
          <w:rFonts w:ascii="Times New Roman" w:hAnsi="Times New Roman" w:cs="Times New Roman"/>
          <w:sz w:val="24"/>
          <w:szCs w:val="24"/>
          <w:vertAlign w:val="baseline"/>
        </w:rPr>
        <w:t xml:space="preserve"> Reasons given by states include inconvenience, lack of understanding and substantive use of human and financial resources required and feelings of unjust criticism.</w:t>
      </w:r>
      <w:r w:rsidRPr="001C6724">
        <w:rPr>
          <w:rFonts w:ascii="Times New Roman" w:hAnsi="Times New Roman" w:cs="Times New Roman"/>
          <w:sz w:val="24"/>
          <w:szCs w:val="24"/>
        </w:rPr>
        <w:t xml:space="preserve"> </w:t>
      </w:r>
      <w:r w:rsidRPr="001C6724">
        <w:rPr>
          <w:rFonts w:ascii="Times New Roman" w:hAnsi="Times New Roman" w:cs="Times New Roman"/>
          <w:sz w:val="24"/>
          <w:szCs w:val="24"/>
        </w:rPr>
        <w:footnoteReference w:id="756"/>
      </w:r>
      <w:r w:rsidRPr="001C6724">
        <w:rPr>
          <w:rFonts w:ascii="Times New Roman" w:hAnsi="Times New Roman" w:cs="Times New Roman"/>
          <w:sz w:val="24"/>
          <w:szCs w:val="24"/>
          <w:vertAlign w:val="baseline"/>
        </w:rPr>
        <w:t xml:space="preserve"> Moreover, a lack of subsequent punishment for states that fail to submit their reports further exacerbates reluctance for states to undergo further reports. As outlined in CEDAW article 21,</w:t>
      </w:r>
      <w:r w:rsidRPr="001C6724">
        <w:rPr>
          <w:rFonts w:ascii="Times New Roman" w:hAnsi="Times New Roman" w:cs="Times New Roman"/>
          <w:sz w:val="24"/>
          <w:szCs w:val="24"/>
        </w:rPr>
        <w:footnoteReference w:id="757"/>
      </w:r>
      <w:r w:rsidRPr="001C6724">
        <w:rPr>
          <w:rFonts w:ascii="Times New Roman" w:hAnsi="Times New Roman" w:cs="Times New Roman"/>
          <w:sz w:val="24"/>
          <w:szCs w:val="24"/>
          <w:vertAlign w:val="baseline"/>
        </w:rPr>
        <w:t xml:space="preserve"> the Committee can only comment on non-reporting in its Annual Report to the General Assembly, however, the number of states who have failed to submit reports on time would indicate that this is not regarded as a form of significant punishment.</w:t>
      </w:r>
      <w:r w:rsidRPr="001C6724">
        <w:rPr>
          <w:rFonts w:ascii="Times New Roman" w:hAnsi="Times New Roman" w:cs="Times New Roman"/>
          <w:sz w:val="24"/>
          <w:szCs w:val="24"/>
        </w:rPr>
        <w:footnoteReference w:id="758"/>
      </w:r>
    </w:p>
    <w:p w14:paraId="07CF5E4D" w14:textId="77777777" w:rsidR="009419CC" w:rsidRPr="009419CC" w:rsidRDefault="009419CC" w:rsidP="009419CC">
      <w:pPr>
        <w:spacing w:line="480" w:lineRule="auto"/>
        <w:ind w:firstLine="720"/>
        <w:jc w:val="both"/>
        <w:rPr>
          <w:rFonts w:ascii="Times New Roman" w:hAnsi="Times New Roman" w:cs="Times New Roman"/>
          <w:sz w:val="24"/>
          <w:szCs w:val="24"/>
          <w:vertAlign w:val="baseline"/>
        </w:rPr>
      </w:pPr>
    </w:p>
    <w:p w14:paraId="6BEE109E" w14:textId="295EE3F0" w:rsidR="001C6724" w:rsidRPr="001C6724" w:rsidRDefault="00C42F78" w:rsidP="001C6724">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5.4 COMPLIANCE WITH CEDAW (CASE STUDIES)</w:t>
      </w:r>
    </w:p>
    <w:p w14:paraId="5B3E6BC2" w14:textId="77777777" w:rsidR="009419CC" w:rsidRDefault="009419CC" w:rsidP="009419CC">
      <w:pPr>
        <w:spacing w:line="480" w:lineRule="auto"/>
        <w:jc w:val="both"/>
        <w:rPr>
          <w:rFonts w:ascii="Times New Roman" w:hAnsi="Times New Roman" w:cs="Times New Roman"/>
          <w:b/>
          <w:i/>
          <w:sz w:val="24"/>
          <w:szCs w:val="24"/>
          <w:vertAlign w:val="baseline"/>
        </w:rPr>
      </w:pPr>
    </w:p>
    <w:p w14:paraId="04B8D549" w14:textId="77777777" w:rsidR="009419CC" w:rsidRDefault="009419CC" w:rsidP="009419CC">
      <w:pPr>
        <w:spacing w:line="480" w:lineRule="auto"/>
        <w:jc w:val="both"/>
        <w:rPr>
          <w:rFonts w:ascii="Times New Roman" w:hAnsi="Times New Roman" w:cs="Times New Roman"/>
          <w:b/>
          <w:i/>
          <w:sz w:val="24"/>
          <w:szCs w:val="24"/>
          <w:vertAlign w:val="baseline"/>
        </w:rPr>
      </w:pPr>
    </w:p>
    <w:p w14:paraId="41DB02E6" w14:textId="77777777" w:rsidR="009419CC" w:rsidRDefault="009419CC" w:rsidP="009419CC">
      <w:pPr>
        <w:spacing w:line="480" w:lineRule="auto"/>
        <w:jc w:val="both"/>
        <w:rPr>
          <w:rFonts w:ascii="Times New Roman" w:hAnsi="Times New Roman" w:cs="Times New Roman"/>
          <w:b/>
          <w:i/>
          <w:sz w:val="24"/>
          <w:szCs w:val="24"/>
          <w:vertAlign w:val="baseline"/>
        </w:rPr>
      </w:pPr>
    </w:p>
    <w:p w14:paraId="6975D5D5" w14:textId="77777777" w:rsidR="009419CC" w:rsidRDefault="00C42F78" w:rsidP="009419CC">
      <w:pPr>
        <w:spacing w:line="480" w:lineRule="auto"/>
        <w:jc w:val="both"/>
        <w:rPr>
          <w:rFonts w:ascii="Times New Roman" w:hAnsi="Times New Roman" w:cs="Times New Roman"/>
          <w:b/>
          <w:i/>
          <w:sz w:val="24"/>
          <w:szCs w:val="24"/>
          <w:vertAlign w:val="baseline"/>
        </w:rPr>
      </w:pPr>
      <w:r>
        <w:rPr>
          <w:rFonts w:ascii="Times New Roman" w:hAnsi="Times New Roman" w:cs="Times New Roman"/>
          <w:b/>
          <w:i/>
          <w:sz w:val="24"/>
          <w:szCs w:val="24"/>
          <w:vertAlign w:val="baseline"/>
        </w:rPr>
        <w:t>5</w:t>
      </w:r>
      <w:r w:rsidR="0006496C" w:rsidRPr="00C42F78">
        <w:rPr>
          <w:rFonts w:ascii="Times New Roman" w:hAnsi="Times New Roman" w:cs="Times New Roman"/>
          <w:b/>
          <w:i/>
          <w:sz w:val="24"/>
          <w:szCs w:val="24"/>
          <w:vertAlign w:val="baseline"/>
        </w:rPr>
        <w:t xml:space="preserve">.4.1 </w:t>
      </w:r>
      <w:r w:rsidR="001C6724" w:rsidRPr="00C42F78">
        <w:rPr>
          <w:rFonts w:ascii="Times New Roman" w:hAnsi="Times New Roman" w:cs="Times New Roman"/>
          <w:b/>
          <w:i/>
          <w:sz w:val="24"/>
          <w:szCs w:val="24"/>
          <w:vertAlign w:val="baseline"/>
        </w:rPr>
        <w:t>Nepal</w:t>
      </w:r>
    </w:p>
    <w:p w14:paraId="542AE4CE" w14:textId="689946CF" w:rsidR="001C6724" w:rsidRPr="009419CC" w:rsidRDefault="001C6724" w:rsidP="009419CC">
      <w:pPr>
        <w:spacing w:line="480" w:lineRule="auto"/>
        <w:ind w:firstLine="720"/>
        <w:jc w:val="both"/>
        <w:rPr>
          <w:rFonts w:ascii="Times New Roman" w:hAnsi="Times New Roman" w:cs="Times New Roman"/>
          <w:b/>
          <w:i/>
          <w:sz w:val="24"/>
          <w:szCs w:val="24"/>
          <w:vertAlign w:val="baseline"/>
        </w:rPr>
      </w:pPr>
      <w:r w:rsidRPr="001C6724">
        <w:rPr>
          <w:rFonts w:ascii="Times New Roman" w:hAnsi="Times New Roman" w:cs="Times New Roman"/>
          <w:sz w:val="24"/>
          <w:szCs w:val="24"/>
          <w:vertAlign w:val="baseline"/>
        </w:rPr>
        <w:t>On 9 November 2010, Nepal submitted its combined 4</w:t>
      </w:r>
      <w:r w:rsidRPr="001C6724">
        <w:rPr>
          <w:rFonts w:ascii="Times New Roman" w:hAnsi="Times New Roman" w:cs="Times New Roman"/>
          <w:sz w:val="24"/>
          <w:szCs w:val="24"/>
        </w:rPr>
        <w:t>th</w:t>
      </w:r>
      <w:r w:rsidRPr="001C6724">
        <w:rPr>
          <w:rFonts w:ascii="Times New Roman" w:hAnsi="Times New Roman" w:cs="Times New Roman"/>
          <w:sz w:val="24"/>
          <w:szCs w:val="24"/>
          <w:vertAlign w:val="baseline"/>
        </w:rPr>
        <w:t xml:space="preserve"> and 5</w:t>
      </w:r>
      <w:r w:rsidRPr="001C6724">
        <w:rPr>
          <w:rFonts w:ascii="Times New Roman" w:hAnsi="Times New Roman" w:cs="Times New Roman"/>
          <w:sz w:val="24"/>
          <w:szCs w:val="24"/>
        </w:rPr>
        <w:t>th</w:t>
      </w:r>
      <w:r w:rsidRPr="001C6724">
        <w:rPr>
          <w:rFonts w:ascii="Times New Roman" w:hAnsi="Times New Roman" w:cs="Times New Roman"/>
          <w:sz w:val="24"/>
          <w:szCs w:val="24"/>
          <w:vertAlign w:val="baseline"/>
        </w:rPr>
        <w:t xml:space="preserve"> periodic report to the CEDAW Committee.</w:t>
      </w:r>
      <w:r w:rsidRPr="001C6724">
        <w:rPr>
          <w:rFonts w:ascii="Times New Roman" w:hAnsi="Times New Roman" w:cs="Times New Roman"/>
          <w:sz w:val="24"/>
          <w:szCs w:val="24"/>
        </w:rPr>
        <w:footnoteReference w:id="759"/>
      </w:r>
      <w:r w:rsidRPr="001C6724">
        <w:rPr>
          <w:rFonts w:ascii="Times New Roman" w:hAnsi="Times New Roman" w:cs="Times New Roman"/>
          <w:sz w:val="24"/>
          <w:szCs w:val="24"/>
          <w:vertAlign w:val="baseline"/>
        </w:rPr>
        <w:t xml:space="preserve"> Within the report, Nepal states that ‘some new provisions for criminalising violence against women such as penalising the act of condemning a woman as a witch have been incorporated into the Country Code.’</w:t>
      </w:r>
      <w:r w:rsidRPr="001C6724">
        <w:rPr>
          <w:rFonts w:ascii="Times New Roman" w:hAnsi="Times New Roman" w:cs="Times New Roman"/>
          <w:sz w:val="24"/>
          <w:szCs w:val="24"/>
        </w:rPr>
        <w:footnoteReference w:id="760"/>
      </w:r>
      <w:r w:rsidRPr="001C6724">
        <w:rPr>
          <w:rFonts w:ascii="Times New Roman" w:hAnsi="Times New Roman" w:cs="Times New Roman"/>
          <w:sz w:val="24"/>
          <w:szCs w:val="24"/>
          <w:vertAlign w:val="baseline"/>
        </w:rPr>
        <w:t xml:space="preserve"> Under A</w:t>
      </w:r>
      <w:r w:rsidR="003857BA">
        <w:rPr>
          <w:rFonts w:ascii="Times New Roman" w:hAnsi="Times New Roman" w:cs="Times New Roman"/>
          <w:sz w:val="24"/>
          <w:szCs w:val="24"/>
          <w:vertAlign w:val="baseline"/>
        </w:rPr>
        <w:t>rticle 5 CEDAW (t</w:t>
      </w:r>
      <w:r w:rsidRPr="001C6724">
        <w:rPr>
          <w:rFonts w:ascii="Times New Roman" w:hAnsi="Times New Roman" w:cs="Times New Roman"/>
          <w:sz w:val="24"/>
          <w:szCs w:val="24"/>
          <w:vertAlign w:val="baseline"/>
        </w:rPr>
        <w:t>raditional cultural practices), Nepal states that the Interim Constitution, article 20, provides that ‘no-one shall be discriminated in any form merely for being a woman.’</w:t>
      </w:r>
      <w:r w:rsidRPr="001C6724">
        <w:rPr>
          <w:rFonts w:ascii="Times New Roman" w:hAnsi="Times New Roman" w:cs="Times New Roman"/>
          <w:sz w:val="24"/>
          <w:szCs w:val="24"/>
        </w:rPr>
        <w:footnoteReference w:id="761"/>
      </w:r>
      <w:r w:rsidRPr="001C6724">
        <w:rPr>
          <w:rFonts w:ascii="Times New Roman" w:hAnsi="Times New Roman" w:cs="Times New Roman"/>
          <w:sz w:val="24"/>
          <w:szCs w:val="24"/>
          <w:vertAlign w:val="baseline"/>
        </w:rPr>
        <w:t xml:space="preserve"> In paragraph seventy-three of the report, Nepal refers to the case of </w:t>
      </w:r>
      <w:r w:rsidRPr="001C6724">
        <w:rPr>
          <w:rFonts w:ascii="Times New Roman" w:hAnsi="Times New Roman" w:cs="Times New Roman"/>
          <w:i/>
          <w:sz w:val="24"/>
          <w:szCs w:val="24"/>
          <w:vertAlign w:val="baseline"/>
        </w:rPr>
        <w:t>Reshma Thapa v HMG Nepal,</w:t>
      </w:r>
      <w:r w:rsidRPr="001C6724">
        <w:rPr>
          <w:rFonts w:ascii="Times New Roman" w:hAnsi="Times New Roman" w:cs="Times New Roman"/>
          <w:i/>
          <w:sz w:val="24"/>
          <w:szCs w:val="24"/>
        </w:rPr>
        <w:footnoteReference w:id="762"/>
      </w:r>
      <w:r w:rsidRPr="001C6724">
        <w:rPr>
          <w:rFonts w:ascii="Times New Roman" w:hAnsi="Times New Roman" w:cs="Times New Roman"/>
          <w:sz w:val="24"/>
          <w:szCs w:val="24"/>
          <w:vertAlign w:val="baseline"/>
        </w:rPr>
        <w:t xml:space="preserve"> in which the Supreme Court of Nepal issued a directive order to the Government to enact adequate laws and ‘other appropriate preventative and promotional measures … regarding the elimination of discriminatory traditions that are deeply rooted in the society and being practiced in the name of cultural, customary or religious practices.’</w:t>
      </w:r>
      <w:r w:rsidRPr="001C6724">
        <w:rPr>
          <w:rFonts w:ascii="Times New Roman" w:hAnsi="Times New Roman" w:cs="Times New Roman"/>
          <w:sz w:val="24"/>
          <w:szCs w:val="24"/>
        </w:rPr>
        <w:footnoteReference w:id="763"/>
      </w:r>
      <w:r w:rsidRPr="001C6724">
        <w:rPr>
          <w:rFonts w:ascii="Times New Roman" w:hAnsi="Times New Roman" w:cs="Times New Roman"/>
          <w:sz w:val="24"/>
          <w:szCs w:val="24"/>
          <w:vertAlign w:val="baseline"/>
        </w:rPr>
        <w:t xml:space="preserve"> In response, Nepal states that, ‘the Government has already taken it seriously by denouncing the act as embarrassing. Degrading and humiliating anyone in the name of witchcraft is now considered a serious crime, which is punishable with a jail sentence, under the State Cases Act.’</w:t>
      </w:r>
      <w:r w:rsidRPr="001C6724">
        <w:rPr>
          <w:rFonts w:ascii="Times New Roman" w:hAnsi="Times New Roman" w:cs="Times New Roman"/>
          <w:sz w:val="24"/>
          <w:szCs w:val="24"/>
        </w:rPr>
        <w:footnoteReference w:id="764"/>
      </w:r>
      <w:r w:rsidRPr="001C6724">
        <w:rPr>
          <w:rFonts w:ascii="Times New Roman" w:hAnsi="Times New Roman" w:cs="Times New Roman"/>
          <w:sz w:val="24"/>
          <w:szCs w:val="24"/>
          <w:vertAlign w:val="baseline"/>
        </w:rPr>
        <w:t xml:space="preserve"> Moreover, the report states that,</w:t>
      </w:r>
    </w:p>
    <w:p w14:paraId="0C988C9A"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5356BAA6" w14:textId="77777777" w:rsidR="001C6724" w:rsidRPr="001C6724" w:rsidRDefault="001C6724" w:rsidP="00C072C4">
      <w:pPr>
        <w:spacing w:line="480" w:lineRule="auto"/>
        <w:ind w:left="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Nepal has espoused some laws and policies to follow the SC directive orders and guidelines, e.g. the case of witchcraft, trafficking (with victim’s protection framework). The Act on Domestic Violence has already been enacted, and another legislation on Sexual Harassment is in the process of drafting as mentioned above in Part II. The Government has also adopted other apposite measures including institutional development to ensure women’s rights against discrimination, exploitation and gender-based violence followed by policy guidelines to eliminate de jure and de facto discriminations against women.</w:t>
      </w:r>
      <w:r w:rsidRPr="001C6724">
        <w:rPr>
          <w:rFonts w:ascii="Times New Roman" w:hAnsi="Times New Roman" w:cs="Times New Roman"/>
          <w:sz w:val="24"/>
          <w:szCs w:val="24"/>
        </w:rPr>
        <w:footnoteReference w:id="765"/>
      </w:r>
    </w:p>
    <w:p w14:paraId="41434FD1"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66F7EB91" w14:textId="67425F05" w:rsidR="001C6724" w:rsidRDefault="001C6724" w:rsidP="00741021">
      <w:pPr>
        <w:spacing w:line="480" w:lineRule="auto"/>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At its 49</w:t>
      </w:r>
      <w:r w:rsidRPr="001C6724">
        <w:rPr>
          <w:rFonts w:ascii="Times New Roman" w:hAnsi="Times New Roman" w:cs="Times New Roman"/>
          <w:sz w:val="24"/>
          <w:szCs w:val="24"/>
        </w:rPr>
        <w:t>th</w:t>
      </w:r>
      <w:r w:rsidRPr="001C6724">
        <w:rPr>
          <w:rFonts w:ascii="Times New Roman" w:hAnsi="Times New Roman" w:cs="Times New Roman"/>
          <w:sz w:val="24"/>
          <w:szCs w:val="24"/>
          <w:vertAlign w:val="baseline"/>
        </w:rPr>
        <w:t xml:space="preserve"> session in July 2011, the CEDAW Committee issued a list of issues and questions with regard to the consideration of the combined 4</w:t>
      </w:r>
      <w:r w:rsidRPr="001C6724">
        <w:rPr>
          <w:rFonts w:ascii="Times New Roman" w:hAnsi="Times New Roman" w:cs="Times New Roman"/>
          <w:sz w:val="24"/>
          <w:szCs w:val="24"/>
        </w:rPr>
        <w:t>th</w:t>
      </w:r>
      <w:r w:rsidRPr="001C6724">
        <w:rPr>
          <w:rFonts w:ascii="Times New Roman" w:hAnsi="Times New Roman" w:cs="Times New Roman"/>
          <w:sz w:val="24"/>
          <w:szCs w:val="24"/>
          <w:vertAlign w:val="baseline"/>
        </w:rPr>
        <w:t xml:space="preserve"> and 5</w:t>
      </w:r>
      <w:r w:rsidRPr="001C6724">
        <w:rPr>
          <w:rFonts w:ascii="Times New Roman" w:hAnsi="Times New Roman" w:cs="Times New Roman"/>
          <w:sz w:val="24"/>
          <w:szCs w:val="24"/>
        </w:rPr>
        <w:t>th</w:t>
      </w:r>
      <w:r w:rsidRPr="001C6724">
        <w:rPr>
          <w:rFonts w:ascii="Times New Roman" w:hAnsi="Times New Roman" w:cs="Times New Roman"/>
          <w:sz w:val="24"/>
          <w:szCs w:val="24"/>
          <w:vertAlign w:val="baseline"/>
        </w:rPr>
        <w:t xml:space="preserve"> periodic report of Nepal.</w:t>
      </w:r>
      <w:r w:rsidRPr="001C6724">
        <w:rPr>
          <w:rFonts w:ascii="Times New Roman" w:hAnsi="Times New Roman" w:cs="Times New Roman"/>
          <w:sz w:val="24"/>
          <w:szCs w:val="24"/>
        </w:rPr>
        <w:footnoteReference w:id="766"/>
      </w:r>
      <w:r w:rsidRPr="001C6724">
        <w:rPr>
          <w:rFonts w:ascii="Times New Roman" w:hAnsi="Times New Roman" w:cs="Times New Roman"/>
          <w:sz w:val="24"/>
          <w:szCs w:val="24"/>
          <w:vertAlign w:val="baseline"/>
        </w:rPr>
        <w:t xml:space="preserve"> Paragraph nine of the report asks Nepal to,</w:t>
      </w:r>
    </w:p>
    <w:p w14:paraId="2FC1F8C0" w14:textId="77777777" w:rsidR="00D83930" w:rsidRPr="001C6724" w:rsidRDefault="00D83930" w:rsidP="00F10F3A">
      <w:pPr>
        <w:spacing w:line="480" w:lineRule="auto"/>
        <w:ind w:firstLine="720"/>
        <w:jc w:val="both"/>
        <w:rPr>
          <w:rFonts w:ascii="Times New Roman" w:hAnsi="Times New Roman" w:cs="Times New Roman"/>
          <w:sz w:val="24"/>
          <w:szCs w:val="24"/>
          <w:vertAlign w:val="baseline"/>
        </w:rPr>
      </w:pPr>
    </w:p>
    <w:p w14:paraId="5014FA42" w14:textId="77777777" w:rsidR="001C6724" w:rsidRPr="001C6724" w:rsidRDefault="001C6724" w:rsidP="00C072C4">
      <w:pPr>
        <w:spacing w:line="480" w:lineRule="auto"/>
        <w:ind w:left="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Provide information on the concrete measures taken by the State party to address the phenomenon of violence, including beating, torture, public humiliation and killings in extreme cases, against elderly rural women and widows perceived as witches, in particular following the Supreme Court decision (</w:t>
      </w:r>
      <w:r w:rsidRPr="001C6724">
        <w:rPr>
          <w:rFonts w:ascii="Times New Roman" w:hAnsi="Times New Roman" w:cs="Times New Roman"/>
          <w:i/>
          <w:sz w:val="24"/>
          <w:szCs w:val="24"/>
          <w:vertAlign w:val="baseline"/>
        </w:rPr>
        <w:t>Reshma Thapa v HMG Nepal</w:t>
      </w:r>
      <w:r w:rsidRPr="001C6724">
        <w:rPr>
          <w:rFonts w:ascii="Times New Roman" w:hAnsi="Times New Roman" w:cs="Times New Roman"/>
          <w:sz w:val="24"/>
          <w:szCs w:val="24"/>
          <w:vertAlign w:val="baseline"/>
        </w:rPr>
        <w:t xml:space="preserve"> 2004) that the State party should enact a law to punish the perpetrators and to conduct awareness campaigns to eliminate such acts of violence against women.</w:t>
      </w:r>
      <w:r w:rsidRPr="001C6724">
        <w:rPr>
          <w:rFonts w:ascii="Times New Roman" w:hAnsi="Times New Roman" w:cs="Times New Roman"/>
          <w:sz w:val="24"/>
          <w:szCs w:val="24"/>
        </w:rPr>
        <w:footnoteReference w:id="767"/>
      </w:r>
    </w:p>
    <w:p w14:paraId="4FD194FC"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53754F6D" w14:textId="0EF61B73" w:rsidR="001C6724" w:rsidRDefault="001C6724" w:rsidP="00C84404">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Nepal responded to the list of issues and questions, documented in ‘Responses to the list of issues and questions with regard to the consideration of the combined fourth and fifth report: Nepal’</w:t>
      </w:r>
      <w:r w:rsidRPr="001C6724">
        <w:rPr>
          <w:rFonts w:ascii="Times New Roman" w:hAnsi="Times New Roman" w:cs="Times New Roman"/>
          <w:sz w:val="24"/>
          <w:szCs w:val="24"/>
        </w:rPr>
        <w:footnoteReference w:id="768"/>
      </w:r>
      <w:r w:rsidRPr="001C6724">
        <w:rPr>
          <w:rFonts w:ascii="Times New Roman" w:hAnsi="Times New Roman" w:cs="Times New Roman"/>
          <w:sz w:val="24"/>
          <w:szCs w:val="24"/>
          <w:vertAlign w:val="baseline"/>
        </w:rPr>
        <w:t xml:space="preserve"> As regards measures taken to abolish harmful practices, Nepal responded that it was ‘in the process of codifying and improving its civil and criminal law systems,’</w:t>
      </w:r>
      <w:r w:rsidRPr="001C6724">
        <w:rPr>
          <w:rFonts w:ascii="Times New Roman" w:hAnsi="Times New Roman" w:cs="Times New Roman"/>
          <w:sz w:val="24"/>
          <w:szCs w:val="24"/>
        </w:rPr>
        <w:footnoteReference w:id="769"/>
      </w:r>
      <w:r w:rsidRPr="001C6724">
        <w:rPr>
          <w:rFonts w:ascii="Times New Roman" w:hAnsi="Times New Roman" w:cs="Times New Roman"/>
          <w:sz w:val="24"/>
          <w:szCs w:val="24"/>
          <w:vertAlign w:val="baseline"/>
        </w:rPr>
        <w:t xml:space="preserve"> which ‘contain adequate measures for the protection of victims and abolishment of harmful traditional practices such as … witchcraft.’</w:t>
      </w:r>
      <w:r w:rsidRPr="001C6724">
        <w:rPr>
          <w:rFonts w:ascii="Times New Roman" w:hAnsi="Times New Roman" w:cs="Times New Roman"/>
          <w:sz w:val="24"/>
          <w:szCs w:val="24"/>
        </w:rPr>
        <w:footnoteReference w:id="770"/>
      </w:r>
      <w:r w:rsidRPr="001C6724">
        <w:rPr>
          <w:rFonts w:ascii="Times New Roman" w:hAnsi="Times New Roman" w:cs="Times New Roman"/>
          <w:sz w:val="24"/>
          <w:szCs w:val="24"/>
          <w:vertAlign w:val="baseline"/>
        </w:rPr>
        <w:t xml:space="preserve"> Moreover, Nepal stated that following the Supreme Court Decision in </w:t>
      </w:r>
      <w:r w:rsidRPr="001C6724">
        <w:rPr>
          <w:rFonts w:ascii="Times New Roman" w:hAnsi="Times New Roman" w:cs="Times New Roman"/>
          <w:i/>
          <w:sz w:val="24"/>
          <w:szCs w:val="24"/>
          <w:vertAlign w:val="baseline"/>
        </w:rPr>
        <w:t>Reshma Thapa v HMG Nepal</w:t>
      </w:r>
      <w:r w:rsidRPr="001C6724">
        <w:rPr>
          <w:rFonts w:ascii="Times New Roman" w:hAnsi="Times New Roman" w:cs="Times New Roman"/>
          <w:i/>
          <w:sz w:val="24"/>
          <w:szCs w:val="24"/>
        </w:rPr>
        <w:footnoteReference w:id="771"/>
      </w:r>
      <w:r w:rsidRPr="001C6724">
        <w:rPr>
          <w:rFonts w:ascii="Times New Roman" w:hAnsi="Times New Roman" w:cs="Times New Roman"/>
          <w:sz w:val="24"/>
          <w:szCs w:val="24"/>
          <w:vertAlign w:val="baseline"/>
        </w:rPr>
        <w:t xml:space="preserve"> important legislative provisions have been incorporated into the General Code, </w:t>
      </w:r>
    </w:p>
    <w:p w14:paraId="3F70B2DE" w14:textId="77777777" w:rsidR="00D83930" w:rsidRPr="001C6724" w:rsidRDefault="00D83930" w:rsidP="00C84404">
      <w:pPr>
        <w:spacing w:line="480" w:lineRule="auto"/>
        <w:ind w:firstLine="720"/>
        <w:jc w:val="both"/>
        <w:rPr>
          <w:rFonts w:ascii="Times New Roman" w:hAnsi="Times New Roman" w:cs="Times New Roman"/>
          <w:sz w:val="24"/>
          <w:szCs w:val="24"/>
          <w:vertAlign w:val="baseline"/>
        </w:rPr>
      </w:pPr>
    </w:p>
    <w:p w14:paraId="5674F0AC" w14:textId="77777777" w:rsidR="001C6724" w:rsidRPr="001C6724" w:rsidRDefault="001C6724" w:rsidP="00277A93">
      <w:pPr>
        <w:spacing w:line="480" w:lineRule="auto"/>
        <w:ind w:left="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lang w:val="en-US"/>
        </w:rPr>
        <w:t>No. 10B of the Chapter on Decency of the General Code prohibits accusing any one of being a witch or banishment or exclusion from residence or social activities on such accusation, or any inhuman or degrading treatment or torture to any person in any pretext. Such prohibited act is punishable with imprisonment for a term ranging from three months to two years or a fine of five thousand to twenty five thousand rupees or with both. Moreover, the proposed Penal Code also criminalizes such an act.</w:t>
      </w:r>
      <w:r w:rsidRPr="001C6724">
        <w:rPr>
          <w:rFonts w:ascii="Times New Roman" w:hAnsi="Times New Roman" w:cs="Times New Roman"/>
          <w:sz w:val="24"/>
          <w:szCs w:val="24"/>
          <w:lang w:val="en-US"/>
        </w:rPr>
        <w:footnoteReference w:id="772"/>
      </w:r>
    </w:p>
    <w:p w14:paraId="5F41DBC9"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7C999E09" w14:textId="77777777" w:rsidR="001C6724" w:rsidRPr="001C6724" w:rsidRDefault="001C6724" w:rsidP="00C84404">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On consideration of all reports submitted by Nepal, the list of issues and questions submitted by the Committee and the responses of Nepal to these, the Committee issued their ‘Concluding Observations’</w:t>
      </w:r>
      <w:r w:rsidRPr="001C6724">
        <w:rPr>
          <w:rFonts w:ascii="Times New Roman" w:hAnsi="Times New Roman" w:cs="Times New Roman"/>
          <w:sz w:val="24"/>
          <w:szCs w:val="24"/>
        </w:rPr>
        <w:footnoteReference w:id="773"/>
      </w:r>
      <w:r w:rsidRPr="001C6724">
        <w:rPr>
          <w:rFonts w:ascii="Times New Roman" w:hAnsi="Times New Roman" w:cs="Times New Roman"/>
          <w:sz w:val="24"/>
          <w:szCs w:val="24"/>
          <w:vertAlign w:val="baseline"/>
        </w:rPr>
        <w:t xml:space="preserve"> on Nepal on 11 August 2011. In a section specifically documenting their concern at the, ‘persistence of harmful traditional practices in the State party, such as child marriage, the dowry system, son preference, polygamy, widows accused of witchcraft and such practices such as </w:t>
      </w:r>
      <w:r w:rsidRPr="001C6724">
        <w:rPr>
          <w:rFonts w:ascii="Times New Roman" w:hAnsi="Times New Roman" w:cs="Times New Roman"/>
          <w:i/>
          <w:sz w:val="24"/>
          <w:szCs w:val="24"/>
          <w:vertAlign w:val="baseline"/>
        </w:rPr>
        <w:t>chaupadi,</w:t>
      </w:r>
      <w:r w:rsidRPr="001C6724">
        <w:rPr>
          <w:rFonts w:ascii="Times New Roman" w:hAnsi="Times New Roman" w:cs="Times New Roman"/>
          <w:i/>
          <w:sz w:val="24"/>
          <w:szCs w:val="24"/>
        </w:rPr>
        <w:footnoteReference w:id="774"/>
      </w:r>
      <w:r w:rsidRPr="001C6724">
        <w:rPr>
          <w:rFonts w:ascii="Times New Roman" w:hAnsi="Times New Roman" w:cs="Times New Roman"/>
          <w:i/>
          <w:sz w:val="24"/>
          <w:szCs w:val="24"/>
          <w:vertAlign w:val="baseline"/>
        </w:rPr>
        <w:t xml:space="preserve"> jhuma,</w:t>
      </w:r>
      <w:r w:rsidRPr="001C6724">
        <w:rPr>
          <w:rFonts w:ascii="Times New Roman" w:hAnsi="Times New Roman" w:cs="Times New Roman"/>
          <w:i/>
          <w:sz w:val="24"/>
          <w:szCs w:val="24"/>
        </w:rPr>
        <w:footnoteReference w:id="775"/>
      </w:r>
      <w:r w:rsidRPr="001C6724">
        <w:rPr>
          <w:rFonts w:ascii="Times New Roman" w:hAnsi="Times New Roman" w:cs="Times New Roman"/>
          <w:i/>
          <w:sz w:val="24"/>
          <w:szCs w:val="24"/>
          <w:vertAlign w:val="baseline"/>
        </w:rPr>
        <w:t xml:space="preserve"> deuki</w:t>
      </w:r>
      <w:r w:rsidRPr="001C6724">
        <w:rPr>
          <w:rFonts w:ascii="Times New Roman" w:hAnsi="Times New Roman" w:cs="Times New Roman"/>
          <w:i/>
          <w:sz w:val="24"/>
          <w:szCs w:val="24"/>
        </w:rPr>
        <w:footnoteReference w:id="776"/>
      </w:r>
      <w:r w:rsidRPr="001C6724">
        <w:rPr>
          <w:rFonts w:ascii="Times New Roman" w:hAnsi="Times New Roman" w:cs="Times New Roman"/>
          <w:i/>
          <w:sz w:val="24"/>
          <w:szCs w:val="24"/>
          <w:vertAlign w:val="baseline"/>
        </w:rPr>
        <w:t xml:space="preserve"> and dhan-khaane,’</w:t>
      </w:r>
      <w:r w:rsidRPr="001C6724">
        <w:rPr>
          <w:rFonts w:ascii="Times New Roman" w:hAnsi="Times New Roman" w:cs="Times New Roman"/>
          <w:sz w:val="24"/>
          <w:szCs w:val="24"/>
        </w:rPr>
        <w:footnoteReference w:id="777"/>
      </w:r>
      <w:r w:rsidRPr="001C6724">
        <w:rPr>
          <w:rFonts w:ascii="Times New Roman" w:hAnsi="Times New Roman" w:cs="Times New Roman"/>
          <w:sz w:val="24"/>
          <w:szCs w:val="24"/>
          <w:vertAlign w:val="baseline"/>
        </w:rPr>
        <w:t xml:space="preserve"> the Committee documented their concern as regards patriarchal attitudes and deep-rooted stereotypes that discriminate against women, stating that they, ‘remain entrenched in the social, cultural, religious, economic and political institutions and structures of Nepalese society and in the media.’</w:t>
      </w:r>
      <w:r w:rsidRPr="001C6724">
        <w:rPr>
          <w:rFonts w:ascii="Times New Roman" w:hAnsi="Times New Roman" w:cs="Times New Roman"/>
          <w:sz w:val="24"/>
          <w:szCs w:val="24"/>
        </w:rPr>
        <w:footnoteReference w:id="778"/>
      </w:r>
      <w:r w:rsidRPr="001C6724">
        <w:rPr>
          <w:rFonts w:ascii="Times New Roman" w:hAnsi="Times New Roman" w:cs="Times New Roman"/>
          <w:sz w:val="24"/>
          <w:szCs w:val="24"/>
          <w:vertAlign w:val="baseline"/>
        </w:rPr>
        <w:t xml:space="preserve"> </w:t>
      </w:r>
    </w:p>
    <w:p w14:paraId="2C50AE51" w14:textId="77777777" w:rsidR="001C6724" w:rsidRPr="001C6724" w:rsidRDefault="001C6724" w:rsidP="001C6724">
      <w:pPr>
        <w:spacing w:line="480" w:lineRule="auto"/>
        <w:jc w:val="both"/>
        <w:rPr>
          <w:rFonts w:ascii="Times New Roman" w:hAnsi="Times New Roman" w:cs="Times New Roman"/>
          <w:i/>
          <w:sz w:val="24"/>
          <w:szCs w:val="24"/>
          <w:vertAlign w:val="baseline"/>
        </w:rPr>
      </w:pPr>
    </w:p>
    <w:p w14:paraId="2E3C1465" w14:textId="337D7F5F" w:rsidR="001C6724" w:rsidRPr="001C6724" w:rsidRDefault="001C6724" w:rsidP="008A1511">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Accordingly, the Committee made several recommendations, asserting that Nepal needs to inaugurate, without delay, a ‘comprehensive strategy, with concrete goals and timetables to eliminate patriarchal attitudes and stereotypes</w:t>
      </w:r>
      <w:r w:rsidR="00741021">
        <w:rPr>
          <w:rFonts w:ascii="Times New Roman" w:hAnsi="Times New Roman" w:cs="Times New Roman"/>
          <w:sz w:val="24"/>
          <w:szCs w:val="24"/>
          <w:vertAlign w:val="baseline"/>
        </w:rPr>
        <w:t>’</w:t>
      </w:r>
      <w:r w:rsidRPr="001C6724">
        <w:rPr>
          <w:rFonts w:ascii="Times New Roman" w:hAnsi="Times New Roman" w:cs="Times New Roman"/>
          <w:sz w:val="24"/>
          <w:szCs w:val="24"/>
        </w:rPr>
        <w:footnoteReference w:id="779"/>
      </w:r>
      <w:r w:rsidRPr="001C6724">
        <w:rPr>
          <w:rFonts w:ascii="Times New Roman" w:hAnsi="Times New Roman" w:cs="Times New Roman"/>
          <w:sz w:val="24"/>
          <w:szCs w:val="24"/>
          <w:vertAlign w:val="baseline"/>
        </w:rPr>
        <w:t xml:space="preserve"> in accordance with CEDAW articles 2 (f) and 5 (a), ‘strengthen its awareness-raising and educational efforts’</w:t>
      </w:r>
      <w:r w:rsidRPr="001C6724">
        <w:rPr>
          <w:rFonts w:ascii="Times New Roman" w:hAnsi="Times New Roman" w:cs="Times New Roman"/>
          <w:sz w:val="24"/>
          <w:szCs w:val="24"/>
        </w:rPr>
        <w:footnoteReference w:id="780"/>
      </w:r>
      <w:r w:rsidRPr="001C6724">
        <w:rPr>
          <w:rFonts w:ascii="Times New Roman" w:hAnsi="Times New Roman" w:cs="Times New Roman"/>
          <w:sz w:val="24"/>
          <w:szCs w:val="24"/>
          <w:vertAlign w:val="baseline"/>
        </w:rPr>
        <w:t xml:space="preserve"> in order to eliminate harmful traditional practices, ‘collaborate with the media to enhance a positive, non-stereotypical and non-discriminatory portrayal of women’</w:t>
      </w:r>
      <w:r w:rsidRPr="001C6724">
        <w:rPr>
          <w:rFonts w:ascii="Times New Roman" w:hAnsi="Times New Roman" w:cs="Times New Roman"/>
          <w:sz w:val="24"/>
          <w:szCs w:val="24"/>
        </w:rPr>
        <w:footnoteReference w:id="781"/>
      </w:r>
      <w:r w:rsidRPr="001C6724">
        <w:rPr>
          <w:rFonts w:ascii="Times New Roman" w:hAnsi="Times New Roman" w:cs="Times New Roman"/>
          <w:sz w:val="24"/>
          <w:szCs w:val="24"/>
          <w:vertAlign w:val="baseline"/>
        </w:rPr>
        <w:t xml:space="preserve"> and ‘promptly enact the draft law on harmful social practices,’</w:t>
      </w:r>
      <w:r w:rsidRPr="001C6724">
        <w:rPr>
          <w:rFonts w:ascii="Times New Roman" w:hAnsi="Times New Roman" w:cs="Times New Roman"/>
          <w:sz w:val="24"/>
          <w:szCs w:val="24"/>
        </w:rPr>
        <w:footnoteReference w:id="782"/>
      </w:r>
      <w:r w:rsidRPr="001C6724">
        <w:rPr>
          <w:rFonts w:ascii="Times New Roman" w:hAnsi="Times New Roman" w:cs="Times New Roman"/>
          <w:sz w:val="24"/>
          <w:szCs w:val="24"/>
          <w:vertAlign w:val="baseline"/>
        </w:rPr>
        <w:t xml:space="preserve"> ensuring that it covers all forms of practices and is implemented fully and effectively, without delay.</w:t>
      </w:r>
    </w:p>
    <w:p w14:paraId="2F5B9650" w14:textId="35151735" w:rsidR="001C6724" w:rsidRPr="001C6724" w:rsidRDefault="001C6724" w:rsidP="001C6724">
      <w:pPr>
        <w:spacing w:line="480" w:lineRule="auto"/>
        <w:jc w:val="both"/>
        <w:rPr>
          <w:rFonts w:ascii="Times New Roman" w:hAnsi="Times New Roman" w:cs="Times New Roman"/>
          <w:sz w:val="24"/>
          <w:szCs w:val="24"/>
          <w:vertAlign w:val="baseline"/>
        </w:rPr>
      </w:pPr>
    </w:p>
    <w:p w14:paraId="67A24863" w14:textId="03CAD664" w:rsidR="001C6724" w:rsidRPr="00413017" w:rsidRDefault="00413017" w:rsidP="001C6724">
      <w:pPr>
        <w:spacing w:line="480" w:lineRule="auto"/>
        <w:jc w:val="both"/>
        <w:rPr>
          <w:rFonts w:ascii="Times New Roman" w:hAnsi="Times New Roman" w:cs="Times New Roman"/>
          <w:b/>
          <w:i/>
          <w:sz w:val="24"/>
          <w:szCs w:val="24"/>
          <w:vertAlign w:val="baseline"/>
        </w:rPr>
      </w:pPr>
      <w:r w:rsidRPr="00413017">
        <w:rPr>
          <w:rFonts w:ascii="Times New Roman" w:hAnsi="Times New Roman" w:cs="Times New Roman"/>
          <w:b/>
          <w:i/>
          <w:sz w:val="24"/>
          <w:szCs w:val="24"/>
          <w:vertAlign w:val="baseline"/>
        </w:rPr>
        <w:t>5</w:t>
      </w:r>
      <w:r w:rsidR="000632CE" w:rsidRPr="00413017">
        <w:rPr>
          <w:rFonts w:ascii="Times New Roman" w:hAnsi="Times New Roman" w:cs="Times New Roman"/>
          <w:b/>
          <w:i/>
          <w:sz w:val="24"/>
          <w:szCs w:val="24"/>
          <w:vertAlign w:val="baseline"/>
        </w:rPr>
        <w:t xml:space="preserve">.4.2 </w:t>
      </w:r>
      <w:r w:rsidR="001C6724" w:rsidRPr="00413017">
        <w:rPr>
          <w:rFonts w:ascii="Times New Roman" w:hAnsi="Times New Roman" w:cs="Times New Roman"/>
          <w:b/>
          <w:i/>
          <w:sz w:val="24"/>
          <w:szCs w:val="24"/>
          <w:vertAlign w:val="baseline"/>
        </w:rPr>
        <w:t>India</w:t>
      </w:r>
    </w:p>
    <w:p w14:paraId="57BFE930" w14:textId="50047350" w:rsidR="001C6724" w:rsidRPr="001C6724" w:rsidRDefault="001C6724" w:rsidP="000632CE">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India submitted its combined fourth and fifth periodic report to the CEDAW Committee on 4 November 2013.</w:t>
      </w:r>
      <w:r w:rsidRPr="001C6724">
        <w:rPr>
          <w:rFonts w:ascii="Times New Roman" w:hAnsi="Times New Roman" w:cs="Times New Roman"/>
          <w:sz w:val="24"/>
          <w:szCs w:val="24"/>
        </w:rPr>
        <w:footnoteReference w:id="783"/>
      </w:r>
      <w:r w:rsidRPr="001C6724">
        <w:rPr>
          <w:rFonts w:ascii="Times New Roman" w:hAnsi="Times New Roman" w:cs="Times New Roman"/>
          <w:sz w:val="24"/>
          <w:szCs w:val="24"/>
          <w:vertAlign w:val="baseline"/>
        </w:rPr>
        <w:t xml:space="preserve"> Within the report, India explains that the National Commission for Women (NCW) has been established under an Act of Parliament, whose mandate is extensive, covering ‘almost all aspects of women’s development.’</w:t>
      </w:r>
      <w:r w:rsidRPr="001C6724">
        <w:rPr>
          <w:rFonts w:ascii="Times New Roman" w:hAnsi="Times New Roman" w:cs="Times New Roman"/>
          <w:sz w:val="24"/>
          <w:szCs w:val="24"/>
        </w:rPr>
        <w:footnoteReference w:id="784"/>
      </w:r>
      <w:r w:rsidRPr="001C6724">
        <w:rPr>
          <w:rFonts w:ascii="Times New Roman" w:hAnsi="Times New Roman" w:cs="Times New Roman"/>
          <w:sz w:val="24"/>
          <w:szCs w:val="24"/>
          <w:vertAlign w:val="baseline"/>
        </w:rPr>
        <w:t xml:space="preserve"> Regarding WAP, the report documents that the NCW has ‘worked on many derogatory practices, namely sati, devadasi</w:t>
      </w:r>
      <w:r w:rsidRPr="001C6724">
        <w:rPr>
          <w:rFonts w:ascii="Times New Roman" w:hAnsi="Times New Roman" w:cs="Times New Roman"/>
          <w:sz w:val="24"/>
          <w:szCs w:val="24"/>
        </w:rPr>
        <w:footnoteReference w:id="785"/>
      </w:r>
      <w:r w:rsidRPr="001C6724">
        <w:rPr>
          <w:rFonts w:ascii="Times New Roman" w:hAnsi="Times New Roman" w:cs="Times New Roman"/>
          <w:sz w:val="24"/>
          <w:szCs w:val="24"/>
          <w:vertAlign w:val="baseline"/>
        </w:rPr>
        <w:t xml:space="preserve"> and other religious practices; witch hunting; acid attacks on women; honour killing etc.,’</w:t>
      </w:r>
      <w:r w:rsidRPr="001C6724">
        <w:rPr>
          <w:rFonts w:ascii="Times New Roman" w:hAnsi="Times New Roman" w:cs="Times New Roman"/>
          <w:sz w:val="24"/>
          <w:szCs w:val="24"/>
        </w:rPr>
        <w:footnoteReference w:id="786"/>
      </w:r>
      <w:r w:rsidRPr="001C6724">
        <w:rPr>
          <w:rFonts w:ascii="Times New Roman" w:hAnsi="Times New Roman" w:cs="Times New Roman"/>
          <w:sz w:val="24"/>
          <w:szCs w:val="24"/>
          <w:vertAlign w:val="baseline"/>
        </w:rPr>
        <w:t xml:space="preserve"> stating that the NCW ‘conducts workshops, seminars and awareness programmes across the country.’</w:t>
      </w:r>
      <w:r w:rsidRPr="001C6724">
        <w:rPr>
          <w:rFonts w:ascii="Times New Roman" w:hAnsi="Times New Roman" w:cs="Times New Roman"/>
          <w:sz w:val="24"/>
          <w:szCs w:val="24"/>
        </w:rPr>
        <w:footnoteReference w:id="787"/>
      </w:r>
      <w:r w:rsidRPr="001C6724">
        <w:rPr>
          <w:rFonts w:ascii="Times New Roman" w:hAnsi="Times New Roman" w:cs="Times New Roman"/>
          <w:sz w:val="24"/>
          <w:szCs w:val="24"/>
          <w:vertAlign w:val="baseline"/>
        </w:rPr>
        <w:t xml:space="preserve"> Moreover, the report states that NCW has ‘studied the efficacy of various legislations and made recommendations and suggestions on different laws.’</w:t>
      </w:r>
      <w:r w:rsidRPr="001C6724">
        <w:rPr>
          <w:rFonts w:ascii="Times New Roman" w:hAnsi="Times New Roman" w:cs="Times New Roman"/>
          <w:sz w:val="24"/>
          <w:szCs w:val="24"/>
        </w:rPr>
        <w:footnoteReference w:id="788"/>
      </w:r>
      <w:r w:rsidRPr="001C6724">
        <w:rPr>
          <w:rFonts w:ascii="Times New Roman" w:hAnsi="Times New Roman" w:cs="Times New Roman"/>
          <w:sz w:val="24"/>
          <w:szCs w:val="24"/>
          <w:vertAlign w:val="baseline"/>
        </w:rPr>
        <w:t xml:space="preserve"> In terms </w:t>
      </w:r>
      <w:r w:rsidR="003F3B69">
        <w:rPr>
          <w:rFonts w:ascii="Times New Roman" w:hAnsi="Times New Roman" w:cs="Times New Roman"/>
          <w:sz w:val="24"/>
          <w:szCs w:val="24"/>
          <w:vertAlign w:val="baseline"/>
        </w:rPr>
        <w:t xml:space="preserve">of </w:t>
      </w:r>
      <w:r w:rsidRPr="001C6724">
        <w:rPr>
          <w:rFonts w:ascii="Times New Roman" w:hAnsi="Times New Roman" w:cs="Times New Roman"/>
          <w:sz w:val="24"/>
          <w:szCs w:val="24"/>
          <w:vertAlign w:val="baseline"/>
        </w:rPr>
        <w:t>VAW, the report states that India has been following a ‘holistic approach’ in terms of protection, rehabilitation and awareness, yet accepts that there is no formal action plan on the issue of VAW.</w:t>
      </w:r>
      <w:r w:rsidRPr="001C6724">
        <w:rPr>
          <w:rFonts w:ascii="Times New Roman" w:hAnsi="Times New Roman" w:cs="Times New Roman"/>
          <w:sz w:val="24"/>
          <w:szCs w:val="24"/>
        </w:rPr>
        <w:footnoteReference w:id="789"/>
      </w:r>
      <w:r w:rsidRPr="001C6724">
        <w:rPr>
          <w:rFonts w:ascii="Times New Roman" w:hAnsi="Times New Roman" w:cs="Times New Roman"/>
          <w:sz w:val="24"/>
          <w:szCs w:val="24"/>
          <w:vertAlign w:val="baseline"/>
        </w:rPr>
        <w:t xml:space="preserve"> The report details the enactment of The Protection of Women from Domestic Violence Act 2005,</w:t>
      </w:r>
      <w:r w:rsidRPr="001C6724">
        <w:rPr>
          <w:rFonts w:ascii="Times New Roman" w:hAnsi="Times New Roman" w:cs="Times New Roman"/>
          <w:sz w:val="24"/>
          <w:szCs w:val="24"/>
        </w:rPr>
        <w:footnoteReference w:id="790"/>
      </w:r>
      <w:r w:rsidRPr="001C6724">
        <w:rPr>
          <w:rFonts w:ascii="Times New Roman" w:hAnsi="Times New Roman" w:cs="Times New Roman"/>
          <w:sz w:val="24"/>
          <w:szCs w:val="24"/>
          <w:vertAlign w:val="baseline"/>
        </w:rPr>
        <w:t xml:space="preserve"> in compliance with the Beijing Platform for Action and CEDAW, which seeks to ‘prevent violence at the domestic front and provides for remedial measures to women who are victims of domestic violence,’</w:t>
      </w:r>
      <w:r w:rsidRPr="001C6724">
        <w:rPr>
          <w:rFonts w:ascii="Times New Roman" w:hAnsi="Times New Roman" w:cs="Times New Roman"/>
          <w:sz w:val="24"/>
          <w:szCs w:val="24"/>
        </w:rPr>
        <w:footnoteReference w:id="791"/>
      </w:r>
      <w:r w:rsidRPr="001C6724">
        <w:rPr>
          <w:rFonts w:ascii="Times New Roman" w:hAnsi="Times New Roman" w:cs="Times New Roman"/>
          <w:sz w:val="24"/>
          <w:szCs w:val="24"/>
          <w:vertAlign w:val="baseline"/>
        </w:rPr>
        <w:t xml:space="preserve"> and the Communal Violence (Prevention, Control and Rehabilitation of Victims) Bill 2005,</w:t>
      </w:r>
      <w:r w:rsidRPr="001C6724">
        <w:rPr>
          <w:rFonts w:ascii="Times New Roman" w:hAnsi="Times New Roman" w:cs="Times New Roman"/>
          <w:sz w:val="24"/>
          <w:szCs w:val="24"/>
        </w:rPr>
        <w:footnoteReference w:id="792"/>
      </w:r>
      <w:r w:rsidRPr="001C6724">
        <w:rPr>
          <w:rFonts w:ascii="Times New Roman" w:hAnsi="Times New Roman" w:cs="Times New Roman"/>
          <w:sz w:val="24"/>
          <w:szCs w:val="24"/>
          <w:vertAlign w:val="baseline"/>
        </w:rPr>
        <w:t xml:space="preserve"> which seeks to prevent violence in the community, whilst ensuring that the Government of India ‘promotes, supports and implements legislations, policies and programmes to counter challenges women face throughout their life.’</w:t>
      </w:r>
      <w:r w:rsidRPr="001C6724">
        <w:rPr>
          <w:rFonts w:ascii="Times New Roman" w:hAnsi="Times New Roman" w:cs="Times New Roman"/>
          <w:sz w:val="24"/>
          <w:szCs w:val="24"/>
        </w:rPr>
        <w:footnoteReference w:id="793"/>
      </w:r>
      <w:r w:rsidRPr="001C6724">
        <w:rPr>
          <w:rFonts w:ascii="Times New Roman" w:hAnsi="Times New Roman" w:cs="Times New Roman"/>
          <w:sz w:val="24"/>
          <w:szCs w:val="24"/>
          <w:vertAlign w:val="baseline"/>
        </w:rPr>
        <w:t xml:space="preserve"> As regards the issue of WAP, India concedes that ‘the practice of witch hunting is prevalent in several states.’</w:t>
      </w:r>
      <w:r w:rsidRPr="001C6724">
        <w:rPr>
          <w:rFonts w:ascii="Times New Roman" w:hAnsi="Times New Roman" w:cs="Times New Roman"/>
          <w:sz w:val="24"/>
          <w:szCs w:val="24"/>
        </w:rPr>
        <w:footnoteReference w:id="794"/>
      </w:r>
      <w:r w:rsidRPr="001C6724">
        <w:rPr>
          <w:rFonts w:ascii="Times New Roman" w:hAnsi="Times New Roman" w:cs="Times New Roman"/>
          <w:sz w:val="24"/>
          <w:szCs w:val="24"/>
          <w:vertAlign w:val="baseline"/>
        </w:rPr>
        <w:t xml:space="preserve"> The report states that WAP is ‘a matter exclusively being handled by State Governments’</w:t>
      </w:r>
      <w:r w:rsidRPr="001C6724">
        <w:rPr>
          <w:rFonts w:ascii="Times New Roman" w:hAnsi="Times New Roman" w:cs="Times New Roman"/>
          <w:sz w:val="24"/>
          <w:szCs w:val="24"/>
        </w:rPr>
        <w:footnoteReference w:id="795"/>
      </w:r>
      <w:r w:rsidRPr="001C6724">
        <w:rPr>
          <w:rFonts w:ascii="Times New Roman" w:hAnsi="Times New Roman" w:cs="Times New Roman"/>
          <w:sz w:val="24"/>
          <w:szCs w:val="24"/>
          <w:vertAlign w:val="baseline"/>
        </w:rPr>
        <w:t xml:space="preserve"> citing Bihar and Jharkhand, where legislation has b</w:t>
      </w:r>
      <w:r w:rsidR="00C7771A">
        <w:rPr>
          <w:rFonts w:ascii="Times New Roman" w:hAnsi="Times New Roman" w:cs="Times New Roman"/>
          <w:sz w:val="24"/>
          <w:szCs w:val="24"/>
          <w:vertAlign w:val="baseline"/>
        </w:rPr>
        <w:t>een implemented to contain WAP.</w:t>
      </w:r>
    </w:p>
    <w:p w14:paraId="7861AD80"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564A0A40" w14:textId="77777777" w:rsidR="001C6724" w:rsidRPr="001C6724" w:rsidRDefault="001C6724" w:rsidP="00617A25">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Bihar was the first State to pass Anti-Witch Hunting Act, 1999. The Prevention of Witch (DAAIN) Practices Act, 2001 has been passed by the State of Jharkhand. This Act provides for effective measures to prevent the witch hunting practice and identification of a woman as witch and her oppression mostly in tribal areas. Information, Education and Communication campaigns are undertaken to create public awareness on issues such as witch hunting, sex-selective abortion, child marriage etc.</w:t>
      </w:r>
      <w:r w:rsidRPr="001C6724">
        <w:rPr>
          <w:rFonts w:ascii="Times New Roman" w:hAnsi="Times New Roman" w:cs="Times New Roman"/>
          <w:sz w:val="24"/>
          <w:szCs w:val="24"/>
        </w:rPr>
        <w:footnoteReference w:id="796"/>
      </w:r>
    </w:p>
    <w:p w14:paraId="264D6D5B"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4A66E001" w14:textId="77777777" w:rsidR="005D411D" w:rsidRDefault="001C6724" w:rsidP="007A2F97">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In response to the fourth and fifth periodic report of India, the CEDAW Committee produced a list of issues and questions for India on 28 October 2013.</w:t>
      </w:r>
      <w:r w:rsidRPr="001C6724">
        <w:rPr>
          <w:rFonts w:ascii="Times New Roman" w:hAnsi="Times New Roman" w:cs="Times New Roman"/>
          <w:sz w:val="24"/>
          <w:szCs w:val="24"/>
        </w:rPr>
        <w:footnoteReference w:id="797"/>
      </w:r>
      <w:r w:rsidRPr="001C6724">
        <w:rPr>
          <w:rFonts w:ascii="Times New Roman" w:hAnsi="Times New Roman" w:cs="Times New Roman"/>
          <w:sz w:val="24"/>
          <w:szCs w:val="24"/>
          <w:vertAlign w:val="baseline"/>
        </w:rPr>
        <w:t xml:space="preserve"> On the issue of Communal violence, the Committee asks for clarification on the status of the Communal Violence (Prevention, Control and Rehabilitation of Victims) Bill 2005, whilst asking India to, ‘indicate measures in place to protect women and girls, in particular those belonging to religious or cultural minorities, from indiscriminate attacks, and the reoccurrence thereof, in the context of communal violence in the State party.’</w:t>
      </w:r>
      <w:r w:rsidRPr="001C6724">
        <w:rPr>
          <w:rFonts w:ascii="Times New Roman" w:hAnsi="Times New Roman" w:cs="Times New Roman"/>
          <w:sz w:val="24"/>
          <w:szCs w:val="24"/>
        </w:rPr>
        <w:footnoteReference w:id="798"/>
      </w:r>
      <w:r w:rsidRPr="001C6724">
        <w:rPr>
          <w:rFonts w:ascii="Times New Roman" w:hAnsi="Times New Roman" w:cs="Times New Roman"/>
          <w:sz w:val="24"/>
          <w:szCs w:val="24"/>
          <w:vertAlign w:val="baseline"/>
        </w:rPr>
        <w:t xml:space="preserve"> On the issue of WAP, the Committee, asks for further information on the findings of NCW studies, requesting ‘specific examples of such legislation and other measures taken and results achieved to eliminate harmful practices against women and girls,’</w:t>
      </w:r>
      <w:r w:rsidRPr="001C6724">
        <w:rPr>
          <w:rFonts w:ascii="Times New Roman" w:hAnsi="Times New Roman" w:cs="Times New Roman"/>
          <w:sz w:val="24"/>
          <w:szCs w:val="24"/>
        </w:rPr>
        <w:footnoteReference w:id="799"/>
      </w:r>
      <w:r w:rsidRPr="001C6724">
        <w:rPr>
          <w:rFonts w:ascii="Times New Roman" w:hAnsi="Times New Roman" w:cs="Times New Roman"/>
          <w:sz w:val="24"/>
          <w:szCs w:val="24"/>
          <w:vertAlign w:val="baseline"/>
        </w:rPr>
        <w:t xml:space="preserve"> whilst also requesting information on ‘measures taken to modify gender stereotypes and cultural beliefs that portray women in a subordinate role in society, including in textbooks and the media.’</w:t>
      </w:r>
      <w:r w:rsidRPr="001C6724">
        <w:rPr>
          <w:rFonts w:ascii="Times New Roman" w:hAnsi="Times New Roman" w:cs="Times New Roman"/>
          <w:sz w:val="24"/>
          <w:szCs w:val="24"/>
        </w:rPr>
        <w:footnoteReference w:id="800"/>
      </w:r>
      <w:r w:rsidRPr="001C6724">
        <w:rPr>
          <w:rFonts w:ascii="Times New Roman" w:hAnsi="Times New Roman" w:cs="Times New Roman"/>
          <w:sz w:val="24"/>
          <w:szCs w:val="24"/>
          <w:vertAlign w:val="baseline"/>
        </w:rPr>
        <w:t xml:space="preserve"> </w:t>
      </w:r>
    </w:p>
    <w:p w14:paraId="5ACE1E3E" w14:textId="77777777" w:rsidR="005D411D" w:rsidRDefault="005D411D" w:rsidP="007A2F97">
      <w:pPr>
        <w:spacing w:line="480" w:lineRule="auto"/>
        <w:ind w:firstLine="720"/>
        <w:jc w:val="both"/>
        <w:rPr>
          <w:rFonts w:ascii="Times New Roman" w:hAnsi="Times New Roman" w:cs="Times New Roman"/>
          <w:sz w:val="24"/>
          <w:szCs w:val="24"/>
          <w:vertAlign w:val="baseline"/>
        </w:rPr>
      </w:pPr>
    </w:p>
    <w:p w14:paraId="036912E8" w14:textId="46A940C0" w:rsidR="001C6724" w:rsidRPr="001C6724" w:rsidRDefault="001C6724" w:rsidP="007A2F97">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India responded to the Committee’</w:t>
      </w:r>
      <w:r w:rsidR="008B4D0A">
        <w:rPr>
          <w:rFonts w:ascii="Times New Roman" w:hAnsi="Times New Roman" w:cs="Times New Roman"/>
          <w:sz w:val="24"/>
          <w:szCs w:val="24"/>
          <w:vertAlign w:val="baseline"/>
        </w:rPr>
        <w:t>s</w:t>
      </w:r>
      <w:r w:rsidRPr="001C6724">
        <w:rPr>
          <w:rFonts w:ascii="Times New Roman" w:hAnsi="Times New Roman" w:cs="Times New Roman"/>
          <w:sz w:val="24"/>
          <w:szCs w:val="24"/>
          <w:vertAlign w:val="baseline"/>
        </w:rPr>
        <w:t xml:space="preserve"> list of questions on 23 January 2014.</w:t>
      </w:r>
      <w:r w:rsidRPr="001C6724">
        <w:rPr>
          <w:rFonts w:ascii="Times New Roman" w:hAnsi="Times New Roman" w:cs="Times New Roman"/>
          <w:sz w:val="24"/>
          <w:szCs w:val="24"/>
        </w:rPr>
        <w:footnoteReference w:id="801"/>
      </w:r>
      <w:r w:rsidRPr="001C6724">
        <w:rPr>
          <w:rFonts w:ascii="Times New Roman" w:hAnsi="Times New Roman" w:cs="Times New Roman"/>
          <w:sz w:val="24"/>
          <w:szCs w:val="24"/>
          <w:vertAlign w:val="baseline"/>
        </w:rPr>
        <w:t xml:space="preserve"> In response to questions regarding the Communal Violence Bill 2005, India responded stating that the Bill has ‘undergone several changes after comprehensive consultations and a modified Bill titled Prevention of Communal and Targeted Violence (Access to Justice and Reparation) Bill 2011 has been approved by the Government for introduction in Parliament.’</w:t>
      </w:r>
      <w:r w:rsidRPr="001C6724">
        <w:rPr>
          <w:rFonts w:ascii="Times New Roman" w:hAnsi="Times New Roman" w:cs="Times New Roman"/>
          <w:sz w:val="24"/>
          <w:szCs w:val="24"/>
        </w:rPr>
        <w:footnoteReference w:id="802"/>
      </w:r>
      <w:r w:rsidRPr="001C6724">
        <w:rPr>
          <w:rFonts w:ascii="Times New Roman" w:hAnsi="Times New Roman" w:cs="Times New Roman"/>
          <w:sz w:val="24"/>
          <w:szCs w:val="24"/>
          <w:vertAlign w:val="baseline"/>
        </w:rPr>
        <w:t xml:space="preserve"> In terms of indicating measures to protect women and girls from communal violence, India stated that ‘women centric legislations’</w:t>
      </w:r>
      <w:r w:rsidRPr="001C6724">
        <w:rPr>
          <w:rFonts w:ascii="Times New Roman" w:hAnsi="Times New Roman" w:cs="Times New Roman"/>
          <w:sz w:val="24"/>
          <w:szCs w:val="24"/>
        </w:rPr>
        <w:footnoteReference w:id="803"/>
      </w:r>
      <w:r w:rsidRPr="001C6724">
        <w:rPr>
          <w:rFonts w:ascii="Times New Roman" w:hAnsi="Times New Roman" w:cs="Times New Roman"/>
          <w:sz w:val="24"/>
          <w:szCs w:val="24"/>
          <w:vertAlign w:val="baseline"/>
        </w:rPr>
        <w:t xml:space="preserve"> have been implemented, complemented by bringing together of religious and community leaders, in order to ‘restore normalcy and impress upon them the need to maintain law and order.’</w:t>
      </w:r>
      <w:r w:rsidRPr="001C6724">
        <w:rPr>
          <w:rFonts w:ascii="Times New Roman" w:hAnsi="Times New Roman" w:cs="Times New Roman"/>
          <w:sz w:val="24"/>
          <w:szCs w:val="24"/>
        </w:rPr>
        <w:footnoteReference w:id="804"/>
      </w:r>
      <w:r w:rsidRPr="001C6724">
        <w:rPr>
          <w:rFonts w:ascii="Times New Roman" w:hAnsi="Times New Roman" w:cs="Times New Roman"/>
          <w:sz w:val="24"/>
          <w:szCs w:val="24"/>
          <w:vertAlign w:val="baseline"/>
        </w:rPr>
        <w:t xml:space="preserve"> In regards to the prevalence of WAP, the response from India is somewhat limited; ‘Incidents of witch hunting are generally localised. Some of the States, where this problem is concentrated, have already enacted such legislations for preventing witchcraft and similar practices.’</w:t>
      </w:r>
      <w:r w:rsidRPr="001C6724">
        <w:rPr>
          <w:rFonts w:ascii="Times New Roman" w:hAnsi="Times New Roman" w:cs="Times New Roman"/>
          <w:sz w:val="24"/>
          <w:szCs w:val="24"/>
        </w:rPr>
        <w:footnoteReference w:id="805"/>
      </w:r>
      <w:r w:rsidRPr="001C6724">
        <w:rPr>
          <w:rFonts w:ascii="Times New Roman" w:hAnsi="Times New Roman" w:cs="Times New Roman"/>
          <w:sz w:val="24"/>
          <w:szCs w:val="24"/>
          <w:vertAlign w:val="baseline"/>
        </w:rPr>
        <w:t xml:space="preserve"> Unfortunately, considering the continued prevalence of WAP in India, it would appear that the preventative legislation is failing. Moreover, given that WAP is widespread throughout India,</w:t>
      </w:r>
      <w:r w:rsidRPr="001C6724">
        <w:rPr>
          <w:rFonts w:ascii="Times New Roman" w:hAnsi="Times New Roman" w:cs="Times New Roman"/>
          <w:sz w:val="24"/>
          <w:szCs w:val="24"/>
        </w:rPr>
        <w:footnoteReference w:id="806"/>
      </w:r>
      <w:r w:rsidRPr="001C6724">
        <w:rPr>
          <w:rFonts w:ascii="Times New Roman" w:hAnsi="Times New Roman" w:cs="Times New Roman"/>
          <w:sz w:val="24"/>
          <w:szCs w:val="24"/>
          <w:vertAlign w:val="baseline"/>
        </w:rPr>
        <w:t xml:space="preserve"> I would question the ‘localised’ nature of WAP. </w:t>
      </w:r>
      <w:r w:rsidR="001858BD">
        <w:rPr>
          <w:rFonts w:ascii="Times New Roman" w:hAnsi="Times New Roman" w:cs="Times New Roman"/>
          <w:sz w:val="24"/>
          <w:szCs w:val="24"/>
          <w:vertAlign w:val="baseline"/>
        </w:rPr>
        <w:t>The existence and the effectiveness of national/state legislation will be considered in the next chapter.</w:t>
      </w:r>
    </w:p>
    <w:p w14:paraId="7106EF66"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321B00D6" w14:textId="335D56E2" w:rsidR="001C6724" w:rsidRPr="001C6724" w:rsidRDefault="001C6724" w:rsidP="00B74BA4">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The Committee, in their Concluding Observations on 24 July 2014,</w:t>
      </w:r>
      <w:r w:rsidRPr="001C6724">
        <w:rPr>
          <w:rFonts w:ascii="Times New Roman" w:hAnsi="Times New Roman" w:cs="Times New Roman"/>
          <w:sz w:val="24"/>
          <w:szCs w:val="24"/>
        </w:rPr>
        <w:footnoteReference w:id="807"/>
      </w:r>
      <w:r w:rsidRPr="001C6724">
        <w:rPr>
          <w:rFonts w:ascii="Times New Roman" w:hAnsi="Times New Roman" w:cs="Times New Roman"/>
          <w:sz w:val="24"/>
          <w:szCs w:val="24"/>
          <w:vertAlign w:val="baseline"/>
        </w:rPr>
        <w:t xml:space="preserve"> also documents concern for the persistence of WAP. On the issue of stereotypes and harmful practices, the Committee reiterates its concern that India has upheld their declarations to articles 5(a) and 16 (1) and (2) of CEDAW, which is ‘incompatible with India’s Constitutional guarantees of equality and non-discrimination.</w:t>
      </w:r>
      <w:r w:rsidRPr="001C6724">
        <w:rPr>
          <w:rFonts w:ascii="Times New Roman" w:hAnsi="Times New Roman" w:cs="Times New Roman"/>
          <w:sz w:val="24"/>
          <w:szCs w:val="24"/>
        </w:rPr>
        <w:footnoteReference w:id="808"/>
      </w:r>
      <w:r w:rsidRPr="001C6724">
        <w:rPr>
          <w:rFonts w:ascii="Times New Roman" w:hAnsi="Times New Roman" w:cs="Times New Roman"/>
          <w:sz w:val="24"/>
          <w:szCs w:val="24"/>
          <w:vertAlign w:val="baseline"/>
        </w:rPr>
        <w:t xml:space="preserve"> Furthermore, the Committee expresses concern at ‘the persistence of patriarchal attitudes and deep-rooted stereotypes entrenched in the social, cultural, economic and political institutions and structures of Indian society and in the media that discriminate against women.’</w:t>
      </w:r>
      <w:r w:rsidRPr="001C6724">
        <w:rPr>
          <w:rFonts w:ascii="Times New Roman" w:hAnsi="Times New Roman" w:cs="Times New Roman"/>
          <w:sz w:val="24"/>
          <w:szCs w:val="24"/>
        </w:rPr>
        <w:footnoteReference w:id="809"/>
      </w:r>
      <w:r w:rsidRPr="001C6724">
        <w:rPr>
          <w:rFonts w:ascii="Times New Roman" w:hAnsi="Times New Roman" w:cs="Times New Roman"/>
          <w:sz w:val="24"/>
          <w:szCs w:val="24"/>
          <w:vertAlign w:val="baseline"/>
        </w:rPr>
        <w:t xml:space="preserve"> Further concern is expressed about the ‘persistence of harmful traditional practices in the State party, such as child marriage, the dowry system, so-called “honour killings,” sex-selective abortion, sati, devadasi and accusing women of witchcraft,’</w:t>
      </w:r>
      <w:r w:rsidRPr="001C6724">
        <w:rPr>
          <w:rFonts w:ascii="Times New Roman" w:hAnsi="Times New Roman" w:cs="Times New Roman"/>
          <w:sz w:val="24"/>
          <w:szCs w:val="24"/>
        </w:rPr>
        <w:footnoteReference w:id="810"/>
      </w:r>
      <w:r w:rsidRPr="001C6724">
        <w:rPr>
          <w:rFonts w:ascii="Times New Roman" w:hAnsi="Times New Roman" w:cs="Times New Roman"/>
          <w:sz w:val="24"/>
          <w:szCs w:val="24"/>
          <w:vertAlign w:val="baseline"/>
        </w:rPr>
        <w:t xml:space="preserve"> with a particular emphasis on the lack of ‘sufficient, sustained and systematic action’ taken, by India, to modify or eliminate these harmful practices.</w:t>
      </w:r>
      <w:r w:rsidRPr="001C6724">
        <w:rPr>
          <w:rFonts w:ascii="Times New Roman" w:hAnsi="Times New Roman" w:cs="Times New Roman"/>
          <w:sz w:val="24"/>
          <w:szCs w:val="24"/>
        </w:rPr>
        <w:footnoteReference w:id="811"/>
      </w:r>
      <w:r w:rsidRPr="001C6724">
        <w:rPr>
          <w:rFonts w:ascii="Times New Roman" w:hAnsi="Times New Roman" w:cs="Times New Roman"/>
          <w:sz w:val="24"/>
          <w:szCs w:val="24"/>
          <w:vertAlign w:val="baseline"/>
        </w:rPr>
        <w:t xml:space="preserve"> Recommendations specified by the Committee include the reiteration of its previous concluding observations, seven years previous to the current report, ‘the Committee reiterates its previous concluding observations (CEDAW/C/IND/CO/3, para 11).’</w:t>
      </w:r>
      <w:r w:rsidRPr="001C6724">
        <w:rPr>
          <w:rFonts w:ascii="Times New Roman" w:hAnsi="Times New Roman" w:cs="Times New Roman"/>
          <w:sz w:val="24"/>
          <w:szCs w:val="24"/>
        </w:rPr>
        <w:footnoteReference w:id="812"/>
      </w:r>
      <w:r w:rsidRPr="001C6724">
        <w:rPr>
          <w:rFonts w:ascii="Times New Roman" w:hAnsi="Times New Roman" w:cs="Times New Roman"/>
          <w:sz w:val="24"/>
          <w:szCs w:val="24"/>
          <w:vertAlign w:val="baseline"/>
        </w:rPr>
        <w:t xml:space="preserve"> Paragraph 11 of the previous report states, </w:t>
      </w:r>
    </w:p>
    <w:p w14:paraId="50FBD10E"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678FF294" w14:textId="77777777" w:rsidR="001C6724" w:rsidRPr="001C6724" w:rsidRDefault="001C6724" w:rsidP="00B71FAA">
      <w:pPr>
        <w:spacing w:line="480" w:lineRule="auto"/>
        <w:ind w:left="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The Committee urges the State party to review its reservations to articles 5 (a) and 16 (1) with a view to withdrawing them, to proactively initiate and encourage debate within the relevant communities on gender equality and the human rights of women and, in particular, work with and support women’s groups as members of these communities so as to (a) modify social and cultural patterns of conduct to achieve elimination of prejudices and practices based on stereotyped roles for men and women and (b) review and reform personal laws of different ethnic and religious groups to ensure de jure gender equality and compliance with the Convention.</w:t>
      </w:r>
      <w:r w:rsidRPr="001C6724">
        <w:rPr>
          <w:rFonts w:ascii="Times New Roman" w:hAnsi="Times New Roman" w:cs="Times New Roman"/>
          <w:sz w:val="24"/>
          <w:szCs w:val="24"/>
        </w:rPr>
        <w:t xml:space="preserve"> </w:t>
      </w:r>
      <w:r w:rsidRPr="001C6724">
        <w:rPr>
          <w:rFonts w:ascii="Times New Roman" w:hAnsi="Times New Roman" w:cs="Times New Roman"/>
          <w:sz w:val="24"/>
          <w:szCs w:val="24"/>
        </w:rPr>
        <w:footnoteReference w:id="813"/>
      </w:r>
    </w:p>
    <w:p w14:paraId="185A1892"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536D55BB" w14:textId="1BF40BF4" w:rsidR="001C6724" w:rsidRPr="001C6724" w:rsidRDefault="001C6724" w:rsidP="001C6724">
      <w:pPr>
        <w:spacing w:line="480" w:lineRule="auto"/>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 xml:space="preserve">Unfortunately, the very fact that Committee has had to reiterate prior Concluding Observations shows India’s lack of engagement with </w:t>
      </w:r>
      <w:r w:rsidR="00881B55">
        <w:rPr>
          <w:rFonts w:ascii="Times New Roman" w:hAnsi="Times New Roman" w:cs="Times New Roman"/>
          <w:sz w:val="24"/>
          <w:szCs w:val="24"/>
          <w:vertAlign w:val="baseline"/>
        </w:rPr>
        <w:t>the Committee’s recommendations</w:t>
      </w:r>
      <w:r w:rsidRPr="001C6724">
        <w:rPr>
          <w:rFonts w:ascii="Times New Roman" w:hAnsi="Times New Roman" w:cs="Times New Roman"/>
          <w:sz w:val="24"/>
          <w:szCs w:val="24"/>
          <w:vertAlign w:val="baseline"/>
        </w:rPr>
        <w:t xml:space="preserve"> and</w:t>
      </w:r>
      <w:r w:rsidR="00881B55">
        <w:rPr>
          <w:rFonts w:ascii="Times New Roman" w:hAnsi="Times New Roman" w:cs="Times New Roman"/>
          <w:sz w:val="24"/>
          <w:szCs w:val="24"/>
          <w:vertAlign w:val="baseline"/>
        </w:rPr>
        <w:t>,</w:t>
      </w:r>
      <w:r w:rsidRPr="001C6724">
        <w:rPr>
          <w:rFonts w:ascii="Times New Roman" w:hAnsi="Times New Roman" w:cs="Times New Roman"/>
          <w:sz w:val="24"/>
          <w:szCs w:val="24"/>
          <w:vertAlign w:val="baseline"/>
        </w:rPr>
        <w:t xml:space="preserve"> in particular</w:t>
      </w:r>
      <w:r w:rsidR="00881B55">
        <w:rPr>
          <w:rFonts w:ascii="Times New Roman" w:hAnsi="Times New Roman" w:cs="Times New Roman"/>
          <w:sz w:val="24"/>
          <w:szCs w:val="24"/>
          <w:vertAlign w:val="baseline"/>
        </w:rPr>
        <w:t>,</w:t>
      </w:r>
      <w:r w:rsidRPr="001C6724">
        <w:rPr>
          <w:rFonts w:ascii="Times New Roman" w:hAnsi="Times New Roman" w:cs="Times New Roman"/>
          <w:sz w:val="24"/>
          <w:szCs w:val="24"/>
          <w:vertAlign w:val="baseline"/>
        </w:rPr>
        <w:t xml:space="preserve"> the unwillingness to tackle and address patriarchal attitudes and stereotypes that discriminate against women.  </w:t>
      </w:r>
    </w:p>
    <w:p w14:paraId="247EC5B8"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2E73F511" w14:textId="201C5031" w:rsidR="001C6724" w:rsidRPr="007A4EEB" w:rsidRDefault="007A4EEB" w:rsidP="001C6724">
      <w:pPr>
        <w:spacing w:line="480" w:lineRule="auto"/>
        <w:jc w:val="both"/>
        <w:rPr>
          <w:rFonts w:ascii="Times New Roman" w:hAnsi="Times New Roman" w:cs="Times New Roman"/>
          <w:b/>
          <w:i/>
          <w:sz w:val="24"/>
          <w:szCs w:val="24"/>
          <w:vertAlign w:val="baseline"/>
        </w:rPr>
      </w:pPr>
      <w:r w:rsidRPr="007A4EEB">
        <w:rPr>
          <w:rFonts w:ascii="Times New Roman" w:hAnsi="Times New Roman" w:cs="Times New Roman"/>
          <w:b/>
          <w:i/>
          <w:sz w:val="24"/>
          <w:szCs w:val="24"/>
          <w:vertAlign w:val="baseline"/>
        </w:rPr>
        <w:t>5</w:t>
      </w:r>
      <w:r w:rsidR="00714370" w:rsidRPr="007A4EEB">
        <w:rPr>
          <w:rFonts w:ascii="Times New Roman" w:hAnsi="Times New Roman" w:cs="Times New Roman"/>
          <w:b/>
          <w:i/>
          <w:sz w:val="24"/>
          <w:szCs w:val="24"/>
          <w:vertAlign w:val="baseline"/>
        </w:rPr>
        <w:t xml:space="preserve">.4.3 </w:t>
      </w:r>
      <w:r w:rsidR="001C6724" w:rsidRPr="007A4EEB">
        <w:rPr>
          <w:rFonts w:ascii="Times New Roman" w:hAnsi="Times New Roman" w:cs="Times New Roman"/>
          <w:b/>
          <w:i/>
          <w:sz w:val="24"/>
          <w:szCs w:val="24"/>
          <w:vertAlign w:val="baseline"/>
        </w:rPr>
        <w:t>Ghana</w:t>
      </w:r>
    </w:p>
    <w:p w14:paraId="318D631F" w14:textId="77777777" w:rsidR="001C6724" w:rsidRPr="001C6724" w:rsidRDefault="001C6724" w:rsidP="00267648">
      <w:pPr>
        <w:spacing w:line="480" w:lineRule="auto"/>
        <w:ind w:firstLine="720"/>
        <w:jc w:val="both"/>
        <w:rPr>
          <w:rFonts w:ascii="Times New Roman" w:hAnsi="Times New Roman" w:cs="Times New Roman"/>
          <w:b/>
          <w:sz w:val="24"/>
          <w:szCs w:val="24"/>
          <w:u w:val="single"/>
          <w:vertAlign w:val="baseline"/>
        </w:rPr>
      </w:pPr>
      <w:r w:rsidRPr="001C6724">
        <w:rPr>
          <w:rFonts w:ascii="Times New Roman" w:hAnsi="Times New Roman" w:cs="Times New Roman"/>
          <w:sz w:val="24"/>
          <w:szCs w:val="24"/>
          <w:vertAlign w:val="baseline"/>
        </w:rPr>
        <w:t>Ghana submitted its combined sixth and seventh periodic reports to the CEDAW Committee on 12 June 2012.</w:t>
      </w:r>
      <w:r w:rsidRPr="001C6724">
        <w:rPr>
          <w:rFonts w:ascii="Times New Roman" w:hAnsi="Times New Roman" w:cs="Times New Roman"/>
          <w:sz w:val="24"/>
          <w:szCs w:val="24"/>
        </w:rPr>
        <w:footnoteReference w:id="814"/>
      </w:r>
      <w:r w:rsidRPr="001C6724">
        <w:rPr>
          <w:rFonts w:ascii="Times New Roman" w:hAnsi="Times New Roman" w:cs="Times New Roman"/>
          <w:sz w:val="24"/>
          <w:szCs w:val="24"/>
          <w:vertAlign w:val="baseline"/>
        </w:rPr>
        <w:t xml:space="preserve"> Regarding the advancement of women, the report states that the Ministry of Women and Children’s Affairs (MOWAC) is the key organisation in protecting the rights of women and children.</w:t>
      </w:r>
      <w:r w:rsidRPr="001C6724">
        <w:rPr>
          <w:rFonts w:ascii="Times New Roman" w:hAnsi="Times New Roman" w:cs="Times New Roman"/>
          <w:sz w:val="24"/>
          <w:szCs w:val="24"/>
        </w:rPr>
        <w:footnoteReference w:id="815"/>
      </w:r>
      <w:r w:rsidRPr="001C6724">
        <w:rPr>
          <w:rFonts w:ascii="Times New Roman" w:hAnsi="Times New Roman" w:cs="Times New Roman"/>
          <w:sz w:val="24"/>
          <w:szCs w:val="24"/>
          <w:vertAlign w:val="baseline"/>
        </w:rPr>
        <w:t xml:space="preserve"> Moreover, regarding human rights issues, the report refers to the Commission on Human Rights and Administrative Justice (CHRAJ), who has a ‘broad mandate to protect and promote universal rights and freedoms.’</w:t>
      </w:r>
      <w:r w:rsidRPr="001C6724">
        <w:rPr>
          <w:rFonts w:ascii="Times New Roman" w:hAnsi="Times New Roman" w:cs="Times New Roman"/>
          <w:sz w:val="24"/>
          <w:szCs w:val="24"/>
        </w:rPr>
        <w:footnoteReference w:id="816"/>
      </w:r>
      <w:r w:rsidRPr="001C6724">
        <w:rPr>
          <w:rFonts w:ascii="Times New Roman" w:hAnsi="Times New Roman" w:cs="Times New Roman"/>
          <w:sz w:val="24"/>
          <w:szCs w:val="24"/>
          <w:vertAlign w:val="baseline"/>
        </w:rPr>
        <w:t xml:space="preserve"> Part of the mandate of the CHRAJ is to ‘receive and investigate complaints of fundamental rights abuses for remedial action.’</w:t>
      </w:r>
      <w:r w:rsidRPr="001C6724">
        <w:rPr>
          <w:rFonts w:ascii="Times New Roman" w:hAnsi="Times New Roman" w:cs="Times New Roman"/>
          <w:sz w:val="24"/>
          <w:szCs w:val="24"/>
        </w:rPr>
        <w:footnoteReference w:id="817"/>
      </w:r>
      <w:r w:rsidRPr="001C6724">
        <w:rPr>
          <w:rFonts w:ascii="Times New Roman" w:hAnsi="Times New Roman" w:cs="Times New Roman"/>
          <w:sz w:val="24"/>
          <w:szCs w:val="24"/>
          <w:vertAlign w:val="baseline"/>
        </w:rPr>
        <w:t xml:space="preserve"> The CHRAJ includes a focus on women’s rights and the report states that specific areas researched and monitored have involved ‘the practice of female religious bondage (trokosi), widowhood rights and “witches” and prayer camps.’</w:t>
      </w:r>
      <w:r w:rsidRPr="001C6724">
        <w:rPr>
          <w:rFonts w:ascii="Times New Roman" w:hAnsi="Times New Roman" w:cs="Times New Roman"/>
          <w:sz w:val="24"/>
          <w:szCs w:val="24"/>
        </w:rPr>
        <w:footnoteReference w:id="818"/>
      </w:r>
      <w:r w:rsidRPr="001C6724">
        <w:rPr>
          <w:rFonts w:ascii="Times New Roman" w:hAnsi="Times New Roman" w:cs="Times New Roman"/>
          <w:sz w:val="24"/>
          <w:szCs w:val="24"/>
          <w:vertAlign w:val="baseline"/>
        </w:rPr>
        <w:t xml:space="preserve"> There is no further information within the report on WAP or the status of the witch camps. </w:t>
      </w:r>
    </w:p>
    <w:p w14:paraId="18205CDA"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33371423" w14:textId="3AA8966F" w:rsidR="001C6724" w:rsidRDefault="001C6724" w:rsidP="00D62B17">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In response to this report, the CEDAW Committee issued its list of issues and questions to Ghana on 10 March 2014.</w:t>
      </w:r>
      <w:r w:rsidRPr="001C6724">
        <w:rPr>
          <w:rFonts w:ascii="Times New Roman" w:hAnsi="Times New Roman" w:cs="Times New Roman"/>
          <w:sz w:val="24"/>
          <w:szCs w:val="24"/>
        </w:rPr>
        <w:footnoteReference w:id="819"/>
      </w:r>
      <w:r w:rsidRPr="001C6724">
        <w:rPr>
          <w:rFonts w:ascii="Times New Roman" w:hAnsi="Times New Roman" w:cs="Times New Roman"/>
          <w:sz w:val="24"/>
          <w:szCs w:val="24"/>
          <w:vertAlign w:val="baseline"/>
        </w:rPr>
        <w:t xml:space="preserve"> Due to the lack of information regarding WAP, the Committee asked Ghana to provide information on, ‘the prevalence of violence against women who are believed to be witches, the number of such women who are held in camps and on measures to abolish the practice of labelling women as witches and subjecting them to violence.’</w:t>
      </w:r>
      <w:r w:rsidRPr="001C6724">
        <w:rPr>
          <w:rFonts w:ascii="Times New Roman" w:hAnsi="Times New Roman" w:cs="Times New Roman"/>
          <w:sz w:val="24"/>
          <w:szCs w:val="24"/>
        </w:rPr>
        <w:footnoteReference w:id="820"/>
      </w:r>
      <w:r w:rsidRPr="001C6724">
        <w:rPr>
          <w:rFonts w:ascii="Times New Roman" w:hAnsi="Times New Roman" w:cs="Times New Roman"/>
          <w:sz w:val="24"/>
          <w:szCs w:val="24"/>
          <w:vertAlign w:val="baseline"/>
        </w:rPr>
        <w:t xml:space="preserve"> Ghana responded to these questions on 19 September 2014.</w:t>
      </w:r>
      <w:r w:rsidRPr="001C6724">
        <w:rPr>
          <w:rFonts w:ascii="Times New Roman" w:hAnsi="Times New Roman" w:cs="Times New Roman"/>
          <w:sz w:val="24"/>
          <w:szCs w:val="24"/>
        </w:rPr>
        <w:footnoteReference w:id="821"/>
      </w:r>
      <w:r w:rsidRPr="001C6724">
        <w:rPr>
          <w:rFonts w:ascii="Times New Roman" w:hAnsi="Times New Roman" w:cs="Times New Roman"/>
          <w:sz w:val="24"/>
          <w:szCs w:val="24"/>
          <w:vertAlign w:val="baseline"/>
        </w:rPr>
        <w:t xml:space="preserve"> On the issue of stereotypes and harmful practices, Ghana responded that the CHRAJ, ‘has sustained a vigorous campaign and opposition to all aspects of injurious and dehumanising cultural practices, such as FGM, widowhood rites, forced marriages, ritual servitude and maltreatment of women accused of witchcraft.’</w:t>
      </w:r>
      <w:r w:rsidRPr="001C6724">
        <w:rPr>
          <w:rFonts w:ascii="Times New Roman" w:hAnsi="Times New Roman" w:cs="Times New Roman"/>
          <w:sz w:val="24"/>
          <w:szCs w:val="24"/>
        </w:rPr>
        <w:footnoteReference w:id="822"/>
      </w:r>
      <w:r w:rsidRPr="001C6724">
        <w:rPr>
          <w:rFonts w:ascii="Times New Roman" w:hAnsi="Times New Roman" w:cs="Times New Roman"/>
          <w:sz w:val="24"/>
          <w:szCs w:val="24"/>
          <w:vertAlign w:val="baseline"/>
        </w:rPr>
        <w:t xml:space="preserve"> Ghana acknowledges that WAP still exists in the Northern, Upper East and Upper West regions of the country, stating that, </w:t>
      </w:r>
    </w:p>
    <w:p w14:paraId="618AD5AC" w14:textId="77777777" w:rsidR="00D83930" w:rsidRPr="001C6724" w:rsidRDefault="00D83930" w:rsidP="00D62B17">
      <w:pPr>
        <w:spacing w:line="480" w:lineRule="auto"/>
        <w:ind w:firstLine="720"/>
        <w:jc w:val="both"/>
        <w:rPr>
          <w:rFonts w:ascii="Times New Roman" w:hAnsi="Times New Roman" w:cs="Times New Roman"/>
          <w:sz w:val="24"/>
          <w:szCs w:val="24"/>
          <w:vertAlign w:val="baseline"/>
        </w:rPr>
      </w:pPr>
    </w:p>
    <w:p w14:paraId="1B324F9B" w14:textId="26341E53" w:rsidR="001C6724" w:rsidRPr="001C6724" w:rsidRDefault="001C6724" w:rsidP="00D83930">
      <w:pPr>
        <w:spacing w:line="480" w:lineRule="auto"/>
        <w:ind w:left="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Currently, a total of six alleged witch camps are located in five Districts in the Northern Region. These are: Kukuo, Gnani-Tindang, Gambaga, Bonyase, Tindan-zhie (Kpatinga) and Nabuli in Nanumba South, Yendi, East Mamprusi, Central Gonja and Gushegu Districts respectively.</w:t>
      </w:r>
      <w:r w:rsidRPr="001C6724">
        <w:rPr>
          <w:rFonts w:ascii="Times New Roman" w:hAnsi="Times New Roman" w:cs="Times New Roman"/>
          <w:sz w:val="24"/>
          <w:szCs w:val="24"/>
        </w:rPr>
        <w:footnoteReference w:id="823"/>
      </w:r>
    </w:p>
    <w:p w14:paraId="7424BCBB" w14:textId="77777777" w:rsidR="001C6724" w:rsidRPr="001C6724" w:rsidRDefault="001C6724" w:rsidP="00D62B17">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The report then documents the population, ages and origin of women and children within these camps.</w:t>
      </w:r>
      <w:r w:rsidRPr="001C6724">
        <w:rPr>
          <w:rFonts w:ascii="Times New Roman" w:hAnsi="Times New Roman" w:cs="Times New Roman"/>
          <w:sz w:val="24"/>
          <w:szCs w:val="24"/>
        </w:rPr>
        <w:footnoteReference w:id="824"/>
      </w:r>
      <w:r w:rsidRPr="001C6724">
        <w:rPr>
          <w:rFonts w:ascii="Times New Roman" w:hAnsi="Times New Roman" w:cs="Times New Roman"/>
          <w:sz w:val="24"/>
          <w:szCs w:val="24"/>
          <w:vertAlign w:val="baseline"/>
        </w:rPr>
        <w:t xml:space="preserve"> In the report, Ghana acknowledges that witchcraft allegations are ‘highly gendered’ aimed at ‘older females, widows, childless or unmarried women’ due to ‘strongly-held customary beliefs about such women not meeting certain stereotypes.’</w:t>
      </w:r>
      <w:r w:rsidRPr="001C6724">
        <w:rPr>
          <w:rFonts w:ascii="Times New Roman" w:hAnsi="Times New Roman" w:cs="Times New Roman"/>
          <w:sz w:val="24"/>
          <w:szCs w:val="24"/>
        </w:rPr>
        <w:footnoteReference w:id="825"/>
      </w:r>
      <w:r w:rsidRPr="001C6724">
        <w:rPr>
          <w:rFonts w:ascii="Times New Roman" w:hAnsi="Times New Roman" w:cs="Times New Roman"/>
          <w:sz w:val="24"/>
          <w:szCs w:val="24"/>
          <w:vertAlign w:val="baseline"/>
        </w:rPr>
        <w:t xml:space="preserve"> In light of this, Ghana states that measures have been taken to address WAP. These include awareness raising programmes, run by the National Commission for Civic Education (NCCE), on the witch camps and the harmful effects WAP has on women,</w:t>
      </w:r>
      <w:r w:rsidRPr="001C6724">
        <w:rPr>
          <w:rFonts w:ascii="Times New Roman" w:hAnsi="Times New Roman" w:cs="Times New Roman"/>
          <w:sz w:val="24"/>
          <w:szCs w:val="24"/>
        </w:rPr>
        <w:footnoteReference w:id="826"/>
      </w:r>
      <w:r w:rsidRPr="001C6724">
        <w:rPr>
          <w:rFonts w:ascii="Times New Roman" w:hAnsi="Times New Roman" w:cs="Times New Roman"/>
          <w:sz w:val="24"/>
          <w:szCs w:val="24"/>
          <w:vertAlign w:val="baseline"/>
        </w:rPr>
        <w:t xml:space="preserve"> comprehensive research on the camps by the NCCE</w:t>
      </w:r>
      <w:r w:rsidRPr="001C6724">
        <w:rPr>
          <w:rFonts w:ascii="Times New Roman" w:hAnsi="Times New Roman" w:cs="Times New Roman"/>
          <w:sz w:val="24"/>
          <w:szCs w:val="24"/>
        </w:rPr>
        <w:footnoteReference w:id="827"/>
      </w:r>
      <w:r w:rsidRPr="001C6724">
        <w:rPr>
          <w:rFonts w:ascii="Times New Roman" w:hAnsi="Times New Roman" w:cs="Times New Roman"/>
          <w:sz w:val="24"/>
          <w:szCs w:val="24"/>
          <w:vertAlign w:val="baseline"/>
        </w:rPr>
        <w:t xml:space="preserve"> and the development of plans to eliminate the witch camps in conjunction with ActionAid-Ghana and the Go Home Project of the Presbyterian Church of Ghana, who are currently working on the witch camps, with the aim of closing down at least one camp.</w:t>
      </w:r>
      <w:r w:rsidRPr="001C6724">
        <w:rPr>
          <w:rFonts w:ascii="Times New Roman" w:hAnsi="Times New Roman" w:cs="Times New Roman"/>
          <w:sz w:val="24"/>
          <w:szCs w:val="24"/>
        </w:rPr>
        <w:footnoteReference w:id="828"/>
      </w:r>
      <w:r w:rsidRPr="001C6724">
        <w:rPr>
          <w:rFonts w:ascii="Times New Roman" w:hAnsi="Times New Roman" w:cs="Times New Roman"/>
          <w:sz w:val="24"/>
          <w:szCs w:val="24"/>
          <w:vertAlign w:val="baseline"/>
        </w:rPr>
        <w:t xml:space="preserve"> In response to this campaign, in December 2014, the Ghanaian Government disbanded the smallest camp, Bonyase.</w:t>
      </w:r>
      <w:r w:rsidRPr="001C6724">
        <w:rPr>
          <w:rFonts w:ascii="Times New Roman" w:hAnsi="Times New Roman" w:cs="Times New Roman"/>
          <w:sz w:val="24"/>
          <w:szCs w:val="24"/>
        </w:rPr>
        <w:footnoteReference w:id="829"/>
      </w:r>
      <w:r w:rsidRPr="001C6724">
        <w:rPr>
          <w:rFonts w:ascii="Times New Roman" w:hAnsi="Times New Roman" w:cs="Times New Roman"/>
          <w:sz w:val="24"/>
          <w:szCs w:val="24"/>
          <w:vertAlign w:val="baseline"/>
        </w:rPr>
        <w:t xml:space="preserve"> Ghana states that the main objective is reintegration of all alleged witches back into their communities, with 132 alleged witches successfully reintegrated to date. However, Ghana acknowledges that this process is not without difficulties and many societies have struggled to accept these women back into the community. Regarding the living conditions in the camps, Ghana asserts that steps have been made to improve these by the Ministry of Gender, Children and Social Protection (MOGSCP). Steps include giving cash transfers to the camp members, the provision of basic food, portable water, re-roofing of huts and medical screening,</w:t>
      </w:r>
      <w:r w:rsidRPr="001C6724">
        <w:rPr>
          <w:rFonts w:ascii="Times New Roman" w:hAnsi="Times New Roman" w:cs="Times New Roman"/>
          <w:sz w:val="24"/>
          <w:szCs w:val="24"/>
        </w:rPr>
        <w:footnoteReference w:id="830"/>
      </w:r>
      <w:r w:rsidRPr="001C6724">
        <w:rPr>
          <w:rFonts w:ascii="Times New Roman" w:hAnsi="Times New Roman" w:cs="Times New Roman"/>
          <w:sz w:val="24"/>
          <w:szCs w:val="24"/>
          <w:vertAlign w:val="baseline"/>
        </w:rPr>
        <w:t xml:space="preserve"> with vocational skills training introduced to the Gambaga camp, and surrounding communities, by the Lordina foundation.</w:t>
      </w:r>
      <w:r w:rsidRPr="001C6724">
        <w:rPr>
          <w:rFonts w:ascii="Times New Roman" w:hAnsi="Times New Roman" w:cs="Times New Roman"/>
          <w:sz w:val="24"/>
          <w:szCs w:val="24"/>
        </w:rPr>
        <w:footnoteReference w:id="831"/>
      </w:r>
      <w:r w:rsidRPr="001C6724">
        <w:rPr>
          <w:rFonts w:ascii="Times New Roman" w:hAnsi="Times New Roman" w:cs="Times New Roman"/>
          <w:sz w:val="24"/>
          <w:szCs w:val="24"/>
          <w:vertAlign w:val="baseline"/>
        </w:rPr>
        <w:t xml:space="preserve"> </w:t>
      </w:r>
    </w:p>
    <w:p w14:paraId="40694074"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78602306" w14:textId="0528208D" w:rsidR="001C6724" w:rsidRPr="001C6724" w:rsidRDefault="001C6724" w:rsidP="006E5454">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In light of this information received from Ghana, the Committee produced its Concluding Observations on 14 November 2014.</w:t>
      </w:r>
      <w:r w:rsidRPr="001C6724">
        <w:rPr>
          <w:rFonts w:ascii="Times New Roman" w:hAnsi="Times New Roman" w:cs="Times New Roman"/>
          <w:sz w:val="24"/>
          <w:szCs w:val="24"/>
        </w:rPr>
        <w:footnoteReference w:id="832"/>
      </w:r>
      <w:r w:rsidRPr="001C6724">
        <w:rPr>
          <w:rFonts w:ascii="Times New Roman" w:hAnsi="Times New Roman" w:cs="Times New Roman"/>
          <w:sz w:val="24"/>
          <w:szCs w:val="24"/>
          <w:vertAlign w:val="baseline"/>
        </w:rPr>
        <w:t xml:space="preserve"> The Committee noted the measures taken by Ghana to eliminate practices such as FGM, however expressed deep concern at the ‘persisting phenomenon of women being accused of witchcraft.’</w:t>
      </w:r>
      <w:r w:rsidRPr="001C6724">
        <w:rPr>
          <w:rFonts w:ascii="Times New Roman" w:hAnsi="Times New Roman" w:cs="Times New Roman"/>
          <w:sz w:val="24"/>
          <w:szCs w:val="24"/>
        </w:rPr>
        <w:footnoteReference w:id="833"/>
      </w:r>
      <w:r w:rsidRPr="001C6724">
        <w:rPr>
          <w:rFonts w:ascii="Times New Roman" w:hAnsi="Times New Roman" w:cs="Times New Roman"/>
          <w:sz w:val="24"/>
          <w:szCs w:val="24"/>
          <w:vertAlign w:val="baseline"/>
        </w:rPr>
        <w:t xml:space="preserve"> Moreover, concern was expressed at the ‘persistence of cultural norms, practices and traditions,’ together with ‘patriarchal attitudes and deep rooted stereotypes regarding the roles and responsibilities of women in society, which contribute to the persistence if violence against women and harmful practices.’</w:t>
      </w:r>
      <w:r w:rsidRPr="001C6724">
        <w:rPr>
          <w:rFonts w:ascii="Times New Roman" w:hAnsi="Times New Roman" w:cs="Times New Roman"/>
          <w:sz w:val="24"/>
          <w:szCs w:val="24"/>
        </w:rPr>
        <w:footnoteReference w:id="834"/>
      </w:r>
      <w:r w:rsidRPr="001C6724">
        <w:rPr>
          <w:rFonts w:ascii="Times New Roman" w:hAnsi="Times New Roman" w:cs="Times New Roman"/>
          <w:sz w:val="24"/>
          <w:szCs w:val="24"/>
          <w:vertAlign w:val="baseline"/>
        </w:rPr>
        <w:t xml:space="preserve"> Regarding WAP, the Committee expresses concern regarding the persistence of WAP, noting that the high levels of violence have resulted in women seeking refuge in inadequate conditions within ‘witch camps.’ The Committee urges Ghana to ‘put in place, without delay and within a clear time frame, a comprehensive strategy,’</w:t>
      </w:r>
      <w:r w:rsidRPr="001C6724">
        <w:rPr>
          <w:rFonts w:ascii="Times New Roman" w:hAnsi="Times New Roman" w:cs="Times New Roman"/>
          <w:sz w:val="24"/>
          <w:szCs w:val="24"/>
        </w:rPr>
        <w:footnoteReference w:id="835"/>
      </w:r>
      <w:r w:rsidRPr="001C6724">
        <w:rPr>
          <w:rFonts w:ascii="Times New Roman" w:hAnsi="Times New Roman" w:cs="Times New Roman"/>
          <w:sz w:val="24"/>
          <w:szCs w:val="24"/>
          <w:vertAlign w:val="baseline"/>
        </w:rPr>
        <w:t xml:space="preserve"> in conformity with articles 2(f) and 5(a) CEDAW, to eliminate stereotypes and harmful practices such as violence against older women and girls believed to be witches. Regarding the status of the witch camps, the Committee requests a ‘swift closure of all remaining witch camps’ with ‘adequate rehabilitation and safe reinsertion’ of the alleged witches back into their communities or with alternative accommodation and livelihood options.</w:t>
      </w:r>
      <w:r w:rsidRPr="001C6724">
        <w:rPr>
          <w:rFonts w:ascii="Times New Roman" w:hAnsi="Times New Roman" w:cs="Times New Roman"/>
          <w:sz w:val="24"/>
          <w:szCs w:val="24"/>
        </w:rPr>
        <w:footnoteReference w:id="836"/>
      </w:r>
      <w:r w:rsidRPr="001C6724">
        <w:rPr>
          <w:rFonts w:ascii="Times New Roman" w:hAnsi="Times New Roman" w:cs="Times New Roman"/>
          <w:sz w:val="24"/>
          <w:szCs w:val="24"/>
          <w:vertAlign w:val="baseline"/>
        </w:rPr>
        <w:tab/>
      </w:r>
    </w:p>
    <w:p w14:paraId="1B2CA853" w14:textId="77777777" w:rsidR="001C6724" w:rsidRPr="001C6724" w:rsidRDefault="001C6724" w:rsidP="00AC4A8A">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 xml:space="preserve">Regrettably, whilst there has been a notable campaign to eradicate the cultural practice of FGM, the same cannot be said about WAP. Despite acknowledgement by the Ghanaian government of the existence of WAP and measures taken to address this issue, it appears that WAP is not high on the agenda, as per the Committee’s concern at the persistence of such associated high levels of WAP related violence. Whilst efforts have been made by the Ghanaian government to improve conditions within the witch camps, together with attempts at reintegration of accused witches back into society, the reality is that the such attempts fall short when the fundamental issue, the persistence of deep-rooted gender stereotyping of women accused as witches, is not being dealt with. Until this issue is addressed, WAP related violence will continue to persist. </w:t>
      </w:r>
    </w:p>
    <w:p w14:paraId="1B423778" w14:textId="77777777" w:rsidR="001C6724" w:rsidRPr="001C6724" w:rsidRDefault="001C6724" w:rsidP="001C6724">
      <w:pPr>
        <w:spacing w:line="480" w:lineRule="auto"/>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ab/>
      </w:r>
    </w:p>
    <w:p w14:paraId="5656BCBA" w14:textId="7198C0FF" w:rsidR="001C6724" w:rsidRPr="00CA1A89" w:rsidRDefault="00CA1A89" w:rsidP="001C6724">
      <w:pPr>
        <w:spacing w:line="480" w:lineRule="auto"/>
        <w:jc w:val="both"/>
        <w:rPr>
          <w:rFonts w:ascii="Times New Roman" w:hAnsi="Times New Roman" w:cs="Times New Roman"/>
          <w:b/>
          <w:i/>
          <w:sz w:val="24"/>
          <w:szCs w:val="24"/>
          <w:vertAlign w:val="baseline"/>
        </w:rPr>
      </w:pPr>
      <w:r w:rsidRPr="00CA1A89">
        <w:rPr>
          <w:rFonts w:ascii="Times New Roman" w:hAnsi="Times New Roman" w:cs="Times New Roman"/>
          <w:b/>
          <w:i/>
          <w:sz w:val="24"/>
          <w:szCs w:val="24"/>
          <w:vertAlign w:val="baseline"/>
        </w:rPr>
        <w:t>5</w:t>
      </w:r>
      <w:r w:rsidR="00097F3C" w:rsidRPr="00CA1A89">
        <w:rPr>
          <w:rFonts w:ascii="Times New Roman" w:hAnsi="Times New Roman" w:cs="Times New Roman"/>
          <w:b/>
          <w:i/>
          <w:sz w:val="24"/>
          <w:szCs w:val="24"/>
          <w:vertAlign w:val="baseline"/>
        </w:rPr>
        <w:t xml:space="preserve">.4.4 </w:t>
      </w:r>
      <w:r w:rsidR="001C6724" w:rsidRPr="00CA1A89">
        <w:rPr>
          <w:rFonts w:ascii="Times New Roman" w:hAnsi="Times New Roman" w:cs="Times New Roman"/>
          <w:b/>
          <w:i/>
          <w:sz w:val="24"/>
          <w:szCs w:val="24"/>
          <w:vertAlign w:val="baseline"/>
        </w:rPr>
        <w:t>Papua New Guinea</w:t>
      </w:r>
    </w:p>
    <w:p w14:paraId="58930602" w14:textId="3750EC69" w:rsidR="001C6724" w:rsidRPr="001C6724" w:rsidRDefault="001C6724" w:rsidP="001876C7">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Papua New Guinea</w:t>
      </w:r>
      <w:r w:rsidR="002F3052">
        <w:rPr>
          <w:rFonts w:ascii="Times New Roman" w:hAnsi="Times New Roman" w:cs="Times New Roman"/>
          <w:sz w:val="24"/>
          <w:szCs w:val="24"/>
          <w:vertAlign w:val="baseline"/>
        </w:rPr>
        <w:t xml:space="preserve"> (PNG)</w:t>
      </w:r>
      <w:r w:rsidRPr="001C6724">
        <w:rPr>
          <w:rFonts w:ascii="Times New Roman" w:hAnsi="Times New Roman" w:cs="Times New Roman"/>
          <w:sz w:val="24"/>
          <w:szCs w:val="24"/>
          <w:vertAlign w:val="baseline"/>
        </w:rPr>
        <w:t xml:space="preserve"> submitted its combined initial, second and third periodic report to the CEDAW Committee on 22 May 2009.</w:t>
      </w:r>
      <w:r w:rsidRPr="001C6724">
        <w:rPr>
          <w:rFonts w:ascii="Times New Roman" w:hAnsi="Times New Roman" w:cs="Times New Roman"/>
          <w:sz w:val="24"/>
          <w:szCs w:val="24"/>
        </w:rPr>
        <w:footnoteReference w:id="837"/>
      </w:r>
      <w:r w:rsidRPr="001C6724">
        <w:rPr>
          <w:rFonts w:ascii="Times New Roman" w:hAnsi="Times New Roman" w:cs="Times New Roman"/>
          <w:sz w:val="24"/>
          <w:szCs w:val="24"/>
          <w:vertAlign w:val="baseline"/>
        </w:rPr>
        <w:t xml:space="preserve"> Within the report there is a specific section on witch-hunts and sorcery, which begins by explaining the strong belief in the power of ancestral spirits, who are able to control the living through the power of sorce</w:t>
      </w:r>
      <w:r w:rsidR="002F3052">
        <w:rPr>
          <w:rFonts w:ascii="Times New Roman" w:hAnsi="Times New Roman" w:cs="Times New Roman"/>
          <w:sz w:val="24"/>
          <w:szCs w:val="24"/>
          <w:vertAlign w:val="baseline"/>
        </w:rPr>
        <w:t>ry throughout PNG</w:t>
      </w:r>
      <w:r w:rsidRPr="001C6724">
        <w:rPr>
          <w:rFonts w:ascii="Times New Roman" w:hAnsi="Times New Roman" w:cs="Times New Roman"/>
          <w:sz w:val="24"/>
          <w:szCs w:val="24"/>
          <w:vertAlign w:val="baseline"/>
        </w:rPr>
        <w:t>.</w:t>
      </w:r>
      <w:r w:rsidRPr="001C6724">
        <w:rPr>
          <w:rFonts w:ascii="Times New Roman" w:hAnsi="Times New Roman" w:cs="Times New Roman"/>
          <w:sz w:val="24"/>
          <w:szCs w:val="24"/>
        </w:rPr>
        <w:footnoteReference w:id="838"/>
      </w:r>
      <w:r w:rsidRPr="001C6724">
        <w:rPr>
          <w:rFonts w:ascii="Times New Roman" w:hAnsi="Times New Roman" w:cs="Times New Roman"/>
          <w:sz w:val="24"/>
          <w:szCs w:val="24"/>
          <w:vertAlign w:val="baseline"/>
        </w:rPr>
        <w:t xml:space="preserve"> Sorcery, in PNG explains the inexplicable, with death and illness blamed on evil curses caused by witches. Women are the primary targets of WAP, with the report stating that female victims of WAP are on the increase.</w:t>
      </w:r>
      <w:r w:rsidRPr="001C6724">
        <w:rPr>
          <w:rFonts w:ascii="Times New Roman" w:hAnsi="Times New Roman" w:cs="Times New Roman"/>
          <w:sz w:val="24"/>
          <w:szCs w:val="24"/>
        </w:rPr>
        <w:footnoteReference w:id="839"/>
      </w:r>
      <w:r w:rsidRPr="001C6724">
        <w:rPr>
          <w:rFonts w:ascii="Times New Roman" w:hAnsi="Times New Roman" w:cs="Times New Roman"/>
          <w:sz w:val="24"/>
          <w:szCs w:val="24"/>
          <w:vertAlign w:val="baseline"/>
        </w:rPr>
        <w:t xml:space="preserve"> Moreover, the report documents the link between witchcraft and HIV/AIDS. Due to a lack of understanding on how these diseases are spread, the increase in HIV has produced an increase in WAP; essentially in remote villages, the increase of HIV is attributed to malign spirits, not to the actual cause of promiscuity and lack of contraception. In response to this report, the CEDAW Committee issued a list of issues and questions to PNG on 15 September 2009, asking PNG to ‘provide information on the measures taken by the State party to address the phenomenon of violence, including alleged killings, against women and girls perceived witches.’</w:t>
      </w:r>
      <w:r w:rsidRPr="001C6724">
        <w:rPr>
          <w:rFonts w:ascii="Times New Roman" w:hAnsi="Times New Roman" w:cs="Times New Roman"/>
          <w:sz w:val="24"/>
          <w:szCs w:val="24"/>
        </w:rPr>
        <w:footnoteReference w:id="840"/>
      </w:r>
      <w:r w:rsidRPr="001C6724">
        <w:rPr>
          <w:rFonts w:ascii="Times New Roman" w:hAnsi="Times New Roman" w:cs="Times New Roman"/>
          <w:sz w:val="24"/>
          <w:szCs w:val="24"/>
          <w:vertAlign w:val="baseline"/>
        </w:rPr>
        <w:t xml:space="preserve"> </w:t>
      </w:r>
    </w:p>
    <w:p w14:paraId="1B5A5DC9"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6933E045" w14:textId="7F236E34" w:rsidR="001C6724" w:rsidRPr="001C6724" w:rsidRDefault="001C6724" w:rsidP="00564DD5">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PNG responded on 19 March 2010, stating that, ‘the Public Prosecutors Office is responsible for prosecuting indictable offences and is a member of the Constitutional Law Reform Commission’s Working Committee for the review of the law on sorcery and sorcery related killings.’</w:t>
      </w:r>
      <w:r w:rsidRPr="001C6724">
        <w:rPr>
          <w:rFonts w:ascii="Times New Roman" w:hAnsi="Times New Roman" w:cs="Times New Roman"/>
          <w:sz w:val="24"/>
          <w:szCs w:val="24"/>
        </w:rPr>
        <w:footnoteReference w:id="841"/>
      </w:r>
      <w:r w:rsidRPr="001C6724">
        <w:rPr>
          <w:rFonts w:ascii="Times New Roman" w:hAnsi="Times New Roman" w:cs="Times New Roman"/>
          <w:sz w:val="24"/>
          <w:szCs w:val="24"/>
          <w:vertAlign w:val="baseline"/>
        </w:rPr>
        <w:t xml:space="preserve"> The report states that the Public Prosecutors Office has conducted three workshops in 2009 in Goroka, Madang and Waigani</w:t>
      </w:r>
      <w:r w:rsidR="00FC471E">
        <w:rPr>
          <w:rFonts w:ascii="Times New Roman" w:hAnsi="Times New Roman" w:cs="Times New Roman"/>
          <w:sz w:val="24"/>
          <w:szCs w:val="24"/>
          <w:vertAlign w:val="baseline"/>
        </w:rPr>
        <w:t>,</w:t>
      </w:r>
      <w:r w:rsidRPr="001C6724">
        <w:rPr>
          <w:rFonts w:ascii="Times New Roman" w:hAnsi="Times New Roman" w:cs="Times New Roman"/>
          <w:sz w:val="24"/>
          <w:szCs w:val="24"/>
          <w:vertAlign w:val="baseline"/>
        </w:rPr>
        <w:t xml:space="preserve"> regarding the issue of WAP, stating that ‘resolutions reached at the workshops will be used by the Office to reform the current legislation.’</w:t>
      </w:r>
      <w:r w:rsidRPr="001C6724">
        <w:rPr>
          <w:rFonts w:ascii="Times New Roman" w:hAnsi="Times New Roman" w:cs="Times New Roman"/>
          <w:sz w:val="24"/>
          <w:szCs w:val="24"/>
        </w:rPr>
        <w:footnoteReference w:id="842"/>
      </w:r>
      <w:r w:rsidRPr="001C6724">
        <w:rPr>
          <w:rFonts w:ascii="Times New Roman" w:hAnsi="Times New Roman" w:cs="Times New Roman"/>
          <w:sz w:val="24"/>
          <w:szCs w:val="24"/>
          <w:vertAlign w:val="baseline"/>
        </w:rPr>
        <w:t xml:space="preserve"> This lack of information by PNG was highlighted within the Committee’s Concluding Observations on PNG on 30 July 2010.</w:t>
      </w:r>
      <w:r w:rsidRPr="001C6724">
        <w:rPr>
          <w:rFonts w:ascii="Times New Roman" w:hAnsi="Times New Roman" w:cs="Times New Roman"/>
          <w:sz w:val="24"/>
          <w:szCs w:val="24"/>
        </w:rPr>
        <w:footnoteReference w:id="843"/>
      </w:r>
      <w:r w:rsidRPr="001C6724">
        <w:rPr>
          <w:rFonts w:ascii="Times New Roman" w:hAnsi="Times New Roman" w:cs="Times New Roman"/>
          <w:sz w:val="24"/>
          <w:szCs w:val="24"/>
          <w:vertAlign w:val="baseline"/>
        </w:rPr>
        <w:t xml:space="preserve"> In this report, the Committee acknowledges the establishment of a working committee to review the law on sorce</w:t>
      </w:r>
      <w:r w:rsidR="00FC471E">
        <w:rPr>
          <w:rFonts w:ascii="Times New Roman" w:hAnsi="Times New Roman" w:cs="Times New Roman"/>
          <w:sz w:val="24"/>
          <w:szCs w:val="24"/>
          <w:vertAlign w:val="baseline"/>
        </w:rPr>
        <w:t>ry and sorcery-related killings;</w:t>
      </w:r>
      <w:r w:rsidRPr="001C6724">
        <w:rPr>
          <w:rFonts w:ascii="Times New Roman" w:hAnsi="Times New Roman" w:cs="Times New Roman"/>
          <w:sz w:val="24"/>
          <w:szCs w:val="24"/>
          <w:vertAlign w:val="baseline"/>
        </w:rPr>
        <w:t xml:space="preserve"> however</w:t>
      </w:r>
      <w:r w:rsidR="00FC471E">
        <w:rPr>
          <w:rFonts w:ascii="Times New Roman" w:hAnsi="Times New Roman" w:cs="Times New Roman"/>
          <w:sz w:val="24"/>
          <w:szCs w:val="24"/>
          <w:vertAlign w:val="baseline"/>
        </w:rPr>
        <w:t>,</w:t>
      </w:r>
      <w:r w:rsidRPr="001C6724">
        <w:rPr>
          <w:rFonts w:ascii="Times New Roman" w:hAnsi="Times New Roman" w:cs="Times New Roman"/>
          <w:sz w:val="24"/>
          <w:szCs w:val="24"/>
          <w:vertAlign w:val="baseline"/>
        </w:rPr>
        <w:t xml:space="preserve"> expresses grave concern regarding reports of ‘brutal torture and killings of women and girls, especially older women, accused of witchcraft,’ in particular</w:t>
      </w:r>
      <w:r w:rsidR="00FC471E">
        <w:rPr>
          <w:rFonts w:ascii="Times New Roman" w:hAnsi="Times New Roman" w:cs="Times New Roman"/>
          <w:sz w:val="24"/>
          <w:szCs w:val="24"/>
          <w:vertAlign w:val="baseline"/>
        </w:rPr>
        <w:t>,</w:t>
      </w:r>
      <w:r w:rsidRPr="001C6724">
        <w:rPr>
          <w:rFonts w:ascii="Times New Roman" w:hAnsi="Times New Roman" w:cs="Times New Roman"/>
          <w:sz w:val="24"/>
          <w:szCs w:val="24"/>
          <w:vertAlign w:val="baseline"/>
        </w:rPr>
        <w:t xml:space="preserve"> the fact that the number of female victims is increasing.</w:t>
      </w:r>
      <w:r w:rsidRPr="001C6724">
        <w:rPr>
          <w:rFonts w:ascii="Times New Roman" w:hAnsi="Times New Roman" w:cs="Times New Roman"/>
          <w:sz w:val="24"/>
          <w:szCs w:val="24"/>
        </w:rPr>
        <w:footnoteReference w:id="844"/>
      </w:r>
      <w:r w:rsidRPr="001C6724">
        <w:rPr>
          <w:rFonts w:ascii="Times New Roman" w:hAnsi="Times New Roman" w:cs="Times New Roman"/>
          <w:sz w:val="24"/>
          <w:szCs w:val="24"/>
          <w:vertAlign w:val="baseline"/>
        </w:rPr>
        <w:t xml:space="preserve"> The Committee also highlights the limited response from PNG on this issue stating,</w:t>
      </w:r>
    </w:p>
    <w:p w14:paraId="062FB360" w14:textId="77777777" w:rsidR="001C6724" w:rsidRPr="001C6724" w:rsidRDefault="001C6724" w:rsidP="00035CC6">
      <w:pPr>
        <w:spacing w:line="480" w:lineRule="auto"/>
        <w:ind w:left="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The Committee regrets the lack of information on the prevalence of this phenomenon as well as on any investigations, prosecutions and punishments of the perpetrators. The Committee underlines that this is a grave violation of girls and women’s human rights and of the State party’s obligations under the Convention.</w:t>
      </w:r>
      <w:r w:rsidRPr="001C6724">
        <w:rPr>
          <w:rFonts w:ascii="Times New Roman" w:hAnsi="Times New Roman" w:cs="Times New Roman"/>
          <w:sz w:val="24"/>
          <w:szCs w:val="24"/>
        </w:rPr>
        <w:footnoteReference w:id="845"/>
      </w:r>
    </w:p>
    <w:p w14:paraId="6F012A76"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1AC6E0BD" w14:textId="672BF268" w:rsidR="001C6724" w:rsidRPr="001C6724" w:rsidRDefault="001C6724" w:rsidP="00564DD5">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In light of this the Committee issues the following recommendations to PNG. PNG must ‘take immediate and effective measures to investigate the incidences of torture and killings of women and girls, especially older women’</w:t>
      </w:r>
      <w:r w:rsidRPr="001C6724">
        <w:rPr>
          <w:rFonts w:ascii="Times New Roman" w:hAnsi="Times New Roman" w:cs="Times New Roman"/>
          <w:sz w:val="24"/>
          <w:szCs w:val="24"/>
        </w:rPr>
        <w:footnoteReference w:id="846"/>
      </w:r>
      <w:r w:rsidRPr="001C6724">
        <w:rPr>
          <w:rFonts w:ascii="Times New Roman" w:hAnsi="Times New Roman" w:cs="Times New Roman"/>
          <w:sz w:val="24"/>
          <w:szCs w:val="24"/>
          <w:vertAlign w:val="baseline"/>
        </w:rPr>
        <w:t xml:space="preserve"> based on WAP, ‘prosecut</w:t>
      </w:r>
      <w:r w:rsidR="00B97A9B">
        <w:rPr>
          <w:rFonts w:ascii="Times New Roman" w:hAnsi="Times New Roman" w:cs="Times New Roman"/>
          <w:sz w:val="24"/>
          <w:szCs w:val="24"/>
          <w:vertAlign w:val="baseline"/>
        </w:rPr>
        <w:t>e and punish the perpetrators of</w:t>
      </w:r>
      <w:r w:rsidRPr="001C6724">
        <w:rPr>
          <w:rFonts w:ascii="Times New Roman" w:hAnsi="Times New Roman" w:cs="Times New Roman"/>
          <w:sz w:val="24"/>
          <w:szCs w:val="24"/>
          <w:vertAlign w:val="baseline"/>
        </w:rPr>
        <w:t xml:space="preserve"> such acts and prevent their reoccurrence in the future,’</w:t>
      </w:r>
      <w:r w:rsidRPr="001C6724">
        <w:rPr>
          <w:rFonts w:ascii="Times New Roman" w:hAnsi="Times New Roman" w:cs="Times New Roman"/>
          <w:sz w:val="24"/>
          <w:szCs w:val="24"/>
        </w:rPr>
        <w:footnoteReference w:id="847"/>
      </w:r>
      <w:r w:rsidRPr="001C6724">
        <w:rPr>
          <w:rFonts w:ascii="Times New Roman" w:hAnsi="Times New Roman" w:cs="Times New Roman"/>
          <w:sz w:val="24"/>
          <w:szCs w:val="24"/>
          <w:vertAlign w:val="baseline"/>
        </w:rPr>
        <w:t xml:space="preserve"> ‘accelerate its review of the law of sorcery and sorcery-related killings,’</w:t>
      </w:r>
      <w:r w:rsidRPr="001C6724">
        <w:rPr>
          <w:rFonts w:ascii="Times New Roman" w:hAnsi="Times New Roman" w:cs="Times New Roman"/>
          <w:sz w:val="24"/>
          <w:szCs w:val="24"/>
        </w:rPr>
        <w:footnoteReference w:id="848"/>
      </w:r>
      <w:r w:rsidRPr="001C6724">
        <w:rPr>
          <w:rFonts w:ascii="Times New Roman" w:hAnsi="Times New Roman" w:cs="Times New Roman"/>
          <w:sz w:val="24"/>
          <w:szCs w:val="24"/>
          <w:vertAlign w:val="baseline"/>
        </w:rPr>
        <w:t xml:space="preserve"> ‘strengthen the enforcement of relevant legislation’</w:t>
      </w:r>
      <w:r w:rsidRPr="001C6724">
        <w:rPr>
          <w:rFonts w:ascii="Times New Roman" w:hAnsi="Times New Roman" w:cs="Times New Roman"/>
          <w:sz w:val="24"/>
          <w:szCs w:val="24"/>
        </w:rPr>
        <w:footnoteReference w:id="849"/>
      </w:r>
      <w:r w:rsidRPr="001C6724">
        <w:rPr>
          <w:rFonts w:ascii="Times New Roman" w:hAnsi="Times New Roman" w:cs="Times New Roman"/>
          <w:sz w:val="24"/>
          <w:szCs w:val="24"/>
          <w:vertAlign w:val="baseline"/>
        </w:rPr>
        <w:t xml:space="preserve"> and ‘strengthen its awareness-raising and educational efforts, targeted at both women and men,’</w:t>
      </w:r>
      <w:r w:rsidRPr="001C6724">
        <w:rPr>
          <w:rFonts w:ascii="Times New Roman" w:hAnsi="Times New Roman" w:cs="Times New Roman"/>
          <w:sz w:val="24"/>
          <w:szCs w:val="24"/>
        </w:rPr>
        <w:footnoteReference w:id="850"/>
      </w:r>
      <w:r w:rsidRPr="001C6724">
        <w:rPr>
          <w:rFonts w:ascii="Times New Roman" w:hAnsi="Times New Roman" w:cs="Times New Roman"/>
          <w:sz w:val="24"/>
          <w:szCs w:val="24"/>
          <w:vertAlign w:val="baseline"/>
        </w:rPr>
        <w:t xml:space="preserve"> with the support of civil society and the involvement of community chiefs and religious leaders.</w:t>
      </w:r>
    </w:p>
    <w:p w14:paraId="5AA86D7A"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0A7CD1B7" w14:textId="2E704B5D" w:rsidR="001C6724" w:rsidRPr="001C6724" w:rsidRDefault="001C6724" w:rsidP="00C4689C">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The very fact that following the ratification of CEDAW</w:t>
      </w:r>
      <w:r w:rsidR="00FD313E">
        <w:rPr>
          <w:rFonts w:ascii="Times New Roman" w:hAnsi="Times New Roman" w:cs="Times New Roman"/>
          <w:sz w:val="24"/>
          <w:szCs w:val="24"/>
          <w:vertAlign w:val="baseline"/>
        </w:rPr>
        <w:t>,</w:t>
      </w:r>
      <w:r w:rsidRPr="001C6724">
        <w:rPr>
          <w:rFonts w:ascii="Times New Roman" w:hAnsi="Times New Roman" w:cs="Times New Roman"/>
          <w:sz w:val="24"/>
          <w:szCs w:val="24"/>
          <w:vertAlign w:val="baseline"/>
        </w:rPr>
        <w:t xml:space="preserve"> in 1995</w:t>
      </w:r>
      <w:r w:rsidR="00FD313E">
        <w:rPr>
          <w:rFonts w:ascii="Times New Roman" w:hAnsi="Times New Roman" w:cs="Times New Roman"/>
          <w:sz w:val="24"/>
          <w:szCs w:val="24"/>
          <w:vertAlign w:val="baseline"/>
        </w:rPr>
        <w:t>,</w:t>
      </w:r>
      <w:r w:rsidRPr="001C6724">
        <w:rPr>
          <w:rFonts w:ascii="Times New Roman" w:hAnsi="Times New Roman" w:cs="Times New Roman"/>
          <w:sz w:val="24"/>
          <w:szCs w:val="24"/>
          <w:vertAlign w:val="baseline"/>
        </w:rPr>
        <w:t xml:space="preserve"> PNG then proceeded to miss four reporting deadlines immediately shows a lack of willingness by PNG to comply with the Convention. Once the reports had finally been submitted, the lack of information and limited response by PNG, in relation to the prevalence of women murdered through WAP, only substantiates this lack of engagement. Moreover, as noted by the UNHCR, the fourth periodic report of PNG was due to be submitted to the CEDAW Committee on 1 July 2014.</w:t>
      </w:r>
      <w:r w:rsidRPr="001C6724">
        <w:rPr>
          <w:rFonts w:ascii="Times New Roman" w:hAnsi="Times New Roman" w:cs="Times New Roman"/>
          <w:sz w:val="24"/>
          <w:szCs w:val="24"/>
        </w:rPr>
        <w:footnoteReference w:id="851"/>
      </w:r>
      <w:r w:rsidRPr="001C6724">
        <w:rPr>
          <w:rFonts w:ascii="Times New Roman" w:hAnsi="Times New Roman" w:cs="Times New Roman"/>
          <w:sz w:val="24"/>
          <w:szCs w:val="24"/>
          <w:vertAlign w:val="baseline"/>
        </w:rPr>
        <w:t xml:space="preserve"> To date, this has not been submitted.</w:t>
      </w:r>
    </w:p>
    <w:p w14:paraId="352B09DB" w14:textId="77777777" w:rsidR="00B60162" w:rsidRDefault="00B60162" w:rsidP="001C6724">
      <w:pPr>
        <w:spacing w:line="480" w:lineRule="auto"/>
        <w:jc w:val="both"/>
        <w:rPr>
          <w:rFonts w:ascii="Times New Roman" w:hAnsi="Times New Roman" w:cs="Times New Roman"/>
          <w:b/>
          <w:sz w:val="24"/>
          <w:szCs w:val="24"/>
          <w:u w:val="single"/>
          <w:vertAlign w:val="baseline"/>
        </w:rPr>
      </w:pPr>
    </w:p>
    <w:p w14:paraId="71861EA3" w14:textId="406AA789" w:rsidR="001C6724" w:rsidRPr="00A35205" w:rsidRDefault="00A35205" w:rsidP="001C6724">
      <w:pPr>
        <w:spacing w:line="480" w:lineRule="auto"/>
        <w:jc w:val="both"/>
        <w:rPr>
          <w:rFonts w:ascii="Times New Roman" w:hAnsi="Times New Roman" w:cs="Times New Roman"/>
          <w:b/>
          <w:i/>
          <w:sz w:val="24"/>
          <w:szCs w:val="24"/>
          <w:vertAlign w:val="baseline"/>
        </w:rPr>
      </w:pPr>
      <w:r w:rsidRPr="00A35205">
        <w:rPr>
          <w:rFonts w:ascii="Times New Roman" w:hAnsi="Times New Roman" w:cs="Times New Roman"/>
          <w:b/>
          <w:i/>
          <w:sz w:val="24"/>
          <w:szCs w:val="24"/>
          <w:vertAlign w:val="baseline"/>
        </w:rPr>
        <w:t xml:space="preserve">5.4.5 </w:t>
      </w:r>
      <w:r w:rsidR="008475BD">
        <w:rPr>
          <w:rFonts w:ascii="Times New Roman" w:hAnsi="Times New Roman" w:cs="Times New Roman"/>
          <w:b/>
          <w:i/>
          <w:sz w:val="24"/>
          <w:szCs w:val="24"/>
          <w:vertAlign w:val="baseline"/>
        </w:rPr>
        <w:t>Evaluation</w:t>
      </w:r>
      <w:r w:rsidRPr="00A35205">
        <w:rPr>
          <w:rFonts w:ascii="Times New Roman" w:hAnsi="Times New Roman" w:cs="Times New Roman"/>
          <w:b/>
          <w:i/>
          <w:sz w:val="24"/>
          <w:szCs w:val="24"/>
          <w:vertAlign w:val="baseline"/>
        </w:rPr>
        <w:t xml:space="preserve"> of the CEDAW Committee</w:t>
      </w:r>
    </w:p>
    <w:p w14:paraId="2BEBC769" w14:textId="6EDC926A" w:rsidR="00B60162" w:rsidRPr="00DA7148" w:rsidRDefault="00526341" w:rsidP="001E4E40">
      <w:pPr>
        <w:spacing w:line="480" w:lineRule="auto"/>
        <w:ind w:firstLine="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The nature of CEDAW, in that it seeks to transform women’s rights in the face of patriarchal and cultural challenges</w:t>
      </w:r>
      <w:r w:rsidR="00FD313E">
        <w:rPr>
          <w:rFonts w:ascii="Times New Roman" w:hAnsi="Times New Roman" w:cs="Times New Roman"/>
          <w:sz w:val="24"/>
          <w:szCs w:val="24"/>
          <w:vertAlign w:val="baseline"/>
        </w:rPr>
        <w:t>,</w:t>
      </w:r>
      <w:r>
        <w:rPr>
          <w:rStyle w:val="FootnoteReference"/>
          <w:rFonts w:ascii="Times New Roman" w:hAnsi="Times New Roman" w:cs="Times New Roman"/>
          <w:sz w:val="24"/>
          <w:szCs w:val="24"/>
        </w:rPr>
        <w:footnoteReference w:id="852"/>
      </w:r>
      <w:r w:rsidR="00D0105A">
        <w:rPr>
          <w:rFonts w:ascii="Times New Roman" w:hAnsi="Times New Roman" w:cs="Times New Roman"/>
          <w:sz w:val="24"/>
          <w:szCs w:val="24"/>
          <w:vertAlign w:val="baseline"/>
        </w:rPr>
        <w:t xml:space="preserve"> has</w:t>
      </w:r>
      <w:r>
        <w:rPr>
          <w:rFonts w:ascii="Times New Roman" w:hAnsi="Times New Roman" w:cs="Times New Roman"/>
          <w:sz w:val="24"/>
          <w:szCs w:val="24"/>
          <w:vertAlign w:val="baseline"/>
        </w:rPr>
        <w:t xml:space="preserve"> posed specific challenges fo</w:t>
      </w:r>
      <w:r w:rsidR="004D146C">
        <w:rPr>
          <w:rFonts w:ascii="Times New Roman" w:hAnsi="Times New Roman" w:cs="Times New Roman"/>
          <w:sz w:val="24"/>
          <w:szCs w:val="24"/>
          <w:vertAlign w:val="baseline"/>
        </w:rPr>
        <w:t>r the Committ</w:t>
      </w:r>
      <w:r w:rsidR="00E56867">
        <w:rPr>
          <w:rFonts w:ascii="Times New Roman" w:hAnsi="Times New Roman" w:cs="Times New Roman"/>
          <w:sz w:val="24"/>
          <w:szCs w:val="24"/>
          <w:vertAlign w:val="baseline"/>
        </w:rPr>
        <w:t>ee</w:t>
      </w:r>
      <w:r w:rsidR="00FD313E">
        <w:rPr>
          <w:rFonts w:ascii="Times New Roman" w:hAnsi="Times New Roman" w:cs="Times New Roman"/>
          <w:sz w:val="24"/>
          <w:szCs w:val="24"/>
          <w:vertAlign w:val="baseline"/>
        </w:rPr>
        <w:t>,</w:t>
      </w:r>
      <w:r w:rsidR="00E56867">
        <w:rPr>
          <w:rFonts w:ascii="Times New Roman" w:hAnsi="Times New Roman" w:cs="Times New Roman"/>
          <w:sz w:val="24"/>
          <w:szCs w:val="24"/>
          <w:vertAlign w:val="baseline"/>
        </w:rPr>
        <w:t xml:space="preserve"> in terms of WAP. </w:t>
      </w:r>
      <w:r w:rsidR="00D0105A">
        <w:rPr>
          <w:rFonts w:ascii="Times New Roman" w:hAnsi="Times New Roman" w:cs="Times New Roman"/>
          <w:sz w:val="24"/>
          <w:szCs w:val="24"/>
          <w:vertAlign w:val="baseline"/>
        </w:rPr>
        <w:t>On consideration of the reports above, it is evident that the CEDAW Committee has recognised the existence of WAP, in all four states, as a harmful traditional practice linked with the existence of deeply entrenched patriarchal attitudes and stereotypes of women, and has s</w:t>
      </w:r>
      <w:r w:rsidR="00FD313E">
        <w:rPr>
          <w:rFonts w:ascii="Times New Roman" w:hAnsi="Times New Roman" w:cs="Times New Roman"/>
          <w:sz w:val="24"/>
          <w:szCs w:val="24"/>
          <w:vertAlign w:val="baseline"/>
        </w:rPr>
        <w:t>ubsequently noted its concern at</w:t>
      </w:r>
      <w:r w:rsidR="00D0105A">
        <w:rPr>
          <w:rFonts w:ascii="Times New Roman" w:hAnsi="Times New Roman" w:cs="Times New Roman"/>
          <w:sz w:val="24"/>
          <w:szCs w:val="24"/>
          <w:vertAlign w:val="baseline"/>
        </w:rPr>
        <w:t xml:space="preserve"> the high levels of associated VAW. </w:t>
      </w:r>
      <w:r w:rsidR="00E54E77">
        <w:rPr>
          <w:rFonts w:ascii="Times New Roman" w:hAnsi="Times New Roman" w:cs="Times New Roman"/>
          <w:sz w:val="24"/>
          <w:szCs w:val="24"/>
          <w:vertAlign w:val="baseline"/>
        </w:rPr>
        <w:t>This acknowledgment by the Committee is most certainly a positive step, in terms of WAP being recognised by the international community, as are the concluding recommendations issued to st</w:t>
      </w:r>
      <w:r w:rsidR="00AE58D2">
        <w:rPr>
          <w:rFonts w:ascii="Times New Roman" w:hAnsi="Times New Roman" w:cs="Times New Roman"/>
          <w:sz w:val="24"/>
          <w:szCs w:val="24"/>
          <w:vertAlign w:val="baseline"/>
        </w:rPr>
        <w:t xml:space="preserve">ates by the Committee, specifying the </w:t>
      </w:r>
      <w:r w:rsidR="00E54E77">
        <w:rPr>
          <w:rFonts w:ascii="Times New Roman" w:hAnsi="Times New Roman" w:cs="Times New Roman"/>
          <w:sz w:val="24"/>
          <w:szCs w:val="24"/>
          <w:vertAlign w:val="baseline"/>
        </w:rPr>
        <w:t>steps</w:t>
      </w:r>
      <w:r w:rsidR="00AE58D2">
        <w:rPr>
          <w:rFonts w:ascii="Times New Roman" w:hAnsi="Times New Roman" w:cs="Times New Roman"/>
          <w:sz w:val="24"/>
          <w:szCs w:val="24"/>
          <w:vertAlign w:val="baseline"/>
        </w:rPr>
        <w:t xml:space="preserve"> that need to be taken to move forward and eventually eliminate</w:t>
      </w:r>
      <w:r w:rsidR="00E54E77">
        <w:rPr>
          <w:rFonts w:ascii="Times New Roman" w:hAnsi="Times New Roman" w:cs="Times New Roman"/>
          <w:sz w:val="24"/>
          <w:szCs w:val="24"/>
          <w:vertAlign w:val="baseline"/>
        </w:rPr>
        <w:t xml:space="preserve"> the practice of WAP. </w:t>
      </w:r>
      <w:r w:rsidR="0096019F">
        <w:rPr>
          <w:rFonts w:ascii="Times New Roman" w:hAnsi="Times New Roman" w:cs="Times New Roman"/>
          <w:sz w:val="24"/>
          <w:szCs w:val="24"/>
          <w:vertAlign w:val="baseline"/>
        </w:rPr>
        <w:t>T</w:t>
      </w:r>
      <w:r w:rsidR="00E56867">
        <w:rPr>
          <w:rFonts w:ascii="Times New Roman" w:hAnsi="Times New Roman" w:cs="Times New Roman"/>
          <w:sz w:val="24"/>
          <w:szCs w:val="24"/>
          <w:vertAlign w:val="baseline"/>
        </w:rPr>
        <w:t>he view of the Committee</w:t>
      </w:r>
      <w:r w:rsidR="004D146C">
        <w:rPr>
          <w:rFonts w:ascii="Times New Roman" w:hAnsi="Times New Roman" w:cs="Times New Roman"/>
          <w:sz w:val="24"/>
          <w:szCs w:val="24"/>
          <w:vertAlign w:val="baseline"/>
        </w:rPr>
        <w:t xml:space="preserve"> </w:t>
      </w:r>
      <w:r w:rsidR="00E56867">
        <w:rPr>
          <w:rFonts w:ascii="Times New Roman" w:hAnsi="Times New Roman" w:cs="Times New Roman"/>
          <w:sz w:val="24"/>
          <w:szCs w:val="24"/>
          <w:vertAlign w:val="baseline"/>
        </w:rPr>
        <w:t>is ‘normatively unproblematic,’ it applies the norms of CEDAW as its basis, owing to the fact that states have accep</w:t>
      </w:r>
      <w:r w:rsidR="00406527">
        <w:rPr>
          <w:rFonts w:ascii="Times New Roman" w:hAnsi="Times New Roman" w:cs="Times New Roman"/>
          <w:sz w:val="24"/>
          <w:szCs w:val="24"/>
          <w:vertAlign w:val="baseline"/>
        </w:rPr>
        <w:t>ted these norms on ratification</w:t>
      </w:r>
      <w:r w:rsidR="00E56867">
        <w:rPr>
          <w:rFonts w:ascii="Times New Roman" w:hAnsi="Times New Roman" w:cs="Times New Roman"/>
          <w:sz w:val="24"/>
          <w:szCs w:val="24"/>
          <w:vertAlign w:val="baseline"/>
        </w:rPr>
        <w:t xml:space="preserve"> and</w:t>
      </w:r>
      <w:r w:rsidR="00406527">
        <w:rPr>
          <w:rFonts w:ascii="Times New Roman" w:hAnsi="Times New Roman" w:cs="Times New Roman"/>
          <w:sz w:val="24"/>
          <w:szCs w:val="24"/>
          <w:vertAlign w:val="baseline"/>
        </w:rPr>
        <w:t>,</w:t>
      </w:r>
      <w:r w:rsidR="00E56867">
        <w:rPr>
          <w:rFonts w:ascii="Times New Roman" w:hAnsi="Times New Roman" w:cs="Times New Roman"/>
          <w:sz w:val="24"/>
          <w:szCs w:val="24"/>
          <w:vertAlign w:val="baseline"/>
        </w:rPr>
        <w:t xml:space="preserve"> subsequently</w:t>
      </w:r>
      <w:r w:rsidR="00406527">
        <w:rPr>
          <w:rFonts w:ascii="Times New Roman" w:hAnsi="Times New Roman" w:cs="Times New Roman"/>
          <w:sz w:val="24"/>
          <w:szCs w:val="24"/>
          <w:vertAlign w:val="baseline"/>
        </w:rPr>
        <w:t>,</w:t>
      </w:r>
      <w:r w:rsidR="00E56867">
        <w:rPr>
          <w:rFonts w:ascii="Times New Roman" w:hAnsi="Times New Roman" w:cs="Times New Roman"/>
          <w:sz w:val="24"/>
          <w:szCs w:val="24"/>
          <w:vertAlign w:val="baseline"/>
        </w:rPr>
        <w:t xml:space="preserve"> reinforces its views in line with international human rights obligations reflected in the Convention.</w:t>
      </w:r>
      <w:r w:rsidR="00E56867">
        <w:rPr>
          <w:rStyle w:val="FootnoteReference"/>
          <w:rFonts w:ascii="Times New Roman" w:hAnsi="Times New Roman" w:cs="Times New Roman"/>
          <w:sz w:val="24"/>
          <w:szCs w:val="24"/>
        </w:rPr>
        <w:footnoteReference w:id="853"/>
      </w:r>
      <w:r w:rsidR="00FF454E">
        <w:rPr>
          <w:rFonts w:ascii="Times New Roman" w:hAnsi="Times New Roman" w:cs="Times New Roman"/>
          <w:sz w:val="24"/>
          <w:szCs w:val="24"/>
          <w:vertAlign w:val="baseline"/>
        </w:rPr>
        <w:t xml:space="preserve"> Thus, those states that ratified and accepted their obligations under CEDAW cannot then ‘interpose custom, religion or tradition to justify a failure to do so.’</w:t>
      </w:r>
      <w:r w:rsidR="00FF454E">
        <w:rPr>
          <w:rStyle w:val="FootnoteReference"/>
          <w:rFonts w:ascii="Times New Roman" w:hAnsi="Times New Roman" w:cs="Times New Roman"/>
          <w:sz w:val="24"/>
          <w:szCs w:val="24"/>
        </w:rPr>
        <w:footnoteReference w:id="854"/>
      </w:r>
      <w:r w:rsidR="00D0105A">
        <w:rPr>
          <w:rFonts w:ascii="Times New Roman" w:hAnsi="Times New Roman" w:cs="Times New Roman"/>
          <w:sz w:val="24"/>
          <w:szCs w:val="24"/>
          <w:vertAlign w:val="baseline"/>
        </w:rPr>
        <w:t xml:space="preserve"> Whilst this is positive, in terms of the centrality of women’s rights, it also leads to antagonism from those states </w:t>
      </w:r>
      <w:r w:rsidR="00AD0C21">
        <w:rPr>
          <w:rFonts w:ascii="Times New Roman" w:hAnsi="Times New Roman" w:cs="Times New Roman"/>
          <w:sz w:val="24"/>
          <w:szCs w:val="24"/>
          <w:vertAlign w:val="baseline"/>
        </w:rPr>
        <w:t>that</w:t>
      </w:r>
      <w:r w:rsidR="00D0105A">
        <w:rPr>
          <w:rFonts w:ascii="Times New Roman" w:hAnsi="Times New Roman" w:cs="Times New Roman"/>
          <w:sz w:val="24"/>
          <w:szCs w:val="24"/>
          <w:vertAlign w:val="baseline"/>
        </w:rPr>
        <w:t xml:space="preserve"> cons</w:t>
      </w:r>
      <w:r w:rsidR="00CE7C98">
        <w:rPr>
          <w:rFonts w:ascii="Times New Roman" w:hAnsi="Times New Roman" w:cs="Times New Roman"/>
          <w:sz w:val="24"/>
          <w:szCs w:val="24"/>
          <w:vertAlign w:val="baseline"/>
        </w:rPr>
        <w:t>istently cite cultural impunity; e</w:t>
      </w:r>
      <w:r w:rsidR="000A45A9">
        <w:rPr>
          <w:rFonts w:ascii="Times New Roman" w:hAnsi="Times New Roman" w:cs="Times New Roman"/>
          <w:sz w:val="24"/>
          <w:szCs w:val="24"/>
          <w:vertAlign w:val="baseline"/>
        </w:rPr>
        <w:t>ssentially, the attitudes of states and the defiance of such obligations based on the consideration that they consider themselves exempt from any consequences or punishment</w:t>
      </w:r>
      <w:r w:rsidR="00CE7C98">
        <w:rPr>
          <w:rFonts w:ascii="Times New Roman" w:hAnsi="Times New Roman" w:cs="Times New Roman"/>
          <w:sz w:val="24"/>
          <w:szCs w:val="24"/>
          <w:vertAlign w:val="baseline"/>
        </w:rPr>
        <w:t>. Or in other words, that states can behave how they like, as they are able to get away with it.</w:t>
      </w:r>
      <w:r w:rsidR="00AD0C21">
        <w:rPr>
          <w:rFonts w:ascii="Times New Roman" w:hAnsi="Times New Roman" w:cs="Times New Roman"/>
          <w:sz w:val="24"/>
          <w:szCs w:val="24"/>
          <w:vertAlign w:val="baseline"/>
        </w:rPr>
        <w:t xml:space="preserve"> This is evident on examination of the four case studies above and their </w:t>
      </w:r>
      <w:r w:rsidR="00F3493E">
        <w:rPr>
          <w:rFonts w:ascii="Times New Roman" w:hAnsi="Times New Roman" w:cs="Times New Roman"/>
          <w:sz w:val="24"/>
          <w:szCs w:val="24"/>
          <w:vertAlign w:val="baseline"/>
        </w:rPr>
        <w:t xml:space="preserve">underwhelming </w:t>
      </w:r>
      <w:r w:rsidR="00AD0C21">
        <w:rPr>
          <w:rFonts w:ascii="Times New Roman" w:hAnsi="Times New Roman" w:cs="Times New Roman"/>
          <w:sz w:val="24"/>
          <w:szCs w:val="24"/>
          <w:vertAlign w:val="baseline"/>
        </w:rPr>
        <w:t>response to the recommendations of the Committee.</w:t>
      </w:r>
      <w:r w:rsidR="00FF5E7D">
        <w:rPr>
          <w:rFonts w:ascii="Times New Roman" w:hAnsi="Times New Roman" w:cs="Times New Roman"/>
          <w:sz w:val="24"/>
          <w:szCs w:val="24"/>
          <w:vertAlign w:val="baseline"/>
        </w:rPr>
        <w:t xml:space="preserve"> Despite the Committee’s constant ‘deep concern’ at the levels of WAP within all four states, littl</w:t>
      </w:r>
      <w:r w:rsidR="009F7F27">
        <w:rPr>
          <w:rFonts w:ascii="Times New Roman" w:hAnsi="Times New Roman" w:cs="Times New Roman"/>
          <w:sz w:val="24"/>
          <w:szCs w:val="24"/>
          <w:vertAlign w:val="baseline"/>
        </w:rPr>
        <w:t>e action has been taken by the</w:t>
      </w:r>
      <w:r w:rsidR="00FF5E7D">
        <w:rPr>
          <w:rFonts w:ascii="Times New Roman" w:hAnsi="Times New Roman" w:cs="Times New Roman"/>
          <w:sz w:val="24"/>
          <w:szCs w:val="24"/>
          <w:vertAlign w:val="baseline"/>
        </w:rPr>
        <w:t xml:space="preserve"> four</w:t>
      </w:r>
      <w:r w:rsidR="009F7F27">
        <w:rPr>
          <w:rFonts w:ascii="Times New Roman" w:hAnsi="Times New Roman" w:cs="Times New Roman"/>
          <w:sz w:val="24"/>
          <w:szCs w:val="24"/>
          <w:vertAlign w:val="baseline"/>
        </w:rPr>
        <w:t xml:space="preserve"> aforementioned</w:t>
      </w:r>
      <w:r w:rsidR="00FF5E7D">
        <w:rPr>
          <w:rFonts w:ascii="Times New Roman" w:hAnsi="Times New Roman" w:cs="Times New Roman"/>
          <w:sz w:val="24"/>
          <w:szCs w:val="24"/>
          <w:vertAlign w:val="baseline"/>
        </w:rPr>
        <w:t xml:space="preserve"> states. Admittedly, some states appear to be more ‘accommodating’ than others, and the encouraging outcomes of the Committee</w:t>
      </w:r>
      <w:r w:rsidR="009F7F27">
        <w:rPr>
          <w:rFonts w:ascii="Times New Roman" w:hAnsi="Times New Roman" w:cs="Times New Roman"/>
          <w:sz w:val="24"/>
          <w:szCs w:val="24"/>
          <w:vertAlign w:val="baseline"/>
        </w:rPr>
        <w:t xml:space="preserve"> must be acknowledged; Nepal has incorporated important legislative provisions into its General Code</w:t>
      </w:r>
      <w:r w:rsidR="00075968">
        <w:rPr>
          <w:rFonts w:ascii="Times New Roman" w:hAnsi="Times New Roman" w:cs="Times New Roman"/>
          <w:sz w:val="24"/>
          <w:szCs w:val="24"/>
          <w:vertAlign w:val="baseline"/>
        </w:rPr>
        <w:t>,</w:t>
      </w:r>
      <w:r w:rsidR="009F7F27">
        <w:rPr>
          <w:rStyle w:val="FootnoteReference"/>
          <w:rFonts w:ascii="Times New Roman" w:hAnsi="Times New Roman" w:cs="Times New Roman"/>
          <w:sz w:val="24"/>
          <w:szCs w:val="24"/>
        </w:rPr>
        <w:footnoteReference w:id="855"/>
      </w:r>
      <w:r w:rsidR="00075968">
        <w:rPr>
          <w:rFonts w:ascii="Times New Roman" w:hAnsi="Times New Roman" w:cs="Times New Roman"/>
          <w:sz w:val="24"/>
          <w:szCs w:val="24"/>
          <w:vertAlign w:val="baseline"/>
        </w:rPr>
        <w:t xml:space="preserve"> whilst Ghana</w:t>
      </w:r>
      <w:r w:rsidR="0088288F">
        <w:rPr>
          <w:rFonts w:ascii="Times New Roman" w:hAnsi="Times New Roman" w:cs="Times New Roman"/>
          <w:sz w:val="24"/>
          <w:szCs w:val="24"/>
          <w:vertAlign w:val="baseline"/>
        </w:rPr>
        <w:t xml:space="preserve"> has made an</w:t>
      </w:r>
      <w:r w:rsidR="009F7F27">
        <w:rPr>
          <w:rFonts w:ascii="Times New Roman" w:hAnsi="Times New Roman" w:cs="Times New Roman"/>
          <w:sz w:val="24"/>
          <w:szCs w:val="24"/>
          <w:vertAlign w:val="baseline"/>
        </w:rPr>
        <w:t xml:space="preserve"> attempt to disband some of its witch-camps.</w:t>
      </w:r>
      <w:r w:rsidR="009F7F27">
        <w:rPr>
          <w:rStyle w:val="FootnoteReference"/>
          <w:rFonts w:ascii="Times New Roman" w:hAnsi="Times New Roman" w:cs="Times New Roman"/>
          <w:sz w:val="24"/>
          <w:szCs w:val="24"/>
        </w:rPr>
        <w:footnoteReference w:id="856"/>
      </w:r>
      <w:r w:rsidR="00270212">
        <w:rPr>
          <w:rFonts w:ascii="Times New Roman" w:hAnsi="Times New Roman" w:cs="Times New Roman"/>
          <w:sz w:val="24"/>
          <w:szCs w:val="24"/>
          <w:vertAlign w:val="baseline"/>
        </w:rPr>
        <w:t xml:space="preserve"> However, in India and PNG, failure to submit reports, a lack of information, limited response, lack of engagement with the Committee’s recommendations and India’s failure to remove declarations to Articles 5(a) and 16(1) and (2), highlights the problems with the effectiveness of the Committee and, essentially, the enforceability </w:t>
      </w:r>
      <w:r w:rsidR="008F5862">
        <w:rPr>
          <w:rFonts w:ascii="Times New Roman" w:hAnsi="Times New Roman" w:cs="Times New Roman"/>
          <w:sz w:val="24"/>
          <w:szCs w:val="24"/>
          <w:vertAlign w:val="baseline"/>
        </w:rPr>
        <w:t>of its recommendations.</w:t>
      </w:r>
      <w:r w:rsidR="00A34198">
        <w:rPr>
          <w:rFonts w:ascii="Times New Roman" w:hAnsi="Times New Roman" w:cs="Times New Roman"/>
          <w:sz w:val="24"/>
          <w:szCs w:val="24"/>
          <w:vertAlign w:val="baseline"/>
        </w:rPr>
        <w:t xml:space="preserve"> </w:t>
      </w:r>
      <w:r w:rsidR="004172B3">
        <w:rPr>
          <w:rFonts w:ascii="Times New Roman" w:hAnsi="Times New Roman" w:cs="Times New Roman"/>
          <w:sz w:val="24"/>
          <w:szCs w:val="24"/>
          <w:vertAlign w:val="baseline"/>
        </w:rPr>
        <w:t>It is also a reflection of</w:t>
      </w:r>
      <w:r w:rsidR="00A34198">
        <w:rPr>
          <w:rFonts w:ascii="Times New Roman" w:hAnsi="Times New Roman" w:cs="Times New Roman"/>
          <w:sz w:val="24"/>
          <w:szCs w:val="24"/>
          <w:vertAlign w:val="baseline"/>
        </w:rPr>
        <w:t xml:space="preserve"> </w:t>
      </w:r>
      <w:r w:rsidR="004172B3">
        <w:rPr>
          <w:rFonts w:ascii="Times New Roman" w:hAnsi="Times New Roman" w:cs="Times New Roman"/>
          <w:sz w:val="24"/>
          <w:szCs w:val="24"/>
          <w:vertAlign w:val="baseline"/>
        </w:rPr>
        <w:t>how the</w:t>
      </w:r>
      <w:r w:rsidR="00755F14">
        <w:rPr>
          <w:rFonts w:ascii="Times New Roman" w:hAnsi="Times New Roman" w:cs="Times New Roman"/>
          <w:sz w:val="24"/>
          <w:szCs w:val="24"/>
          <w:vertAlign w:val="baseline"/>
        </w:rPr>
        <w:t xml:space="preserve"> predominantly female</w:t>
      </w:r>
      <w:r w:rsidR="0037766D">
        <w:rPr>
          <w:rStyle w:val="FootnoteReference"/>
          <w:rFonts w:ascii="Times New Roman" w:hAnsi="Times New Roman" w:cs="Times New Roman"/>
          <w:sz w:val="24"/>
          <w:szCs w:val="24"/>
        </w:rPr>
        <w:footnoteReference w:id="857"/>
      </w:r>
      <w:r w:rsidR="004172B3">
        <w:rPr>
          <w:rFonts w:ascii="Times New Roman" w:hAnsi="Times New Roman" w:cs="Times New Roman"/>
          <w:sz w:val="24"/>
          <w:szCs w:val="24"/>
          <w:vertAlign w:val="baseline"/>
        </w:rPr>
        <w:t xml:space="preserve"> Committee is viewed</w:t>
      </w:r>
      <w:r w:rsidR="001E4E40">
        <w:rPr>
          <w:rFonts w:ascii="Times New Roman" w:hAnsi="Times New Roman" w:cs="Times New Roman"/>
          <w:sz w:val="24"/>
          <w:szCs w:val="24"/>
          <w:vertAlign w:val="baseline"/>
        </w:rPr>
        <w:t xml:space="preserve"> and subsequently marginalised,</w:t>
      </w:r>
      <w:r w:rsidR="004172B3">
        <w:rPr>
          <w:rFonts w:ascii="Times New Roman" w:hAnsi="Times New Roman" w:cs="Times New Roman"/>
          <w:sz w:val="24"/>
          <w:szCs w:val="24"/>
          <w:vertAlign w:val="baseline"/>
        </w:rPr>
        <w:t xml:space="preserve"> </w:t>
      </w:r>
      <w:r w:rsidR="00A34198">
        <w:rPr>
          <w:rFonts w:ascii="Times New Roman" w:hAnsi="Times New Roman" w:cs="Times New Roman"/>
          <w:sz w:val="24"/>
          <w:szCs w:val="24"/>
          <w:vertAlign w:val="baseline"/>
        </w:rPr>
        <w:t xml:space="preserve">within </w:t>
      </w:r>
      <w:r w:rsidR="004172B3">
        <w:rPr>
          <w:rFonts w:ascii="Times New Roman" w:hAnsi="Times New Roman" w:cs="Times New Roman"/>
          <w:sz w:val="24"/>
          <w:szCs w:val="24"/>
          <w:vertAlign w:val="baseline"/>
        </w:rPr>
        <w:t>the</w:t>
      </w:r>
      <w:r w:rsidR="00A34198">
        <w:rPr>
          <w:rFonts w:ascii="Times New Roman" w:hAnsi="Times New Roman" w:cs="Times New Roman"/>
          <w:sz w:val="24"/>
          <w:szCs w:val="24"/>
          <w:vertAlign w:val="baseline"/>
        </w:rPr>
        <w:t xml:space="preserve"> jurisprudentially masculine model of </w:t>
      </w:r>
      <w:r w:rsidR="004172B3">
        <w:rPr>
          <w:rFonts w:ascii="Times New Roman" w:hAnsi="Times New Roman" w:cs="Times New Roman"/>
          <w:sz w:val="24"/>
          <w:szCs w:val="24"/>
          <w:vertAlign w:val="baseline"/>
        </w:rPr>
        <w:t>international human rights law.</w:t>
      </w:r>
      <w:r w:rsidR="001E4E40">
        <w:rPr>
          <w:rFonts w:ascii="Times New Roman" w:hAnsi="Times New Roman" w:cs="Times New Roman"/>
          <w:sz w:val="24"/>
          <w:szCs w:val="24"/>
          <w:vertAlign w:val="baseline"/>
        </w:rPr>
        <w:t xml:space="preserve"> However, a</w:t>
      </w:r>
      <w:r w:rsidR="008F5862">
        <w:rPr>
          <w:rFonts w:ascii="Times New Roman" w:hAnsi="Times New Roman" w:cs="Times New Roman"/>
          <w:sz w:val="24"/>
          <w:szCs w:val="24"/>
          <w:vertAlign w:val="baseline"/>
        </w:rPr>
        <w:t>s noted with India, the continued repetition of recommendations by the Committee would suggest that the Committee is taking a somewhat pragmatic approach in dealin</w:t>
      </w:r>
      <w:r w:rsidR="00B058BD">
        <w:rPr>
          <w:rFonts w:ascii="Times New Roman" w:hAnsi="Times New Roman" w:cs="Times New Roman"/>
          <w:sz w:val="24"/>
          <w:szCs w:val="24"/>
          <w:vertAlign w:val="baseline"/>
        </w:rPr>
        <w:t>g with non-compliance by states.</w:t>
      </w:r>
      <w:r w:rsidR="00B058BD">
        <w:rPr>
          <w:rStyle w:val="FootnoteReference"/>
          <w:rFonts w:ascii="Times New Roman" w:hAnsi="Times New Roman" w:cs="Times New Roman"/>
          <w:sz w:val="24"/>
          <w:szCs w:val="24"/>
        </w:rPr>
        <w:footnoteReference w:id="858"/>
      </w:r>
      <w:r w:rsidR="00B058BD">
        <w:rPr>
          <w:rFonts w:ascii="Times New Roman" w:hAnsi="Times New Roman" w:cs="Times New Roman"/>
          <w:sz w:val="24"/>
          <w:szCs w:val="24"/>
          <w:vertAlign w:val="baseline"/>
        </w:rPr>
        <w:t xml:space="preserve"> R</w:t>
      </w:r>
      <w:r w:rsidR="008F5862">
        <w:rPr>
          <w:rFonts w:ascii="Times New Roman" w:hAnsi="Times New Roman" w:cs="Times New Roman"/>
          <w:sz w:val="24"/>
          <w:szCs w:val="24"/>
          <w:vertAlign w:val="baseline"/>
        </w:rPr>
        <w:t>ather than see states withdraw themselves from the Convention</w:t>
      </w:r>
      <w:r w:rsidR="00B058BD">
        <w:rPr>
          <w:rFonts w:ascii="Times New Roman" w:hAnsi="Times New Roman" w:cs="Times New Roman"/>
          <w:sz w:val="24"/>
          <w:szCs w:val="24"/>
          <w:vertAlign w:val="baseline"/>
        </w:rPr>
        <w:t xml:space="preserve">, it is hoped that continued pressure, in the way of recommendations, </w:t>
      </w:r>
      <w:r w:rsidR="0026786E">
        <w:rPr>
          <w:rFonts w:ascii="Times New Roman" w:hAnsi="Times New Roman" w:cs="Times New Roman"/>
          <w:sz w:val="24"/>
          <w:szCs w:val="24"/>
          <w:vertAlign w:val="baseline"/>
        </w:rPr>
        <w:t>will</w:t>
      </w:r>
      <w:r w:rsidR="00B058BD">
        <w:rPr>
          <w:rFonts w:ascii="Times New Roman" w:hAnsi="Times New Roman" w:cs="Times New Roman"/>
          <w:sz w:val="24"/>
          <w:szCs w:val="24"/>
          <w:vertAlign w:val="baseline"/>
        </w:rPr>
        <w:t xml:space="preserve"> pave th</w:t>
      </w:r>
      <w:r w:rsidR="0026786E">
        <w:rPr>
          <w:rFonts w:ascii="Times New Roman" w:hAnsi="Times New Roman" w:cs="Times New Roman"/>
          <w:sz w:val="24"/>
          <w:szCs w:val="24"/>
          <w:vertAlign w:val="baseline"/>
        </w:rPr>
        <w:t>e way for potential progress, whilst maintaining a continuing dialogue with states.</w:t>
      </w:r>
      <w:r w:rsidR="00CF1DB0">
        <w:rPr>
          <w:rFonts w:ascii="Times New Roman" w:hAnsi="Times New Roman" w:cs="Times New Roman"/>
          <w:sz w:val="24"/>
          <w:szCs w:val="24"/>
          <w:vertAlign w:val="baseline"/>
        </w:rPr>
        <w:t xml:space="preserve"> </w:t>
      </w:r>
    </w:p>
    <w:p w14:paraId="0C5A3896" w14:textId="0A02F1BB" w:rsidR="001C6724" w:rsidRPr="001C6724" w:rsidRDefault="008F049A" w:rsidP="001C6724">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5.5</w:t>
      </w:r>
      <w:r w:rsidR="00395953">
        <w:rPr>
          <w:rFonts w:ascii="Times New Roman" w:hAnsi="Times New Roman" w:cs="Times New Roman"/>
          <w:b/>
          <w:sz w:val="24"/>
          <w:szCs w:val="24"/>
          <w:u w:val="single"/>
          <w:vertAlign w:val="baseline"/>
        </w:rPr>
        <w:t xml:space="preserve"> </w:t>
      </w:r>
      <w:r w:rsidR="006D072F">
        <w:rPr>
          <w:rFonts w:ascii="Times New Roman" w:hAnsi="Times New Roman" w:cs="Times New Roman"/>
          <w:b/>
          <w:sz w:val="24"/>
          <w:szCs w:val="24"/>
          <w:u w:val="single"/>
          <w:vertAlign w:val="baseline"/>
        </w:rPr>
        <w:t>DECLARATION ON THE ELIMINATION OF VIOLENCE AGAINST WOMEN</w:t>
      </w:r>
      <w:r w:rsidR="001C6724" w:rsidRPr="001C6724">
        <w:rPr>
          <w:rFonts w:ascii="Times New Roman" w:hAnsi="Times New Roman" w:cs="Times New Roman"/>
          <w:b/>
          <w:sz w:val="24"/>
          <w:szCs w:val="24"/>
          <w:u w:val="single"/>
          <w:vertAlign w:val="baseline"/>
        </w:rPr>
        <w:t xml:space="preserve"> (DEVAW)</w:t>
      </w:r>
    </w:p>
    <w:p w14:paraId="7C3993FA" w14:textId="77777777" w:rsidR="001C6724" w:rsidRPr="001C6724" w:rsidRDefault="001C6724" w:rsidP="00F21730">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After intense efforts by the women’s movement, the UN General Assembly adopted the Declaration on the Elimination of Violence against Women (DEVAW)</w:t>
      </w:r>
      <w:r w:rsidRPr="001C6724">
        <w:rPr>
          <w:rFonts w:ascii="Times New Roman" w:hAnsi="Times New Roman" w:cs="Times New Roman"/>
          <w:sz w:val="24"/>
          <w:szCs w:val="24"/>
        </w:rPr>
        <w:footnoteReference w:id="859"/>
      </w:r>
      <w:r w:rsidRPr="001C6724">
        <w:rPr>
          <w:rFonts w:ascii="Times New Roman" w:hAnsi="Times New Roman" w:cs="Times New Roman"/>
          <w:sz w:val="24"/>
          <w:szCs w:val="24"/>
          <w:vertAlign w:val="baseline"/>
        </w:rPr>
        <w:t xml:space="preserve"> in 1993, which was the first international human rights instrument to exclusively and explicitly address the issue of VAW. The text of DEVAW reinforced the views stated by the CEDAW Committee in General Recommendation 19 and, despite not possessing the binding legal authority of Conventions, it was recognised as a universal and strong statement of principle to the international community, one which complements and strengthens the work of CEDAW.</w:t>
      </w:r>
      <w:r w:rsidRPr="001C6724">
        <w:rPr>
          <w:rFonts w:ascii="Times New Roman" w:hAnsi="Times New Roman" w:cs="Times New Roman"/>
          <w:sz w:val="24"/>
          <w:szCs w:val="24"/>
        </w:rPr>
        <w:footnoteReference w:id="860"/>
      </w:r>
      <w:r w:rsidRPr="001C6724">
        <w:rPr>
          <w:rFonts w:ascii="Times New Roman" w:hAnsi="Times New Roman" w:cs="Times New Roman"/>
          <w:sz w:val="24"/>
          <w:szCs w:val="24"/>
          <w:vertAlign w:val="baseline"/>
        </w:rPr>
        <w:t xml:space="preserve"> DEVAW affirms that ‘violence against women constitutes a violation of the rights and fundamental freedoms of women and impairs or nullifies their enjoyment of those rights and freedoms,’</w:t>
      </w:r>
      <w:r w:rsidRPr="001C6724">
        <w:rPr>
          <w:rFonts w:ascii="Times New Roman" w:hAnsi="Times New Roman" w:cs="Times New Roman"/>
          <w:sz w:val="24"/>
          <w:szCs w:val="24"/>
        </w:rPr>
        <w:footnoteReference w:id="861"/>
      </w:r>
      <w:r w:rsidRPr="001C6724">
        <w:rPr>
          <w:rFonts w:ascii="Times New Roman" w:hAnsi="Times New Roman" w:cs="Times New Roman"/>
          <w:sz w:val="24"/>
          <w:szCs w:val="24"/>
          <w:vertAlign w:val="baseline"/>
        </w:rPr>
        <w:t xml:space="preserve"> whilst recognising that,</w:t>
      </w:r>
    </w:p>
    <w:p w14:paraId="47EED495" w14:textId="77777777" w:rsidR="001C6724" w:rsidRPr="001C6724" w:rsidRDefault="001C6724" w:rsidP="001C6724">
      <w:pPr>
        <w:spacing w:line="480" w:lineRule="auto"/>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 xml:space="preserve"> </w:t>
      </w:r>
    </w:p>
    <w:p w14:paraId="30B7B4BE" w14:textId="77777777" w:rsidR="00AA2CED" w:rsidRDefault="001C6724" w:rsidP="00AA2CED">
      <w:pPr>
        <w:spacing w:line="480" w:lineRule="auto"/>
        <w:ind w:left="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Violence against women is a manifestation of historically unequal power relations between men and women, which have led to domination over and discrimination against women by men and to the prevention of the full advancement of women, and that violence against women is one of the crucial social mechanisms by which women are forced into a subordinate position compared with men.</w:t>
      </w:r>
      <w:r w:rsidRPr="001C6724">
        <w:rPr>
          <w:rFonts w:ascii="Times New Roman" w:hAnsi="Times New Roman" w:cs="Times New Roman"/>
          <w:sz w:val="24"/>
          <w:szCs w:val="24"/>
        </w:rPr>
        <w:footnoteReference w:id="862"/>
      </w:r>
      <w:r w:rsidR="002138BF">
        <w:rPr>
          <w:rFonts w:ascii="Times New Roman" w:hAnsi="Times New Roman" w:cs="Times New Roman"/>
          <w:sz w:val="24"/>
          <w:szCs w:val="24"/>
          <w:vertAlign w:val="baseline"/>
        </w:rPr>
        <w:t xml:space="preserve"> </w:t>
      </w:r>
    </w:p>
    <w:p w14:paraId="45F33FAD" w14:textId="77777777" w:rsidR="00AA2CED" w:rsidRDefault="00AA2CED" w:rsidP="002138BF">
      <w:pPr>
        <w:spacing w:line="480" w:lineRule="auto"/>
        <w:ind w:firstLine="720"/>
        <w:jc w:val="both"/>
        <w:rPr>
          <w:rFonts w:ascii="Times New Roman" w:hAnsi="Times New Roman" w:cs="Times New Roman"/>
          <w:sz w:val="24"/>
          <w:szCs w:val="24"/>
          <w:vertAlign w:val="baseline"/>
        </w:rPr>
      </w:pPr>
    </w:p>
    <w:p w14:paraId="07791472" w14:textId="57AD730F" w:rsidR="00A02E98" w:rsidRDefault="001C6724" w:rsidP="00A02E98">
      <w:pPr>
        <w:spacing w:line="480" w:lineRule="auto"/>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The definition of VAW is clearly stated in article 1,</w:t>
      </w:r>
      <w:r w:rsidRPr="001C6724">
        <w:rPr>
          <w:rFonts w:ascii="Times New Roman" w:hAnsi="Times New Roman" w:cs="Times New Roman"/>
          <w:sz w:val="24"/>
          <w:szCs w:val="24"/>
        </w:rPr>
        <w:footnoteReference w:id="863"/>
      </w:r>
      <w:r w:rsidRPr="001C6724">
        <w:rPr>
          <w:rFonts w:ascii="Times New Roman" w:hAnsi="Times New Roman" w:cs="Times New Roman"/>
          <w:sz w:val="24"/>
          <w:szCs w:val="24"/>
          <w:vertAlign w:val="baseline"/>
        </w:rPr>
        <w:t xml:space="preserve"> with article 2 conveying the various types of abuse that are encompassed within this definition. Article 2 remains broad in its description, with each section covering a different aspect; abuse within the family is covered in article 2(a), abuse within the general community in article 2(b) and abuse by the State in article 2(c). Article 3 refers to the entitlement of women to the equal enjoyment of all human rights and fundamental freedoms, with article 4 expressing the need for States to condemn VAW regardless of custom, tradition or religious considerations. The recognition by DEVAW that VAW was a result of historically unequal power relations between men and women was revolutionary for women’s human rights and as noted by Qureshi, ‘DEVAW led the Former Commission on Human Rights to adopt the resolution calling for the integration of Women’s human rights into UN’s human rights mechanism, elimination of VAW, and appointment of Special Rapporteur on Violence Against Women.’</w:t>
      </w:r>
      <w:r w:rsidRPr="001C6724">
        <w:rPr>
          <w:rFonts w:ascii="Times New Roman" w:hAnsi="Times New Roman" w:cs="Times New Roman"/>
          <w:sz w:val="24"/>
          <w:szCs w:val="24"/>
        </w:rPr>
        <w:footnoteReference w:id="864"/>
      </w:r>
      <w:r w:rsidRPr="001C6724">
        <w:rPr>
          <w:rFonts w:ascii="Times New Roman" w:hAnsi="Times New Roman" w:cs="Times New Roman"/>
          <w:sz w:val="24"/>
          <w:szCs w:val="24"/>
          <w:vertAlign w:val="baseline"/>
        </w:rPr>
        <w:t xml:space="preserve"> </w:t>
      </w:r>
      <w:r w:rsidR="00A02E98">
        <w:rPr>
          <w:rFonts w:ascii="Times New Roman" w:hAnsi="Times New Roman" w:cs="Times New Roman"/>
          <w:sz w:val="24"/>
          <w:szCs w:val="24"/>
          <w:vertAlign w:val="baseline"/>
        </w:rPr>
        <w:t>The importance of the appointment of an SR on VAW must be highlighted here. As reflected in the previous chapter</w:t>
      </w:r>
      <w:r w:rsidR="00A02E98">
        <w:rPr>
          <w:rStyle w:val="FootnoteReference"/>
          <w:rFonts w:ascii="Times New Roman" w:hAnsi="Times New Roman" w:cs="Times New Roman"/>
          <w:sz w:val="24"/>
          <w:szCs w:val="24"/>
        </w:rPr>
        <w:footnoteReference w:id="865"/>
      </w:r>
      <w:r w:rsidR="00A02E98">
        <w:rPr>
          <w:rFonts w:ascii="Times New Roman" w:hAnsi="Times New Roman" w:cs="Times New Roman"/>
          <w:sz w:val="24"/>
          <w:szCs w:val="24"/>
          <w:vertAlign w:val="baseline"/>
        </w:rPr>
        <w:t xml:space="preserve"> the SR on VAW has produced reports on all four case studies concerning the issue of WAP and has been instrumental in publicising the brutality of witchcraft related violence against women.</w:t>
      </w:r>
    </w:p>
    <w:p w14:paraId="59FA20DF" w14:textId="77777777" w:rsidR="00A02E98" w:rsidRDefault="00A02E98" w:rsidP="00B51424">
      <w:pPr>
        <w:spacing w:line="480" w:lineRule="auto"/>
        <w:jc w:val="both"/>
        <w:rPr>
          <w:rFonts w:ascii="Times New Roman" w:hAnsi="Times New Roman" w:cs="Times New Roman"/>
          <w:sz w:val="24"/>
          <w:szCs w:val="24"/>
          <w:vertAlign w:val="baseline"/>
        </w:rPr>
      </w:pPr>
    </w:p>
    <w:p w14:paraId="70F5320F" w14:textId="40746284" w:rsidR="001C6724" w:rsidRPr="001C6724" w:rsidRDefault="001C6724" w:rsidP="006D70DE">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Whilst DEVAW does not specifically make reference to WAP, there is certainly scope under articles 2(a) and 2(b) to incorporate protection from WAP related violence, which occurs both with</w:t>
      </w:r>
      <w:r w:rsidR="004F722C">
        <w:rPr>
          <w:rFonts w:ascii="Times New Roman" w:hAnsi="Times New Roman" w:cs="Times New Roman"/>
          <w:sz w:val="24"/>
          <w:szCs w:val="24"/>
          <w:vertAlign w:val="baseline"/>
        </w:rPr>
        <w:t>in the family unit (article 2(a</w:t>
      </w:r>
      <w:r w:rsidRPr="001C6724">
        <w:rPr>
          <w:rFonts w:ascii="Times New Roman" w:hAnsi="Times New Roman" w:cs="Times New Roman"/>
          <w:sz w:val="24"/>
          <w:szCs w:val="24"/>
          <w:vertAlign w:val="baseline"/>
        </w:rPr>
        <w:t>)</w:t>
      </w:r>
      <w:r w:rsidR="004F722C">
        <w:rPr>
          <w:rFonts w:ascii="Times New Roman" w:hAnsi="Times New Roman" w:cs="Times New Roman"/>
          <w:sz w:val="24"/>
          <w:szCs w:val="24"/>
          <w:vertAlign w:val="baseline"/>
        </w:rPr>
        <w:t>)</w:t>
      </w:r>
      <w:r w:rsidRPr="001C6724">
        <w:rPr>
          <w:rFonts w:ascii="Times New Roman" w:hAnsi="Times New Roman" w:cs="Times New Roman"/>
          <w:sz w:val="24"/>
          <w:szCs w:val="24"/>
          <w:vertAlign w:val="baseline"/>
        </w:rPr>
        <w:t xml:space="preserve"> and within the general community (article 2(b)). Moreover, article 2(c) provides protection to women from violence perpetrated or condoned by the State, with article 4(a)(i) specifying the need for States to implement measures to sensitise law enforcement officers when dealing with victims of VAW. Therefore, women are also protected from those actors of the State, such as the police, who can also play a role in the persecution of women through witchcraft.</w:t>
      </w:r>
      <w:r w:rsidR="006D70DE">
        <w:rPr>
          <w:rFonts w:ascii="Times New Roman" w:hAnsi="Times New Roman" w:cs="Times New Roman"/>
          <w:sz w:val="24"/>
          <w:szCs w:val="24"/>
          <w:vertAlign w:val="baseline"/>
        </w:rPr>
        <w:t xml:space="preserve"> D</w:t>
      </w:r>
      <w:r w:rsidRPr="001C6724">
        <w:rPr>
          <w:rFonts w:ascii="Times New Roman" w:hAnsi="Times New Roman" w:cs="Times New Roman"/>
          <w:sz w:val="24"/>
          <w:szCs w:val="24"/>
          <w:vertAlign w:val="baseline"/>
        </w:rPr>
        <w:t>espite these provisions the non-binding legal authority of DEVAW must be emphasised. Thus, it is highly unlikely that those States, which currently do not respect or fulfil their obligations under binding legal Conventions such as CEDAW, will pay much attention to their lesser counterparts.</w:t>
      </w:r>
    </w:p>
    <w:p w14:paraId="098E4B4F"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55F6B586" w14:textId="4CBC0389" w:rsidR="001C6724" w:rsidRPr="00F371DF" w:rsidRDefault="008F049A" w:rsidP="001C6724">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5.6</w:t>
      </w:r>
      <w:r w:rsidR="00940CAA">
        <w:rPr>
          <w:rFonts w:ascii="Times New Roman" w:hAnsi="Times New Roman" w:cs="Times New Roman"/>
          <w:b/>
          <w:sz w:val="24"/>
          <w:szCs w:val="24"/>
          <w:u w:val="single"/>
          <w:vertAlign w:val="baseline"/>
        </w:rPr>
        <w:t xml:space="preserve"> </w:t>
      </w:r>
      <w:r w:rsidR="00535056">
        <w:rPr>
          <w:rFonts w:ascii="Times New Roman" w:hAnsi="Times New Roman" w:cs="Times New Roman"/>
          <w:b/>
          <w:sz w:val="24"/>
          <w:szCs w:val="24"/>
          <w:u w:val="single"/>
          <w:vertAlign w:val="baseline"/>
        </w:rPr>
        <w:t xml:space="preserve">CONVENTION AGAINST TORTURE AND OTHER CRUEL, INHUMAN OR DEGRADING PUNISHMENT OR TREATMENT </w:t>
      </w:r>
      <w:r w:rsidR="001C6724" w:rsidRPr="001C6724">
        <w:rPr>
          <w:rFonts w:ascii="Times New Roman" w:hAnsi="Times New Roman" w:cs="Times New Roman"/>
          <w:b/>
          <w:sz w:val="24"/>
          <w:szCs w:val="24"/>
          <w:u w:val="single"/>
          <w:vertAlign w:val="baseline"/>
        </w:rPr>
        <w:t>(CAT)</w:t>
      </w:r>
    </w:p>
    <w:p w14:paraId="214E90E4" w14:textId="3665C000" w:rsidR="001C6724" w:rsidRDefault="001C6724" w:rsidP="00F371DF">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The CAT</w:t>
      </w:r>
      <w:r w:rsidRPr="001C6724">
        <w:rPr>
          <w:rFonts w:ascii="Times New Roman" w:hAnsi="Times New Roman" w:cs="Times New Roman"/>
          <w:sz w:val="24"/>
          <w:szCs w:val="24"/>
        </w:rPr>
        <w:footnoteReference w:id="866"/>
      </w:r>
      <w:r w:rsidRPr="001C6724">
        <w:rPr>
          <w:rFonts w:ascii="Times New Roman" w:hAnsi="Times New Roman" w:cs="Times New Roman"/>
          <w:sz w:val="24"/>
          <w:szCs w:val="24"/>
          <w:vertAlign w:val="baseline"/>
        </w:rPr>
        <w:t xml:space="preserve"> is the most comprehensive international treaty dealing with torture. The UN General Assembly adopted CAT on 10 December 1984 and it entered into force on 26 June 1987. Ghana and Nepal have ratified the CAT.</w:t>
      </w:r>
      <w:r w:rsidRPr="001C6724">
        <w:rPr>
          <w:rFonts w:ascii="Times New Roman" w:hAnsi="Times New Roman" w:cs="Times New Roman"/>
          <w:sz w:val="24"/>
          <w:szCs w:val="24"/>
        </w:rPr>
        <w:footnoteReference w:id="867"/>
      </w:r>
      <w:r w:rsidRPr="001C6724">
        <w:rPr>
          <w:rFonts w:ascii="Times New Roman" w:hAnsi="Times New Roman" w:cs="Times New Roman"/>
          <w:sz w:val="24"/>
          <w:szCs w:val="24"/>
          <w:vertAlign w:val="baseline"/>
        </w:rPr>
        <w:t xml:space="preserve"> Whilst India signed the CAT on 14 October 1997, they have not yet ratified the treaty. Papua New Guinea is not a signatory to the CAT.</w:t>
      </w:r>
      <w:r w:rsidR="00276588">
        <w:rPr>
          <w:rFonts w:ascii="Times New Roman" w:hAnsi="Times New Roman" w:cs="Times New Roman"/>
          <w:sz w:val="24"/>
          <w:szCs w:val="24"/>
          <w:vertAlign w:val="baseline"/>
        </w:rPr>
        <w:t xml:space="preserve"> </w:t>
      </w:r>
      <w:r w:rsidRPr="001C6724">
        <w:rPr>
          <w:rFonts w:ascii="Times New Roman" w:hAnsi="Times New Roman" w:cs="Times New Roman"/>
          <w:sz w:val="24"/>
          <w:szCs w:val="24"/>
          <w:vertAlign w:val="baseline"/>
        </w:rPr>
        <w:t xml:space="preserve">Torture is defined in Article 1 as, </w:t>
      </w:r>
    </w:p>
    <w:p w14:paraId="63E07E9A" w14:textId="77777777" w:rsidR="00F371DF" w:rsidRPr="001C6724" w:rsidRDefault="00F371DF" w:rsidP="00276588">
      <w:pPr>
        <w:spacing w:line="480" w:lineRule="auto"/>
        <w:jc w:val="both"/>
        <w:rPr>
          <w:rFonts w:ascii="Times New Roman" w:hAnsi="Times New Roman" w:cs="Times New Roman"/>
          <w:sz w:val="24"/>
          <w:szCs w:val="24"/>
          <w:vertAlign w:val="baseline"/>
        </w:rPr>
      </w:pPr>
    </w:p>
    <w:p w14:paraId="5E192F6D" w14:textId="77777777" w:rsidR="001C6724" w:rsidRPr="001C6724" w:rsidRDefault="001C6724" w:rsidP="00035CC6">
      <w:pPr>
        <w:spacing w:line="480" w:lineRule="auto"/>
        <w:ind w:left="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Any act by which severe pain or suffering, whether physical or mental, is intentionally inflicted on a person for such purposes as obtaining from him or a third person information or a confession, punishing him for an act he or a third person has committed or is suspected of having committed, or intimidating or coercing him or a third person, or for any reason based on discrimination of any kind, when such pain or suffering is inflicted by or at the instigation of or with the consent or acquiescence of a public official or other person acting in an official capacity. It does not include pain or suffering arising only from, inherent in or incidental to lawful sanctions.</w:t>
      </w:r>
      <w:r w:rsidRPr="001C6724">
        <w:rPr>
          <w:rFonts w:ascii="Times New Roman" w:hAnsi="Times New Roman" w:cs="Times New Roman"/>
          <w:sz w:val="24"/>
          <w:szCs w:val="24"/>
        </w:rPr>
        <w:footnoteReference w:id="868"/>
      </w:r>
    </w:p>
    <w:p w14:paraId="571BB27A"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5C9AC62A" w14:textId="77777777" w:rsidR="001C6724" w:rsidRPr="001C6724" w:rsidRDefault="001C6724" w:rsidP="00276588">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This definition of torture comprises of the following elements; (1) Nature of the act, (2) Intention of the perpetrator, (3) Purpose (4) Involvement of Public Officials or other person acting in an official capacity.</w:t>
      </w:r>
      <w:r w:rsidRPr="001C6724">
        <w:rPr>
          <w:rFonts w:ascii="Times New Roman" w:hAnsi="Times New Roman" w:cs="Times New Roman"/>
          <w:sz w:val="24"/>
          <w:szCs w:val="24"/>
        </w:rPr>
        <w:footnoteReference w:id="869"/>
      </w:r>
      <w:r w:rsidRPr="001C6724">
        <w:rPr>
          <w:rFonts w:ascii="Times New Roman" w:hAnsi="Times New Roman" w:cs="Times New Roman"/>
          <w:sz w:val="24"/>
          <w:szCs w:val="24"/>
          <w:vertAlign w:val="baseline"/>
        </w:rPr>
        <w:t xml:space="preserve"> Each element will be examined individually, in relation to WAP. The nature of the act includes the infliction of severe pain or suffering and may be either physical or mental; WAP would qualify as torture under this element.</w:t>
      </w:r>
      <w:r w:rsidRPr="001C6724">
        <w:rPr>
          <w:rFonts w:ascii="Times New Roman" w:hAnsi="Times New Roman" w:cs="Times New Roman"/>
          <w:sz w:val="24"/>
          <w:szCs w:val="24"/>
        </w:rPr>
        <w:footnoteReference w:id="870"/>
      </w:r>
      <w:r w:rsidRPr="001C6724">
        <w:rPr>
          <w:rFonts w:ascii="Times New Roman" w:hAnsi="Times New Roman" w:cs="Times New Roman"/>
          <w:sz w:val="24"/>
          <w:szCs w:val="24"/>
          <w:vertAlign w:val="baseline"/>
        </w:rPr>
        <w:t xml:space="preserve"> Under the second element, the pain and suffering caused must be intentionally inflicted to the victim to qualify as torture. It is evident that all cases of WAP are intentional, due to the accusatory and blameworthy nature of the witchcraft discourse. Thus, WAP would again qualify as torture under this element. The third element considers the purpose that an act must fulfil to be considered as torture. The definition refers to five different purposes that are considered as torture; extracting a confession, for obtaining information from the victim or a third person, punishment, intimidation and coercion, and discrimination. WAP comprises of variations of all five of these elements. The key element of WAP is the extraction of confessions. This is true of both historical and contemporary witchcraft accusations. Thus, the principal aim for perpetrators of WAP is to extract a confession or to obtain information, predominantly self-incriminating. The element of punishment is again a key element of WAP, which follows the accusation and forced confession. Regarding intimidation and coercion, it is submitted that perpetrators of WAP use both these methods to extract a confession from the victims, but also as a way of marginalising others within society. Discrimination would incorporate the fact that the majority of victims of WAP are female, and also the fact that many of the victims are poor, elderly and of lower castes. Thus, emphasising the many different layers on which WAP discriminates women.</w:t>
      </w:r>
    </w:p>
    <w:p w14:paraId="38B11CEA"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3D61756D" w14:textId="0C09B336" w:rsidR="001140FC" w:rsidRPr="001F7B22" w:rsidRDefault="001C6724" w:rsidP="00E817BD">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The final eleme</w:t>
      </w:r>
      <w:r w:rsidR="00F371DF">
        <w:rPr>
          <w:rFonts w:ascii="Times New Roman" w:hAnsi="Times New Roman" w:cs="Times New Roman"/>
          <w:sz w:val="24"/>
          <w:szCs w:val="24"/>
          <w:vertAlign w:val="baseline"/>
        </w:rPr>
        <w:t>nt concerns the involvement of public o</w:t>
      </w:r>
      <w:r w:rsidRPr="001C6724">
        <w:rPr>
          <w:rFonts w:ascii="Times New Roman" w:hAnsi="Times New Roman" w:cs="Times New Roman"/>
          <w:sz w:val="24"/>
          <w:szCs w:val="24"/>
          <w:vertAlign w:val="baseline"/>
        </w:rPr>
        <w:t>fficials or other persons acting in an official capacity. Whilst the involvement of public official</w:t>
      </w:r>
      <w:r w:rsidR="000F2CD8">
        <w:rPr>
          <w:rFonts w:ascii="Times New Roman" w:hAnsi="Times New Roman" w:cs="Times New Roman"/>
          <w:sz w:val="24"/>
          <w:szCs w:val="24"/>
          <w:vertAlign w:val="baseline"/>
        </w:rPr>
        <w:t>s</w:t>
      </w:r>
      <w:r w:rsidRPr="001C6724">
        <w:rPr>
          <w:rFonts w:ascii="Times New Roman" w:hAnsi="Times New Roman" w:cs="Times New Roman"/>
          <w:sz w:val="24"/>
          <w:szCs w:val="24"/>
          <w:vertAlign w:val="baseline"/>
        </w:rPr>
        <w:t xml:space="preserve"> is self-explanatory and would not generally fall within the scope of perpetrators involved in WAP, the European Court of Human Rights</w:t>
      </w:r>
      <w:r w:rsidR="000C3557">
        <w:rPr>
          <w:rFonts w:ascii="Times New Roman" w:hAnsi="Times New Roman" w:cs="Times New Roman"/>
          <w:sz w:val="24"/>
          <w:szCs w:val="24"/>
          <w:vertAlign w:val="baseline"/>
        </w:rPr>
        <w:t xml:space="preserve"> (ECtHR)</w:t>
      </w:r>
      <w:r w:rsidRPr="001C6724">
        <w:rPr>
          <w:rFonts w:ascii="Times New Roman" w:hAnsi="Times New Roman" w:cs="Times New Roman"/>
          <w:sz w:val="24"/>
          <w:szCs w:val="24"/>
          <w:vertAlign w:val="baseline"/>
        </w:rPr>
        <w:t xml:space="preserve"> have been flexible towards the understanding of the term ‘involvement of public officials,’ with States found to be in breach of their obligations due to not taking suffic</w:t>
      </w:r>
      <w:r w:rsidR="00FA3B99">
        <w:rPr>
          <w:rFonts w:ascii="Times New Roman" w:hAnsi="Times New Roman" w:cs="Times New Roman"/>
          <w:sz w:val="24"/>
          <w:szCs w:val="24"/>
          <w:vertAlign w:val="baseline"/>
        </w:rPr>
        <w:t>ient measures to prevent acts of</w:t>
      </w:r>
      <w:r w:rsidRPr="001C6724">
        <w:rPr>
          <w:rFonts w:ascii="Times New Roman" w:hAnsi="Times New Roman" w:cs="Times New Roman"/>
          <w:sz w:val="24"/>
          <w:szCs w:val="24"/>
          <w:vertAlign w:val="baseline"/>
        </w:rPr>
        <w:t xml:space="preserve"> torture administered by non-State actors, when State officials were aware of the acts, but did nothing to prevent them.</w:t>
      </w:r>
      <w:r w:rsidRPr="001C6724">
        <w:rPr>
          <w:rFonts w:ascii="Times New Roman" w:hAnsi="Times New Roman" w:cs="Times New Roman"/>
          <w:sz w:val="24"/>
          <w:szCs w:val="24"/>
        </w:rPr>
        <w:footnoteReference w:id="871"/>
      </w:r>
      <w:r w:rsidR="002A177D">
        <w:rPr>
          <w:rFonts w:ascii="Times New Roman" w:hAnsi="Times New Roman" w:cs="Times New Roman"/>
          <w:sz w:val="24"/>
          <w:szCs w:val="24"/>
          <w:vertAlign w:val="baseline"/>
        </w:rPr>
        <w:t xml:space="preserve"> </w:t>
      </w:r>
      <w:r w:rsidR="002B6D0E">
        <w:rPr>
          <w:rFonts w:ascii="Times New Roman" w:hAnsi="Times New Roman" w:cs="Times New Roman"/>
          <w:sz w:val="24"/>
          <w:szCs w:val="24"/>
          <w:vertAlign w:val="baseline"/>
        </w:rPr>
        <w:t>Examples of this can be found in the</w:t>
      </w:r>
      <w:r w:rsidR="000C3557">
        <w:rPr>
          <w:rFonts w:ascii="Times New Roman" w:hAnsi="Times New Roman" w:cs="Times New Roman"/>
          <w:sz w:val="24"/>
          <w:szCs w:val="24"/>
          <w:vertAlign w:val="baseline"/>
        </w:rPr>
        <w:t xml:space="preserve"> case</w:t>
      </w:r>
      <w:r w:rsidR="008D543F">
        <w:rPr>
          <w:rFonts w:ascii="Times New Roman" w:hAnsi="Times New Roman" w:cs="Times New Roman"/>
          <w:sz w:val="24"/>
          <w:szCs w:val="24"/>
          <w:vertAlign w:val="baseline"/>
        </w:rPr>
        <w:t>s</w:t>
      </w:r>
      <w:r w:rsidR="000C3557">
        <w:rPr>
          <w:rFonts w:ascii="Times New Roman" w:hAnsi="Times New Roman" w:cs="Times New Roman"/>
          <w:sz w:val="24"/>
          <w:szCs w:val="24"/>
          <w:vertAlign w:val="baseline"/>
        </w:rPr>
        <w:t xml:space="preserve"> of </w:t>
      </w:r>
      <w:r w:rsidR="002B6D0E">
        <w:rPr>
          <w:rFonts w:ascii="Times New Roman" w:hAnsi="Times New Roman" w:cs="Times New Roman"/>
          <w:i/>
          <w:sz w:val="24"/>
          <w:szCs w:val="24"/>
          <w:vertAlign w:val="baseline"/>
        </w:rPr>
        <w:t>A v UK</w:t>
      </w:r>
      <w:r w:rsidR="000C3557">
        <w:rPr>
          <w:rFonts w:ascii="Times New Roman" w:hAnsi="Times New Roman" w:cs="Times New Roman"/>
          <w:i/>
          <w:sz w:val="24"/>
          <w:szCs w:val="24"/>
          <w:vertAlign w:val="baseline"/>
        </w:rPr>
        <w:t>,</w:t>
      </w:r>
      <w:r w:rsidR="002B6D0E">
        <w:rPr>
          <w:rStyle w:val="FootnoteReference"/>
          <w:rFonts w:ascii="Times New Roman" w:hAnsi="Times New Roman" w:cs="Times New Roman"/>
          <w:sz w:val="24"/>
          <w:szCs w:val="24"/>
        </w:rPr>
        <w:footnoteReference w:id="872"/>
      </w:r>
      <w:r w:rsidR="000C3557">
        <w:rPr>
          <w:rFonts w:ascii="Times New Roman" w:hAnsi="Times New Roman" w:cs="Times New Roman"/>
          <w:sz w:val="24"/>
          <w:szCs w:val="24"/>
          <w:vertAlign w:val="baseline"/>
        </w:rPr>
        <w:t xml:space="preserve"> </w:t>
      </w:r>
      <w:r w:rsidR="008D543F">
        <w:rPr>
          <w:rFonts w:ascii="Times New Roman" w:hAnsi="Times New Roman" w:cs="Times New Roman"/>
          <w:sz w:val="24"/>
          <w:szCs w:val="24"/>
          <w:vertAlign w:val="baseline"/>
        </w:rPr>
        <w:t xml:space="preserve">where </w:t>
      </w:r>
      <w:r w:rsidR="000C3557">
        <w:rPr>
          <w:rFonts w:ascii="Times New Roman" w:hAnsi="Times New Roman" w:cs="Times New Roman"/>
          <w:sz w:val="24"/>
          <w:szCs w:val="24"/>
          <w:vertAlign w:val="baseline"/>
        </w:rPr>
        <w:t>the ECtHR held that the</w:t>
      </w:r>
      <w:r w:rsidR="00C52BEC">
        <w:rPr>
          <w:rFonts w:ascii="Times New Roman" w:hAnsi="Times New Roman" w:cs="Times New Roman"/>
          <w:sz w:val="24"/>
          <w:szCs w:val="24"/>
          <w:vertAlign w:val="baseline"/>
        </w:rPr>
        <w:t xml:space="preserve"> state ought to be held</w:t>
      </w:r>
      <w:r w:rsidR="00197180">
        <w:rPr>
          <w:rFonts w:ascii="Times New Roman" w:hAnsi="Times New Roman" w:cs="Times New Roman"/>
          <w:sz w:val="24"/>
          <w:szCs w:val="24"/>
          <w:vertAlign w:val="baseline"/>
        </w:rPr>
        <w:t xml:space="preserve"> responsible under Article 3 </w:t>
      </w:r>
      <w:r w:rsidR="00C52BEC">
        <w:rPr>
          <w:rFonts w:ascii="Times New Roman" w:hAnsi="Times New Roman" w:cs="Times New Roman"/>
          <w:sz w:val="24"/>
          <w:szCs w:val="24"/>
          <w:vertAlign w:val="baseline"/>
        </w:rPr>
        <w:t xml:space="preserve">CAT for the failure to provide adequate protection of a 9 year old boy who was </w:t>
      </w:r>
      <w:r w:rsidR="008D543F">
        <w:rPr>
          <w:rFonts w:ascii="Times New Roman" w:hAnsi="Times New Roman" w:cs="Times New Roman"/>
          <w:sz w:val="24"/>
          <w:szCs w:val="24"/>
          <w:vertAlign w:val="baseline"/>
        </w:rPr>
        <w:t>beaten by his stepfather, and, s</w:t>
      </w:r>
      <w:r w:rsidR="00C52BEC">
        <w:rPr>
          <w:rFonts w:ascii="Times New Roman" w:hAnsi="Times New Roman" w:cs="Times New Roman"/>
          <w:sz w:val="24"/>
          <w:szCs w:val="24"/>
          <w:vertAlign w:val="baseline"/>
        </w:rPr>
        <w:t xml:space="preserve">imilarly in </w:t>
      </w:r>
      <w:r w:rsidR="00C52BEC">
        <w:rPr>
          <w:rFonts w:ascii="Times New Roman" w:hAnsi="Times New Roman" w:cs="Times New Roman"/>
          <w:i/>
          <w:sz w:val="24"/>
          <w:szCs w:val="24"/>
          <w:vertAlign w:val="baseline"/>
        </w:rPr>
        <w:t>Z and others v UK</w:t>
      </w:r>
      <w:r w:rsidR="00C52BEC" w:rsidRPr="001F7B22">
        <w:rPr>
          <w:rStyle w:val="FootnoteReference"/>
          <w:rFonts w:ascii="Times New Roman" w:hAnsi="Times New Roman" w:cs="Times New Roman"/>
          <w:sz w:val="24"/>
          <w:szCs w:val="24"/>
        </w:rPr>
        <w:footnoteReference w:id="873"/>
      </w:r>
      <w:r w:rsidR="001F7B22">
        <w:rPr>
          <w:rFonts w:ascii="Times New Roman" w:hAnsi="Times New Roman" w:cs="Times New Roman"/>
          <w:sz w:val="24"/>
          <w:szCs w:val="24"/>
          <w:vertAlign w:val="baseline"/>
        </w:rPr>
        <w:t xml:space="preserve"> </w:t>
      </w:r>
      <w:r w:rsidR="008D543F">
        <w:rPr>
          <w:rFonts w:ascii="Times New Roman" w:hAnsi="Times New Roman" w:cs="Times New Roman"/>
          <w:sz w:val="24"/>
          <w:szCs w:val="24"/>
          <w:vertAlign w:val="baseline"/>
        </w:rPr>
        <w:t xml:space="preserve">where </w:t>
      </w:r>
      <w:r w:rsidR="00BE1AB6">
        <w:rPr>
          <w:rFonts w:ascii="Times New Roman" w:hAnsi="Times New Roman" w:cs="Times New Roman"/>
          <w:sz w:val="24"/>
          <w:szCs w:val="24"/>
          <w:vertAlign w:val="baseline"/>
        </w:rPr>
        <w:t xml:space="preserve">it was unanimously held by the ECtHR that </w:t>
      </w:r>
      <w:r w:rsidR="00F1734B">
        <w:rPr>
          <w:rFonts w:ascii="Times New Roman" w:hAnsi="Times New Roman" w:cs="Times New Roman"/>
          <w:sz w:val="24"/>
          <w:szCs w:val="24"/>
          <w:vertAlign w:val="baseline"/>
        </w:rPr>
        <w:t xml:space="preserve">by failing to place the neglected children on the Child Protection Register, </w:t>
      </w:r>
      <w:r w:rsidR="001F7B22">
        <w:rPr>
          <w:rFonts w:ascii="Times New Roman" w:hAnsi="Times New Roman" w:cs="Times New Roman"/>
          <w:sz w:val="24"/>
          <w:szCs w:val="24"/>
          <w:vertAlign w:val="baseline"/>
        </w:rPr>
        <w:t>the local auth</w:t>
      </w:r>
      <w:r w:rsidR="00BE1AB6">
        <w:rPr>
          <w:rFonts w:ascii="Times New Roman" w:hAnsi="Times New Roman" w:cs="Times New Roman"/>
          <w:sz w:val="24"/>
          <w:szCs w:val="24"/>
          <w:vertAlign w:val="baseline"/>
        </w:rPr>
        <w:t>ority had failed to protect the applicants</w:t>
      </w:r>
      <w:r w:rsidR="00BE1AB6">
        <w:rPr>
          <w:rStyle w:val="FootnoteReference"/>
          <w:rFonts w:ascii="Times New Roman" w:hAnsi="Times New Roman" w:cs="Times New Roman"/>
          <w:sz w:val="24"/>
          <w:szCs w:val="24"/>
        </w:rPr>
        <w:footnoteReference w:id="874"/>
      </w:r>
      <w:r w:rsidR="00FE05C1">
        <w:rPr>
          <w:rFonts w:ascii="Times New Roman" w:hAnsi="Times New Roman" w:cs="Times New Roman"/>
          <w:sz w:val="24"/>
          <w:szCs w:val="24"/>
          <w:vertAlign w:val="baseline"/>
        </w:rPr>
        <w:t xml:space="preserve"> under Article 3 ECHR</w:t>
      </w:r>
      <w:r w:rsidR="00F1734B">
        <w:rPr>
          <w:rFonts w:ascii="Times New Roman" w:hAnsi="Times New Roman" w:cs="Times New Roman"/>
          <w:sz w:val="24"/>
          <w:szCs w:val="24"/>
          <w:vertAlign w:val="baseline"/>
        </w:rPr>
        <w:t>.</w:t>
      </w:r>
    </w:p>
    <w:p w14:paraId="259B97DA" w14:textId="77777777" w:rsidR="005D7B79" w:rsidRDefault="005D7B79" w:rsidP="00032E65">
      <w:pPr>
        <w:spacing w:line="480" w:lineRule="auto"/>
        <w:jc w:val="both"/>
        <w:rPr>
          <w:rFonts w:ascii="Times New Roman" w:hAnsi="Times New Roman" w:cs="Times New Roman"/>
          <w:sz w:val="24"/>
          <w:szCs w:val="24"/>
          <w:vertAlign w:val="baseline"/>
        </w:rPr>
      </w:pPr>
    </w:p>
    <w:p w14:paraId="683D89EB" w14:textId="0C222129" w:rsidR="001C6724" w:rsidRDefault="001C6724" w:rsidP="005540A1">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Whilst it is accepted that CAT is not gender specific, there are provisions within CAT, essentially the procedures of the Committee Against Torture, which provide scope for bringing cases of VAW to international level.</w:t>
      </w:r>
      <w:r w:rsidRPr="001C6724">
        <w:rPr>
          <w:rFonts w:ascii="Times New Roman" w:hAnsi="Times New Roman" w:cs="Times New Roman"/>
          <w:sz w:val="24"/>
          <w:szCs w:val="24"/>
        </w:rPr>
        <w:footnoteReference w:id="875"/>
      </w:r>
      <w:r w:rsidR="008D798B">
        <w:rPr>
          <w:rFonts w:ascii="Times New Roman" w:hAnsi="Times New Roman" w:cs="Times New Roman"/>
          <w:sz w:val="24"/>
          <w:szCs w:val="24"/>
          <w:vertAlign w:val="baseline"/>
        </w:rPr>
        <w:t xml:space="preserve"> T</w:t>
      </w:r>
      <w:r w:rsidRPr="001C6724">
        <w:rPr>
          <w:rFonts w:ascii="Times New Roman" w:hAnsi="Times New Roman" w:cs="Times New Roman"/>
          <w:sz w:val="24"/>
          <w:szCs w:val="24"/>
          <w:vertAlign w:val="baseline"/>
        </w:rPr>
        <w:t xml:space="preserve">he Committee Against Torture, </w:t>
      </w:r>
      <w:r w:rsidR="008D798B">
        <w:rPr>
          <w:rFonts w:ascii="Times New Roman" w:hAnsi="Times New Roman" w:cs="Times New Roman"/>
          <w:sz w:val="24"/>
          <w:szCs w:val="24"/>
          <w:vertAlign w:val="baseline"/>
        </w:rPr>
        <w:t>in accordance with Article 17 CAT,</w:t>
      </w:r>
      <w:r w:rsidR="008D798B" w:rsidRPr="001C6724">
        <w:rPr>
          <w:rFonts w:ascii="Times New Roman" w:hAnsi="Times New Roman" w:cs="Times New Roman"/>
          <w:sz w:val="24"/>
          <w:szCs w:val="24"/>
          <w:vertAlign w:val="baseline"/>
        </w:rPr>
        <w:t xml:space="preserve"> </w:t>
      </w:r>
      <w:r w:rsidR="005540A1">
        <w:rPr>
          <w:rFonts w:ascii="Times New Roman" w:hAnsi="Times New Roman" w:cs="Times New Roman"/>
          <w:sz w:val="24"/>
          <w:szCs w:val="24"/>
          <w:vertAlign w:val="baseline"/>
        </w:rPr>
        <w:t>recognised i</w:t>
      </w:r>
      <w:r w:rsidRPr="001C6724">
        <w:rPr>
          <w:rFonts w:ascii="Times New Roman" w:hAnsi="Times New Roman" w:cs="Times New Roman"/>
          <w:sz w:val="24"/>
          <w:szCs w:val="24"/>
          <w:vertAlign w:val="baseline"/>
        </w:rPr>
        <w:t>n General Recommendation 2</w:t>
      </w:r>
      <w:r w:rsidRPr="001C6724">
        <w:rPr>
          <w:rFonts w:ascii="Times New Roman" w:hAnsi="Times New Roman" w:cs="Times New Roman"/>
          <w:sz w:val="24"/>
          <w:szCs w:val="24"/>
        </w:rPr>
        <w:footnoteReference w:id="876"/>
      </w:r>
      <w:r w:rsidRPr="001C6724">
        <w:rPr>
          <w:rFonts w:ascii="Times New Roman" w:hAnsi="Times New Roman" w:cs="Times New Roman"/>
          <w:sz w:val="24"/>
          <w:szCs w:val="24"/>
          <w:vertAlign w:val="baseline"/>
        </w:rPr>
        <w:t xml:space="preserve"> that VAW can be categorised as gender based torture under the CAT, noting that ‘gender is a key factor’</w:t>
      </w:r>
      <w:r w:rsidRPr="001C6724">
        <w:rPr>
          <w:rFonts w:ascii="Times New Roman" w:hAnsi="Times New Roman" w:cs="Times New Roman"/>
          <w:sz w:val="24"/>
          <w:szCs w:val="24"/>
        </w:rPr>
        <w:footnoteReference w:id="877"/>
      </w:r>
      <w:r w:rsidRPr="001C6724">
        <w:rPr>
          <w:rFonts w:ascii="Times New Roman" w:hAnsi="Times New Roman" w:cs="Times New Roman"/>
          <w:sz w:val="24"/>
          <w:szCs w:val="24"/>
          <w:vertAlign w:val="baseline"/>
        </w:rPr>
        <w:t xml:space="preserve"> with further explicit references to gender in paragraphs 18, 21-24. Moreover, Manfred Nowak, the former Special Rapporteur on torture,</w:t>
      </w:r>
      <w:r w:rsidRPr="001C6724">
        <w:rPr>
          <w:rFonts w:ascii="Times New Roman" w:hAnsi="Times New Roman" w:cs="Times New Roman"/>
          <w:sz w:val="24"/>
          <w:szCs w:val="24"/>
        </w:rPr>
        <w:footnoteReference w:id="878"/>
      </w:r>
      <w:r w:rsidRPr="001C6724">
        <w:rPr>
          <w:rFonts w:ascii="Times New Roman" w:hAnsi="Times New Roman" w:cs="Times New Roman"/>
          <w:sz w:val="24"/>
          <w:szCs w:val="24"/>
          <w:vertAlign w:val="baseline"/>
        </w:rPr>
        <w:t xml:space="preserve"> asserted that, </w:t>
      </w:r>
    </w:p>
    <w:p w14:paraId="2E0058B1" w14:textId="77777777" w:rsidR="00D83930" w:rsidRPr="001C6724" w:rsidRDefault="00D83930" w:rsidP="005540A1">
      <w:pPr>
        <w:spacing w:line="480" w:lineRule="auto"/>
        <w:ind w:firstLine="720"/>
        <w:jc w:val="both"/>
        <w:rPr>
          <w:rFonts w:ascii="Times New Roman" w:hAnsi="Times New Roman" w:cs="Times New Roman"/>
          <w:sz w:val="24"/>
          <w:szCs w:val="24"/>
          <w:vertAlign w:val="baseline"/>
        </w:rPr>
      </w:pPr>
    </w:p>
    <w:p w14:paraId="1BE0F263" w14:textId="77777777" w:rsidR="001C6724" w:rsidRPr="001C6724" w:rsidRDefault="001C6724" w:rsidP="00DC3309">
      <w:pPr>
        <w:spacing w:line="480" w:lineRule="auto"/>
        <w:ind w:left="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There is no exhaustive list of forms of violence that may constitute torture or cruel, inhuman and degrading treatment – rather it may encompass different types of traditional practices (such as dowry-related violence, widow-burning etc.) violence in the name of honour, sexual violence and harassment, as well as slavery-like practice often of a sexual nature.</w:t>
      </w:r>
      <w:r w:rsidRPr="001C6724">
        <w:rPr>
          <w:rFonts w:ascii="Times New Roman" w:hAnsi="Times New Roman" w:cs="Times New Roman"/>
          <w:sz w:val="24"/>
          <w:szCs w:val="24"/>
        </w:rPr>
        <w:footnoteReference w:id="879"/>
      </w:r>
    </w:p>
    <w:p w14:paraId="1FBF76AA"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0F38222A" w14:textId="19C9797F" w:rsidR="001C6724" w:rsidRPr="001C6724" w:rsidRDefault="001C6724" w:rsidP="00371E69">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In relation to Ghana, the Committee, after considering the initial report of Ghana, produced concluding observations on harmful traditional practices, expressing concern at the ‘clear incompatibility between certain aspects of Ghana’s customary law and traditional practices and the respect for fundamental rights and liberties, including the prohibition of torture and cruel, inhuman or degrading treatment or punishment.’</w:t>
      </w:r>
      <w:r w:rsidRPr="001C6724">
        <w:rPr>
          <w:rFonts w:ascii="Times New Roman" w:hAnsi="Times New Roman" w:cs="Times New Roman"/>
          <w:sz w:val="24"/>
          <w:szCs w:val="24"/>
        </w:rPr>
        <w:footnoteReference w:id="880"/>
      </w:r>
      <w:r w:rsidRPr="001C6724">
        <w:rPr>
          <w:rFonts w:ascii="Times New Roman" w:hAnsi="Times New Roman" w:cs="Times New Roman"/>
          <w:sz w:val="24"/>
          <w:szCs w:val="24"/>
          <w:vertAlign w:val="baseline"/>
        </w:rPr>
        <w:t xml:space="preserve"> This incompatibility between customary law and Ghana’s obligations under CAT clearly violates articles 2</w:t>
      </w:r>
      <w:r w:rsidRPr="001C6724">
        <w:rPr>
          <w:rFonts w:ascii="Times New Roman" w:hAnsi="Times New Roman" w:cs="Times New Roman"/>
          <w:sz w:val="24"/>
          <w:szCs w:val="24"/>
        </w:rPr>
        <w:footnoteReference w:id="881"/>
      </w:r>
      <w:r w:rsidRPr="001C6724">
        <w:rPr>
          <w:rFonts w:ascii="Times New Roman" w:hAnsi="Times New Roman" w:cs="Times New Roman"/>
          <w:sz w:val="24"/>
          <w:szCs w:val="24"/>
          <w:vertAlign w:val="baseline"/>
        </w:rPr>
        <w:t xml:space="preserve"> and 16</w:t>
      </w:r>
      <w:r w:rsidRPr="001C6724">
        <w:rPr>
          <w:rFonts w:ascii="Times New Roman" w:hAnsi="Times New Roman" w:cs="Times New Roman"/>
          <w:sz w:val="24"/>
          <w:szCs w:val="24"/>
        </w:rPr>
        <w:footnoteReference w:id="882"/>
      </w:r>
      <w:r w:rsidRPr="001C6724">
        <w:rPr>
          <w:rFonts w:ascii="Times New Roman" w:hAnsi="Times New Roman" w:cs="Times New Roman"/>
          <w:sz w:val="24"/>
          <w:szCs w:val="24"/>
          <w:vertAlign w:val="baseline"/>
        </w:rPr>
        <w:t xml:space="preserve"> of the Convention. In light of this the Committee recommends that Ghana should ‘provide information on the hierarchy between customary law and domestic law, especially with regard to other forms of violence against women.’</w:t>
      </w:r>
      <w:r w:rsidRPr="001C6724">
        <w:rPr>
          <w:rFonts w:ascii="Times New Roman" w:hAnsi="Times New Roman" w:cs="Times New Roman"/>
          <w:sz w:val="24"/>
          <w:szCs w:val="24"/>
        </w:rPr>
        <w:footnoteReference w:id="883"/>
      </w:r>
      <w:r w:rsidRPr="001C6724">
        <w:rPr>
          <w:rFonts w:ascii="Times New Roman" w:hAnsi="Times New Roman" w:cs="Times New Roman"/>
          <w:sz w:val="24"/>
          <w:szCs w:val="24"/>
          <w:vertAlign w:val="baseline"/>
        </w:rPr>
        <w:t xml:space="preserve"> Moreover, the Committee expressed concern at ‘reports that some women have been accused of practising witchcraft, and subjected to severe violence, including mob violence, burning and lynching, and forced to leave their communities … [who] have been sent to so-called “witch camps.”’</w:t>
      </w:r>
      <w:r w:rsidRPr="001C6724">
        <w:rPr>
          <w:rFonts w:ascii="Times New Roman" w:hAnsi="Times New Roman" w:cs="Times New Roman"/>
          <w:sz w:val="24"/>
          <w:szCs w:val="24"/>
        </w:rPr>
        <w:footnoteReference w:id="884"/>
      </w:r>
      <w:r w:rsidRPr="001C6724">
        <w:rPr>
          <w:rFonts w:ascii="Times New Roman" w:hAnsi="Times New Roman" w:cs="Times New Roman"/>
          <w:sz w:val="24"/>
          <w:szCs w:val="24"/>
          <w:vertAlign w:val="baseline"/>
        </w:rPr>
        <w:t xml:space="preserve"> The Committee has also expressed concern at the levels of witchcraft related violence within their concluding observations on reports submitted by Burkina Faso</w:t>
      </w:r>
      <w:r w:rsidRPr="001C6724">
        <w:rPr>
          <w:rFonts w:ascii="Times New Roman" w:hAnsi="Times New Roman" w:cs="Times New Roman"/>
          <w:sz w:val="24"/>
          <w:szCs w:val="24"/>
        </w:rPr>
        <w:footnoteReference w:id="885"/>
      </w:r>
      <w:r w:rsidRPr="001C6724">
        <w:rPr>
          <w:rFonts w:ascii="Times New Roman" w:hAnsi="Times New Roman" w:cs="Times New Roman"/>
          <w:sz w:val="24"/>
          <w:szCs w:val="24"/>
          <w:vertAlign w:val="baseline"/>
        </w:rPr>
        <w:t xml:space="preserve"> and Sierra Leone.</w:t>
      </w:r>
      <w:r w:rsidRPr="001C6724">
        <w:rPr>
          <w:rFonts w:ascii="Times New Roman" w:hAnsi="Times New Roman" w:cs="Times New Roman"/>
          <w:sz w:val="24"/>
          <w:szCs w:val="24"/>
        </w:rPr>
        <w:footnoteReference w:id="886"/>
      </w:r>
      <w:r w:rsidRPr="001C6724">
        <w:rPr>
          <w:rFonts w:ascii="Times New Roman" w:hAnsi="Times New Roman" w:cs="Times New Roman"/>
          <w:sz w:val="24"/>
          <w:szCs w:val="24"/>
          <w:vertAlign w:val="baseline"/>
        </w:rPr>
        <w:t xml:space="preserve"> </w:t>
      </w:r>
    </w:p>
    <w:p w14:paraId="778366E4"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070F3D88" w14:textId="3E10EDD6" w:rsidR="001C6724" w:rsidRPr="001C6724" w:rsidRDefault="001C6724" w:rsidP="00727160">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 xml:space="preserve">In light of this, it is submitted that WAP can constitute torture or cruel, inhuman and degrading treatment under the CAT. However, the impact of recommendations made by the Committee Against Torture is variable, due to difficulties with enforcement of </w:t>
      </w:r>
      <w:r w:rsidR="00871E53">
        <w:rPr>
          <w:rFonts w:ascii="Times New Roman" w:hAnsi="Times New Roman" w:cs="Times New Roman"/>
          <w:sz w:val="24"/>
          <w:szCs w:val="24"/>
          <w:vertAlign w:val="baseline"/>
        </w:rPr>
        <w:t xml:space="preserve">international </w:t>
      </w:r>
      <w:r w:rsidRPr="001C6724">
        <w:rPr>
          <w:rFonts w:ascii="Times New Roman" w:hAnsi="Times New Roman" w:cs="Times New Roman"/>
          <w:sz w:val="24"/>
          <w:szCs w:val="24"/>
          <w:vertAlign w:val="baseline"/>
        </w:rPr>
        <w:t xml:space="preserve">human rights standards and the fact that </w:t>
      </w:r>
      <w:r w:rsidR="00871E53">
        <w:rPr>
          <w:rFonts w:ascii="Times New Roman" w:hAnsi="Times New Roman" w:cs="Times New Roman"/>
          <w:sz w:val="24"/>
          <w:szCs w:val="24"/>
          <w:vertAlign w:val="baseline"/>
        </w:rPr>
        <w:t>the CAT has no official formal power.</w:t>
      </w:r>
      <w:r w:rsidR="00871E53">
        <w:rPr>
          <w:rStyle w:val="FootnoteReference"/>
          <w:rFonts w:ascii="Times New Roman" w:hAnsi="Times New Roman" w:cs="Times New Roman"/>
          <w:sz w:val="24"/>
          <w:szCs w:val="24"/>
        </w:rPr>
        <w:footnoteReference w:id="887"/>
      </w:r>
      <w:r w:rsidRPr="001C6724">
        <w:rPr>
          <w:rFonts w:ascii="Times New Roman" w:hAnsi="Times New Roman" w:cs="Times New Roman"/>
          <w:sz w:val="24"/>
          <w:szCs w:val="24"/>
          <w:vertAlign w:val="baseline"/>
        </w:rPr>
        <w:t xml:space="preserve"> Thus, if states refuse to comply with the provisions of CAT, the Committee Against Torture cannot impose sanctions.</w:t>
      </w:r>
      <w:r w:rsidRPr="001C6724">
        <w:rPr>
          <w:rFonts w:ascii="Times New Roman" w:hAnsi="Times New Roman" w:cs="Times New Roman"/>
          <w:sz w:val="24"/>
          <w:szCs w:val="24"/>
        </w:rPr>
        <w:footnoteReference w:id="888"/>
      </w:r>
      <w:r w:rsidRPr="001C6724">
        <w:rPr>
          <w:rFonts w:ascii="Times New Roman" w:hAnsi="Times New Roman" w:cs="Times New Roman"/>
          <w:sz w:val="24"/>
          <w:szCs w:val="24"/>
          <w:vertAlign w:val="baseline"/>
        </w:rPr>
        <w:t xml:space="preserve"> As with the CEDAW Committee, enforceability is a major weakness of the </w:t>
      </w:r>
      <w:r w:rsidR="00871E53">
        <w:rPr>
          <w:rFonts w:ascii="Times New Roman" w:hAnsi="Times New Roman" w:cs="Times New Roman"/>
          <w:sz w:val="24"/>
          <w:szCs w:val="24"/>
          <w:vertAlign w:val="baseline"/>
        </w:rPr>
        <w:t xml:space="preserve">treaty based </w:t>
      </w:r>
      <w:r w:rsidRPr="001C6724">
        <w:rPr>
          <w:rFonts w:ascii="Times New Roman" w:hAnsi="Times New Roman" w:cs="Times New Roman"/>
          <w:sz w:val="24"/>
          <w:szCs w:val="24"/>
          <w:vertAlign w:val="baseline"/>
        </w:rPr>
        <w:t>human rights system.</w:t>
      </w:r>
      <w:r w:rsidRPr="001C6724">
        <w:rPr>
          <w:rFonts w:ascii="Times New Roman" w:hAnsi="Times New Roman" w:cs="Times New Roman"/>
          <w:sz w:val="24"/>
          <w:szCs w:val="24"/>
        </w:rPr>
        <w:footnoteReference w:id="889"/>
      </w:r>
      <w:r w:rsidRPr="001C6724">
        <w:rPr>
          <w:rFonts w:ascii="Times New Roman" w:hAnsi="Times New Roman" w:cs="Times New Roman"/>
          <w:sz w:val="24"/>
          <w:szCs w:val="24"/>
          <w:vertAlign w:val="baseline"/>
        </w:rPr>
        <w:t xml:space="preserve"> </w:t>
      </w:r>
    </w:p>
    <w:p w14:paraId="6EB831E4"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2B5EED78" w14:textId="105780B6" w:rsidR="001C6724" w:rsidRPr="00560F40" w:rsidRDefault="00560F40" w:rsidP="001C6724">
      <w:pPr>
        <w:spacing w:line="480" w:lineRule="auto"/>
        <w:jc w:val="both"/>
        <w:rPr>
          <w:rFonts w:ascii="Times New Roman" w:hAnsi="Times New Roman" w:cs="Times New Roman"/>
          <w:b/>
          <w:i/>
          <w:sz w:val="24"/>
          <w:szCs w:val="24"/>
          <w:vertAlign w:val="baseline"/>
        </w:rPr>
      </w:pPr>
      <w:r w:rsidRPr="00560F40">
        <w:rPr>
          <w:rFonts w:ascii="Times New Roman" w:hAnsi="Times New Roman" w:cs="Times New Roman"/>
          <w:b/>
          <w:i/>
          <w:sz w:val="24"/>
          <w:szCs w:val="24"/>
          <w:vertAlign w:val="baseline"/>
        </w:rPr>
        <w:t>5.6.1</w:t>
      </w:r>
      <w:r w:rsidR="00A00F69" w:rsidRPr="00560F40">
        <w:rPr>
          <w:rFonts w:ascii="Times New Roman" w:hAnsi="Times New Roman" w:cs="Times New Roman"/>
          <w:b/>
          <w:i/>
          <w:sz w:val="24"/>
          <w:szCs w:val="24"/>
          <w:vertAlign w:val="baseline"/>
        </w:rPr>
        <w:t xml:space="preserve"> </w:t>
      </w:r>
      <w:r w:rsidR="001C6724" w:rsidRPr="00560F40">
        <w:rPr>
          <w:rFonts w:ascii="Times New Roman" w:hAnsi="Times New Roman" w:cs="Times New Roman"/>
          <w:b/>
          <w:i/>
          <w:sz w:val="24"/>
          <w:szCs w:val="24"/>
          <w:vertAlign w:val="baseline"/>
        </w:rPr>
        <w:t>Compliance with CAT</w:t>
      </w:r>
    </w:p>
    <w:p w14:paraId="79B8A04F" w14:textId="24E42E85" w:rsidR="001C6724" w:rsidRDefault="001C6724" w:rsidP="00BE12AB">
      <w:pPr>
        <w:spacing w:line="480" w:lineRule="auto"/>
        <w:ind w:firstLine="36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Unfortunately, as noted previously, only Ghana and Nepal have ratified the CAT. Whilst Ghana submitted their first periodic report to the Committee on 26 November 2009,</w:t>
      </w:r>
      <w:r w:rsidRPr="001C6724">
        <w:rPr>
          <w:rFonts w:ascii="Times New Roman" w:hAnsi="Times New Roman" w:cs="Times New Roman"/>
          <w:sz w:val="24"/>
          <w:szCs w:val="24"/>
        </w:rPr>
        <w:footnoteReference w:id="890"/>
      </w:r>
      <w:r w:rsidRPr="001C6724">
        <w:rPr>
          <w:rFonts w:ascii="Times New Roman" w:hAnsi="Times New Roman" w:cs="Times New Roman"/>
          <w:sz w:val="24"/>
          <w:szCs w:val="24"/>
          <w:vertAlign w:val="baseline"/>
        </w:rPr>
        <w:t xml:space="preserve"> it was noted by the Committee that ‘it does not follow the Committee’s Guidelines</w:t>
      </w:r>
      <w:r w:rsidR="00197180">
        <w:rPr>
          <w:rFonts w:ascii="Times New Roman" w:hAnsi="Times New Roman" w:cs="Times New Roman"/>
          <w:sz w:val="24"/>
          <w:szCs w:val="24"/>
          <w:vertAlign w:val="baseline"/>
        </w:rPr>
        <w:t xml:space="preserve"> </w:t>
      </w:r>
      <w:r w:rsidRPr="001C6724">
        <w:rPr>
          <w:rFonts w:ascii="Times New Roman" w:hAnsi="Times New Roman" w:cs="Times New Roman"/>
          <w:sz w:val="24"/>
          <w:szCs w:val="24"/>
          <w:vertAlign w:val="baseline"/>
        </w:rPr>
        <w:t>…</w:t>
      </w:r>
      <w:r w:rsidR="00197180">
        <w:rPr>
          <w:rFonts w:ascii="Times New Roman" w:hAnsi="Times New Roman" w:cs="Times New Roman"/>
          <w:sz w:val="24"/>
          <w:szCs w:val="24"/>
          <w:vertAlign w:val="baseline"/>
        </w:rPr>
        <w:t xml:space="preserve"> </w:t>
      </w:r>
      <w:r w:rsidRPr="001C6724">
        <w:rPr>
          <w:rFonts w:ascii="Times New Roman" w:hAnsi="Times New Roman" w:cs="Times New Roman"/>
          <w:sz w:val="24"/>
          <w:szCs w:val="24"/>
          <w:vertAlign w:val="baseline"/>
        </w:rPr>
        <w:t>was submitted nearly eight years late</w:t>
      </w:r>
      <w:r w:rsidR="00197180">
        <w:rPr>
          <w:rFonts w:ascii="Times New Roman" w:hAnsi="Times New Roman" w:cs="Times New Roman"/>
          <w:sz w:val="24"/>
          <w:szCs w:val="24"/>
          <w:vertAlign w:val="baseline"/>
        </w:rPr>
        <w:t xml:space="preserve"> </w:t>
      </w:r>
      <w:r w:rsidRPr="001C6724">
        <w:rPr>
          <w:rFonts w:ascii="Times New Roman" w:hAnsi="Times New Roman" w:cs="Times New Roman"/>
          <w:sz w:val="24"/>
          <w:szCs w:val="24"/>
          <w:vertAlign w:val="baseline"/>
        </w:rPr>
        <w:t>…</w:t>
      </w:r>
      <w:r w:rsidR="00197180">
        <w:rPr>
          <w:rFonts w:ascii="Times New Roman" w:hAnsi="Times New Roman" w:cs="Times New Roman"/>
          <w:sz w:val="24"/>
          <w:szCs w:val="24"/>
          <w:vertAlign w:val="baseline"/>
        </w:rPr>
        <w:t xml:space="preserve"> </w:t>
      </w:r>
      <w:r w:rsidRPr="001C6724">
        <w:rPr>
          <w:rFonts w:ascii="Times New Roman" w:hAnsi="Times New Roman" w:cs="Times New Roman"/>
          <w:sz w:val="24"/>
          <w:szCs w:val="24"/>
          <w:vertAlign w:val="baseline"/>
        </w:rPr>
        <w:t>[and] lacks statistical and practical information on the implementation of the provisions of the Convention.’</w:t>
      </w:r>
      <w:r w:rsidRPr="001C6724">
        <w:rPr>
          <w:rFonts w:ascii="Times New Roman" w:hAnsi="Times New Roman" w:cs="Times New Roman"/>
          <w:sz w:val="24"/>
          <w:szCs w:val="24"/>
        </w:rPr>
        <w:footnoteReference w:id="891"/>
      </w:r>
      <w:r w:rsidRPr="001C6724">
        <w:rPr>
          <w:rFonts w:ascii="Times New Roman" w:hAnsi="Times New Roman" w:cs="Times New Roman"/>
          <w:sz w:val="24"/>
          <w:szCs w:val="24"/>
          <w:vertAlign w:val="baseline"/>
        </w:rPr>
        <w:t xml:space="preserve"> In their Concluding Observations (2011), the Committee reiterated their points made on WAP in their 2010/2011 Report of the Committee against Torture,</w:t>
      </w:r>
      <w:r w:rsidRPr="001C6724">
        <w:rPr>
          <w:rFonts w:ascii="Times New Roman" w:hAnsi="Times New Roman" w:cs="Times New Roman"/>
          <w:sz w:val="24"/>
          <w:szCs w:val="24"/>
        </w:rPr>
        <w:footnoteReference w:id="892"/>
      </w:r>
      <w:r w:rsidRPr="001C6724">
        <w:rPr>
          <w:rFonts w:ascii="Times New Roman" w:hAnsi="Times New Roman" w:cs="Times New Roman"/>
          <w:sz w:val="24"/>
          <w:szCs w:val="24"/>
          <w:vertAlign w:val="baseline"/>
        </w:rPr>
        <w:t xml:space="preserve"> requesting detailed information and updated statistical data in Ghana’s second periodic report, due 3 June 2015.</w:t>
      </w:r>
      <w:r w:rsidRPr="001C6724">
        <w:rPr>
          <w:rFonts w:ascii="Times New Roman" w:hAnsi="Times New Roman" w:cs="Times New Roman"/>
          <w:sz w:val="24"/>
          <w:szCs w:val="24"/>
        </w:rPr>
        <w:footnoteReference w:id="893"/>
      </w:r>
      <w:r w:rsidRPr="001C6724">
        <w:rPr>
          <w:rFonts w:ascii="Times New Roman" w:hAnsi="Times New Roman" w:cs="Times New Roman"/>
          <w:sz w:val="24"/>
          <w:szCs w:val="24"/>
          <w:vertAlign w:val="baseline"/>
        </w:rPr>
        <w:t xml:space="preserve"> To date,</w:t>
      </w:r>
      <w:r w:rsidRPr="001C6724">
        <w:rPr>
          <w:rFonts w:ascii="Times New Roman" w:hAnsi="Times New Roman" w:cs="Times New Roman"/>
          <w:sz w:val="24"/>
          <w:szCs w:val="24"/>
        </w:rPr>
        <w:footnoteReference w:id="894"/>
      </w:r>
      <w:r w:rsidRPr="001C6724">
        <w:rPr>
          <w:rFonts w:ascii="Times New Roman" w:hAnsi="Times New Roman" w:cs="Times New Roman"/>
          <w:sz w:val="24"/>
          <w:szCs w:val="24"/>
          <w:vertAlign w:val="baseline"/>
        </w:rPr>
        <w:t xml:space="preserve"> this report has not been submitted. Nepal submitted their 2</w:t>
      </w:r>
      <w:r w:rsidRPr="001C6724">
        <w:rPr>
          <w:rFonts w:ascii="Times New Roman" w:hAnsi="Times New Roman" w:cs="Times New Roman"/>
          <w:sz w:val="24"/>
          <w:szCs w:val="24"/>
        </w:rPr>
        <w:t>nd</w:t>
      </w:r>
      <w:r w:rsidRPr="001C6724">
        <w:rPr>
          <w:rFonts w:ascii="Times New Roman" w:hAnsi="Times New Roman" w:cs="Times New Roman"/>
          <w:sz w:val="24"/>
          <w:szCs w:val="24"/>
          <w:vertAlign w:val="baseline"/>
        </w:rPr>
        <w:t xml:space="preserve"> periodic report on 5 May 2004,</w:t>
      </w:r>
      <w:r w:rsidRPr="001C6724">
        <w:rPr>
          <w:rFonts w:ascii="Times New Roman" w:hAnsi="Times New Roman" w:cs="Times New Roman"/>
          <w:sz w:val="24"/>
          <w:szCs w:val="24"/>
        </w:rPr>
        <w:footnoteReference w:id="895"/>
      </w:r>
      <w:r w:rsidRPr="001C6724">
        <w:rPr>
          <w:rFonts w:ascii="Times New Roman" w:hAnsi="Times New Roman" w:cs="Times New Roman"/>
          <w:sz w:val="24"/>
          <w:szCs w:val="24"/>
          <w:vertAlign w:val="baseline"/>
        </w:rPr>
        <w:t xml:space="preserve"> which was considered by the Committee at its 35</w:t>
      </w:r>
      <w:r w:rsidRPr="001C6724">
        <w:rPr>
          <w:rFonts w:ascii="Times New Roman" w:hAnsi="Times New Roman" w:cs="Times New Roman"/>
          <w:sz w:val="24"/>
          <w:szCs w:val="24"/>
        </w:rPr>
        <w:t>th</w:t>
      </w:r>
      <w:r w:rsidRPr="001C6724">
        <w:rPr>
          <w:rFonts w:ascii="Times New Roman" w:hAnsi="Times New Roman" w:cs="Times New Roman"/>
          <w:sz w:val="24"/>
          <w:szCs w:val="24"/>
          <w:vertAlign w:val="baseline"/>
        </w:rPr>
        <w:t xml:space="preserve"> session in November 2005.</w:t>
      </w:r>
      <w:r w:rsidRPr="001C6724">
        <w:rPr>
          <w:rFonts w:ascii="Times New Roman" w:hAnsi="Times New Roman" w:cs="Times New Roman"/>
          <w:sz w:val="24"/>
          <w:szCs w:val="24"/>
        </w:rPr>
        <w:footnoteReference w:id="896"/>
      </w:r>
      <w:r w:rsidRPr="001C6724">
        <w:rPr>
          <w:rFonts w:ascii="Times New Roman" w:hAnsi="Times New Roman" w:cs="Times New Roman"/>
          <w:sz w:val="24"/>
          <w:szCs w:val="24"/>
          <w:vertAlign w:val="baseline"/>
        </w:rPr>
        <w:t xml:space="preserve"> There is no mention of WAP within these Concluding Observations; however, the Committee noted its concern regarding the ‘deeply rooted discriminatory practices committed on a large scale against marginalised and disadvantaged groups or castes such as the Dalits,’</w:t>
      </w:r>
      <w:r w:rsidRPr="001C6724">
        <w:rPr>
          <w:rFonts w:ascii="Times New Roman" w:hAnsi="Times New Roman" w:cs="Times New Roman"/>
          <w:sz w:val="24"/>
          <w:szCs w:val="24"/>
        </w:rPr>
        <w:t xml:space="preserve"> </w:t>
      </w:r>
      <w:r w:rsidRPr="001C6724">
        <w:rPr>
          <w:rFonts w:ascii="Times New Roman" w:hAnsi="Times New Roman" w:cs="Times New Roman"/>
          <w:sz w:val="24"/>
          <w:szCs w:val="24"/>
        </w:rPr>
        <w:footnoteReference w:id="897"/>
      </w:r>
      <w:r w:rsidRPr="001C6724">
        <w:rPr>
          <w:rFonts w:ascii="Times New Roman" w:hAnsi="Times New Roman" w:cs="Times New Roman"/>
          <w:sz w:val="24"/>
          <w:szCs w:val="24"/>
          <w:vertAlign w:val="baseline"/>
        </w:rPr>
        <w:t xml:space="preserve"> specifically requesting that information concerning caste discrimination should be included within the next periodic report of Nepal, due by 12 June 2008.</w:t>
      </w:r>
      <w:r w:rsidRPr="001C6724">
        <w:rPr>
          <w:rFonts w:ascii="Times New Roman" w:hAnsi="Times New Roman" w:cs="Times New Roman"/>
          <w:sz w:val="24"/>
          <w:szCs w:val="24"/>
        </w:rPr>
        <w:footnoteReference w:id="898"/>
      </w:r>
      <w:r w:rsidRPr="001C6724">
        <w:rPr>
          <w:rFonts w:ascii="Times New Roman" w:hAnsi="Times New Roman" w:cs="Times New Roman"/>
          <w:sz w:val="24"/>
          <w:szCs w:val="24"/>
          <w:vertAlign w:val="baseline"/>
        </w:rPr>
        <w:t xml:space="preserve"> To date,</w:t>
      </w:r>
      <w:r w:rsidRPr="001C6724">
        <w:rPr>
          <w:rFonts w:ascii="Times New Roman" w:hAnsi="Times New Roman" w:cs="Times New Roman"/>
          <w:sz w:val="24"/>
          <w:szCs w:val="24"/>
        </w:rPr>
        <w:footnoteReference w:id="899"/>
      </w:r>
      <w:r w:rsidRPr="001C6724">
        <w:rPr>
          <w:rFonts w:ascii="Times New Roman" w:hAnsi="Times New Roman" w:cs="Times New Roman"/>
          <w:sz w:val="24"/>
          <w:szCs w:val="24"/>
          <w:vertAlign w:val="baseline"/>
        </w:rPr>
        <w:t xml:space="preserve"> this report has not been submitted. This lack of submission and late reporting by both countries clearly demonstrates a lack of engagement on behalf of the States and reinforces the weaknesses inherent within the human rights system, specifically the lack of enforceability.  </w:t>
      </w:r>
    </w:p>
    <w:p w14:paraId="57ED5430" w14:textId="77777777" w:rsidR="00FB0869" w:rsidRPr="001C6724" w:rsidRDefault="00FB0869" w:rsidP="00BE12AB">
      <w:pPr>
        <w:spacing w:line="480" w:lineRule="auto"/>
        <w:ind w:firstLine="360"/>
        <w:jc w:val="both"/>
        <w:rPr>
          <w:rFonts w:ascii="Times New Roman" w:hAnsi="Times New Roman" w:cs="Times New Roman"/>
          <w:sz w:val="24"/>
          <w:szCs w:val="24"/>
          <w:vertAlign w:val="baseline"/>
        </w:rPr>
      </w:pPr>
    </w:p>
    <w:p w14:paraId="3AEAFB19" w14:textId="04B71E27" w:rsidR="001C6724" w:rsidRDefault="00753B09" w:rsidP="001C6724">
      <w:pPr>
        <w:spacing w:line="480" w:lineRule="auto"/>
        <w:jc w:val="both"/>
        <w:rPr>
          <w:rFonts w:ascii="Times New Roman" w:hAnsi="Times New Roman" w:cs="Times New Roman"/>
          <w:b/>
          <w:i/>
          <w:sz w:val="24"/>
          <w:szCs w:val="24"/>
          <w:vertAlign w:val="baseline"/>
        </w:rPr>
      </w:pPr>
      <w:r w:rsidRPr="00753B09">
        <w:rPr>
          <w:rFonts w:ascii="Times New Roman" w:hAnsi="Times New Roman" w:cs="Times New Roman"/>
          <w:b/>
          <w:i/>
          <w:sz w:val="24"/>
          <w:szCs w:val="24"/>
          <w:vertAlign w:val="baseline"/>
        </w:rPr>
        <w:t>5.6.2 Evaluation of the CAT Committee</w:t>
      </w:r>
    </w:p>
    <w:p w14:paraId="2161AF44" w14:textId="2B887415" w:rsidR="00B04D80" w:rsidRDefault="00FB0869" w:rsidP="001C6724">
      <w:pPr>
        <w:spacing w:line="480" w:lineRule="auto"/>
        <w:jc w:val="both"/>
        <w:rPr>
          <w:rFonts w:ascii="Times New Roman" w:hAnsi="Times New Roman" w:cs="Times New Roman"/>
          <w:sz w:val="24"/>
          <w:szCs w:val="24"/>
          <w:vertAlign w:val="baseline"/>
        </w:rPr>
      </w:pPr>
      <w:r>
        <w:rPr>
          <w:rFonts w:ascii="Times New Roman" w:hAnsi="Times New Roman" w:cs="Times New Roman"/>
          <w:b/>
          <w:sz w:val="24"/>
          <w:szCs w:val="24"/>
          <w:vertAlign w:val="baseline"/>
        </w:rPr>
        <w:tab/>
      </w:r>
      <w:r w:rsidR="00B04D80">
        <w:rPr>
          <w:rFonts w:ascii="Times New Roman" w:hAnsi="Times New Roman" w:cs="Times New Roman"/>
          <w:sz w:val="24"/>
          <w:szCs w:val="24"/>
          <w:vertAlign w:val="baseline"/>
        </w:rPr>
        <w:t>Whilst the Committee</w:t>
      </w:r>
      <w:r w:rsidR="007A162B">
        <w:rPr>
          <w:rFonts w:ascii="Times New Roman" w:hAnsi="Times New Roman" w:cs="Times New Roman"/>
          <w:sz w:val="24"/>
          <w:szCs w:val="24"/>
          <w:vertAlign w:val="baseline"/>
        </w:rPr>
        <w:t xml:space="preserve"> have </w:t>
      </w:r>
      <w:r w:rsidR="00550181">
        <w:rPr>
          <w:rFonts w:ascii="Times New Roman" w:hAnsi="Times New Roman" w:cs="Times New Roman"/>
          <w:sz w:val="24"/>
          <w:szCs w:val="24"/>
          <w:vertAlign w:val="baseline"/>
        </w:rPr>
        <w:t xml:space="preserve">explicitly </w:t>
      </w:r>
      <w:r w:rsidR="007A162B">
        <w:rPr>
          <w:rFonts w:ascii="Times New Roman" w:hAnsi="Times New Roman" w:cs="Times New Roman"/>
          <w:sz w:val="24"/>
          <w:szCs w:val="24"/>
          <w:vertAlign w:val="baseline"/>
        </w:rPr>
        <w:t>referred to WAP in their report on Ghana, and in their Concluding Observations on</w:t>
      </w:r>
      <w:r w:rsidR="00B04D80">
        <w:rPr>
          <w:rFonts w:ascii="Times New Roman" w:hAnsi="Times New Roman" w:cs="Times New Roman"/>
          <w:sz w:val="24"/>
          <w:szCs w:val="24"/>
          <w:vertAlign w:val="baseline"/>
        </w:rPr>
        <w:t xml:space="preserve"> Burkina Faso and Sierra Leone, it is disappointing to note their failure to specifically refer to WAP in their Concluding Observations on Nepal, instead making a more general reference to discriminatory practices aimed at lower caste and disadvantaged groups.</w:t>
      </w:r>
      <w:r w:rsidR="0094358E" w:rsidRPr="0094358E">
        <w:rPr>
          <w:rFonts w:ascii="Times New Roman" w:hAnsi="Times New Roman" w:cs="Times New Roman"/>
          <w:sz w:val="24"/>
          <w:szCs w:val="24"/>
          <w:vertAlign w:val="baseline"/>
        </w:rPr>
        <w:t xml:space="preserve"> </w:t>
      </w:r>
      <w:r w:rsidR="0094358E">
        <w:rPr>
          <w:rFonts w:ascii="Times New Roman" w:hAnsi="Times New Roman" w:cs="Times New Roman"/>
          <w:sz w:val="24"/>
          <w:szCs w:val="24"/>
          <w:vertAlign w:val="baseline"/>
        </w:rPr>
        <w:t xml:space="preserve">Only two, Ghana and Nepal, out of the four states have ratified CAT. Thus, there is an urgent need for India and PNG to ratify the Convention. Moreover, Ghana and Nepal have only submitted one report </w:t>
      </w:r>
      <w:r w:rsidR="00C33530">
        <w:rPr>
          <w:rFonts w:ascii="Times New Roman" w:hAnsi="Times New Roman" w:cs="Times New Roman"/>
          <w:sz w:val="24"/>
          <w:szCs w:val="24"/>
          <w:vertAlign w:val="baseline"/>
        </w:rPr>
        <w:t xml:space="preserve">each </w:t>
      </w:r>
      <w:r w:rsidR="0094358E">
        <w:rPr>
          <w:rFonts w:ascii="Times New Roman" w:hAnsi="Times New Roman" w:cs="Times New Roman"/>
          <w:sz w:val="24"/>
          <w:szCs w:val="24"/>
          <w:vertAlign w:val="baseline"/>
        </w:rPr>
        <w:t>to the CAT Committee, both of which were late and they have both failed, as of yet, to submit their subsequent periodic reports.</w:t>
      </w:r>
      <w:r w:rsidR="00BC2C68">
        <w:rPr>
          <w:rFonts w:ascii="Times New Roman" w:hAnsi="Times New Roman" w:cs="Times New Roman"/>
          <w:sz w:val="24"/>
          <w:szCs w:val="24"/>
          <w:vertAlign w:val="baseline"/>
        </w:rPr>
        <w:t xml:space="preserve"> The lack of engagement with CAT by these states</w:t>
      </w:r>
      <w:r w:rsidR="004C4E96">
        <w:rPr>
          <w:rFonts w:ascii="Times New Roman" w:hAnsi="Times New Roman" w:cs="Times New Roman"/>
          <w:sz w:val="24"/>
          <w:szCs w:val="24"/>
          <w:vertAlign w:val="baseline"/>
        </w:rPr>
        <w:t xml:space="preserve"> is poor and the Committee appears to be having very little, if any, impact on </w:t>
      </w:r>
      <w:r w:rsidR="007B1978">
        <w:rPr>
          <w:rFonts w:ascii="Times New Roman" w:hAnsi="Times New Roman" w:cs="Times New Roman"/>
          <w:sz w:val="24"/>
          <w:szCs w:val="24"/>
          <w:vertAlign w:val="baseline"/>
        </w:rPr>
        <w:t xml:space="preserve">the harmful practices in Ghana and Nepal. </w:t>
      </w:r>
    </w:p>
    <w:p w14:paraId="587B47A3" w14:textId="77777777" w:rsidR="00D83930" w:rsidRDefault="00D83930" w:rsidP="00D741AB">
      <w:pPr>
        <w:spacing w:line="480" w:lineRule="auto"/>
        <w:jc w:val="both"/>
        <w:rPr>
          <w:rFonts w:ascii="Times New Roman" w:hAnsi="Times New Roman" w:cs="Times New Roman"/>
          <w:b/>
          <w:sz w:val="24"/>
          <w:szCs w:val="24"/>
          <w:u w:val="single"/>
          <w:vertAlign w:val="baseline"/>
        </w:rPr>
      </w:pPr>
    </w:p>
    <w:p w14:paraId="63AFC66C" w14:textId="449D1EA0" w:rsidR="001C6724" w:rsidRPr="001C6724" w:rsidRDefault="006537C7" w:rsidP="00D741AB">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5</w:t>
      </w:r>
      <w:r w:rsidR="00D741AB">
        <w:rPr>
          <w:rFonts w:ascii="Times New Roman" w:hAnsi="Times New Roman" w:cs="Times New Roman"/>
          <w:b/>
          <w:sz w:val="24"/>
          <w:szCs w:val="24"/>
          <w:u w:val="single"/>
          <w:vertAlign w:val="baseline"/>
        </w:rPr>
        <w:t xml:space="preserve">.7 </w:t>
      </w:r>
      <w:r>
        <w:rPr>
          <w:rFonts w:ascii="Times New Roman" w:hAnsi="Times New Roman" w:cs="Times New Roman"/>
          <w:b/>
          <w:sz w:val="24"/>
          <w:szCs w:val="24"/>
          <w:u w:val="single"/>
          <w:vertAlign w:val="baseline"/>
        </w:rPr>
        <w:t xml:space="preserve">INTERNATIONAL COVENANT ON CIVIL AND POLITICAL RIGHTS </w:t>
      </w:r>
      <w:r w:rsidR="001C6724" w:rsidRPr="001C6724">
        <w:rPr>
          <w:rFonts w:ascii="Times New Roman" w:hAnsi="Times New Roman" w:cs="Times New Roman"/>
          <w:b/>
          <w:sz w:val="24"/>
          <w:szCs w:val="24"/>
          <w:u w:val="single"/>
          <w:vertAlign w:val="baseline"/>
        </w:rPr>
        <w:t>(ICCPR)</w:t>
      </w:r>
      <w:r w:rsidR="00655F9D">
        <w:rPr>
          <w:rFonts w:ascii="Times New Roman" w:hAnsi="Times New Roman" w:cs="Times New Roman"/>
          <w:b/>
          <w:sz w:val="24"/>
          <w:szCs w:val="24"/>
          <w:u w:val="single"/>
          <w:vertAlign w:val="baseline"/>
        </w:rPr>
        <w:t xml:space="preserve"> </w:t>
      </w:r>
    </w:p>
    <w:p w14:paraId="09057B5C" w14:textId="4D5C8182" w:rsidR="001C6724" w:rsidRPr="001C6724" w:rsidRDefault="001C6724" w:rsidP="00CA79B1">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The ICCPR</w:t>
      </w:r>
      <w:r w:rsidRPr="001C6724">
        <w:rPr>
          <w:rFonts w:ascii="Times New Roman" w:hAnsi="Times New Roman" w:cs="Times New Roman"/>
          <w:sz w:val="24"/>
          <w:szCs w:val="24"/>
        </w:rPr>
        <w:footnoteReference w:id="900"/>
      </w:r>
      <w:r w:rsidRPr="001C6724">
        <w:rPr>
          <w:rFonts w:ascii="Times New Roman" w:hAnsi="Times New Roman" w:cs="Times New Roman"/>
          <w:sz w:val="24"/>
          <w:szCs w:val="24"/>
          <w:vertAlign w:val="baseline"/>
        </w:rPr>
        <w:t xml:space="preserve"> contains the right to be free from discrimination (article 2)</w:t>
      </w:r>
      <w:r w:rsidRPr="001C6724">
        <w:rPr>
          <w:rFonts w:ascii="Times New Roman" w:hAnsi="Times New Roman" w:cs="Times New Roman"/>
          <w:sz w:val="24"/>
          <w:szCs w:val="24"/>
        </w:rPr>
        <w:footnoteReference w:id="901"/>
      </w:r>
      <w:r w:rsidRPr="001C6724">
        <w:rPr>
          <w:rFonts w:ascii="Times New Roman" w:hAnsi="Times New Roman" w:cs="Times New Roman"/>
          <w:sz w:val="24"/>
          <w:szCs w:val="24"/>
          <w:vertAlign w:val="baseline"/>
        </w:rPr>
        <w:t xml:space="preserve"> and the right to equality (article 3).</w:t>
      </w:r>
      <w:r w:rsidRPr="001C6724">
        <w:rPr>
          <w:rFonts w:ascii="Times New Roman" w:hAnsi="Times New Roman" w:cs="Times New Roman"/>
          <w:sz w:val="24"/>
          <w:szCs w:val="24"/>
        </w:rPr>
        <w:footnoteReference w:id="902"/>
      </w:r>
      <w:r w:rsidRPr="001C6724">
        <w:rPr>
          <w:rFonts w:ascii="Times New Roman" w:hAnsi="Times New Roman" w:cs="Times New Roman"/>
          <w:sz w:val="24"/>
          <w:szCs w:val="24"/>
          <w:vertAlign w:val="baseline"/>
        </w:rPr>
        <w:t xml:space="preserve"> </w:t>
      </w:r>
      <w:r w:rsidR="00655F9D">
        <w:rPr>
          <w:rFonts w:ascii="Times New Roman" w:hAnsi="Times New Roman" w:cs="Times New Roman"/>
          <w:sz w:val="24"/>
          <w:szCs w:val="24"/>
          <w:vertAlign w:val="baseline"/>
        </w:rPr>
        <w:t xml:space="preserve">Further rights </w:t>
      </w:r>
      <w:r w:rsidRPr="001C6724">
        <w:rPr>
          <w:rFonts w:ascii="Times New Roman" w:hAnsi="Times New Roman" w:cs="Times New Roman"/>
          <w:sz w:val="24"/>
          <w:szCs w:val="24"/>
          <w:vertAlign w:val="baseline"/>
        </w:rPr>
        <w:t>of particular importance to WAP are article 6 (Right to Life),</w:t>
      </w:r>
      <w:r w:rsidRPr="001C6724">
        <w:rPr>
          <w:rFonts w:ascii="Times New Roman" w:hAnsi="Times New Roman" w:cs="Times New Roman"/>
          <w:sz w:val="24"/>
          <w:szCs w:val="24"/>
        </w:rPr>
        <w:footnoteReference w:id="903"/>
      </w:r>
      <w:r w:rsidRPr="001C6724">
        <w:rPr>
          <w:rFonts w:ascii="Times New Roman" w:hAnsi="Times New Roman" w:cs="Times New Roman"/>
          <w:sz w:val="24"/>
          <w:szCs w:val="24"/>
          <w:vertAlign w:val="baseline"/>
        </w:rPr>
        <w:t xml:space="preserve"> essentially the right to protect the lives of women who fall victim to WAP, and article 7 (Freedom from Torture, Inhuman and Degrading Treatment, and Punishment).</w:t>
      </w:r>
      <w:r w:rsidRPr="001C6724">
        <w:rPr>
          <w:rFonts w:ascii="Times New Roman" w:hAnsi="Times New Roman" w:cs="Times New Roman"/>
          <w:sz w:val="24"/>
          <w:szCs w:val="24"/>
        </w:rPr>
        <w:footnoteReference w:id="904"/>
      </w:r>
      <w:r w:rsidRPr="001C6724">
        <w:rPr>
          <w:rFonts w:ascii="Times New Roman" w:hAnsi="Times New Roman" w:cs="Times New Roman"/>
          <w:sz w:val="24"/>
          <w:szCs w:val="24"/>
          <w:vertAlign w:val="baseline"/>
        </w:rPr>
        <w:t xml:space="preserve"> The first Optional Protocol to the ICCPR</w:t>
      </w:r>
      <w:r w:rsidR="00655F9D">
        <w:rPr>
          <w:rFonts w:ascii="Times New Roman" w:hAnsi="Times New Roman" w:cs="Times New Roman"/>
          <w:sz w:val="24"/>
          <w:szCs w:val="24"/>
          <w:vertAlign w:val="baseline"/>
        </w:rPr>
        <w:t xml:space="preserve"> (1966)</w:t>
      </w:r>
      <w:r w:rsidRPr="001C6724">
        <w:rPr>
          <w:rFonts w:ascii="Times New Roman" w:hAnsi="Times New Roman" w:cs="Times New Roman"/>
          <w:sz w:val="24"/>
          <w:szCs w:val="24"/>
          <w:vertAlign w:val="baseline"/>
        </w:rPr>
        <w:t xml:space="preserve"> recognises the competence of the HRC to receive and consider individual complaints from individuals whose countries are party to both the ICCPR and the protocol.</w:t>
      </w:r>
      <w:r w:rsidRPr="001C6724">
        <w:rPr>
          <w:rFonts w:ascii="Times New Roman" w:hAnsi="Times New Roman" w:cs="Times New Roman"/>
          <w:sz w:val="24"/>
          <w:szCs w:val="24"/>
        </w:rPr>
        <w:footnoteReference w:id="905"/>
      </w:r>
      <w:r w:rsidRPr="001C6724">
        <w:rPr>
          <w:rFonts w:ascii="Times New Roman" w:hAnsi="Times New Roman" w:cs="Times New Roman"/>
          <w:sz w:val="24"/>
          <w:szCs w:val="24"/>
          <w:vertAlign w:val="baseline"/>
        </w:rPr>
        <w:t xml:space="preserve"> The second optional protocol to ICCPR </w:t>
      </w:r>
      <w:r w:rsidR="00655F9D">
        <w:rPr>
          <w:rFonts w:ascii="Times New Roman" w:hAnsi="Times New Roman" w:cs="Times New Roman"/>
          <w:sz w:val="24"/>
          <w:szCs w:val="24"/>
          <w:vertAlign w:val="baseline"/>
        </w:rPr>
        <w:t>(1989)</w:t>
      </w:r>
      <w:r w:rsidR="00655F9D">
        <w:rPr>
          <w:rStyle w:val="FootnoteReference"/>
          <w:rFonts w:ascii="Times New Roman" w:hAnsi="Times New Roman" w:cs="Times New Roman"/>
          <w:sz w:val="24"/>
          <w:szCs w:val="24"/>
        </w:rPr>
        <w:footnoteReference w:id="906"/>
      </w:r>
      <w:r w:rsidR="00655F9D">
        <w:rPr>
          <w:rFonts w:ascii="Times New Roman" w:hAnsi="Times New Roman" w:cs="Times New Roman"/>
          <w:sz w:val="24"/>
          <w:szCs w:val="24"/>
          <w:vertAlign w:val="baseline"/>
        </w:rPr>
        <w:t xml:space="preserve"> </w:t>
      </w:r>
      <w:r w:rsidRPr="001C6724">
        <w:rPr>
          <w:rFonts w:ascii="Times New Roman" w:hAnsi="Times New Roman" w:cs="Times New Roman"/>
          <w:sz w:val="24"/>
          <w:szCs w:val="24"/>
          <w:vertAlign w:val="baseline"/>
        </w:rPr>
        <w:t>is the only international treaty prohibiting executions and providing for total abolition of the death penalty. All four aforementione</w:t>
      </w:r>
      <w:r w:rsidR="00EA31B6">
        <w:rPr>
          <w:rFonts w:ascii="Times New Roman" w:hAnsi="Times New Roman" w:cs="Times New Roman"/>
          <w:sz w:val="24"/>
          <w:szCs w:val="24"/>
          <w:vertAlign w:val="baseline"/>
        </w:rPr>
        <w:t>d states are party to the ICCPR.</w:t>
      </w:r>
      <w:r w:rsidR="00EA31B6">
        <w:rPr>
          <w:rStyle w:val="FootnoteReference"/>
          <w:rFonts w:ascii="Times New Roman" w:hAnsi="Times New Roman" w:cs="Times New Roman"/>
          <w:sz w:val="24"/>
          <w:szCs w:val="24"/>
        </w:rPr>
        <w:footnoteReference w:id="907"/>
      </w:r>
      <w:r w:rsidRPr="001C6724">
        <w:rPr>
          <w:rFonts w:ascii="Times New Roman" w:hAnsi="Times New Roman" w:cs="Times New Roman"/>
          <w:sz w:val="24"/>
          <w:szCs w:val="24"/>
          <w:vertAlign w:val="baseline"/>
        </w:rPr>
        <w:t xml:space="preserve"> As regards the first Optional Protocol, Ghana signed and ratified the protocol </w:t>
      </w:r>
      <w:r w:rsidR="00A27E51">
        <w:rPr>
          <w:rFonts w:ascii="Times New Roman" w:hAnsi="Times New Roman" w:cs="Times New Roman"/>
          <w:sz w:val="24"/>
          <w:szCs w:val="24"/>
          <w:vertAlign w:val="baseline"/>
        </w:rPr>
        <w:t>in</w:t>
      </w:r>
      <w:r w:rsidRPr="001C6724">
        <w:rPr>
          <w:rFonts w:ascii="Times New Roman" w:hAnsi="Times New Roman" w:cs="Times New Roman"/>
          <w:sz w:val="24"/>
          <w:szCs w:val="24"/>
          <w:vertAlign w:val="baseline"/>
        </w:rPr>
        <w:t xml:space="preserve"> 2000 and Nepal acceded to the protocol </w:t>
      </w:r>
      <w:r w:rsidR="00121657">
        <w:rPr>
          <w:rFonts w:ascii="Times New Roman" w:hAnsi="Times New Roman" w:cs="Times New Roman"/>
          <w:sz w:val="24"/>
          <w:szCs w:val="24"/>
          <w:vertAlign w:val="baseline"/>
        </w:rPr>
        <w:t>in</w:t>
      </w:r>
      <w:r w:rsidRPr="001C6724">
        <w:rPr>
          <w:rFonts w:ascii="Times New Roman" w:hAnsi="Times New Roman" w:cs="Times New Roman"/>
          <w:sz w:val="24"/>
          <w:szCs w:val="24"/>
          <w:vertAlign w:val="baseline"/>
        </w:rPr>
        <w:t xml:space="preserve"> 1991. India and PNG have not signed or ratified the first protocol to the ICCPR. Nepal is the only country out of the four to have acceded to the second optional protocol to ICCPR.</w:t>
      </w:r>
    </w:p>
    <w:p w14:paraId="325A3F28"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4B35A6FD" w14:textId="168819FE" w:rsidR="001C6724" w:rsidRPr="001C6724" w:rsidRDefault="0019334A" w:rsidP="00EE68E6">
      <w:pPr>
        <w:spacing w:line="480" w:lineRule="auto"/>
        <w:ind w:firstLine="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T</w:t>
      </w:r>
      <w:r w:rsidR="001C6724" w:rsidRPr="001C6724">
        <w:rPr>
          <w:rFonts w:ascii="Times New Roman" w:hAnsi="Times New Roman" w:cs="Times New Roman"/>
          <w:sz w:val="24"/>
          <w:szCs w:val="24"/>
          <w:vertAlign w:val="baseline"/>
        </w:rPr>
        <w:t>hroughout its General Comments</w:t>
      </w:r>
      <w:r w:rsidR="001C6724" w:rsidRPr="001C6724">
        <w:rPr>
          <w:rFonts w:ascii="Times New Roman" w:hAnsi="Times New Roman" w:cs="Times New Roman"/>
          <w:sz w:val="24"/>
          <w:szCs w:val="24"/>
        </w:rPr>
        <w:footnoteReference w:id="908"/>
      </w:r>
      <w:r w:rsidR="001C6724" w:rsidRPr="001C6724">
        <w:rPr>
          <w:rFonts w:ascii="Times New Roman" w:hAnsi="Times New Roman" w:cs="Times New Roman"/>
          <w:sz w:val="24"/>
          <w:szCs w:val="24"/>
          <w:vertAlign w:val="baseline"/>
        </w:rPr>
        <w:t xml:space="preserve"> and individual case law, the Human Rights Committee (CCPR) has taken the view that States Parties to the ICCPR shall take appropriate measures to investigate and punish acts perpetrated by both State officials and private individuals.</w:t>
      </w:r>
      <w:r w:rsidR="001C6724" w:rsidRPr="001C6724">
        <w:rPr>
          <w:rFonts w:ascii="Times New Roman" w:hAnsi="Times New Roman" w:cs="Times New Roman"/>
          <w:sz w:val="24"/>
          <w:szCs w:val="24"/>
        </w:rPr>
        <w:footnoteReference w:id="909"/>
      </w:r>
      <w:r w:rsidR="001C6724" w:rsidRPr="001C6724">
        <w:rPr>
          <w:rFonts w:ascii="Times New Roman" w:hAnsi="Times New Roman" w:cs="Times New Roman"/>
          <w:sz w:val="24"/>
          <w:szCs w:val="24"/>
          <w:vertAlign w:val="baseline"/>
        </w:rPr>
        <w:t xml:space="preserve"> Moreover, the Committee requires State Parties to report acts of torture, in relation to the provisions of their criminal law, committed by public officials or persons acting on behalf of the State, as well as private persons.</w:t>
      </w:r>
      <w:r w:rsidR="001C6724" w:rsidRPr="001C6724">
        <w:rPr>
          <w:rFonts w:ascii="Times New Roman" w:hAnsi="Times New Roman" w:cs="Times New Roman"/>
          <w:sz w:val="24"/>
          <w:szCs w:val="24"/>
        </w:rPr>
        <w:footnoteReference w:id="910"/>
      </w:r>
      <w:r w:rsidR="00ED11D9" w:rsidRPr="00ED11D9">
        <w:rPr>
          <w:rFonts w:ascii="Times New Roman" w:hAnsi="Times New Roman" w:cs="Times New Roman"/>
          <w:sz w:val="24"/>
          <w:szCs w:val="24"/>
          <w:vertAlign w:val="baseline"/>
        </w:rPr>
        <w:t xml:space="preserve"> </w:t>
      </w:r>
      <w:r w:rsidR="00ED11D9">
        <w:rPr>
          <w:rFonts w:ascii="Times New Roman" w:hAnsi="Times New Roman" w:cs="Times New Roman"/>
          <w:sz w:val="24"/>
          <w:szCs w:val="24"/>
          <w:vertAlign w:val="baseline"/>
        </w:rPr>
        <w:t>Thus, the recognition of private abuses has allowed ‘women’s previously ‘private’ claims to become the responsibility of the state where it is either unable or unwilling to offer protection against such harm.’</w:t>
      </w:r>
      <w:r w:rsidR="00ED11D9">
        <w:rPr>
          <w:rStyle w:val="FootnoteReference"/>
          <w:rFonts w:ascii="Times New Roman" w:hAnsi="Times New Roman" w:cs="Times New Roman"/>
          <w:sz w:val="24"/>
          <w:szCs w:val="24"/>
        </w:rPr>
        <w:footnoteReference w:id="911"/>
      </w:r>
      <w:r w:rsidR="00ED11D9">
        <w:rPr>
          <w:rFonts w:ascii="Times New Roman" w:hAnsi="Times New Roman" w:cs="Times New Roman"/>
          <w:sz w:val="24"/>
          <w:szCs w:val="24"/>
          <w:vertAlign w:val="baseline"/>
        </w:rPr>
        <w:t xml:space="preserve"> This is significant, as not only does it recognise that acts of torture, such as WAP, can be committed by a private individual, this recognition demonstrates a breaking down of the public/private divide, which is valuable for protecting women subject to acts of torture within the private sphere.</w:t>
      </w:r>
    </w:p>
    <w:p w14:paraId="6454205C"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0A6A4B35" w14:textId="5A5852D7" w:rsidR="001C6724" w:rsidRDefault="001C6724" w:rsidP="005944EC">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 xml:space="preserve">Although the ICCPR prohibits torture, under article 7, the ICCPR </w:t>
      </w:r>
      <w:r w:rsidR="007729E2">
        <w:rPr>
          <w:rFonts w:ascii="Times New Roman" w:hAnsi="Times New Roman" w:cs="Times New Roman"/>
          <w:sz w:val="24"/>
          <w:szCs w:val="24"/>
          <w:vertAlign w:val="baseline"/>
        </w:rPr>
        <w:t>does not</w:t>
      </w:r>
      <w:r w:rsidRPr="001C6724">
        <w:rPr>
          <w:rFonts w:ascii="Times New Roman" w:hAnsi="Times New Roman" w:cs="Times New Roman"/>
          <w:sz w:val="24"/>
          <w:szCs w:val="24"/>
          <w:vertAlign w:val="baseline"/>
        </w:rPr>
        <w:t xml:space="preserve"> provide a legal definition of what constitutes torture. In General Comment No. 20,</w:t>
      </w:r>
      <w:r w:rsidRPr="001C6724">
        <w:rPr>
          <w:rFonts w:ascii="Times New Roman" w:hAnsi="Times New Roman" w:cs="Times New Roman"/>
          <w:sz w:val="24"/>
          <w:szCs w:val="24"/>
        </w:rPr>
        <w:footnoteReference w:id="912"/>
      </w:r>
      <w:r w:rsidRPr="001C6724">
        <w:rPr>
          <w:rFonts w:ascii="Times New Roman" w:hAnsi="Times New Roman" w:cs="Times New Roman"/>
          <w:sz w:val="24"/>
          <w:szCs w:val="24"/>
          <w:vertAlign w:val="baseline"/>
        </w:rPr>
        <w:t xml:space="preserve"> the CCPR explicitly endorse the lack of definition stating,</w:t>
      </w:r>
    </w:p>
    <w:p w14:paraId="0C781521" w14:textId="77777777" w:rsidR="00D83930" w:rsidRPr="001C6724" w:rsidRDefault="00D83930" w:rsidP="005944EC">
      <w:pPr>
        <w:spacing w:line="480" w:lineRule="auto"/>
        <w:ind w:firstLine="720"/>
        <w:jc w:val="both"/>
        <w:rPr>
          <w:rFonts w:ascii="Times New Roman" w:hAnsi="Times New Roman" w:cs="Times New Roman"/>
          <w:sz w:val="24"/>
          <w:szCs w:val="24"/>
          <w:vertAlign w:val="baseline"/>
        </w:rPr>
      </w:pPr>
    </w:p>
    <w:p w14:paraId="1E10ABE4" w14:textId="77777777" w:rsidR="001C6724" w:rsidRPr="001C6724" w:rsidRDefault="001C6724" w:rsidP="00614BA6">
      <w:pPr>
        <w:spacing w:line="480" w:lineRule="auto"/>
        <w:ind w:left="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The Covenant does not contain any definition of the concepts covered by article 7 nor does the Committee consider it necessary to draw up a list of prohibited acts or to establish sharp distinctions between the different types of punishment or treatment; the distinctions depend on the nature, purpose and severity of the treatment applied.</w:t>
      </w:r>
      <w:r w:rsidRPr="001C6724">
        <w:rPr>
          <w:rFonts w:ascii="Times New Roman" w:hAnsi="Times New Roman" w:cs="Times New Roman"/>
          <w:sz w:val="24"/>
          <w:szCs w:val="24"/>
        </w:rPr>
        <w:footnoteReference w:id="913"/>
      </w:r>
    </w:p>
    <w:p w14:paraId="009F1968"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729E5A82" w14:textId="096EE58A" w:rsidR="001C6724" w:rsidRPr="001C6724" w:rsidRDefault="001C6724" w:rsidP="0089064E">
      <w:pPr>
        <w:spacing w:line="480" w:lineRule="auto"/>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This lack of definition by the ICCPR, allows the CCPR to develop and encompass acts that would not necessarily fall within the concept of torture, thus, broadening the concept of torture ‘at a time where a strict legal definition would have been adopted.’</w:t>
      </w:r>
      <w:r w:rsidRPr="001C6724">
        <w:rPr>
          <w:rFonts w:ascii="Times New Roman" w:hAnsi="Times New Roman" w:cs="Times New Roman"/>
          <w:sz w:val="24"/>
          <w:szCs w:val="24"/>
        </w:rPr>
        <w:footnoteReference w:id="914"/>
      </w:r>
      <w:r w:rsidRPr="001C6724">
        <w:rPr>
          <w:rFonts w:ascii="Times New Roman" w:hAnsi="Times New Roman" w:cs="Times New Roman"/>
          <w:sz w:val="24"/>
          <w:szCs w:val="24"/>
          <w:vertAlign w:val="baseline"/>
        </w:rPr>
        <w:t xml:space="preserve"> </w:t>
      </w:r>
      <w:r w:rsidR="00767FD0">
        <w:rPr>
          <w:rFonts w:ascii="Times New Roman" w:hAnsi="Times New Roman" w:cs="Times New Roman"/>
          <w:sz w:val="24"/>
          <w:szCs w:val="24"/>
          <w:vertAlign w:val="baseline"/>
        </w:rPr>
        <w:t>A</w:t>
      </w:r>
      <w:r w:rsidRPr="001C6724">
        <w:rPr>
          <w:rFonts w:ascii="Times New Roman" w:hAnsi="Times New Roman" w:cs="Times New Roman"/>
          <w:sz w:val="24"/>
          <w:szCs w:val="24"/>
          <w:vertAlign w:val="baseline"/>
        </w:rPr>
        <w:t>pplying the view that a private individual can commit acts of torture, it is submitted that WAP would constitute torture under the ICCPR.</w:t>
      </w:r>
    </w:p>
    <w:p w14:paraId="4003221E" w14:textId="77777777" w:rsidR="001C6724" w:rsidRPr="001C6724" w:rsidRDefault="001C6724" w:rsidP="001C6724">
      <w:pPr>
        <w:spacing w:line="480" w:lineRule="auto"/>
        <w:jc w:val="both"/>
        <w:rPr>
          <w:rFonts w:ascii="Times New Roman" w:hAnsi="Times New Roman" w:cs="Times New Roman"/>
          <w:b/>
          <w:sz w:val="24"/>
          <w:szCs w:val="24"/>
          <w:u w:val="single"/>
          <w:vertAlign w:val="baseline"/>
        </w:rPr>
      </w:pPr>
    </w:p>
    <w:p w14:paraId="5340A5B3" w14:textId="1C728639" w:rsidR="001C6724" w:rsidRPr="00BC4C92" w:rsidRDefault="00BC4C92" w:rsidP="001C6724">
      <w:pPr>
        <w:spacing w:line="480" w:lineRule="auto"/>
        <w:jc w:val="both"/>
        <w:rPr>
          <w:rFonts w:ascii="Times New Roman" w:hAnsi="Times New Roman" w:cs="Times New Roman"/>
          <w:b/>
          <w:i/>
          <w:sz w:val="24"/>
          <w:szCs w:val="24"/>
          <w:vertAlign w:val="baseline"/>
        </w:rPr>
      </w:pPr>
      <w:r w:rsidRPr="00BC4C92">
        <w:rPr>
          <w:rFonts w:ascii="Times New Roman" w:hAnsi="Times New Roman" w:cs="Times New Roman"/>
          <w:b/>
          <w:i/>
          <w:sz w:val="24"/>
          <w:szCs w:val="24"/>
          <w:vertAlign w:val="baseline"/>
        </w:rPr>
        <w:t>5</w:t>
      </w:r>
      <w:r w:rsidR="00DA3550" w:rsidRPr="00BC4C92">
        <w:rPr>
          <w:rFonts w:ascii="Times New Roman" w:hAnsi="Times New Roman" w:cs="Times New Roman"/>
          <w:b/>
          <w:i/>
          <w:sz w:val="24"/>
          <w:szCs w:val="24"/>
          <w:vertAlign w:val="baseline"/>
        </w:rPr>
        <w:t xml:space="preserve">.7.1 </w:t>
      </w:r>
      <w:r w:rsidR="001C6724" w:rsidRPr="00BC4C92">
        <w:rPr>
          <w:rFonts w:ascii="Times New Roman" w:hAnsi="Times New Roman" w:cs="Times New Roman"/>
          <w:b/>
          <w:i/>
          <w:sz w:val="24"/>
          <w:szCs w:val="24"/>
          <w:vertAlign w:val="baseline"/>
        </w:rPr>
        <w:t>Compliance with ICCPR</w:t>
      </w:r>
    </w:p>
    <w:p w14:paraId="0FBD734C" w14:textId="77777777" w:rsidR="001C6724" w:rsidRPr="001C6724" w:rsidRDefault="001C6724" w:rsidP="00CC260D">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Nepal submitted their second periodic report to the CCPR on 2</w:t>
      </w:r>
      <w:r w:rsidRPr="001C6724">
        <w:rPr>
          <w:rFonts w:ascii="Times New Roman" w:hAnsi="Times New Roman" w:cs="Times New Roman"/>
          <w:sz w:val="24"/>
          <w:szCs w:val="24"/>
        </w:rPr>
        <w:t>nd</w:t>
      </w:r>
      <w:r w:rsidRPr="001C6724">
        <w:rPr>
          <w:rFonts w:ascii="Times New Roman" w:hAnsi="Times New Roman" w:cs="Times New Roman"/>
          <w:sz w:val="24"/>
          <w:szCs w:val="24"/>
          <w:vertAlign w:val="baseline"/>
        </w:rPr>
        <w:t xml:space="preserve"> February 2012.</w:t>
      </w:r>
      <w:r w:rsidRPr="001C6724">
        <w:rPr>
          <w:rFonts w:ascii="Times New Roman" w:hAnsi="Times New Roman" w:cs="Times New Roman"/>
          <w:sz w:val="24"/>
          <w:szCs w:val="24"/>
        </w:rPr>
        <w:footnoteReference w:id="915"/>
      </w:r>
      <w:r w:rsidRPr="001C6724">
        <w:rPr>
          <w:rFonts w:ascii="Times New Roman" w:hAnsi="Times New Roman" w:cs="Times New Roman"/>
          <w:sz w:val="24"/>
          <w:szCs w:val="24"/>
          <w:vertAlign w:val="baseline"/>
        </w:rPr>
        <w:t xml:space="preserve"> In relation to this report, the CCPR produced a list of issues,</w:t>
      </w:r>
      <w:r w:rsidRPr="001C6724">
        <w:rPr>
          <w:rFonts w:ascii="Times New Roman" w:hAnsi="Times New Roman" w:cs="Times New Roman"/>
          <w:sz w:val="24"/>
          <w:szCs w:val="24"/>
        </w:rPr>
        <w:footnoteReference w:id="916"/>
      </w:r>
      <w:r w:rsidRPr="001C6724">
        <w:rPr>
          <w:rFonts w:ascii="Times New Roman" w:hAnsi="Times New Roman" w:cs="Times New Roman"/>
          <w:sz w:val="24"/>
          <w:szCs w:val="24"/>
          <w:vertAlign w:val="baseline"/>
        </w:rPr>
        <w:t xml:space="preserve"> which specifically asked Nepal to provide and outline any measures taken to combat caste-discrimination against the Dalit community and on the eradication of patriarchal attitudes and eliminate harmful traditional practices, such as witchcraft accusations, under article 2 ICCPR (non-discrimination).</w:t>
      </w:r>
      <w:r w:rsidRPr="001C6724">
        <w:rPr>
          <w:rFonts w:ascii="Times New Roman" w:hAnsi="Times New Roman" w:cs="Times New Roman"/>
          <w:sz w:val="24"/>
          <w:szCs w:val="24"/>
        </w:rPr>
        <w:footnoteReference w:id="917"/>
      </w:r>
      <w:r w:rsidRPr="001C6724">
        <w:rPr>
          <w:rFonts w:ascii="Times New Roman" w:hAnsi="Times New Roman" w:cs="Times New Roman"/>
          <w:sz w:val="24"/>
          <w:szCs w:val="24"/>
          <w:vertAlign w:val="baseline"/>
        </w:rPr>
        <w:t xml:space="preserve"> Nepal responded to this list of issues on 24 January 2014,</w:t>
      </w:r>
      <w:r w:rsidRPr="001C6724">
        <w:rPr>
          <w:rFonts w:ascii="Times New Roman" w:hAnsi="Times New Roman" w:cs="Times New Roman"/>
          <w:sz w:val="24"/>
          <w:szCs w:val="24"/>
        </w:rPr>
        <w:footnoteReference w:id="918"/>
      </w:r>
      <w:r w:rsidRPr="001C6724">
        <w:rPr>
          <w:rFonts w:ascii="Times New Roman" w:hAnsi="Times New Roman" w:cs="Times New Roman"/>
          <w:sz w:val="24"/>
          <w:szCs w:val="24"/>
          <w:vertAlign w:val="baseline"/>
        </w:rPr>
        <w:t xml:space="preserve"> which was considered by the CCPR in March 2014.</w:t>
      </w:r>
      <w:r w:rsidRPr="001C6724">
        <w:rPr>
          <w:rFonts w:ascii="Times New Roman" w:hAnsi="Times New Roman" w:cs="Times New Roman"/>
          <w:sz w:val="24"/>
          <w:szCs w:val="24"/>
        </w:rPr>
        <w:footnoteReference w:id="919"/>
      </w:r>
      <w:r w:rsidRPr="001C6724">
        <w:rPr>
          <w:rFonts w:ascii="Times New Roman" w:hAnsi="Times New Roman" w:cs="Times New Roman"/>
          <w:sz w:val="24"/>
          <w:szCs w:val="24"/>
          <w:vertAlign w:val="baseline"/>
        </w:rPr>
        <w:t xml:space="preserve"> On consideration of the report, the CCPR, whilst noting that the report was 5 years overdue, expressed regret at the ‘persistence of patriarchal attitudes and deep-rooted stereotypes that perpetrate discrimination against women’ whilst noting the prevalence of harmful traditional practices such as witchcraft.</w:t>
      </w:r>
      <w:r w:rsidRPr="001C6724">
        <w:rPr>
          <w:rFonts w:ascii="Times New Roman" w:hAnsi="Times New Roman" w:cs="Times New Roman"/>
          <w:sz w:val="24"/>
          <w:szCs w:val="24"/>
        </w:rPr>
        <w:footnoteReference w:id="920"/>
      </w:r>
      <w:r w:rsidRPr="001C6724">
        <w:rPr>
          <w:rFonts w:ascii="Times New Roman" w:hAnsi="Times New Roman" w:cs="Times New Roman"/>
          <w:sz w:val="24"/>
          <w:szCs w:val="24"/>
          <w:vertAlign w:val="baseline"/>
        </w:rPr>
        <w:t xml:space="preserve"> Moreover, the CCPR noted its concern at the persistence of caste discrimination against the Dalit community and the lack of effective implementation of relevant legislation.</w:t>
      </w:r>
      <w:r w:rsidRPr="001C6724">
        <w:rPr>
          <w:rFonts w:ascii="Times New Roman" w:hAnsi="Times New Roman" w:cs="Times New Roman"/>
          <w:sz w:val="24"/>
          <w:szCs w:val="24"/>
        </w:rPr>
        <w:footnoteReference w:id="921"/>
      </w:r>
      <w:r w:rsidRPr="001C6724">
        <w:rPr>
          <w:rFonts w:ascii="Times New Roman" w:hAnsi="Times New Roman" w:cs="Times New Roman"/>
          <w:sz w:val="24"/>
          <w:szCs w:val="24"/>
          <w:vertAlign w:val="baseline"/>
        </w:rPr>
        <w:t xml:space="preserve"> </w:t>
      </w:r>
    </w:p>
    <w:p w14:paraId="71FCDE15"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0CE0C3AB" w14:textId="77777777" w:rsidR="001C6724" w:rsidRPr="001C6724" w:rsidRDefault="001C6724" w:rsidP="00681E11">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Ghana submitted their initial report to the CCPR on 13 October 2014, thirteen years later than the original due date of 2001. In their report the Government of Ghana declared that they had been ‘increasingly proactive’ in addressing witchcraft accusations in Ghana, and have taken particular measures, including the improvement of living conditions for the accused, the development of a roadmap, which would facilitate their reintegration back into society.</w:t>
      </w:r>
      <w:r w:rsidRPr="001C6724">
        <w:rPr>
          <w:rFonts w:ascii="Times New Roman" w:hAnsi="Times New Roman" w:cs="Times New Roman"/>
          <w:sz w:val="24"/>
          <w:szCs w:val="24"/>
        </w:rPr>
        <w:footnoteReference w:id="922"/>
      </w:r>
      <w:r w:rsidRPr="001C6724">
        <w:rPr>
          <w:rFonts w:ascii="Times New Roman" w:hAnsi="Times New Roman" w:cs="Times New Roman"/>
          <w:sz w:val="24"/>
          <w:szCs w:val="24"/>
          <w:vertAlign w:val="baseline"/>
        </w:rPr>
        <w:t xml:space="preserve"> The report states that two years after the implementation of this roadmap, one hundred and thirty two ‘witches’ have already been reintegrated back into society.</w:t>
      </w:r>
      <w:r w:rsidRPr="001C6724">
        <w:rPr>
          <w:rFonts w:ascii="Times New Roman" w:hAnsi="Times New Roman" w:cs="Times New Roman"/>
          <w:sz w:val="24"/>
          <w:szCs w:val="24"/>
        </w:rPr>
        <w:footnoteReference w:id="923"/>
      </w:r>
      <w:r w:rsidRPr="001C6724">
        <w:rPr>
          <w:rFonts w:ascii="Times New Roman" w:hAnsi="Times New Roman" w:cs="Times New Roman"/>
          <w:sz w:val="24"/>
          <w:szCs w:val="24"/>
          <w:vertAlign w:val="baseline"/>
        </w:rPr>
        <w:t xml:space="preserve"> Furthermore, the report emphasises the highly gendered nature of witchcraft allegations in Ghana, highlighting the link between strongly held customary beliefs and gender stereotyping of women, in particular older women, widows and childless/ unmarried women,</w:t>
      </w:r>
      <w:r w:rsidRPr="001C6724">
        <w:rPr>
          <w:rFonts w:ascii="Times New Roman" w:hAnsi="Times New Roman" w:cs="Times New Roman"/>
          <w:sz w:val="24"/>
          <w:szCs w:val="24"/>
        </w:rPr>
        <w:footnoteReference w:id="924"/>
      </w:r>
      <w:r w:rsidRPr="001C6724">
        <w:rPr>
          <w:rFonts w:ascii="Times New Roman" w:hAnsi="Times New Roman" w:cs="Times New Roman"/>
          <w:sz w:val="24"/>
          <w:szCs w:val="24"/>
          <w:vertAlign w:val="baseline"/>
        </w:rPr>
        <w:t xml:space="preserve"> whilst also stressing the importance of the participation of women accused of witchcraft in anti-gender based violence events.</w:t>
      </w:r>
      <w:r w:rsidRPr="001C6724">
        <w:rPr>
          <w:rFonts w:ascii="Times New Roman" w:hAnsi="Times New Roman" w:cs="Times New Roman"/>
          <w:sz w:val="24"/>
          <w:szCs w:val="24"/>
        </w:rPr>
        <w:footnoteReference w:id="925"/>
      </w:r>
      <w:r w:rsidRPr="001C6724">
        <w:rPr>
          <w:rFonts w:ascii="Times New Roman" w:hAnsi="Times New Roman" w:cs="Times New Roman"/>
          <w:sz w:val="24"/>
          <w:szCs w:val="24"/>
          <w:vertAlign w:val="baseline"/>
        </w:rPr>
        <w:t xml:space="preserve"> In response to this report the CCPR produced their list of issues, documented on 4 December 2015.</w:t>
      </w:r>
      <w:r w:rsidRPr="001C6724">
        <w:rPr>
          <w:rFonts w:ascii="Times New Roman" w:hAnsi="Times New Roman" w:cs="Times New Roman"/>
          <w:sz w:val="24"/>
          <w:szCs w:val="24"/>
        </w:rPr>
        <w:footnoteReference w:id="926"/>
      </w:r>
      <w:r w:rsidRPr="001C6724">
        <w:rPr>
          <w:rFonts w:ascii="Times New Roman" w:hAnsi="Times New Roman" w:cs="Times New Roman"/>
          <w:sz w:val="24"/>
          <w:szCs w:val="24"/>
          <w:vertAlign w:val="baseline"/>
        </w:rPr>
        <w:t xml:space="preserve"> Within this report, the CCPR have asked Ghana to outline the measures taken to eradicate witchcraft accusations, bring perpetrators to justice and on how they are providing appropriate redress to the victims.</w:t>
      </w:r>
      <w:r w:rsidRPr="001C6724">
        <w:rPr>
          <w:rFonts w:ascii="Times New Roman" w:hAnsi="Times New Roman" w:cs="Times New Roman"/>
          <w:sz w:val="24"/>
          <w:szCs w:val="24"/>
        </w:rPr>
        <w:footnoteReference w:id="927"/>
      </w:r>
      <w:r w:rsidRPr="001C6724">
        <w:rPr>
          <w:rFonts w:ascii="Times New Roman" w:hAnsi="Times New Roman" w:cs="Times New Roman"/>
          <w:sz w:val="24"/>
          <w:szCs w:val="24"/>
          <w:vertAlign w:val="baseline"/>
        </w:rPr>
        <w:t xml:space="preserve"> As of the end of January 2016, there has been no response from Ghana to the list of issues. </w:t>
      </w:r>
    </w:p>
    <w:p w14:paraId="25BF2A4D"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31C681C6" w14:textId="049B856E" w:rsidR="001C6724" w:rsidRDefault="001C6724" w:rsidP="000D5921">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The fourth periodic report of India was due on 31 December 2001.</w:t>
      </w:r>
      <w:r w:rsidRPr="001C6724">
        <w:rPr>
          <w:rFonts w:ascii="Times New Roman" w:hAnsi="Times New Roman" w:cs="Times New Roman"/>
          <w:sz w:val="24"/>
          <w:szCs w:val="24"/>
        </w:rPr>
        <w:footnoteReference w:id="928"/>
      </w:r>
      <w:r w:rsidRPr="001C6724">
        <w:rPr>
          <w:rFonts w:ascii="Times New Roman" w:hAnsi="Times New Roman" w:cs="Times New Roman"/>
          <w:sz w:val="24"/>
          <w:szCs w:val="24"/>
          <w:vertAlign w:val="baseline"/>
        </w:rPr>
        <w:t xml:space="preserve"> As of January 2016, this report has not yet been submitted to the CCPR. There is no mention of witchcraft within the subsequent three periodic reports. The first periodic report for Papua New Guinea was due on 21 October 2009.</w:t>
      </w:r>
      <w:r w:rsidRPr="001C6724">
        <w:rPr>
          <w:rFonts w:ascii="Times New Roman" w:hAnsi="Times New Roman" w:cs="Times New Roman"/>
          <w:sz w:val="24"/>
          <w:szCs w:val="24"/>
        </w:rPr>
        <w:footnoteReference w:id="929"/>
      </w:r>
      <w:r w:rsidRPr="001C6724">
        <w:rPr>
          <w:rFonts w:ascii="Times New Roman" w:hAnsi="Times New Roman" w:cs="Times New Roman"/>
          <w:sz w:val="24"/>
          <w:szCs w:val="24"/>
          <w:vertAlign w:val="baseline"/>
        </w:rPr>
        <w:t xml:space="preserve"> Again, as of January 2016, this report has not yet been submitted to the CCPR. This lack of response clearly demonstrates the lack of willingness, by </w:t>
      </w:r>
      <w:r w:rsidR="00FE36D3">
        <w:rPr>
          <w:rFonts w:ascii="Times New Roman" w:hAnsi="Times New Roman" w:cs="Times New Roman"/>
          <w:sz w:val="24"/>
          <w:szCs w:val="24"/>
          <w:vertAlign w:val="baseline"/>
        </w:rPr>
        <w:t xml:space="preserve">these </w:t>
      </w:r>
      <w:r w:rsidRPr="001C6724">
        <w:rPr>
          <w:rFonts w:ascii="Times New Roman" w:hAnsi="Times New Roman" w:cs="Times New Roman"/>
          <w:sz w:val="24"/>
          <w:szCs w:val="24"/>
          <w:vertAlign w:val="baseline"/>
        </w:rPr>
        <w:t>states, to engage with their obligations under the Convention and, moreover, highlights the lack of adequate penalties for late or non-reporting.</w:t>
      </w:r>
    </w:p>
    <w:p w14:paraId="6EA11FDF" w14:textId="77777777" w:rsidR="008925EB" w:rsidRPr="001C6724" w:rsidRDefault="008925EB" w:rsidP="000D5921">
      <w:pPr>
        <w:spacing w:line="480" w:lineRule="auto"/>
        <w:ind w:firstLine="720"/>
        <w:jc w:val="both"/>
        <w:rPr>
          <w:rFonts w:ascii="Times New Roman" w:hAnsi="Times New Roman" w:cs="Times New Roman"/>
          <w:sz w:val="24"/>
          <w:szCs w:val="24"/>
          <w:vertAlign w:val="baseline"/>
        </w:rPr>
      </w:pPr>
    </w:p>
    <w:p w14:paraId="276D4C71" w14:textId="30D3115E" w:rsidR="001C6724" w:rsidRDefault="005974C6" w:rsidP="001C6724">
      <w:pPr>
        <w:spacing w:line="480" w:lineRule="auto"/>
        <w:jc w:val="both"/>
        <w:rPr>
          <w:rFonts w:ascii="Times New Roman" w:hAnsi="Times New Roman" w:cs="Times New Roman"/>
          <w:b/>
          <w:i/>
          <w:sz w:val="24"/>
          <w:szCs w:val="24"/>
          <w:vertAlign w:val="baseline"/>
        </w:rPr>
      </w:pPr>
      <w:r w:rsidRPr="005974C6">
        <w:rPr>
          <w:rFonts w:ascii="Times New Roman" w:hAnsi="Times New Roman" w:cs="Times New Roman"/>
          <w:b/>
          <w:i/>
          <w:sz w:val="24"/>
          <w:szCs w:val="24"/>
          <w:vertAlign w:val="baseline"/>
        </w:rPr>
        <w:t xml:space="preserve">5.7.2 Evaluation of the </w:t>
      </w:r>
      <w:r w:rsidR="002E6DF5">
        <w:rPr>
          <w:rFonts w:ascii="Times New Roman" w:hAnsi="Times New Roman" w:cs="Times New Roman"/>
          <w:b/>
          <w:i/>
          <w:sz w:val="24"/>
          <w:szCs w:val="24"/>
          <w:vertAlign w:val="baseline"/>
        </w:rPr>
        <w:t>Human Rights Committee (</w:t>
      </w:r>
      <w:r w:rsidRPr="005974C6">
        <w:rPr>
          <w:rFonts w:ascii="Times New Roman" w:hAnsi="Times New Roman" w:cs="Times New Roman"/>
          <w:b/>
          <w:i/>
          <w:sz w:val="24"/>
          <w:szCs w:val="24"/>
          <w:vertAlign w:val="baseline"/>
        </w:rPr>
        <w:t>CCPR</w:t>
      </w:r>
      <w:r w:rsidR="002E6DF5">
        <w:rPr>
          <w:rFonts w:ascii="Times New Roman" w:hAnsi="Times New Roman" w:cs="Times New Roman"/>
          <w:b/>
          <w:i/>
          <w:sz w:val="24"/>
          <w:szCs w:val="24"/>
          <w:vertAlign w:val="baseline"/>
        </w:rPr>
        <w:t>)</w:t>
      </w:r>
    </w:p>
    <w:p w14:paraId="602B7E75" w14:textId="3158C3EC" w:rsidR="008925EB" w:rsidRPr="008925EB" w:rsidRDefault="009F6990" w:rsidP="005F3C85">
      <w:pPr>
        <w:spacing w:line="480" w:lineRule="auto"/>
        <w:ind w:firstLine="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O</w:t>
      </w:r>
      <w:r w:rsidR="008925EB">
        <w:rPr>
          <w:rFonts w:ascii="Times New Roman" w:hAnsi="Times New Roman" w:cs="Times New Roman"/>
          <w:sz w:val="24"/>
          <w:szCs w:val="24"/>
          <w:vertAlign w:val="baseline"/>
        </w:rPr>
        <w:t xml:space="preserve">n a positive note, the CCPR has made specific reference to the persistence of WAP within both Nepal and Ghana, </w:t>
      </w:r>
      <w:r>
        <w:rPr>
          <w:rFonts w:ascii="Times New Roman" w:hAnsi="Times New Roman" w:cs="Times New Roman"/>
          <w:sz w:val="24"/>
          <w:szCs w:val="24"/>
          <w:vertAlign w:val="baseline"/>
        </w:rPr>
        <w:t>noting that WAP was a violation of article 2 (non-discrimination) ICCPR. In their consideration of the periodic report of Ghana, the Committee also highlighted the</w:t>
      </w:r>
      <w:r w:rsidR="001020DF">
        <w:rPr>
          <w:rFonts w:ascii="Times New Roman" w:hAnsi="Times New Roman" w:cs="Times New Roman"/>
          <w:sz w:val="24"/>
          <w:szCs w:val="24"/>
          <w:vertAlign w:val="baseline"/>
        </w:rPr>
        <w:t xml:space="preserve"> important</w:t>
      </w:r>
      <w:r>
        <w:rPr>
          <w:rFonts w:ascii="Times New Roman" w:hAnsi="Times New Roman" w:cs="Times New Roman"/>
          <w:sz w:val="24"/>
          <w:szCs w:val="24"/>
          <w:vertAlign w:val="baseline"/>
        </w:rPr>
        <w:t xml:space="preserve"> link between WAP and gender, </w:t>
      </w:r>
      <w:r w:rsidR="001020DF">
        <w:rPr>
          <w:rFonts w:ascii="Times New Roman" w:hAnsi="Times New Roman" w:cs="Times New Roman"/>
          <w:sz w:val="24"/>
          <w:szCs w:val="24"/>
          <w:vertAlign w:val="baseline"/>
        </w:rPr>
        <w:t>emphasising that the victims are predominantly elderly women, widows and those women that are unable to have children.</w:t>
      </w:r>
      <w:r w:rsidR="005F3C85">
        <w:rPr>
          <w:rFonts w:ascii="Times New Roman" w:hAnsi="Times New Roman" w:cs="Times New Roman"/>
          <w:sz w:val="24"/>
          <w:szCs w:val="24"/>
          <w:vertAlign w:val="baseline"/>
        </w:rPr>
        <w:t xml:space="preserve"> R</w:t>
      </w:r>
      <w:r w:rsidR="008925EB">
        <w:rPr>
          <w:rFonts w:ascii="Times New Roman" w:hAnsi="Times New Roman" w:cs="Times New Roman"/>
          <w:sz w:val="24"/>
          <w:szCs w:val="24"/>
          <w:vertAlign w:val="baseline"/>
        </w:rPr>
        <w:t xml:space="preserve">egrettably, there has been no mention of WAP within any of the </w:t>
      </w:r>
      <w:r w:rsidR="005F3C85">
        <w:rPr>
          <w:rFonts w:ascii="Times New Roman" w:hAnsi="Times New Roman" w:cs="Times New Roman"/>
          <w:sz w:val="24"/>
          <w:szCs w:val="24"/>
          <w:vertAlign w:val="baseline"/>
        </w:rPr>
        <w:t xml:space="preserve">three periodic reports of India. Moreover, India are currently fifteen years late in submitting their current periodic report, </w:t>
      </w:r>
      <w:r w:rsidR="008925EB">
        <w:rPr>
          <w:rFonts w:ascii="Times New Roman" w:hAnsi="Times New Roman" w:cs="Times New Roman"/>
          <w:sz w:val="24"/>
          <w:szCs w:val="24"/>
          <w:vertAlign w:val="baseline"/>
        </w:rPr>
        <w:t>with PNG failing to submit their first periodic report to the Committee.</w:t>
      </w:r>
      <w:r w:rsidR="005F3C85">
        <w:rPr>
          <w:rFonts w:ascii="Times New Roman" w:hAnsi="Times New Roman" w:cs="Times New Roman"/>
          <w:sz w:val="24"/>
          <w:szCs w:val="24"/>
          <w:vertAlign w:val="baseline"/>
        </w:rPr>
        <w:t xml:space="preserve"> This shows an inconsistency with the CCPR. Whilst there has been some response from Nepal to the list of issues documented by the Committee, showing that the recommendations of the CCPR has had some, albeit little, effect on Nepal, Ghana have failed to respond to the most recent list of issues, with India and PNG completely failing to adhere to their reporting obligations.</w:t>
      </w:r>
      <w:r w:rsidR="008C15FB">
        <w:rPr>
          <w:rFonts w:ascii="Times New Roman" w:hAnsi="Times New Roman" w:cs="Times New Roman"/>
          <w:sz w:val="24"/>
          <w:szCs w:val="24"/>
          <w:vertAlign w:val="baseline"/>
        </w:rPr>
        <w:t xml:space="preserve"> Again, this clearly highlights unenforceability as a major weakness of the CCPR. </w:t>
      </w:r>
    </w:p>
    <w:p w14:paraId="7EE5CE29" w14:textId="77777777" w:rsidR="00467D3E" w:rsidRDefault="00467D3E" w:rsidP="00467D3E">
      <w:pPr>
        <w:spacing w:line="480" w:lineRule="auto"/>
        <w:jc w:val="both"/>
        <w:rPr>
          <w:rFonts w:ascii="Times New Roman" w:hAnsi="Times New Roman" w:cs="Times New Roman"/>
          <w:b/>
          <w:sz w:val="24"/>
          <w:szCs w:val="24"/>
          <w:u w:val="single"/>
          <w:vertAlign w:val="baseline"/>
        </w:rPr>
      </w:pPr>
    </w:p>
    <w:p w14:paraId="0C140407" w14:textId="5122E897" w:rsidR="00467D3E" w:rsidRPr="001C6724" w:rsidRDefault="00467D3E" w:rsidP="00467D3E">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 xml:space="preserve">5.8 INTERNATIONAL COVENANT ON ECONOMIC, SOCIAL AND CULTURAL RIGHTS </w:t>
      </w:r>
      <w:r w:rsidRPr="001C6724">
        <w:rPr>
          <w:rFonts w:ascii="Times New Roman" w:hAnsi="Times New Roman" w:cs="Times New Roman"/>
          <w:b/>
          <w:sz w:val="24"/>
          <w:szCs w:val="24"/>
          <w:u w:val="single"/>
          <w:vertAlign w:val="baseline"/>
        </w:rPr>
        <w:t>(ICESCR)</w:t>
      </w:r>
    </w:p>
    <w:p w14:paraId="7B8E32B4" w14:textId="7CDEFB89" w:rsidR="0082645F" w:rsidRPr="001C6724" w:rsidRDefault="00A11615" w:rsidP="00990647">
      <w:pPr>
        <w:spacing w:line="480" w:lineRule="auto"/>
        <w:ind w:firstLine="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The aim of </w:t>
      </w:r>
      <w:r w:rsidR="00467D3E" w:rsidRPr="001C6724">
        <w:rPr>
          <w:rFonts w:ascii="Times New Roman" w:hAnsi="Times New Roman" w:cs="Times New Roman"/>
          <w:sz w:val="24"/>
          <w:szCs w:val="24"/>
          <w:vertAlign w:val="baseline"/>
        </w:rPr>
        <w:t>ICESCR</w:t>
      </w:r>
      <w:r w:rsidR="00467D3E">
        <w:rPr>
          <w:rFonts w:ascii="Times New Roman" w:hAnsi="Times New Roman" w:cs="Times New Roman"/>
          <w:sz w:val="24"/>
          <w:szCs w:val="24"/>
          <w:vertAlign w:val="baseline"/>
        </w:rPr>
        <w:t xml:space="preserve"> (1966)</w:t>
      </w:r>
      <w:r w:rsidR="00467D3E">
        <w:rPr>
          <w:rStyle w:val="FootnoteReference"/>
          <w:rFonts w:ascii="Times New Roman" w:hAnsi="Times New Roman" w:cs="Times New Roman"/>
          <w:sz w:val="24"/>
          <w:szCs w:val="24"/>
        </w:rPr>
        <w:footnoteReference w:id="930"/>
      </w:r>
      <w:r w:rsidR="00467D3E" w:rsidRPr="001C6724">
        <w:rPr>
          <w:rFonts w:ascii="Times New Roman" w:hAnsi="Times New Roman" w:cs="Times New Roman"/>
          <w:sz w:val="24"/>
          <w:szCs w:val="24"/>
          <w:vertAlign w:val="baseline"/>
        </w:rPr>
        <w:t xml:space="preserve"> </w:t>
      </w:r>
      <w:r>
        <w:rPr>
          <w:rFonts w:ascii="Times New Roman" w:hAnsi="Times New Roman" w:cs="Times New Roman"/>
          <w:sz w:val="24"/>
          <w:szCs w:val="24"/>
          <w:vertAlign w:val="baseline"/>
        </w:rPr>
        <w:t>is to guarantee</w:t>
      </w:r>
      <w:r w:rsidR="00467D3E" w:rsidRPr="001C6724">
        <w:rPr>
          <w:rFonts w:ascii="Times New Roman" w:hAnsi="Times New Roman" w:cs="Times New Roman"/>
          <w:sz w:val="24"/>
          <w:szCs w:val="24"/>
          <w:vertAlign w:val="baseline"/>
        </w:rPr>
        <w:t xml:space="preserve"> the protection of economic, social and cultural rights. Whilst it is submitted that ICESCR would not directly protect women from the violence associated with WAP, there are provisions within the Covenant that women accused of WAP may be able to use, for example, article 2 (2),</w:t>
      </w:r>
      <w:r w:rsidR="00467D3E" w:rsidRPr="001C6724">
        <w:rPr>
          <w:rFonts w:ascii="Times New Roman" w:hAnsi="Times New Roman" w:cs="Times New Roman"/>
          <w:sz w:val="24"/>
          <w:szCs w:val="24"/>
        </w:rPr>
        <w:footnoteReference w:id="931"/>
      </w:r>
      <w:r w:rsidR="00467D3E" w:rsidRPr="001C6724">
        <w:rPr>
          <w:rFonts w:ascii="Times New Roman" w:hAnsi="Times New Roman" w:cs="Times New Roman"/>
          <w:sz w:val="24"/>
          <w:szCs w:val="24"/>
          <w:vertAlign w:val="baseline"/>
        </w:rPr>
        <w:t xml:space="preserve"> the right to non-discrimination, article 11,</w:t>
      </w:r>
      <w:r w:rsidR="00467D3E" w:rsidRPr="001C6724">
        <w:rPr>
          <w:rFonts w:ascii="Times New Roman" w:hAnsi="Times New Roman" w:cs="Times New Roman"/>
          <w:sz w:val="24"/>
          <w:szCs w:val="24"/>
        </w:rPr>
        <w:footnoteReference w:id="932"/>
      </w:r>
      <w:r w:rsidR="00467D3E" w:rsidRPr="001C6724">
        <w:rPr>
          <w:rFonts w:ascii="Times New Roman" w:hAnsi="Times New Roman" w:cs="Times New Roman"/>
          <w:sz w:val="24"/>
          <w:szCs w:val="24"/>
          <w:vertAlign w:val="baseline"/>
        </w:rPr>
        <w:t xml:space="preserve"> the right to an adequate standard of living and article 15(1)(a), the right to take part in cultural life. These will be discussed in more detail below. Article 11 would be of particular use to those women who have been ostracised from their society, specifically relevant to the standards of living within the witch-camps of Northern Ghana.</w:t>
      </w:r>
      <w:r w:rsidR="0082645F">
        <w:rPr>
          <w:rFonts w:ascii="Times New Roman" w:hAnsi="Times New Roman" w:cs="Times New Roman"/>
          <w:sz w:val="24"/>
          <w:szCs w:val="24"/>
          <w:vertAlign w:val="baseline"/>
        </w:rPr>
        <w:t xml:space="preserve"> India acceded to the ICESCR in </w:t>
      </w:r>
      <w:r w:rsidR="0082645F" w:rsidRPr="001C6724">
        <w:rPr>
          <w:rFonts w:ascii="Times New Roman" w:hAnsi="Times New Roman" w:cs="Times New Roman"/>
          <w:sz w:val="24"/>
          <w:szCs w:val="24"/>
          <w:vertAlign w:val="baseline"/>
        </w:rPr>
        <w:t>1979</w:t>
      </w:r>
      <w:r w:rsidR="0082645F">
        <w:rPr>
          <w:rFonts w:ascii="Times New Roman" w:hAnsi="Times New Roman" w:cs="Times New Roman"/>
          <w:sz w:val="24"/>
          <w:szCs w:val="24"/>
          <w:vertAlign w:val="baseline"/>
        </w:rPr>
        <w:t>,</w:t>
      </w:r>
      <w:r w:rsidR="0082645F" w:rsidRPr="001C6724">
        <w:rPr>
          <w:rFonts w:ascii="Times New Roman" w:hAnsi="Times New Roman" w:cs="Times New Roman"/>
          <w:sz w:val="24"/>
          <w:szCs w:val="24"/>
        </w:rPr>
        <w:footnoteReference w:id="933"/>
      </w:r>
      <w:r w:rsidR="0082645F">
        <w:rPr>
          <w:rFonts w:ascii="Times New Roman" w:hAnsi="Times New Roman" w:cs="Times New Roman"/>
          <w:sz w:val="24"/>
          <w:szCs w:val="24"/>
          <w:vertAlign w:val="baseline"/>
        </w:rPr>
        <w:t xml:space="preserve"> with Nepal acceding in 1991. </w:t>
      </w:r>
      <w:r w:rsidR="00467D3E" w:rsidRPr="001C6724">
        <w:rPr>
          <w:rFonts w:ascii="Times New Roman" w:hAnsi="Times New Roman" w:cs="Times New Roman"/>
          <w:sz w:val="24"/>
          <w:szCs w:val="24"/>
          <w:vertAlign w:val="baseline"/>
        </w:rPr>
        <w:t xml:space="preserve">Ghana signed and ratified the ICESCR </w:t>
      </w:r>
      <w:r w:rsidR="0082645F">
        <w:rPr>
          <w:rFonts w:ascii="Times New Roman" w:hAnsi="Times New Roman" w:cs="Times New Roman"/>
          <w:sz w:val="24"/>
          <w:szCs w:val="24"/>
          <w:vertAlign w:val="baseline"/>
        </w:rPr>
        <w:t xml:space="preserve">in 2000, whilst </w:t>
      </w:r>
      <w:r w:rsidR="00467D3E" w:rsidRPr="001C6724">
        <w:rPr>
          <w:rFonts w:ascii="Times New Roman" w:hAnsi="Times New Roman" w:cs="Times New Roman"/>
          <w:sz w:val="24"/>
          <w:szCs w:val="24"/>
          <w:vertAlign w:val="baseline"/>
        </w:rPr>
        <w:t>PNG acceded</w:t>
      </w:r>
      <w:r w:rsidR="0082645F">
        <w:rPr>
          <w:rFonts w:ascii="Times New Roman" w:hAnsi="Times New Roman" w:cs="Times New Roman"/>
          <w:sz w:val="24"/>
          <w:szCs w:val="24"/>
          <w:vertAlign w:val="baseline"/>
        </w:rPr>
        <w:t xml:space="preserve"> in 2008.</w:t>
      </w:r>
      <w:r w:rsidR="00467D3E" w:rsidRPr="001C6724">
        <w:rPr>
          <w:rFonts w:ascii="Times New Roman" w:hAnsi="Times New Roman" w:cs="Times New Roman"/>
          <w:sz w:val="24"/>
          <w:szCs w:val="24"/>
          <w:vertAlign w:val="baseline"/>
        </w:rPr>
        <w:t xml:space="preserve"> </w:t>
      </w:r>
    </w:p>
    <w:p w14:paraId="317AEA24" w14:textId="0ED6E5A4" w:rsidR="00467D3E" w:rsidRPr="001C6724" w:rsidRDefault="00467D3E" w:rsidP="00467D3E">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Despite the adoption of the ICESCR and the ICCPR on the same day, two different monitoring systems were created. Whereas the ICCPR provided a</w:t>
      </w:r>
      <w:r w:rsidR="000718B3">
        <w:rPr>
          <w:rFonts w:ascii="Times New Roman" w:hAnsi="Times New Roman" w:cs="Times New Roman"/>
          <w:sz w:val="24"/>
          <w:szCs w:val="24"/>
          <w:vertAlign w:val="baseline"/>
        </w:rPr>
        <w:t>n individual</w:t>
      </w:r>
      <w:r w:rsidRPr="001C6724">
        <w:rPr>
          <w:rFonts w:ascii="Times New Roman" w:hAnsi="Times New Roman" w:cs="Times New Roman"/>
          <w:sz w:val="24"/>
          <w:szCs w:val="24"/>
          <w:vertAlign w:val="baseline"/>
        </w:rPr>
        <w:t xml:space="preserve"> communications mechanism, the same was not done for ICESCR. Whilst some</w:t>
      </w:r>
      <w:r w:rsidRPr="001C6724">
        <w:rPr>
          <w:rFonts w:ascii="Times New Roman" w:hAnsi="Times New Roman" w:cs="Times New Roman"/>
          <w:sz w:val="24"/>
          <w:szCs w:val="24"/>
        </w:rPr>
        <w:footnoteReference w:id="934"/>
      </w:r>
      <w:r w:rsidRPr="001C6724">
        <w:rPr>
          <w:rFonts w:ascii="Times New Roman" w:hAnsi="Times New Roman" w:cs="Times New Roman"/>
          <w:sz w:val="24"/>
          <w:szCs w:val="24"/>
          <w:vertAlign w:val="baseline"/>
        </w:rPr>
        <w:t xml:space="preserve"> argue that this was due to the lack of foresight that a communications mechanism may be needed for economic, social and cultural rights,</w:t>
      </w:r>
      <w:r w:rsidRPr="001C6724">
        <w:rPr>
          <w:rFonts w:ascii="Times New Roman" w:hAnsi="Times New Roman" w:cs="Times New Roman"/>
          <w:sz w:val="24"/>
          <w:szCs w:val="24"/>
        </w:rPr>
        <w:footnoteReference w:id="935"/>
      </w:r>
      <w:r w:rsidRPr="001C6724">
        <w:rPr>
          <w:rFonts w:ascii="Times New Roman" w:hAnsi="Times New Roman" w:cs="Times New Roman"/>
          <w:sz w:val="24"/>
          <w:szCs w:val="24"/>
          <w:vertAlign w:val="baseline"/>
        </w:rPr>
        <w:t xml:space="preserve"> others</w:t>
      </w:r>
      <w:r w:rsidRPr="001C6724">
        <w:rPr>
          <w:rFonts w:ascii="Times New Roman" w:hAnsi="Times New Roman" w:cs="Times New Roman"/>
          <w:sz w:val="24"/>
          <w:szCs w:val="24"/>
        </w:rPr>
        <w:footnoteReference w:id="936"/>
      </w:r>
      <w:r w:rsidRPr="001C6724">
        <w:rPr>
          <w:rFonts w:ascii="Times New Roman" w:hAnsi="Times New Roman" w:cs="Times New Roman"/>
          <w:sz w:val="24"/>
          <w:szCs w:val="24"/>
          <w:vertAlign w:val="baseline"/>
        </w:rPr>
        <w:t xml:space="preserve"> contended that state compliance with economic, social and cultural rights must be justiciable, focusing on the ‘abstract nature, status and characteristics’ of economic, social and cultural rights.</w:t>
      </w:r>
      <w:r w:rsidRPr="001C6724">
        <w:rPr>
          <w:rFonts w:ascii="Times New Roman" w:hAnsi="Times New Roman" w:cs="Times New Roman"/>
          <w:sz w:val="24"/>
          <w:szCs w:val="24"/>
        </w:rPr>
        <w:footnoteReference w:id="937"/>
      </w:r>
      <w:r w:rsidRPr="001C6724">
        <w:rPr>
          <w:rFonts w:ascii="Times New Roman" w:hAnsi="Times New Roman" w:cs="Times New Roman"/>
          <w:sz w:val="24"/>
          <w:szCs w:val="24"/>
          <w:vertAlign w:val="baseline"/>
        </w:rPr>
        <w:t xml:space="preserve"> Thus, it was argued that unlike the ICCPR, whose rights could be practically ascertained, it was a far more complex procedure to determine how the rights under ICSECR could be measured.</w:t>
      </w:r>
      <w:r w:rsidRPr="001C6724">
        <w:rPr>
          <w:rFonts w:ascii="Times New Roman" w:hAnsi="Times New Roman" w:cs="Times New Roman"/>
          <w:sz w:val="24"/>
          <w:szCs w:val="24"/>
        </w:rPr>
        <w:footnoteReference w:id="938"/>
      </w:r>
      <w:r w:rsidRPr="001C6724">
        <w:rPr>
          <w:rFonts w:ascii="Times New Roman" w:hAnsi="Times New Roman" w:cs="Times New Roman"/>
          <w:sz w:val="24"/>
          <w:szCs w:val="24"/>
          <w:vertAlign w:val="baseline"/>
        </w:rPr>
        <w:t xml:space="preserve"> It was, therefore, impossible, until the creation of the Optional Protocol</w:t>
      </w:r>
      <w:r w:rsidR="000718B3">
        <w:rPr>
          <w:rFonts w:ascii="Times New Roman" w:hAnsi="Times New Roman" w:cs="Times New Roman"/>
          <w:sz w:val="24"/>
          <w:szCs w:val="24"/>
          <w:vertAlign w:val="baseline"/>
        </w:rPr>
        <w:t xml:space="preserve"> in 2008 (entry into force in 2013)</w:t>
      </w:r>
      <w:r w:rsidRPr="001C6724">
        <w:rPr>
          <w:rFonts w:ascii="Times New Roman" w:hAnsi="Times New Roman" w:cs="Times New Roman"/>
          <w:sz w:val="24"/>
          <w:szCs w:val="24"/>
          <w:vertAlign w:val="baseline"/>
        </w:rPr>
        <w:t xml:space="preserve">, to lodge communications regarding alleged violations of ICESCR. </w:t>
      </w:r>
    </w:p>
    <w:p w14:paraId="53753A19" w14:textId="77777777" w:rsidR="00467D3E" w:rsidRPr="001C6724" w:rsidRDefault="00467D3E" w:rsidP="00467D3E">
      <w:pPr>
        <w:spacing w:line="480" w:lineRule="auto"/>
        <w:jc w:val="both"/>
        <w:rPr>
          <w:rFonts w:ascii="Times New Roman" w:hAnsi="Times New Roman" w:cs="Times New Roman"/>
          <w:sz w:val="24"/>
          <w:szCs w:val="24"/>
          <w:vertAlign w:val="baseline"/>
        </w:rPr>
      </w:pPr>
    </w:p>
    <w:p w14:paraId="5342B4D0" w14:textId="65346CD0" w:rsidR="00467D3E" w:rsidRPr="001C6724" w:rsidRDefault="00467D3E" w:rsidP="00467D3E">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Accordingly, the Optional Protocol affirms that the Committee on Economic, Social and Cultural Rights is now capable to receive and consider communications, by or on behalf of individuals or groups of individuals, under the jurisdiction of a State Party, if the State Party has violated a right covered by ICESCR.</w:t>
      </w:r>
      <w:r w:rsidRPr="001C6724">
        <w:rPr>
          <w:rFonts w:ascii="Times New Roman" w:hAnsi="Times New Roman" w:cs="Times New Roman"/>
          <w:sz w:val="24"/>
          <w:szCs w:val="24"/>
        </w:rPr>
        <w:footnoteReference w:id="939"/>
      </w:r>
      <w:r w:rsidRPr="001C6724">
        <w:rPr>
          <w:rFonts w:ascii="Times New Roman" w:hAnsi="Times New Roman" w:cs="Times New Roman"/>
          <w:sz w:val="24"/>
          <w:szCs w:val="24"/>
          <w:vertAlign w:val="baseline"/>
        </w:rPr>
        <w:t xml:space="preserve"> Of the four aforementioned states, Ghana is the only state to sign the Optional Protocol on 24 September 2009, but has not yet ratified it. None of the remaining three states have signed or ratified the Optional Protocol to ICESCR.</w:t>
      </w:r>
    </w:p>
    <w:p w14:paraId="411F6056" w14:textId="77777777" w:rsidR="00467D3E" w:rsidRPr="001C6724" w:rsidRDefault="00467D3E" w:rsidP="00467D3E">
      <w:pPr>
        <w:spacing w:line="480" w:lineRule="auto"/>
        <w:jc w:val="both"/>
        <w:rPr>
          <w:rFonts w:ascii="Times New Roman" w:hAnsi="Times New Roman" w:cs="Times New Roman"/>
          <w:sz w:val="24"/>
          <w:szCs w:val="24"/>
          <w:vertAlign w:val="baseline"/>
        </w:rPr>
      </w:pPr>
    </w:p>
    <w:p w14:paraId="6BBF95BC" w14:textId="76B90BE1" w:rsidR="00467D3E" w:rsidRPr="009A4A02" w:rsidRDefault="009A4A02" w:rsidP="00467D3E">
      <w:pPr>
        <w:spacing w:line="480" w:lineRule="auto"/>
        <w:jc w:val="both"/>
        <w:rPr>
          <w:rFonts w:ascii="Times New Roman" w:hAnsi="Times New Roman" w:cs="Times New Roman"/>
          <w:b/>
          <w:i/>
          <w:sz w:val="24"/>
          <w:szCs w:val="24"/>
          <w:vertAlign w:val="baseline"/>
        </w:rPr>
      </w:pPr>
      <w:r w:rsidRPr="009A4A02">
        <w:rPr>
          <w:rFonts w:ascii="Times New Roman" w:hAnsi="Times New Roman" w:cs="Times New Roman"/>
          <w:b/>
          <w:i/>
          <w:sz w:val="24"/>
          <w:szCs w:val="24"/>
          <w:vertAlign w:val="baseline"/>
        </w:rPr>
        <w:t>5.8.1</w:t>
      </w:r>
      <w:r w:rsidR="00467D3E" w:rsidRPr="009A4A02">
        <w:rPr>
          <w:rFonts w:ascii="Times New Roman" w:hAnsi="Times New Roman" w:cs="Times New Roman"/>
          <w:b/>
          <w:i/>
          <w:sz w:val="24"/>
          <w:szCs w:val="24"/>
          <w:vertAlign w:val="baseline"/>
        </w:rPr>
        <w:t xml:space="preserve"> Committee on Economic, Social and Cultural Rights</w:t>
      </w:r>
      <w:r>
        <w:rPr>
          <w:rFonts w:ascii="Times New Roman" w:hAnsi="Times New Roman" w:cs="Times New Roman"/>
          <w:b/>
          <w:i/>
          <w:sz w:val="24"/>
          <w:szCs w:val="24"/>
          <w:vertAlign w:val="baseline"/>
        </w:rPr>
        <w:t xml:space="preserve"> (CESCR)</w:t>
      </w:r>
    </w:p>
    <w:p w14:paraId="2FE04CFA" w14:textId="322FA23B" w:rsidR="00467D3E" w:rsidRDefault="00467D3E" w:rsidP="00467D3E">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The Committee on Economic, Social and Cultural Rights was established in 1985</w:t>
      </w:r>
      <w:r w:rsidRPr="001C6724">
        <w:rPr>
          <w:rFonts w:ascii="Times New Roman" w:hAnsi="Times New Roman" w:cs="Times New Roman"/>
          <w:sz w:val="24"/>
          <w:szCs w:val="24"/>
        </w:rPr>
        <w:footnoteReference w:id="940"/>
      </w:r>
      <w:r w:rsidRPr="001C6724">
        <w:rPr>
          <w:rFonts w:ascii="Times New Roman" w:hAnsi="Times New Roman" w:cs="Times New Roman"/>
          <w:sz w:val="24"/>
          <w:szCs w:val="24"/>
          <w:vertAlign w:val="baseline"/>
        </w:rPr>
        <w:t xml:space="preserve"> to perform the monitoring functions assigned to the UN Economic and Social Council</w:t>
      </w:r>
      <w:r w:rsidRPr="001C6724">
        <w:rPr>
          <w:rFonts w:ascii="Times New Roman" w:hAnsi="Times New Roman" w:cs="Times New Roman"/>
          <w:sz w:val="24"/>
          <w:szCs w:val="24"/>
        </w:rPr>
        <w:footnoteReference w:id="941"/>
      </w:r>
      <w:r w:rsidRPr="001C6724">
        <w:rPr>
          <w:rFonts w:ascii="Times New Roman" w:hAnsi="Times New Roman" w:cs="Times New Roman"/>
          <w:sz w:val="24"/>
          <w:szCs w:val="24"/>
          <w:vertAlign w:val="baseline"/>
        </w:rPr>
        <w:t xml:space="preserve"> (ECOSOC), under part four of ICESCR. In General Comment No.21,</w:t>
      </w:r>
      <w:r w:rsidRPr="001C6724">
        <w:rPr>
          <w:rFonts w:ascii="Times New Roman" w:hAnsi="Times New Roman" w:cs="Times New Roman"/>
          <w:sz w:val="24"/>
          <w:szCs w:val="24"/>
        </w:rPr>
        <w:footnoteReference w:id="942"/>
      </w:r>
      <w:r w:rsidRPr="001C6724">
        <w:rPr>
          <w:rFonts w:ascii="Times New Roman" w:hAnsi="Times New Roman" w:cs="Times New Roman"/>
          <w:sz w:val="24"/>
          <w:szCs w:val="24"/>
          <w:vertAlign w:val="baseline"/>
        </w:rPr>
        <w:t xml:space="preserve"> the Committee dealt with article 15(1)(a), which contains the right of everyone to take part in cultural life. Here, the Committee </w:t>
      </w:r>
      <w:r>
        <w:rPr>
          <w:rFonts w:ascii="Times New Roman" w:hAnsi="Times New Roman" w:cs="Times New Roman"/>
          <w:sz w:val="24"/>
          <w:szCs w:val="24"/>
          <w:vertAlign w:val="baseline"/>
        </w:rPr>
        <w:t>gave ‘solid substance’</w:t>
      </w:r>
      <w:r>
        <w:rPr>
          <w:rStyle w:val="FootnoteReference"/>
          <w:rFonts w:ascii="Times New Roman" w:hAnsi="Times New Roman" w:cs="Times New Roman"/>
          <w:sz w:val="24"/>
          <w:szCs w:val="24"/>
        </w:rPr>
        <w:footnoteReference w:id="943"/>
      </w:r>
      <w:r>
        <w:rPr>
          <w:rFonts w:ascii="Times New Roman" w:hAnsi="Times New Roman" w:cs="Times New Roman"/>
          <w:sz w:val="24"/>
          <w:szCs w:val="24"/>
          <w:vertAlign w:val="baseline"/>
        </w:rPr>
        <w:t xml:space="preserve"> to the right, emphasising</w:t>
      </w:r>
      <w:r w:rsidRPr="001C6724">
        <w:rPr>
          <w:rFonts w:ascii="Times New Roman" w:hAnsi="Times New Roman" w:cs="Times New Roman"/>
          <w:sz w:val="24"/>
          <w:szCs w:val="24"/>
          <w:vertAlign w:val="baseline"/>
        </w:rPr>
        <w:t xml:space="preserve"> the importance of international human rights in respect of cultural diversity</w:t>
      </w:r>
      <w:r>
        <w:rPr>
          <w:rFonts w:ascii="Times New Roman" w:hAnsi="Times New Roman" w:cs="Times New Roman"/>
          <w:sz w:val="24"/>
          <w:szCs w:val="24"/>
          <w:vertAlign w:val="baseline"/>
        </w:rPr>
        <w:t>. The Committee</w:t>
      </w:r>
      <w:r w:rsidRPr="001C6724">
        <w:rPr>
          <w:rFonts w:ascii="Times New Roman" w:hAnsi="Times New Roman" w:cs="Times New Roman"/>
          <w:sz w:val="24"/>
          <w:szCs w:val="24"/>
          <w:vertAlign w:val="baseline"/>
        </w:rPr>
        <w:t xml:space="preserve"> </w:t>
      </w:r>
      <w:r>
        <w:rPr>
          <w:rFonts w:ascii="Times New Roman" w:hAnsi="Times New Roman" w:cs="Times New Roman"/>
          <w:sz w:val="24"/>
          <w:szCs w:val="24"/>
          <w:vertAlign w:val="baseline"/>
        </w:rPr>
        <w:t>stated</w:t>
      </w:r>
      <w:r w:rsidRPr="001C6724">
        <w:rPr>
          <w:rFonts w:ascii="Times New Roman" w:hAnsi="Times New Roman" w:cs="Times New Roman"/>
          <w:sz w:val="24"/>
          <w:szCs w:val="24"/>
          <w:vertAlign w:val="baseline"/>
        </w:rPr>
        <w:t xml:space="preserve"> that, ‘no-one may invoke cultural diversity to infringe upon human rights guaranteed by international law, nor to limit their scope,’ making specific reference to ‘negative practices’ attributed to custom and tradition, which encroach upon other human rights.</w:t>
      </w:r>
      <w:r w:rsidRPr="001C6724">
        <w:rPr>
          <w:rFonts w:ascii="Times New Roman" w:hAnsi="Times New Roman" w:cs="Times New Roman"/>
          <w:sz w:val="24"/>
          <w:szCs w:val="24"/>
        </w:rPr>
        <w:footnoteReference w:id="944"/>
      </w:r>
      <w:r w:rsidRPr="001C6724">
        <w:rPr>
          <w:rFonts w:ascii="Times New Roman" w:hAnsi="Times New Roman" w:cs="Times New Roman"/>
          <w:sz w:val="24"/>
          <w:szCs w:val="24"/>
          <w:vertAlign w:val="baseline"/>
        </w:rPr>
        <w:t xml:space="preserve"> In section four, which deals with violations of article 15(1)(a), the Committee emphasises the need for State parties to ‘demonstrate compliance with their general and specific obligations’ ensuring that they have taken appropriate measures for the respect and protection of cultural freedoms.</w:t>
      </w:r>
      <w:r w:rsidRPr="001C6724">
        <w:rPr>
          <w:rFonts w:ascii="Times New Roman" w:hAnsi="Times New Roman" w:cs="Times New Roman"/>
          <w:sz w:val="24"/>
          <w:szCs w:val="24"/>
        </w:rPr>
        <w:footnoteReference w:id="945"/>
      </w:r>
      <w:r w:rsidRPr="001C6724">
        <w:rPr>
          <w:rFonts w:ascii="Times New Roman" w:hAnsi="Times New Roman" w:cs="Times New Roman"/>
          <w:sz w:val="24"/>
          <w:szCs w:val="24"/>
          <w:vertAlign w:val="baseline"/>
        </w:rPr>
        <w:t xml:space="preserve"> Whilst noting that violations of article 15(1)(a) can occur through direct action and also through omission or failure of states to comply with their legal obligations under </w:t>
      </w:r>
      <w:r w:rsidR="00655C14" w:rsidRPr="001C6724">
        <w:rPr>
          <w:rFonts w:ascii="Times New Roman" w:hAnsi="Times New Roman" w:cs="Times New Roman"/>
          <w:sz w:val="24"/>
          <w:szCs w:val="24"/>
          <w:vertAlign w:val="baseline"/>
        </w:rPr>
        <w:t>ICESCR</w:t>
      </w:r>
      <w:r w:rsidRPr="001C6724">
        <w:rPr>
          <w:rFonts w:ascii="Times New Roman" w:hAnsi="Times New Roman" w:cs="Times New Roman"/>
          <w:sz w:val="24"/>
          <w:szCs w:val="24"/>
          <w:vertAlign w:val="baseline"/>
        </w:rPr>
        <w:t xml:space="preserve">, the Committee also notes that violations occur when state parties fail to take adequate steps to combat harmful practices of individuals or groups of individuals, stating that, </w:t>
      </w:r>
    </w:p>
    <w:p w14:paraId="75CF4F74" w14:textId="77777777" w:rsidR="00D83930" w:rsidRPr="001C6724" w:rsidRDefault="00D83930" w:rsidP="00467D3E">
      <w:pPr>
        <w:spacing w:line="480" w:lineRule="auto"/>
        <w:ind w:firstLine="720"/>
        <w:jc w:val="both"/>
        <w:rPr>
          <w:rFonts w:ascii="Times New Roman" w:hAnsi="Times New Roman" w:cs="Times New Roman"/>
          <w:sz w:val="24"/>
          <w:szCs w:val="24"/>
          <w:vertAlign w:val="baseline"/>
        </w:rPr>
      </w:pPr>
    </w:p>
    <w:p w14:paraId="4AF5DA14" w14:textId="73066204" w:rsidR="00467D3E" w:rsidRPr="001C6724" w:rsidRDefault="00467D3E" w:rsidP="00D82A49">
      <w:pPr>
        <w:spacing w:line="480" w:lineRule="auto"/>
        <w:ind w:left="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These harmful practices, including those attributed to customs and traditions, such as female genital mutilation and allegations of the practice of witchcraft, are barriers to the full exercise by the affected persons of the right enshrined in article 15, paragraph 1 (a)</w:t>
      </w:r>
      <w:r w:rsidRPr="001C6724">
        <w:rPr>
          <w:rFonts w:ascii="Times New Roman" w:hAnsi="Times New Roman" w:cs="Times New Roman"/>
          <w:sz w:val="24"/>
          <w:szCs w:val="24"/>
        </w:rPr>
        <w:footnoteReference w:id="946"/>
      </w:r>
    </w:p>
    <w:p w14:paraId="54BC0123" w14:textId="77777777" w:rsidR="00467D3E" w:rsidRPr="001C6724" w:rsidRDefault="00467D3E" w:rsidP="00467D3E">
      <w:pPr>
        <w:spacing w:line="480" w:lineRule="auto"/>
        <w:jc w:val="both"/>
        <w:rPr>
          <w:rFonts w:ascii="Times New Roman" w:hAnsi="Times New Roman" w:cs="Times New Roman"/>
          <w:sz w:val="24"/>
          <w:szCs w:val="24"/>
          <w:vertAlign w:val="baseline"/>
        </w:rPr>
      </w:pPr>
    </w:p>
    <w:p w14:paraId="4B848DAE" w14:textId="77777777" w:rsidR="00467D3E" w:rsidRPr="001C6724" w:rsidRDefault="00467D3E" w:rsidP="00963AE7">
      <w:pPr>
        <w:spacing w:line="480" w:lineRule="auto"/>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This not only demonstrates that witchcraft is recognised by the Committee as a harmful practice, but also asserts that States Parties will be in violation of their obligations under article 15(1)(a) ICESCR if they fail to take adequate steps to combat witchcraft related violence.</w:t>
      </w:r>
    </w:p>
    <w:p w14:paraId="373C309E" w14:textId="77777777" w:rsidR="00467D3E" w:rsidRPr="001C6724" w:rsidRDefault="00467D3E" w:rsidP="00467D3E">
      <w:pPr>
        <w:spacing w:line="480" w:lineRule="auto"/>
        <w:jc w:val="both"/>
        <w:rPr>
          <w:rFonts w:ascii="Times New Roman" w:hAnsi="Times New Roman" w:cs="Times New Roman"/>
          <w:sz w:val="24"/>
          <w:szCs w:val="24"/>
          <w:vertAlign w:val="baseline"/>
        </w:rPr>
      </w:pPr>
    </w:p>
    <w:p w14:paraId="1B21E02A" w14:textId="078EC6AD" w:rsidR="00467D3E" w:rsidRPr="001C6724" w:rsidRDefault="00467D3E" w:rsidP="00467D3E">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The issue of WAP as a harmful traditional practice under ICESCR has also been noted in the Committee’s Concluding Observations on both Nepal and India. The Committee considered the second periodic report of Nepal</w:t>
      </w:r>
      <w:r w:rsidRPr="001C6724">
        <w:rPr>
          <w:rFonts w:ascii="Times New Roman" w:hAnsi="Times New Roman" w:cs="Times New Roman"/>
          <w:sz w:val="24"/>
          <w:szCs w:val="24"/>
        </w:rPr>
        <w:footnoteReference w:id="947"/>
      </w:r>
      <w:r w:rsidRPr="001C6724">
        <w:rPr>
          <w:rFonts w:ascii="Times New Roman" w:hAnsi="Times New Roman" w:cs="Times New Roman"/>
          <w:sz w:val="24"/>
          <w:szCs w:val="24"/>
          <w:vertAlign w:val="baseline"/>
        </w:rPr>
        <w:t xml:space="preserve"> in May 2007, noting that this was submitted within time and prepared with conformity with the guidelines of the Committee.</w:t>
      </w:r>
      <w:r w:rsidRPr="001C6724">
        <w:rPr>
          <w:rFonts w:ascii="Times New Roman" w:hAnsi="Times New Roman" w:cs="Times New Roman"/>
          <w:sz w:val="24"/>
          <w:szCs w:val="24"/>
        </w:rPr>
        <w:footnoteReference w:id="948"/>
      </w:r>
      <w:r w:rsidRPr="001C6724">
        <w:rPr>
          <w:rFonts w:ascii="Times New Roman" w:hAnsi="Times New Roman" w:cs="Times New Roman"/>
          <w:sz w:val="24"/>
          <w:szCs w:val="24"/>
          <w:vertAlign w:val="baseline"/>
        </w:rPr>
        <w:t xml:space="preserve"> Within their concluding observations, the Committee insisted that Nepal should ‘strictly enforce’ laws prohibiting harmful practices that violate the rights of women and girls, specifically referring to witchcraft, amongst other violations.</w:t>
      </w:r>
      <w:r w:rsidRPr="001C6724">
        <w:rPr>
          <w:rFonts w:ascii="Times New Roman" w:hAnsi="Times New Roman" w:cs="Times New Roman"/>
          <w:sz w:val="24"/>
          <w:szCs w:val="24"/>
        </w:rPr>
        <w:footnoteReference w:id="949"/>
      </w:r>
      <w:r w:rsidRPr="001C6724">
        <w:rPr>
          <w:rFonts w:ascii="Times New Roman" w:hAnsi="Times New Roman" w:cs="Times New Roman"/>
          <w:sz w:val="24"/>
          <w:szCs w:val="24"/>
          <w:vertAlign w:val="baseline"/>
        </w:rPr>
        <w:t xml:space="preserve"> The issue of enforcement of WAP was dealt with by Nepal in their third periodic report (2011)</w:t>
      </w:r>
      <w:r w:rsidRPr="001C6724">
        <w:rPr>
          <w:rFonts w:ascii="Times New Roman" w:hAnsi="Times New Roman" w:cs="Times New Roman"/>
          <w:sz w:val="24"/>
          <w:szCs w:val="24"/>
        </w:rPr>
        <w:footnoteReference w:id="950"/>
      </w:r>
      <w:r w:rsidRPr="001C6724">
        <w:rPr>
          <w:rFonts w:ascii="Times New Roman" w:hAnsi="Times New Roman" w:cs="Times New Roman"/>
          <w:sz w:val="24"/>
          <w:szCs w:val="24"/>
          <w:vertAlign w:val="baseline"/>
        </w:rPr>
        <w:t xml:space="preserve"> to the Committee. Within this report Nepal stated that the Article 20 of the Constitution of Nepal, which is specifically aimed at the non-discrimination of women, provides safeguards to women against harmful traditional practices, stating that the Government of Nepal has declared </w:t>
      </w:r>
      <w:r w:rsidR="00963AE7">
        <w:rPr>
          <w:rFonts w:ascii="Times New Roman" w:hAnsi="Times New Roman" w:cs="Times New Roman"/>
          <w:i/>
          <w:sz w:val="24"/>
          <w:szCs w:val="24"/>
          <w:vertAlign w:val="baseline"/>
        </w:rPr>
        <w:t>c</w:t>
      </w:r>
      <w:r w:rsidR="00E63239">
        <w:rPr>
          <w:rFonts w:ascii="Times New Roman" w:hAnsi="Times New Roman" w:cs="Times New Roman"/>
          <w:i/>
          <w:sz w:val="24"/>
          <w:szCs w:val="24"/>
          <w:vertAlign w:val="baseline"/>
        </w:rPr>
        <w:t>h</w:t>
      </w:r>
      <w:r w:rsidRPr="001C6724">
        <w:rPr>
          <w:rFonts w:ascii="Times New Roman" w:hAnsi="Times New Roman" w:cs="Times New Roman"/>
          <w:i/>
          <w:sz w:val="24"/>
          <w:szCs w:val="24"/>
          <w:vertAlign w:val="baseline"/>
        </w:rPr>
        <w:t>aupadi</w:t>
      </w:r>
      <w:r w:rsidRPr="001C6724">
        <w:rPr>
          <w:rFonts w:ascii="Times New Roman" w:hAnsi="Times New Roman" w:cs="Times New Roman"/>
          <w:sz w:val="24"/>
          <w:szCs w:val="24"/>
          <w:vertAlign w:val="baseline"/>
        </w:rPr>
        <w:t xml:space="preserve"> and witchcraft to be the worst forms of social practices.</w:t>
      </w:r>
      <w:r w:rsidRPr="001C6724">
        <w:rPr>
          <w:rFonts w:ascii="Times New Roman" w:hAnsi="Times New Roman" w:cs="Times New Roman"/>
          <w:sz w:val="24"/>
          <w:szCs w:val="24"/>
        </w:rPr>
        <w:footnoteReference w:id="951"/>
      </w:r>
      <w:r w:rsidRPr="001C6724">
        <w:rPr>
          <w:rFonts w:ascii="Times New Roman" w:hAnsi="Times New Roman" w:cs="Times New Roman"/>
          <w:sz w:val="24"/>
          <w:szCs w:val="24"/>
          <w:vertAlign w:val="baseline"/>
        </w:rPr>
        <w:t xml:space="preserve"> Furthermore, the report makes reference to the change that judicial intervention has had in relation to harmful practices, specifically referring to the case of </w:t>
      </w:r>
      <w:r w:rsidR="008937F9">
        <w:rPr>
          <w:rFonts w:ascii="Times New Roman" w:hAnsi="Times New Roman" w:cs="Times New Roman"/>
          <w:i/>
          <w:sz w:val="24"/>
          <w:szCs w:val="24"/>
          <w:vertAlign w:val="baseline"/>
        </w:rPr>
        <w:t>Advocate Resma Thapa v HMG Nepal</w:t>
      </w:r>
      <w:r w:rsidRPr="001C6724">
        <w:rPr>
          <w:rFonts w:ascii="Times New Roman" w:hAnsi="Times New Roman" w:cs="Times New Roman"/>
          <w:sz w:val="24"/>
          <w:szCs w:val="24"/>
        </w:rPr>
        <w:footnoteReference w:id="952"/>
      </w:r>
      <w:r w:rsidRPr="001C6724">
        <w:rPr>
          <w:rFonts w:ascii="Times New Roman" w:hAnsi="Times New Roman" w:cs="Times New Roman"/>
          <w:sz w:val="24"/>
          <w:szCs w:val="24"/>
          <w:vertAlign w:val="baseline"/>
        </w:rPr>
        <w:t xml:space="preserve"> The report also stated that the National Women’s Commission (NWC) was preparing a draft bill against the practice of witchcraft,</w:t>
      </w:r>
      <w:r w:rsidRPr="001C6724">
        <w:rPr>
          <w:rFonts w:ascii="Times New Roman" w:hAnsi="Times New Roman" w:cs="Times New Roman"/>
          <w:sz w:val="24"/>
          <w:szCs w:val="24"/>
        </w:rPr>
        <w:footnoteReference w:id="953"/>
      </w:r>
      <w:r w:rsidRPr="001C6724">
        <w:rPr>
          <w:rFonts w:ascii="Times New Roman" w:hAnsi="Times New Roman" w:cs="Times New Roman"/>
          <w:sz w:val="24"/>
          <w:szCs w:val="24"/>
          <w:vertAlign w:val="baseline"/>
        </w:rPr>
        <w:t xml:space="preserve"> and the NWC has been monitoring the situation, carried out public hearings and made recommendations to the Government of Nepal to ‘overcome ill traditions and practices including witchcraft.’</w:t>
      </w:r>
      <w:r w:rsidRPr="001C6724">
        <w:rPr>
          <w:rFonts w:ascii="Times New Roman" w:hAnsi="Times New Roman" w:cs="Times New Roman"/>
          <w:sz w:val="24"/>
          <w:szCs w:val="24"/>
        </w:rPr>
        <w:footnoteReference w:id="954"/>
      </w:r>
      <w:r w:rsidRPr="001C6724">
        <w:rPr>
          <w:rFonts w:ascii="Times New Roman" w:hAnsi="Times New Roman" w:cs="Times New Roman"/>
          <w:sz w:val="24"/>
          <w:szCs w:val="24"/>
          <w:vertAlign w:val="baseline"/>
        </w:rPr>
        <w:t xml:space="preserve"> On 1 August 2015, six years after the NWC had submitted the proposal, the President of Nepal certified the Anti-Witchcraft Act (Crime and Punishment) 2015. The Act recommends a jail sentence of between five to ten years with a fine of Rs 100,000 to anyone convicted of abuse on the charge of witchery, with a lesser punishment of three months imprisonment and a fine of Rs 30,000 for those abetting the crime. Whether the Act will be seen as a deterrent to perpetrators of WAP is yet to be seen, however, its creation is certainly a step in the right direction. </w:t>
      </w:r>
    </w:p>
    <w:p w14:paraId="7DA158A9" w14:textId="77777777" w:rsidR="00467D3E" w:rsidRPr="001C6724" w:rsidRDefault="00467D3E" w:rsidP="00467D3E">
      <w:pPr>
        <w:spacing w:line="480" w:lineRule="auto"/>
        <w:jc w:val="both"/>
        <w:rPr>
          <w:rFonts w:ascii="Times New Roman" w:hAnsi="Times New Roman" w:cs="Times New Roman"/>
          <w:sz w:val="24"/>
          <w:szCs w:val="24"/>
          <w:vertAlign w:val="baseline"/>
        </w:rPr>
      </w:pPr>
    </w:p>
    <w:p w14:paraId="31D34E72" w14:textId="1023C873" w:rsidR="00467D3E" w:rsidRPr="001C6724" w:rsidRDefault="00467D3E" w:rsidP="00467D3E">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The Committee considered the combined second to fifth period report of India in May 2008, noting that not only had there been a fifteen year delay in the submission of the report, but that India had failed to pr</w:t>
      </w:r>
      <w:r w:rsidR="00D2678C">
        <w:rPr>
          <w:rFonts w:ascii="Times New Roman" w:hAnsi="Times New Roman" w:cs="Times New Roman"/>
          <w:sz w:val="24"/>
          <w:szCs w:val="24"/>
          <w:vertAlign w:val="baseline"/>
        </w:rPr>
        <w:t xml:space="preserve">ovide information on articles 1 to </w:t>
      </w:r>
      <w:r w:rsidRPr="001C6724">
        <w:rPr>
          <w:rFonts w:ascii="Times New Roman" w:hAnsi="Times New Roman" w:cs="Times New Roman"/>
          <w:sz w:val="24"/>
          <w:szCs w:val="24"/>
          <w:vertAlign w:val="baseline"/>
        </w:rPr>
        <w:t>5 and had failed to answer some of the questions posed to India in its list of issues.</w:t>
      </w:r>
      <w:r w:rsidRPr="001C6724">
        <w:rPr>
          <w:rFonts w:ascii="Times New Roman" w:hAnsi="Times New Roman" w:cs="Times New Roman"/>
          <w:sz w:val="24"/>
          <w:szCs w:val="24"/>
        </w:rPr>
        <w:footnoteReference w:id="955"/>
      </w:r>
      <w:r w:rsidRPr="001C6724">
        <w:rPr>
          <w:rFonts w:ascii="Times New Roman" w:hAnsi="Times New Roman" w:cs="Times New Roman"/>
          <w:sz w:val="24"/>
          <w:szCs w:val="24"/>
          <w:vertAlign w:val="baseline"/>
        </w:rPr>
        <w:t xml:space="preserve"> Whilst the Committee noted that there were some positive aspects regarding India’s efforts to promote the enjoyments of economic, social and cultural rights, the Committee noted that there were a multitude of factors and difficulties, which were impeding the implementation of ICESCR, specifically poor implementation, an absence of effective mechanisms and ‘socially accepted’ forms of discrimination against disadvantaged and marginalised groups.</w:t>
      </w:r>
      <w:r w:rsidRPr="001C6724">
        <w:rPr>
          <w:rFonts w:ascii="Times New Roman" w:hAnsi="Times New Roman" w:cs="Times New Roman"/>
          <w:sz w:val="24"/>
          <w:szCs w:val="24"/>
        </w:rPr>
        <w:footnoteReference w:id="956"/>
      </w:r>
      <w:r w:rsidRPr="001C6724">
        <w:rPr>
          <w:rFonts w:ascii="Times New Roman" w:hAnsi="Times New Roman" w:cs="Times New Roman"/>
          <w:sz w:val="24"/>
          <w:szCs w:val="24"/>
          <w:vertAlign w:val="baseline"/>
        </w:rPr>
        <w:t xml:space="preserve"> Moreover, the report documents a lack of progress by India in the elimination of traditional practices and those provisions of personal laws that are explicitly detrimental to the rights of women and girls, specifically referring to witch-hunting.</w:t>
      </w:r>
      <w:r w:rsidRPr="001C6724">
        <w:rPr>
          <w:rFonts w:ascii="Times New Roman" w:hAnsi="Times New Roman" w:cs="Times New Roman"/>
          <w:sz w:val="24"/>
          <w:szCs w:val="24"/>
        </w:rPr>
        <w:footnoteReference w:id="957"/>
      </w:r>
      <w:r w:rsidRPr="001C6724">
        <w:rPr>
          <w:rFonts w:ascii="Times New Roman" w:hAnsi="Times New Roman" w:cs="Times New Roman"/>
          <w:sz w:val="24"/>
          <w:szCs w:val="24"/>
          <w:vertAlign w:val="baseline"/>
        </w:rPr>
        <w:t xml:space="preserve"> Unfortunately, the observations in this report on India are not surprising, and have been repeated frequently within reports of the CEDAW Committee.</w:t>
      </w:r>
      <w:r w:rsidRPr="001C6724">
        <w:rPr>
          <w:rFonts w:ascii="Times New Roman" w:hAnsi="Times New Roman" w:cs="Times New Roman"/>
          <w:sz w:val="24"/>
          <w:szCs w:val="24"/>
        </w:rPr>
        <w:footnoteReference w:id="958"/>
      </w:r>
      <w:r w:rsidRPr="001C6724">
        <w:rPr>
          <w:rFonts w:ascii="Times New Roman" w:hAnsi="Times New Roman" w:cs="Times New Roman"/>
          <w:sz w:val="24"/>
          <w:szCs w:val="24"/>
          <w:vertAlign w:val="baseline"/>
        </w:rPr>
        <w:t xml:space="preserve"> </w:t>
      </w:r>
    </w:p>
    <w:p w14:paraId="3BC330AD" w14:textId="77777777" w:rsidR="001114F6" w:rsidRDefault="001114F6" w:rsidP="001C6724">
      <w:pPr>
        <w:spacing w:line="480" w:lineRule="auto"/>
        <w:jc w:val="both"/>
        <w:rPr>
          <w:rFonts w:ascii="Times New Roman" w:hAnsi="Times New Roman" w:cs="Times New Roman"/>
          <w:sz w:val="24"/>
          <w:szCs w:val="24"/>
          <w:vertAlign w:val="baseline"/>
        </w:rPr>
      </w:pPr>
    </w:p>
    <w:p w14:paraId="56E1FDD6" w14:textId="371411AB" w:rsidR="005974C6" w:rsidRPr="001114F6" w:rsidRDefault="001114F6" w:rsidP="001C6724">
      <w:pPr>
        <w:spacing w:line="480" w:lineRule="auto"/>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The first report of Ghana was due on 30 June 2003, with PNG’s first report due on 1 July 2010. To date,</w:t>
      </w:r>
      <w:r>
        <w:rPr>
          <w:rStyle w:val="FootnoteReference"/>
          <w:rFonts w:ascii="Times New Roman" w:hAnsi="Times New Roman" w:cs="Times New Roman"/>
          <w:sz w:val="24"/>
          <w:szCs w:val="24"/>
        </w:rPr>
        <w:footnoteReference w:id="959"/>
      </w:r>
      <w:r w:rsidR="002E7A23">
        <w:rPr>
          <w:rFonts w:ascii="Times New Roman" w:hAnsi="Times New Roman" w:cs="Times New Roman"/>
          <w:sz w:val="24"/>
          <w:szCs w:val="24"/>
          <w:vertAlign w:val="baseline"/>
        </w:rPr>
        <w:t xml:space="preserve"> the Committee has not received either report</w:t>
      </w:r>
      <w:r>
        <w:rPr>
          <w:rFonts w:ascii="Times New Roman" w:hAnsi="Times New Roman" w:cs="Times New Roman"/>
          <w:sz w:val="24"/>
          <w:szCs w:val="24"/>
          <w:vertAlign w:val="baseline"/>
        </w:rPr>
        <w:t>.</w:t>
      </w:r>
    </w:p>
    <w:p w14:paraId="56769D31" w14:textId="77777777" w:rsidR="00467D3E" w:rsidRDefault="00467D3E" w:rsidP="001C6724">
      <w:pPr>
        <w:spacing w:line="480" w:lineRule="auto"/>
        <w:jc w:val="both"/>
        <w:rPr>
          <w:rFonts w:ascii="Times New Roman" w:hAnsi="Times New Roman" w:cs="Times New Roman"/>
          <w:b/>
          <w:i/>
          <w:sz w:val="24"/>
          <w:szCs w:val="24"/>
          <w:vertAlign w:val="baseline"/>
        </w:rPr>
      </w:pPr>
    </w:p>
    <w:p w14:paraId="1F794AD4" w14:textId="3816B5B8" w:rsidR="00467D3E" w:rsidRDefault="00912FE7" w:rsidP="001C6724">
      <w:pPr>
        <w:spacing w:line="480" w:lineRule="auto"/>
        <w:jc w:val="both"/>
        <w:rPr>
          <w:rFonts w:ascii="Times New Roman" w:hAnsi="Times New Roman" w:cs="Times New Roman"/>
          <w:b/>
          <w:i/>
          <w:sz w:val="24"/>
          <w:szCs w:val="24"/>
          <w:vertAlign w:val="baseline"/>
        </w:rPr>
      </w:pPr>
      <w:r>
        <w:rPr>
          <w:rFonts w:ascii="Times New Roman" w:hAnsi="Times New Roman" w:cs="Times New Roman"/>
          <w:b/>
          <w:i/>
          <w:sz w:val="24"/>
          <w:szCs w:val="24"/>
          <w:vertAlign w:val="baseline"/>
        </w:rPr>
        <w:t xml:space="preserve">5.8.2. Evaluation of the </w:t>
      </w:r>
      <w:r w:rsidRPr="009A4A02">
        <w:rPr>
          <w:rFonts w:ascii="Times New Roman" w:hAnsi="Times New Roman" w:cs="Times New Roman"/>
          <w:b/>
          <w:i/>
          <w:sz w:val="24"/>
          <w:szCs w:val="24"/>
          <w:vertAlign w:val="baseline"/>
        </w:rPr>
        <w:t>Committee on Economic, Social and Cultural Rights</w:t>
      </w:r>
    </w:p>
    <w:p w14:paraId="2FF3B58F" w14:textId="2C16F227" w:rsidR="008F2111" w:rsidRPr="008F2111" w:rsidRDefault="008F2111" w:rsidP="001E761F">
      <w:pPr>
        <w:spacing w:line="480" w:lineRule="auto"/>
        <w:ind w:firstLine="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The fact that the Committee has recognised WAP as a negative harmful practice and as a violation of Article 15(1) ICESCR is certainly encouraging. </w:t>
      </w:r>
      <w:r w:rsidR="00C061F6">
        <w:rPr>
          <w:rFonts w:ascii="Times New Roman" w:hAnsi="Times New Roman" w:cs="Times New Roman"/>
          <w:sz w:val="24"/>
          <w:szCs w:val="24"/>
          <w:vertAlign w:val="baseline"/>
        </w:rPr>
        <w:t>As is the positive response from Nepal</w:t>
      </w:r>
      <w:r w:rsidR="00331E4E">
        <w:rPr>
          <w:rFonts w:ascii="Times New Roman" w:hAnsi="Times New Roman" w:cs="Times New Roman"/>
          <w:sz w:val="24"/>
          <w:szCs w:val="24"/>
          <w:vertAlign w:val="baseline"/>
        </w:rPr>
        <w:t xml:space="preserve"> to the Committee’s recommendations,</w:t>
      </w:r>
      <w:r w:rsidR="00C061F6">
        <w:rPr>
          <w:rFonts w:ascii="Times New Roman" w:hAnsi="Times New Roman" w:cs="Times New Roman"/>
          <w:sz w:val="24"/>
          <w:szCs w:val="24"/>
          <w:vertAlign w:val="baseline"/>
        </w:rPr>
        <w:t xml:space="preserve"> who have </w:t>
      </w:r>
      <w:r w:rsidR="00331E4E">
        <w:rPr>
          <w:rFonts w:ascii="Times New Roman" w:hAnsi="Times New Roman" w:cs="Times New Roman"/>
          <w:sz w:val="24"/>
          <w:szCs w:val="24"/>
          <w:vertAlign w:val="baseline"/>
        </w:rPr>
        <w:t xml:space="preserve">subsequently </w:t>
      </w:r>
      <w:r w:rsidR="00C061F6">
        <w:rPr>
          <w:rFonts w:ascii="Times New Roman" w:hAnsi="Times New Roman" w:cs="Times New Roman"/>
          <w:sz w:val="24"/>
          <w:szCs w:val="24"/>
          <w:vertAlign w:val="baseline"/>
        </w:rPr>
        <w:t>made attempts to legislate against WAP</w:t>
      </w:r>
      <w:r w:rsidR="001E761F">
        <w:rPr>
          <w:rFonts w:ascii="Times New Roman" w:hAnsi="Times New Roman" w:cs="Times New Roman"/>
          <w:sz w:val="24"/>
          <w:szCs w:val="24"/>
          <w:vertAlign w:val="baseline"/>
        </w:rPr>
        <w:t>,</w:t>
      </w:r>
      <w:r w:rsidR="00C061F6">
        <w:rPr>
          <w:rFonts w:ascii="Times New Roman" w:hAnsi="Times New Roman" w:cs="Times New Roman"/>
          <w:sz w:val="24"/>
          <w:szCs w:val="24"/>
          <w:vertAlign w:val="baseline"/>
        </w:rPr>
        <w:t xml:space="preserve"> both through the judiciary and through statute.</w:t>
      </w:r>
      <w:r w:rsidR="009354DB">
        <w:rPr>
          <w:rFonts w:ascii="Times New Roman" w:hAnsi="Times New Roman" w:cs="Times New Roman"/>
          <w:sz w:val="24"/>
          <w:szCs w:val="24"/>
          <w:vertAlign w:val="baseline"/>
        </w:rPr>
        <w:t xml:space="preserve"> Thus, showing that the recommendations of the CESCR are having some impact in Nepal.  Regrettably</w:t>
      </w:r>
      <w:r w:rsidR="001E761F">
        <w:rPr>
          <w:rFonts w:ascii="Times New Roman" w:hAnsi="Times New Roman" w:cs="Times New Roman"/>
          <w:sz w:val="24"/>
          <w:szCs w:val="24"/>
          <w:vertAlign w:val="baseline"/>
        </w:rPr>
        <w:t>,</w:t>
      </w:r>
      <w:r w:rsidR="009354DB">
        <w:rPr>
          <w:rFonts w:ascii="Times New Roman" w:hAnsi="Times New Roman" w:cs="Times New Roman"/>
          <w:sz w:val="24"/>
          <w:szCs w:val="24"/>
          <w:vertAlign w:val="baseline"/>
        </w:rPr>
        <w:t xml:space="preserve"> the same cannot be said regarding Ghana and PNG, who have not submitted any reports, and also India, who were fifteen years late with submission of their report, which, on submission, had failed to provide the relevant information to the Committee. Unfortunately, if states consistently refuse to act in accordance with human rights principles, it appears that there is little that can be done; thus the impact of the recommendations of the Committee’s is dependent on the degree of commitment states are willing to give in order to realise their obligations.</w:t>
      </w:r>
      <w:r w:rsidR="009354DB">
        <w:rPr>
          <w:rStyle w:val="FootnoteReference"/>
          <w:rFonts w:ascii="Times New Roman" w:hAnsi="Times New Roman" w:cs="Times New Roman"/>
          <w:sz w:val="24"/>
          <w:szCs w:val="24"/>
        </w:rPr>
        <w:footnoteReference w:id="960"/>
      </w:r>
    </w:p>
    <w:p w14:paraId="0B385B52" w14:textId="07548E26" w:rsidR="00467D3E" w:rsidRPr="001E761F" w:rsidRDefault="009354DB" w:rsidP="001E761F">
      <w:pPr>
        <w:rPr>
          <w:rFonts w:ascii="Times" w:eastAsia="Times New Roman" w:hAnsi="Times" w:cs="Times New Roman"/>
          <w:vertAlign w:val="baseline"/>
        </w:rPr>
      </w:pPr>
      <w:r w:rsidRPr="009354DB">
        <w:rPr>
          <w:rFonts w:ascii="Lucida Grande" w:eastAsia="Times New Roman" w:hAnsi="Lucida Grande" w:cs="Lucida Grande"/>
          <w:color w:val="000000"/>
          <w:sz w:val="21"/>
          <w:szCs w:val="21"/>
          <w:shd w:val="clear" w:color="auto" w:fill="FFFFFF"/>
          <w:vertAlign w:val="baseline"/>
        </w:rPr>
        <w:t> </w:t>
      </w:r>
    </w:p>
    <w:p w14:paraId="271A57C7" w14:textId="5E387F0F" w:rsidR="001C6724" w:rsidRPr="001C6724" w:rsidRDefault="002E0A34" w:rsidP="001C6724">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5</w:t>
      </w:r>
      <w:r w:rsidR="00467D3E">
        <w:rPr>
          <w:rFonts w:ascii="Times New Roman" w:hAnsi="Times New Roman" w:cs="Times New Roman"/>
          <w:b/>
          <w:sz w:val="24"/>
          <w:szCs w:val="24"/>
          <w:u w:val="single"/>
          <w:vertAlign w:val="baseline"/>
        </w:rPr>
        <w:t>.9</w:t>
      </w:r>
      <w:r w:rsidR="00277362">
        <w:rPr>
          <w:rFonts w:ascii="Times New Roman" w:hAnsi="Times New Roman" w:cs="Times New Roman"/>
          <w:b/>
          <w:sz w:val="24"/>
          <w:szCs w:val="24"/>
          <w:u w:val="single"/>
          <w:vertAlign w:val="baseline"/>
        </w:rPr>
        <w:t xml:space="preserve"> </w:t>
      </w:r>
      <w:r w:rsidR="00B6656F">
        <w:rPr>
          <w:rFonts w:ascii="Times New Roman" w:hAnsi="Times New Roman" w:cs="Times New Roman"/>
          <w:b/>
          <w:sz w:val="24"/>
          <w:szCs w:val="24"/>
          <w:u w:val="single"/>
          <w:vertAlign w:val="baseline"/>
        </w:rPr>
        <w:t>HUMAN RIGHTS COUNCIL</w:t>
      </w:r>
      <w:r w:rsidR="001C6724" w:rsidRPr="001C6724">
        <w:rPr>
          <w:rFonts w:ascii="Times New Roman" w:hAnsi="Times New Roman" w:cs="Times New Roman"/>
          <w:b/>
          <w:sz w:val="24"/>
          <w:szCs w:val="24"/>
          <w:u w:val="single"/>
          <w:vertAlign w:val="baseline"/>
        </w:rPr>
        <w:t xml:space="preserve"> </w:t>
      </w:r>
    </w:p>
    <w:p w14:paraId="5E03B506" w14:textId="550A7DCE" w:rsidR="001C6724" w:rsidRPr="001C6724" w:rsidRDefault="001C6724" w:rsidP="000D5921">
      <w:pPr>
        <w:spacing w:line="480" w:lineRule="auto"/>
        <w:ind w:firstLine="36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The Human Rights Council (HRC) was established on 15 March 2006 by the UN General Assembly,</w:t>
      </w:r>
      <w:r w:rsidRPr="001C6724">
        <w:rPr>
          <w:rFonts w:ascii="Times New Roman" w:hAnsi="Times New Roman" w:cs="Times New Roman"/>
          <w:sz w:val="24"/>
          <w:szCs w:val="24"/>
        </w:rPr>
        <w:footnoteReference w:id="961"/>
      </w:r>
      <w:r w:rsidRPr="001C6724">
        <w:rPr>
          <w:rFonts w:ascii="Times New Roman" w:hAnsi="Times New Roman" w:cs="Times New Roman"/>
          <w:sz w:val="24"/>
          <w:szCs w:val="24"/>
          <w:vertAlign w:val="baseline"/>
        </w:rPr>
        <w:t xml:space="preserve"> replacing the UN Commission on Human Rights, and is the primary UN intergovernmental body responsible for human rights.</w:t>
      </w:r>
      <w:r w:rsidRPr="001C6724">
        <w:rPr>
          <w:rFonts w:ascii="Times New Roman" w:hAnsi="Times New Roman" w:cs="Times New Roman"/>
          <w:sz w:val="24"/>
          <w:szCs w:val="24"/>
        </w:rPr>
        <w:footnoteReference w:id="962"/>
      </w:r>
      <w:r w:rsidRPr="001C6724">
        <w:rPr>
          <w:rFonts w:ascii="Times New Roman" w:hAnsi="Times New Roman" w:cs="Times New Roman"/>
          <w:sz w:val="24"/>
          <w:szCs w:val="24"/>
          <w:vertAlign w:val="baseline"/>
        </w:rPr>
        <w:t xml:space="preserve"> The HRC is a political body, consisting of State representatives</w:t>
      </w:r>
      <w:r w:rsidRPr="001C6724">
        <w:rPr>
          <w:rFonts w:ascii="Times New Roman" w:hAnsi="Times New Roman" w:cs="Times New Roman"/>
          <w:sz w:val="24"/>
          <w:szCs w:val="24"/>
        </w:rPr>
        <w:footnoteReference w:id="963"/>
      </w:r>
      <w:r w:rsidRPr="001C6724">
        <w:rPr>
          <w:rFonts w:ascii="Times New Roman" w:hAnsi="Times New Roman" w:cs="Times New Roman"/>
          <w:sz w:val="24"/>
          <w:szCs w:val="24"/>
          <w:vertAlign w:val="baseline"/>
        </w:rPr>
        <w:t xml:space="preserve"> </w:t>
      </w:r>
      <w:r w:rsidR="00042E2F">
        <w:rPr>
          <w:rFonts w:ascii="Times New Roman" w:hAnsi="Times New Roman" w:cs="Times New Roman"/>
          <w:sz w:val="24"/>
          <w:szCs w:val="24"/>
          <w:vertAlign w:val="baseline"/>
        </w:rPr>
        <w:t xml:space="preserve">with the </w:t>
      </w:r>
      <w:r w:rsidRPr="001C6724">
        <w:rPr>
          <w:rFonts w:ascii="Times New Roman" w:hAnsi="Times New Roman" w:cs="Times New Roman"/>
          <w:sz w:val="24"/>
          <w:szCs w:val="24"/>
          <w:vertAlign w:val="baseline"/>
        </w:rPr>
        <w:t>mandate to examine, monitor and report on human rights issues in all Member States. On 18</w:t>
      </w:r>
      <w:r w:rsidRPr="001C6724">
        <w:rPr>
          <w:rFonts w:ascii="Times New Roman" w:hAnsi="Times New Roman" w:cs="Times New Roman"/>
          <w:sz w:val="24"/>
          <w:szCs w:val="24"/>
        </w:rPr>
        <w:t>th</w:t>
      </w:r>
      <w:r w:rsidRPr="001C6724">
        <w:rPr>
          <w:rFonts w:ascii="Times New Roman" w:hAnsi="Times New Roman" w:cs="Times New Roman"/>
          <w:sz w:val="24"/>
          <w:szCs w:val="24"/>
          <w:vertAlign w:val="baseline"/>
        </w:rPr>
        <w:t xml:space="preserve"> June 2007, the HRC adopted its ‘institution building’ resolution,</w:t>
      </w:r>
      <w:r w:rsidRPr="001C6724">
        <w:rPr>
          <w:rFonts w:ascii="Times New Roman" w:hAnsi="Times New Roman" w:cs="Times New Roman"/>
          <w:sz w:val="24"/>
          <w:szCs w:val="24"/>
        </w:rPr>
        <w:footnoteReference w:id="964"/>
      </w:r>
      <w:r w:rsidRPr="001C6724">
        <w:rPr>
          <w:rFonts w:ascii="Times New Roman" w:hAnsi="Times New Roman" w:cs="Times New Roman"/>
          <w:sz w:val="24"/>
          <w:szCs w:val="24"/>
          <w:vertAlign w:val="baseline"/>
        </w:rPr>
        <w:t xml:space="preserve"> where it established the Universal Period Review mechanism, Special Procedures and the HRC Advisory Committee. The HRC has been made aware of the prevalence of WAP. At the 12</w:t>
      </w:r>
      <w:r w:rsidRPr="001C6724">
        <w:rPr>
          <w:rFonts w:ascii="Times New Roman" w:hAnsi="Times New Roman" w:cs="Times New Roman"/>
          <w:sz w:val="24"/>
          <w:szCs w:val="24"/>
        </w:rPr>
        <w:t>th</w:t>
      </w:r>
      <w:r w:rsidRPr="001C6724">
        <w:rPr>
          <w:rFonts w:ascii="Times New Roman" w:hAnsi="Times New Roman" w:cs="Times New Roman"/>
          <w:sz w:val="24"/>
          <w:szCs w:val="24"/>
          <w:vertAlign w:val="baseline"/>
        </w:rPr>
        <w:t xml:space="preserve"> session of the HRC in 2009, the International Humanist and Ethical Union (IHEU) issued a joint statement to the HRC calling for ‘better education and policing to eliminate witchcraft and witch “cures” in Africa.’</w:t>
      </w:r>
      <w:r w:rsidRPr="001C6724">
        <w:rPr>
          <w:rFonts w:ascii="Times New Roman" w:hAnsi="Times New Roman" w:cs="Times New Roman"/>
          <w:sz w:val="24"/>
          <w:szCs w:val="24"/>
        </w:rPr>
        <w:footnoteReference w:id="965"/>
      </w:r>
      <w:r w:rsidRPr="001C6724">
        <w:rPr>
          <w:rFonts w:ascii="Times New Roman" w:hAnsi="Times New Roman" w:cs="Times New Roman"/>
          <w:sz w:val="24"/>
          <w:szCs w:val="24"/>
          <w:vertAlign w:val="baseline"/>
        </w:rPr>
        <w:t xml:space="preserve"> At the 25</w:t>
      </w:r>
      <w:r w:rsidRPr="001C6724">
        <w:rPr>
          <w:rFonts w:ascii="Times New Roman" w:hAnsi="Times New Roman" w:cs="Times New Roman"/>
          <w:sz w:val="24"/>
          <w:szCs w:val="24"/>
        </w:rPr>
        <w:t>th</w:t>
      </w:r>
      <w:r w:rsidRPr="001C6724">
        <w:rPr>
          <w:rFonts w:ascii="Times New Roman" w:hAnsi="Times New Roman" w:cs="Times New Roman"/>
          <w:sz w:val="24"/>
          <w:szCs w:val="24"/>
          <w:vertAlign w:val="baseline"/>
        </w:rPr>
        <w:t xml:space="preserve"> session in March 2014, the HRC heard statements from a panel of NGOs on the topic of ‘Femicide, Witchcraft Accusations and Women with Disabilities,’</w:t>
      </w:r>
      <w:r w:rsidRPr="001C6724">
        <w:rPr>
          <w:rFonts w:ascii="Times New Roman" w:hAnsi="Times New Roman" w:cs="Times New Roman"/>
          <w:sz w:val="24"/>
          <w:szCs w:val="24"/>
        </w:rPr>
        <w:footnoteReference w:id="966"/>
      </w:r>
      <w:r w:rsidRPr="001C6724">
        <w:rPr>
          <w:rFonts w:ascii="Times New Roman" w:hAnsi="Times New Roman" w:cs="Times New Roman"/>
          <w:sz w:val="24"/>
          <w:szCs w:val="24"/>
          <w:vertAlign w:val="baseline"/>
        </w:rPr>
        <w:t xml:space="preserve"> who discussed the impact of witchcraft accusations on women and girls, within different countries,</w:t>
      </w:r>
      <w:r w:rsidRPr="001C6724">
        <w:rPr>
          <w:rFonts w:ascii="Times New Roman" w:hAnsi="Times New Roman" w:cs="Times New Roman"/>
          <w:sz w:val="24"/>
          <w:szCs w:val="24"/>
        </w:rPr>
        <w:footnoteReference w:id="967"/>
      </w:r>
      <w:r w:rsidRPr="001C6724">
        <w:rPr>
          <w:rFonts w:ascii="Times New Roman" w:hAnsi="Times New Roman" w:cs="Times New Roman"/>
          <w:sz w:val="24"/>
          <w:szCs w:val="24"/>
          <w:vertAlign w:val="baseline"/>
        </w:rPr>
        <w:t xml:space="preserve"> emphasising the need for greater awareness, understanding and engagement with the issue of WAP.</w:t>
      </w:r>
    </w:p>
    <w:p w14:paraId="4F448092"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6BF30F74" w14:textId="687A0E01" w:rsidR="001C6724" w:rsidRPr="008C4769" w:rsidRDefault="008C4769" w:rsidP="00A95984">
      <w:pPr>
        <w:spacing w:line="480" w:lineRule="auto"/>
        <w:jc w:val="both"/>
        <w:rPr>
          <w:rFonts w:ascii="Times New Roman" w:hAnsi="Times New Roman" w:cs="Times New Roman"/>
          <w:b/>
          <w:i/>
          <w:sz w:val="24"/>
          <w:szCs w:val="24"/>
          <w:vertAlign w:val="baseline"/>
        </w:rPr>
      </w:pPr>
      <w:r w:rsidRPr="008C4769">
        <w:rPr>
          <w:rFonts w:ascii="Times New Roman" w:hAnsi="Times New Roman" w:cs="Times New Roman"/>
          <w:b/>
          <w:i/>
          <w:sz w:val="24"/>
          <w:szCs w:val="24"/>
          <w:vertAlign w:val="baseline"/>
        </w:rPr>
        <w:t>5.9.1</w:t>
      </w:r>
      <w:r w:rsidR="00A95984" w:rsidRPr="008C4769">
        <w:rPr>
          <w:rFonts w:ascii="Times New Roman" w:hAnsi="Times New Roman" w:cs="Times New Roman"/>
          <w:b/>
          <w:i/>
          <w:sz w:val="24"/>
          <w:szCs w:val="24"/>
          <w:vertAlign w:val="baseline"/>
        </w:rPr>
        <w:t xml:space="preserve"> H</w:t>
      </w:r>
      <w:r w:rsidR="001C6724" w:rsidRPr="008C4769">
        <w:rPr>
          <w:rFonts w:ascii="Times New Roman" w:hAnsi="Times New Roman" w:cs="Times New Roman"/>
          <w:b/>
          <w:i/>
          <w:sz w:val="24"/>
          <w:szCs w:val="24"/>
          <w:vertAlign w:val="baseline"/>
        </w:rPr>
        <w:t>RC Advisory Committee</w:t>
      </w:r>
    </w:p>
    <w:p w14:paraId="1B7B1D7E" w14:textId="51DE0253" w:rsidR="00ED402F" w:rsidRPr="001C6724" w:rsidRDefault="001C6724" w:rsidP="001E761F">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The HRC Advisory Committee, comprising of eighteen independent experts, was established as a research-based think-tank working under the direction of the HRC. Meeting twice annually, the mandate of the Committee is to provide expertise to the HRC and propose suggestions for further research. On 10 February 2015, the HRC Advisory Committee provided a report for the 28</w:t>
      </w:r>
      <w:r w:rsidRPr="001C6724">
        <w:rPr>
          <w:rFonts w:ascii="Times New Roman" w:hAnsi="Times New Roman" w:cs="Times New Roman"/>
          <w:sz w:val="24"/>
          <w:szCs w:val="24"/>
        </w:rPr>
        <w:t>th</w:t>
      </w:r>
      <w:r w:rsidRPr="001C6724">
        <w:rPr>
          <w:rFonts w:ascii="Times New Roman" w:hAnsi="Times New Roman" w:cs="Times New Roman"/>
          <w:sz w:val="24"/>
          <w:szCs w:val="24"/>
          <w:vertAlign w:val="baseline"/>
        </w:rPr>
        <w:t xml:space="preserve"> Session of the HRC, concerning the situation of human rights of persons living with albinism.</w:t>
      </w:r>
      <w:r w:rsidRPr="001C6724">
        <w:rPr>
          <w:rFonts w:ascii="Times New Roman" w:hAnsi="Times New Roman" w:cs="Times New Roman"/>
          <w:sz w:val="24"/>
          <w:szCs w:val="24"/>
        </w:rPr>
        <w:footnoteReference w:id="968"/>
      </w:r>
      <w:r w:rsidRPr="001C6724">
        <w:rPr>
          <w:rFonts w:ascii="Times New Roman" w:hAnsi="Times New Roman" w:cs="Times New Roman"/>
          <w:sz w:val="24"/>
          <w:szCs w:val="24"/>
          <w:vertAlign w:val="baseline"/>
        </w:rPr>
        <w:t xml:space="preserve"> In this report the link between attacks on people with albinism and witchcraft is clearly highlighted stating that, ‘data-gathering is difficult owing to the secretive nature of witchcraft, which serves as the context of most ritual attacks against persons with albinism.’</w:t>
      </w:r>
      <w:r w:rsidRPr="001C6724">
        <w:rPr>
          <w:rFonts w:ascii="Times New Roman" w:hAnsi="Times New Roman" w:cs="Times New Roman"/>
          <w:sz w:val="24"/>
          <w:szCs w:val="24"/>
        </w:rPr>
        <w:footnoteReference w:id="969"/>
      </w:r>
      <w:r w:rsidRPr="001C6724">
        <w:rPr>
          <w:rFonts w:ascii="Times New Roman" w:hAnsi="Times New Roman" w:cs="Times New Roman"/>
          <w:sz w:val="24"/>
          <w:szCs w:val="24"/>
          <w:vertAlign w:val="baseline"/>
        </w:rPr>
        <w:t xml:space="preserve"> The report clearly defines the link between poverty, misfortune and witchcraft; ‘as is the case with witchcraft accusations against women, the elderly and children, muti murders</w:t>
      </w:r>
      <w:r w:rsidRPr="001C6724">
        <w:rPr>
          <w:rFonts w:ascii="Times New Roman" w:hAnsi="Times New Roman" w:cs="Times New Roman"/>
          <w:sz w:val="24"/>
          <w:szCs w:val="24"/>
        </w:rPr>
        <w:footnoteReference w:id="970"/>
      </w:r>
      <w:r w:rsidRPr="001C6724">
        <w:rPr>
          <w:rFonts w:ascii="Times New Roman" w:hAnsi="Times New Roman" w:cs="Times New Roman"/>
          <w:sz w:val="24"/>
          <w:szCs w:val="24"/>
          <w:vertAlign w:val="baseline"/>
        </w:rPr>
        <w:t xml:space="preserve"> of persons with albinism appear to follow patterns of poverty, misfortune, tension and conflict in societies.’</w:t>
      </w:r>
      <w:r w:rsidRPr="001C6724">
        <w:rPr>
          <w:rFonts w:ascii="Times New Roman" w:hAnsi="Times New Roman" w:cs="Times New Roman"/>
          <w:sz w:val="24"/>
          <w:szCs w:val="24"/>
        </w:rPr>
        <w:footnoteReference w:id="971"/>
      </w:r>
      <w:r w:rsidRPr="001C6724">
        <w:rPr>
          <w:rFonts w:ascii="Times New Roman" w:hAnsi="Times New Roman" w:cs="Times New Roman"/>
          <w:sz w:val="24"/>
          <w:szCs w:val="24"/>
          <w:vertAlign w:val="baseline"/>
        </w:rPr>
        <w:t xml:space="preserve"> The report specifies the need for States to, </w:t>
      </w:r>
    </w:p>
    <w:p w14:paraId="10010497" w14:textId="77777777" w:rsidR="001C6724" w:rsidRPr="001C6724" w:rsidRDefault="001C6724" w:rsidP="00DA7D08">
      <w:pPr>
        <w:spacing w:line="480" w:lineRule="auto"/>
        <w:ind w:left="720"/>
        <w:jc w:val="both"/>
        <w:rPr>
          <w:rFonts w:ascii="Times New Roman" w:hAnsi="Times New Roman" w:cs="Times New Roman"/>
          <w:sz w:val="24"/>
          <w:szCs w:val="24"/>
          <w:vertAlign w:val="baseline"/>
          <w:lang w:val="en-US"/>
        </w:rPr>
      </w:pPr>
      <w:r w:rsidRPr="001C6724">
        <w:rPr>
          <w:rFonts w:ascii="Times New Roman" w:hAnsi="Times New Roman" w:cs="Times New Roman"/>
          <w:sz w:val="24"/>
          <w:szCs w:val="24"/>
          <w:vertAlign w:val="baseline"/>
          <w:lang w:val="en-US"/>
        </w:rPr>
        <w:t>Clarify ambiguities where they exist in laws relating to witchcraft and traditional health practice, including through the effective regulation of the licenses of traditional healers and witchdoctor and a clear ban on the use of harmful practices.</w:t>
      </w:r>
      <w:r w:rsidRPr="001C6724">
        <w:rPr>
          <w:rFonts w:ascii="Times New Roman" w:hAnsi="Times New Roman" w:cs="Times New Roman"/>
          <w:sz w:val="24"/>
          <w:szCs w:val="24"/>
          <w:lang w:val="en-US"/>
        </w:rPr>
        <w:footnoteReference w:id="972"/>
      </w:r>
    </w:p>
    <w:p w14:paraId="1219E0B0"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05CD6C86" w14:textId="77777777" w:rsidR="001C6724" w:rsidRDefault="001C6724" w:rsidP="006C074F">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Moreover, the report not only specifies the need for clear laws that criminalise and punish acts of WAP against persons with albinism, it accentuates the key issue of implementation.</w:t>
      </w:r>
      <w:r w:rsidRPr="001C6724">
        <w:rPr>
          <w:rFonts w:ascii="Times New Roman" w:hAnsi="Times New Roman" w:cs="Times New Roman"/>
          <w:sz w:val="24"/>
          <w:szCs w:val="24"/>
        </w:rPr>
        <w:footnoteReference w:id="973"/>
      </w:r>
      <w:r w:rsidRPr="001C6724">
        <w:rPr>
          <w:rFonts w:ascii="Times New Roman" w:hAnsi="Times New Roman" w:cs="Times New Roman"/>
          <w:sz w:val="24"/>
          <w:szCs w:val="24"/>
          <w:vertAlign w:val="baseline"/>
        </w:rPr>
        <w:t xml:space="preserve"> Laws should not simply be promulgated, but they should they must be implemented, in conjunction with concrete measures, such as the education and training of the police and the judiciary on the issue of WAP, in order to facilitate their implementation and ensure that cases of WAP are successfully prosecuted. Following this report, the General Assembly (GA) proclaimed in resolution 69/170 of 18 December 2014, that with effect from 2015, 13 June would be recognised as International Albinism Awareness Day. Moreover, in June 2015 the UN High Commissioner for Human Rights issued a report on the ‘Initiatives taken to raise awareness and promote the protection of the rights of persons with albinism,’</w:t>
      </w:r>
      <w:r w:rsidRPr="001C6724">
        <w:rPr>
          <w:rFonts w:ascii="Times New Roman" w:hAnsi="Times New Roman" w:cs="Times New Roman"/>
          <w:sz w:val="24"/>
          <w:szCs w:val="24"/>
        </w:rPr>
        <w:footnoteReference w:id="974"/>
      </w:r>
      <w:r w:rsidRPr="001C6724">
        <w:rPr>
          <w:rFonts w:ascii="Times New Roman" w:hAnsi="Times New Roman" w:cs="Times New Roman"/>
          <w:sz w:val="24"/>
          <w:szCs w:val="24"/>
          <w:vertAlign w:val="baseline"/>
        </w:rPr>
        <w:t xml:space="preserve"> which refers explicitly to witchcraft attacks as ‘the worst expression of discrimination against persons with albinism.’</w:t>
      </w:r>
      <w:r w:rsidRPr="001C6724">
        <w:rPr>
          <w:rFonts w:ascii="Times New Roman" w:hAnsi="Times New Roman" w:cs="Times New Roman"/>
          <w:sz w:val="24"/>
          <w:szCs w:val="24"/>
        </w:rPr>
        <w:footnoteReference w:id="975"/>
      </w:r>
      <w:r w:rsidRPr="001C6724">
        <w:rPr>
          <w:rFonts w:ascii="Times New Roman" w:hAnsi="Times New Roman" w:cs="Times New Roman"/>
          <w:sz w:val="24"/>
          <w:szCs w:val="24"/>
          <w:vertAlign w:val="baseline"/>
        </w:rPr>
        <w:t xml:space="preserve"> To date, the HRC has adopted four resolutions concerning persons with albinism.</w:t>
      </w:r>
      <w:r w:rsidRPr="001C6724">
        <w:rPr>
          <w:rFonts w:ascii="Times New Roman" w:hAnsi="Times New Roman" w:cs="Times New Roman"/>
          <w:sz w:val="24"/>
          <w:szCs w:val="24"/>
        </w:rPr>
        <w:footnoteReference w:id="976"/>
      </w:r>
      <w:r w:rsidRPr="001C6724">
        <w:rPr>
          <w:rFonts w:ascii="Times New Roman" w:hAnsi="Times New Roman" w:cs="Times New Roman"/>
          <w:sz w:val="24"/>
          <w:szCs w:val="24"/>
          <w:vertAlign w:val="baseline"/>
        </w:rPr>
        <w:t xml:space="preserve"> This is clearly a positive step in ending discrimination and violent attacks on persons with albinism. The HRC recognises that it is the most vulnerable and marginalised groups in society, such as people with albinism, women, the elderly and children, who are victims of WAP due to their inability to defend themselves from attacks.</w:t>
      </w:r>
      <w:r w:rsidRPr="001C6724">
        <w:rPr>
          <w:rFonts w:ascii="Times New Roman" w:hAnsi="Times New Roman" w:cs="Times New Roman"/>
          <w:sz w:val="24"/>
          <w:szCs w:val="24"/>
        </w:rPr>
        <w:footnoteReference w:id="977"/>
      </w:r>
      <w:r w:rsidRPr="001C6724">
        <w:rPr>
          <w:rFonts w:ascii="Times New Roman" w:hAnsi="Times New Roman" w:cs="Times New Roman"/>
          <w:sz w:val="24"/>
          <w:szCs w:val="24"/>
          <w:vertAlign w:val="baseline"/>
        </w:rPr>
        <w:t xml:space="preserve"> Moreover, the HRC recognises that witchcraft beliefs are clearly a major factor attributing to the high levels of violence against people with albinism. Yet, there remains very little awareness of the pervasiveness and the levels of violence associated with WAP at an international level. It is, therefore, submitted that the HRC should build on these resolutions, in order to generate a greater awareness of the escalating issue of WAP </w:t>
      </w:r>
      <w:r w:rsidRPr="001C6724">
        <w:rPr>
          <w:rFonts w:ascii="Times New Roman" w:hAnsi="Times New Roman" w:cs="Times New Roman"/>
          <w:i/>
          <w:sz w:val="24"/>
          <w:szCs w:val="24"/>
          <w:vertAlign w:val="baseline"/>
        </w:rPr>
        <w:t>per se,</w:t>
      </w:r>
      <w:r w:rsidRPr="001C6724">
        <w:rPr>
          <w:rFonts w:ascii="Times New Roman" w:hAnsi="Times New Roman" w:cs="Times New Roman"/>
          <w:sz w:val="24"/>
          <w:szCs w:val="24"/>
          <w:vertAlign w:val="baseline"/>
        </w:rPr>
        <w:t xml:space="preserve"> within the international community.</w:t>
      </w:r>
    </w:p>
    <w:p w14:paraId="4333D25B" w14:textId="77777777" w:rsidR="00212F46" w:rsidRPr="001C6724" w:rsidRDefault="00212F46" w:rsidP="006C074F">
      <w:pPr>
        <w:spacing w:line="480" w:lineRule="auto"/>
        <w:ind w:firstLine="720"/>
        <w:jc w:val="both"/>
        <w:rPr>
          <w:rFonts w:ascii="Times New Roman" w:hAnsi="Times New Roman" w:cs="Times New Roman"/>
          <w:sz w:val="24"/>
          <w:szCs w:val="24"/>
          <w:vertAlign w:val="baseline"/>
        </w:rPr>
      </w:pPr>
    </w:p>
    <w:p w14:paraId="34C90714" w14:textId="094284E4" w:rsidR="001C6724" w:rsidRDefault="00172487" w:rsidP="001C6724">
      <w:pPr>
        <w:spacing w:line="480" w:lineRule="auto"/>
        <w:jc w:val="both"/>
        <w:rPr>
          <w:rFonts w:ascii="Times New Roman" w:hAnsi="Times New Roman" w:cs="Times New Roman"/>
          <w:b/>
          <w:i/>
          <w:sz w:val="24"/>
          <w:szCs w:val="24"/>
          <w:vertAlign w:val="baseline"/>
        </w:rPr>
      </w:pPr>
      <w:r w:rsidRPr="00172487">
        <w:rPr>
          <w:rFonts w:ascii="Times New Roman" w:hAnsi="Times New Roman" w:cs="Times New Roman"/>
          <w:b/>
          <w:i/>
          <w:sz w:val="24"/>
          <w:szCs w:val="24"/>
          <w:vertAlign w:val="baseline"/>
        </w:rPr>
        <w:t xml:space="preserve">5.9.2 Special </w:t>
      </w:r>
      <w:r w:rsidR="00F4338A">
        <w:rPr>
          <w:rFonts w:ascii="Times New Roman" w:hAnsi="Times New Roman" w:cs="Times New Roman"/>
          <w:b/>
          <w:i/>
          <w:sz w:val="24"/>
          <w:szCs w:val="24"/>
          <w:vertAlign w:val="baseline"/>
        </w:rPr>
        <w:t>Procedures (</w:t>
      </w:r>
      <w:r w:rsidRPr="00172487">
        <w:rPr>
          <w:rFonts w:ascii="Times New Roman" w:hAnsi="Times New Roman" w:cs="Times New Roman"/>
          <w:b/>
          <w:i/>
          <w:sz w:val="24"/>
          <w:szCs w:val="24"/>
          <w:vertAlign w:val="baseline"/>
        </w:rPr>
        <w:t>Rapporteurs</w:t>
      </w:r>
      <w:r w:rsidR="00F4338A">
        <w:rPr>
          <w:rFonts w:ascii="Times New Roman" w:hAnsi="Times New Roman" w:cs="Times New Roman"/>
          <w:b/>
          <w:i/>
          <w:sz w:val="24"/>
          <w:szCs w:val="24"/>
          <w:vertAlign w:val="baseline"/>
        </w:rPr>
        <w:t>)</w:t>
      </w:r>
    </w:p>
    <w:p w14:paraId="2579828C" w14:textId="77777777" w:rsidR="00F4338A" w:rsidRDefault="00F4338A" w:rsidP="00F4338A">
      <w:pPr>
        <w:jc w:val="both"/>
        <w:rPr>
          <w:rFonts w:ascii="Times New Roman" w:eastAsia="Times New Roman" w:hAnsi="Times New Roman" w:cs="Times New Roman"/>
          <w:color w:val="000000"/>
          <w:sz w:val="24"/>
          <w:szCs w:val="24"/>
          <w:shd w:val="clear" w:color="auto" w:fill="FFFFFF"/>
        </w:rPr>
      </w:pPr>
    </w:p>
    <w:p w14:paraId="74895905" w14:textId="6AE87EDC" w:rsidR="00F4338A" w:rsidRDefault="00F4338A" w:rsidP="00DA76A7">
      <w:pPr>
        <w:spacing w:line="480" w:lineRule="auto"/>
        <w:ind w:firstLine="720"/>
        <w:jc w:val="both"/>
        <w:rPr>
          <w:rFonts w:ascii="Times New Roman" w:eastAsia="Times New Roman" w:hAnsi="Times New Roman" w:cs="Times New Roman"/>
          <w:color w:val="000000"/>
          <w:sz w:val="24"/>
          <w:szCs w:val="24"/>
          <w:shd w:val="clear" w:color="auto" w:fill="FFFFFF"/>
        </w:rPr>
      </w:pPr>
      <w:r w:rsidRPr="00212F46">
        <w:rPr>
          <w:rFonts w:ascii="Times New Roman" w:eastAsia="Times New Roman" w:hAnsi="Times New Roman" w:cs="Times New Roman"/>
          <w:color w:val="000000"/>
          <w:sz w:val="24"/>
          <w:szCs w:val="24"/>
          <w:shd w:val="clear" w:color="auto" w:fill="FFFFFF"/>
          <w:vertAlign w:val="baseline"/>
        </w:rPr>
        <w:t>The system of special procedures is a fundamental element of the UN human rights system covering all aspect of human rights; civil, political, economic, social and cultural. Special procedures are independent human rights experts and can be individuals (Special Rapporteurs) or working groups, whose mandate is to report and advise on human rights either thematically or from a country-specific perspective</w:t>
      </w:r>
      <w:r w:rsidR="00212F46">
        <w:rPr>
          <w:rFonts w:ascii="Times New Roman" w:eastAsia="Times New Roman" w:hAnsi="Times New Roman" w:cs="Times New Roman"/>
          <w:color w:val="000000"/>
          <w:sz w:val="24"/>
          <w:szCs w:val="24"/>
          <w:shd w:val="clear" w:color="auto" w:fill="FFFFFF"/>
          <w:vertAlign w:val="baseline"/>
        </w:rPr>
        <w:t>.</w:t>
      </w:r>
      <w:r w:rsidRPr="00212F46">
        <w:rPr>
          <w:rStyle w:val="FootnoteReference"/>
          <w:rFonts w:ascii="Times New Roman" w:eastAsia="Times New Roman" w:hAnsi="Times New Roman" w:cs="Times New Roman"/>
          <w:color w:val="000000"/>
          <w:sz w:val="24"/>
          <w:szCs w:val="24"/>
          <w:shd w:val="clear" w:color="auto" w:fill="FFFFFF"/>
        </w:rPr>
        <w:footnoteReference w:id="978"/>
      </w:r>
      <w:r>
        <w:rPr>
          <w:rFonts w:ascii="Times New Roman" w:eastAsia="Times New Roman" w:hAnsi="Times New Roman" w:cs="Times New Roman"/>
          <w:color w:val="000000"/>
          <w:sz w:val="24"/>
          <w:szCs w:val="24"/>
          <w:shd w:val="clear" w:color="auto" w:fill="FFFFFF"/>
        </w:rPr>
        <w:t xml:space="preserve"> </w:t>
      </w:r>
      <w:r w:rsidRPr="00E41D97">
        <w:rPr>
          <w:rFonts w:ascii="Times New Roman" w:eastAsia="Times New Roman" w:hAnsi="Times New Roman" w:cs="Times New Roman"/>
          <w:color w:val="000000"/>
          <w:sz w:val="24"/>
          <w:szCs w:val="24"/>
          <w:shd w:val="clear" w:color="auto" w:fill="FFFFFF"/>
          <w:vertAlign w:val="baseline"/>
        </w:rPr>
        <w:t>As regards VAW and in particular WAP, there are three relevant Special Rapporteurs who have referred specifically to WAP within their work. These are the Special Rapporteur on VAW,</w:t>
      </w:r>
      <w:r w:rsidR="00555D2A">
        <w:rPr>
          <w:rStyle w:val="FootnoteReference"/>
          <w:rFonts w:ascii="Times New Roman" w:eastAsia="Times New Roman" w:hAnsi="Times New Roman" w:cs="Times New Roman"/>
          <w:color w:val="000000"/>
          <w:sz w:val="24"/>
          <w:szCs w:val="24"/>
          <w:shd w:val="clear" w:color="auto" w:fill="FFFFFF"/>
        </w:rPr>
        <w:footnoteReference w:id="979"/>
      </w:r>
      <w:r w:rsidRPr="00E41D97">
        <w:rPr>
          <w:rFonts w:ascii="Times New Roman" w:eastAsia="Times New Roman" w:hAnsi="Times New Roman" w:cs="Times New Roman"/>
          <w:color w:val="000000"/>
          <w:sz w:val="24"/>
          <w:szCs w:val="24"/>
          <w:shd w:val="clear" w:color="auto" w:fill="FFFFFF"/>
          <w:vertAlign w:val="baseline"/>
        </w:rPr>
        <w:t xml:space="preserve"> Special Rapporteur on Torture</w:t>
      </w:r>
      <w:r w:rsidR="00555D2A">
        <w:rPr>
          <w:rStyle w:val="FootnoteReference"/>
          <w:rFonts w:ascii="Times New Roman" w:eastAsia="Times New Roman" w:hAnsi="Times New Roman" w:cs="Times New Roman"/>
          <w:color w:val="000000"/>
          <w:sz w:val="24"/>
          <w:szCs w:val="24"/>
          <w:shd w:val="clear" w:color="auto" w:fill="FFFFFF"/>
        </w:rPr>
        <w:footnoteReference w:id="980"/>
      </w:r>
      <w:r w:rsidRPr="00E41D97">
        <w:rPr>
          <w:rFonts w:ascii="Times New Roman" w:eastAsia="Times New Roman" w:hAnsi="Times New Roman" w:cs="Times New Roman"/>
          <w:color w:val="000000"/>
          <w:sz w:val="24"/>
          <w:szCs w:val="24"/>
          <w:shd w:val="clear" w:color="auto" w:fill="FFFFFF"/>
          <w:vertAlign w:val="baseline"/>
        </w:rPr>
        <w:t xml:space="preserve"> and the Special Rapporteur on Arbitrary executions.</w:t>
      </w:r>
      <w:r w:rsidR="00555D2A">
        <w:rPr>
          <w:rStyle w:val="FootnoteReference"/>
          <w:rFonts w:ascii="Times New Roman" w:eastAsia="Times New Roman" w:hAnsi="Times New Roman" w:cs="Times New Roman"/>
          <w:color w:val="000000"/>
          <w:sz w:val="24"/>
          <w:szCs w:val="24"/>
          <w:shd w:val="clear" w:color="auto" w:fill="FFFFFF"/>
        </w:rPr>
        <w:footnoteReference w:id="981"/>
      </w:r>
    </w:p>
    <w:p w14:paraId="4403048B" w14:textId="77777777" w:rsidR="00E41D97" w:rsidRDefault="00E41D97" w:rsidP="00E41D97">
      <w:pPr>
        <w:spacing w:line="480" w:lineRule="auto"/>
        <w:ind w:firstLine="360"/>
        <w:jc w:val="both"/>
        <w:rPr>
          <w:rFonts w:ascii="Times New Roman" w:hAnsi="Times New Roman" w:cs="Times New Roman"/>
          <w:sz w:val="24"/>
          <w:szCs w:val="24"/>
          <w:vertAlign w:val="baseline"/>
        </w:rPr>
      </w:pPr>
    </w:p>
    <w:p w14:paraId="3C7779CC" w14:textId="69CEF641" w:rsidR="00F4338A" w:rsidRDefault="00F4338A" w:rsidP="00E41D97">
      <w:pPr>
        <w:spacing w:line="480" w:lineRule="auto"/>
        <w:ind w:firstLine="360"/>
        <w:jc w:val="both"/>
        <w:rPr>
          <w:rFonts w:ascii="Times New Roman" w:hAnsi="Times New Roman" w:cs="Times New Roman"/>
          <w:sz w:val="24"/>
          <w:szCs w:val="24"/>
          <w:vertAlign w:val="baseline"/>
        </w:rPr>
      </w:pPr>
      <w:r w:rsidRPr="00E41D97">
        <w:rPr>
          <w:rFonts w:ascii="Times New Roman" w:hAnsi="Times New Roman" w:cs="Times New Roman"/>
          <w:sz w:val="24"/>
          <w:szCs w:val="24"/>
          <w:vertAlign w:val="baseline"/>
        </w:rPr>
        <w:t>The mandate of the Special Rapporteur on VAW includes the need to request information on the causes and consequences of VAW, recommend measures to eliminate VAW, undertake country visits, submit annual thematic reports and to transmit individual complaints to States regarding alleged cases of VAW</w:t>
      </w:r>
      <w:r w:rsidR="00E41D97">
        <w:rPr>
          <w:rFonts w:ascii="Times New Roman" w:hAnsi="Times New Roman" w:cs="Times New Roman"/>
          <w:sz w:val="24"/>
          <w:szCs w:val="24"/>
          <w:vertAlign w:val="baseline"/>
        </w:rPr>
        <w:t>.</w:t>
      </w:r>
      <w:r w:rsidRPr="00E41D97">
        <w:rPr>
          <w:rStyle w:val="FootnoteReference"/>
          <w:rFonts w:ascii="Times New Roman" w:hAnsi="Times New Roman" w:cs="Times New Roman"/>
          <w:sz w:val="24"/>
          <w:szCs w:val="24"/>
        </w:rPr>
        <w:footnoteReference w:id="982"/>
      </w:r>
      <w:r w:rsidRPr="00E41D97">
        <w:rPr>
          <w:rFonts w:ascii="Times New Roman" w:hAnsi="Times New Roman" w:cs="Times New Roman"/>
          <w:sz w:val="24"/>
          <w:szCs w:val="24"/>
        </w:rPr>
        <w:t xml:space="preserve"> </w:t>
      </w:r>
      <w:r w:rsidR="00E41D97">
        <w:rPr>
          <w:rFonts w:ascii="Times New Roman" w:hAnsi="Times New Roman" w:cs="Times New Roman"/>
          <w:sz w:val="24"/>
          <w:szCs w:val="24"/>
          <w:vertAlign w:val="baseline"/>
        </w:rPr>
        <w:t>As documented in chapter four</w:t>
      </w:r>
      <w:r w:rsidR="00BF708A">
        <w:rPr>
          <w:rFonts w:ascii="Times New Roman" w:hAnsi="Times New Roman" w:cs="Times New Roman"/>
          <w:sz w:val="24"/>
          <w:szCs w:val="24"/>
          <w:vertAlign w:val="baseline"/>
        </w:rPr>
        <w:t>,</w:t>
      </w:r>
      <w:r w:rsidR="00E41D97">
        <w:rPr>
          <w:rStyle w:val="FootnoteReference"/>
          <w:rFonts w:ascii="Times New Roman" w:hAnsi="Times New Roman" w:cs="Times New Roman"/>
          <w:sz w:val="24"/>
          <w:szCs w:val="24"/>
        </w:rPr>
        <w:footnoteReference w:id="983"/>
      </w:r>
      <w:r w:rsidR="00BF708A">
        <w:rPr>
          <w:rFonts w:ascii="Times New Roman" w:hAnsi="Times New Roman" w:cs="Times New Roman"/>
          <w:sz w:val="24"/>
          <w:szCs w:val="24"/>
          <w:vertAlign w:val="baseline"/>
        </w:rPr>
        <w:t xml:space="preserve"> the work of the SR on VAW has been instrumental </w:t>
      </w:r>
      <w:r w:rsidR="00354AF3">
        <w:rPr>
          <w:rFonts w:ascii="Times New Roman" w:hAnsi="Times New Roman" w:cs="Times New Roman"/>
          <w:sz w:val="24"/>
          <w:szCs w:val="24"/>
          <w:vertAlign w:val="baseline"/>
        </w:rPr>
        <w:t>in documenting the prevalence of WAP related violence against women, which has been documented in reports on Ghana, India and PNG. Regrettably there has been no mention of WAP in the SR’s report latest report on Nepal. It is acknowledged that there has been no SR on VAW report on Nepal since 2000 and this was a combined report with Bangladesh and India, focusing on the issue of trafficking of young girls. It is therefore recommended that there needs to be a current SR on VAW report on Nepal, with a focus on the prevalence of WAP and other traditional harmful practices.</w:t>
      </w:r>
    </w:p>
    <w:p w14:paraId="38FFC8A8" w14:textId="77777777" w:rsidR="00354AF3" w:rsidRPr="00E41D97" w:rsidRDefault="00354AF3" w:rsidP="00E41D97">
      <w:pPr>
        <w:spacing w:line="480" w:lineRule="auto"/>
        <w:ind w:firstLine="360"/>
        <w:jc w:val="both"/>
        <w:rPr>
          <w:rFonts w:ascii="Times New Roman" w:hAnsi="Times New Roman" w:cs="Times New Roman"/>
          <w:sz w:val="24"/>
          <w:szCs w:val="24"/>
          <w:vertAlign w:val="baseline"/>
        </w:rPr>
      </w:pPr>
    </w:p>
    <w:p w14:paraId="6850DA9D" w14:textId="4D0BFEAC" w:rsidR="00E044E2" w:rsidRPr="00205013" w:rsidRDefault="00F4338A" w:rsidP="006258DA">
      <w:pPr>
        <w:spacing w:line="480" w:lineRule="auto"/>
        <w:ind w:firstLine="720"/>
        <w:jc w:val="both"/>
        <w:rPr>
          <w:rFonts w:ascii="Times New Roman" w:hAnsi="Times New Roman" w:cs="Times New Roman"/>
          <w:sz w:val="24"/>
          <w:szCs w:val="24"/>
        </w:rPr>
      </w:pPr>
      <w:r w:rsidRPr="003E2FF2">
        <w:rPr>
          <w:rFonts w:ascii="Times New Roman" w:hAnsi="Times New Roman" w:cs="Times New Roman"/>
          <w:sz w:val="24"/>
          <w:szCs w:val="24"/>
          <w:vertAlign w:val="baseline"/>
        </w:rPr>
        <w:t>The SR on torture has produced reports for Nepal (2006),</w:t>
      </w:r>
      <w:r w:rsidRPr="003E2FF2">
        <w:rPr>
          <w:rStyle w:val="FootnoteReference"/>
          <w:rFonts w:ascii="Times New Roman" w:hAnsi="Times New Roman" w:cs="Times New Roman"/>
          <w:sz w:val="24"/>
          <w:szCs w:val="24"/>
        </w:rPr>
        <w:footnoteReference w:id="984"/>
      </w:r>
      <w:r w:rsidRPr="003E2FF2">
        <w:rPr>
          <w:rFonts w:ascii="Times New Roman" w:hAnsi="Times New Roman" w:cs="Times New Roman"/>
          <w:sz w:val="24"/>
          <w:szCs w:val="24"/>
        </w:rPr>
        <w:t xml:space="preserve"> </w:t>
      </w:r>
      <w:r w:rsidRPr="003E2FF2">
        <w:rPr>
          <w:rFonts w:ascii="Times New Roman" w:hAnsi="Times New Roman" w:cs="Times New Roman"/>
          <w:sz w:val="24"/>
          <w:szCs w:val="24"/>
          <w:vertAlign w:val="baseline"/>
        </w:rPr>
        <w:t>Papua New Guinea (2011)</w:t>
      </w:r>
      <w:r w:rsidRPr="003E2FF2">
        <w:rPr>
          <w:rStyle w:val="FootnoteReference"/>
          <w:rFonts w:ascii="Times New Roman" w:hAnsi="Times New Roman" w:cs="Times New Roman"/>
          <w:sz w:val="24"/>
          <w:szCs w:val="24"/>
        </w:rPr>
        <w:footnoteReference w:id="985"/>
      </w:r>
      <w:r w:rsidRPr="003E2FF2">
        <w:rPr>
          <w:rFonts w:ascii="Times New Roman" w:hAnsi="Times New Roman" w:cs="Times New Roman"/>
          <w:sz w:val="24"/>
          <w:szCs w:val="24"/>
        </w:rPr>
        <w:t xml:space="preserve"> </w:t>
      </w:r>
      <w:r w:rsidRPr="003E2FF2">
        <w:rPr>
          <w:rFonts w:ascii="Times New Roman" w:hAnsi="Times New Roman" w:cs="Times New Roman"/>
          <w:sz w:val="24"/>
          <w:szCs w:val="24"/>
          <w:vertAlign w:val="baseline"/>
        </w:rPr>
        <w:t>and Ghana (2014).</w:t>
      </w:r>
      <w:r w:rsidRPr="003E2FF2">
        <w:rPr>
          <w:rStyle w:val="FootnoteReference"/>
          <w:rFonts w:ascii="Times New Roman" w:hAnsi="Times New Roman" w:cs="Times New Roman"/>
          <w:sz w:val="24"/>
          <w:szCs w:val="24"/>
        </w:rPr>
        <w:footnoteReference w:id="986"/>
      </w:r>
      <w:r w:rsidRPr="003E2FF2">
        <w:rPr>
          <w:rFonts w:ascii="Times New Roman" w:hAnsi="Times New Roman" w:cs="Times New Roman"/>
          <w:sz w:val="24"/>
          <w:szCs w:val="24"/>
        </w:rPr>
        <w:t xml:space="preserve"> </w:t>
      </w:r>
      <w:r w:rsidRPr="003E2FF2">
        <w:rPr>
          <w:rFonts w:ascii="Times New Roman" w:hAnsi="Times New Roman" w:cs="Times New Roman"/>
          <w:sz w:val="24"/>
          <w:szCs w:val="24"/>
          <w:vertAlign w:val="baseline"/>
        </w:rPr>
        <w:t>Despite placing a request in 1993 to visit India, there h</w:t>
      </w:r>
      <w:r w:rsidR="00D00BA9">
        <w:rPr>
          <w:rFonts w:ascii="Times New Roman" w:hAnsi="Times New Roman" w:cs="Times New Roman"/>
          <w:sz w:val="24"/>
          <w:szCs w:val="24"/>
          <w:vertAlign w:val="baseline"/>
        </w:rPr>
        <w:t>as been no response. A</w:t>
      </w:r>
      <w:r w:rsidRPr="003E2FF2">
        <w:rPr>
          <w:rFonts w:ascii="Times New Roman" w:hAnsi="Times New Roman" w:cs="Times New Roman"/>
          <w:sz w:val="24"/>
          <w:szCs w:val="24"/>
          <w:vertAlign w:val="baseline"/>
        </w:rPr>
        <w:t>s stated by Juan E. Mendez, the current SR on torture, ‘in the case of India, we have been asking to go to India for the last 25 years repeating our requests. We get no answer whatsoever</w:t>
      </w:r>
      <w:r w:rsidR="00D00BA9">
        <w:rPr>
          <w:rFonts w:ascii="Times New Roman" w:hAnsi="Times New Roman" w:cs="Times New Roman"/>
          <w:sz w:val="24"/>
          <w:szCs w:val="24"/>
          <w:vertAlign w:val="baseline"/>
        </w:rPr>
        <w:t>.’</w:t>
      </w:r>
      <w:r w:rsidRPr="003E2FF2">
        <w:rPr>
          <w:rStyle w:val="FootnoteReference"/>
          <w:rFonts w:ascii="Times New Roman" w:hAnsi="Times New Roman" w:cs="Times New Roman"/>
          <w:sz w:val="24"/>
          <w:szCs w:val="24"/>
        </w:rPr>
        <w:footnoteReference w:id="987"/>
      </w:r>
      <w:r w:rsidRPr="003E2FF2">
        <w:rPr>
          <w:rFonts w:ascii="Times New Roman" w:hAnsi="Times New Roman" w:cs="Times New Roman"/>
          <w:sz w:val="24"/>
          <w:szCs w:val="24"/>
        </w:rPr>
        <w:t xml:space="preserve"> </w:t>
      </w:r>
      <w:r w:rsidRPr="003E2FF2">
        <w:rPr>
          <w:rFonts w:ascii="Times New Roman" w:hAnsi="Times New Roman" w:cs="Times New Roman"/>
          <w:sz w:val="24"/>
          <w:szCs w:val="24"/>
          <w:vertAlign w:val="baseline"/>
        </w:rPr>
        <w:t xml:space="preserve">Within these reports, </w:t>
      </w:r>
      <w:r w:rsidR="00293278">
        <w:rPr>
          <w:rFonts w:ascii="Times New Roman" w:hAnsi="Times New Roman" w:cs="Times New Roman"/>
          <w:sz w:val="24"/>
          <w:szCs w:val="24"/>
          <w:vertAlign w:val="baseline"/>
        </w:rPr>
        <w:t>as documented in chapter four,</w:t>
      </w:r>
      <w:r w:rsidR="00293278">
        <w:rPr>
          <w:rStyle w:val="FootnoteReference"/>
          <w:rFonts w:ascii="Times New Roman" w:hAnsi="Times New Roman" w:cs="Times New Roman"/>
          <w:sz w:val="24"/>
          <w:szCs w:val="24"/>
        </w:rPr>
        <w:footnoteReference w:id="988"/>
      </w:r>
      <w:r w:rsidR="00293278">
        <w:rPr>
          <w:rFonts w:ascii="Times New Roman" w:hAnsi="Times New Roman" w:cs="Times New Roman"/>
          <w:sz w:val="24"/>
          <w:szCs w:val="24"/>
          <w:vertAlign w:val="baseline"/>
        </w:rPr>
        <w:t xml:space="preserve"> </w:t>
      </w:r>
      <w:r w:rsidRPr="003E2FF2">
        <w:rPr>
          <w:rFonts w:ascii="Times New Roman" w:hAnsi="Times New Roman" w:cs="Times New Roman"/>
          <w:sz w:val="24"/>
          <w:szCs w:val="24"/>
          <w:vertAlign w:val="baseline"/>
        </w:rPr>
        <w:t>there is a significant reference to WAP as regards PNG, with a slight mention of the witch-camps in Ghana, followed by an invitation to the SR on VAW to follow up on practices in witch-camps, due to the SR on torture being unable to address this in his current report</w:t>
      </w:r>
      <w:r w:rsidR="00205013">
        <w:rPr>
          <w:rFonts w:ascii="Times New Roman" w:hAnsi="Times New Roman" w:cs="Times New Roman"/>
          <w:sz w:val="24"/>
          <w:szCs w:val="24"/>
          <w:vertAlign w:val="baseline"/>
        </w:rPr>
        <w:t>.</w:t>
      </w:r>
      <w:r w:rsidRPr="003E2FF2">
        <w:rPr>
          <w:rStyle w:val="FootnoteReference"/>
          <w:rFonts w:ascii="Times New Roman" w:hAnsi="Times New Roman" w:cs="Times New Roman"/>
          <w:sz w:val="24"/>
          <w:szCs w:val="24"/>
        </w:rPr>
        <w:footnoteReference w:id="989"/>
      </w:r>
      <w:r w:rsidRPr="003E2FF2">
        <w:rPr>
          <w:rFonts w:ascii="Times New Roman" w:hAnsi="Times New Roman" w:cs="Times New Roman"/>
          <w:sz w:val="24"/>
          <w:szCs w:val="24"/>
        </w:rPr>
        <w:t xml:space="preserve"> </w:t>
      </w:r>
      <w:r w:rsidRPr="003E2FF2">
        <w:rPr>
          <w:rFonts w:ascii="Times New Roman" w:hAnsi="Times New Roman" w:cs="Times New Roman"/>
          <w:sz w:val="24"/>
          <w:szCs w:val="24"/>
          <w:vertAlign w:val="baseline"/>
        </w:rPr>
        <w:t>There is no mention of WAP within the report on Nepal</w:t>
      </w:r>
      <w:r w:rsidR="006258DA">
        <w:rPr>
          <w:rFonts w:ascii="Times New Roman" w:hAnsi="Times New Roman" w:cs="Times New Roman"/>
          <w:sz w:val="24"/>
          <w:szCs w:val="24"/>
          <w:vertAlign w:val="baseline"/>
        </w:rPr>
        <w:t>.</w:t>
      </w:r>
    </w:p>
    <w:p w14:paraId="228A1355" w14:textId="77777777" w:rsidR="00F4338A" w:rsidRPr="003E2FF2" w:rsidRDefault="00F4338A" w:rsidP="00F4338A">
      <w:pPr>
        <w:spacing w:line="360" w:lineRule="auto"/>
        <w:jc w:val="both"/>
        <w:rPr>
          <w:rFonts w:ascii="Times New Roman" w:hAnsi="Times New Roman" w:cs="Times New Roman"/>
          <w:b/>
          <w:sz w:val="24"/>
          <w:szCs w:val="24"/>
          <w:u w:val="single"/>
        </w:rPr>
      </w:pPr>
    </w:p>
    <w:p w14:paraId="10C99B6B" w14:textId="4D729816" w:rsidR="00493B97" w:rsidRPr="00DA76A7" w:rsidRDefault="00F4338A" w:rsidP="00DA76A7">
      <w:pPr>
        <w:spacing w:line="480" w:lineRule="auto"/>
        <w:ind w:firstLine="720"/>
        <w:jc w:val="both"/>
        <w:rPr>
          <w:rFonts w:ascii="Times New Roman" w:hAnsi="Times New Roman" w:cs="Times New Roman"/>
          <w:sz w:val="24"/>
          <w:szCs w:val="24"/>
          <w:vertAlign w:val="baseline"/>
        </w:rPr>
      </w:pPr>
      <w:r w:rsidRPr="00205013">
        <w:rPr>
          <w:rFonts w:ascii="Times New Roman" w:hAnsi="Times New Roman" w:cs="Times New Roman"/>
          <w:sz w:val="24"/>
          <w:szCs w:val="24"/>
          <w:vertAlign w:val="baseline"/>
        </w:rPr>
        <w:t>The mandate for the SR on extrajudicial, summary or arbitrary executions is to make observations on the situation of the right to life in specific countries.</w:t>
      </w:r>
      <w:r w:rsidR="00192829">
        <w:rPr>
          <w:rFonts w:ascii="Times New Roman" w:hAnsi="Times New Roman" w:cs="Times New Roman"/>
          <w:sz w:val="24"/>
          <w:szCs w:val="24"/>
          <w:vertAlign w:val="baseline"/>
        </w:rPr>
        <w:t xml:space="preserve"> The SR on executions has produced reports on India (2012)</w:t>
      </w:r>
      <w:r w:rsidR="00192829">
        <w:rPr>
          <w:rStyle w:val="FootnoteReference"/>
          <w:rFonts w:ascii="Times New Roman" w:hAnsi="Times New Roman" w:cs="Times New Roman"/>
          <w:sz w:val="24"/>
          <w:szCs w:val="24"/>
        </w:rPr>
        <w:footnoteReference w:id="990"/>
      </w:r>
      <w:r w:rsidR="00192829">
        <w:rPr>
          <w:rFonts w:ascii="Times New Roman" w:hAnsi="Times New Roman" w:cs="Times New Roman"/>
          <w:sz w:val="24"/>
          <w:szCs w:val="24"/>
          <w:vertAlign w:val="baseline"/>
        </w:rPr>
        <w:t xml:space="preserve"> and PNG (2014)</w:t>
      </w:r>
      <w:r w:rsidR="0001268D">
        <w:rPr>
          <w:rFonts w:ascii="Times New Roman" w:hAnsi="Times New Roman" w:cs="Times New Roman"/>
          <w:sz w:val="24"/>
          <w:szCs w:val="24"/>
          <w:vertAlign w:val="baseline"/>
        </w:rPr>
        <w:t>,</w:t>
      </w:r>
      <w:r w:rsidR="00192829">
        <w:rPr>
          <w:rStyle w:val="FootnoteReference"/>
          <w:rFonts w:ascii="Times New Roman" w:hAnsi="Times New Roman" w:cs="Times New Roman"/>
          <w:sz w:val="24"/>
          <w:szCs w:val="24"/>
        </w:rPr>
        <w:footnoteReference w:id="991"/>
      </w:r>
      <w:r w:rsidR="0001268D">
        <w:rPr>
          <w:rFonts w:ascii="Times New Roman" w:hAnsi="Times New Roman" w:cs="Times New Roman"/>
          <w:sz w:val="24"/>
          <w:szCs w:val="24"/>
          <w:vertAlign w:val="baseline"/>
        </w:rPr>
        <w:t xml:space="preserve"> both of which have sections dedicated to the prevalence of WAP within these states.</w:t>
      </w:r>
      <w:r w:rsidR="002F1037">
        <w:rPr>
          <w:rStyle w:val="FootnoteReference"/>
          <w:rFonts w:ascii="Times New Roman" w:hAnsi="Times New Roman" w:cs="Times New Roman"/>
          <w:sz w:val="24"/>
          <w:szCs w:val="24"/>
        </w:rPr>
        <w:footnoteReference w:id="992"/>
      </w:r>
      <w:r w:rsidR="009C19C1">
        <w:rPr>
          <w:rFonts w:ascii="Times New Roman" w:hAnsi="Times New Roman" w:cs="Times New Roman"/>
          <w:sz w:val="24"/>
          <w:szCs w:val="24"/>
          <w:vertAlign w:val="baseline"/>
        </w:rPr>
        <w:t xml:space="preserve"> </w:t>
      </w:r>
      <w:r w:rsidRPr="00205013">
        <w:rPr>
          <w:rFonts w:ascii="Times New Roman" w:hAnsi="Times New Roman" w:cs="Times New Roman"/>
          <w:sz w:val="24"/>
          <w:szCs w:val="24"/>
          <w:vertAlign w:val="baseline"/>
        </w:rPr>
        <w:t>The SR on executions last visited Nepal in 2001</w:t>
      </w:r>
      <w:r w:rsidR="00B754E2">
        <w:rPr>
          <w:rFonts w:ascii="Times New Roman" w:hAnsi="Times New Roman" w:cs="Times New Roman"/>
          <w:sz w:val="24"/>
          <w:szCs w:val="24"/>
          <w:vertAlign w:val="baseline"/>
        </w:rPr>
        <w:t>;</w:t>
      </w:r>
      <w:r w:rsidRPr="003E2FF2">
        <w:rPr>
          <w:rStyle w:val="FootnoteReference"/>
          <w:rFonts w:ascii="Times New Roman" w:hAnsi="Times New Roman" w:cs="Times New Roman"/>
          <w:sz w:val="24"/>
          <w:szCs w:val="24"/>
        </w:rPr>
        <w:footnoteReference w:id="993"/>
      </w:r>
      <w:r w:rsidRPr="003E2FF2">
        <w:rPr>
          <w:rFonts w:ascii="Times New Roman" w:hAnsi="Times New Roman" w:cs="Times New Roman"/>
          <w:sz w:val="24"/>
          <w:szCs w:val="24"/>
        </w:rPr>
        <w:t xml:space="preserve"> </w:t>
      </w:r>
      <w:r w:rsidRPr="00205013">
        <w:rPr>
          <w:rFonts w:ascii="Times New Roman" w:hAnsi="Times New Roman" w:cs="Times New Roman"/>
          <w:sz w:val="24"/>
          <w:szCs w:val="24"/>
          <w:vertAlign w:val="baseline"/>
        </w:rPr>
        <w:t>however, there is no specific reference to WAP in this report. As regards Ghana, there are no reports on extrajudicial, summary or arbitrary executions. However, in 2009, the previous SR on extrajudicial, summary or arbitrary executions, Philip Alston, produced a generic report, ‘Promotion and Protection of All Human Rights, Civil Political, Economic, Social and Cultural Rights, including the Right to Development,’</w:t>
      </w:r>
      <w:r w:rsidRPr="003E2FF2">
        <w:rPr>
          <w:rStyle w:val="FootnoteReference"/>
          <w:rFonts w:ascii="Times New Roman" w:hAnsi="Times New Roman" w:cs="Times New Roman"/>
          <w:sz w:val="24"/>
          <w:szCs w:val="24"/>
        </w:rPr>
        <w:footnoteReference w:id="994"/>
      </w:r>
      <w:r w:rsidRPr="00205013">
        <w:rPr>
          <w:rFonts w:ascii="Times New Roman" w:hAnsi="Times New Roman" w:cs="Times New Roman"/>
          <w:sz w:val="24"/>
          <w:szCs w:val="24"/>
          <w:vertAlign w:val="baseline"/>
        </w:rPr>
        <w:t xml:space="preserve"> which documented the killing of witches as an ‘issue of particular importance.’</w:t>
      </w:r>
      <w:r w:rsidRPr="003E2FF2">
        <w:rPr>
          <w:rStyle w:val="FootnoteReference"/>
          <w:rFonts w:ascii="Times New Roman" w:hAnsi="Times New Roman" w:cs="Times New Roman"/>
          <w:sz w:val="24"/>
          <w:szCs w:val="24"/>
        </w:rPr>
        <w:footnoteReference w:id="995"/>
      </w:r>
      <w:r w:rsidRPr="003E2FF2">
        <w:rPr>
          <w:rFonts w:ascii="Times New Roman" w:hAnsi="Times New Roman" w:cs="Times New Roman"/>
          <w:sz w:val="24"/>
          <w:szCs w:val="24"/>
        </w:rPr>
        <w:t xml:space="preserve"> </w:t>
      </w:r>
      <w:r w:rsidR="007B23FD">
        <w:rPr>
          <w:rFonts w:ascii="Times New Roman" w:hAnsi="Times New Roman" w:cs="Times New Roman"/>
          <w:sz w:val="24"/>
          <w:szCs w:val="24"/>
          <w:vertAlign w:val="baseline"/>
        </w:rPr>
        <w:t>In</w:t>
      </w:r>
      <w:r w:rsidRPr="00205013">
        <w:rPr>
          <w:rFonts w:ascii="Times New Roman" w:hAnsi="Times New Roman" w:cs="Times New Roman"/>
          <w:sz w:val="24"/>
          <w:szCs w:val="24"/>
          <w:vertAlign w:val="baseline"/>
        </w:rPr>
        <w:t xml:space="preserve"> this report, all four countries, India, Nepal, Ghana and PNG are referred to within the paragraph headed ‘Human rights, extrajudicial executions and witchcraft.</w:t>
      </w:r>
      <w:r w:rsidRPr="003E2FF2">
        <w:rPr>
          <w:rFonts w:ascii="Times New Roman" w:hAnsi="Times New Roman" w:cs="Times New Roman"/>
          <w:sz w:val="24"/>
          <w:szCs w:val="24"/>
        </w:rPr>
        <w:t>’</w:t>
      </w:r>
      <w:r w:rsidRPr="003E2FF2">
        <w:rPr>
          <w:rStyle w:val="FootnoteReference"/>
          <w:rFonts w:ascii="Times New Roman" w:hAnsi="Times New Roman" w:cs="Times New Roman"/>
          <w:sz w:val="24"/>
          <w:szCs w:val="24"/>
        </w:rPr>
        <w:footnoteReference w:id="996"/>
      </w:r>
      <w:r w:rsidRPr="003E2FF2">
        <w:rPr>
          <w:rFonts w:ascii="Times New Roman" w:hAnsi="Times New Roman" w:cs="Times New Roman"/>
          <w:sz w:val="24"/>
          <w:szCs w:val="24"/>
        </w:rPr>
        <w:t xml:space="preserve"> </w:t>
      </w:r>
      <w:r w:rsidRPr="00205013">
        <w:rPr>
          <w:rFonts w:ascii="Times New Roman" w:hAnsi="Times New Roman" w:cs="Times New Roman"/>
          <w:sz w:val="24"/>
          <w:szCs w:val="24"/>
          <w:vertAlign w:val="baseline"/>
        </w:rPr>
        <w:t>Within this section, Alston acknowledges that, ‘the relevance of the practice of witchcraft to human rights is clearly a complex matter, and it is not possible to do justice to it within the confines of a report of this nature.’</w:t>
      </w:r>
      <w:r w:rsidRPr="003E2FF2">
        <w:rPr>
          <w:rStyle w:val="FootnoteReference"/>
          <w:rFonts w:ascii="Times New Roman" w:hAnsi="Times New Roman" w:cs="Times New Roman"/>
          <w:sz w:val="24"/>
          <w:szCs w:val="24"/>
        </w:rPr>
        <w:footnoteReference w:id="997"/>
      </w:r>
      <w:r w:rsidRPr="003E2FF2">
        <w:rPr>
          <w:rFonts w:ascii="Times New Roman" w:hAnsi="Times New Roman" w:cs="Times New Roman"/>
          <w:sz w:val="24"/>
          <w:szCs w:val="24"/>
        </w:rPr>
        <w:t xml:space="preserve"> </w:t>
      </w:r>
      <w:r w:rsidRPr="00205013">
        <w:rPr>
          <w:rFonts w:ascii="Times New Roman" w:hAnsi="Times New Roman" w:cs="Times New Roman"/>
          <w:sz w:val="24"/>
          <w:szCs w:val="24"/>
          <w:vertAlign w:val="baseline"/>
        </w:rPr>
        <w:t>In his concluding remarks on the issue of WAP, Alston affirms that, internationally, the number of ‘so-called witches’ that are persecuted is high, involving ‘serious and systematic forms of discrimination, especially on the ground of gender, age and disability.’</w:t>
      </w:r>
      <w:r w:rsidRPr="00205013">
        <w:rPr>
          <w:rStyle w:val="FootnoteReference"/>
          <w:rFonts w:ascii="Times New Roman" w:hAnsi="Times New Roman" w:cs="Times New Roman"/>
          <w:sz w:val="24"/>
          <w:szCs w:val="24"/>
        </w:rPr>
        <w:footnoteReference w:id="998"/>
      </w:r>
      <w:r w:rsidRPr="00205013">
        <w:rPr>
          <w:rFonts w:ascii="Times New Roman" w:hAnsi="Times New Roman" w:cs="Times New Roman"/>
          <w:sz w:val="24"/>
          <w:szCs w:val="24"/>
        </w:rPr>
        <w:t xml:space="preserve"> </w:t>
      </w:r>
      <w:r w:rsidRPr="00205013">
        <w:rPr>
          <w:rFonts w:ascii="Times New Roman" w:hAnsi="Times New Roman" w:cs="Times New Roman"/>
          <w:sz w:val="24"/>
          <w:szCs w:val="24"/>
          <w:vertAlign w:val="baseline"/>
        </w:rPr>
        <w:t>Moreover the report specifies that there has been a sporadic and limited response from international human rights bodies, and the ‘complexity of the challenges has tended to be glossed over.’</w:t>
      </w:r>
      <w:r w:rsidRPr="007B23FD">
        <w:rPr>
          <w:rStyle w:val="FootnoteReference"/>
          <w:rFonts w:ascii="Times New Roman" w:hAnsi="Times New Roman" w:cs="Times New Roman"/>
          <w:sz w:val="24"/>
          <w:szCs w:val="24"/>
        </w:rPr>
        <w:footnoteReference w:id="999"/>
      </w:r>
      <w:r w:rsidRPr="00205013">
        <w:rPr>
          <w:rFonts w:ascii="Times New Roman" w:hAnsi="Times New Roman" w:cs="Times New Roman"/>
          <w:sz w:val="24"/>
          <w:szCs w:val="24"/>
          <w:vertAlign w:val="baseline"/>
        </w:rPr>
        <w:t xml:space="preserve"> Nationally, Alston states that ‘legal approaches vary greatly,</w:t>
      </w:r>
      <w:r w:rsidRPr="00205013">
        <w:rPr>
          <w:rFonts w:ascii="Times New Roman" w:hAnsi="Times New Roman" w:cs="Times New Roman"/>
          <w:sz w:val="24"/>
          <w:szCs w:val="24"/>
        </w:rPr>
        <w:t>’</w:t>
      </w:r>
      <w:r w:rsidRPr="00205013">
        <w:rPr>
          <w:rStyle w:val="FootnoteReference"/>
          <w:rFonts w:ascii="Times New Roman" w:hAnsi="Times New Roman" w:cs="Times New Roman"/>
          <w:sz w:val="24"/>
          <w:szCs w:val="24"/>
        </w:rPr>
        <w:footnoteReference w:id="1000"/>
      </w:r>
      <w:r w:rsidRPr="00205013">
        <w:rPr>
          <w:rFonts w:ascii="Times New Roman" w:hAnsi="Times New Roman" w:cs="Times New Roman"/>
          <w:sz w:val="24"/>
          <w:szCs w:val="24"/>
        </w:rPr>
        <w:t xml:space="preserve"> </w:t>
      </w:r>
      <w:r w:rsidRPr="00205013">
        <w:rPr>
          <w:rFonts w:ascii="Times New Roman" w:hAnsi="Times New Roman" w:cs="Times New Roman"/>
          <w:sz w:val="24"/>
          <w:szCs w:val="24"/>
          <w:vertAlign w:val="baseline"/>
        </w:rPr>
        <w:t>with those States that provide legislation prohibiting WAP, utilising such legislation irregularly. In those States where there is no legislation in place, traditional or customary law come into play, with approaches that vary dramatically from mediation to deathly punishments</w:t>
      </w:r>
      <w:r w:rsidR="00DA76A7">
        <w:rPr>
          <w:rFonts w:ascii="Times New Roman" w:hAnsi="Times New Roman" w:cs="Times New Roman"/>
          <w:sz w:val="24"/>
          <w:szCs w:val="24"/>
          <w:vertAlign w:val="baseline"/>
        </w:rPr>
        <w:t>.</w:t>
      </w:r>
      <w:r w:rsidRPr="00205013">
        <w:rPr>
          <w:rStyle w:val="FootnoteReference"/>
          <w:rFonts w:ascii="Times New Roman" w:hAnsi="Times New Roman" w:cs="Times New Roman"/>
          <w:sz w:val="24"/>
          <w:szCs w:val="24"/>
        </w:rPr>
        <w:footnoteReference w:id="1001"/>
      </w:r>
    </w:p>
    <w:p w14:paraId="640BD6F8" w14:textId="77777777" w:rsidR="00DA76A7" w:rsidRDefault="00DA76A7" w:rsidP="001C6724">
      <w:pPr>
        <w:spacing w:line="480" w:lineRule="auto"/>
        <w:jc w:val="both"/>
        <w:rPr>
          <w:rFonts w:ascii="Times New Roman" w:hAnsi="Times New Roman" w:cs="Times New Roman"/>
          <w:b/>
          <w:sz w:val="24"/>
          <w:szCs w:val="24"/>
          <w:vertAlign w:val="baseline"/>
        </w:rPr>
      </w:pPr>
      <w:r>
        <w:rPr>
          <w:rFonts w:ascii="Times New Roman" w:hAnsi="Times New Roman" w:cs="Times New Roman"/>
          <w:b/>
          <w:sz w:val="24"/>
          <w:szCs w:val="24"/>
          <w:vertAlign w:val="baseline"/>
        </w:rPr>
        <w:tab/>
      </w:r>
    </w:p>
    <w:p w14:paraId="27F2D7F5" w14:textId="712FC6E7" w:rsidR="00B754E2" w:rsidRPr="000A6308" w:rsidRDefault="00DA76A7" w:rsidP="000A6308">
      <w:pPr>
        <w:spacing w:line="480" w:lineRule="auto"/>
        <w:ind w:firstLine="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The acknowledgment of WAP by the SRs is definitely encouraging, particularly the recognition by Alston of WAP as a systemati</w:t>
      </w:r>
      <w:r w:rsidR="007A1779">
        <w:rPr>
          <w:rFonts w:ascii="Times New Roman" w:hAnsi="Times New Roman" w:cs="Times New Roman"/>
          <w:sz w:val="24"/>
          <w:szCs w:val="24"/>
          <w:vertAlign w:val="baseline"/>
        </w:rPr>
        <w:t>c, complex, form of gender discrimination</w:t>
      </w:r>
      <w:r w:rsidR="00170AE3">
        <w:rPr>
          <w:rFonts w:ascii="Times New Roman" w:hAnsi="Times New Roman" w:cs="Times New Roman"/>
          <w:sz w:val="24"/>
          <w:szCs w:val="24"/>
          <w:vertAlign w:val="baseline"/>
        </w:rPr>
        <w:t xml:space="preserve"> and, moreover, the recognition that the international community is not doing enough to tackle the issue.</w:t>
      </w:r>
      <w:r w:rsidR="00A777A9">
        <w:rPr>
          <w:rFonts w:ascii="Times New Roman" w:hAnsi="Times New Roman" w:cs="Times New Roman"/>
          <w:sz w:val="24"/>
          <w:szCs w:val="24"/>
          <w:vertAlign w:val="baseline"/>
        </w:rPr>
        <w:t xml:space="preserve"> However, whilst Alston has highlighted, within a non-country specific report, the prevalence of WAP in all four states, there are no SR reports on Nepal that specifically refer to the prevalence of WAP within the state. It is suggested that there is the need for the appointment of a SR with a specific mandate focusing on harmful, traditional cultural practices, in order to d</w:t>
      </w:r>
      <w:r w:rsidR="00D617F7">
        <w:rPr>
          <w:rFonts w:ascii="Times New Roman" w:hAnsi="Times New Roman" w:cs="Times New Roman"/>
          <w:sz w:val="24"/>
          <w:szCs w:val="24"/>
          <w:vertAlign w:val="baseline"/>
        </w:rPr>
        <w:t xml:space="preserve">eal specifically with the issue </w:t>
      </w:r>
      <w:r w:rsidR="00A777A9">
        <w:rPr>
          <w:rFonts w:ascii="Times New Roman" w:hAnsi="Times New Roman" w:cs="Times New Roman"/>
          <w:sz w:val="24"/>
          <w:szCs w:val="24"/>
          <w:vertAlign w:val="baseline"/>
        </w:rPr>
        <w:t xml:space="preserve">of WAP, amongst other harmful practices, and to ensure consistency throughout </w:t>
      </w:r>
      <w:r w:rsidR="00ED70EB">
        <w:rPr>
          <w:rFonts w:ascii="Times New Roman" w:hAnsi="Times New Roman" w:cs="Times New Roman"/>
          <w:sz w:val="24"/>
          <w:szCs w:val="24"/>
          <w:vertAlign w:val="baseline"/>
        </w:rPr>
        <w:t xml:space="preserve">future </w:t>
      </w:r>
      <w:r w:rsidR="00A777A9">
        <w:rPr>
          <w:rFonts w:ascii="Times New Roman" w:hAnsi="Times New Roman" w:cs="Times New Roman"/>
          <w:sz w:val="24"/>
          <w:szCs w:val="24"/>
          <w:vertAlign w:val="baseline"/>
        </w:rPr>
        <w:t xml:space="preserve">country reports. </w:t>
      </w:r>
    </w:p>
    <w:p w14:paraId="62CF9EDC" w14:textId="77777777" w:rsidR="00B754E2" w:rsidRDefault="00B754E2" w:rsidP="00A005CF">
      <w:pPr>
        <w:spacing w:line="480" w:lineRule="auto"/>
        <w:jc w:val="both"/>
        <w:rPr>
          <w:rFonts w:ascii="Times New Roman" w:hAnsi="Times New Roman" w:cs="Times New Roman"/>
          <w:b/>
          <w:sz w:val="24"/>
          <w:szCs w:val="24"/>
          <w:u w:val="single"/>
          <w:vertAlign w:val="baseline"/>
        </w:rPr>
      </w:pPr>
    </w:p>
    <w:p w14:paraId="1F215F29" w14:textId="6B96CFFA" w:rsidR="001C6724" w:rsidRPr="001C6724" w:rsidRDefault="007D7209" w:rsidP="00A005CF">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5</w:t>
      </w:r>
      <w:r w:rsidR="00A751D9">
        <w:rPr>
          <w:rFonts w:ascii="Times New Roman" w:hAnsi="Times New Roman" w:cs="Times New Roman"/>
          <w:b/>
          <w:sz w:val="24"/>
          <w:szCs w:val="24"/>
          <w:u w:val="single"/>
          <w:vertAlign w:val="baseline"/>
        </w:rPr>
        <w:t xml:space="preserve">.10 </w:t>
      </w:r>
      <w:r w:rsidR="00A751D9">
        <w:rPr>
          <w:rFonts w:ascii="Times New Roman" w:hAnsi="Times New Roman" w:cs="Times New Roman"/>
          <w:b/>
          <w:sz w:val="24"/>
          <w:szCs w:val="24"/>
          <w:u w:val="single"/>
          <w:vertAlign w:val="baseline"/>
        </w:rPr>
        <w:tab/>
      </w:r>
      <w:r w:rsidR="001C4397">
        <w:rPr>
          <w:rFonts w:ascii="Times New Roman" w:hAnsi="Times New Roman" w:cs="Times New Roman"/>
          <w:b/>
          <w:sz w:val="24"/>
          <w:szCs w:val="24"/>
          <w:u w:val="single"/>
          <w:vertAlign w:val="baseline"/>
        </w:rPr>
        <w:t>UNIVERSAL PERIODIC REVIEW</w:t>
      </w:r>
    </w:p>
    <w:p w14:paraId="36F1C84A" w14:textId="77777777" w:rsidR="001C6724" w:rsidRPr="001C6724" w:rsidRDefault="001C6724" w:rsidP="0047256E">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The Universal Periodic Review (UPR) is a unique mechanism, based upon equal treatment for all States, which involves a periodic review of human rights records in all UN Member States. The UPR provides States with the opportunity to show how they have improved human rights within their countries and what action has been taken to overcome any issues. Thus, the UPR is designed to ‘prompt, support and expand the promotion and protection of human rights on the ground,’</w:t>
      </w:r>
      <w:r w:rsidRPr="001C6724">
        <w:rPr>
          <w:rFonts w:ascii="Times New Roman" w:hAnsi="Times New Roman" w:cs="Times New Roman"/>
          <w:sz w:val="24"/>
          <w:szCs w:val="24"/>
        </w:rPr>
        <w:footnoteReference w:id="1002"/>
      </w:r>
      <w:r w:rsidRPr="001C6724">
        <w:rPr>
          <w:rFonts w:ascii="Times New Roman" w:hAnsi="Times New Roman" w:cs="Times New Roman"/>
          <w:sz w:val="24"/>
          <w:szCs w:val="24"/>
          <w:vertAlign w:val="baseline"/>
        </w:rPr>
        <w:t xml:space="preserve"> assessing the extent to which States fully respect their human rights obligations, whilst providing technical assistance to States, where necessary, and sharing ‘best practices’ of human rights amongst States. Reviews by the UPR are done in two cycles. The first cycle reviews all UN Member States with forty-eight states being reviewed annually, split between three working group sessions, throughout that year. The second cycle, which began in May 2012, examines the human rights situation in States since their last review, assessing the level of implementation of previous recommendations. Thus, under the UPR, all States are reviewed on their human rights record every four and a half years.</w:t>
      </w:r>
    </w:p>
    <w:p w14:paraId="749D9ABE"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5D465F63" w14:textId="3CC2AC25" w:rsidR="001C6724" w:rsidRPr="00C90187" w:rsidRDefault="007D7209" w:rsidP="00D50834">
      <w:pPr>
        <w:spacing w:line="480" w:lineRule="auto"/>
        <w:jc w:val="both"/>
        <w:rPr>
          <w:rFonts w:ascii="Times New Roman" w:hAnsi="Times New Roman" w:cs="Times New Roman"/>
          <w:b/>
          <w:i/>
          <w:sz w:val="24"/>
          <w:szCs w:val="24"/>
          <w:vertAlign w:val="baseline"/>
        </w:rPr>
      </w:pPr>
      <w:r>
        <w:rPr>
          <w:rFonts w:ascii="Times New Roman" w:hAnsi="Times New Roman" w:cs="Times New Roman"/>
          <w:b/>
          <w:i/>
          <w:sz w:val="24"/>
          <w:szCs w:val="24"/>
          <w:vertAlign w:val="baseline"/>
        </w:rPr>
        <w:t>5.10</w:t>
      </w:r>
      <w:r w:rsidR="00D50834" w:rsidRPr="00C90187">
        <w:rPr>
          <w:rFonts w:ascii="Times New Roman" w:hAnsi="Times New Roman" w:cs="Times New Roman"/>
          <w:b/>
          <w:i/>
          <w:sz w:val="24"/>
          <w:szCs w:val="24"/>
          <w:vertAlign w:val="baseline"/>
        </w:rPr>
        <w:t xml:space="preserve">.1 </w:t>
      </w:r>
      <w:r w:rsidR="001C6724" w:rsidRPr="00C90187">
        <w:rPr>
          <w:rFonts w:ascii="Times New Roman" w:hAnsi="Times New Roman" w:cs="Times New Roman"/>
          <w:b/>
          <w:i/>
          <w:sz w:val="24"/>
          <w:szCs w:val="24"/>
          <w:vertAlign w:val="baseline"/>
        </w:rPr>
        <w:t>UPR Country Reports</w:t>
      </w:r>
    </w:p>
    <w:p w14:paraId="259A68DA" w14:textId="1793BF2F" w:rsidR="009B45B8" w:rsidRPr="009B45B8" w:rsidRDefault="001C6724" w:rsidP="00D66772">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The most recent report of the UPR on Ghana was published on 13 December 2012.</w:t>
      </w:r>
      <w:r w:rsidRPr="001C6724">
        <w:rPr>
          <w:rFonts w:ascii="Times New Roman" w:hAnsi="Times New Roman" w:cs="Times New Roman"/>
          <w:sz w:val="24"/>
          <w:szCs w:val="24"/>
        </w:rPr>
        <w:footnoteReference w:id="1003"/>
      </w:r>
      <w:r w:rsidRPr="001C6724">
        <w:rPr>
          <w:rFonts w:ascii="Times New Roman" w:hAnsi="Times New Roman" w:cs="Times New Roman"/>
          <w:sz w:val="24"/>
          <w:szCs w:val="24"/>
          <w:vertAlign w:val="baseline"/>
        </w:rPr>
        <w:t xml:space="preserve"> Regarding the witch camps, concerns were raised by four States, who subsequently issued recommendations to Ghana. Denmark urged Ghana to ‘take all possible measures to abolish the practice of witch camps,’</w:t>
      </w:r>
      <w:r w:rsidRPr="001C6724">
        <w:rPr>
          <w:rFonts w:ascii="Times New Roman" w:hAnsi="Times New Roman" w:cs="Times New Roman"/>
          <w:sz w:val="24"/>
          <w:szCs w:val="24"/>
        </w:rPr>
        <w:footnoteReference w:id="1004"/>
      </w:r>
      <w:r w:rsidRPr="001C6724">
        <w:rPr>
          <w:rFonts w:ascii="Times New Roman" w:hAnsi="Times New Roman" w:cs="Times New Roman"/>
          <w:sz w:val="24"/>
          <w:szCs w:val="24"/>
          <w:vertAlign w:val="baseline"/>
        </w:rPr>
        <w:t xml:space="preserve"> with Switzerland urging Ghana to close the witch camps as soon as possible.</w:t>
      </w:r>
      <w:r w:rsidRPr="001C6724">
        <w:rPr>
          <w:rFonts w:ascii="Times New Roman" w:hAnsi="Times New Roman" w:cs="Times New Roman"/>
          <w:sz w:val="24"/>
          <w:szCs w:val="24"/>
        </w:rPr>
        <w:footnoteReference w:id="1005"/>
      </w:r>
      <w:r w:rsidRPr="001C6724">
        <w:rPr>
          <w:rFonts w:ascii="Times New Roman" w:hAnsi="Times New Roman" w:cs="Times New Roman"/>
          <w:sz w:val="24"/>
          <w:szCs w:val="24"/>
          <w:vertAlign w:val="baseline"/>
        </w:rPr>
        <w:t xml:space="preserve"> Uruguay advised Ghana to ‘intensify measures to prevent and combat harmful traditional practices … and to investigate such acts in order to prosecute and punish the perpetrators,’</w:t>
      </w:r>
      <w:r w:rsidRPr="001C6724">
        <w:rPr>
          <w:rFonts w:ascii="Times New Roman" w:hAnsi="Times New Roman" w:cs="Times New Roman"/>
          <w:sz w:val="24"/>
          <w:szCs w:val="24"/>
        </w:rPr>
        <w:footnoteReference w:id="1006"/>
      </w:r>
      <w:r w:rsidRPr="001C6724">
        <w:rPr>
          <w:rFonts w:ascii="Times New Roman" w:hAnsi="Times New Roman" w:cs="Times New Roman"/>
          <w:sz w:val="24"/>
          <w:szCs w:val="24"/>
          <w:vertAlign w:val="baseline"/>
        </w:rPr>
        <w:t xml:space="preserve"> whilst Germany emphasised the need for ‘extensive education’ regarding entrenched beliefs in witchcraft, with ‘the need to protect those who have been forced to flee their homes’ and ‘make life more comfortable for them in the camps.’</w:t>
      </w:r>
      <w:r w:rsidRPr="001C6724">
        <w:rPr>
          <w:rFonts w:ascii="Times New Roman" w:hAnsi="Times New Roman" w:cs="Times New Roman"/>
          <w:sz w:val="24"/>
          <w:szCs w:val="24"/>
        </w:rPr>
        <w:footnoteReference w:id="1007"/>
      </w:r>
      <w:r w:rsidR="009B45B8">
        <w:rPr>
          <w:rFonts w:ascii="Times New Roman" w:hAnsi="Times New Roman" w:cs="Times New Roman"/>
          <w:sz w:val="24"/>
          <w:szCs w:val="24"/>
          <w:vertAlign w:val="baseline"/>
        </w:rPr>
        <w:t xml:space="preserve"> In r</w:t>
      </w:r>
      <w:r w:rsidR="00705DD4">
        <w:rPr>
          <w:rFonts w:ascii="Times New Roman" w:hAnsi="Times New Roman" w:cs="Times New Roman"/>
          <w:sz w:val="24"/>
          <w:szCs w:val="24"/>
          <w:vertAlign w:val="baseline"/>
        </w:rPr>
        <w:t>esponse,</w:t>
      </w:r>
      <w:r w:rsidR="009B45B8">
        <w:rPr>
          <w:rFonts w:ascii="Times New Roman" w:hAnsi="Times New Roman" w:cs="Times New Roman"/>
          <w:sz w:val="24"/>
          <w:szCs w:val="24"/>
          <w:vertAlign w:val="baseline"/>
        </w:rPr>
        <w:t xml:space="preserve"> Ghana</w:t>
      </w:r>
      <w:r w:rsidR="00705DD4">
        <w:rPr>
          <w:rFonts w:ascii="Times New Roman" w:hAnsi="Times New Roman" w:cs="Times New Roman"/>
          <w:sz w:val="24"/>
          <w:szCs w:val="24"/>
          <w:vertAlign w:val="baseline"/>
        </w:rPr>
        <w:t xml:space="preserve"> accepted the recommendations made, stating that ‘(Ghana) considers that </w:t>
      </w:r>
      <w:r w:rsidR="006C5C72">
        <w:rPr>
          <w:rFonts w:ascii="Times New Roman" w:hAnsi="Times New Roman" w:cs="Times New Roman"/>
          <w:sz w:val="24"/>
          <w:szCs w:val="24"/>
          <w:vertAlign w:val="baseline"/>
        </w:rPr>
        <w:t>they are</w:t>
      </w:r>
      <w:r w:rsidR="00705DD4">
        <w:rPr>
          <w:rFonts w:ascii="Times New Roman" w:hAnsi="Times New Roman" w:cs="Times New Roman"/>
          <w:sz w:val="24"/>
          <w:szCs w:val="24"/>
          <w:vertAlign w:val="baseline"/>
        </w:rPr>
        <w:t xml:space="preserve"> i</w:t>
      </w:r>
      <w:r w:rsidR="00D66772">
        <w:rPr>
          <w:rFonts w:ascii="Times New Roman" w:hAnsi="Times New Roman" w:cs="Times New Roman"/>
          <w:sz w:val="24"/>
          <w:szCs w:val="24"/>
          <w:vertAlign w:val="baseline"/>
        </w:rPr>
        <w:t>n the process of implementation.</w:t>
      </w:r>
      <w:r w:rsidR="00705DD4">
        <w:rPr>
          <w:rFonts w:ascii="Times New Roman" w:hAnsi="Times New Roman" w:cs="Times New Roman"/>
          <w:sz w:val="24"/>
          <w:szCs w:val="24"/>
          <w:vertAlign w:val="baseline"/>
        </w:rPr>
        <w:t>’</w:t>
      </w:r>
      <w:r w:rsidR="00705DD4">
        <w:rPr>
          <w:rStyle w:val="FootnoteReference"/>
          <w:rFonts w:ascii="Times New Roman" w:hAnsi="Times New Roman" w:cs="Times New Roman"/>
          <w:sz w:val="24"/>
          <w:szCs w:val="24"/>
        </w:rPr>
        <w:footnoteReference w:id="1008"/>
      </w:r>
      <w:r w:rsidR="00D66772">
        <w:rPr>
          <w:rFonts w:ascii="Times New Roman" w:hAnsi="Times New Roman" w:cs="Times New Roman"/>
          <w:sz w:val="24"/>
          <w:szCs w:val="24"/>
          <w:vertAlign w:val="baseline"/>
        </w:rPr>
        <w:t xml:space="preserve"> On </w:t>
      </w:r>
      <w:r w:rsidR="009B45B8">
        <w:rPr>
          <w:rFonts w:ascii="Times New Roman" w:hAnsi="Times New Roman" w:cs="Times New Roman"/>
          <w:sz w:val="24"/>
          <w:szCs w:val="24"/>
          <w:vertAlign w:val="baseline"/>
        </w:rPr>
        <w:t>the issue of witchcraft</w:t>
      </w:r>
      <w:r w:rsidR="00D66772">
        <w:rPr>
          <w:rFonts w:ascii="Times New Roman" w:hAnsi="Times New Roman" w:cs="Times New Roman"/>
          <w:sz w:val="24"/>
          <w:szCs w:val="24"/>
          <w:vertAlign w:val="baseline"/>
        </w:rPr>
        <w:t>, Ghana acknowledged that this</w:t>
      </w:r>
      <w:r w:rsidR="009B45B8">
        <w:rPr>
          <w:rFonts w:ascii="Times New Roman" w:hAnsi="Times New Roman" w:cs="Times New Roman"/>
          <w:sz w:val="24"/>
          <w:szCs w:val="24"/>
          <w:vertAlign w:val="baseline"/>
        </w:rPr>
        <w:t xml:space="preserve"> was challenging, ‘</w:t>
      </w:r>
      <w:r w:rsidR="009B45B8" w:rsidRPr="009B45B8">
        <w:rPr>
          <w:rFonts w:ascii="Times New Roman" w:eastAsia="Times New Roman" w:hAnsi="Times New Roman" w:cs="Times New Roman"/>
          <w:sz w:val="24"/>
          <w:szCs w:val="24"/>
          <w:vertAlign w:val="baseline"/>
        </w:rPr>
        <w:t xml:space="preserve">given that it deals with entrenched beliefs, which makes it difficult to eradicate </w:t>
      </w:r>
      <w:r w:rsidR="009B45B8">
        <w:rPr>
          <w:rFonts w:ascii="Times New Roman" w:eastAsia="Times New Roman" w:hAnsi="Times New Roman" w:cs="Times New Roman"/>
          <w:sz w:val="24"/>
          <w:szCs w:val="24"/>
          <w:vertAlign w:val="baseline"/>
        </w:rPr>
        <w:t>through legislation,’ recognising that there is an on-going need for education, together with the need to protect those that have been ostracised from society.</w:t>
      </w:r>
      <w:r w:rsidR="009B45B8">
        <w:rPr>
          <w:rStyle w:val="FootnoteReference"/>
          <w:rFonts w:ascii="Times New Roman" w:eastAsia="Times New Roman" w:hAnsi="Times New Roman" w:cs="Times New Roman"/>
          <w:sz w:val="24"/>
          <w:szCs w:val="24"/>
        </w:rPr>
        <w:footnoteReference w:id="1009"/>
      </w:r>
      <w:r w:rsidR="00A63E44">
        <w:rPr>
          <w:rFonts w:ascii="Times New Roman" w:eastAsia="Times New Roman" w:hAnsi="Times New Roman" w:cs="Times New Roman"/>
          <w:sz w:val="24"/>
          <w:szCs w:val="24"/>
          <w:vertAlign w:val="baseline"/>
        </w:rPr>
        <w:t xml:space="preserve"> Such admission of the difficultly of dealing with entrenched beliefs provides evidence of the intensity of patriarchal norms permeating throughout </w:t>
      </w:r>
      <w:r w:rsidR="00A062BF">
        <w:rPr>
          <w:rFonts w:ascii="Times New Roman" w:eastAsia="Times New Roman" w:hAnsi="Times New Roman" w:cs="Times New Roman"/>
          <w:sz w:val="24"/>
          <w:szCs w:val="24"/>
          <w:vertAlign w:val="baseline"/>
        </w:rPr>
        <w:t xml:space="preserve">Ghanaian </w:t>
      </w:r>
      <w:r w:rsidR="00A63E44">
        <w:rPr>
          <w:rFonts w:ascii="Times New Roman" w:eastAsia="Times New Roman" w:hAnsi="Times New Roman" w:cs="Times New Roman"/>
          <w:sz w:val="24"/>
          <w:szCs w:val="24"/>
          <w:vertAlign w:val="baseline"/>
        </w:rPr>
        <w:t>society</w:t>
      </w:r>
      <w:r w:rsidR="00392A0C">
        <w:rPr>
          <w:rFonts w:ascii="Times New Roman" w:eastAsia="Times New Roman" w:hAnsi="Times New Roman" w:cs="Times New Roman"/>
          <w:sz w:val="24"/>
          <w:szCs w:val="24"/>
          <w:vertAlign w:val="baseline"/>
        </w:rPr>
        <w:t>.</w:t>
      </w:r>
      <w:r w:rsidR="009B45B8" w:rsidRPr="009B45B8">
        <w:rPr>
          <w:rFonts w:ascii="Times New Roman" w:eastAsia="Times New Roman" w:hAnsi="Times New Roman" w:cs="Times New Roman"/>
          <w:sz w:val="24"/>
          <w:szCs w:val="24"/>
          <w:vertAlign w:val="baseline"/>
        </w:rPr>
        <w:t xml:space="preserve"> </w:t>
      </w:r>
      <w:r w:rsidR="006C5C72">
        <w:rPr>
          <w:rFonts w:ascii="Times New Roman" w:eastAsia="Times New Roman" w:hAnsi="Times New Roman" w:cs="Times New Roman"/>
          <w:sz w:val="24"/>
          <w:szCs w:val="24"/>
          <w:vertAlign w:val="baseline"/>
        </w:rPr>
        <w:t>Despite acceptance</w:t>
      </w:r>
      <w:r w:rsidR="003A7F84">
        <w:rPr>
          <w:rFonts w:ascii="Times New Roman" w:eastAsia="Times New Roman" w:hAnsi="Times New Roman" w:cs="Times New Roman"/>
          <w:sz w:val="24"/>
          <w:szCs w:val="24"/>
          <w:vertAlign w:val="baseline"/>
        </w:rPr>
        <w:t>, by Ghana,</w:t>
      </w:r>
      <w:r w:rsidR="006C5C72">
        <w:rPr>
          <w:rFonts w:ascii="Times New Roman" w:eastAsia="Times New Roman" w:hAnsi="Times New Roman" w:cs="Times New Roman"/>
          <w:sz w:val="24"/>
          <w:szCs w:val="24"/>
          <w:vertAlign w:val="baseline"/>
        </w:rPr>
        <w:t xml:space="preserve"> of the</w:t>
      </w:r>
      <w:r w:rsidR="003A7F84">
        <w:rPr>
          <w:rFonts w:ascii="Times New Roman" w:eastAsia="Times New Roman" w:hAnsi="Times New Roman" w:cs="Times New Roman"/>
          <w:sz w:val="24"/>
          <w:szCs w:val="24"/>
          <w:vertAlign w:val="baseline"/>
        </w:rPr>
        <w:t xml:space="preserve"> aforementioned</w:t>
      </w:r>
      <w:r w:rsidR="006C5C72">
        <w:rPr>
          <w:rFonts w:ascii="Times New Roman" w:eastAsia="Times New Roman" w:hAnsi="Times New Roman" w:cs="Times New Roman"/>
          <w:sz w:val="24"/>
          <w:szCs w:val="24"/>
          <w:vertAlign w:val="baseline"/>
        </w:rPr>
        <w:t xml:space="preserve"> UPR recommendations, the situation regarding WAP has not changed in Ghana. Whilst efforts were made to disband the smallest of the witch camps (Bonyase) in </w:t>
      </w:r>
      <w:r w:rsidR="00C5085B">
        <w:rPr>
          <w:rFonts w:ascii="Times New Roman" w:eastAsia="Times New Roman" w:hAnsi="Times New Roman" w:cs="Times New Roman"/>
          <w:sz w:val="24"/>
          <w:szCs w:val="24"/>
          <w:vertAlign w:val="baseline"/>
        </w:rPr>
        <w:t xml:space="preserve">December </w:t>
      </w:r>
      <w:r w:rsidR="006C5C72">
        <w:rPr>
          <w:rFonts w:ascii="Times New Roman" w:eastAsia="Times New Roman" w:hAnsi="Times New Roman" w:cs="Times New Roman"/>
          <w:sz w:val="24"/>
          <w:szCs w:val="24"/>
          <w:vertAlign w:val="baseline"/>
        </w:rPr>
        <w:t>2014</w:t>
      </w:r>
      <w:r w:rsidR="00C5085B">
        <w:rPr>
          <w:rFonts w:ascii="Times New Roman" w:eastAsia="Times New Roman" w:hAnsi="Times New Roman" w:cs="Times New Roman"/>
          <w:sz w:val="24"/>
          <w:szCs w:val="24"/>
          <w:vertAlign w:val="baseline"/>
        </w:rPr>
        <w:t xml:space="preserve"> and repatriate accused witches back into their communities, </w:t>
      </w:r>
      <w:r w:rsidR="007525B2">
        <w:rPr>
          <w:rFonts w:ascii="Times New Roman" w:eastAsia="Times New Roman" w:hAnsi="Times New Roman" w:cs="Times New Roman"/>
          <w:sz w:val="24"/>
          <w:szCs w:val="24"/>
          <w:vertAlign w:val="baseline"/>
        </w:rPr>
        <w:t xml:space="preserve">the Anti-Witchcraft Allegation Campaign Coalition (AWACC) noted that after only three days, two of the five repatriated women had to be ‘immediately relocated’ to Gnani, another </w:t>
      </w:r>
      <w:r w:rsidR="00956E88">
        <w:rPr>
          <w:rFonts w:ascii="Times New Roman" w:eastAsia="Times New Roman" w:hAnsi="Times New Roman" w:cs="Times New Roman"/>
          <w:sz w:val="24"/>
          <w:szCs w:val="24"/>
          <w:vertAlign w:val="baseline"/>
        </w:rPr>
        <w:t>witch camp</w:t>
      </w:r>
      <w:r w:rsidR="00C5085B">
        <w:rPr>
          <w:rFonts w:ascii="Times New Roman" w:eastAsia="Times New Roman" w:hAnsi="Times New Roman" w:cs="Times New Roman"/>
          <w:sz w:val="24"/>
          <w:szCs w:val="24"/>
          <w:vertAlign w:val="baseline"/>
        </w:rPr>
        <w:t>.</w:t>
      </w:r>
      <w:r w:rsidR="00C5085B">
        <w:rPr>
          <w:rStyle w:val="FootnoteReference"/>
          <w:rFonts w:ascii="Times New Roman" w:eastAsia="Times New Roman" w:hAnsi="Times New Roman" w:cs="Times New Roman"/>
          <w:sz w:val="24"/>
          <w:szCs w:val="24"/>
        </w:rPr>
        <w:footnoteReference w:id="1010"/>
      </w:r>
      <w:r w:rsidR="00141ECE">
        <w:rPr>
          <w:rFonts w:ascii="Times New Roman" w:eastAsia="Times New Roman" w:hAnsi="Times New Roman" w:cs="Times New Roman"/>
          <w:sz w:val="24"/>
          <w:szCs w:val="24"/>
          <w:vertAlign w:val="baseline"/>
        </w:rPr>
        <w:t xml:space="preserve"> Moreover, ActionAid notes that the conditions in the camps remain ‘terrible’ with no access to food or clean water.</w:t>
      </w:r>
      <w:r w:rsidR="00141ECE">
        <w:rPr>
          <w:rStyle w:val="FootnoteReference"/>
          <w:rFonts w:ascii="Times New Roman" w:eastAsia="Times New Roman" w:hAnsi="Times New Roman" w:cs="Times New Roman"/>
          <w:sz w:val="24"/>
          <w:szCs w:val="24"/>
        </w:rPr>
        <w:footnoteReference w:id="1011"/>
      </w:r>
      <w:r w:rsidR="004D6D4D">
        <w:rPr>
          <w:rFonts w:ascii="Times New Roman" w:eastAsia="Times New Roman" w:hAnsi="Times New Roman" w:cs="Times New Roman"/>
          <w:sz w:val="24"/>
          <w:szCs w:val="24"/>
          <w:vertAlign w:val="baseline"/>
        </w:rPr>
        <w:t xml:space="preserve"> </w:t>
      </w:r>
      <w:r w:rsidR="00A63E44">
        <w:rPr>
          <w:rFonts w:ascii="Times New Roman" w:eastAsia="Times New Roman" w:hAnsi="Times New Roman" w:cs="Times New Roman"/>
          <w:sz w:val="24"/>
          <w:szCs w:val="24"/>
          <w:vertAlign w:val="baseline"/>
        </w:rPr>
        <w:t>In addition, with no specific legislation to combat WAP, Ghana is failing to comply with the recommendations of the UPR</w:t>
      </w:r>
      <w:r w:rsidR="00D72EBD">
        <w:rPr>
          <w:rFonts w:ascii="Times New Roman" w:eastAsia="Times New Roman" w:hAnsi="Times New Roman" w:cs="Times New Roman"/>
          <w:sz w:val="24"/>
          <w:szCs w:val="24"/>
          <w:vertAlign w:val="baseline"/>
        </w:rPr>
        <w:t>.</w:t>
      </w:r>
    </w:p>
    <w:p w14:paraId="2A4D8D97"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7C3D92F3" w14:textId="399B3178" w:rsidR="001C6724" w:rsidRPr="001C6724" w:rsidRDefault="001C6724" w:rsidP="009F1B03">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The most recent report of the UPR on Papua New Guinea was published on 11 July 2011.</w:t>
      </w:r>
      <w:r w:rsidRPr="001C6724">
        <w:rPr>
          <w:rFonts w:ascii="Times New Roman" w:hAnsi="Times New Roman" w:cs="Times New Roman"/>
          <w:sz w:val="24"/>
          <w:szCs w:val="24"/>
        </w:rPr>
        <w:footnoteReference w:id="1012"/>
      </w:r>
      <w:r w:rsidRPr="001C6724">
        <w:rPr>
          <w:rFonts w:ascii="Times New Roman" w:hAnsi="Times New Roman" w:cs="Times New Roman"/>
          <w:sz w:val="24"/>
          <w:szCs w:val="24"/>
          <w:vertAlign w:val="baseline"/>
        </w:rPr>
        <w:t xml:space="preserve"> PNG affirmed that whilst necessary laws </w:t>
      </w:r>
      <w:r w:rsidR="00F0486D">
        <w:rPr>
          <w:rFonts w:ascii="Times New Roman" w:hAnsi="Times New Roman" w:cs="Times New Roman"/>
          <w:sz w:val="24"/>
          <w:szCs w:val="24"/>
          <w:vertAlign w:val="baseline"/>
        </w:rPr>
        <w:t>and institutional mechanisms have</w:t>
      </w:r>
      <w:r w:rsidRPr="001C6724">
        <w:rPr>
          <w:rFonts w:ascii="Times New Roman" w:hAnsi="Times New Roman" w:cs="Times New Roman"/>
          <w:sz w:val="24"/>
          <w:szCs w:val="24"/>
          <w:vertAlign w:val="baseline"/>
        </w:rPr>
        <w:t xml:space="preserve"> been put in place to address human rights issues, PNG was ‘experiencing an increase in human rights challenges, s</w:t>
      </w:r>
      <w:r w:rsidR="00F30014">
        <w:rPr>
          <w:rFonts w:ascii="Times New Roman" w:hAnsi="Times New Roman" w:cs="Times New Roman"/>
          <w:sz w:val="24"/>
          <w:szCs w:val="24"/>
          <w:vertAlign w:val="baseline"/>
        </w:rPr>
        <w:t>uch as sorcery-related killings,’</w:t>
      </w:r>
      <w:r w:rsidRPr="001C6724">
        <w:rPr>
          <w:rFonts w:ascii="Times New Roman" w:hAnsi="Times New Roman" w:cs="Times New Roman"/>
          <w:sz w:val="24"/>
          <w:szCs w:val="24"/>
        </w:rPr>
        <w:footnoteReference w:id="1013"/>
      </w:r>
      <w:r w:rsidRPr="001C6724">
        <w:rPr>
          <w:rFonts w:ascii="Times New Roman" w:hAnsi="Times New Roman" w:cs="Times New Roman"/>
          <w:sz w:val="24"/>
          <w:szCs w:val="24"/>
          <w:vertAlign w:val="baseline"/>
        </w:rPr>
        <w:t xml:space="preserve"> acknowledging that sorcery was a major issue.</w:t>
      </w:r>
      <w:r w:rsidRPr="001C6724">
        <w:rPr>
          <w:rFonts w:ascii="Times New Roman" w:hAnsi="Times New Roman" w:cs="Times New Roman"/>
          <w:sz w:val="24"/>
          <w:szCs w:val="24"/>
        </w:rPr>
        <w:footnoteReference w:id="1014"/>
      </w:r>
      <w:r w:rsidRPr="001C6724">
        <w:rPr>
          <w:rFonts w:ascii="Times New Roman" w:hAnsi="Times New Roman" w:cs="Times New Roman"/>
          <w:sz w:val="24"/>
          <w:szCs w:val="24"/>
          <w:vertAlign w:val="baseline"/>
        </w:rPr>
        <w:t xml:space="preserve"> Accordingly, recommendations were made by several states concerning the issue of witchcraft and sorcery.</w:t>
      </w:r>
      <w:r w:rsidRPr="001C6724">
        <w:rPr>
          <w:rFonts w:ascii="Times New Roman" w:hAnsi="Times New Roman" w:cs="Times New Roman"/>
          <w:sz w:val="24"/>
          <w:szCs w:val="24"/>
        </w:rPr>
        <w:footnoteReference w:id="1015"/>
      </w:r>
      <w:r w:rsidRPr="001C6724">
        <w:rPr>
          <w:rFonts w:ascii="Times New Roman" w:hAnsi="Times New Roman" w:cs="Times New Roman"/>
          <w:sz w:val="24"/>
          <w:szCs w:val="24"/>
          <w:vertAlign w:val="baseline"/>
        </w:rPr>
        <w:t xml:space="preserve"> </w:t>
      </w:r>
      <w:r w:rsidR="00B63BC9">
        <w:rPr>
          <w:rFonts w:ascii="Times New Roman" w:hAnsi="Times New Roman" w:cs="Times New Roman"/>
          <w:sz w:val="24"/>
          <w:szCs w:val="24"/>
          <w:vertAlign w:val="baseline"/>
        </w:rPr>
        <w:t>PNG accepted recommendations made by the Czech Republic and Poland regarding a review on the law of sorcery</w:t>
      </w:r>
      <w:r w:rsidR="00243F4D">
        <w:rPr>
          <w:rFonts w:ascii="Times New Roman" w:hAnsi="Times New Roman" w:cs="Times New Roman"/>
          <w:sz w:val="24"/>
          <w:szCs w:val="24"/>
          <w:vertAlign w:val="baseline"/>
        </w:rPr>
        <w:t>;</w:t>
      </w:r>
      <w:r w:rsidR="00B63BC9">
        <w:rPr>
          <w:rStyle w:val="FootnoteReference"/>
          <w:rFonts w:ascii="Times New Roman" w:hAnsi="Times New Roman" w:cs="Times New Roman"/>
          <w:sz w:val="24"/>
          <w:szCs w:val="24"/>
        </w:rPr>
        <w:footnoteReference w:id="1016"/>
      </w:r>
      <w:r w:rsidR="00125C73">
        <w:rPr>
          <w:rFonts w:ascii="Times New Roman" w:hAnsi="Times New Roman" w:cs="Times New Roman"/>
          <w:sz w:val="24"/>
          <w:szCs w:val="24"/>
          <w:vertAlign w:val="baseline"/>
        </w:rPr>
        <w:t xml:space="preserve"> however</w:t>
      </w:r>
      <w:r w:rsidR="00243F4D">
        <w:rPr>
          <w:rFonts w:ascii="Times New Roman" w:hAnsi="Times New Roman" w:cs="Times New Roman"/>
          <w:sz w:val="24"/>
          <w:szCs w:val="24"/>
          <w:vertAlign w:val="baseline"/>
        </w:rPr>
        <w:t>,</w:t>
      </w:r>
      <w:r w:rsidR="00125C73">
        <w:rPr>
          <w:rFonts w:ascii="Times New Roman" w:hAnsi="Times New Roman" w:cs="Times New Roman"/>
          <w:sz w:val="24"/>
          <w:szCs w:val="24"/>
          <w:vertAlign w:val="baseline"/>
        </w:rPr>
        <w:t xml:space="preserve"> deferred their response to </w:t>
      </w:r>
      <w:r w:rsidR="00243F4D">
        <w:rPr>
          <w:rFonts w:ascii="Times New Roman" w:hAnsi="Times New Roman" w:cs="Times New Roman"/>
          <w:sz w:val="24"/>
          <w:szCs w:val="24"/>
          <w:vertAlign w:val="baseline"/>
        </w:rPr>
        <w:t>recommendations from the UK and Thailand until the 18</w:t>
      </w:r>
      <w:r w:rsidR="00243F4D" w:rsidRPr="00243F4D">
        <w:rPr>
          <w:rFonts w:ascii="Times New Roman" w:hAnsi="Times New Roman" w:cs="Times New Roman"/>
          <w:sz w:val="24"/>
          <w:szCs w:val="24"/>
        </w:rPr>
        <w:t>th</w:t>
      </w:r>
      <w:r w:rsidR="00243F4D">
        <w:rPr>
          <w:rFonts w:ascii="Times New Roman" w:hAnsi="Times New Roman" w:cs="Times New Roman"/>
          <w:sz w:val="24"/>
          <w:szCs w:val="24"/>
          <w:vertAlign w:val="baseline"/>
        </w:rPr>
        <w:t xml:space="preserve"> session of the HRC in September 2011, where PNG agreed to support recommendations to eliminate VAW and to ‘extend the legal framework to prevent it.’</w:t>
      </w:r>
      <w:r w:rsidR="00243F4D">
        <w:rPr>
          <w:rStyle w:val="FootnoteReference"/>
          <w:rFonts w:ascii="Times New Roman" w:hAnsi="Times New Roman" w:cs="Times New Roman"/>
          <w:sz w:val="24"/>
          <w:szCs w:val="24"/>
        </w:rPr>
        <w:footnoteReference w:id="1017"/>
      </w:r>
      <w:r w:rsidR="00F807E0">
        <w:rPr>
          <w:rFonts w:ascii="Times New Roman" w:hAnsi="Times New Roman" w:cs="Times New Roman"/>
          <w:sz w:val="24"/>
          <w:szCs w:val="24"/>
          <w:vertAlign w:val="baseline"/>
        </w:rPr>
        <w:t xml:space="preserve"> In response to recommendations to change the law on sorcery, in 2013 PNG repealed its sorcery law, whilst concurrently reintroducing the death penalty for murder.</w:t>
      </w:r>
      <w:r w:rsidR="00F807E0">
        <w:rPr>
          <w:rStyle w:val="FootnoteReference"/>
          <w:rFonts w:ascii="Times New Roman" w:hAnsi="Times New Roman" w:cs="Times New Roman"/>
          <w:sz w:val="24"/>
          <w:szCs w:val="24"/>
        </w:rPr>
        <w:footnoteReference w:id="1018"/>
      </w:r>
      <w:r w:rsidR="006F301C">
        <w:rPr>
          <w:rFonts w:ascii="Times New Roman" w:hAnsi="Times New Roman" w:cs="Times New Roman"/>
          <w:sz w:val="24"/>
          <w:szCs w:val="24"/>
          <w:vertAlign w:val="baseline"/>
        </w:rPr>
        <w:t xml:space="preserve"> However, as regards recommendations made by the UK and Thailand concerning the implementation of strategies for cultural change in order to combat sorcery related killings, PNG is failing to address the issue, with numerous incidents of WAP reported in the media in recent months.</w:t>
      </w:r>
      <w:r w:rsidR="006F301C">
        <w:rPr>
          <w:rStyle w:val="FootnoteReference"/>
          <w:rFonts w:ascii="Times New Roman" w:hAnsi="Times New Roman" w:cs="Times New Roman"/>
          <w:sz w:val="24"/>
          <w:szCs w:val="24"/>
        </w:rPr>
        <w:footnoteReference w:id="1019"/>
      </w:r>
    </w:p>
    <w:p w14:paraId="613B5DDA"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4E55A287" w14:textId="51BB96C5" w:rsidR="001C6724" w:rsidRDefault="001C6724" w:rsidP="00712D9D">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The most recent report of the UPR on India was published on 9 July 2012,</w:t>
      </w:r>
      <w:r w:rsidRPr="001C6724">
        <w:rPr>
          <w:rFonts w:ascii="Times New Roman" w:hAnsi="Times New Roman" w:cs="Times New Roman"/>
          <w:sz w:val="24"/>
          <w:szCs w:val="24"/>
        </w:rPr>
        <w:footnoteReference w:id="1020"/>
      </w:r>
      <w:r w:rsidRPr="001C6724">
        <w:rPr>
          <w:rFonts w:ascii="Times New Roman" w:hAnsi="Times New Roman" w:cs="Times New Roman"/>
          <w:sz w:val="24"/>
          <w:szCs w:val="24"/>
          <w:vertAlign w:val="baseline"/>
        </w:rPr>
        <w:t xml:space="preserve"> with the most recent UPR report on Nepal published on 8 March 2011.</w:t>
      </w:r>
      <w:r w:rsidRPr="001C6724">
        <w:rPr>
          <w:rFonts w:ascii="Times New Roman" w:hAnsi="Times New Roman" w:cs="Times New Roman"/>
          <w:sz w:val="24"/>
          <w:szCs w:val="24"/>
        </w:rPr>
        <w:footnoteReference w:id="1021"/>
      </w:r>
      <w:r w:rsidRPr="001C6724">
        <w:rPr>
          <w:rFonts w:ascii="Times New Roman" w:hAnsi="Times New Roman" w:cs="Times New Roman"/>
          <w:sz w:val="24"/>
          <w:szCs w:val="24"/>
          <w:vertAlign w:val="baseline"/>
        </w:rPr>
        <w:t xml:space="preserve"> Interestingly, there was no reference to WAP within either report, despite high levels of WAP within both countries and submissions to the UPR by the Working Group on Human Rights in India, which stated that the Government needed to ‘reform religion-based family laws and address witch-hunting through a national law,’</w:t>
      </w:r>
      <w:r w:rsidRPr="001C6724">
        <w:rPr>
          <w:rFonts w:ascii="Times New Roman" w:hAnsi="Times New Roman" w:cs="Times New Roman"/>
          <w:sz w:val="24"/>
          <w:szCs w:val="24"/>
        </w:rPr>
        <w:footnoteReference w:id="1022"/>
      </w:r>
      <w:r w:rsidRPr="001C6724">
        <w:rPr>
          <w:rFonts w:ascii="Times New Roman" w:hAnsi="Times New Roman" w:cs="Times New Roman"/>
          <w:sz w:val="24"/>
          <w:szCs w:val="24"/>
          <w:vertAlign w:val="baseline"/>
        </w:rPr>
        <w:t xml:space="preserve"> and by the National Human Rights Committee of Nepal who stated that the implementation of existing laws, regarding social taboos such as witchcraft, is not satisfactory.</w:t>
      </w:r>
      <w:r w:rsidR="00626D3B">
        <w:rPr>
          <w:rFonts w:ascii="Times New Roman" w:hAnsi="Times New Roman" w:cs="Times New Roman"/>
          <w:sz w:val="24"/>
          <w:szCs w:val="24"/>
          <w:vertAlign w:val="baseline"/>
        </w:rPr>
        <w:t xml:space="preserve"> </w:t>
      </w:r>
      <w:r w:rsidR="00712D9D">
        <w:rPr>
          <w:rFonts w:ascii="Times New Roman" w:hAnsi="Times New Roman" w:cs="Times New Roman"/>
          <w:sz w:val="24"/>
          <w:szCs w:val="24"/>
          <w:vertAlign w:val="baseline"/>
        </w:rPr>
        <w:t>Whilst there was some reference to traditional harmful practices, these were specified as child marriage (Nepal,</w:t>
      </w:r>
      <w:r w:rsidR="00712D9D">
        <w:rPr>
          <w:rStyle w:val="FootnoteReference"/>
          <w:rFonts w:ascii="Times New Roman" w:hAnsi="Times New Roman" w:cs="Times New Roman"/>
          <w:sz w:val="24"/>
          <w:szCs w:val="24"/>
        </w:rPr>
        <w:footnoteReference w:id="1023"/>
      </w:r>
      <w:r w:rsidR="00712D9D">
        <w:rPr>
          <w:rFonts w:ascii="Times New Roman" w:hAnsi="Times New Roman" w:cs="Times New Roman"/>
          <w:sz w:val="24"/>
          <w:szCs w:val="24"/>
          <w:vertAlign w:val="baseline"/>
        </w:rPr>
        <w:t xml:space="preserve"> India</w:t>
      </w:r>
      <w:r w:rsidR="00712D9D">
        <w:rPr>
          <w:rStyle w:val="FootnoteReference"/>
          <w:rFonts w:ascii="Times New Roman" w:hAnsi="Times New Roman" w:cs="Times New Roman"/>
          <w:sz w:val="24"/>
          <w:szCs w:val="24"/>
        </w:rPr>
        <w:footnoteReference w:id="1024"/>
      </w:r>
      <w:r w:rsidR="00712D9D">
        <w:rPr>
          <w:rFonts w:ascii="Times New Roman" w:hAnsi="Times New Roman" w:cs="Times New Roman"/>
          <w:sz w:val="24"/>
          <w:szCs w:val="24"/>
          <w:vertAlign w:val="baseline"/>
        </w:rPr>
        <w:t>), dowry related murders and honour killings.</w:t>
      </w:r>
      <w:r w:rsidR="00712D9D">
        <w:rPr>
          <w:rStyle w:val="FootnoteReference"/>
          <w:rFonts w:ascii="Times New Roman" w:hAnsi="Times New Roman" w:cs="Times New Roman"/>
          <w:sz w:val="24"/>
          <w:szCs w:val="24"/>
        </w:rPr>
        <w:footnoteReference w:id="1025"/>
      </w:r>
      <w:r w:rsidR="002A6E36">
        <w:rPr>
          <w:rFonts w:ascii="Times New Roman" w:hAnsi="Times New Roman" w:cs="Times New Roman"/>
          <w:sz w:val="24"/>
          <w:szCs w:val="24"/>
          <w:vertAlign w:val="baseline"/>
        </w:rPr>
        <w:t xml:space="preserve"> This lack of acknowledgment of WAP within Nepal and India is disappointing, considering the prevalence wit</w:t>
      </w:r>
      <w:r w:rsidR="00D85A43">
        <w:rPr>
          <w:rFonts w:ascii="Times New Roman" w:hAnsi="Times New Roman" w:cs="Times New Roman"/>
          <w:sz w:val="24"/>
          <w:szCs w:val="24"/>
          <w:vertAlign w:val="baseline"/>
        </w:rPr>
        <w:t xml:space="preserve">hin both countries and also given the </w:t>
      </w:r>
      <w:r w:rsidR="00D85A43" w:rsidRPr="00D85A43">
        <w:rPr>
          <w:rFonts w:ascii="Times New Roman" w:hAnsi="Times New Roman" w:cs="Times New Roman"/>
          <w:sz w:val="24"/>
          <w:szCs w:val="24"/>
          <w:vertAlign w:val="baseline"/>
        </w:rPr>
        <w:t>recognition</w:t>
      </w:r>
      <w:r w:rsidR="00D85A43">
        <w:rPr>
          <w:rFonts w:ascii="Times New Roman" w:hAnsi="Times New Roman" w:cs="Times New Roman"/>
          <w:sz w:val="24"/>
          <w:szCs w:val="24"/>
          <w:vertAlign w:val="baseline"/>
        </w:rPr>
        <w:t xml:space="preserve"> of WAP by the Working Group on Human Rights in India and the National Human Rights Committee of Nepal. Moreover, it demonstrates the </w:t>
      </w:r>
      <w:r w:rsidR="004D1257">
        <w:rPr>
          <w:rFonts w:ascii="Times New Roman" w:hAnsi="Times New Roman" w:cs="Times New Roman"/>
          <w:sz w:val="24"/>
          <w:szCs w:val="24"/>
          <w:vertAlign w:val="baseline"/>
        </w:rPr>
        <w:t xml:space="preserve">sporadic nature of international human rights, highlighting a </w:t>
      </w:r>
      <w:r w:rsidR="00D85A43">
        <w:rPr>
          <w:rFonts w:ascii="Times New Roman" w:hAnsi="Times New Roman" w:cs="Times New Roman"/>
          <w:sz w:val="24"/>
          <w:szCs w:val="24"/>
          <w:vertAlign w:val="baseline"/>
        </w:rPr>
        <w:t xml:space="preserve">lack of </w:t>
      </w:r>
      <w:r w:rsidR="004D1257">
        <w:rPr>
          <w:rFonts w:ascii="Times New Roman" w:hAnsi="Times New Roman" w:cs="Times New Roman"/>
          <w:sz w:val="24"/>
          <w:szCs w:val="24"/>
          <w:vertAlign w:val="baseline"/>
        </w:rPr>
        <w:t>recognition by the international community of WAP as a violation of human rights.</w:t>
      </w:r>
    </w:p>
    <w:p w14:paraId="3DD4AD67" w14:textId="77777777" w:rsidR="00712D9D" w:rsidRPr="001C6724" w:rsidRDefault="00712D9D" w:rsidP="00712D9D">
      <w:pPr>
        <w:spacing w:line="480" w:lineRule="auto"/>
        <w:ind w:firstLine="720"/>
        <w:jc w:val="both"/>
        <w:rPr>
          <w:rFonts w:ascii="Times New Roman" w:hAnsi="Times New Roman" w:cs="Times New Roman"/>
          <w:sz w:val="24"/>
          <w:szCs w:val="24"/>
          <w:vertAlign w:val="baseline"/>
        </w:rPr>
      </w:pPr>
    </w:p>
    <w:p w14:paraId="7596F611" w14:textId="62EA9C0A" w:rsidR="001C6724" w:rsidRPr="001C6724" w:rsidRDefault="00305829" w:rsidP="007F45F0">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5</w:t>
      </w:r>
      <w:r w:rsidR="00314282">
        <w:rPr>
          <w:rFonts w:ascii="Times New Roman" w:hAnsi="Times New Roman" w:cs="Times New Roman"/>
          <w:b/>
          <w:sz w:val="24"/>
          <w:szCs w:val="24"/>
          <w:u w:val="single"/>
          <w:vertAlign w:val="baseline"/>
        </w:rPr>
        <w:t>.11   COMMISSION ON THE STATUS OF WOMEN</w:t>
      </w:r>
      <w:r w:rsidR="007F45F0">
        <w:rPr>
          <w:rFonts w:ascii="Times New Roman" w:hAnsi="Times New Roman" w:cs="Times New Roman"/>
          <w:b/>
          <w:sz w:val="24"/>
          <w:szCs w:val="24"/>
          <w:u w:val="single"/>
          <w:vertAlign w:val="baseline"/>
        </w:rPr>
        <w:t xml:space="preserve"> </w:t>
      </w:r>
    </w:p>
    <w:p w14:paraId="14152296" w14:textId="76D8EC2C" w:rsidR="001C6724" w:rsidRDefault="001C6724" w:rsidP="007E0826">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The Commission on the Status of Women (CSW) is a global intergovernmental body, established by the Economic and Social Council,</w:t>
      </w:r>
      <w:r w:rsidRPr="001C6724">
        <w:rPr>
          <w:rFonts w:ascii="Times New Roman" w:hAnsi="Times New Roman" w:cs="Times New Roman"/>
          <w:sz w:val="24"/>
          <w:szCs w:val="24"/>
        </w:rPr>
        <w:footnoteReference w:id="1026"/>
      </w:r>
      <w:r w:rsidRPr="001C6724">
        <w:rPr>
          <w:rFonts w:ascii="Times New Roman" w:hAnsi="Times New Roman" w:cs="Times New Roman"/>
          <w:sz w:val="24"/>
          <w:szCs w:val="24"/>
          <w:vertAlign w:val="baseline"/>
        </w:rPr>
        <w:t xml:space="preserve"> exclusively committed to the empowerment of women and the promotion of gender equality.</w:t>
      </w:r>
      <w:r w:rsidRPr="001C6724">
        <w:rPr>
          <w:rFonts w:ascii="Times New Roman" w:hAnsi="Times New Roman" w:cs="Times New Roman"/>
          <w:sz w:val="24"/>
          <w:szCs w:val="24"/>
        </w:rPr>
        <w:footnoteReference w:id="1027"/>
      </w:r>
      <w:r w:rsidRPr="001C6724">
        <w:rPr>
          <w:rFonts w:ascii="Times New Roman" w:hAnsi="Times New Roman" w:cs="Times New Roman"/>
          <w:sz w:val="24"/>
          <w:szCs w:val="24"/>
          <w:vertAlign w:val="baseline"/>
        </w:rPr>
        <w:t xml:space="preserve"> The mandate for the CSW was expanded in 1996,</w:t>
      </w:r>
      <w:r w:rsidRPr="001C6724">
        <w:rPr>
          <w:rFonts w:ascii="Times New Roman" w:hAnsi="Times New Roman" w:cs="Times New Roman"/>
          <w:sz w:val="24"/>
          <w:szCs w:val="24"/>
        </w:rPr>
        <w:footnoteReference w:id="1028"/>
      </w:r>
      <w:r w:rsidRPr="001C6724">
        <w:rPr>
          <w:rFonts w:ascii="Times New Roman" w:hAnsi="Times New Roman" w:cs="Times New Roman"/>
          <w:sz w:val="24"/>
          <w:szCs w:val="24"/>
          <w:vertAlign w:val="baseline"/>
        </w:rPr>
        <w:t xml:space="preserve"> following the report on the fourth World Conference on Women,</w:t>
      </w:r>
      <w:r w:rsidRPr="001C6724">
        <w:rPr>
          <w:rFonts w:ascii="Times New Roman" w:hAnsi="Times New Roman" w:cs="Times New Roman"/>
          <w:sz w:val="24"/>
          <w:szCs w:val="24"/>
        </w:rPr>
        <w:footnoteReference w:id="1029"/>
      </w:r>
      <w:r w:rsidRPr="001C6724">
        <w:rPr>
          <w:rFonts w:ascii="Times New Roman" w:hAnsi="Times New Roman" w:cs="Times New Roman"/>
          <w:sz w:val="24"/>
          <w:szCs w:val="24"/>
          <w:vertAlign w:val="baseline"/>
        </w:rPr>
        <w:t xml:space="preserve"> where it was decided that the CSW ‘should take a leading role in monitoring and reviewing progress and problems in the implementation of the Beijing Declaration and Platform for Action and in mainstreaming a gender perspective in UN activities.’</w:t>
      </w:r>
      <w:r w:rsidRPr="001C6724">
        <w:rPr>
          <w:rFonts w:ascii="Times New Roman" w:hAnsi="Times New Roman" w:cs="Times New Roman"/>
          <w:sz w:val="24"/>
          <w:szCs w:val="24"/>
        </w:rPr>
        <w:footnoteReference w:id="1030"/>
      </w:r>
      <w:r w:rsidRPr="001C6724">
        <w:rPr>
          <w:rFonts w:ascii="Times New Roman" w:hAnsi="Times New Roman" w:cs="Times New Roman"/>
          <w:sz w:val="24"/>
          <w:szCs w:val="24"/>
          <w:vertAlign w:val="baseline"/>
        </w:rPr>
        <w:t xml:space="preserve"> The Commission meets annually for a two-week period to discuss progress and issues regarding the implementation of the Beijing Declaration and Platform for Action, together with any other issues concerning gender equality, with a different priority theme taking precedent each year. In 2015, the 59</w:t>
      </w:r>
      <w:r w:rsidRPr="001C6724">
        <w:rPr>
          <w:rFonts w:ascii="Times New Roman" w:hAnsi="Times New Roman" w:cs="Times New Roman"/>
          <w:sz w:val="24"/>
          <w:szCs w:val="24"/>
        </w:rPr>
        <w:t>th</w:t>
      </w:r>
      <w:r w:rsidRPr="001C6724">
        <w:rPr>
          <w:rFonts w:ascii="Times New Roman" w:hAnsi="Times New Roman" w:cs="Times New Roman"/>
          <w:sz w:val="24"/>
          <w:szCs w:val="24"/>
          <w:vertAlign w:val="baseline"/>
        </w:rPr>
        <w:t xml:space="preserve"> session focused on current challenges affecting the Beijing Declaration and Platform for Action, twenty years since its adoption at the Fourth World Conference of women in 1995. On 11 March 2015, during the 59</w:t>
      </w:r>
      <w:r w:rsidRPr="001C6724">
        <w:rPr>
          <w:rFonts w:ascii="Times New Roman" w:hAnsi="Times New Roman" w:cs="Times New Roman"/>
          <w:sz w:val="24"/>
          <w:szCs w:val="24"/>
        </w:rPr>
        <w:t>th</w:t>
      </w:r>
      <w:r w:rsidRPr="001C6724">
        <w:rPr>
          <w:rFonts w:ascii="Times New Roman" w:hAnsi="Times New Roman" w:cs="Times New Roman"/>
          <w:sz w:val="24"/>
          <w:szCs w:val="24"/>
          <w:vertAlign w:val="baseline"/>
        </w:rPr>
        <w:t xml:space="preserve"> session, there was a NGO panel meeting, consisting of eight speakers representing a variety of organisations,</w:t>
      </w:r>
      <w:r w:rsidRPr="001C6724">
        <w:rPr>
          <w:rFonts w:ascii="Times New Roman" w:hAnsi="Times New Roman" w:cs="Times New Roman"/>
          <w:sz w:val="24"/>
          <w:szCs w:val="24"/>
        </w:rPr>
        <w:footnoteReference w:id="1031"/>
      </w:r>
      <w:r w:rsidRPr="001C6724">
        <w:rPr>
          <w:rFonts w:ascii="Times New Roman" w:hAnsi="Times New Roman" w:cs="Times New Roman"/>
          <w:sz w:val="24"/>
          <w:szCs w:val="24"/>
          <w:vertAlign w:val="baseline"/>
        </w:rPr>
        <w:t xml:space="preserve"> discussing the issue of ‘Witchcraft Accusations – Violence and Torture- Women and Children</w:t>
      </w:r>
      <w:r w:rsidR="00B916D7">
        <w:rPr>
          <w:rFonts w:ascii="Times New Roman" w:hAnsi="Times New Roman" w:cs="Times New Roman"/>
          <w:sz w:val="24"/>
          <w:szCs w:val="24"/>
          <w:vertAlign w:val="baseline"/>
        </w:rPr>
        <w:t>.’</w:t>
      </w:r>
      <w:r w:rsidRPr="001C6724">
        <w:rPr>
          <w:rFonts w:ascii="Times New Roman" w:hAnsi="Times New Roman" w:cs="Times New Roman"/>
          <w:sz w:val="24"/>
          <w:szCs w:val="24"/>
          <w:vertAlign w:val="baseline"/>
        </w:rPr>
        <w:t xml:space="preserve"> Marta Santos Pais,</w:t>
      </w:r>
      <w:r w:rsidRPr="001C6724">
        <w:rPr>
          <w:rFonts w:ascii="Times New Roman" w:hAnsi="Times New Roman" w:cs="Times New Roman"/>
          <w:sz w:val="24"/>
          <w:szCs w:val="24"/>
        </w:rPr>
        <w:footnoteReference w:id="1032"/>
      </w:r>
      <w:r w:rsidRPr="001C6724">
        <w:rPr>
          <w:rFonts w:ascii="Times New Roman" w:hAnsi="Times New Roman" w:cs="Times New Roman"/>
          <w:sz w:val="24"/>
          <w:szCs w:val="24"/>
          <w:vertAlign w:val="baseline"/>
        </w:rPr>
        <w:t xml:space="preserve"> in her statement to the panel stated that,</w:t>
      </w:r>
    </w:p>
    <w:p w14:paraId="5D272B49" w14:textId="77777777" w:rsidR="00ED402F" w:rsidRPr="001C6724" w:rsidRDefault="00ED402F" w:rsidP="007E0826">
      <w:pPr>
        <w:spacing w:line="480" w:lineRule="auto"/>
        <w:ind w:firstLine="720"/>
        <w:jc w:val="both"/>
        <w:rPr>
          <w:rFonts w:ascii="Times New Roman" w:hAnsi="Times New Roman" w:cs="Times New Roman"/>
          <w:sz w:val="24"/>
          <w:szCs w:val="24"/>
          <w:vertAlign w:val="baseline"/>
        </w:rPr>
      </w:pPr>
    </w:p>
    <w:p w14:paraId="09DC8FEA" w14:textId="77777777" w:rsidR="001C6724" w:rsidRPr="001C6724" w:rsidRDefault="001C6724" w:rsidP="00977618">
      <w:pPr>
        <w:spacing w:line="480" w:lineRule="auto"/>
        <w:ind w:left="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The belief in witchcraft cuts across all social lines … As we have seen from positive experiences around the world, these strategic recommendations can help prevent and promote the abandonment of these serious practices. Let us therefore keep this topic high in the agenda and join hands to transform them into tangible action.</w:t>
      </w:r>
      <w:r w:rsidRPr="001C6724">
        <w:rPr>
          <w:rFonts w:ascii="Times New Roman" w:hAnsi="Times New Roman" w:cs="Times New Roman"/>
          <w:sz w:val="24"/>
          <w:szCs w:val="24"/>
        </w:rPr>
        <w:footnoteReference w:id="1033"/>
      </w:r>
    </w:p>
    <w:p w14:paraId="6D89B90E"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578D3F00" w14:textId="77777777" w:rsidR="001C6724" w:rsidRPr="001C6724" w:rsidRDefault="001C6724" w:rsidP="00F31C23">
      <w:pPr>
        <w:spacing w:line="480" w:lineRule="auto"/>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This is clearly a positive step in raising the awareness of WAP and the recognition of WAP as a gender issue.</w:t>
      </w:r>
    </w:p>
    <w:p w14:paraId="61B02526"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3D8E1392" w14:textId="2909B54D" w:rsidR="001C6724" w:rsidRPr="001C6724" w:rsidRDefault="006829A7" w:rsidP="0014156E">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5</w:t>
      </w:r>
      <w:r w:rsidR="0014156E">
        <w:rPr>
          <w:rFonts w:ascii="Times New Roman" w:hAnsi="Times New Roman" w:cs="Times New Roman"/>
          <w:b/>
          <w:sz w:val="24"/>
          <w:szCs w:val="24"/>
          <w:u w:val="single"/>
          <w:vertAlign w:val="baseline"/>
        </w:rPr>
        <w:t xml:space="preserve">.12 </w:t>
      </w:r>
      <w:r>
        <w:rPr>
          <w:rFonts w:ascii="Times New Roman" w:hAnsi="Times New Roman" w:cs="Times New Roman"/>
          <w:b/>
          <w:sz w:val="24"/>
          <w:szCs w:val="24"/>
          <w:u w:val="single"/>
          <w:vertAlign w:val="baseline"/>
        </w:rPr>
        <w:t>UN WOMEN</w:t>
      </w:r>
    </w:p>
    <w:p w14:paraId="061B4DF9" w14:textId="24134727" w:rsidR="001C6724" w:rsidRPr="001C6724" w:rsidRDefault="001C6724" w:rsidP="0014156E">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In July 2010, the UN General Assembly created the UN Entity for Gender Equality and the Empowerment of Women (UN Women). The creation of UN Women was part of a UN reform who, by merging four previously distinct components of the UN system, the Division for the Advancement of Women (DAW), International Research and Training Institute for the Advancement of Women (INSTRAW), Office of the Special Adviser on Gender Issues and Advancement of Women (OSAGI) and the United Nations Development Fund for Women (UNIFEM), brought together resources and mandates for greater impact, accelerating the UN’s goals on gender equality and empowerment of women.</w:t>
      </w:r>
      <w:r w:rsidRPr="001C6724">
        <w:rPr>
          <w:rFonts w:ascii="Times New Roman" w:hAnsi="Times New Roman" w:cs="Times New Roman"/>
          <w:sz w:val="24"/>
          <w:szCs w:val="24"/>
        </w:rPr>
        <w:footnoteReference w:id="1034"/>
      </w:r>
      <w:r w:rsidRPr="001C6724">
        <w:rPr>
          <w:rFonts w:ascii="Times New Roman" w:hAnsi="Times New Roman" w:cs="Times New Roman"/>
          <w:sz w:val="24"/>
          <w:szCs w:val="24"/>
          <w:vertAlign w:val="baseline"/>
        </w:rPr>
        <w:t xml:space="preserve"> The mandate of UN Women is to provide support to intergovernmental bodies, such as the CSW, in the development of policies, to assist member states on implementation and building effective relationships with civil society and to guide the UN system on gender equality, promoting accountability through regular monitoring.</w:t>
      </w:r>
      <w:r w:rsidRPr="001C6724">
        <w:rPr>
          <w:rFonts w:ascii="Times New Roman" w:hAnsi="Times New Roman" w:cs="Times New Roman"/>
          <w:sz w:val="24"/>
          <w:szCs w:val="24"/>
        </w:rPr>
        <w:footnoteReference w:id="1035"/>
      </w:r>
      <w:r w:rsidRPr="001C6724">
        <w:rPr>
          <w:rFonts w:ascii="Times New Roman" w:hAnsi="Times New Roman" w:cs="Times New Roman"/>
          <w:sz w:val="24"/>
          <w:szCs w:val="24"/>
          <w:vertAlign w:val="baseline"/>
        </w:rPr>
        <w:t xml:space="preserve"> The issue of WAP has been highlighted by UN Women on four occasions,</w:t>
      </w:r>
      <w:r w:rsidRPr="001C6724">
        <w:rPr>
          <w:rFonts w:ascii="Times New Roman" w:hAnsi="Times New Roman" w:cs="Times New Roman"/>
          <w:sz w:val="24"/>
          <w:szCs w:val="24"/>
        </w:rPr>
        <w:t xml:space="preserve"> </w:t>
      </w:r>
      <w:r w:rsidRPr="001C6724">
        <w:rPr>
          <w:rFonts w:ascii="Times New Roman" w:hAnsi="Times New Roman" w:cs="Times New Roman"/>
          <w:sz w:val="24"/>
          <w:szCs w:val="24"/>
        </w:rPr>
        <w:footnoteReference w:id="1036"/>
      </w:r>
      <w:r w:rsidRPr="001C6724">
        <w:rPr>
          <w:rFonts w:ascii="Times New Roman" w:hAnsi="Times New Roman" w:cs="Times New Roman"/>
          <w:sz w:val="24"/>
          <w:szCs w:val="24"/>
          <w:vertAlign w:val="baseline"/>
        </w:rPr>
        <w:t xml:space="preserve"> three by Michelle Bachelet, Under-Secretary-General and UN Women Executive Director, and most recently by John Hendra, UN Women Deputy Executive Director. In all four reports, witchcraft-related killings are classified as ‘harmful practices’ and are labelled specifically as a form of ‘femicide,’ with the prevalence of WAP in Papua New Guinea highlighted in the two most recent reports.</w:t>
      </w:r>
      <w:r w:rsidRPr="001C6724">
        <w:rPr>
          <w:rFonts w:ascii="Times New Roman" w:hAnsi="Times New Roman" w:cs="Times New Roman"/>
          <w:sz w:val="24"/>
          <w:szCs w:val="24"/>
        </w:rPr>
        <w:footnoteReference w:id="1037"/>
      </w:r>
      <w:r w:rsidRPr="001C6724">
        <w:rPr>
          <w:rFonts w:ascii="Times New Roman" w:hAnsi="Times New Roman" w:cs="Times New Roman"/>
          <w:sz w:val="24"/>
          <w:szCs w:val="24"/>
          <w:vertAlign w:val="baseline"/>
        </w:rPr>
        <w:t xml:space="preserve"> In terms of highlighting WAP, within the UN agenda, the recent work done by UN Women is commendable. For example, i</w:t>
      </w:r>
      <w:r w:rsidR="00553EDD">
        <w:rPr>
          <w:rFonts w:ascii="Times New Roman" w:hAnsi="Times New Roman" w:cs="Times New Roman"/>
          <w:sz w:val="24"/>
          <w:szCs w:val="24"/>
          <w:vertAlign w:val="baseline"/>
        </w:rPr>
        <w:t>n July 2013, UN Women supported</w:t>
      </w:r>
      <w:r w:rsidRPr="001C6724">
        <w:rPr>
          <w:rFonts w:ascii="Times New Roman" w:hAnsi="Times New Roman" w:cs="Times New Roman"/>
          <w:sz w:val="24"/>
          <w:szCs w:val="24"/>
          <w:vertAlign w:val="baseline"/>
        </w:rPr>
        <w:t xml:space="preserve"> the repeal of Papua </w:t>
      </w:r>
      <w:r w:rsidR="007C4D2F">
        <w:rPr>
          <w:rFonts w:ascii="Times New Roman" w:hAnsi="Times New Roman" w:cs="Times New Roman"/>
          <w:sz w:val="24"/>
          <w:szCs w:val="24"/>
          <w:vertAlign w:val="baseline"/>
        </w:rPr>
        <w:t>New Guinea’s Sorcery Act (1971). A</w:t>
      </w:r>
      <w:r w:rsidRPr="001C6724">
        <w:rPr>
          <w:rFonts w:ascii="Times New Roman" w:hAnsi="Times New Roman" w:cs="Times New Roman"/>
          <w:sz w:val="24"/>
          <w:szCs w:val="24"/>
          <w:vertAlign w:val="baseline"/>
        </w:rPr>
        <w:t>s a result of this, witchcraft related violence and killings, in Papua New Guinea, are now triable under common criminal law. However, as already discussed in Chapter four,</w:t>
      </w:r>
      <w:r w:rsidRPr="001C6724">
        <w:rPr>
          <w:rFonts w:ascii="Times New Roman" w:hAnsi="Times New Roman" w:cs="Times New Roman"/>
          <w:sz w:val="24"/>
          <w:szCs w:val="24"/>
        </w:rPr>
        <w:footnoteReference w:id="1038"/>
      </w:r>
      <w:r w:rsidRPr="001C6724">
        <w:rPr>
          <w:rFonts w:ascii="Times New Roman" w:hAnsi="Times New Roman" w:cs="Times New Roman"/>
          <w:sz w:val="24"/>
          <w:szCs w:val="24"/>
          <w:vertAlign w:val="baseline"/>
        </w:rPr>
        <w:t xml:space="preserve"> in doing so Papua New Guinea have extended their use of the death penalty, which has been largely condemned as ‘one step forward in protecting women from violence … but several giant steps back by moving closer to executions.’</w:t>
      </w:r>
      <w:r w:rsidRPr="001C6724">
        <w:rPr>
          <w:rFonts w:ascii="Times New Roman" w:hAnsi="Times New Roman" w:cs="Times New Roman"/>
          <w:sz w:val="24"/>
          <w:szCs w:val="24"/>
        </w:rPr>
        <w:footnoteReference w:id="1039"/>
      </w:r>
    </w:p>
    <w:p w14:paraId="2FC98469"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779F36E4" w14:textId="0FF3E068" w:rsidR="005B6C98" w:rsidRPr="001C6724" w:rsidRDefault="005B6C98" w:rsidP="001E62AB">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5.13</w:t>
      </w:r>
      <w:r w:rsidR="001E62AB">
        <w:rPr>
          <w:rFonts w:ascii="Times New Roman" w:hAnsi="Times New Roman" w:cs="Times New Roman"/>
          <w:b/>
          <w:sz w:val="24"/>
          <w:szCs w:val="24"/>
          <w:u w:val="single"/>
          <w:vertAlign w:val="baseline"/>
        </w:rPr>
        <w:t xml:space="preserve"> </w:t>
      </w:r>
      <w:r w:rsidR="0026048A">
        <w:rPr>
          <w:rFonts w:ascii="Times New Roman" w:hAnsi="Times New Roman" w:cs="Times New Roman"/>
          <w:b/>
          <w:sz w:val="24"/>
          <w:szCs w:val="24"/>
          <w:u w:val="single"/>
          <w:vertAlign w:val="baseline"/>
        </w:rPr>
        <w:t>AFRICAN CHARTER ON HUMAN AND PEOPLE’S RIGHTS</w:t>
      </w:r>
      <w:r w:rsidR="001C6724" w:rsidRPr="001C6724">
        <w:rPr>
          <w:rFonts w:ascii="Times New Roman" w:hAnsi="Times New Roman" w:cs="Times New Roman"/>
          <w:b/>
          <w:sz w:val="24"/>
          <w:szCs w:val="24"/>
          <w:u w:val="single"/>
          <w:vertAlign w:val="baseline"/>
        </w:rPr>
        <w:t xml:space="preserve"> (ACHPR)</w:t>
      </w:r>
    </w:p>
    <w:p w14:paraId="3D4E1598" w14:textId="77777777" w:rsidR="005B6C98" w:rsidRPr="001C6724" w:rsidRDefault="005B6C98" w:rsidP="005B6C98">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 xml:space="preserve">Whilst international human rights instruments hold sway globally, regional human rights instruments are restricted to particular states within particular regions of the world. This thesis focuses on four different countries positioned within different continents, Nepal and India (Asia), Papua New Guinea (Oceania) and Ghana (Africa). Of these regions, Africa is the only continent to produce regional human rights instruments. There are limited regional approaches or regional conventions within Asia and Oceania; however, the aforementioned countries are not party to these. </w:t>
      </w:r>
    </w:p>
    <w:p w14:paraId="7B0612B7" w14:textId="77777777" w:rsidR="001C6724" w:rsidRPr="001C6724" w:rsidRDefault="001C6724" w:rsidP="001C6724">
      <w:pPr>
        <w:spacing w:line="480" w:lineRule="auto"/>
        <w:jc w:val="both"/>
        <w:rPr>
          <w:rFonts w:ascii="Times New Roman" w:hAnsi="Times New Roman" w:cs="Times New Roman"/>
          <w:b/>
          <w:sz w:val="24"/>
          <w:szCs w:val="24"/>
          <w:u w:val="single"/>
          <w:vertAlign w:val="baseline"/>
        </w:rPr>
      </w:pPr>
    </w:p>
    <w:p w14:paraId="3308ED65" w14:textId="5DCC8EF3" w:rsidR="001C6724" w:rsidRPr="001C6724" w:rsidRDefault="001C6724" w:rsidP="0099741B">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The ACHPR</w:t>
      </w:r>
      <w:r w:rsidR="00B6641D">
        <w:rPr>
          <w:rFonts w:ascii="Times New Roman" w:hAnsi="Times New Roman" w:cs="Times New Roman"/>
          <w:sz w:val="24"/>
          <w:szCs w:val="24"/>
          <w:vertAlign w:val="baseline"/>
        </w:rPr>
        <w:t xml:space="preserve"> (1981</w:t>
      </w:r>
      <w:r w:rsidR="00D20ADE">
        <w:rPr>
          <w:rFonts w:ascii="Times New Roman" w:hAnsi="Times New Roman" w:cs="Times New Roman"/>
          <w:sz w:val="24"/>
          <w:szCs w:val="24"/>
          <w:vertAlign w:val="baseline"/>
        </w:rPr>
        <w:t>)</w:t>
      </w:r>
      <w:r w:rsidRPr="001C6724">
        <w:rPr>
          <w:rFonts w:ascii="Times New Roman" w:hAnsi="Times New Roman" w:cs="Times New Roman"/>
          <w:sz w:val="24"/>
          <w:szCs w:val="24"/>
        </w:rPr>
        <w:footnoteReference w:id="1040"/>
      </w:r>
      <w:r w:rsidRPr="001C6724">
        <w:rPr>
          <w:rFonts w:ascii="Times New Roman" w:hAnsi="Times New Roman" w:cs="Times New Roman"/>
          <w:sz w:val="24"/>
          <w:szCs w:val="24"/>
          <w:vertAlign w:val="baseline"/>
        </w:rPr>
        <w:t xml:space="preserve"> </w:t>
      </w:r>
      <w:r w:rsidR="00B6641D">
        <w:rPr>
          <w:rFonts w:ascii="Times New Roman" w:hAnsi="Times New Roman" w:cs="Times New Roman"/>
          <w:sz w:val="24"/>
          <w:szCs w:val="24"/>
          <w:vertAlign w:val="baseline"/>
        </w:rPr>
        <w:t>promotes</w:t>
      </w:r>
      <w:r w:rsidRPr="001C6724">
        <w:rPr>
          <w:rFonts w:ascii="Times New Roman" w:hAnsi="Times New Roman" w:cs="Times New Roman"/>
          <w:sz w:val="24"/>
          <w:szCs w:val="24"/>
          <w:vertAlign w:val="baseline"/>
        </w:rPr>
        <w:t xml:space="preserve"> </w:t>
      </w:r>
      <w:r w:rsidR="00B6641D">
        <w:rPr>
          <w:rFonts w:ascii="Times New Roman" w:hAnsi="Times New Roman" w:cs="Times New Roman"/>
          <w:sz w:val="24"/>
          <w:szCs w:val="24"/>
          <w:vertAlign w:val="baseline"/>
        </w:rPr>
        <w:t>and protects</w:t>
      </w:r>
      <w:r w:rsidRPr="001C6724">
        <w:rPr>
          <w:rFonts w:ascii="Times New Roman" w:hAnsi="Times New Roman" w:cs="Times New Roman"/>
          <w:sz w:val="24"/>
          <w:szCs w:val="24"/>
          <w:vertAlign w:val="baseline"/>
        </w:rPr>
        <w:t xml:space="preserve"> human rights and fundamental freedoms in the African continent. By 1999, the Charter had been ratified by all states within the African Continent excluding South Sudan, to date. The ACHPR is unique in that it covers the rights of both individuals and communities, and also imposes duties on its citizens. Economic, social and cultural rights, and, civil and political rights are catered for within the ACHPR, including rights to non-discrimination (article 2); equality (article 3); life (article 4); prohibition of torture (article 5); protection of the family (article 18), including elimination of discrimination against women (article 18(3)). Following the adoption of the Charter, there were two additional Protocols to the ACHPR. The first Protocol to the ACHPR established the African Court on Human and Peoples’ Rights and was adopted </w:t>
      </w:r>
      <w:r w:rsidR="00D817A3">
        <w:rPr>
          <w:rFonts w:ascii="Times New Roman" w:hAnsi="Times New Roman" w:cs="Times New Roman"/>
          <w:sz w:val="24"/>
          <w:szCs w:val="24"/>
          <w:vertAlign w:val="baseline"/>
        </w:rPr>
        <w:t xml:space="preserve">in </w:t>
      </w:r>
      <w:r w:rsidRPr="001C6724">
        <w:rPr>
          <w:rFonts w:ascii="Times New Roman" w:hAnsi="Times New Roman" w:cs="Times New Roman"/>
          <w:sz w:val="24"/>
          <w:szCs w:val="24"/>
          <w:vertAlign w:val="baseline"/>
        </w:rPr>
        <w:t xml:space="preserve">1998, entering into </w:t>
      </w:r>
      <w:r w:rsidR="00D817A3">
        <w:rPr>
          <w:rFonts w:ascii="Times New Roman" w:hAnsi="Times New Roman" w:cs="Times New Roman"/>
          <w:sz w:val="24"/>
          <w:szCs w:val="24"/>
          <w:vertAlign w:val="baseline"/>
        </w:rPr>
        <w:t>in</w:t>
      </w:r>
      <w:r w:rsidRPr="001C6724">
        <w:rPr>
          <w:rFonts w:ascii="Times New Roman" w:hAnsi="Times New Roman" w:cs="Times New Roman"/>
          <w:sz w:val="24"/>
          <w:szCs w:val="24"/>
          <w:vertAlign w:val="baseline"/>
        </w:rPr>
        <w:t xml:space="preserve"> 2004. </w:t>
      </w:r>
    </w:p>
    <w:p w14:paraId="7887F95B" w14:textId="77777777" w:rsidR="001C6724" w:rsidRPr="001C6724" w:rsidRDefault="001C6724" w:rsidP="001C6724">
      <w:pPr>
        <w:spacing w:line="480" w:lineRule="auto"/>
        <w:jc w:val="both"/>
        <w:rPr>
          <w:rFonts w:ascii="Times New Roman" w:hAnsi="Times New Roman" w:cs="Times New Roman"/>
          <w:b/>
          <w:sz w:val="24"/>
          <w:szCs w:val="24"/>
          <w:u w:val="single"/>
          <w:vertAlign w:val="baseline"/>
        </w:rPr>
      </w:pPr>
    </w:p>
    <w:p w14:paraId="137604B5" w14:textId="216FFF7B" w:rsidR="001C6724" w:rsidRPr="00022FC1" w:rsidRDefault="00022FC1" w:rsidP="00BA51FA">
      <w:pPr>
        <w:spacing w:line="480" w:lineRule="auto"/>
        <w:jc w:val="both"/>
        <w:rPr>
          <w:rFonts w:ascii="Times New Roman" w:hAnsi="Times New Roman" w:cs="Times New Roman"/>
          <w:b/>
          <w:i/>
          <w:sz w:val="24"/>
          <w:szCs w:val="24"/>
          <w:vertAlign w:val="baseline"/>
        </w:rPr>
      </w:pPr>
      <w:r w:rsidRPr="00022FC1">
        <w:rPr>
          <w:rFonts w:ascii="Times New Roman" w:hAnsi="Times New Roman" w:cs="Times New Roman"/>
          <w:b/>
          <w:i/>
          <w:sz w:val="24"/>
          <w:szCs w:val="24"/>
          <w:vertAlign w:val="baseline"/>
        </w:rPr>
        <w:t>5.13.1</w:t>
      </w:r>
      <w:r w:rsidR="00BA51FA" w:rsidRPr="00022FC1">
        <w:rPr>
          <w:rFonts w:ascii="Times New Roman" w:hAnsi="Times New Roman" w:cs="Times New Roman"/>
          <w:b/>
          <w:i/>
          <w:sz w:val="24"/>
          <w:szCs w:val="24"/>
          <w:vertAlign w:val="baseline"/>
        </w:rPr>
        <w:t xml:space="preserve"> </w:t>
      </w:r>
      <w:r w:rsidR="001C6724" w:rsidRPr="00022FC1">
        <w:rPr>
          <w:rFonts w:ascii="Times New Roman" w:hAnsi="Times New Roman" w:cs="Times New Roman"/>
          <w:b/>
          <w:i/>
          <w:sz w:val="24"/>
          <w:szCs w:val="24"/>
          <w:vertAlign w:val="baseline"/>
        </w:rPr>
        <w:t>Protocol to the ACHPR on the Rights of Women in Africa</w:t>
      </w:r>
    </w:p>
    <w:p w14:paraId="42B4786B" w14:textId="15A345B1" w:rsidR="00ED402F" w:rsidRPr="001C6724" w:rsidRDefault="001C6724" w:rsidP="005D63DE">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Following concern that ‘despite the ratification of the ACHPR and other international human rights instruments by the majority of States Parties</w:t>
      </w:r>
      <w:r w:rsidR="005D63DE">
        <w:rPr>
          <w:rFonts w:ascii="Times New Roman" w:hAnsi="Times New Roman" w:cs="Times New Roman"/>
          <w:sz w:val="24"/>
          <w:szCs w:val="24"/>
          <w:vertAlign w:val="baseline"/>
        </w:rPr>
        <w:t xml:space="preserve"> </w:t>
      </w:r>
      <w:r w:rsidRPr="001C6724">
        <w:rPr>
          <w:rFonts w:ascii="Times New Roman" w:hAnsi="Times New Roman" w:cs="Times New Roman"/>
          <w:sz w:val="24"/>
          <w:szCs w:val="24"/>
          <w:vertAlign w:val="baseline"/>
        </w:rPr>
        <w:t>…</w:t>
      </w:r>
      <w:r w:rsidR="005D63DE">
        <w:rPr>
          <w:rFonts w:ascii="Times New Roman" w:hAnsi="Times New Roman" w:cs="Times New Roman"/>
          <w:sz w:val="24"/>
          <w:szCs w:val="24"/>
          <w:vertAlign w:val="baseline"/>
        </w:rPr>
        <w:t xml:space="preserve"> </w:t>
      </w:r>
      <w:r w:rsidRPr="001C6724">
        <w:rPr>
          <w:rFonts w:ascii="Times New Roman" w:hAnsi="Times New Roman" w:cs="Times New Roman"/>
          <w:sz w:val="24"/>
          <w:szCs w:val="24"/>
          <w:vertAlign w:val="baseline"/>
        </w:rPr>
        <w:t>women in Africa still continue to be victims of discrimination and harmful practices,’</w:t>
      </w:r>
      <w:r w:rsidRPr="001C6724">
        <w:rPr>
          <w:rFonts w:ascii="Times New Roman" w:hAnsi="Times New Roman" w:cs="Times New Roman"/>
          <w:sz w:val="24"/>
          <w:szCs w:val="24"/>
        </w:rPr>
        <w:footnoteReference w:id="1041"/>
      </w:r>
      <w:r w:rsidRPr="001C6724">
        <w:rPr>
          <w:rFonts w:ascii="Times New Roman" w:hAnsi="Times New Roman" w:cs="Times New Roman"/>
          <w:sz w:val="24"/>
          <w:szCs w:val="24"/>
          <w:vertAlign w:val="baseline"/>
        </w:rPr>
        <w:t xml:space="preserve"> the second Protocol, the Protocol to ACHPR on the Rights of Women in Africa (Women’s Rights Protocol) was adopted </w:t>
      </w:r>
      <w:r w:rsidR="00EA44C5">
        <w:rPr>
          <w:rFonts w:ascii="Times New Roman" w:hAnsi="Times New Roman" w:cs="Times New Roman"/>
          <w:sz w:val="24"/>
          <w:szCs w:val="24"/>
          <w:vertAlign w:val="baseline"/>
        </w:rPr>
        <w:t>in</w:t>
      </w:r>
      <w:r w:rsidRPr="001C6724">
        <w:rPr>
          <w:rFonts w:ascii="Times New Roman" w:hAnsi="Times New Roman" w:cs="Times New Roman"/>
          <w:sz w:val="24"/>
          <w:szCs w:val="24"/>
          <w:vertAlign w:val="baseline"/>
        </w:rPr>
        <w:t xml:space="preserve"> 2003</w:t>
      </w:r>
      <w:r w:rsidR="00EA44C5">
        <w:rPr>
          <w:rStyle w:val="FootnoteReference"/>
          <w:rFonts w:ascii="Times New Roman" w:hAnsi="Times New Roman" w:cs="Times New Roman"/>
          <w:sz w:val="24"/>
          <w:szCs w:val="24"/>
        </w:rPr>
        <w:footnoteReference w:id="1042"/>
      </w:r>
      <w:r w:rsidRPr="001C6724">
        <w:rPr>
          <w:rFonts w:ascii="Times New Roman" w:hAnsi="Times New Roman" w:cs="Times New Roman"/>
          <w:sz w:val="24"/>
          <w:szCs w:val="24"/>
          <w:vertAlign w:val="baseline"/>
        </w:rPr>
        <w:t xml:space="preserve"> </w:t>
      </w:r>
      <w:r w:rsidR="00EA44C5">
        <w:rPr>
          <w:rFonts w:ascii="Times New Roman" w:hAnsi="Times New Roman" w:cs="Times New Roman"/>
          <w:sz w:val="24"/>
          <w:szCs w:val="24"/>
          <w:vertAlign w:val="baseline"/>
        </w:rPr>
        <w:t xml:space="preserve">and </w:t>
      </w:r>
      <w:r w:rsidRPr="001C6724">
        <w:rPr>
          <w:rFonts w:ascii="Times New Roman" w:hAnsi="Times New Roman" w:cs="Times New Roman"/>
          <w:sz w:val="24"/>
          <w:szCs w:val="24"/>
          <w:vertAlign w:val="baseline"/>
        </w:rPr>
        <w:t xml:space="preserve">was subsequently ratified by Ghana </w:t>
      </w:r>
      <w:r w:rsidR="00EA44C5">
        <w:rPr>
          <w:rFonts w:ascii="Times New Roman" w:hAnsi="Times New Roman" w:cs="Times New Roman"/>
          <w:sz w:val="24"/>
          <w:szCs w:val="24"/>
          <w:vertAlign w:val="baseline"/>
        </w:rPr>
        <w:t>in</w:t>
      </w:r>
      <w:r w:rsidRPr="001C6724">
        <w:rPr>
          <w:rFonts w:ascii="Times New Roman" w:hAnsi="Times New Roman" w:cs="Times New Roman"/>
          <w:sz w:val="24"/>
          <w:szCs w:val="24"/>
          <w:vertAlign w:val="baseline"/>
        </w:rPr>
        <w:t xml:space="preserve"> 2007. The Women’s Rights Protocol was revolutionary in terms of women’s rights in Africa, strengthening the African Charter’s provisions on gender equality whilst also tackling the inadequacies of the ACHPR, such as the failure to explicitly define discrimination against women and its emphasis on traditional values and practices, which more often than not impede the advancement of women’s rights in Africa.</w:t>
      </w:r>
      <w:r w:rsidRPr="001C6724">
        <w:rPr>
          <w:rFonts w:ascii="Times New Roman" w:hAnsi="Times New Roman" w:cs="Times New Roman"/>
          <w:sz w:val="24"/>
          <w:szCs w:val="24"/>
        </w:rPr>
        <w:footnoteReference w:id="1043"/>
      </w:r>
      <w:r w:rsidRPr="001C6724">
        <w:rPr>
          <w:rFonts w:ascii="Times New Roman" w:hAnsi="Times New Roman" w:cs="Times New Roman"/>
          <w:sz w:val="24"/>
          <w:szCs w:val="24"/>
          <w:vertAlign w:val="baseline"/>
        </w:rPr>
        <w:t xml:space="preserve"> The Women’s Rights Protocol provides, in article 1, definitions of the terms ‘discrimination against women,’</w:t>
      </w:r>
      <w:r w:rsidRPr="001C6724">
        <w:rPr>
          <w:rFonts w:ascii="Times New Roman" w:hAnsi="Times New Roman" w:cs="Times New Roman"/>
          <w:sz w:val="24"/>
          <w:szCs w:val="24"/>
        </w:rPr>
        <w:footnoteReference w:id="1044"/>
      </w:r>
      <w:r w:rsidRPr="001C6724">
        <w:rPr>
          <w:rFonts w:ascii="Times New Roman" w:hAnsi="Times New Roman" w:cs="Times New Roman"/>
          <w:sz w:val="24"/>
          <w:szCs w:val="24"/>
          <w:vertAlign w:val="baseline"/>
        </w:rPr>
        <w:t xml:space="preserve"> ‘harmful practices,’</w:t>
      </w:r>
      <w:r w:rsidRPr="001C6724">
        <w:rPr>
          <w:rFonts w:ascii="Times New Roman" w:hAnsi="Times New Roman" w:cs="Times New Roman"/>
          <w:sz w:val="24"/>
          <w:szCs w:val="24"/>
        </w:rPr>
        <w:footnoteReference w:id="1045"/>
      </w:r>
      <w:r w:rsidRPr="001C6724">
        <w:rPr>
          <w:rFonts w:ascii="Times New Roman" w:hAnsi="Times New Roman" w:cs="Times New Roman"/>
          <w:sz w:val="24"/>
          <w:szCs w:val="24"/>
          <w:vertAlign w:val="baseline"/>
        </w:rPr>
        <w:t xml:space="preserve"> and ‘violence against women.’</w:t>
      </w:r>
      <w:r w:rsidRPr="001C6724">
        <w:rPr>
          <w:rFonts w:ascii="Times New Roman" w:hAnsi="Times New Roman" w:cs="Times New Roman"/>
          <w:sz w:val="24"/>
          <w:szCs w:val="24"/>
        </w:rPr>
        <w:footnoteReference w:id="1046"/>
      </w:r>
      <w:r w:rsidRPr="001C6724">
        <w:rPr>
          <w:rFonts w:ascii="Times New Roman" w:hAnsi="Times New Roman" w:cs="Times New Roman"/>
          <w:sz w:val="24"/>
          <w:szCs w:val="24"/>
          <w:vertAlign w:val="baseline"/>
        </w:rPr>
        <w:t xml:space="preserve"> In terms of WAP, in Ghana, there are several relevant articles of the Women’s Rights Charter that need to be considered. Whilst article 3 (Right to Dignity) guarantees women the right to respect, thus, protecting women from all forms of VAW, its focus is primarily on sexual and verbal violence.</w:t>
      </w:r>
      <w:r w:rsidRPr="001C6724">
        <w:rPr>
          <w:rFonts w:ascii="Times New Roman" w:hAnsi="Times New Roman" w:cs="Times New Roman"/>
          <w:sz w:val="24"/>
          <w:szCs w:val="24"/>
        </w:rPr>
        <w:footnoteReference w:id="1047"/>
      </w:r>
      <w:r w:rsidRPr="001C6724">
        <w:rPr>
          <w:rFonts w:ascii="Times New Roman" w:hAnsi="Times New Roman" w:cs="Times New Roman"/>
          <w:sz w:val="24"/>
          <w:szCs w:val="24"/>
          <w:vertAlign w:val="baseline"/>
        </w:rPr>
        <w:t xml:space="preserve"> However, article 4 (Right to Life, Integrity and Security) focuses on the issue of VAW in both public and private spheres. Within article 4, States are required to enforce laws against all forms of VAW and to ‘eradicate elements in traditional beliefs, practices and stereotypes which legitimise and exacerbate the persistence and tolerance of VAW.’</w:t>
      </w:r>
      <w:r w:rsidRPr="001C6724">
        <w:rPr>
          <w:rFonts w:ascii="Times New Roman" w:hAnsi="Times New Roman" w:cs="Times New Roman"/>
          <w:sz w:val="24"/>
          <w:szCs w:val="24"/>
        </w:rPr>
        <w:footnoteReference w:id="1048"/>
      </w:r>
      <w:r w:rsidRPr="001C6724">
        <w:rPr>
          <w:rFonts w:ascii="Times New Roman" w:hAnsi="Times New Roman" w:cs="Times New Roman"/>
          <w:sz w:val="24"/>
          <w:szCs w:val="24"/>
          <w:vertAlign w:val="baseline"/>
        </w:rPr>
        <w:t xml:space="preserve"> In conjunction with article 4, article 5 (elimination of harmful practices) is of particular importance, imposing ‘positive obligations on States Parties to prohibit and condemn all forms of harmful practices, including by laws, policies and educational measures, which negatively affect the human rights of women.’</w:t>
      </w:r>
      <w:r w:rsidRPr="001C6724">
        <w:rPr>
          <w:rFonts w:ascii="Times New Roman" w:hAnsi="Times New Roman" w:cs="Times New Roman"/>
          <w:sz w:val="24"/>
          <w:szCs w:val="24"/>
        </w:rPr>
        <w:footnoteReference w:id="1049"/>
      </w:r>
      <w:r w:rsidRPr="001C6724">
        <w:rPr>
          <w:rFonts w:ascii="Times New Roman" w:hAnsi="Times New Roman" w:cs="Times New Roman"/>
          <w:sz w:val="24"/>
          <w:szCs w:val="24"/>
          <w:vertAlign w:val="baseline"/>
        </w:rPr>
        <w:t xml:space="preserve"> However, whilst ‘harmful practices’ is defined in article 1 as, ‘all behaviour, attitudes and/or practices which negatively affect the fundamental rights of women and girls, such as their right to life, health, dignity, education and physical integrity,’ the focus, in article 5 is on female genital mutilation (FGM). FGM is clearly identified within article 5, yet other forms of ‘harmful practices’ are not. It is evident that there is an issue with what ‘types’ of practices come under the ambit of ‘harmful practices.’ Considering the target of WAP in Ghana is generally the elderly and widowed, and also bearing in mind the standard of living within the ‘witch-camps’ set up to house these women, article 16 (Right to Adequate Housing),</w:t>
      </w:r>
      <w:r w:rsidRPr="001C6724">
        <w:rPr>
          <w:rFonts w:ascii="Times New Roman" w:hAnsi="Times New Roman" w:cs="Times New Roman"/>
          <w:sz w:val="24"/>
          <w:szCs w:val="24"/>
        </w:rPr>
        <w:footnoteReference w:id="1050"/>
      </w:r>
      <w:r w:rsidRPr="001C6724">
        <w:rPr>
          <w:rFonts w:ascii="Times New Roman" w:hAnsi="Times New Roman" w:cs="Times New Roman"/>
          <w:sz w:val="24"/>
          <w:szCs w:val="24"/>
          <w:vertAlign w:val="baseline"/>
        </w:rPr>
        <w:t xml:space="preserve"> article 20 (Widow’s rights)</w:t>
      </w:r>
      <w:r w:rsidRPr="001C6724">
        <w:rPr>
          <w:rFonts w:ascii="Times New Roman" w:hAnsi="Times New Roman" w:cs="Times New Roman"/>
          <w:sz w:val="24"/>
          <w:szCs w:val="24"/>
        </w:rPr>
        <w:footnoteReference w:id="1051"/>
      </w:r>
      <w:r w:rsidRPr="001C6724">
        <w:rPr>
          <w:rFonts w:ascii="Times New Roman" w:hAnsi="Times New Roman" w:cs="Times New Roman"/>
          <w:sz w:val="24"/>
          <w:szCs w:val="24"/>
          <w:vertAlign w:val="baseline"/>
        </w:rPr>
        <w:t xml:space="preserve"> and article 22 (Special protection of elderly women)</w:t>
      </w:r>
      <w:r w:rsidRPr="001C6724">
        <w:rPr>
          <w:rFonts w:ascii="Times New Roman" w:hAnsi="Times New Roman" w:cs="Times New Roman"/>
          <w:sz w:val="24"/>
          <w:szCs w:val="24"/>
        </w:rPr>
        <w:footnoteReference w:id="1052"/>
      </w:r>
      <w:r w:rsidRPr="001C6724">
        <w:rPr>
          <w:rFonts w:ascii="Times New Roman" w:hAnsi="Times New Roman" w:cs="Times New Roman"/>
          <w:sz w:val="24"/>
          <w:szCs w:val="24"/>
          <w:vertAlign w:val="baseline"/>
        </w:rPr>
        <w:t xml:space="preserve"> are also of significant importance.</w:t>
      </w:r>
    </w:p>
    <w:p w14:paraId="371B63A8" w14:textId="3B914CE1" w:rsidR="00970DFD" w:rsidRDefault="001C6724" w:rsidP="00970DFD">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 xml:space="preserve">Whilst the Protocol to the ACHPR, concerning the rights of women in Africa, was progressive in terms of strengthening the rights of women under the ACHPR, unfortunately, it would appear that, it is failing in what it set out to do. The Protocol was designed to rectify the shortfalls of the Charter, essentially tackling the issue of traditional harmful practices by removing all elements of traditional laws and beliefs that legitimised and exacerbated VAW. </w:t>
      </w:r>
      <w:r w:rsidR="00211DAA">
        <w:rPr>
          <w:rFonts w:ascii="Times New Roman" w:hAnsi="Times New Roman" w:cs="Times New Roman"/>
          <w:sz w:val="24"/>
          <w:szCs w:val="24"/>
          <w:vertAlign w:val="baseline"/>
        </w:rPr>
        <w:t xml:space="preserve">However, </w:t>
      </w:r>
      <w:r w:rsidR="00EC17FE">
        <w:rPr>
          <w:rFonts w:ascii="Times New Roman" w:hAnsi="Times New Roman" w:cs="Times New Roman"/>
          <w:sz w:val="24"/>
          <w:szCs w:val="24"/>
          <w:vertAlign w:val="baseline"/>
        </w:rPr>
        <w:t>traditional harmful practices, in particular WAP, remain prevalent within Ghana.</w:t>
      </w:r>
      <w:r w:rsidR="00E253CC">
        <w:rPr>
          <w:rFonts w:ascii="Times New Roman" w:hAnsi="Times New Roman" w:cs="Times New Roman"/>
          <w:sz w:val="24"/>
          <w:szCs w:val="24"/>
          <w:vertAlign w:val="baseline"/>
        </w:rPr>
        <w:t xml:space="preserve"> </w:t>
      </w:r>
      <w:r w:rsidR="007D6B5F">
        <w:rPr>
          <w:rFonts w:ascii="Times New Roman" w:hAnsi="Times New Roman" w:cs="Times New Roman"/>
          <w:sz w:val="24"/>
          <w:szCs w:val="24"/>
          <w:vertAlign w:val="baseline"/>
        </w:rPr>
        <w:t>T</w:t>
      </w:r>
      <w:r w:rsidR="00E253CC">
        <w:rPr>
          <w:rFonts w:ascii="Times New Roman" w:hAnsi="Times New Roman" w:cs="Times New Roman"/>
          <w:sz w:val="24"/>
          <w:szCs w:val="24"/>
          <w:vertAlign w:val="baseline"/>
        </w:rPr>
        <w:t>he effect of the Protocol is dependent on effective implementation on a national level</w:t>
      </w:r>
      <w:r w:rsidR="0096799D">
        <w:rPr>
          <w:rFonts w:ascii="Times New Roman" w:hAnsi="Times New Roman" w:cs="Times New Roman"/>
          <w:sz w:val="24"/>
          <w:szCs w:val="24"/>
          <w:vertAlign w:val="baseline"/>
        </w:rPr>
        <w:t xml:space="preserve"> and there </w:t>
      </w:r>
      <w:r w:rsidR="0061098D">
        <w:rPr>
          <w:rFonts w:ascii="Times New Roman" w:hAnsi="Times New Roman" w:cs="Times New Roman"/>
          <w:sz w:val="24"/>
          <w:szCs w:val="24"/>
          <w:vertAlign w:val="baseline"/>
        </w:rPr>
        <w:t>have been notable problems</w:t>
      </w:r>
      <w:r w:rsidR="00D817A3">
        <w:rPr>
          <w:rFonts w:ascii="Times New Roman" w:hAnsi="Times New Roman" w:cs="Times New Roman"/>
          <w:sz w:val="24"/>
          <w:szCs w:val="24"/>
          <w:vertAlign w:val="baseline"/>
        </w:rPr>
        <w:t xml:space="preserve"> in the implementation of the ACHPR</w:t>
      </w:r>
      <w:r w:rsidR="00467294">
        <w:rPr>
          <w:rFonts w:ascii="Times New Roman" w:hAnsi="Times New Roman" w:cs="Times New Roman"/>
          <w:sz w:val="24"/>
          <w:szCs w:val="24"/>
          <w:vertAlign w:val="baseline"/>
        </w:rPr>
        <w:t xml:space="preserve"> in Ghana</w:t>
      </w:r>
      <w:r w:rsidR="0061098D">
        <w:rPr>
          <w:rFonts w:ascii="Times New Roman" w:hAnsi="Times New Roman" w:cs="Times New Roman"/>
          <w:sz w:val="24"/>
          <w:szCs w:val="24"/>
          <w:vertAlign w:val="baseline"/>
        </w:rPr>
        <w:t>,</w:t>
      </w:r>
      <w:r w:rsidR="00467294">
        <w:rPr>
          <w:rFonts w:ascii="Times New Roman" w:hAnsi="Times New Roman" w:cs="Times New Roman"/>
          <w:sz w:val="24"/>
          <w:szCs w:val="24"/>
          <w:vertAlign w:val="baseline"/>
        </w:rPr>
        <w:t xml:space="preserve"> as demonstrated within Ghana’s second periodic </w:t>
      </w:r>
      <w:r w:rsidR="00F62D2C">
        <w:rPr>
          <w:rFonts w:ascii="Times New Roman" w:hAnsi="Times New Roman" w:cs="Times New Roman"/>
          <w:sz w:val="24"/>
          <w:szCs w:val="24"/>
          <w:vertAlign w:val="baseline"/>
        </w:rPr>
        <w:t>report to the African Commission on Human and People’s Rights.</w:t>
      </w:r>
      <w:r w:rsidR="00F62D2C">
        <w:rPr>
          <w:rStyle w:val="FootnoteReference"/>
          <w:rFonts w:ascii="Times New Roman" w:hAnsi="Times New Roman" w:cs="Times New Roman"/>
          <w:sz w:val="24"/>
          <w:szCs w:val="24"/>
        </w:rPr>
        <w:footnoteReference w:id="1053"/>
      </w:r>
      <w:r w:rsidR="00F62D2C">
        <w:rPr>
          <w:rFonts w:ascii="Times New Roman" w:hAnsi="Times New Roman" w:cs="Times New Roman"/>
          <w:sz w:val="24"/>
          <w:szCs w:val="24"/>
          <w:vertAlign w:val="baseline"/>
        </w:rPr>
        <w:t xml:space="preserve"> Within this report it makes reference to ‘the continued existence of a patriarchal social order that is buttressed by widespread ignorance of rights and a relatively low literacy level’ as one of the hindrances to human rights enjoyment in Ghana.</w:t>
      </w:r>
      <w:r w:rsidR="00F62D2C">
        <w:rPr>
          <w:rStyle w:val="FootnoteReference"/>
          <w:rFonts w:ascii="Times New Roman" w:hAnsi="Times New Roman" w:cs="Times New Roman"/>
          <w:sz w:val="24"/>
          <w:szCs w:val="24"/>
        </w:rPr>
        <w:footnoteReference w:id="1054"/>
      </w:r>
      <w:r w:rsidR="00970DFD">
        <w:rPr>
          <w:rFonts w:ascii="Times New Roman" w:hAnsi="Times New Roman" w:cs="Times New Roman"/>
          <w:sz w:val="24"/>
          <w:szCs w:val="24"/>
          <w:vertAlign w:val="baseline"/>
        </w:rPr>
        <w:t xml:space="preserve"> Moreover, the report also recognises ‘deeply-ingrained cultural attitudes of subordination and subjection’ towards women, who are encouraged to ‘give it all to God, rather than to pursue their rights and seek redress for rights violations perpetrated by husbands, parents, police officers or employers.’</w:t>
      </w:r>
      <w:r w:rsidR="00970DFD">
        <w:rPr>
          <w:rStyle w:val="FootnoteReference"/>
          <w:rFonts w:ascii="Times New Roman" w:hAnsi="Times New Roman" w:cs="Times New Roman"/>
          <w:sz w:val="24"/>
          <w:szCs w:val="24"/>
        </w:rPr>
        <w:footnoteReference w:id="1055"/>
      </w:r>
      <w:r w:rsidR="00900F48">
        <w:rPr>
          <w:rFonts w:ascii="Times New Roman" w:hAnsi="Times New Roman" w:cs="Times New Roman"/>
          <w:sz w:val="24"/>
          <w:szCs w:val="24"/>
          <w:vertAlign w:val="baseline"/>
        </w:rPr>
        <w:t xml:space="preserve"> Thus, this report clarifies the dominance of cultural and traditional customs in Ghana over human rights norms.</w:t>
      </w:r>
    </w:p>
    <w:p w14:paraId="7059AC87" w14:textId="77777777" w:rsidR="00F043C3" w:rsidRPr="001C6724" w:rsidRDefault="00F043C3" w:rsidP="001C6724">
      <w:pPr>
        <w:spacing w:line="480" w:lineRule="auto"/>
        <w:jc w:val="both"/>
        <w:rPr>
          <w:rFonts w:ascii="Times New Roman" w:hAnsi="Times New Roman" w:cs="Times New Roman"/>
          <w:b/>
          <w:sz w:val="24"/>
          <w:szCs w:val="24"/>
          <w:u w:val="single"/>
          <w:vertAlign w:val="baseline"/>
        </w:rPr>
      </w:pPr>
    </w:p>
    <w:p w14:paraId="1985744A" w14:textId="65ED87C5" w:rsidR="001C6724" w:rsidRDefault="00F47CD1" w:rsidP="00F93585">
      <w:pPr>
        <w:spacing w:line="36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5</w:t>
      </w:r>
      <w:r w:rsidR="000A6308">
        <w:rPr>
          <w:rFonts w:ascii="Times New Roman" w:hAnsi="Times New Roman" w:cs="Times New Roman"/>
          <w:b/>
          <w:sz w:val="24"/>
          <w:szCs w:val="24"/>
          <w:u w:val="single"/>
          <w:vertAlign w:val="baseline"/>
        </w:rPr>
        <w:t>.14</w:t>
      </w:r>
      <w:r w:rsidR="00281DC1">
        <w:rPr>
          <w:rFonts w:ascii="Times New Roman" w:hAnsi="Times New Roman" w:cs="Times New Roman"/>
          <w:b/>
          <w:sz w:val="24"/>
          <w:szCs w:val="24"/>
          <w:u w:val="single"/>
          <w:vertAlign w:val="baseline"/>
        </w:rPr>
        <w:t xml:space="preserve"> </w:t>
      </w:r>
      <w:r w:rsidR="00F93585" w:rsidRPr="00F93585">
        <w:rPr>
          <w:rFonts w:ascii="Times New Roman" w:hAnsi="Times New Roman" w:cs="Times New Roman"/>
          <w:b/>
          <w:sz w:val="24"/>
          <w:szCs w:val="24"/>
          <w:u w:val="single"/>
          <w:vertAlign w:val="baseline"/>
        </w:rPr>
        <w:t>CONCLUDING REMARKS</w:t>
      </w:r>
      <w:r w:rsidR="00AC2A80">
        <w:rPr>
          <w:rFonts w:ascii="Times New Roman" w:hAnsi="Times New Roman" w:cs="Times New Roman"/>
          <w:b/>
          <w:sz w:val="24"/>
          <w:szCs w:val="24"/>
          <w:u w:val="single"/>
          <w:vertAlign w:val="baseline"/>
        </w:rPr>
        <w:t xml:space="preserve">: AN EVALUATION OF </w:t>
      </w:r>
      <w:r w:rsidR="00F93585" w:rsidRPr="00F93585">
        <w:rPr>
          <w:rFonts w:ascii="Times New Roman" w:hAnsi="Times New Roman" w:cs="Times New Roman"/>
          <w:b/>
          <w:sz w:val="24"/>
          <w:szCs w:val="24"/>
          <w:u w:val="single"/>
          <w:vertAlign w:val="baseline"/>
        </w:rPr>
        <w:t>THE EFFECTIVENESS OF INTERNATIONAL HUMAN RIGHTS LAW IN PROTECTING WOMEN FROM WITCHCRAFT ACCUSATIONS AND PERSECUTION</w:t>
      </w:r>
    </w:p>
    <w:p w14:paraId="3CBEF1DA" w14:textId="77777777" w:rsidR="00F93585" w:rsidRPr="001C6724" w:rsidRDefault="00F93585" w:rsidP="001C6724">
      <w:pPr>
        <w:spacing w:line="480" w:lineRule="auto"/>
        <w:jc w:val="both"/>
        <w:rPr>
          <w:rFonts w:ascii="Times New Roman" w:hAnsi="Times New Roman" w:cs="Times New Roman"/>
          <w:b/>
          <w:sz w:val="24"/>
          <w:szCs w:val="24"/>
          <w:u w:val="single"/>
          <w:vertAlign w:val="baseline"/>
        </w:rPr>
      </w:pPr>
    </w:p>
    <w:p w14:paraId="1B7C9F2D" w14:textId="77777777" w:rsidR="001C6724" w:rsidRPr="001C6724" w:rsidRDefault="001C6724" w:rsidP="00BD0F2D">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The creation of the human rights treaty bodies and the development of the treaty body system is, notably, one of the greatest triumphs in the efforts of the international community to promote and protect human rights.</w:t>
      </w:r>
      <w:r w:rsidRPr="001C6724">
        <w:rPr>
          <w:rFonts w:ascii="Times New Roman" w:hAnsi="Times New Roman" w:cs="Times New Roman"/>
          <w:sz w:val="24"/>
          <w:szCs w:val="24"/>
        </w:rPr>
        <w:footnoteReference w:id="1056"/>
      </w:r>
      <w:r w:rsidRPr="001C6724">
        <w:rPr>
          <w:rFonts w:ascii="Times New Roman" w:hAnsi="Times New Roman" w:cs="Times New Roman"/>
          <w:sz w:val="24"/>
          <w:szCs w:val="24"/>
          <w:vertAlign w:val="baseline"/>
        </w:rPr>
        <w:t xml:space="preserve"> However, in a time where human rights violations are on the increase,</w:t>
      </w:r>
      <w:r w:rsidRPr="001C6724">
        <w:rPr>
          <w:rFonts w:ascii="Times New Roman" w:hAnsi="Times New Roman" w:cs="Times New Roman"/>
          <w:sz w:val="24"/>
          <w:szCs w:val="24"/>
        </w:rPr>
        <w:footnoteReference w:id="1057"/>
      </w:r>
      <w:r w:rsidRPr="001C6724">
        <w:rPr>
          <w:rFonts w:ascii="Times New Roman" w:hAnsi="Times New Roman" w:cs="Times New Roman"/>
          <w:sz w:val="24"/>
          <w:szCs w:val="24"/>
          <w:vertAlign w:val="baseline"/>
        </w:rPr>
        <w:t xml:space="preserve"> international human rights are failing those very people the system was designed to protect. One of the most problematic issues within this system is, undoubtedly, the reporting process. A process that was devised to be ‘continuous and dynamic,’</w:t>
      </w:r>
      <w:r w:rsidRPr="001C6724">
        <w:rPr>
          <w:rFonts w:ascii="Times New Roman" w:hAnsi="Times New Roman" w:cs="Times New Roman"/>
          <w:sz w:val="24"/>
          <w:szCs w:val="24"/>
        </w:rPr>
        <w:footnoteReference w:id="1058"/>
      </w:r>
      <w:r w:rsidRPr="001C6724">
        <w:rPr>
          <w:rFonts w:ascii="Times New Roman" w:hAnsi="Times New Roman" w:cs="Times New Roman"/>
          <w:sz w:val="24"/>
          <w:szCs w:val="24"/>
          <w:vertAlign w:val="baseline"/>
        </w:rPr>
        <w:t xml:space="preserve"> is failing due to a lack of compliance by states in preparing reports, failure to follow up and act on recommendations issued to them and a failure to implement treaties into national law. There are significant problems with the enforceability of human rights standards; thus, enforceability remains a major weakness of the human rights system. Essentially, if a state refuses to comply with provisions, bodies such as the CEDAW Committee cannot impose sanctions.</w:t>
      </w:r>
      <w:r w:rsidRPr="001C6724">
        <w:rPr>
          <w:rFonts w:ascii="Times New Roman" w:hAnsi="Times New Roman" w:cs="Times New Roman"/>
          <w:sz w:val="24"/>
          <w:szCs w:val="24"/>
        </w:rPr>
        <w:footnoteReference w:id="1059"/>
      </w:r>
      <w:r w:rsidRPr="001C6724">
        <w:rPr>
          <w:rFonts w:ascii="Times New Roman" w:hAnsi="Times New Roman" w:cs="Times New Roman"/>
          <w:sz w:val="24"/>
          <w:szCs w:val="24"/>
          <w:vertAlign w:val="baseline"/>
        </w:rPr>
        <w:t xml:space="preserve"> They can only comment on such failures in their Annual Report to the General Assembly, as outlined in Article 21 CEDAW. The high numbers of states that have failed to submit reports on time indicates that states do not regard this form of punishment to be of any major significance.</w:t>
      </w:r>
      <w:r w:rsidRPr="001C6724">
        <w:rPr>
          <w:rFonts w:ascii="Times New Roman" w:hAnsi="Times New Roman" w:cs="Times New Roman"/>
          <w:sz w:val="24"/>
          <w:szCs w:val="24"/>
        </w:rPr>
        <w:footnoteReference w:id="1060"/>
      </w:r>
      <w:r w:rsidRPr="001C6724">
        <w:rPr>
          <w:rFonts w:ascii="Times New Roman" w:hAnsi="Times New Roman" w:cs="Times New Roman"/>
          <w:sz w:val="24"/>
          <w:szCs w:val="24"/>
          <w:vertAlign w:val="baseline"/>
        </w:rPr>
        <w:t xml:space="preserve"> As documented in the 2012 ‘United Nations reform: measures and proposals’</w:t>
      </w:r>
      <w:r w:rsidRPr="001C6724">
        <w:rPr>
          <w:rFonts w:ascii="Times New Roman" w:hAnsi="Times New Roman" w:cs="Times New Roman"/>
          <w:sz w:val="24"/>
          <w:szCs w:val="24"/>
        </w:rPr>
        <w:footnoteReference w:id="1061"/>
      </w:r>
      <w:r w:rsidRPr="001C6724">
        <w:rPr>
          <w:rFonts w:ascii="Times New Roman" w:hAnsi="Times New Roman" w:cs="Times New Roman"/>
          <w:sz w:val="24"/>
          <w:szCs w:val="24"/>
          <w:vertAlign w:val="baseline"/>
        </w:rPr>
        <w:t xml:space="preserve"> report, ‘only 16% of States parties report on time … when counted with a one year grace period of twelve months after the established deadline, still only one-third of reports were submitted on time.’</w:t>
      </w:r>
      <w:r w:rsidRPr="001C6724">
        <w:rPr>
          <w:rFonts w:ascii="Times New Roman" w:hAnsi="Times New Roman" w:cs="Times New Roman"/>
          <w:sz w:val="24"/>
          <w:szCs w:val="24"/>
        </w:rPr>
        <w:footnoteReference w:id="1062"/>
      </w:r>
      <w:r w:rsidRPr="001C6724">
        <w:rPr>
          <w:rFonts w:ascii="Times New Roman" w:hAnsi="Times New Roman" w:cs="Times New Roman"/>
          <w:sz w:val="24"/>
          <w:szCs w:val="24"/>
          <w:vertAlign w:val="baseline"/>
        </w:rPr>
        <w:t xml:space="preserve"> Period reporting by States is not just a ‘key legal obligation,’ but also the timing of such reports is a fundamental requirement, in order to guarantee effective protection of individuals or groups of individual rights holders.</w:t>
      </w:r>
      <w:r w:rsidRPr="001C6724">
        <w:rPr>
          <w:rFonts w:ascii="Times New Roman" w:hAnsi="Times New Roman" w:cs="Times New Roman"/>
          <w:sz w:val="24"/>
          <w:szCs w:val="24"/>
        </w:rPr>
        <w:footnoteReference w:id="1063"/>
      </w:r>
      <w:r w:rsidRPr="001C6724">
        <w:rPr>
          <w:rFonts w:ascii="Times New Roman" w:hAnsi="Times New Roman" w:cs="Times New Roman"/>
          <w:sz w:val="24"/>
          <w:szCs w:val="24"/>
          <w:vertAlign w:val="baseline"/>
        </w:rPr>
        <w:t xml:space="preserve"> Failure, by states, to adhere to reporting obligations produces a knock on effect, thus, treaty bodies are faced with an ad hoc working timetable, dealing with state reports as and when they come in, as opposed to within a predetermined agenda. This, in turn, generates disparity, as those states that faithfully conform to their reporting obligations are systematically reviewed more than those that fail to adhere.</w:t>
      </w:r>
      <w:r w:rsidRPr="001C6724">
        <w:rPr>
          <w:rFonts w:ascii="Times New Roman" w:hAnsi="Times New Roman" w:cs="Times New Roman"/>
          <w:sz w:val="24"/>
          <w:szCs w:val="24"/>
        </w:rPr>
        <w:footnoteReference w:id="1064"/>
      </w:r>
      <w:r w:rsidRPr="001C6724">
        <w:rPr>
          <w:rFonts w:ascii="Times New Roman" w:hAnsi="Times New Roman" w:cs="Times New Roman"/>
          <w:sz w:val="24"/>
          <w:szCs w:val="24"/>
          <w:vertAlign w:val="baseline"/>
        </w:rPr>
        <w:t xml:space="preserve"> Evidence of late and non-reporting can be clearly seen within all four states, with the frequent submission of combined reports,</w:t>
      </w:r>
      <w:r w:rsidRPr="001C6724">
        <w:rPr>
          <w:rFonts w:ascii="Times New Roman" w:hAnsi="Times New Roman" w:cs="Times New Roman"/>
          <w:sz w:val="24"/>
          <w:szCs w:val="24"/>
        </w:rPr>
        <w:footnoteReference w:id="1065"/>
      </w:r>
      <w:r w:rsidRPr="001C6724">
        <w:rPr>
          <w:rFonts w:ascii="Times New Roman" w:hAnsi="Times New Roman" w:cs="Times New Roman"/>
          <w:sz w:val="24"/>
          <w:szCs w:val="24"/>
          <w:vertAlign w:val="baseline"/>
        </w:rPr>
        <w:t xml:space="preserve"> and a specific reference from the Committee on Economic, Social and Cultural Rights to a fifteen year delay in India’s submission of their report under ICESCR.</w:t>
      </w:r>
      <w:r w:rsidRPr="001C6724">
        <w:rPr>
          <w:rFonts w:ascii="Times New Roman" w:hAnsi="Times New Roman" w:cs="Times New Roman"/>
          <w:sz w:val="24"/>
          <w:szCs w:val="24"/>
        </w:rPr>
        <w:footnoteReference w:id="1066"/>
      </w:r>
    </w:p>
    <w:p w14:paraId="16F348E8"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0E40B1AB" w14:textId="1673D080" w:rsidR="001C6724" w:rsidRPr="001C6724" w:rsidRDefault="001C6724" w:rsidP="00C577C5">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Another issue, hindering the effectiveness of international human rights law, is the allowance of state reservations, which renders specific articles limited or non-applicable to those states that have entered them. CEDAW is the most heavily reserved treaty in the UN system,</w:t>
      </w:r>
      <w:r w:rsidRPr="001C6724">
        <w:rPr>
          <w:rFonts w:ascii="Times New Roman" w:hAnsi="Times New Roman" w:cs="Times New Roman"/>
          <w:sz w:val="24"/>
          <w:szCs w:val="24"/>
        </w:rPr>
        <w:footnoteReference w:id="1067"/>
      </w:r>
      <w:r w:rsidRPr="001C6724">
        <w:rPr>
          <w:rFonts w:ascii="Times New Roman" w:hAnsi="Times New Roman" w:cs="Times New Roman"/>
          <w:sz w:val="24"/>
          <w:szCs w:val="24"/>
          <w:vertAlign w:val="baseline"/>
        </w:rPr>
        <w:t xml:space="preserve"> thus, undermining the effectiveness of the Convention. The disposition of CEDAW, in that it deals with the position of women within structures of patriarchy, culture and religion, has meant that the Convention has posed specific challenges to traditional and customary practices, together with religious practices and interpretations of the law, specifically within the context of the family.</w:t>
      </w:r>
      <w:r w:rsidRPr="001C6724">
        <w:rPr>
          <w:rFonts w:ascii="Times New Roman" w:hAnsi="Times New Roman" w:cs="Times New Roman"/>
          <w:sz w:val="24"/>
          <w:szCs w:val="24"/>
        </w:rPr>
        <w:footnoteReference w:id="1068"/>
      </w:r>
      <w:r w:rsidRPr="001C6724">
        <w:rPr>
          <w:rFonts w:ascii="Times New Roman" w:hAnsi="Times New Roman" w:cs="Times New Roman"/>
          <w:sz w:val="24"/>
          <w:szCs w:val="24"/>
          <w:vertAlign w:val="baseline"/>
        </w:rPr>
        <w:t xml:space="preserve"> Thus, many states have entered reservations to CEDAW based on religious, traditional or cultural grounds</w:t>
      </w:r>
      <w:r w:rsidR="008B452B">
        <w:rPr>
          <w:rFonts w:ascii="Times New Roman" w:hAnsi="Times New Roman" w:cs="Times New Roman"/>
          <w:sz w:val="24"/>
          <w:szCs w:val="24"/>
          <w:vertAlign w:val="baseline"/>
        </w:rPr>
        <w:t>;</w:t>
      </w:r>
      <w:r w:rsidRPr="001C6724">
        <w:rPr>
          <w:rFonts w:ascii="Times New Roman" w:hAnsi="Times New Roman" w:cs="Times New Roman"/>
          <w:sz w:val="24"/>
          <w:szCs w:val="24"/>
        </w:rPr>
        <w:footnoteReference w:id="1069"/>
      </w:r>
      <w:r w:rsidRPr="001C6724">
        <w:rPr>
          <w:rFonts w:ascii="Times New Roman" w:hAnsi="Times New Roman" w:cs="Times New Roman"/>
          <w:sz w:val="24"/>
          <w:szCs w:val="24"/>
          <w:vertAlign w:val="baseline"/>
        </w:rPr>
        <w:t xml:space="preserve"> yet, paradoxically the reservation process allowed the ratification of CEDAW, by the majority of states</w:t>
      </w:r>
      <w:r w:rsidR="008B452B">
        <w:rPr>
          <w:rFonts w:ascii="Times New Roman" w:hAnsi="Times New Roman" w:cs="Times New Roman"/>
          <w:sz w:val="24"/>
          <w:szCs w:val="24"/>
          <w:vertAlign w:val="baseline"/>
        </w:rPr>
        <w:t>,</w:t>
      </w:r>
      <w:r w:rsidRPr="001C6724">
        <w:rPr>
          <w:rFonts w:ascii="Times New Roman" w:hAnsi="Times New Roman" w:cs="Times New Roman"/>
          <w:sz w:val="24"/>
          <w:szCs w:val="24"/>
          <w:vertAlign w:val="baseline"/>
        </w:rPr>
        <w:t xml:space="preserve"> possible. It is submitted that this conditional acceptance and selectiveness of the Convention simply reflects the marginalisation of women’s rights within international human rights law. Essentially, women are positioned in a dispute between gender equality and those rules dictating discriminatory religious, cultural or traditional practices, in which, currently, the latter remains victorious. This is not to say that the Convention, or international human rights law </w:t>
      </w:r>
      <w:r w:rsidRPr="001C6724">
        <w:rPr>
          <w:rFonts w:ascii="Times New Roman" w:hAnsi="Times New Roman" w:cs="Times New Roman"/>
          <w:i/>
          <w:sz w:val="24"/>
          <w:szCs w:val="24"/>
          <w:vertAlign w:val="baseline"/>
        </w:rPr>
        <w:t>per se</w:t>
      </w:r>
      <w:r w:rsidRPr="001C6724">
        <w:rPr>
          <w:rFonts w:ascii="Times New Roman" w:hAnsi="Times New Roman" w:cs="Times New Roman"/>
          <w:sz w:val="24"/>
          <w:szCs w:val="24"/>
          <w:vertAlign w:val="baseline"/>
        </w:rPr>
        <w:t>, is opposed to tradition, culture or customary laws, or indeed views these as static and regressive. On the contrary, it is suggested that the standpoint of culture as a tenacious entity, resistant to change is actually a characteristic of those states that oppose and reserve against the implementation of international human rights conventions. The ‘protection’ of states citing exemptions from human rights on cultural, religious or customary grounds is clearly an issue that needs addressing. As emphasised by the Committee on Economic, Social and Cultural Rights, with regards to violations of article 15(1) ICESCR, traditional and customary negative practices must not infringe upon nor limit the scope of international human rights. However, despite such declarations, the position of traditional discriminatory values remains strong. Impunity is the key problem here. The fundamental issue of a lack of enforcement within international human rights allows states to continue to ignore and violate human rights. Unfortunately, human rights guarantees are of little practical worth unless they are effectively implemented by states.</w:t>
      </w:r>
      <w:r w:rsidRPr="001C6724">
        <w:rPr>
          <w:rFonts w:ascii="Times New Roman" w:hAnsi="Times New Roman" w:cs="Times New Roman"/>
          <w:sz w:val="24"/>
          <w:szCs w:val="24"/>
        </w:rPr>
        <w:footnoteReference w:id="1070"/>
      </w:r>
      <w:r w:rsidRPr="001C6724">
        <w:rPr>
          <w:rFonts w:ascii="Times New Roman" w:hAnsi="Times New Roman" w:cs="Times New Roman"/>
          <w:sz w:val="24"/>
          <w:szCs w:val="24"/>
          <w:vertAlign w:val="baseline"/>
        </w:rPr>
        <w:t xml:space="preserve"> </w:t>
      </w:r>
    </w:p>
    <w:p w14:paraId="62ECA83D"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47B8F831" w14:textId="77777777" w:rsidR="0072114C" w:rsidRDefault="001C6724" w:rsidP="000C4AE3">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On examination of the reports documented above, it is apparent that WAP is an issue of concern within all four States. On assessing the effectiveness of international human rights law in protecting women from WAP, it is evident that the law is failing victims of WAP. Despite the prevalence and persistence of WAP, the issue remains very much under the radar within the international human rights discourse. On a positive note, incidents of witchcraft related violence have been documented within reports by the CEDAW Committee, the Committee on Torture, the HR Council, the HRC Advisory Committee, UPR, the Committee on Economic, Social and Cultural Rights, the CSW and UN Women</w:t>
      </w:r>
      <w:r w:rsidR="00251646">
        <w:rPr>
          <w:rFonts w:ascii="Times New Roman" w:hAnsi="Times New Roman" w:cs="Times New Roman"/>
          <w:sz w:val="24"/>
          <w:szCs w:val="24"/>
          <w:vertAlign w:val="baseline"/>
        </w:rPr>
        <w:t xml:space="preserve">. In all these reports, WAP is classified as a traditional harmful practice and has been recognised as a specific form of </w:t>
      </w:r>
      <w:r w:rsidR="008F7FE9">
        <w:rPr>
          <w:rFonts w:ascii="Times New Roman" w:hAnsi="Times New Roman" w:cs="Times New Roman"/>
          <w:sz w:val="24"/>
          <w:szCs w:val="24"/>
          <w:vertAlign w:val="baseline"/>
        </w:rPr>
        <w:t xml:space="preserve">discriminatory </w:t>
      </w:r>
      <w:r w:rsidR="000C4AE3">
        <w:rPr>
          <w:rFonts w:ascii="Times New Roman" w:hAnsi="Times New Roman" w:cs="Times New Roman"/>
          <w:sz w:val="24"/>
          <w:szCs w:val="24"/>
          <w:vertAlign w:val="baseline"/>
        </w:rPr>
        <w:t xml:space="preserve">gender based violence. The HRC Advisory Committee have recognised the link between poverty, misfortune and witchcraft, focusing specifically on attacks on persons with albinism, whilst </w:t>
      </w:r>
      <w:r w:rsidR="00426361">
        <w:rPr>
          <w:rFonts w:ascii="Times New Roman" w:hAnsi="Times New Roman" w:cs="Times New Roman"/>
          <w:sz w:val="24"/>
          <w:szCs w:val="24"/>
          <w:vertAlign w:val="baseline"/>
        </w:rPr>
        <w:t xml:space="preserve">CSW and </w:t>
      </w:r>
      <w:r w:rsidR="00251646">
        <w:rPr>
          <w:rFonts w:ascii="Times New Roman" w:hAnsi="Times New Roman" w:cs="Times New Roman"/>
          <w:sz w:val="24"/>
          <w:szCs w:val="24"/>
          <w:vertAlign w:val="baseline"/>
        </w:rPr>
        <w:t>UN Women</w:t>
      </w:r>
      <w:r w:rsidR="00426361">
        <w:rPr>
          <w:rFonts w:ascii="Times New Roman" w:hAnsi="Times New Roman" w:cs="Times New Roman"/>
          <w:sz w:val="24"/>
          <w:szCs w:val="24"/>
          <w:vertAlign w:val="baseline"/>
        </w:rPr>
        <w:t xml:space="preserve"> have recognised WAP as a gender issue, with UN Women</w:t>
      </w:r>
      <w:r w:rsidR="00251646">
        <w:rPr>
          <w:rFonts w:ascii="Times New Roman" w:hAnsi="Times New Roman" w:cs="Times New Roman"/>
          <w:sz w:val="24"/>
          <w:szCs w:val="24"/>
          <w:vertAlign w:val="baseline"/>
        </w:rPr>
        <w:t xml:space="preserve"> </w:t>
      </w:r>
      <w:r w:rsidR="00426361">
        <w:rPr>
          <w:rFonts w:ascii="Times New Roman" w:hAnsi="Times New Roman" w:cs="Times New Roman"/>
          <w:sz w:val="24"/>
          <w:szCs w:val="24"/>
          <w:vertAlign w:val="baseline"/>
        </w:rPr>
        <w:t>categorising</w:t>
      </w:r>
      <w:r w:rsidR="00251646">
        <w:rPr>
          <w:rFonts w:ascii="Times New Roman" w:hAnsi="Times New Roman" w:cs="Times New Roman"/>
          <w:sz w:val="24"/>
          <w:szCs w:val="24"/>
          <w:vertAlign w:val="baseline"/>
        </w:rPr>
        <w:t xml:space="preserve"> witchcraft violence as femicide.</w:t>
      </w:r>
      <w:r w:rsidR="008F7FE9">
        <w:rPr>
          <w:rFonts w:ascii="Times New Roman" w:hAnsi="Times New Roman" w:cs="Times New Roman"/>
          <w:sz w:val="24"/>
          <w:szCs w:val="24"/>
          <w:vertAlign w:val="baseline"/>
        </w:rPr>
        <w:t xml:space="preserve"> This classification of WAP as a harmful practice</w:t>
      </w:r>
      <w:r w:rsidR="00EC2CBD">
        <w:rPr>
          <w:rFonts w:ascii="Times New Roman" w:hAnsi="Times New Roman" w:cs="Times New Roman"/>
          <w:sz w:val="24"/>
          <w:szCs w:val="24"/>
          <w:vertAlign w:val="baseline"/>
        </w:rPr>
        <w:t xml:space="preserve">, the recognition of the motivation behind WAP, </w:t>
      </w:r>
      <w:r w:rsidR="008F7FE9">
        <w:rPr>
          <w:rFonts w:ascii="Times New Roman" w:hAnsi="Times New Roman" w:cs="Times New Roman"/>
          <w:sz w:val="24"/>
          <w:szCs w:val="24"/>
          <w:vertAlign w:val="baseline"/>
        </w:rPr>
        <w:t xml:space="preserve">together with </w:t>
      </w:r>
      <w:r w:rsidR="002621BF">
        <w:rPr>
          <w:rFonts w:ascii="Times New Roman" w:hAnsi="Times New Roman" w:cs="Times New Roman"/>
          <w:sz w:val="24"/>
          <w:szCs w:val="24"/>
          <w:vertAlign w:val="baseline"/>
        </w:rPr>
        <w:t>the acknowledgement of WAP as a gender specific crime is definitely encouraging</w:t>
      </w:r>
      <w:r w:rsidR="004D55E9">
        <w:rPr>
          <w:rFonts w:ascii="Times New Roman" w:hAnsi="Times New Roman" w:cs="Times New Roman"/>
          <w:sz w:val="24"/>
          <w:szCs w:val="24"/>
          <w:vertAlign w:val="baseline"/>
        </w:rPr>
        <w:t xml:space="preserve">. However, what lets it down is the sporadic response from the international community in tackling the issue. </w:t>
      </w:r>
    </w:p>
    <w:p w14:paraId="5B0DA7FA" w14:textId="77777777" w:rsidR="0072114C" w:rsidRDefault="0072114C" w:rsidP="000C4AE3">
      <w:pPr>
        <w:spacing w:line="480" w:lineRule="auto"/>
        <w:ind w:firstLine="720"/>
        <w:jc w:val="both"/>
        <w:rPr>
          <w:rFonts w:ascii="Times New Roman" w:hAnsi="Times New Roman" w:cs="Times New Roman"/>
          <w:sz w:val="24"/>
          <w:szCs w:val="24"/>
          <w:vertAlign w:val="baseline"/>
        </w:rPr>
      </w:pPr>
    </w:p>
    <w:p w14:paraId="1D9A6DC3" w14:textId="07BFDA97" w:rsidR="00C615C9" w:rsidRDefault="004D55E9" w:rsidP="00C615C9">
      <w:pPr>
        <w:spacing w:line="480" w:lineRule="auto"/>
        <w:ind w:firstLine="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It is undeniable that WAP is an issue for concern within all four states. Yet, </w:t>
      </w:r>
      <w:r w:rsidR="005E6CC6">
        <w:rPr>
          <w:rFonts w:ascii="Times New Roman" w:hAnsi="Times New Roman" w:cs="Times New Roman"/>
          <w:sz w:val="24"/>
          <w:szCs w:val="24"/>
          <w:vertAlign w:val="baseline"/>
        </w:rPr>
        <w:t xml:space="preserve">only the CEDAW Committee and the HR Council have acknowledged and made reference to </w:t>
      </w:r>
      <w:r>
        <w:rPr>
          <w:rFonts w:ascii="Times New Roman" w:hAnsi="Times New Roman" w:cs="Times New Roman"/>
          <w:sz w:val="24"/>
          <w:szCs w:val="24"/>
          <w:vertAlign w:val="baseline"/>
        </w:rPr>
        <w:t>the prevalence of WAP in all four states</w:t>
      </w:r>
      <w:r w:rsidR="005E6CC6">
        <w:rPr>
          <w:rFonts w:ascii="Times New Roman" w:hAnsi="Times New Roman" w:cs="Times New Roman"/>
          <w:sz w:val="24"/>
          <w:szCs w:val="24"/>
          <w:vertAlign w:val="baseline"/>
        </w:rPr>
        <w:t xml:space="preserve">. </w:t>
      </w:r>
      <w:r w:rsidR="00426361">
        <w:rPr>
          <w:rFonts w:ascii="Times New Roman" w:hAnsi="Times New Roman" w:cs="Times New Roman"/>
          <w:sz w:val="24"/>
          <w:szCs w:val="24"/>
          <w:vertAlign w:val="baseline"/>
        </w:rPr>
        <w:t>One of the major obstacles to this acknowledgement is enforceability</w:t>
      </w:r>
      <w:r w:rsidR="0072114C">
        <w:rPr>
          <w:rFonts w:ascii="Times New Roman" w:hAnsi="Times New Roman" w:cs="Times New Roman"/>
          <w:sz w:val="24"/>
          <w:szCs w:val="24"/>
          <w:vertAlign w:val="baseline"/>
        </w:rPr>
        <w:t xml:space="preserve"> and lack of reporting</w:t>
      </w:r>
      <w:r w:rsidR="00426361">
        <w:rPr>
          <w:rFonts w:ascii="Times New Roman" w:hAnsi="Times New Roman" w:cs="Times New Roman"/>
          <w:sz w:val="24"/>
          <w:szCs w:val="24"/>
          <w:vertAlign w:val="baseline"/>
        </w:rPr>
        <w:t xml:space="preserve">. Thus, </w:t>
      </w:r>
      <w:r w:rsidR="0072114C">
        <w:rPr>
          <w:rFonts w:ascii="Times New Roman" w:hAnsi="Times New Roman" w:cs="Times New Roman"/>
          <w:sz w:val="24"/>
          <w:szCs w:val="24"/>
          <w:vertAlign w:val="baseline"/>
        </w:rPr>
        <w:t xml:space="preserve">whilst CESCR have recognised WAP as a violation of article 15(1)(a) ICSECR, they have only documented such violations in </w:t>
      </w:r>
      <w:r w:rsidR="00CC3A52">
        <w:rPr>
          <w:rFonts w:ascii="Times New Roman" w:hAnsi="Times New Roman" w:cs="Times New Roman"/>
          <w:sz w:val="24"/>
          <w:szCs w:val="24"/>
          <w:vertAlign w:val="baseline"/>
        </w:rPr>
        <w:t xml:space="preserve">Nepal and India, due to a lack of submission of reports from Ghana and PNG. </w:t>
      </w:r>
      <w:r w:rsidR="001571CF">
        <w:rPr>
          <w:rFonts w:ascii="Times New Roman" w:hAnsi="Times New Roman" w:cs="Times New Roman"/>
          <w:sz w:val="24"/>
          <w:szCs w:val="24"/>
          <w:vertAlign w:val="baseline"/>
        </w:rPr>
        <w:t>T</w:t>
      </w:r>
      <w:r w:rsidR="00CC3A52">
        <w:rPr>
          <w:rFonts w:ascii="Times New Roman" w:hAnsi="Times New Roman" w:cs="Times New Roman"/>
          <w:sz w:val="24"/>
          <w:szCs w:val="24"/>
          <w:vertAlign w:val="baseline"/>
        </w:rPr>
        <w:t>he CCPR have documented that WAP is a violation of article 2 ICCPR, yet this is only in relation to WAP in Nepal, due to India and PNG’s failure to submit reports to the Committee</w:t>
      </w:r>
      <w:r w:rsidR="006432F3">
        <w:rPr>
          <w:rFonts w:ascii="Times New Roman" w:hAnsi="Times New Roman" w:cs="Times New Roman"/>
          <w:sz w:val="24"/>
          <w:szCs w:val="24"/>
          <w:vertAlign w:val="baseline"/>
        </w:rPr>
        <w:t xml:space="preserve"> and a lack of acknowledgment by the CCPR of WAP in Ghana.</w:t>
      </w:r>
      <w:r w:rsidR="001571CF">
        <w:rPr>
          <w:rFonts w:ascii="Times New Roman" w:hAnsi="Times New Roman" w:cs="Times New Roman"/>
          <w:sz w:val="24"/>
          <w:szCs w:val="24"/>
          <w:vertAlign w:val="baseline"/>
        </w:rPr>
        <w:t xml:space="preserve"> Similarly, the SR on Torture has documented incidents of WAP in Nepal, PNG and Ghana, but </w:t>
      </w:r>
      <w:r w:rsidR="006432F3">
        <w:rPr>
          <w:rFonts w:ascii="Times New Roman" w:hAnsi="Times New Roman" w:cs="Times New Roman"/>
          <w:sz w:val="24"/>
          <w:szCs w:val="24"/>
          <w:vertAlign w:val="baseline"/>
        </w:rPr>
        <w:t>has</w:t>
      </w:r>
      <w:r w:rsidR="001571CF">
        <w:rPr>
          <w:rFonts w:ascii="Times New Roman" w:hAnsi="Times New Roman" w:cs="Times New Roman"/>
          <w:sz w:val="24"/>
          <w:szCs w:val="24"/>
          <w:vertAlign w:val="baseline"/>
        </w:rPr>
        <w:t xml:space="preserve"> yet failed to compile a report on India, due to </w:t>
      </w:r>
      <w:r w:rsidR="00FA21D6">
        <w:rPr>
          <w:rFonts w:ascii="Times New Roman" w:hAnsi="Times New Roman" w:cs="Times New Roman"/>
          <w:sz w:val="24"/>
          <w:szCs w:val="24"/>
          <w:vertAlign w:val="baseline"/>
        </w:rPr>
        <w:t xml:space="preserve">a </w:t>
      </w:r>
      <w:r w:rsidR="001571CF">
        <w:rPr>
          <w:rFonts w:ascii="Times New Roman" w:hAnsi="Times New Roman" w:cs="Times New Roman"/>
          <w:sz w:val="24"/>
          <w:szCs w:val="24"/>
          <w:vertAlign w:val="baseline"/>
        </w:rPr>
        <w:t>lack of response from the state.</w:t>
      </w:r>
      <w:r w:rsidR="00C615C9">
        <w:rPr>
          <w:rFonts w:ascii="Times New Roman" w:hAnsi="Times New Roman" w:cs="Times New Roman"/>
          <w:sz w:val="24"/>
          <w:szCs w:val="24"/>
          <w:vertAlign w:val="baseline"/>
        </w:rPr>
        <w:t xml:space="preserve"> </w:t>
      </w:r>
      <w:r w:rsidR="00CC3A52">
        <w:rPr>
          <w:rFonts w:ascii="Times New Roman" w:hAnsi="Times New Roman" w:cs="Times New Roman"/>
          <w:sz w:val="24"/>
          <w:szCs w:val="24"/>
          <w:vertAlign w:val="baseline"/>
        </w:rPr>
        <w:t xml:space="preserve">However, what is also </w:t>
      </w:r>
      <w:r w:rsidR="001571CF">
        <w:rPr>
          <w:rFonts w:ascii="Times New Roman" w:hAnsi="Times New Roman" w:cs="Times New Roman"/>
          <w:sz w:val="24"/>
          <w:szCs w:val="24"/>
          <w:vertAlign w:val="baseline"/>
        </w:rPr>
        <w:t>noticeable</w:t>
      </w:r>
      <w:r w:rsidR="00CC3A52">
        <w:rPr>
          <w:rFonts w:ascii="Times New Roman" w:hAnsi="Times New Roman" w:cs="Times New Roman"/>
          <w:sz w:val="24"/>
          <w:szCs w:val="24"/>
          <w:vertAlign w:val="baseline"/>
        </w:rPr>
        <w:t xml:space="preserve"> i</w:t>
      </w:r>
      <w:r w:rsidR="001571CF">
        <w:rPr>
          <w:rFonts w:ascii="Times New Roman" w:hAnsi="Times New Roman" w:cs="Times New Roman"/>
          <w:sz w:val="24"/>
          <w:szCs w:val="24"/>
          <w:vertAlign w:val="baseline"/>
        </w:rPr>
        <w:t>s that there is</w:t>
      </w:r>
      <w:r w:rsidR="008B452B">
        <w:rPr>
          <w:rFonts w:ascii="Times New Roman" w:hAnsi="Times New Roman" w:cs="Times New Roman"/>
          <w:sz w:val="24"/>
          <w:szCs w:val="24"/>
          <w:vertAlign w:val="baseline"/>
        </w:rPr>
        <w:t xml:space="preserve"> a failure on behalf of the C</w:t>
      </w:r>
      <w:r w:rsidR="00073464">
        <w:rPr>
          <w:rFonts w:ascii="Times New Roman" w:hAnsi="Times New Roman" w:cs="Times New Roman"/>
          <w:sz w:val="24"/>
          <w:szCs w:val="24"/>
          <w:vertAlign w:val="baseline"/>
        </w:rPr>
        <w:t>ommittee</w:t>
      </w:r>
      <w:r w:rsidR="00CC3A52">
        <w:rPr>
          <w:rFonts w:ascii="Times New Roman" w:hAnsi="Times New Roman" w:cs="Times New Roman"/>
          <w:sz w:val="24"/>
          <w:szCs w:val="24"/>
          <w:vertAlign w:val="baseline"/>
        </w:rPr>
        <w:t>s to recognise the prevalence of WAP within certain states, despite the very fact that it has already been documented as a human rights violation.</w:t>
      </w:r>
      <w:r w:rsidR="001571CF">
        <w:rPr>
          <w:rFonts w:ascii="Times New Roman" w:hAnsi="Times New Roman" w:cs="Times New Roman"/>
          <w:sz w:val="24"/>
          <w:szCs w:val="24"/>
          <w:vertAlign w:val="baseline"/>
        </w:rPr>
        <w:t xml:space="preserve"> </w:t>
      </w:r>
      <w:r w:rsidR="00C615C9">
        <w:rPr>
          <w:rFonts w:ascii="Times New Roman" w:hAnsi="Times New Roman" w:cs="Times New Roman"/>
          <w:sz w:val="24"/>
          <w:szCs w:val="24"/>
          <w:vertAlign w:val="baseline"/>
        </w:rPr>
        <w:t>For example, t</w:t>
      </w:r>
      <w:r w:rsidR="001571CF">
        <w:rPr>
          <w:rFonts w:ascii="Times New Roman" w:hAnsi="Times New Roman" w:cs="Times New Roman"/>
          <w:sz w:val="24"/>
          <w:szCs w:val="24"/>
          <w:vertAlign w:val="baseline"/>
        </w:rPr>
        <w:t xml:space="preserve">he UPR have made reference to WAP </w:t>
      </w:r>
      <w:r w:rsidR="00FA21D6">
        <w:rPr>
          <w:rFonts w:ascii="Times New Roman" w:hAnsi="Times New Roman" w:cs="Times New Roman"/>
          <w:sz w:val="24"/>
          <w:szCs w:val="24"/>
          <w:vertAlign w:val="baseline"/>
        </w:rPr>
        <w:t xml:space="preserve">in Ghana and PNG, yet failed to acknowledge it in India and Nepal. </w:t>
      </w:r>
      <w:r w:rsidR="002C57E0">
        <w:rPr>
          <w:rFonts w:ascii="Times New Roman" w:hAnsi="Times New Roman" w:cs="Times New Roman"/>
          <w:sz w:val="24"/>
          <w:szCs w:val="24"/>
          <w:vertAlign w:val="baseline"/>
        </w:rPr>
        <w:t>Similarly</w:t>
      </w:r>
      <w:r w:rsidR="00FA21D6">
        <w:rPr>
          <w:rFonts w:ascii="Times New Roman" w:hAnsi="Times New Roman" w:cs="Times New Roman"/>
          <w:sz w:val="24"/>
          <w:szCs w:val="24"/>
          <w:vertAlign w:val="baseline"/>
        </w:rPr>
        <w:t xml:space="preserve">, </w:t>
      </w:r>
      <w:r w:rsidR="002C57E0">
        <w:rPr>
          <w:rFonts w:ascii="Times New Roman" w:hAnsi="Times New Roman" w:cs="Times New Roman"/>
          <w:sz w:val="24"/>
          <w:szCs w:val="24"/>
          <w:vertAlign w:val="baseline"/>
        </w:rPr>
        <w:t>the Committee on Torture have made slight reference to the issue of witch camps in Ghana, but failed to recognise incidents of WAP in Nepal. (India and PNG have not ratified the CAT). This failure to identify WAP in Nepal can also be seen in the report</w:t>
      </w:r>
      <w:r w:rsidR="00C615C9">
        <w:rPr>
          <w:rFonts w:ascii="Times New Roman" w:hAnsi="Times New Roman" w:cs="Times New Roman"/>
          <w:sz w:val="24"/>
          <w:szCs w:val="24"/>
          <w:vertAlign w:val="baseline"/>
        </w:rPr>
        <w:t xml:space="preserve"> of the SR on VAW. What is particularly</w:t>
      </w:r>
      <w:r w:rsidR="002C57E0">
        <w:rPr>
          <w:rFonts w:ascii="Times New Roman" w:hAnsi="Times New Roman" w:cs="Times New Roman"/>
          <w:sz w:val="24"/>
          <w:szCs w:val="24"/>
          <w:vertAlign w:val="baseline"/>
        </w:rPr>
        <w:t xml:space="preserve"> confusing, is the acknowledgment in a generic report by Alston (former SR on extrajudicial killings) of the prevalence of WAP in all four states, yet there is, again, no reference to incidents of WAP in the country specific report by the SR on extrajudicial killings.</w:t>
      </w:r>
      <w:r w:rsidR="00C615C9">
        <w:rPr>
          <w:rFonts w:ascii="Times New Roman" w:hAnsi="Times New Roman" w:cs="Times New Roman"/>
          <w:sz w:val="24"/>
          <w:szCs w:val="24"/>
          <w:vertAlign w:val="baseline"/>
        </w:rPr>
        <w:t xml:space="preserve"> These incidences clearly demonstrate that there is no coherent unified approach to deal with the </w:t>
      </w:r>
      <w:r w:rsidR="00685961">
        <w:rPr>
          <w:rFonts w:ascii="Times New Roman" w:hAnsi="Times New Roman" w:cs="Times New Roman"/>
          <w:sz w:val="24"/>
          <w:szCs w:val="24"/>
          <w:vertAlign w:val="baseline"/>
        </w:rPr>
        <w:t xml:space="preserve">issue of WAP, highlighting the </w:t>
      </w:r>
      <w:r w:rsidR="00C615C9">
        <w:rPr>
          <w:rFonts w:ascii="Times New Roman" w:hAnsi="Times New Roman" w:cs="Times New Roman"/>
          <w:sz w:val="24"/>
          <w:szCs w:val="24"/>
          <w:vertAlign w:val="baseline"/>
        </w:rPr>
        <w:t xml:space="preserve">sporadic </w:t>
      </w:r>
      <w:r w:rsidR="001C6724" w:rsidRPr="001C6724">
        <w:rPr>
          <w:rFonts w:ascii="Times New Roman" w:hAnsi="Times New Roman" w:cs="Times New Roman"/>
          <w:sz w:val="24"/>
          <w:szCs w:val="24"/>
          <w:vertAlign w:val="baseline"/>
        </w:rPr>
        <w:t>response by the international communi</w:t>
      </w:r>
      <w:r w:rsidR="00C615C9">
        <w:rPr>
          <w:rFonts w:ascii="Times New Roman" w:hAnsi="Times New Roman" w:cs="Times New Roman"/>
          <w:sz w:val="24"/>
          <w:szCs w:val="24"/>
          <w:vertAlign w:val="baseline"/>
        </w:rPr>
        <w:t>ty.</w:t>
      </w:r>
      <w:r w:rsidR="00C615C9" w:rsidRPr="001C6724">
        <w:rPr>
          <w:rFonts w:ascii="Times New Roman" w:hAnsi="Times New Roman" w:cs="Times New Roman"/>
          <w:sz w:val="24"/>
          <w:szCs w:val="24"/>
        </w:rPr>
        <w:footnoteReference w:id="1071"/>
      </w:r>
    </w:p>
    <w:p w14:paraId="7364CAD9"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59A6AFF4" w14:textId="2E2ECC5E" w:rsidR="00E2035C" w:rsidRDefault="001C6724" w:rsidP="00A85D4D">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Considering WAP as a gender-specific form of violence, the most comprehensive international human rights instrument that deals with WAP is CEDAW. CEDAW essentially bridges the traditional divisions between the ICCPR and ICESCR. Whilst, as discussed above, there are provisions within the ICCPR, ISECSR and the CAT, which may be relied upon by victims of WAP, they do not adequately address the specific needs of women. Each of the four states, PNG, India, Nepal and Ghana, have produced country reports for the CEDAW Committee, who issued their Concluding Observations and recommendations accordingly.</w:t>
      </w:r>
      <w:r w:rsidR="00E2035C">
        <w:rPr>
          <w:rFonts w:ascii="Times New Roman" w:hAnsi="Times New Roman" w:cs="Times New Roman"/>
          <w:sz w:val="24"/>
          <w:szCs w:val="24"/>
          <w:vertAlign w:val="baseline"/>
        </w:rPr>
        <w:t xml:space="preserve"> Recommendations issued by the CEDAW Committee are comparable to those issued by those human rights bodies discussed above. These include the enactment of relevant and effective legislation (Nepal), </w:t>
      </w:r>
      <w:r w:rsidR="00AF4784">
        <w:rPr>
          <w:rFonts w:ascii="Times New Roman" w:hAnsi="Times New Roman" w:cs="Times New Roman"/>
          <w:sz w:val="24"/>
          <w:szCs w:val="24"/>
          <w:vertAlign w:val="baseline"/>
        </w:rPr>
        <w:t>swift closure of the witch camps, together with adequate rehabilitation of victims (Ghana), the review and reform of discriminatory personal laws and customary laws (Ghana, India), comprehensive and effective strategies to eliminate patriarchal attitudes (Ghana, India, Nepal, PNG), the need for effective investigations, prosecutions and punishment for offenders (Ghana, India, Nepal, PNG) and a specific recommendation to India to remove its declarations to articles 5(a) and 16(1) and (2) CEDAW.</w:t>
      </w:r>
      <w:r w:rsidR="005273DE">
        <w:rPr>
          <w:rFonts w:ascii="Times New Roman" w:hAnsi="Times New Roman" w:cs="Times New Roman"/>
          <w:sz w:val="24"/>
          <w:szCs w:val="24"/>
          <w:vertAlign w:val="baseline"/>
        </w:rPr>
        <w:t xml:space="preserve"> The recommendations issued are undoubtedly positive and address some of the key problems surrounding WAP. There is a desperate need for reformation of discriminatory </w:t>
      </w:r>
      <w:r w:rsidR="00B751C2">
        <w:rPr>
          <w:rFonts w:ascii="Times New Roman" w:hAnsi="Times New Roman" w:cs="Times New Roman"/>
          <w:sz w:val="24"/>
          <w:szCs w:val="24"/>
          <w:vertAlign w:val="baseline"/>
        </w:rPr>
        <w:t>personal and customary laws, which hinder women’s access to human rights, whilst propagating patriarchal attitudes and stereotypes of women.</w:t>
      </w:r>
      <w:r w:rsidR="00ED3022">
        <w:rPr>
          <w:rStyle w:val="FootnoteReference"/>
          <w:rFonts w:ascii="Times New Roman" w:hAnsi="Times New Roman" w:cs="Times New Roman"/>
          <w:sz w:val="24"/>
          <w:szCs w:val="24"/>
        </w:rPr>
        <w:footnoteReference w:id="1072"/>
      </w:r>
      <w:r w:rsidR="00DE40D5">
        <w:rPr>
          <w:rFonts w:ascii="Times New Roman" w:hAnsi="Times New Roman" w:cs="Times New Roman"/>
          <w:sz w:val="24"/>
          <w:szCs w:val="24"/>
          <w:vertAlign w:val="baseline"/>
        </w:rPr>
        <w:t xml:space="preserve"> Moreover, there is also the need for better training of law enforcement officers, in order to effectively investigate and prosecute those involved in WAP.</w:t>
      </w:r>
      <w:r w:rsidR="00A85D4D">
        <w:rPr>
          <w:rFonts w:ascii="Times New Roman" w:hAnsi="Times New Roman" w:cs="Times New Roman"/>
          <w:sz w:val="24"/>
          <w:szCs w:val="24"/>
          <w:vertAlign w:val="baseline"/>
        </w:rPr>
        <w:t xml:space="preserve"> </w:t>
      </w:r>
    </w:p>
    <w:p w14:paraId="54630851" w14:textId="77777777" w:rsidR="00A85D4D" w:rsidRDefault="00A85D4D" w:rsidP="00A85D4D">
      <w:pPr>
        <w:spacing w:line="480" w:lineRule="auto"/>
        <w:ind w:firstLine="720"/>
        <w:jc w:val="both"/>
        <w:rPr>
          <w:rFonts w:ascii="Times New Roman" w:hAnsi="Times New Roman" w:cs="Times New Roman"/>
          <w:sz w:val="24"/>
          <w:szCs w:val="24"/>
          <w:vertAlign w:val="baseline"/>
        </w:rPr>
      </w:pPr>
    </w:p>
    <w:p w14:paraId="7CC6DB44" w14:textId="1F5F33C9" w:rsidR="001C6724" w:rsidRPr="001C6724" w:rsidRDefault="001C6724" w:rsidP="00BC332C">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 xml:space="preserve"> </w:t>
      </w:r>
      <w:r w:rsidR="00A85D4D">
        <w:rPr>
          <w:rFonts w:ascii="Times New Roman" w:hAnsi="Times New Roman" w:cs="Times New Roman"/>
          <w:sz w:val="24"/>
          <w:szCs w:val="24"/>
          <w:vertAlign w:val="baseline"/>
        </w:rPr>
        <w:t xml:space="preserve">However, </w:t>
      </w:r>
      <w:r w:rsidR="00CC64E4">
        <w:rPr>
          <w:rFonts w:ascii="Times New Roman" w:hAnsi="Times New Roman" w:cs="Times New Roman"/>
          <w:sz w:val="24"/>
          <w:szCs w:val="24"/>
          <w:vertAlign w:val="baseline"/>
        </w:rPr>
        <w:t xml:space="preserve">whilst gender-specific legislation such as CEDAW provides a </w:t>
      </w:r>
      <w:r w:rsidR="00CC64E4" w:rsidRPr="00CC64E4">
        <w:rPr>
          <w:rFonts w:ascii="Times New Roman" w:hAnsi="Times New Roman" w:cs="Times New Roman"/>
          <w:sz w:val="24"/>
          <w:szCs w:val="24"/>
          <w:vertAlign w:val="baseline"/>
        </w:rPr>
        <w:t>constructive</w:t>
      </w:r>
      <w:r w:rsidR="00CC64E4">
        <w:rPr>
          <w:rFonts w:ascii="Times New Roman" w:hAnsi="Times New Roman" w:cs="Times New Roman"/>
          <w:sz w:val="24"/>
          <w:szCs w:val="24"/>
          <w:vertAlign w:val="baseline"/>
        </w:rPr>
        <w:t xml:space="preserve"> legal framework on which the CEDAW Committee can build upon and deliver such recommendations, it does not automatically </w:t>
      </w:r>
      <w:r w:rsidR="00CC64E4" w:rsidRPr="00CC64E4">
        <w:rPr>
          <w:rFonts w:ascii="Times New Roman" w:hAnsi="Times New Roman" w:cs="Times New Roman"/>
          <w:sz w:val="24"/>
          <w:szCs w:val="24"/>
          <w:vertAlign w:val="baseline"/>
        </w:rPr>
        <w:t>bestow</w:t>
      </w:r>
      <w:r w:rsidR="00CC64E4">
        <w:rPr>
          <w:rFonts w:ascii="Times New Roman" w:hAnsi="Times New Roman" w:cs="Times New Roman"/>
          <w:sz w:val="24"/>
          <w:szCs w:val="24"/>
          <w:vertAlign w:val="baseline"/>
        </w:rPr>
        <w:t xml:space="preserve"> these rights on women; this ultimately lies with the political will of states. </w:t>
      </w:r>
      <w:r w:rsidR="001D3B57">
        <w:rPr>
          <w:rFonts w:ascii="Times New Roman" w:hAnsi="Times New Roman" w:cs="Times New Roman"/>
          <w:sz w:val="24"/>
          <w:szCs w:val="24"/>
          <w:vertAlign w:val="baseline"/>
        </w:rPr>
        <w:t>Unfortuna</w:t>
      </w:r>
      <w:r w:rsidR="00BC332C">
        <w:rPr>
          <w:rFonts w:ascii="Times New Roman" w:hAnsi="Times New Roman" w:cs="Times New Roman"/>
          <w:sz w:val="24"/>
          <w:szCs w:val="24"/>
          <w:vertAlign w:val="baseline"/>
        </w:rPr>
        <w:t xml:space="preserve">tely, such political power is </w:t>
      </w:r>
      <w:r w:rsidR="001D3B57">
        <w:rPr>
          <w:rFonts w:ascii="Times New Roman" w:hAnsi="Times New Roman" w:cs="Times New Roman"/>
          <w:sz w:val="24"/>
          <w:szCs w:val="24"/>
          <w:vertAlign w:val="baseline"/>
        </w:rPr>
        <w:t xml:space="preserve">in ‘the </w:t>
      </w:r>
      <w:r w:rsidR="00BC332C">
        <w:rPr>
          <w:rFonts w:ascii="Times New Roman" w:hAnsi="Times New Roman" w:cs="Times New Roman"/>
          <w:sz w:val="24"/>
          <w:szCs w:val="24"/>
          <w:vertAlign w:val="baseline"/>
        </w:rPr>
        <w:t>hands of men’ whose selfishness often lies in ‘the maintenance of the status quo</w:t>
      </w:r>
      <w:r w:rsidR="00672C97">
        <w:rPr>
          <w:rFonts w:ascii="Times New Roman" w:hAnsi="Times New Roman" w:cs="Times New Roman"/>
          <w:sz w:val="24"/>
          <w:szCs w:val="24"/>
          <w:vertAlign w:val="baseline"/>
        </w:rPr>
        <w:t>,’</w:t>
      </w:r>
      <w:r w:rsidR="003A2AEA">
        <w:rPr>
          <w:rStyle w:val="FootnoteReference"/>
          <w:rFonts w:ascii="Times New Roman" w:hAnsi="Times New Roman" w:cs="Times New Roman"/>
          <w:sz w:val="24"/>
          <w:szCs w:val="24"/>
        </w:rPr>
        <w:footnoteReference w:id="1073"/>
      </w:r>
      <w:r w:rsidR="003A2AEA">
        <w:rPr>
          <w:rFonts w:ascii="Times New Roman" w:hAnsi="Times New Roman" w:cs="Times New Roman"/>
          <w:sz w:val="24"/>
          <w:szCs w:val="24"/>
          <w:vertAlign w:val="baseline"/>
        </w:rPr>
        <w:t xml:space="preserve"> specifically the preservation of the jurisprudentially male state.</w:t>
      </w:r>
      <w:r w:rsidR="00BC332C">
        <w:rPr>
          <w:rFonts w:ascii="Times New Roman" w:hAnsi="Times New Roman" w:cs="Times New Roman"/>
          <w:sz w:val="24"/>
          <w:szCs w:val="24"/>
          <w:vertAlign w:val="baseline"/>
        </w:rPr>
        <w:t xml:space="preserve"> </w:t>
      </w:r>
      <w:r w:rsidR="00C0632B">
        <w:rPr>
          <w:rFonts w:ascii="Times New Roman" w:hAnsi="Times New Roman" w:cs="Times New Roman"/>
          <w:sz w:val="24"/>
          <w:szCs w:val="24"/>
          <w:vertAlign w:val="baseline"/>
        </w:rPr>
        <w:t xml:space="preserve">Thus, whilst CEDAW </w:t>
      </w:r>
      <w:r w:rsidR="00B80527">
        <w:rPr>
          <w:rFonts w:ascii="Times New Roman" w:hAnsi="Times New Roman" w:cs="Times New Roman"/>
          <w:sz w:val="24"/>
          <w:szCs w:val="24"/>
          <w:vertAlign w:val="baseline"/>
        </w:rPr>
        <w:t>requires</w:t>
      </w:r>
      <w:r w:rsidR="00C0632B">
        <w:rPr>
          <w:rFonts w:ascii="Times New Roman" w:hAnsi="Times New Roman" w:cs="Times New Roman"/>
          <w:sz w:val="24"/>
          <w:szCs w:val="24"/>
          <w:vertAlign w:val="baseline"/>
        </w:rPr>
        <w:t xml:space="preserve"> equality, it is dependent solely on </w:t>
      </w:r>
      <w:r w:rsidR="00B80527">
        <w:rPr>
          <w:rFonts w:ascii="Times New Roman" w:hAnsi="Times New Roman" w:cs="Times New Roman"/>
          <w:sz w:val="24"/>
          <w:szCs w:val="24"/>
          <w:vertAlign w:val="baseline"/>
        </w:rPr>
        <w:t>states dominated by men</w:t>
      </w:r>
      <w:r w:rsidR="00C0632B">
        <w:rPr>
          <w:rFonts w:ascii="Times New Roman" w:hAnsi="Times New Roman" w:cs="Times New Roman"/>
          <w:sz w:val="24"/>
          <w:szCs w:val="24"/>
          <w:vertAlign w:val="baseline"/>
        </w:rPr>
        <w:t xml:space="preserve"> to reassess and </w:t>
      </w:r>
      <w:r w:rsidR="00C0632B" w:rsidRPr="00C0632B">
        <w:rPr>
          <w:rFonts w:ascii="Times New Roman" w:hAnsi="Times New Roman" w:cs="Times New Roman"/>
          <w:sz w:val="24"/>
          <w:szCs w:val="24"/>
          <w:vertAlign w:val="baseline"/>
        </w:rPr>
        <w:t>modify</w:t>
      </w:r>
      <w:r w:rsidR="00C0632B">
        <w:rPr>
          <w:rFonts w:ascii="Times New Roman" w:hAnsi="Times New Roman" w:cs="Times New Roman"/>
          <w:sz w:val="24"/>
          <w:szCs w:val="24"/>
          <w:vertAlign w:val="baseline"/>
        </w:rPr>
        <w:t xml:space="preserve"> th</w:t>
      </w:r>
      <w:r w:rsidR="00B87FF7">
        <w:rPr>
          <w:rFonts w:ascii="Times New Roman" w:hAnsi="Times New Roman" w:cs="Times New Roman"/>
          <w:sz w:val="24"/>
          <w:szCs w:val="24"/>
          <w:vertAlign w:val="baseline"/>
        </w:rPr>
        <w:t>eir</w:t>
      </w:r>
      <w:r w:rsidR="00C0632B">
        <w:rPr>
          <w:rFonts w:ascii="Times New Roman" w:hAnsi="Times New Roman" w:cs="Times New Roman"/>
          <w:sz w:val="24"/>
          <w:szCs w:val="24"/>
          <w:vertAlign w:val="baseline"/>
        </w:rPr>
        <w:t xml:space="preserve"> </w:t>
      </w:r>
      <w:r w:rsidR="00B87FF7">
        <w:rPr>
          <w:rFonts w:ascii="Times New Roman" w:hAnsi="Times New Roman" w:cs="Times New Roman"/>
          <w:sz w:val="24"/>
          <w:szCs w:val="24"/>
          <w:vertAlign w:val="baseline"/>
        </w:rPr>
        <w:t>‘</w:t>
      </w:r>
      <w:r w:rsidR="00C0632B">
        <w:rPr>
          <w:rFonts w:ascii="Times New Roman" w:hAnsi="Times New Roman" w:cs="Times New Roman"/>
          <w:sz w:val="24"/>
          <w:szCs w:val="24"/>
          <w:vertAlign w:val="baseline"/>
        </w:rPr>
        <w:t>most fundamental political, social, economic and religious structures and to revise the culture through which its peoples define and comprehend themselves.’</w:t>
      </w:r>
      <w:r w:rsidR="00B87FF7">
        <w:rPr>
          <w:rStyle w:val="FootnoteReference"/>
          <w:rFonts w:ascii="Times New Roman" w:hAnsi="Times New Roman" w:cs="Times New Roman"/>
          <w:sz w:val="24"/>
          <w:szCs w:val="24"/>
        </w:rPr>
        <w:footnoteReference w:id="1074"/>
      </w:r>
      <w:r w:rsidR="00A81702">
        <w:rPr>
          <w:rFonts w:ascii="Times New Roman" w:hAnsi="Times New Roman" w:cs="Times New Roman"/>
          <w:sz w:val="24"/>
          <w:szCs w:val="24"/>
          <w:vertAlign w:val="baseline"/>
        </w:rPr>
        <w:t xml:space="preserve"> </w:t>
      </w:r>
      <w:r w:rsidR="00B27D57">
        <w:rPr>
          <w:rFonts w:ascii="Times New Roman" w:hAnsi="Times New Roman" w:cs="Times New Roman"/>
          <w:sz w:val="24"/>
          <w:szCs w:val="24"/>
          <w:vertAlign w:val="baseline"/>
        </w:rPr>
        <w:t>O</w:t>
      </w:r>
      <w:r w:rsidRPr="001C6724">
        <w:rPr>
          <w:rFonts w:ascii="Times New Roman" w:hAnsi="Times New Roman" w:cs="Times New Roman"/>
          <w:sz w:val="24"/>
          <w:szCs w:val="24"/>
          <w:vertAlign w:val="baseline"/>
        </w:rPr>
        <w:t>n examination of all these reports, it is clear that the central problem with all four states is one of i</w:t>
      </w:r>
      <w:r w:rsidR="00417EBA">
        <w:rPr>
          <w:rFonts w:ascii="Times New Roman" w:hAnsi="Times New Roman" w:cs="Times New Roman"/>
          <w:sz w:val="24"/>
          <w:szCs w:val="24"/>
          <w:vertAlign w:val="baseline"/>
        </w:rPr>
        <w:t>mpunity</w:t>
      </w:r>
      <w:r w:rsidR="00A132B0">
        <w:rPr>
          <w:rFonts w:ascii="Times New Roman" w:hAnsi="Times New Roman" w:cs="Times New Roman"/>
          <w:sz w:val="24"/>
          <w:szCs w:val="24"/>
          <w:vertAlign w:val="baseline"/>
        </w:rPr>
        <w:t>, with a lack of a concerted and systematic effort by both states and the international community.</w:t>
      </w:r>
      <w:r w:rsidR="00AD1D88">
        <w:rPr>
          <w:rFonts w:ascii="Times New Roman" w:hAnsi="Times New Roman" w:cs="Times New Roman"/>
          <w:sz w:val="24"/>
          <w:szCs w:val="24"/>
          <w:vertAlign w:val="baseline"/>
        </w:rPr>
        <w:t xml:space="preserve"> </w:t>
      </w:r>
      <w:r w:rsidRPr="001C6724">
        <w:rPr>
          <w:rFonts w:ascii="Times New Roman" w:hAnsi="Times New Roman" w:cs="Times New Roman"/>
          <w:sz w:val="24"/>
          <w:szCs w:val="24"/>
          <w:vertAlign w:val="baseline"/>
        </w:rPr>
        <w:t>Whilst some states, for example Ghana</w:t>
      </w:r>
      <w:r w:rsidR="008C7A2C">
        <w:rPr>
          <w:rFonts w:ascii="Times New Roman" w:hAnsi="Times New Roman" w:cs="Times New Roman"/>
          <w:sz w:val="24"/>
          <w:szCs w:val="24"/>
          <w:vertAlign w:val="baseline"/>
        </w:rPr>
        <w:t xml:space="preserve"> and Nepal</w:t>
      </w:r>
      <w:r w:rsidRPr="001C6724">
        <w:rPr>
          <w:rFonts w:ascii="Times New Roman" w:hAnsi="Times New Roman" w:cs="Times New Roman"/>
          <w:sz w:val="24"/>
          <w:szCs w:val="24"/>
          <w:vertAlign w:val="baseline"/>
        </w:rPr>
        <w:t>, have made a more concerted effort than others, specifically India, the patriarchal attitudes and deep-rooted stereotypes that defend and propagate the witchcraft discourse remain entrenched throughout all aspects of social, cultural, religious, economic and political structures of society, within Nepal, India, PNG and Ghana.</w:t>
      </w:r>
      <w:r w:rsidR="00992576">
        <w:rPr>
          <w:rFonts w:ascii="Times New Roman" w:hAnsi="Times New Roman" w:cs="Times New Roman"/>
          <w:sz w:val="24"/>
          <w:szCs w:val="24"/>
          <w:vertAlign w:val="baseline"/>
        </w:rPr>
        <w:t xml:space="preserve"> </w:t>
      </w:r>
      <w:r w:rsidR="007363E3">
        <w:rPr>
          <w:rFonts w:ascii="Times New Roman" w:hAnsi="Times New Roman" w:cs="Times New Roman"/>
          <w:sz w:val="24"/>
          <w:szCs w:val="24"/>
          <w:vertAlign w:val="baseline"/>
        </w:rPr>
        <w:t xml:space="preserve">Hence, the patriarchal ‘definition of normality’ centres on </w:t>
      </w:r>
      <w:r w:rsidR="00992576">
        <w:rPr>
          <w:rFonts w:ascii="Times New Roman" w:hAnsi="Times New Roman" w:cs="Times New Roman"/>
          <w:sz w:val="24"/>
          <w:szCs w:val="24"/>
          <w:vertAlign w:val="baseline"/>
        </w:rPr>
        <w:t>the ascend</w:t>
      </w:r>
      <w:r w:rsidR="007363E3">
        <w:rPr>
          <w:rFonts w:ascii="Times New Roman" w:hAnsi="Times New Roman" w:cs="Times New Roman"/>
          <w:sz w:val="24"/>
          <w:szCs w:val="24"/>
          <w:vertAlign w:val="baseline"/>
        </w:rPr>
        <w:t>an</w:t>
      </w:r>
      <w:r w:rsidR="00992576">
        <w:rPr>
          <w:rFonts w:ascii="Times New Roman" w:hAnsi="Times New Roman" w:cs="Times New Roman"/>
          <w:sz w:val="24"/>
          <w:szCs w:val="24"/>
          <w:vertAlign w:val="baseline"/>
        </w:rPr>
        <w:t xml:space="preserve">cy of </w:t>
      </w:r>
      <w:r w:rsidR="007363E3">
        <w:rPr>
          <w:rFonts w:ascii="Times New Roman" w:hAnsi="Times New Roman" w:cs="Times New Roman"/>
          <w:sz w:val="24"/>
          <w:szCs w:val="24"/>
          <w:vertAlign w:val="baseline"/>
        </w:rPr>
        <w:t>men and the subordination of women.</w:t>
      </w:r>
      <w:r w:rsidR="007363E3">
        <w:rPr>
          <w:rStyle w:val="FootnoteReference"/>
          <w:rFonts w:ascii="Times New Roman" w:hAnsi="Times New Roman" w:cs="Times New Roman"/>
          <w:sz w:val="24"/>
          <w:szCs w:val="24"/>
        </w:rPr>
        <w:footnoteReference w:id="1075"/>
      </w:r>
      <w:r w:rsidRPr="001C6724">
        <w:rPr>
          <w:rFonts w:ascii="Times New Roman" w:hAnsi="Times New Roman" w:cs="Times New Roman"/>
          <w:sz w:val="24"/>
          <w:szCs w:val="24"/>
          <w:vertAlign w:val="baseline"/>
        </w:rPr>
        <w:t xml:space="preserve"> Failure of these states to eliminate such attitudes and stereotypes, combined with high levels of impunity, only exacerbate the prevalence of WAP. This failure by states is clearly identified by the need of UN and intergovernmental bodies, to frequently reiterate the same issues; for example the issue of witch camps in Ghana was repeated in reports by the CEDAW Committee, the Committee against Torture and the UPR. Moreover, and possibly more troubling, is the need for the CEDAW Committee to reiterate previous Concluding Observations within subsequent State reports, due to the denial, by states, of the prevalence of harmful practices, such as WAP. This is certainly the case in India where, seven years later, the Committee have found themselves reiterating the same Concluding Observations, stating a lack of satisfactory, sustained and systematic action taken by India to modify or eliminate harmful traditional practices. </w:t>
      </w:r>
    </w:p>
    <w:p w14:paraId="73D6CA64"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121F66ED" w14:textId="65EA9873" w:rsidR="001C6724" w:rsidRPr="001C6724" w:rsidRDefault="001C6724" w:rsidP="00C76695">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Another issue facing victims of WAP is that there appears to be some form of hierarchical basis, in terms of traditional harmful practices. Whilst witchcraft related violence is recognised in the same category as FGM, amongst other traditional practices, it would appear that greater funds and attention have been spent in banning practices such as FGM,</w:t>
      </w:r>
      <w:r w:rsidRPr="001C6724">
        <w:rPr>
          <w:rFonts w:ascii="Times New Roman" w:hAnsi="Times New Roman" w:cs="Times New Roman"/>
          <w:sz w:val="24"/>
          <w:szCs w:val="24"/>
        </w:rPr>
        <w:footnoteReference w:id="1076"/>
      </w:r>
      <w:r w:rsidRPr="001C6724">
        <w:rPr>
          <w:rFonts w:ascii="Times New Roman" w:hAnsi="Times New Roman" w:cs="Times New Roman"/>
          <w:sz w:val="24"/>
          <w:szCs w:val="24"/>
          <w:vertAlign w:val="baseline"/>
        </w:rPr>
        <w:t xml:space="preserve"> whereas incidents of WAP, have been somewhat ignored. This is evidently the situation in Africa, as stated within the Protocol to ACHPR on the Rights of Women in Africa, where although article 1 provides a broad definition of harmful practices, article 5, which deals specifically with the elimination of harmful practices, makes specific reference to FGM only. This lack of acknowledgement o</w:t>
      </w:r>
      <w:r w:rsidR="00076B54">
        <w:rPr>
          <w:rFonts w:ascii="Times New Roman" w:hAnsi="Times New Roman" w:cs="Times New Roman"/>
          <w:sz w:val="24"/>
          <w:szCs w:val="24"/>
          <w:vertAlign w:val="baseline"/>
        </w:rPr>
        <w:t>f WAP is surprising in a continent</w:t>
      </w:r>
      <w:r w:rsidRPr="001C6724">
        <w:rPr>
          <w:rFonts w:ascii="Times New Roman" w:hAnsi="Times New Roman" w:cs="Times New Roman"/>
          <w:sz w:val="24"/>
          <w:szCs w:val="24"/>
          <w:vertAlign w:val="baseline"/>
        </w:rPr>
        <w:t>, which is plagued with allegations of witchcraft abuse, not only against women, but also against children and persons with albinism, and, is the only country in the world that has witch camps exclusively for those people accused of witchcraft.</w:t>
      </w:r>
      <w:r w:rsidRPr="001C6724">
        <w:rPr>
          <w:rFonts w:ascii="Times New Roman" w:hAnsi="Times New Roman" w:cs="Times New Roman"/>
          <w:sz w:val="24"/>
          <w:szCs w:val="24"/>
        </w:rPr>
        <w:footnoteReference w:id="1077"/>
      </w:r>
      <w:r w:rsidRPr="001C6724">
        <w:rPr>
          <w:rFonts w:ascii="Times New Roman" w:hAnsi="Times New Roman" w:cs="Times New Roman"/>
          <w:sz w:val="24"/>
          <w:szCs w:val="24"/>
          <w:vertAlign w:val="baseline"/>
        </w:rPr>
        <w:t xml:space="preserve"> Lack of acknowledgement of the situation of WAP within all four states is astonishing, particularly India’s reference to the ‘localised nature’ of witch-hunts, bearing in mind that this is a country where WAP is possibly at its most prevalent.</w:t>
      </w:r>
      <w:r w:rsidR="003C66BB">
        <w:rPr>
          <w:rStyle w:val="FootnoteReference"/>
          <w:rFonts w:ascii="Times New Roman" w:hAnsi="Times New Roman" w:cs="Times New Roman"/>
          <w:sz w:val="24"/>
          <w:szCs w:val="24"/>
        </w:rPr>
        <w:footnoteReference w:id="1078"/>
      </w:r>
      <w:r w:rsidRPr="001C6724">
        <w:rPr>
          <w:rFonts w:ascii="Times New Roman" w:hAnsi="Times New Roman" w:cs="Times New Roman"/>
          <w:sz w:val="24"/>
          <w:szCs w:val="24"/>
          <w:vertAlign w:val="baseline"/>
        </w:rPr>
        <w:t xml:space="preserve"> </w:t>
      </w:r>
    </w:p>
    <w:p w14:paraId="59BC4AAB"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27896148" w14:textId="77777777" w:rsidR="001C6724" w:rsidRPr="001C6724" w:rsidRDefault="001C6724" w:rsidP="00C76695">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There appears to be little awareness, or perhaps ignorance, both nationally and internationally at the potential scale of the human rights violations caused by WAP and the emergence of WAP as one of the worst forms of discriminatory social practices. This, together with a lack of state compliance, poor implementation and inadequate punishment for failure to adhere to their legal obligations, means that international human rights are failing victims of WAP. There needs to be a greater understanding and acknowledgment of the issue of WAP, throughout the international community. Whilst there has been progress, in terms of the Human Rights Council recognising the use of WAP against persons with albinism, there needs to be greater recognition of the use of WAP, specifically against women. It has already been acknowledged by the CSW that WAP is a gender issue. The international community needs to engage in constructive dialogue with stakeholders on a wider scale, such as NGOs, victims of abuse, academics, governments and UN representatives, in order to produce greater research into the scale and pervasiveness of WAP, establish the true scale of the problem before, ultimately, providing tangible solutions in tackling the issue of WAP.</w:t>
      </w:r>
    </w:p>
    <w:p w14:paraId="5C65D4DB"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49A3BD42" w14:textId="77777777" w:rsidR="001C6724" w:rsidRPr="001C6724" w:rsidRDefault="001C6724" w:rsidP="00C76695">
      <w:pPr>
        <w:spacing w:line="480" w:lineRule="auto"/>
        <w:ind w:firstLine="720"/>
        <w:jc w:val="both"/>
        <w:rPr>
          <w:rFonts w:ascii="Times New Roman" w:hAnsi="Times New Roman" w:cs="Times New Roman"/>
          <w:sz w:val="24"/>
          <w:szCs w:val="24"/>
          <w:vertAlign w:val="baseline"/>
        </w:rPr>
      </w:pPr>
      <w:r w:rsidRPr="001C6724">
        <w:rPr>
          <w:rFonts w:ascii="Times New Roman" w:hAnsi="Times New Roman" w:cs="Times New Roman"/>
          <w:sz w:val="24"/>
          <w:szCs w:val="24"/>
          <w:vertAlign w:val="baseline"/>
        </w:rPr>
        <w:t xml:space="preserve">As this chapter has discussed the issue of traditional harmful practices and WAP as violations of human rights on an international level, it becomes necessary to examine these issues and the protection afforded to women on a domestic level. This will be examined in the subsequent chapter. </w:t>
      </w:r>
    </w:p>
    <w:p w14:paraId="29A075CE"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0BD417BC"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629F4E1A" w14:textId="77777777" w:rsidR="001C6724" w:rsidRPr="001C6724" w:rsidRDefault="001C6724" w:rsidP="001C6724">
      <w:pPr>
        <w:spacing w:line="480" w:lineRule="auto"/>
        <w:jc w:val="both"/>
        <w:rPr>
          <w:rFonts w:ascii="Times New Roman" w:hAnsi="Times New Roman" w:cs="Times New Roman"/>
          <w:sz w:val="24"/>
          <w:szCs w:val="24"/>
          <w:vertAlign w:val="baseline"/>
        </w:rPr>
      </w:pPr>
    </w:p>
    <w:p w14:paraId="0C6E3CA2" w14:textId="77777777" w:rsidR="008C3633" w:rsidRDefault="008C3633" w:rsidP="001C6724">
      <w:pPr>
        <w:spacing w:line="480" w:lineRule="auto"/>
        <w:jc w:val="both"/>
        <w:rPr>
          <w:rFonts w:ascii="Times New Roman" w:hAnsi="Times New Roman" w:cs="Times New Roman"/>
          <w:sz w:val="24"/>
          <w:szCs w:val="24"/>
          <w:vertAlign w:val="baseline"/>
        </w:rPr>
        <w:sectPr w:rsidR="008C3633" w:rsidSect="00EA2769">
          <w:pgSz w:w="11900" w:h="16840"/>
          <w:pgMar w:top="1418" w:right="1418" w:bottom="1418" w:left="2155" w:header="708" w:footer="708" w:gutter="0"/>
          <w:cols w:space="708"/>
          <w:docGrid w:linePitch="360"/>
        </w:sectPr>
      </w:pPr>
    </w:p>
    <w:p w14:paraId="6495F6E2" w14:textId="77777777" w:rsidR="008C3633" w:rsidRPr="00F17BA5" w:rsidRDefault="008C3633" w:rsidP="006E5454">
      <w:pPr>
        <w:spacing w:line="480" w:lineRule="auto"/>
        <w:jc w:val="center"/>
        <w:rPr>
          <w:rFonts w:ascii="Times New Roman" w:hAnsi="Times New Roman" w:cs="Times New Roman"/>
          <w:b/>
          <w:sz w:val="28"/>
          <w:szCs w:val="28"/>
          <w:vertAlign w:val="baseline"/>
        </w:rPr>
      </w:pPr>
      <w:r w:rsidRPr="00F17BA5">
        <w:rPr>
          <w:rFonts w:ascii="Times New Roman" w:hAnsi="Times New Roman" w:cs="Times New Roman"/>
          <w:b/>
          <w:sz w:val="28"/>
          <w:szCs w:val="28"/>
          <w:vertAlign w:val="baseline"/>
        </w:rPr>
        <w:t>Chapter Six – Witchcraft, violence against women, domestic law and local customary laws</w:t>
      </w:r>
    </w:p>
    <w:p w14:paraId="682D3422" w14:textId="77777777" w:rsidR="008C3633" w:rsidRPr="008C3633" w:rsidRDefault="008C3633" w:rsidP="008C3633">
      <w:pPr>
        <w:spacing w:line="480" w:lineRule="auto"/>
        <w:jc w:val="both"/>
        <w:rPr>
          <w:rFonts w:ascii="Times New Roman" w:hAnsi="Times New Roman" w:cs="Times New Roman"/>
          <w:b/>
          <w:sz w:val="24"/>
          <w:szCs w:val="24"/>
          <w:u w:val="single"/>
          <w:vertAlign w:val="baseline"/>
        </w:rPr>
      </w:pPr>
    </w:p>
    <w:p w14:paraId="2935FC1B" w14:textId="47F688C8" w:rsidR="008C3633" w:rsidRPr="008C3633" w:rsidRDefault="00A467F6" w:rsidP="00F17BA5">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6</w:t>
      </w:r>
      <w:r w:rsidR="00F17BA5">
        <w:rPr>
          <w:rFonts w:ascii="Times New Roman" w:hAnsi="Times New Roman" w:cs="Times New Roman"/>
          <w:b/>
          <w:sz w:val="24"/>
          <w:szCs w:val="24"/>
          <w:u w:val="single"/>
          <w:vertAlign w:val="baseline"/>
        </w:rPr>
        <w:t xml:space="preserve">.1 </w:t>
      </w:r>
      <w:r w:rsidR="008C3633" w:rsidRPr="008C3633">
        <w:rPr>
          <w:rFonts w:ascii="Times New Roman" w:hAnsi="Times New Roman" w:cs="Times New Roman"/>
          <w:b/>
          <w:sz w:val="24"/>
          <w:szCs w:val="24"/>
          <w:u w:val="single"/>
          <w:vertAlign w:val="baseline"/>
        </w:rPr>
        <w:t>I</w:t>
      </w:r>
      <w:r>
        <w:rPr>
          <w:rFonts w:ascii="Times New Roman" w:hAnsi="Times New Roman" w:cs="Times New Roman"/>
          <w:b/>
          <w:sz w:val="24"/>
          <w:szCs w:val="24"/>
          <w:u w:val="single"/>
          <w:vertAlign w:val="baseline"/>
        </w:rPr>
        <w:t>NTRODUCTION</w:t>
      </w:r>
    </w:p>
    <w:p w14:paraId="2AF83306" w14:textId="54266779" w:rsidR="008C3633" w:rsidRPr="008C3633" w:rsidRDefault="008C3633" w:rsidP="00054671">
      <w:pPr>
        <w:spacing w:line="480" w:lineRule="auto"/>
        <w:ind w:firstLine="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 xml:space="preserve">Following on from the previous chapter, which assessed the effectiveness of international human rights law in protecting women from witchcraft accusations and persecution (WAP), this chapter will </w:t>
      </w:r>
      <w:r w:rsidR="00D359DD">
        <w:rPr>
          <w:rFonts w:ascii="Times New Roman" w:hAnsi="Times New Roman" w:cs="Times New Roman"/>
          <w:sz w:val="24"/>
          <w:szCs w:val="24"/>
          <w:vertAlign w:val="baseline"/>
        </w:rPr>
        <w:t>examine how states have incorporated internati</w:t>
      </w:r>
      <w:r w:rsidR="00EB069A">
        <w:rPr>
          <w:rFonts w:ascii="Times New Roman" w:hAnsi="Times New Roman" w:cs="Times New Roman"/>
          <w:sz w:val="24"/>
          <w:szCs w:val="24"/>
          <w:vertAlign w:val="baseline"/>
        </w:rPr>
        <w:t>onal law into national law</w:t>
      </w:r>
      <w:r w:rsidR="00D359DD">
        <w:rPr>
          <w:rFonts w:ascii="Times New Roman" w:hAnsi="Times New Roman" w:cs="Times New Roman"/>
          <w:sz w:val="24"/>
          <w:szCs w:val="24"/>
          <w:vertAlign w:val="baseline"/>
        </w:rPr>
        <w:t xml:space="preserve">, </w:t>
      </w:r>
      <w:r w:rsidRPr="008C3633">
        <w:rPr>
          <w:rFonts w:ascii="Times New Roman" w:hAnsi="Times New Roman" w:cs="Times New Roman"/>
          <w:sz w:val="24"/>
          <w:szCs w:val="24"/>
          <w:vertAlign w:val="baseline"/>
        </w:rPr>
        <w:t>address</w:t>
      </w:r>
      <w:r w:rsidR="00D359DD">
        <w:rPr>
          <w:rFonts w:ascii="Times New Roman" w:hAnsi="Times New Roman" w:cs="Times New Roman"/>
          <w:sz w:val="24"/>
          <w:szCs w:val="24"/>
          <w:vertAlign w:val="baseline"/>
        </w:rPr>
        <w:t>ing</w:t>
      </w:r>
      <w:r w:rsidRPr="008C3633">
        <w:rPr>
          <w:rFonts w:ascii="Times New Roman" w:hAnsi="Times New Roman" w:cs="Times New Roman"/>
          <w:sz w:val="24"/>
          <w:szCs w:val="24"/>
          <w:vertAlign w:val="baseline"/>
        </w:rPr>
        <w:t xml:space="preserve"> the protection of women from WAP on a domestic level. Focusing on the same four states, Nepal, India, PNG and Ghana, this chapter will examine the barriers to women’s rights on a domestic level; specifically the barriers posed by culture, custom and personal laws, dominated by patriarchal attitudes and deep-rooted stereotypes that defend and propagate the witchcraft discourse, and remain entrenched throughout all aspects of social, cultural, religious, economic and political structures of society. This chapter will examine WAP in terms of the domestic rights assigned to women in context of her class, caste and ethnicity.</w:t>
      </w:r>
      <w:r w:rsidRPr="008C3633">
        <w:rPr>
          <w:rFonts w:ascii="Times New Roman" w:hAnsi="Times New Roman" w:cs="Times New Roman"/>
          <w:sz w:val="24"/>
          <w:szCs w:val="24"/>
        </w:rPr>
        <w:footnoteReference w:id="1079"/>
      </w:r>
      <w:r w:rsidRPr="008C3633">
        <w:rPr>
          <w:rFonts w:ascii="Times New Roman" w:hAnsi="Times New Roman" w:cs="Times New Roman"/>
          <w:sz w:val="24"/>
          <w:szCs w:val="24"/>
          <w:vertAlign w:val="baseline"/>
        </w:rPr>
        <w:t xml:space="preserve"> Each state will be examined individually.</w:t>
      </w:r>
    </w:p>
    <w:p w14:paraId="0ECA3929" w14:textId="77777777" w:rsidR="008C3633" w:rsidRPr="008C3633" w:rsidRDefault="008C3633" w:rsidP="008C3633">
      <w:pPr>
        <w:spacing w:line="480" w:lineRule="auto"/>
        <w:jc w:val="both"/>
        <w:rPr>
          <w:rFonts w:ascii="Times New Roman" w:hAnsi="Times New Roman" w:cs="Times New Roman"/>
          <w:sz w:val="24"/>
          <w:szCs w:val="24"/>
          <w:vertAlign w:val="baseline"/>
        </w:rPr>
      </w:pPr>
    </w:p>
    <w:p w14:paraId="7EFF9469" w14:textId="5693046B" w:rsidR="008C3633" w:rsidRPr="008C3633" w:rsidRDefault="00A670E7" w:rsidP="008C3633">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6</w:t>
      </w:r>
      <w:r w:rsidR="00054671">
        <w:rPr>
          <w:rFonts w:ascii="Times New Roman" w:hAnsi="Times New Roman" w:cs="Times New Roman"/>
          <w:b/>
          <w:sz w:val="24"/>
          <w:szCs w:val="24"/>
          <w:u w:val="single"/>
          <w:vertAlign w:val="baseline"/>
        </w:rPr>
        <w:t xml:space="preserve">.2 </w:t>
      </w:r>
      <w:r w:rsidR="008C3633" w:rsidRPr="008C3633">
        <w:rPr>
          <w:rFonts w:ascii="Times New Roman" w:hAnsi="Times New Roman" w:cs="Times New Roman"/>
          <w:b/>
          <w:sz w:val="24"/>
          <w:szCs w:val="24"/>
          <w:u w:val="single"/>
          <w:vertAlign w:val="baseline"/>
        </w:rPr>
        <w:t>T</w:t>
      </w:r>
      <w:r>
        <w:rPr>
          <w:rFonts w:ascii="Times New Roman" w:hAnsi="Times New Roman" w:cs="Times New Roman"/>
          <w:b/>
          <w:sz w:val="24"/>
          <w:szCs w:val="24"/>
          <w:u w:val="single"/>
          <w:vertAlign w:val="baseline"/>
        </w:rPr>
        <w:t>ERMINOLOGY</w:t>
      </w:r>
    </w:p>
    <w:p w14:paraId="26EFA984" w14:textId="647E90B1" w:rsidR="008C3633" w:rsidRPr="000A6308" w:rsidRDefault="008C3633" w:rsidP="000A6308">
      <w:pPr>
        <w:spacing w:line="480" w:lineRule="auto"/>
        <w:ind w:firstLine="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As this thesis deals with four independent states, within three different continents, it is important to specify the d</w:t>
      </w:r>
      <w:r w:rsidR="00A670E7">
        <w:rPr>
          <w:rFonts w:ascii="Times New Roman" w:hAnsi="Times New Roman" w:cs="Times New Roman"/>
          <w:sz w:val="24"/>
          <w:szCs w:val="24"/>
          <w:vertAlign w:val="baseline"/>
        </w:rPr>
        <w:t>ifference in terminology used among</w:t>
      </w:r>
      <w:r w:rsidRPr="008C3633">
        <w:rPr>
          <w:rFonts w:ascii="Times New Roman" w:hAnsi="Times New Roman" w:cs="Times New Roman"/>
          <w:sz w:val="24"/>
          <w:szCs w:val="24"/>
          <w:vertAlign w:val="baseline"/>
        </w:rPr>
        <w:t xml:space="preserve"> the four states at this point. This chapter deals with ‘laws’ or standards, based on traditional and religious values, which have become established within specific communities. Within Ghana and Papua New Guinea, the commonly used term is ‘local customary laws.’ However, in Nepal and India, and indeed South Asia as a whole, due to the caste system and religious diversity, under the ambit of local customary laws, there is another key source of ‘law,’ known as ‘personal laws.’ Whilst custom denotes a way of life that has always been observed, personal laws are region-specific to South Asia and are explicitly divided in terms of religion or ethnicity. However, for clarity, the general term I will utilise throughout this thesis will be </w:t>
      </w:r>
      <w:r w:rsidR="00B834A1">
        <w:rPr>
          <w:rFonts w:ascii="Times New Roman" w:hAnsi="Times New Roman" w:cs="Times New Roman"/>
          <w:sz w:val="24"/>
          <w:szCs w:val="24"/>
          <w:vertAlign w:val="baseline"/>
        </w:rPr>
        <w:t>‘</w:t>
      </w:r>
      <w:r w:rsidRPr="008C3633">
        <w:rPr>
          <w:rFonts w:ascii="Times New Roman" w:hAnsi="Times New Roman" w:cs="Times New Roman"/>
          <w:sz w:val="24"/>
          <w:szCs w:val="24"/>
          <w:vertAlign w:val="baseline"/>
        </w:rPr>
        <w:t>local customary laws,</w:t>
      </w:r>
      <w:r w:rsidR="00B834A1">
        <w:rPr>
          <w:rFonts w:ascii="Times New Roman" w:hAnsi="Times New Roman" w:cs="Times New Roman"/>
          <w:sz w:val="24"/>
          <w:szCs w:val="24"/>
          <w:vertAlign w:val="baseline"/>
        </w:rPr>
        <w:t>’</w:t>
      </w:r>
      <w:r w:rsidRPr="008C3633">
        <w:rPr>
          <w:rFonts w:ascii="Times New Roman" w:hAnsi="Times New Roman" w:cs="Times New Roman"/>
          <w:sz w:val="24"/>
          <w:szCs w:val="24"/>
          <w:vertAlign w:val="baseline"/>
        </w:rPr>
        <w:t xml:space="preserve"> unless specifically stated.</w:t>
      </w:r>
    </w:p>
    <w:p w14:paraId="187BBAE8" w14:textId="77777777" w:rsidR="008C3633" w:rsidRPr="005C5196" w:rsidRDefault="008C3633" w:rsidP="008C3633">
      <w:pPr>
        <w:spacing w:line="480" w:lineRule="auto"/>
        <w:jc w:val="both"/>
        <w:rPr>
          <w:rFonts w:ascii="Times New Roman" w:hAnsi="Times New Roman" w:cs="Times New Roman"/>
          <w:sz w:val="24"/>
          <w:szCs w:val="24"/>
          <w:vertAlign w:val="baseline"/>
        </w:rPr>
      </w:pPr>
    </w:p>
    <w:p w14:paraId="6185C6BF" w14:textId="2677536D" w:rsidR="008C3633" w:rsidRPr="005C5196" w:rsidRDefault="001848DC" w:rsidP="008C3633">
      <w:pPr>
        <w:spacing w:line="480" w:lineRule="auto"/>
        <w:jc w:val="both"/>
        <w:rPr>
          <w:rFonts w:ascii="Times New Roman" w:hAnsi="Times New Roman" w:cs="Times New Roman"/>
          <w:b/>
          <w:sz w:val="24"/>
          <w:szCs w:val="24"/>
          <w:vertAlign w:val="baseline"/>
        </w:rPr>
      </w:pPr>
      <w:r w:rsidRPr="005C5196">
        <w:rPr>
          <w:rFonts w:ascii="Times New Roman" w:hAnsi="Times New Roman" w:cs="Times New Roman"/>
          <w:b/>
          <w:sz w:val="24"/>
          <w:szCs w:val="24"/>
          <w:vertAlign w:val="baseline"/>
        </w:rPr>
        <w:t>6</w:t>
      </w:r>
      <w:r w:rsidR="005C5196" w:rsidRPr="005C5196">
        <w:rPr>
          <w:rFonts w:ascii="Times New Roman" w:hAnsi="Times New Roman" w:cs="Times New Roman"/>
          <w:b/>
          <w:sz w:val="24"/>
          <w:szCs w:val="24"/>
          <w:vertAlign w:val="baseline"/>
        </w:rPr>
        <w:t>.3</w:t>
      </w:r>
      <w:r w:rsidR="008B571F" w:rsidRPr="005C5196">
        <w:rPr>
          <w:rFonts w:ascii="Times New Roman" w:hAnsi="Times New Roman" w:cs="Times New Roman"/>
          <w:b/>
          <w:sz w:val="24"/>
          <w:szCs w:val="24"/>
          <w:vertAlign w:val="baseline"/>
        </w:rPr>
        <w:t xml:space="preserve"> </w:t>
      </w:r>
      <w:r w:rsidR="008C3633" w:rsidRPr="005C5196">
        <w:rPr>
          <w:rFonts w:ascii="Times New Roman" w:hAnsi="Times New Roman" w:cs="Times New Roman"/>
          <w:b/>
          <w:sz w:val="24"/>
          <w:szCs w:val="24"/>
          <w:vertAlign w:val="baseline"/>
        </w:rPr>
        <w:t>L</w:t>
      </w:r>
      <w:r w:rsidR="005C5196">
        <w:rPr>
          <w:rFonts w:ascii="Times New Roman" w:hAnsi="Times New Roman" w:cs="Times New Roman"/>
          <w:b/>
          <w:sz w:val="24"/>
          <w:szCs w:val="24"/>
          <w:vertAlign w:val="baseline"/>
        </w:rPr>
        <w:t>EGAL PLURALISM AND INTERNATIONAL HUMAN RIGHTS LAW</w:t>
      </w:r>
    </w:p>
    <w:p w14:paraId="32B45254" w14:textId="21740256" w:rsidR="008C3633" w:rsidRPr="005C5196" w:rsidRDefault="001D6356" w:rsidP="005C5196">
      <w:pPr>
        <w:spacing w:line="480" w:lineRule="auto"/>
        <w:ind w:firstLine="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As discussed in the methodology,</w:t>
      </w:r>
      <w:r>
        <w:rPr>
          <w:rStyle w:val="FootnoteReference"/>
          <w:rFonts w:ascii="Times New Roman" w:hAnsi="Times New Roman" w:cs="Times New Roman"/>
          <w:sz w:val="24"/>
          <w:szCs w:val="24"/>
        </w:rPr>
        <w:footnoteReference w:id="1080"/>
      </w:r>
      <w:r w:rsidRPr="008C3633">
        <w:rPr>
          <w:rFonts w:ascii="Times New Roman" w:hAnsi="Times New Roman" w:cs="Times New Roman"/>
          <w:sz w:val="24"/>
          <w:szCs w:val="24"/>
          <w:vertAlign w:val="baseline"/>
        </w:rPr>
        <w:t xml:space="preserve"> legal pluralism will be discussed in </w:t>
      </w:r>
      <w:r w:rsidR="005C5196">
        <w:rPr>
          <w:rFonts w:ascii="Times New Roman" w:hAnsi="Times New Roman" w:cs="Times New Roman"/>
          <w:sz w:val="24"/>
          <w:szCs w:val="24"/>
          <w:vertAlign w:val="baseline"/>
        </w:rPr>
        <w:t>this chapter in regards</w:t>
      </w:r>
      <w:r w:rsidRPr="008C3633">
        <w:rPr>
          <w:rFonts w:ascii="Times New Roman" w:hAnsi="Times New Roman" w:cs="Times New Roman"/>
          <w:sz w:val="24"/>
          <w:szCs w:val="24"/>
          <w:vertAlign w:val="baseline"/>
        </w:rPr>
        <w:t xml:space="preserve"> to the relationship legal pluralism has with religious freedom and human rights, specifically the potential conflict between religious and local customary laws and the limitations that these systems of law have on the personal freedom of women.</w:t>
      </w:r>
      <w:r w:rsidRPr="008C3633">
        <w:rPr>
          <w:rFonts w:ascii="Times New Roman" w:hAnsi="Times New Roman" w:cs="Times New Roman"/>
          <w:sz w:val="24"/>
          <w:szCs w:val="24"/>
        </w:rPr>
        <w:footnoteReference w:id="1081"/>
      </w:r>
      <w:r w:rsidRPr="008C3633">
        <w:rPr>
          <w:rFonts w:ascii="Times New Roman" w:hAnsi="Times New Roman" w:cs="Times New Roman"/>
          <w:sz w:val="24"/>
          <w:szCs w:val="24"/>
          <w:vertAlign w:val="baseline"/>
        </w:rPr>
        <w:t xml:space="preserve"> </w:t>
      </w:r>
      <w:r w:rsidR="008C3633" w:rsidRPr="008C3633">
        <w:rPr>
          <w:rFonts w:ascii="Times New Roman" w:hAnsi="Times New Roman" w:cs="Times New Roman"/>
          <w:sz w:val="24"/>
          <w:szCs w:val="24"/>
          <w:vertAlign w:val="baseline"/>
        </w:rPr>
        <w:t>The relationship between legal pluralism and international human rights law is complex, particularly in terms of local customary laws, with there being no general requirement under international human rights law to recognise local customary law within a state’s domestic jurisdiction.</w:t>
      </w:r>
      <w:r w:rsidR="008C3633" w:rsidRPr="008C3633">
        <w:rPr>
          <w:rFonts w:ascii="Times New Roman" w:hAnsi="Times New Roman" w:cs="Times New Roman"/>
          <w:sz w:val="24"/>
          <w:szCs w:val="24"/>
        </w:rPr>
        <w:footnoteReference w:id="1082"/>
      </w:r>
      <w:r w:rsidR="008C3633" w:rsidRPr="008C3633">
        <w:rPr>
          <w:rFonts w:ascii="Times New Roman" w:hAnsi="Times New Roman" w:cs="Times New Roman"/>
          <w:sz w:val="24"/>
          <w:szCs w:val="24"/>
          <w:vertAlign w:val="baseline"/>
        </w:rPr>
        <w:t xml:space="preserve"> The International Council on Human Rights </w:t>
      </w:r>
      <w:r w:rsidR="005408C5">
        <w:rPr>
          <w:rFonts w:ascii="Times New Roman" w:hAnsi="Times New Roman" w:cs="Times New Roman"/>
          <w:sz w:val="24"/>
          <w:szCs w:val="24"/>
          <w:vertAlign w:val="baseline"/>
        </w:rPr>
        <w:t xml:space="preserve">Policy </w:t>
      </w:r>
      <w:r w:rsidR="008C3633" w:rsidRPr="008C3633">
        <w:rPr>
          <w:rFonts w:ascii="Times New Roman" w:hAnsi="Times New Roman" w:cs="Times New Roman"/>
          <w:sz w:val="24"/>
          <w:szCs w:val="24"/>
          <w:vertAlign w:val="baseline"/>
        </w:rPr>
        <w:t>(ICHR</w:t>
      </w:r>
      <w:r w:rsidR="005408C5">
        <w:rPr>
          <w:rFonts w:ascii="Times New Roman" w:hAnsi="Times New Roman" w:cs="Times New Roman"/>
          <w:sz w:val="24"/>
          <w:szCs w:val="24"/>
          <w:vertAlign w:val="baseline"/>
        </w:rPr>
        <w:t>P</w:t>
      </w:r>
      <w:r w:rsidR="008C3633" w:rsidRPr="008C3633">
        <w:rPr>
          <w:rFonts w:ascii="Times New Roman" w:hAnsi="Times New Roman" w:cs="Times New Roman"/>
          <w:sz w:val="24"/>
          <w:szCs w:val="24"/>
          <w:vertAlign w:val="baseline"/>
        </w:rPr>
        <w:t>) clarifies the position that domestic law is not the only applicable and effective form of law within people’s lives, as states must, simultaneously, adhere to the</w:t>
      </w:r>
      <w:r w:rsidR="006B2539">
        <w:rPr>
          <w:rFonts w:ascii="Times New Roman" w:hAnsi="Times New Roman" w:cs="Times New Roman"/>
          <w:sz w:val="24"/>
          <w:szCs w:val="24"/>
          <w:vertAlign w:val="baseline"/>
        </w:rPr>
        <w:t>ir</w:t>
      </w:r>
      <w:r w:rsidR="008C3633" w:rsidRPr="008C3633">
        <w:rPr>
          <w:rFonts w:ascii="Times New Roman" w:hAnsi="Times New Roman" w:cs="Times New Roman"/>
          <w:sz w:val="24"/>
          <w:szCs w:val="24"/>
          <w:vertAlign w:val="baseline"/>
        </w:rPr>
        <w:t xml:space="preserve"> obligations in relation to human rights.</w:t>
      </w:r>
      <w:r w:rsidR="008C3633" w:rsidRPr="008C3633">
        <w:rPr>
          <w:rFonts w:ascii="Times New Roman" w:hAnsi="Times New Roman" w:cs="Times New Roman"/>
          <w:sz w:val="24"/>
          <w:szCs w:val="24"/>
        </w:rPr>
        <w:footnoteReference w:id="1083"/>
      </w:r>
      <w:r w:rsidR="008C3633" w:rsidRPr="008C3633">
        <w:rPr>
          <w:rFonts w:ascii="Times New Roman" w:hAnsi="Times New Roman" w:cs="Times New Roman"/>
          <w:sz w:val="24"/>
          <w:szCs w:val="24"/>
          <w:vertAlign w:val="baseline"/>
        </w:rPr>
        <w:t xml:space="preserve"> However, as I di</w:t>
      </w:r>
      <w:r w:rsidR="0047006A">
        <w:rPr>
          <w:rFonts w:ascii="Times New Roman" w:hAnsi="Times New Roman" w:cs="Times New Roman"/>
          <w:sz w:val="24"/>
          <w:szCs w:val="24"/>
          <w:vertAlign w:val="baseline"/>
        </w:rPr>
        <w:t>scuss previously in chapter five</w:t>
      </w:r>
      <w:r w:rsidR="008C3633" w:rsidRPr="008C3633">
        <w:rPr>
          <w:rFonts w:ascii="Times New Roman" w:hAnsi="Times New Roman" w:cs="Times New Roman"/>
          <w:sz w:val="24"/>
          <w:szCs w:val="24"/>
          <w:vertAlign w:val="baseline"/>
        </w:rPr>
        <w:t>,</w:t>
      </w:r>
      <w:r w:rsidR="0047006A">
        <w:rPr>
          <w:rStyle w:val="FootnoteReference"/>
          <w:rFonts w:ascii="Times New Roman" w:hAnsi="Times New Roman" w:cs="Times New Roman"/>
          <w:sz w:val="24"/>
          <w:szCs w:val="24"/>
        </w:rPr>
        <w:footnoteReference w:id="1084"/>
      </w:r>
      <w:r w:rsidR="008C3633" w:rsidRPr="008C3633">
        <w:rPr>
          <w:rFonts w:ascii="Times New Roman" w:hAnsi="Times New Roman" w:cs="Times New Roman"/>
          <w:sz w:val="24"/>
          <w:szCs w:val="24"/>
          <w:vertAlign w:val="baseline"/>
        </w:rPr>
        <w:t xml:space="preserve"> the focus on the public sphere and subsequent absence, in the international human rights discourse, of laws governing the family and society within the private sphere, allows the private sphere, in particular matters governing women and family matters, to be controlled by plural legal systems of religious and local customary laws in order to preserve some form of cultural identity. Evidently, it appears to have become somewhat accepted that family law is cultural-specific, as opposed to being subject to universal human rights norms.</w:t>
      </w:r>
      <w:r w:rsidR="008C3633" w:rsidRPr="008C3633">
        <w:rPr>
          <w:rFonts w:ascii="Times New Roman" w:hAnsi="Times New Roman" w:cs="Times New Roman"/>
          <w:sz w:val="24"/>
          <w:szCs w:val="24"/>
        </w:rPr>
        <w:footnoteReference w:id="1085"/>
      </w:r>
      <w:r w:rsidR="008C3633" w:rsidRPr="008C3633">
        <w:rPr>
          <w:rFonts w:ascii="Times New Roman" w:hAnsi="Times New Roman" w:cs="Times New Roman"/>
          <w:sz w:val="24"/>
          <w:szCs w:val="24"/>
          <w:vertAlign w:val="baseline"/>
        </w:rPr>
        <w:t xml:space="preserve"> As observed by the ICHR, international human rights standards have not adequately addressed plural legal orders as a human rights issue, particularly in terms of gender and culture.</w:t>
      </w:r>
      <w:r w:rsidR="008C3633" w:rsidRPr="008C3633">
        <w:rPr>
          <w:rFonts w:ascii="Times New Roman" w:hAnsi="Times New Roman" w:cs="Times New Roman"/>
          <w:sz w:val="24"/>
          <w:szCs w:val="24"/>
        </w:rPr>
        <w:footnoteReference w:id="1086"/>
      </w:r>
      <w:r w:rsidR="008C3633" w:rsidRPr="008C3633">
        <w:rPr>
          <w:rFonts w:ascii="Times New Roman" w:hAnsi="Times New Roman" w:cs="Times New Roman"/>
          <w:sz w:val="24"/>
          <w:szCs w:val="24"/>
          <w:vertAlign w:val="baseline"/>
        </w:rPr>
        <w:t xml:space="preserve"> The subordination of women’s rights to a regime based on cultural identity, causes discrimination and confusion, as regards to the application of the law. Thus, marginalised groups are at an immediate </w:t>
      </w:r>
      <w:r w:rsidR="005408C5">
        <w:rPr>
          <w:rFonts w:ascii="Times New Roman" w:hAnsi="Times New Roman" w:cs="Times New Roman"/>
          <w:sz w:val="24"/>
          <w:szCs w:val="24"/>
          <w:vertAlign w:val="baseline"/>
        </w:rPr>
        <w:t>dis</w:t>
      </w:r>
      <w:r w:rsidR="008C3633" w:rsidRPr="008C3633">
        <w:rPr>
          <w:rFonts w:ascii="Times New Roman" w:hAnsi="Times New Roman" w:cs="Times New Roman"/>
          <w:sz w:val="24"/>
          <w:szCs w:val="24"/>
          <w:vertAlign w:val="baseline"/>
        </w:rPr>
        <w:t>advantage, lacking the resources to ‘navigate the complicated jurisdictional and procedural arrangements that are characteristic of plural legal orders.’</w:t>
      </w:r>
      <w:r w:rsidR="008C3633" w:rsidRPr="008C3633">
        <w:rPr>
          <w:rFonts w:ascii="Times New Roman" w:hAnsi="Times New Roman" w:cs="Times New Roman"/>
          <w:sz w:val="24"/>
          <w:szCs w:val="24"/>
        </w:rPr>
        <w:footnoteReference w:id="1087"/>
      </w:r>
      <w:r w:rsidR="008C3633" w:rsidRPr="008C3633">
        <w:rPr>
          <w:rFonts w:ascii="Times New Roman" w:hAnsi="Times New Roman" w:cs="Times New Roman"/>
          <w:sz w:val="24"/>
          <w:szCs w:val="24"/>
          <w:vertAlign w:val="baseline"/>
        </w:rPr>
        <w:t xml:space="preserve"> As discussed in chapter five, the fragmentation of international human rights means that whilst human rights standards are valuable, in terms of highlighting the discrimination caused by religious and local customary laws and practices, they lack the means with which to deal with the violations that arise from such practices.</w:t>
      </w:r>
    </w:p>
    <w:p w14:paraId="42F75D11" w14:textId="77777777" w:rsidR="00EA52BA" w:rsidRDefault="00EA52BA" w:rsidP="008C3633">
      <w:pPr>
        <w:spacing w:line="480" w:lineRule="auto"/>
        <w:jc w:val="both"/>
        <w:rPr>
          <w:rFonts w:ascii="Times New Roman" w:hAnsi="Times New Roman" w:cs="Times New Roman"/>
          <w:b/>
          <w:sz w:val="24"/>
          <w:szCs w:val="24"/>
          <w:u w:val="single"/>
          <w:vertAlign w:val="baseline"/>
        </w:rPr>
      </w:pPr>
    </w:p>
    <w:p w14:paraId="5392FAB8" w14:textId="51313A5D" w:rsidR="008C3633" w:rsidRPr="008C3633" w:rsidRDefault="001848DC" w:rsidP="008C3633">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6</w:t>
      </w:r>
      <w:r w:rsidR="00CF3F96">
        <w:rPr>
          <w:rFonts w:ascii="Times New Roman" w:hAnsi="Times New Roman" w:cs="Times New Roman"/>
          <w:b/>
          <w:sz w:val="24"/>
          <w:szCs w:val="24"/>
          <w:u w:val="single"/>
          <w:vertAlign w:val="baseline"/>
        </w:rPr>
        <w:t xml:space="preserve">.4 </w:t>
      </w:r>
      <w:r w:rsidR="008C3633" w:rsidRPr="008C3633">
        <w:rPr>
          <w:rFonts w:ascii="Times New Roman" w:hAnsi="Times New Roman" w:cs="Times New Roman"/>
          <w:b/>
          <w:sz w:val="24"/>
          <w:szCs w:val="24"/>
          <w:u w:val="single"/>
          <w:vertAlign w:val="baseline"/>
        </w:rPr>
        <w:t>R</w:t>
      </w:r>
      <w:r>
        <w:rPr>
          <w:rFonts w:ascii="Times New Roman" w:hAnsi="Times New Roman" w:cs="Times New Roman"/>
          <w:b/>
          <w:sz w:val="24"/>
          <w:szCs w:val="24"/>
          <w:u w:val="single"/>
          <w:vertAlign w:val="baseline"/>
        </w:rPr>
        <w:t>ELATIONSHIP BETWEEN CUSTOMARY AN</w:t>
      </w:r>
      <w:r w:rsidR="00B506DF">
        <w:rPr>
          <w:rFonts w:ascii="Times New Roman" w:hAnsi="Times New Roman" w:cs="Times New Roman"/>
          <w:b/>
          <w:sz w:val="24"/>
          <w:szCs w:val="24"/>
          <w:u w:val="single"/>
          <w:vertAlign w:val="baseline"/>
        </w:rPr>
        <w:t>D</w:t>
      </w:r>
      <w:r>
        <w:rPr>
          <w:rFonts w:ascii="Times New Roman" w:hAnsi="Times New Roman" w:cs="Times New Roman"/>
          <w:b/>
          <w:sz w:val="24"/>
          <w:szCs w:val="24"/>
          <w:u w:val="single"/>
          <w:vertAlign w:val="baseline"/>
        </w:rPr>
        <w:t xml:space="preserve"> STATUTORY LAW </w:t>
      </w:r>
    </w:p>
    <w:p w14:paraId="20D385DE" w14:textId="77777777" w:rsidR="008C3633" w:rsidRDefault="008C3633" w:rsidP="00EA52BA">
      <w:pPr>
        <w:spacing w:line="480" w:lineRule="auto"/>
        <w:ind w:firstLine="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Local customary laws are generally ‘territory-specific’</w:t>
      </w:r>
      <w:r w:rsidRPr="008C3633">
        <w:rPr>
          <w:rFonts w:ascii="Times New Roman" w:hAnsi="Times New Roman" w:cs="Times New Roman"/>
          <w:sz w:val="24"/>
          <w:szCs w:val="24"/>
        </w:rPr>
        <w:footnoteReference w:id="1088"/>
      </w:r>
      <w:r w:rsidRPr="008C3633">
        <w:rPr>
          <w:rFonts w:ascii="Times New Roman" w:hAnsi="Times New Roman" w:cs="Times New Roman"/>
          <w:sz w:val="24"/>
          <w:szCs w:val="24"/>
          <w:vertAlign w:val="baseline"/>
        </w:rPr>
        <w:t xml:space="preserve"> and can be understood as sets of traditional rules and norms, which regulate the behaviour of individuals and groups within a specific community ‘because of popular sanction behind it and due to historical antecedents.’</w:t>
      </w:r>
      <w:r w:rsidRPr="008C3633">
        <w:rPr>
          <w:rFonts w:ascii="Times New Roman" w:hAnsi="Times New Roman" w:cs="Times New Roman"/>
          <w:sz w:val="24"/>
          <w:szCs w:val="24"/>
        </w:rPr>
        <w:footnoteReference w:id="1089"/>
      </w:r>
      <w:r w:rsidRPr="008C3633">
        <w:rPr>
          <w:rFonts w:ascii="Times New Roman" w:hAnsi="Times New Roman" w:cs="Times New Roman"/>
          <w:sz w:val="24"/>
          <w:szCs w:val="24"/>
          <w:vertAlign w:val="baseline"/>
        </w:rPr>
        <w:t xml:space="preserve"> As observed by Ghosh, </w:t>
      </w:r>
    </w:p>
    <w:p w14:paraId="5B9A4D7E" w14:textId="77777777" w:rsidR="00DB5040" w:rsidRPr="008C3633" w:rsidRDefault="00DB5040" w:rsidP="00EA52BA">
      <w:pPr>
        <w:spacing w:line="480" w:lineRule="auto"/>
        <w:ind w:firstLine="720"/>
        <w:jc w:val="both"/>
        <w:rPr>
          <w:rFonts w:ascii="Times New Roman" w:hAnsi="Times New Roman" w:cs="Times New Roman"/>
          <w:b/>
          <w:sz w:val="24"/>
          <w:szCs w:val="24"/>
          <w:u w:val="single"/>
          <w:vertAlign w:val="baseline"/>
        </w:rPr>
      </w:pPr>
    </w:p>
    <w:p w14:paraId="7AECBEDC" w14:textId="77777777" w:rsidR="008C3633" w:rsidRPr="008C3633" w:rsidRDefault="008C3633" w:rsidP="00765AE2">
      <w:pPr>
        <w:spacing w:line="480" w:lineRule="auto"/>
        <w:ind w:left="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The concept of custom implies not only the statistical occurrence of a given behaviour but also a prescriptive dimension: customary behaviour is that which is required or expected of the members of society under any given circumstance.</w:t>
      </w:r>
      <w:r w:rsidRPr="008C3633">
        <w:rPr>
          <w:rFonts w:ascii="Times New Roman" w:hAnsi="Times New Roman" w:cs="Times New Roman"/>
          <w:sz w:val="24"/>
          <w:szCs w:val="24"/>
        </w:rPr>
        <w:footnoteReference w:id="1090"/>
      </w:r>
    </w:p>
    <w:p w14:paraId="11C31AA3" w14:textId="77777777" w:rsidR="00DB5040" w:rsidRDefault="00DB5040" w:rsidP="00DB5040">
      <w:pPr>
        <w:spacing w:line="480" w:lineRule="auto"/>
        <w:jc w:val="both"/>
        <w:rPr>
          <w:rFonts w:ascii="Times New Roman" w:hAnsi="Times New Roman" w:cs="Times New Roman"/>
          <w:sz w:val="24"/>
          <w:szCs w:val="24"/>
          <w:vertAlign w:val="baseline"/>
        </w:rPr>
      </w:pPr>
    </w:p>
    <w:p w14:paraId="592C80DB" w14:textId="77777777" w:rsidR="008C3633" w:rsidRPr="008C3633" w:rsidRDefault="008C3633" w:rsidP="00DB5040">
      <w:pPr>
        <w:spacing w:line="480" w:lineRule="auto"/>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Local customary laws are a form of unwritten or un-codified sources of law, generally governing family matters such as, inheritance, divorce, custody and property issues, which have evolved over time through ‘interactions and transactions’ amongst members of a community and are utilised as a means of social control.</w:t>
      </w:r>
      <w:r w:rsidRPr="008C3633">
        <w:rPr>
          <w:rFonts w:ascii="Times New Roman" w:hAnsi="Times New Roman" w:cs="Times New Roman"/>
          <w:sz w:val="24"/>
          <w:szCs w:val="24"/>
        </w:rPr>
        <w:footnoteReference w:id="1091"/>
      </w:r>
      <w:r w:rsidRPr="008C3633">
        <w:rPr>
          <w:rFonts w:ascii="Times New Roman" w:hAnsi="Times New Roman" w:cs="Times New Roman"/>
          <w:sz w:val="24"/>
          <w:szCs w:val="24"/>
          <w:vertAlign w:val="baseline"/>
        </w:rPr>
        <w:t xml:space="preserve"> Hence, the personal rights that should be available to all individuals become embroiled within the rights of the community membership. As Ghosh explains, </w:t>
      </w:r>
    </w:p>
    <w:p w14:paraId="1B5844CD" w14:textId="77777777" w:rsidR="008C3633" w:rsidRPr="008C3633" w:rsidRDefault="008C3633" w:rsidP="00B92D4E">
      <w:pPr>
        <w:jc w:val="both"/>
        <w:rPr>
          <w:rFonts w:ascii="Times New Roman" w:hAnsi="Times New Roman" w:cs="Times New Roman"/>
          <w:sz w:val="24"/>
          <w:szCs w:val="24"/>
          <w:vertAlign w:val="baseline"/>
        </w:rPr>
      </w:pPr>
    </w:p>
    <w:p w14:paraId="24542DE3" w14:textId="77777777" w:rsidR="008C3633" w:rsidRPr="008C3633" w:rsidRDefault="008C3633" w:rsidP="00765AE2">
      <w:pPr>
        <w:spacing w:line="480" w:lineRule="auto"/>
        <w:ind w:left="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As such any right of an individual should mean that it is a personal right. But personal law connotes a set of legal rights pertaining to family affairs that an individual is entitled to not just by virtue of being an individual but by virtue of being a member of a religious or ethnic group or community.</w:t>
      </w:r>
      <w:r w:rsidRPr="008C3633">
        <w:rPr>
          <w:rFonts w:ascii="Times New Roman" w:hAnsi="Times New Roman" w:cs="Times New Roman"/>
          <w:sz w:val="24"/>
          <w:szCs w:val="24"/>
        </w:rPr>
        <w:footnoteReference w:id="1092"/>
      </w:r>
    </w:p>
    <w:p w14:paraId="7611FF3D" w14:textId="77777777" w:rsidR="00B07AC7" w:rsidRDefault="00B07AC7" w:rsidP="008C3633">
      <w:pPr>
        <w:spacing w:line="480" w:lineRule="auto"/>
        <w:jc w:val="both"/>
        <w:rPr>
          <w:rFonts w:ascii="Times New Roman" w:hAnsi="Times New Roman" w:cs="Times New Roman"/>
          <w:sz w:val="24"/>
          <w:szCs w:val="24"/>
          <w:vertAlign w:val="baseline"/>
        </w:rPr>
      </w:pPr>
    </w:p>
    <w:p w14:paraId="6382F90F" w14:textId="5B2494B9" w:rsidR="008C3633" w:rsidRDefault="00B07AC7" w:rsidP="008C3633">
      <w:pPr>
        <w:spacing w:line="480" w:lineRule="auto"/>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T</w:t>
      </w:r>
      <w:r w:rsidR="008C3633" w:rsidRPr="008C3633">
        <w:rPr>
          <w:rFonts w:ascii="Times New Roman" w:hAnsi="Times New Roman" w:cs="Times New Roman"/>
          <w:sz w:val="24"/>
          <w:szCs w:val="24"/>
          <w:vertAlign w:val="baseline"/>
        </w:rPr>
        <w:t>he expansion of community rights intrudes on the rights of individual group members, particularly those that fall within the subordinate classes, such as women.</w:t>
      </w:r>
      <w:r w:rsidR="008C3633" w:rsidRPr="008C3633">
        <w:rPr>
          <w:rFonts w:ascii="Times New Roman" w:hAnsi="Times New Roman" w:cs="Times New Roman"/>
          <w:sz w:val="24"/>
          <w:szCs w:val="24"/>
        </w:rPr>
        <w:footnoteReference w:id="1093"/>
      </w:r>
      <w:r w:rsidR="008C3633" w:rsidRPr="008C3633">
        <w:rPr>
          <w:rFonts w:ascii="Times New Roman" w:hAnsi="Times New Roman" w:cs="Times New Roman"/>
          <w:sz w:val="24"/>
          <w:szCs w:val="24"/>
          <w:vertAlign w:val="baseline"/>
        </w:rPr>
        <w:t xml:space="preserve"> As Hossain </w:t>
      </w:r>
      <w:r w:rsidR="00DB5040">
        <w:rPr>
          <w:rFonts w:ascii="Times New Roman" w:hAnsi="Times New Roman" w:cs="Times New Roman"/>
          <w:sz w:val="24"/>
          <w:szCs w:val="24"/>
          <w:vertAlign w:val="baseline"/>
        </w:rPr>
        <w:t>states</w:t>
      </w:r>
      <w:r w:rsidR="008C3633" w:rsidRPr="008C3633">
        <w:rPr>
          <w:rFonts w:ascii="Times New Roman" w:hAnsi="Times New Roman" w:cs="Times New Roman"/>
          <w:sz w:val="24"/>
          <w:szCs w:val="24"/>
          <w:vertAlign w:val="baseline"/>
        </w:rPr>
        <w:t xml:space="preserve">, </w:t>
      </w:r>
    </w:p>
    <w:p w14:paraId="53C22327" w14:textId="77777777" w:rsidR="00ED402F" w:rsidRPr="008C3633" w:rsidRDefault="00ED402F" w:rsidP="008C3633">
      <w:pPr>
        <w:spacing w:line="480" w:lineRule="auto"/>
        <w:jc w:val="both"/>
        <w:rPr>
          <w:rFonts w:ascii="Times New Roman" w:hAnsi="Times New Roman" w:cs="Times New Roman"/>
          <w:sz w:val="24"/>
          <w:szCs w:val="24"/>
          <w:vertAlign w:val="baseline"/>
        </w:rPr>
      </w:pPr>
    </w:p>
    <w:p w14:paraId="4B2A9991" w14:textId="77777777" w:rsidR="008C3633" w:rsidRPr="008C3633" w:rsidRDefault="008C3633" w:rsidP="00765AE2">
      <w:pPr>
        <w:spacing w:line="480" w:lineRule="auto"/>
        <w:ind w:left="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Discrimination effected by personal laws is perpetuated by the state’s accommodation of powerful orthodoxies. Such discrimination is exacerbated by the state’s characterisation of women’s rights in the family as issues not of individual equality or dignity but of community or religious rights.</w:t>
      </w:r>
      <w:r w:rsidRPr="008C3633">
        <w:rPr>
          <w:rFonts w:ascii="Times New Roman" w:hAnsi="Times New Roman" w:cs="Times New Roman"/>
          <w:sz w:val="24"/>
          <w:szCs w:val="24"/>
        </w:rPr>
        <w:footnoteReference w:id="1094"/>
      </w:r>
    </w:p>
    <w:p w14:paraId="3C5233B5" w14:textId="77777777" w:rsidR="008C3633" w:rsidRPr="008C3633" w:rsidRDefault="008C3633" w:rsidP="008C3633">
      <w:pPr>
        <w:spacing w:line="480" w:lineRule="auto"/>
        <w:jc w:val="both"/>
        <w:rPr>
          <w:rFonts w:ascii="Times New Roman" w:hAnsi="Times New Roman" w:cs="Times New Roman"/>
          <w:sz w:val="24"/>
          <w:szCs w:val="24"/>
          <w:vertAlign w:val="baseline"/>
        </w:rPr>
      </w:pPr>
    </w:p>
    <w:p w14:paraId="38966D0A" w14:textId="77777777" w:rsidR="008C3633" w:rsidRPr="008C3633" w:rsidRDefault="008C3633" w:rsidP="00072D4C">
      <w:pPr>
        <w:spacing w:line="480" w:lineRule="auto"/>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Thus, ‘issues of women, ethnicity and rights discourse eventually come to a head in the area of family or personal law.’</w:t>
      </w:r>
      <w:r w:rsidRPr="008C3633">
        <w:rPr>
          <w:rFonts w:ascii="Times New Roman" w:hAnsi="Times New Roman" w:cs="Times New Roman"/>
          <w:sz w:val="24"/>
          <w:szCs w:val="24"/>
        </w:rPr>
        <w:footnoteReference w:id="1095"/>
      </w:r>
      <w:r w:rsidRPr="008C3633">
        <w:rPr>
          <w:rFonts w:ascii="Times New Roman" w:hAnsi="Times New Roman" w:cs="Times New Roman"/>
          <w:sz w:val="24"/>
          <w:szCs w:val="24"/>
          <w:vertAlign w:val="baseline"/>
        </w:rPr>
        <w:t xml:space="preserve"> Moreover, those female members of minority groups, such as the Dalits, face double subordination becoming a ‘minority within a minority.’</w:t>
      </w:r>
      <w:r w:rsidRPr="008C3633">
        <w:rPr>
          <w:rFonts w:ascii="Times New Roman" w:hAnsi="Times New Roman" w:cs="Times New Roman"/>
          <w:sz w:val="24"/>
          <w:szCs w:val="24"/>
        </w:rPr>
        <w:footnoteReference w:id="1096"/>
      </w:r>
      <w:r w:rsidRPr="008C3633">
        <w:rPr>
          <w:rFonts w:ascii="Times New Roman" w:hAnsi="Times New Roman" w:cs="Times New Roman"/>
          <w:sz w:val="24"/>
          <w:szCs w:val="24"/>
          <w:vertAlign w:val="baseline"/>
        </w:rPr>
        <w:t xml:space="preserve"> </w:t>
      </w:r>
    </w:p>
    <w:p w14:paraId="7DE1DAA4" w14:textId="77777777" w:rsidR="008C3633" w:rsidRPr="008C3633" w:rsidRDefault="008C3633" w:rsidP="008C3633">
      <w:pPr>
        <w:spacing w:line="480" w:lineRule="auto"/>
        <w:jc w:val="both"/>
        <w:rPr>
          <w:rFonts w:ascii="Times New Roman" w:hAnsi="Times New Roman" w:cs="Times New Roman"/>
          <w:sz w:val="24"/>
          <w:szCs w:val="24"/>
          <w:vertAlign w:val="baseline"/>
        </w:rPr>
      </w:pPr>
    </w:p>
    <w:p w14:paraId="5C8DC6C1" w14:textId="77777777" w:rsidR="008C3633" w:rsidRDefault="008C3633" w:rsidP="00757156">
      <w:pPr>
        <w:spacing w:line="480" w:lineRule="auto"/>
        <w:ind w:firstLine="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Local customary laws are highly influenced by religious laws, namely the ethical and moral laws taught by religious traditions, including Hindu and Islamic law.</w:t>
      </w:r>
      <w:r w:rsidRPr="008C3633">
        <w:rPr>
          <w:rFonts w:ascii="Times New Roman" w:hAnsi="Times New Roman" w:cs="Times New Roman"/>
          <w:sz w:val="24"/>
          <w:szCs w:val="24"/>
        </w:rPr>
        <w:footnoteReference w:id="1097"/>
      </w:r>
      <w:r w:rsidRPr="008C3633">
        <w:rPr>
          <w:rFonts w:ascii="Times New Roman" w:hAnsi="Times New Roman" w:cs="Times New Roman"/>
          <w:sz w:val="24"/>
          <w:szCs w:val="24"/>
          <w:vertAlign w:val="baseline"/>
        </w:rPr>
        <w:t xml:space="preserve"> Thus, the more ‘religiously pluralistic’ a society is, the more likely that society is to operate a system of legal pluralism.</w:t>
      </w:r>
      <w:r w:rsidRPr="008C3633">
        <w:rPr>
          <w:rFonts w:ascii="Times New Roman" w:hAnsi="Times New Roman" w:cs="Times New Roman"/>
          <w:sz w:val="24"/>
          <w:szCs w:val="24"/>
        </w:rPr>
        <w:footnoteReference w:id="1098"/>
      </w:r>
      <w:r w:rsidRPr="008C3633">
        <w:rPr>
          <w:rFonts w:ascii="Times New Roman" w:hAnsi="Times New Roman" w:cs="Times New Roman"/>
          <w:sz w:val="24"/>
          <w:szCs w:val="24"/>
          <w:vertAlign w:val="baseline"/>
        </w:rPr>
        <w:t xml:space="preserve"> As observed by Richardson, </w:t>
      </w:r>
    </w:p>
    <w:p w14:paraId="59CB6FF9" w14:textId="77777777" w:rsidR="00ED402F" w:rsidRPr="008C3633" w:rsidRDefault="00ED402F" w:rsidP="00757156">
      <w:pPr>
        <w:spacing w:line="480" w:lineRule="auto"/>
        <w:ind w:firstLine="720"/>
        <w:jc w:val="both"/>
        <w:rPr>
          <w:rFonts w:ascii="Times New Roman" w:hAnsi="Times New Roman" w:cs="Times New Roman"/>
          <w:sz w:val="24"/>
          <w:szCs w:val="24"/>
          <w:vertAlign w:val="baseline"/>
        </w:rPr>
      </w:pPr>
    </w:p>
    <w:p w14:paraId="3DF4DF7C" w14:textId="77777777" w:rsidR="008C3633" w:rsidRPr="008C3633" w:rsidRDefault="008C3633" w:rsidP="00765AE2">
      <w:pPr>
        <w:spacing w:line="480" w:lineRule="auto"/>
        <w:ind w:left="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Clearly, the more religiously pluralistic a society, the more likely we are to find legal pluralism. The greater the number of religious groups that operate within a certain geographic area, the more likely some of them are to seek to develop informal rules about how to deal with certain issues among the membership.</w:t>
      </w:r>
      <w:r w:rsidRPr="008C3633">
        <w:rPr>
          <w:rFonts w:ascii="Times New Roman" w:hAnsi="Times New Roman" w:cs="Times New Roman"/>
          <w:sz w:val="24"/>
          <w:szCs w:val="24"/>
        </w:rPr>
        <w:footnoteReference w:id="1099"/>
      </w:r>
    </w:p>
    <w:p w14:paraId="762E6B24" w14:textId="77777777" w:rsidR="008C3633" w:rsidRPr="008C3633" w:rsidRDefault="008C3633" w:rsidP="008C3633">
      <w:pPr>
        <w:spacing w:line="480" w:lineRule="auto"/>
        <w:jc w:val="both"/>
        <w:rPr>
          <w:rFonts w:ascii="Times New Roman" w:hAnsi="Times New Roman" w:cs="Times New Roman"/>
          <w:sz w:val="24"/>
          <w:szCs w:val="24"/>
          <w:vertAlign w:val="baseline"/>
        </w:rPr>
      </w:pPr>
    </w:p>
    <w:p w14:paraId="6DD12EC6" w14:textId="77777777" w:rsidR="008C3633" w:rsidRPr="008C3633" w:rsidRDefault="008C3633" w:rsidP="00072D4C">
      <w:pPr>
        <w:spacing w:line="480" w:lineRule="auto"/>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 xml:space="preserve">In contrast, statutory laws are written, codified laws created through legislation at specific times through parliament. Moreover, whereas local customary laws are restricted within specific regions and communities, statutory laws are uniform in nature and are applicable to all areas of the country or state that they refer to. Ghosh observes that one of the major conceptual differences between statutory law and local customary law is that, </w:t>
      </w:r>
    </w:p>
    <w:p w14:paraId="0CFC54F3" w14:textId="77777777" w:rsidR="008C3633" w:rsidRPr="008C3633" w:rsidRDefault="008C3633" w:rsidP="008C3633">
      <w:pPr>
        <w:spacing w:line="480" w:lineRule="auto"/>
        <w:jc w:val="both"/>
        <w:rPr>
          <w:rFonts w:ascii="Times New Roman" w:hAnsi="Times New Roman" w:cs="Times New Roman"/>
          <w:sz w:val="24"/>
          <w:szCs w:val="24"/>
          <w:vertAlign w:val="baseline"/>
        </w:rPr>
      </w:pPr>
    </w:p>
    <w:p w14:paraId="47539ADC" w14:textId="77777777" w:rsidR="008C3633" w:rsidRPr="008C3633" w:rsidRDefault="008C3633" w:rsidP="00765AE2">
      <w:pPr>
        <w:spacing w:line="480" w:lineRule="auto"/>
        <w:ind w:left="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While customary laws gain strength from the habitual obedience of community members, statutory laws exist even without people recognising them. In semi-autonomous societies people are often unaware of their violations, whereas in respect of customary laws, it can never so happen.</w:t>
      </w:r>
      <w:r w:rsidRPr="008C3633">
        <w:rPr>
          <w:rFonts w:ascii="Times New Roman" w:hAnsi="Times New Roman" w:cs="Times New Roman"/>
          <w:sz w:val="24"/>
          <w:szCs w:val="24"/>
        </w:rPr>
        <w:footnoteReference w:id="1100"/>
      </w:r>
    </w:p>
    <w:p w14:paraId="6D68C6AE" w14:textId="77777777" w:rsidR="008C3633" w:rsidRPr="008C3633" w:rsidRDefault="008C3633" w:rsidP="008C3633">
      <w:pPr>
        <w:spacing w:line="480" w:lineRule="auto"/>
        <w:jc w:val="both"/>
        <w:rPr>
          <w:rFonts w:ascii="Times New Roman" w:hAnsi="Times New Roman" w:cs="Times New Roman"/>
          <w:sz w:val="24"/>
          <w:szCs w:val="24"/>
          <w:vertAlign w:val="baseline"/>
        </w:rPr>
      </w:pPr>
    </w:p>
    <w:p w14:paraId="3FD459CA" w14:textId="00E674C4" w:rsidR="008C3633" w:rsidRDefault="008C3633" w:rsidP="00022BA4">
      <w:pPr>
        <w:spacing w:line="480" w:lineRule="auto"/>
        <w:ind w:firstLine="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It is important to note, whilst most Constitutions recognise the validity of local customary laws, they do so in regard for the primacy of statutory law, with local customary laws not permitted to be ‘in contrary to justice, equity and good conscience.’</w:t>
      </w:r>
      <w:r w:rsidRPr="008C3633">
        <w:rPr>
          <w:rFonts w:ascii="Times New Roman" w:hAnsi="Times New Roman" w:cs="Times New Roman"/>
          <w:sz w:val="24"/>
          <w:szCs w:val="24"/>
        </w:rPr>
        <w:footnoteReference w:id="1101"/>
      </w:r>
      <w:r w:rsidRPr="008C3633">
        <w:rPr>
          <w:rFonts w:ascii="Times New Roman" w:hAnsi="Times New Roman" w:cs="Times New Roman"/>
          <w:sz w:val="24"/>
          <w:szCs w:val="24"/>
          <w:vertAlign w:val="baseline"/>
        </w:rPr>
        <w:t xml:space="preserve"> Moreover, </w:t>
      </w:r>
      <w:r w:rsidR="000F681A">
        <w:rPr>
          <w:rFonts w:ascii="Times New Roman" w:hAnsi="Times New Roman" w:cs="Times New Roman"/>
          <w:sz w:val="24"/>
          <w:szCs w:val="24"/>
          <w:vertAlign w:val="baseline"/>
        </w:rPr>
        <w:t xml:space="preserve">Indian </w:t>
      </w:r>
      <w:r w:rsidRPr="008C3633">
        <w:rPr>
          <w:rFonts w:ascii="Times New Roman" w:hAnsi="Times New Roman" w:cs="Times New Roman"/>
          <w:sz w:val="24"/>
          <w:szCs w:val="24"/>
          <w:vertAlign w:val="baseline"/>
        </w:rPr>
        <w:t>local customary law has been recognised by the judicial system as ‘a source of law and not law as such’ and, in order to rely on local customary law, there should be evidence to prove that the custom is ‘ancient, certain and reasonable.’</w:t>
      </w:r>
      <w:r w:rsidRPr="008C3633">
        <w:rPr>
          <w:rFonts w:ascii="Times New Roman" w:hAnsi="Times New Roman" w:cs="Times New Roman"/>
          <w:sz w:val="24"/>
          <w:szCs w:val="24"/>
        </w:rPr>
        <w:footnoteReference w:id="1102"/>
      </w:r>
      <w:r w:rsidRPr="008C3633">
        <w:rPr>
          <w:rFonts w:ascii="Times New Roman" w:hAnsi="Times New Roman" w:cs="Times New Roman"/>
          <w:sz w:val="24"/>
          <w:szCs w:val="24"/>
          <w:vertAlign w:val="baseline"/>
        </w:rPr>
        <w:t xml:space="preserve"> This was documented by the Indian Supreme Court in </w:t>
      </w:r>
      <w:r w:rsidRPr="008C3633">
        <w:rPr>
          <w:rFonts w:ascii="Times New Roman" w:hAnsi="Times New Roman" w:cs="Times New Roman"/>
          <w:i/>
          <w:sz w:val="24"/>
          <w:szCs w:val="24"/>
          <w:vertAlign w:val="baseline"/>
        </w:rPr>
        <w:t>Dr. Surajmani Stella Kujur v Durga Charan Hansdah &amp; Anr,</w:t>
      </w:r>
      <w:r w:rsidRPr="008C3633">
        <w:rPr>
          <w:rFonts w:ascii="Times New Roman" w:hAnsi="Times New Roman" w:cs="Times New Roman"/>
          <w:sz w:val="24"/>
          <w:szCs w:val="24"/>
        </w:rPr>
        <w:footnoteReference w:id="1103"/>
      </w:r>
      <w:r w:rsidRPr="008C3633">
        <w:rPr>
          <w:rFonts w:ascii="Times New Roman" w:hAnsi="Times New Roman" w:cs="Times New Roman"/>
          <w:sz w:val="24"/>
          <w:szCs w:val="24"/>
          <w:vertAlign w:val="baseline"/>
        </w:rPr>
        <w:t xml:space="preserve"> a case concerning the applicability of </w:t>
      </w:r>
      <w:r w:rsidR="00667C0B">
        <w:rPr>
          <w:rFonts w:ascii="Times New Roman" w:hAnsi="Times New Roman" w:cs="Times New Roman"/>
          <w:sz w:val="24"/>
          <w:szCs w:val="24"/>
          <w:vertAlign w:val="baseline"/>
        </w:rPr>
        <w:t>the Hindu Marriage Act 1955, which</w:t>
      </w:r>
      <w:r w:rsidRPr="008C3633">
        <w:rPr>
          <w:rFonts w:ascii="Times New Roman" w:hAnsi="Times New Roman" w:cs="Times New Roman"/>
          <w:sz w:val="24"/>
          <w:szCs w:val="24"/>
          <w:vertAlign w:val="baseline"/>
        </w:rPr>
        <w:t xml:space="preserve"> stated that,</w:t>
      </w:r>
    </w:p>
    <w:p w14:paraId="6C93975E" w14:textId="77777777" w:rsidR="00ED402F" w:rsidRPr="008C3633" w:rsidRDefault="00ED402F" w:rsidP="00022BA4">
      <w:pPr>
        <w:spacing w:line="480" w:lineRule="auto"/>
        <w:ind w:firstLine="720"/>
        <w:jc w:val="both"/>
        <w:rPr>
          <w:rFonts w:ascii="Times New Roman" w:hAnsi="Times New Roman" w:cs="Times New Roman"/>
          <w:sz w:val="24"/>
          <w:szCs w:val="24"/>
          <w:vertAlign w:val="baseline"/>
        </w:rPr>
      </w:pPr>
    </w:p>
    <w:p w14:paraId="2C46CF2E" w14:textId="77777777" w:rsidR="008C3633" w:rsidRPr="008C3633" w:rsidRDefault="008C3633" w:rsidP="00667C0B">
      <w:pPr>
        <w:spacing w:line="480" w:lineRule="auto"/>
        <w:ind w:left="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For custom to have the colour of a rule or law, it is necessary for the party claiming it to plead and thereafter prove that such custom is ancient, certain and reasonable. Custom being in derogation of the general rule is required to be construed strictly. The party relying upon a custom is obliged to establish it by clear and unambiguous evidence.</w:t>
      </w:r>
      <w:r w:rsidRPr="008C3633">
        <w:rPr>
          <w:rFonts w:ascii="Times New Roman" w:hAnsi="Times New Roman" w:cs="Times New Roman"/>
          <w:sz w:val="24"/>
          <w:szCs w:val="24"/>
        </w:rPr>
        <w:footnoteReference w:id="1104"/>
      </w:r>
    </w:p>
    <w:p w14:paraId="3386E616" w14:textId="77777777" w:rsidR="008C3633" w:rsidRPr="008C3633" w:rsidRDefault="008C3633" w:rsidP="008C3633">
      <w:pPr>
        <w:spacing w:line="480" w:lineRule="auto"/>
        <w:jc w:val="both"/>
        <w:rPr>
          <w:rFonts w:ascii="Times New Roman" w:hAnsi="Times New Roman" w:cs="Times New Roman"/>
          <w:sz w:val="24"/>
          <w:szCs w:val="24"/>
          <w:vertAlign w:val="baseline"/>
        </w:rPr>
      </w:pPr>
    </w:p>
    <w:p w14:paraId="5935B3AE" w14:textId="77777777" w:rsidR="008C3633" w:rsidRPr="008C3633" w:rsidRDefault="008C3633" w:rsidP="00072D4C">
      <w:pPr>
        <w:spacing w:line="480" w:lineRule="auto"/>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It is then a matter for the judiciary to ascertain whether or not the local customary law can be recognised or rejected. However, as An-Na’im explains, ‘it should also be emphasised that religious and customary laws can, and usually are, implemented independently of the structures and mechanisms of the state.’</w:t>
      </w:r>
      <w:r w:rsidRPr="008C3633">
        <w:rPr>
          <w:rFonts w:ascii="Times New Roman" w:hAnsi="Times New Roman" w:cs="Times New Roman"/>
          <w:sz w:val="24"/>
          <w:szCs w:val="24"/>
        </w:rPr>
        <w:footnoteReference w:id="1105"/>
      </w:r>
      <w:r w:rsidRPr="008C3633">
        <w:rPr>
          <w:rFonts w:ascii="Times New Roman" w:hAnsi="Times New Roman" w:cs="Times New Roman"/>
          <w:sz w:val="24"/>
          <w:szCs w:val="24"/>
          <w:vertAlign w:val="baseline"/>
        </w:rPr>
        <w:t xml:space="preserve"> Thus, whilst the state may attempt to regulate local customary laws, ‘it can neither immediately eradicate the practice of these laws altogether, nor transform their nature and content, at least not without engaging in massive oppression and intimidation of the particular population over a long period of time.’</w:t>
      </w:r>
      <w:r w:rsidRPr="008C3633">
        <w:rPr>
          <w:rFonts w:ascii="Times New Roman" w:hAnsi="Times New Roman" w:cs="Times New Roman"/>
          <w:sz w:val="24"/>
          <w:szCs w:val="24"/>
        </w:rPr>
        <w:footnoteReference w:id="1106"/>
      </w:r>
      <w:r w:rsidRPr="008C3633">
        <w:rPr>
          <w:rFonts w:ascii="Times New Roman" w:hAnsi="Times New Roman" w:cs="Times New Roman"/>
          <w:sz w:val="24"/>
          <w:szCs w:val="24"/>
          <w:vertAlign w:val="baseline"/>
        </w:rPr>
        <w:t xml:space="preserve"> </w:t>
      </w:r>
    </w:p>
    <w:p w14:paraId="7C3B044E" w14:textId="77777777" w:rsidR="008C3633" w:rsidRPr="008C3633" w:rsidRDefault="008C3633" w:rsidP="008C3633">
      <w:pPr>
        <w:spacing w:line="480" w:lineRule="auto"/>
        <w:jc w:val="both"/>
        <w:rPr>
          <w:rFonts w:ascii="Times New Roman" w:hAnsi="Times New Roman" w:cs="Times New Roman"/>
          <w:sz w:val="24"/>
          <w:szCs w:val="24"/>
          <w:vertAlign w:val="baseline"/>
        </w:rPr>
      </w:pPr>
    </w:p>
    <w:p w14:paraId="2BD96930" w14:textId="6681C75E" w:rsidR="00172EFB" w:rsidRPr="008C3633" w:rsidRDefault="008C3633" w:rsidP="000A6308">
      <w:pPr>
        <w:spacing w:line="480" w:lineRule="auto"/>
        <w:ind w:firstLine="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In those societies that do not necessarily have access to the legal system, namely rural and tribal communities, it is the community that deals with all violations of local customary laws. As Ghosh observes, ‘one of the remarkable features of customary law is that it does not make any clear-cut division between criminal and civil offences as is done in modern jurisprudence.’</w:t>
      </w:r>
      <w:r w:rsidRPr="008C3633">
        <w:rPr>
          <w:rFonts w:ascii="Times New Roman" w:hAnsi="Times New Roman" w:cs="Times New Roman"/>
          <w:sz w:val="24"/>
          <w:szCs w:val="24"/>
        </w:rPr>
        <w:footnoteReference w:id="1107"/>
      </w:r>
      <w:r w:rsidRPr="008C3633">
        <w:rPr>
          <w:rFonts w:ascii="Times New Roman" w:hAnsi="Times New Roman" w:cs="Times New Roman"/>
          <w:sz w:val="24"/>
          <w:szCs w:val="24"/>
          <w:vertAlign w:val="baseline"/>
        </w:rPr>
        <w:t xml:space="preserve"> Violations of local customary law can be dealt with in numerous ways and will be discussed in more detail in relation to each specific country below. However, in general terms, traditional methods of justice include village courts, mediation and trial by ordeal, the latter being commonplace in ascertaining the guilt of accused witches in the witch-camps of Northern Ghana.</w:t>
      </w:r>
      <w:r w:rsidRPr="008C3633">
        <w:rPr>
          <w:rFonts w:ascii="Times New Roman" w:hAnsi="Times New Roman" w:cs="Times New Roman"/>
          <w:sz w:val="24"/>
          <w:szCs w:val="24"/>
        </w:rPr>
        <w:footnoteReference w:id="1108"/>
      </w:r>
      <w:r w:rsidRPr="008C3633">
        <w:rPr>
          <w:rFonts w:ascii="Times New Roman" w:hAnsi="Times New Roman" w:cs="Times New Roman"/>
          <w:sz w:val="24"/>
          <w:szCs w:val="24"/>
          <w:vertAlign w:val="baseline"/>
        </w:rPr>
        <w:t xml:space="preserve"> </w:t>
      </w:r>
    </w:p>
    <w:p w14:paraId="1166A126" w14:textId="5BDBFC3D" w:rsidR="008C3633" w:rsidRPr="008C3633" w:rsidRDefault="00E953AD" w:rsidP="008C3633">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6</w:t>
      </w:r>
      <w:r w:rsidR="0062151F">
        <w:rPr>
          <w:rFonts w:ascii="Times New Roman" w:hAnsi="Times New Roman" w:cs="Times New Roman"/>
          <w:b/>
          <w:sz w:val="24"/>
          <w:szCs w:val="24"/>
          <w:u w:val="single"/>
          <w:vertAlign w:val="baseline"/>
        </w:rPr>
        <w:t xml:space="preserve">.5 </w:t>
      </w:r>
      <w:r w:rsidR="008C3633" w:rsidRPr="008C3633">
        <w:rPr>
          <w:rFonts w:ascii="Times New Roman" w:hAnsi="Times New Roman" w:cs="Times New Roman"/>
          <w:b/>
          <w:sz w:val="24"/>
          <w:szCs w:val="24"/>
          <w:u w:val="single"/>
          <w:vertAlign w:val="baseline"/>
        </w:rPr>
        <w:t>N</w:t>
      </w:r>
      <w:r>
        <w:rPr>
          <w:rFonts w:ascii="Times New Roman" w:hAnsi="Times New Roman" w:cs="Times New Roman"/>
          <w:b/>
          <w:sz w:val="24"/>
          <w:szCs w:val="24"/>
          <w:u w:val="single"/>
          <w:vertAlign w:val="baseline"/>
        </w:rPr>
        <w:t>ATIONAL LAWS OF GHANA</w:t>
      </w:r>
    </w:p>
    <w:p w14:paraId="3924769B" w14:textId="784414DF" w:rsidR="008C3633" w:rsidRPr="00733E38" w:rsidRDefault="00293CA8" w:rsidP="00733E38">
      <w:pPr>
        <w:spacing w:line="480" w:lineRule="auto"/>
        <w:ind w:firstLine="720"/>
        <w:jc w:val="both"/>
        <w:rPr>
          <w:rFonts w:ascii="Times New Roman" w:eastAsia="Times New Roman" w:hAnsi="Times New Roman" w:cs="Times New Roman"/>
          <w:sz w:val="24"/>
          <w:szCs w:val="24"/>
          <w:vertAlign w:val="baseline"/>
        </w:rPr>
      </w:pPr>
      <w:r>
        <w:rPr>
          <w:rFonts w:ascii="Times New Roman" w:hAnsi="Times New Roman" w:cs="Times New Roman"/>
          <w:sz w:val="24"/>
          <w:szCs w:val="24"/>
          <w:vertAlign w:val="baseline"/>
        </w:rPr>
        <w:t xml:space="preserve">Ghana is a dualist state, thus, no treaty has the ‘formal status of law </w:t>
      </w:r>
      <w:r w:rsidRPr="00293CA8">
        <w:rPr>
          <w:rFonts w:ascii="Times New Roman" w:eastAsia="Times New Roman" w:hAnsi="Times New Roman" w:cs="Times New Roman"/>
          <w:sz w:val="24"/>
          <w:szCs w:val="24"/>
          <w:vertAlign w:val="baseline"/>
        </w:rPr>
        <w:t>in the domestic legal system unless the legislature enacts a statute to incorporate the treaty into domestic law</w:t>
      </w:r>
      <w:r>
        <w:rPr>
          <w:rFonts w:ascii="Times New Roman" w:eastAsia="Times New Roman" w:hAnsi="Times New Roman" w:cs="Times New Roman"/>
          <w:sz w:val="24"/>
          <w:szCs w:val="24"/>
          <w:vertAlign w:val="baseline"/>
        </w:rPr>
        <w:t>.’</w:t>
      </w:r>
      <w:r>
        <w:rPr>
          <w:rStyle w:val="FootnoteReference"/>
          <w:rFonts w:ascii="Times New Roman" w:eastAsia="Times New Roman" w:hAnsi="Times New Roman" w:cs="Times New Roman"/>
          <w:sz w:val="24"/>
          <w:szCs w:val="24"/>
        </w:rPr>
        <w:footnoteReference w:id="1109"/>
      </w:r>
      <w:r w:rsidR="008C3633" w:rsidRPr="008C3633">
        <w:rPr>
          <w:rFonts w:ascii="Times New Roman" w:hAnsi="Times New Roman" w:cs="Times New Roman"/>
          <w:sz w:val="24"/>
          <w:szCs w:val="24"/>
          <w:vertAlign w:val="baseline"/>
        </w:rPr>
        <w:t>As documented within Chapter Four of the Constitution of Ghana, the national legal system of Ghana is comprised of the Constitution, legislation, both colonial and post-independence enacted by Parliament, the pre-existing law, including African customary law/religious laws and the common law.</w:t>
      </w:r>
      <w:r w:rsidR="008C3633" w:rsidRPr="008C3633">
        <w:rPr>
          <w:rFonts w:ascii="Times New Roman" w:hAnsi="Times New Roman" w:cs="Times New Roman"/>
          <w:sz w:val="24"/>
          <w:szCs w:val="24"/>
        </w:rPr>
        <w:footnoteReference w:id="1110"/>
      </w:r>
      <w:r w:rsidR="00FC098B" w:rsidRPr="00FC098B">
        <w:rPr>
          <w:rFonts w:ascii="Times New Roman" w:eastAsia="Times New Roman" w:hAnsi="Times New Roman" w:cs="Times New Roman"/>
          <w:sz w:val="24"/>
          <w:szCs w:val="24"/>
          <w:vertAlign w:val="baseline"/>
        </w:rPr>
        <w:t xml:space="preserve"> </w:t>
      </w:r>
      <w:r w:rsidR="00FC098B">
        <w:rPr>
          <w:rFonts w:ascii="Times New Roman" w:eastAsia="Times New Roman" w:hAnsi="Times New Roman" w:cs="Times New Roman"/>
          <w:sz w:val="24"/>
          <w:szCs w:val="24"/>
          <w:vertAlign w:val="baseline"/>
        </w:rPr>
        <w:t>Whilst the Constitution fails to acknowledge international law as a source of law, there is evidence of the incorporation of international human rights within a specific section on Fundamental Rights and Freedoms</w:t>
      </w:r>
      <w:r w:rsidR="004678DD">
        <w:rPr>
          <w:rFonts w:ascii="Times New Roman" w:eastAsia="Times New Roman" w:hAnsi="Times New Roman" w:cs="Times New Roman"/>
          <w:sz w:val="24"/>
          <w:szCs w:val="24"/>
          <w:vertAlign w:val="baseline"/>
        </w:rPr>
        <w:t>,</w:t>
      </w:r>
      <w:r w:rsidR="00FC098B">
        <w:rPr>
          <w:rStyle w:val="FootnoteReference"/>
          <w:rFonts w:ascii="Times New Roman" w:eastAsia="Times New Roman" w:hAnsi="Times New Roman" w:cs="Times New Roman"/>
          <w:sz w:val="24"/>
          <w:szCs w:val="24"/>
        </w:rPr>
        <w:footnoteReference w:id="1111"/>
      </w:r>
      <w:r w:rsidR="004678DD">
        <w:rPr>
          <w:rFonts w:ascii="Times New Roman" w:eastAsia="Times New Roman" w:hAnsi="Times New Roman" w:cs="Times New Roman"/>
          <w:sz w:val="24"/>
          <w:szCs w:val="24"/>
          <w:vertAlign w:val="baseline"/>
        </w:rPr>
        <w:t xml:space="preserve"> thus</w:t>
      </w:r>
      <w:r w:rsidR="00072D4C">
        <w:rPr>
          <w:rFonts w:ascii="Times New Roman" w:eastAsia="Times New Roman" w:hAnsi="Times New Roman" w:cs="Times New Roman"/>
          <w:sz w:val="24"/>
          <w:szCs w:val="24"/>
          <w:vertAlign w:val="baseline"/>
        </w:rPr>
        <w:t>,</w:t>
      </w:r>
      <w:r w:rsidR="004678DD">
        <w:rPr>
          <w:rFonts w:ascii="Times New Roman" w:eastAsia="Times New Roman" w:hAnsi="Times New Roman" w:cs="Times New Roman"/>
          <w:sz w:val="24"/>
          <w:szCs w:val="24"/>
          <w:vertAlign w:val="baseline"/>
        </w:rPr>
        <w:t xml:space="preserve"> reflecting their international obligations under international law.</w:t>
      </w:r>
      <w:r w:rsidR="008C3633" w:rsidRPr="008C3633">
        <w:rPr>
          <w:rFonts w:ascii="Times New Roman" w:hAnsi="Times New Roman" w:cs="Times New Roman"/>
          <w:sz w:val="24"/>
          <w:szCs w:val="24"/>
          <w:vertAlign w:val="baseline"/>
        </w:rPr>
        <w:t xml:space="preserve"> The common law is defined by the Constitution as ‘the rules generally known as the doctrines of equity and the rules of customary law including those determined by the Superior Court of Judicature.’</w:t>
      </w:r>
      <w:r w:rsidR="008C3633" w:rsidRPr="008C3633">
        <w:rPr>
          <w:rFonts w:ascii="Times New Roman" w:hAnsi="Times New Roman" w:cs="Times New Roman"/>
          <w:sz w:val="24"/>
          <w:szCs w:val="24"/>
        </w:rPr>
        <w:footnoteReference w:id="1112"/>
      </w:r>
      <w:r w:rsidR="008C3633" w:rsidRPr="008C3633">
        <w:rPr>
          <w:rFonts w:ascii="Times New Roman" w:hAnsi="Times New Roman" w:cs="Times New Roman"/>
          <w:sz w:val="24"/>
          <w:szCs w:val="24"/>
          <w:vertAlign w:val="baseline"/>
        </w:rPr>
        <w:t xml:space="preserve"> Thus, the national legal system of Ghana is pluralistic. As noted by Fenrich et al,</w:t>
      </w:r>
    </w:p>
    <w:p w14:paraId="22C805CB" w14:textId="77777777" w:rsidR="008C3633" w:rsidRPr="008C3633" w:rsidRDefault="008C3633" w:rsidP="00874C55">
      <w:pPr>
        <w:spacing w:line="480" w:lineRule="auto"/>
        <w:ind w:left="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Pluralism is part of the fabric of legal systems in most, if not all, African countries. The traditional institutions and customary law that regulated ancient civilisations and societies on the African Continent have changed over the years to keep pace with historical events and the evolution that the continent has witnessed.</w:t>
      </w:r>
      <w:r w:rsidRPr="008C3633">
        <w:rPr>
          <w:rFonts w:ascii="Times New Roman" w:hAnsi="Times New Roman" w:cs="Times New Roman"/>
          <w:sz w:val="24"/>
          <w:szCs w:val="24"/>
        </w:rPr>
        <w:footnoteReference w:id="1113"/>
      </w:r>
    </w:p>
    <w:p w14:paraId="6E92F743" w14:textId="77777777" w:rsidR="008C3633" w:rsidRPr="008C3633" w:rsidRDefault="008C3633" w:rsidP="008C3633">
      <w:pPr>
        <w:spacing w:line="480" w:lineRule="auto"/>
        <w:jc w:val="both"/>
        <w:rPr>
          <w:rFonts w:ascii="Times New Roman" w:hAnsi="Times New Roman" w:cs="Times New Roman"/>
          <w:sz w:val="24"/>
          <w:szCs w:val="24"/>
          <w:vertAlign w:val="baseline"/>
        </w:rPr>
      </w:pPr>
    </w:p>
    <w:p w14:paraId="1724C03A" w14:textId="23E3750F" w:rsidR="008C3633" w:rsidRDefault="008C3633" w:rsidP="008C3633">
      <w:pPr>
        <w:spacing w:line="480" w:lineRule="auto"/>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Modernisation in Ghana has created religious, political and eth</w:t>
      </w:r>
      <w:r w:rsidR="00874C55">
        <w:rPr>
          <w:rFonts w:ascii="Times New Roman" w:hAnsi="Times New Roman" w:cs="Times New Roman"/>
          <w:sz w:val="24"/>
          <w:szCs w:val="24"/>
          <w:vertAlign w:val="baseline"/>
        </w:rPr>
        <w:t>n</w:t>
      </w:r>
      <w:r w:rsidRPr="008C3633">
        <w:rPr>
          <w:rFonts w:ascii="Times New Roman" w:hAnsi="Times New Roman" w:cs="Times New Roman"/>
          <w:sz w:val="24"/>
          <w:szCs w:val="24"/>
          <w:vertAlign w:val="baseline"/>
        </w:rPr>
        <w:t>ic tensions within Ghanaian society.</w:t>
      </w:r>
      <w:r w:rsidRPr="008C3633">
        <w:rPr>
          <w:rFonts w:ascii="Times New Roman" w:hAnsi="Times New Roman" w:cs="Times New Roman"/>
          <w:sz w:val="24"/>
          <w:szCs w:val="24"/>
        </w:rPr>
        <w:footnoteReference w:id="1114"/>
      </w:r>
      <w:r w:rsidR="00753F88">
        <w:rPr>
          <w:rFonts w:ascii="Times New Roman" w:hAnsi="Times New Roman" w:cs="Times New Roman"/>
          <w:sz w:val="24"/>
          <w:szCs w:val="24"/>
          <w:vertAlign w:val="baseline"/>
        </w:rPr>
        <w:t xml:space="preserve"> As </w:t>
      </w:r>
      <w:r w:rsidRPr="008C3633">
        <w:rPr>
          <w:rFonts w:ascii="Times New Roman" w:hAnsi="Times New Roman" w:cs="Times New Roman"/>
          <w:sz w:val="24"/>
          <w:szCs w:val="24"/>
          <w:vertAlign w:val="baseline"/>
        </w:rPr>
        <w:t>Atiemo</w:t>
      </w:r>
      <w:r w:rsidR="00753F88">
        <w:rPr>
          <w:rFonts w:ascii="Times New Roman" w:hAnsi="Times New Roman" w:cs="Times New Roman"/>
          <w:sz w:val="24"/>
          <w:szCs w:val="24"/>
          <w:vertAlign w:val="baseline"/>
        </w:rPr>
        <w:t xml:space="preserve"> observes</w:t>
      </w:r>
      <w:r w:rsidRPr="008C3633">
        <w:rPr>
          <w:rFonts w:ascii="Times New Roman" w:hAnsi="Times New Roman" w:cs="Times New Roman"/>
          <w:sz w:val="24"/>
          <w:szCs w:val="24"/>
          <w:vertAlign w:val="baseline"/>
        </w:rPr>
        <w:t xml:space="preserve">, </w:t>
      </w:r>
    </w:p>
    <w:p w14:paraId="7522F146" w14:textId="77777777" w:rsidR="00ED402F" w:rsidRPr="008C3633" w:rsidRDefault="00ED402F" w:rsidP="008C3633">
      <w:pPr>
        <w:spacing w:line="480" w:lineRule="auto"/>
        <w:jc w:val="both"/>
        <w:rPr>
          <w:rFonts w:ascii="Times New Roman" w:hAnsi="Times New Roman" w:cs="Times New Roman"/>
          <w:sz w:val="24"/>
          <w:szCs w:val="24"/>
          <w:vertAlign w:val="baseline"/>
        </w:rPr>
      </w:pPr>
    </w:p>
    <w:p w14:paraId="2BB8E7C6" w14:textId="77777777" w:rsidR="008C3633" w:rsidRPr="008C3633" w:rsidRDefault="008C3633" w:rsidP="005F2E2B">
      <w:pPr>
        <w:spacing w:line="480" w:lineRule="auto"/>
        <w:ind w:left="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In traditional Ghanaian societies, political and religious issues often become intertwined in an intricate tangle. This is especially the case in the current situation in which the lack of strong presence of the civil government in most rural communities in the country causes it to depend on chiefs and other institutions of traditional governance.</w:t>
      </w:r>
      <w:r w:rsidRPr="008C3633">
        <w:rPr>
          <w:rFonts w:ascii="Times New Roman" w:hAnsi="Times New Roman" w:cs="Times New Roman"/>
          <w:sz w:val="24"/>
          <w:szCs w:val="24"/>
        </w:rPr>
        <w:footnoteReference w:id="1115"/>
      </w:r>
    </w:p>
    <w:p w14:paraId="6FA07111" w14:textId="77777777" w:rsidR="008C3633" w:rsidRPr="008C3633" w:rsidRDefault="008C3633" w:rsidP="008C3633">
      <w:pPr>
        <w:spacing w:line="480" w:lineRule="auto"/>
        <w:jc w:val="both"/>
        <w:rPr>
          <w:rFonts w:ascii="Times New Roman" w:hAnsi="Times New Roman" w:cs="Times New Roman"/>
          <w:sz w:val="24"/>
          <w:szCs w:val="24"/>
          <w:vertAlign w:val="baseline"/>
        </w:rPr>
      </w:pPr>
    </w:p>
    <w:p w14:paraId="23233044" w14:textId="73ADCF7B" w:rsidR="008C3633" w:rsidRDefault="008C3633" w:rsidP="00FC3AAE">
      <w:pPr>
        <w:spacing w:line="480" w:lineRule="auto"/>
        <w:ind w:firstLine="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Chieftaincy is one of the most important traditional institutions in contemporary Ghana, ‘symbolising socio-political and sacred power vested in Chiefs, Queen-mothers and Priests in many parts of Ghana.’</w:t>
      </w:r>
      <w:r w:rsidRPr="008C3633">
        <w:rPr>
          <w:rFonts w:ascii="Times New Roman" w:hAnsi="Times New Roman" w:cs="Times New Roman"/>
          <w:sz w:val="24"/>
          <w:szCs w:val="24"/>
        </w:rPr>
        <w:footnoteReference w:id="1116"/>
      </w:r>
      <w:r w:rsidRPr="008C3633">
        <w:rPr>
          <w:rFonts w:ascii="Times New Roman" w:hAnsi="Times New Roman" w:cs="Times New Roman"/>
          <w:sz w:val="24"/>
          <w:szCs w:val="24"/>
          <w:vertAlign w:val="baseline"/>
        </w:rPr>
        <w:t xml:space="preserve"> The Chieftaincy Act of 1971 (amended in 2008)</w:t>
      </w:r>
      <w:r w:rsidRPr="008C3633">
        <w:rPr>
          <w:rFonts w:ascii="Times New Roman" w:hAnsi="Times New Roman" w:cs="Times New Roman"/>
          <w:sz w:val="24"/>
          <w:szCs w:val="24"/>
        </w:rPr>
        <w:footnoteReference w:id="1117"/>
      </w:r>
      <w:r w:rsidRPr="008C3633">
        <w:rPr>
          <w:rFonts w:ascii="Times New Roman" w:hAnsi="Times New Roman" w:cs="Times New Roman"/>
          <w:sz w:val="24"/>
          <w:szCs w:val="24"/>
          <w:vertAlign w:val="baseline"/>
        </w:rPr>
        <w:t xml:space="preserve"> provides guidelines on the functioning of chieftaincy institutions and regulates the traditional courts, whilst chapter 22, of the Constitution of Ghana guarantees the tradition of chieftaincy. Article 270(1) guarantees the institution of chieftaincy, together with its traditional councils, as established by customary law and usage,</w:t>
      </w:r>
      <w:r w:rsidRPr="008C3633">
        <w:rPr>
          <w:rFonts w:ascii="Times New Roman" w:hAnsi="Times New Roman" w:cs="Times New Roman"/>
          <w:sz w:val="24"/>
          <w:szCs w:val="24"/>
        </w:rPr>
        <w:footnoteReference w:id="1118"/>
      </w:r>
      <w:r w:rsidRPr="008C3633">
        <w:rPr>
          <w:rFonts w:ascii="Times New Roman" w:hAnsi="Times New Roman" w:cs="Times New Roman"/>
          <w:sz w:val="24"/>
          <w:szCs w:val="24"/>
          <w:vertAlign w:val="baseline"/>
        </w:rPr>
        <w:t xml:space="preserve"> whilst article 277 provides the definition of ‘chief</w:t>
      </w:r>
      <w:r w:rsidR="00697C79">
        <w:rPr>
          <w:rFonts w:ascii="Times New Roman" w:hAnsi="Times New Roman" w:cs="Times New Roman"/>
          <w:sz w:val="24"/>
          <w:szCs w:val="24"/>
          <w:vertAlign w:val="baseline"/>
        </w:rPr>
        <w:t>,’</w:t>
      </w:r>
    </w:p>
    <w:p w14:paraId="77CB0977" w14:textId="77777777" w:rsidR="00697C79" w:rsidRPr="008C3633" w:rsidRDefault="00697C79" w:rsidP="00FC3AAE">
      <w:pPr>
        <w:spacing w:line="480" w:lineRule="auto"/>
        <w:ind w:firstLine="720"/>
        <w:jc w:val="both"/>
        <w:rPr>
          <w:rFonts w:ascii="Times New Roman" w:hAnsi="Times New Roman" w:cs="Times New Roman"/>
          <w:sz w:val="24"/>
          <w:szCs w:val="24"/>
          <w:vertAlign w:val="baseline"/>
        </w:rPr>
      </w:pPr>
    </w:p>
    <w:p w14:paraId="39E2B3A9" w14:textId="77777777" w:rsidR="008C3633" w:rsidRPr="008C3633" w:rsidRDefault="008C3633" w:rsidP="00B54B60">
      <w:pPr>
        <w:spacing w:line="480" w:lineRule="auto"/>
        <w:ind w:left="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In this Chapter unless the context otherwise requires, "chief" means a person, who, hailing from the appropriate family and lineage, has been validly nominated, elected or selected and enstooled, enskinned or installed as a chief or queenmother in accordance with the relevant customary law and usage.</w:t>
      </w:r>
      <w:r w:rsidRPr="008C3633">
        <w:rPr>
          <w:rFonts w:ascii="Times New Roman" w:hAnsi="Times New Roman" w:cs="Times New Roman"/>
          <w:sz w:val="24"/>
          <w:szCs w:val="24"/>
        </w:rPr>
        <w:footnoteReference w:id="1119"/>
      </w:r>
    </w:p>
    <w:p w14:paraId="49131D4E" w14:textId="77777777" w:rsidR="008C3633" w:rsidRPr="008C3633" w:rsidRDefault="008C3633" w:rsidP="008C3633">
      <w:pPr>
        <w:spacing w:line="480" w:lineRule="auto"/>
        <w:jc w:val="both"/>
        <w:rPr>
          <w:rFonts w:ascii="Times New Roman" w:hAnsi="Times New Roman" w:cs="Times New Roman"/>
          <w:sz w:val="24"/>
          <w:szCs w:val="24"/>
          <w:vertAlign w:val="baseline"/>
        </w:rPr>
      </w:pPr>
    </w:p>
    <w:p w14:paraId="7D581B0A" w14:textId="77777777" w:rsidR="008C3633" w:rsidRPr="008C3633" w:rsidRDefault="008C3633" w:rsidP="00EA7321">
      <w:pPr>
        <w:spacing w:line="480" w:lineRule="auto"/>
        <w:ind w:firstLine="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The constitutional acceptance of chieftaincy has not been without critics,</w:t>
      </w:r>
      <w:r w:rsidRPr="008C3633">
        <w:rPr>
          <w:rFonts w:ascii="Times New Roman" w:hAnsi="Times New Roman" w:cs="Times New Roman"/>
          <w:sz w:val="24"/>
          <w:szCs w:val="24"/>
        </w:rPr>
        <w:footnoteReference w:id="1120"/>
      </w:r>
      <w:r w:rsidRPr="008C3633">
        <w:rPr>
          <w:rFonts w:ascii="Times New Roman" w:hAnsi="Times New Roman" w:cs="Times New Roman"/>
          <w:sz w:val="24"/>
          <w:szCs w:val="24"/>
          <w:vertAlign w:val="baseline"/>
        </w:rPr>
        <w:t xml:space="preserve"> with concerns expressed concerning its inability to harmonise with modern institutional arrangements, its out-datedness and its re-ignition of patriarchy, due to the exclusion of women in the houses of chiefs.</w:t>
      </w:r>
      <w:r w:rsidRPr="008C3633">
        <w:rPr>
          <w:rFonts w:ascii="Times New Roman" w:hAnsi="Times New Roman" w:cs="Times New Roman"/>
          <w:sz w:val="24"/>
          <w:szCs w:val="24"/>
        </w:rPr>
        <w:footnoteReference w:id="1121"/>
      </w:r>
      <w:r w:rsidRPr="008C3633">
        <w:rPr>
          <w:rFonts w:ascii="Times New Roman" w:hAnsi="Times New Roman" w:cs="Times New Roman"/>
          <w:sz w:val="24"/>
          <w:szCs w:val="24"/>
          <w:vertAlign w:val="baseline"/>
        </w:rPr>
        <w:t xml:space="preserve"> However, due to Ghana’s diverse ethnic composition, the institution of chieftaincy is thus, ‘still salient and very pertinent.’</w:t>
      </w:r>
      <w:r w:rsidRPr="008C3633">
        <w:rPr>
          <w:rFonts w:ascii="Times New Roman" w:hAnsi="Times New Roman" w:cs="Times New Roman"/>
          <w:sz w:val="24"/>
          <w:szCs w:val="24"/>
        </w:rPr>
        <w:footnoteReference w:id="1122"/>
      </w:r>
      <w:r w:rsidRPr="008C3633">
        <w:rPr>
          <w:rFonts w:ascii="Times New Roman" w:hAnsi="Times New Roman" w:cs="Times New Roman"/>
          <w:sz w:val="24"/>
          <w:szCs w:val="24"/>
          <w:vertAlign w:val="baseline"/>
        </w:rPr>
        <w:t xml:space="preserve"> As substantiated by Atiemo, ‘chieftaincy in modern Ghana has more than mere ornamental relevance. It plays important roles. It is the most effective mechanism for preserving and promoting ethnic identity in contemporary times.’</w:t>
      </w:r>
      <w:r w:rsidRPr="008C3633">
        <w:rPr>
          <w:rFonts w:ascii="Times New Roman" w:hAnsi="Times New Roman" w:cs="Times New Roman"/>
          <w:sz w:val="24"/>
          <w:szCs w:val="24"/>
        </w:rPr>
        <w:footnoteReference w:id="1123"/>
      </w:r>
      <w:r w:rsidRPr="008C3633">
        <w:rPr>
          <w:rFonts w:ascii="Times New Roman" w:hAnsi="Times New Roman" w:cs="Times New Roman"/>
          <w:sz w:val="24"/>
          <w:szCs w:val="24"/>
          <w:vertAlign w:val="baseline"/>
        </w:rPr>
        <w:t xml:space="preserve"> In essence, the institution of chieftaincy is considered to be the source of tradition and the ‘custodian of the indigenous traditions, customs and society of Ghana.’</w:t>
      </w:r>
      <w:r w:rsidRPr="008C3633">
        <w:rPr>
          <w:rFonts w:ascii="Times New Roman" w:hAnsi="Times New Roman" w:cs="Times New Roman"/>
          <w:sz w:val="24"/>
          <w:szCs w:val="24"/>
        </w:rPr>
        <w:footnoteReference w:id="1124"/>
      </w:r>
    </w:p>
    <w:p w14:paraId="0058D478" w14:textId="77777777" w:rsidR="00ED402F" w:rsidRPr="008C3633" w:rsidRDefault="00ED402F" w:rsidP="008C3633">
      <w:pPr>
        <w:spacing w:line="480" w:lineRule="auto"/>
        <w:jc w:val="both"/>
        <w:rPr>
          <w:rFonts w:ascii="Times New Roman" w:hAnsi="Times New Roman" w:cs="Times New Roman"/>
          <w:b/>
          <w:sz w:val="24"/>
          <w:szCs w:val="24"/>
          <w:u w:val="single"/>
          <w:vertAlign w:val="baseline"/>
        </w:rPr>
      </w:pPr>
    </w:p>
    <w:p w14:paraId="309842CD" w14:textId="53081F7B" w:rsidR="008C3633" w:rsidRPr="00B54B60" w:rsidRDefault="00B54B60" w:rsidP="008C3633">
      <w:pPr>
        <w:spacing w:line="480" w:lineRule="auto"/>
        <w:jc w:val="both"/>
        <w:rPr>
          <w:rFonts w:ascii="Times New Roman" w:hAnsi="Times New Roman" w:cs="Times New Roman"/>
          <w:b/>
          <w:i/>
          <w:sz w:val="24"/>
          <w:szCs w:val="24"/>
          <w:vertAlign w:val="baseline"/>
        </w:rPr>
      </w:pPr>
      <w:r w:rsidRPr="00B54B60">
        <w:rPr>
          <w:rFonts w:ascii="Times New Roman" w:hAnsi="Times New Roman" w:cs="Times New Roman"/>
          <w:b/>
          <w:i/>
          <w:sz w:val="24"/>
          <w:szCs w:val="24"/>
          <w:vertAlign w:val="baseline"/>
        </w:rPr>
        <w:t>6</w:t>
      </w:r>
      <w:r w:rsidR="00C51E18" w:rsidRPr="00B54B60">
        <w:rPr>
          <w:rFonts w:ascii="Times New Roman" w:hAnsi="Times New Roman" w:cs="Times New Roman"/>
          <w:b/>
          <w:i/>
          <w:sz w:val="24"/>
          <w:szCs w:val="24"/>
          <w:vertAlign w:val="baseline"/>
        </w:rPr>
        <w:t xml:space="preserve">.5.1 </w:t>
      </w:r>
      <w:r w:rsidR="008C3633" w:rsidRPr="00B54B60">
        <w:rPr>
          <w:rFonts w:ascii="Times New Roman" w:hAnsi="Times New Roman" w:cs="Times New Roman"/>
          <w:b/>
          <w:i/>
          <w:sz w:val="24"/>
          <w:szCs w:val="24"/>
          <w:vertAlign w:val="baseline"/>
        </w:rPr>
        <w:t>Customary law</w:t>
      </w:r>
    </w:p>
    <w:p w14:paraId="3F51D112" w14:textId="7ECCC0CD" w:rsidR="008C3633" w:rsidRPr="008C3633" w:rsidRDefault="008C3633" w:rsidP="00C51E18">
      <w:pPr>
        <w:spacing w:line="480" w:lineRule="auto"/>
        <w:ind w:firstLine="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Customary law is defined in Article 11 (3) of the Constitution as ‘the rules of law, which by custom are applicable to particular communities in Ghana.’</w:t>
      </w:r>
      <w:r w:rsidRPr="008C3633">
        <w:rPr>
          <w:rFonts w:ascii="Times New Roman" w:hAnsi="Times New Roman" w:cs="Times New Roman"/>
          <w:sz w:val="24"/>
          <w:szCs w:val="24"/>
        </w:rPr>
        <w:footnoteReference w:id="1125"/>
      </w:r>
      <w:r w:rsidRPr="008C3633">
        <w:rPr>
          <w:rFonts w:ascii="Times New Roman" w:hAnsi="Times New Roman" w:cs="Times New Roman"/>
          <w:sz w:val="24"/>
          <w:szCs w:val="24"/>
          <w:vertAlign w:val="baseline"/>
        </w:rPr>
        <w:t xml:space="preserve"> Ndulo clarifies,</w:t>
      </w:r>
    </w:p>
    <w:p w14:paraId="40CE830B" w14:textId="77777777" w:rsidR="008C3633" w:rsidRPr="008C3633" w:rsidRDefault="008C3633" w:rsidP="00697C79">
      <w:pPr>
        <w:spacing w:line="480" w:lineRule="auto"/>
        <w:ind w:left="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Customary law is the indigenous law of the various ethnic groups in Africa. The pre-colonial law … was essentially customary in character; having its sources in the practices and customs of the people … the great majority of people conduct their personal activities in accordance with and subject to customary law.</w:t>
      </w:r>
      <w:r w:rsidRPr="008C3633">
        <w:rPr>
          <w:rFonts w:ascii="Times New Roman" w:hAnsi="Times New Roman" w:cs="Times New Roman"/>
          <w:sz w:val="24"/>
          <w:szCs w:val="24"/>
        </w:rPr>
        <w:footnoteReference w:id="1126"/>
      </w:r>
    </w:p>
    <w:p w14:paraId="2D68D2EE" w14:textId="77777777" w:rsidR="008C3633" w:rsidRPr="008C3633" w:rsidRDefault="008C3633" w:rsidP="008C3633">
      <w:pPr>
        <w:spacing w:line="480" w:lineRule="auto"/>
        <w:jc w:val="both"/>
        <w:rPr>
          <w:rFonts w:ascii="Times New Roman" w:hAnsi="Times New Roman" w:cs="Times New Roman"/>
          <w:sz w:val="24"/>
          <w:szCs w:val="24"/>
          <w:vertAlign w:val="baseline"/>
        </w:rPr>
      </w:pPr>
    </w:p>
    <w:p w14:paraId="2970CCA7" w14:textId="77777777" w:rsidR="008C3633" w:rsidRPr="008C3633" w:rsidRDefault="008C3633" w:rsidP="00072D4C">
      <w:pPr>
        <w:spacing w:line="480" w:lineRule="auto"/>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Whilst the accepted term throughout Africa is ‘African customary law,’ Ndulo asserts that it should be recognised that such terminology does not indicate that there is a single uniform set of customs throughout any given country; instead the term should be used only as a ‘blanket description’ covering the many different legal systems present within any ethnically diverse African country.</w:t>
      </w:r>
      <w:r w:rsidRPr="008C3633">
        <w:rPr>
          <w:rFonts w:ascii="Times New Roman" w:hAnsi="Times New Roman" w:cs="Times New Roman"/>
          <w:sz w:val="24"/>
          <w:szCs w:val="24"/>
        </w:rPr>
        <w:footnoteReference w:id="1127"/>
      </w:r>
      <w:r w:rsidRPr="008C3633">
        <w:rPr>
          <w:rFonts w:ascii="Times New Roman" w:hAnsi="Times New Roman" w:cs="Times New Roman"/>
          <w:sz w:val="24"/>
          <w:szCs w:val="24"/>
          <w:vertAlign w:val="baseline"/>
        </w:rPr>
        <w:t xml:space="preserve"> Local customary law can be distinguished from other types of laws due to its ‘adaptability, popularity, flexibility and communal focus.’</w:t>
      </w:r>
      <w:r w:rsidRPr="008C3633">
        <w:rPr>
          <w:rFonts w:ascii="Times New Roman" w:hAnsi="Times New Roman" w:cs="Times New Roman"/>
          <w:sz w:val="24"/>
          <w:szCs w:val="24"/>
        </w:rPr>
        <w:footnoteReference w:id="1128"/>
      </w:r>
      <w:r w:rsidRPr="008C3633">
        <w:rPr>
          <w:rFonts w:ascii="Times New Roman" w:hAnsi="Times New Roman" w:cs="Times New Roman"/>
          <w:sz w:val="24"/>
          <w:szCs w:val="24"/>
          <w:vertAlign w:val="baseline"/>
        </w:rPr>
        <w:t xml:space="preserve"> In Ghana, the scope of customary law includes chieftaincy, land rights, marriage and spousal rights and inheritance/succession rights, with each traditional area of Ghana having their own form of customary laws applicable to each respective community.</w:t>
      </w:r>
      <w:r w:rsidRPr="008C3633">
        <w:rPr>
          <w:rFonts w:ascii="Times New Roman" w:hAnsi="Times New Roman" w:cs="Times New Roman"/>
          <w:sz w:val="24"/>
          <w:szCs w:val="24"/>
        </w:rPr>
        <w:footnoteReference w:id="1129"/>
      </w:r>
      <w:r w:rsidRPr="008C3633">
        <w:rPr>
          <w:rFonts w:ascii="Times New Roman" w:hAnsi="Times New Roman" w:cs="Times New Roman"/>
          <w:sz w:val="24"/>
          <w:szCs w:val="24"/>
          <w:vertAlign w:val="baseline"/>
        </w:rPr>
        <w:t xml:space="preserve"> As local customary law in Ghana is comprised of the beliefs and customs of specific communities, it is ‘non-specialised, in that it does not distinguish between varying areas of law’ and ‘raises the collective interest of the community above individuals’ personal rights.’</w:t>
      </w:r>
      <w:r w:rsidRPr="008C3633">
        <w:rPr>
          <w:rFonts w:ascii="Times New Roman" w:hAnsi="Times New Roman" w:cs="Times New Roman"/>
          <w:sz w:val="24"/>
          <w:szCs w:val="24"/>
        </w:rPr>
        <w:footnoteReference w:id="1130"/>
      </w:r>
      <w:r w:rsidRPr="008C3633">
        <w:rPr>
          <w:rFonts w:ascii="Times New Roman" w:hAnsi="Times New Roman" w:cs="Times New Roman"/>
          <w:sz w:val="24"/>
          <w:szCs w:val="24"/>
          <w:vertAlign w:val="baseline"/>
        </w:rPr>
        <w:t xml:space="preserve"> Thus, whilst local customary law is used to maintain harmony and social order within communities, many customs conflict with human rights norms, which guarantee equality between men and women. In Ghana, customary law is often discriminatory in practice, and women are seen as subsidiary within the ethnic group or tribe they belong to.</w:t>
      </w:r>
      <w:r w:rsidRPr="008C3633">
        <w:rPr>
          <w:rFonts w:ascii="Times New Roman" w:hAnsi="Times New Roman" w:cs="Times New Roman"/>
          <w:sz w:val="24"/>
          <w:szCs w:val="24"/>
        </w:rPr>
        <w:footnoteReference w:id="1131"/>
      </w:r>
      <w:r w:rsidRPr="008C3633">
        <w:rPr>
          <w:rFonts w:ascii="Times New Roman" w:hAnsi="Times New Roman" w:cs="Times New Roman"/>
          <w:sz w:val="24"/>
          <w:szCs w:val="24"/>
          <w:vertAlign w:val="baseline"/>
        </w:rPr>
        <w:t xml:space="preserve"> Hence, there is much debate as to the inharmonious nature of local customary laws when situated against the human rights standards present within national constitutions and international conventions.</w:t>
      </w:r>
      <w:r w:rsidRPr="008C3633">
        <w:rPr>
          <w:rFonts w:ascii="Times New Roman" w:hAnsi="Times New Roman" w:cs="Times New Roman"/>
          <w:sz w:val="24"/>
          <w:szCs w:val="24"/>
        </w:rPr>
        <w:footnoteReference w:id="1132"/>
      </w:r>
      <w:r w:rsidRPr="008C3633">
        <w:rPr>
          <w:rFonts w:ascii="Times New Roman" w:hAnsi="Times New Roman" w:cs="Times New Roman"/>
          <w:sz w:val="24"/>
          <w:szCs w:val="24"/>
          <w:vertAlign w:val="baseline"/>
        </w:rPr>
        <w:t xml:space="preserve"> </w:t>
      </w:r>
    </w:p>
    <w:p w14:paraId="6767F47D" w14:textId="77777777" w:rsidR="008C3633" w:rsidRPr="008C3633" w:rsidRDefault="008C3633" w:rsidP="008C3633">
      <w:pPr>
        <w:spacing w:line="480" w:lineRule="auto"/>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 xml:space="preserve"> </w:t>
      </w:r>
    </w:p>
    <w:p w14:paraId="1A1B46BD" w14:textId="77777777" w:rsidR="008C3633" w:rsidRDefault="008C3633" w:rsidP="00E615A2">
      <w:pPr>
        <w:spacing w:line="480" w:lineRule="auto"/>
        <w:ind w:firstLine="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Due to the development of human rights and associated relevant Conventions, many African Constitutions now contain provisions guaranteeing the rights to equality and the prohibition of discrimination, yet within the same Constitution they also recognise the application of local customary law, without ‘resolving the conflict between customary law and human rights provisions.’</w:t>
      </w:r>
      <w:r w:rsidRPr="008C3633">
        <w:rPr>
          <w:rFonts w:ascii="Times New Roman" w:hAnsi="Times New Roman" w:cs="Times New Roman"/>
          <w:sz w:val="24"/>
          <w:szCs w:val="24"/>
        </w:rPr>
        <w:footnoteReference w:id="1133"/>
      </w:r>
      <w:r w:rsidRPr="008C3633">
        <w:rPr>
          <w:rFonts w:ascii="Times New Roman" w:hAnsi="Times New Roman" w:cs="Times New Roman"/>
          <w:sz w:val="24"/>
          <w:szCs w:val="24"/>
          <w:vertAlign w:val="baseline"/>
        </w:rPr>
        <w:t xml:space="preserve"> The Ghanaian Constitution formally recognises local customary laws and authorises official courts to apply both statutory and customary law when resolving disputes. Matters of local customary law are predominantly dealt with in traditional courts,</w:t>
      </w:r>
      <w:r w:rsidRPr="008C3633">
        <w:rPr>
          <w:rFonts w:ascii="Times New Roman" w:hAnsi="Times New Roman" w:cs="Times New Roman"/>
          <w:sz w:val="24"/>
          <w:szCs w:val="24"/>
        </w:rPr>
        <w:footnoteReference w:id="1134"/>
      </w:r>
      <w:r w:rsidRPr="008C3633">
        <w:rPr>
          <w:rFonts w:ascii="Times New Roman" w:hAnsi="Times New Roman" w:cs="Times New Roman"/>
          <w:sz w:val="24"/>
          <w:szCs w:val="24"/>
          <w:vertAlign w:val="baseline"/>
        </w:rPr>
        <w:t xml:space="preserve"> overseen by chiefs,</w:t>
      </w:r>
      <w:r w:rsidRPr="008C3633">
        <w:rPr>
          <w:rFonts w:ascii="Times New Roman" w:hAnsi="Times New Roman" w:cs="Times New Roman"/>
          <w:sz w:val="24"/>
          <w:szCs w:val="24"/>
        </w:rPr>
        <w:footnoteReference w:id="1135"/>
      </w:r>
      <w:r w:rsidRPr="008C3633">
        <w:rPr>
          <w:rFonts w:ascii="Times New Roman" w:hAnsi="Times New Roman" w:cs="Times New Roman"/>
          <w:sz w:val="24"/>
          <w:szCs w:val="24"/>
          <w:vertAlign w:val="baseline"/>
        </w:rPr>
        <w:t xml:space="preserve"> as documented in the Chieftaincy Act 2008. In order to determine the legality of local customary laws in national courts, witnesses who are educated in local custom, such as chiefs and tribal elders, are called to court to testify on the various components of the law in question.</w:t>
      </w:r>
      <w:r w:rsidRPr="008C3633">
        <w:rPr>
          <w:rFonts w:ascii="Times New Roman" w:hAnsi="Times New Roman" w:cs="Times New Roman"/>
          <w:sz w:val="24"/>
          <w:szCs w:val="24"/>
        </w:rPr>
        <w:footnoteReference w:id="1136"/>
      </w:r>
      <w:r w:rsidRPr="008C3633">
        <w:rPr>
          <w:rFonts w:ascii="Times New Roman" w:hAnsi="Times New Roman" w:cs="Times New Roman"/>
          <w:sz w:val="24"/>
          <w:szCs w:val="24"/>
          <w:vertAlign w:val="baseline"/>
        </w:rPr>
        <w:t xml:space="preserve"> However, the Courts Act 1993 states that customary law must only be applied if the rules meet the requirements of ‘equity and good conscience’</w:t>
      </w:r>
      <w:r w:rsidRPr="008C3633">
        <w:rPr>
          <w:rFonts w:ascii="Times New Roman" w:hAnsi="Times New Roman" w:cs="Times New Roman"/>
          <w:sz w:val="24"/>
          <w:szCs w:val="24"/>
        </w:rPr>
        <w:footnoteReference w:id="1137"/>
      </w:r>
      <w:r w:rsidRPr="008C3633">
        <w:rPr>
          <w:rFonts w:ascii="Times New Roman" w:hAnsi="Times New Roman" w:cs="Times New Roman"/>
          <w:sz w:val="24"/>
          <w:szCs w:val="24"/>
          <w:vertAlign w:val="baseline"/>
        </w:rPr>
        <w:t xml:space="preserve"> and they must not be incompatible with existing statutory law.</w:t>
      </w:r>
      <w:r w:rsidRPr="008C3633">
        <w:rPr>
          <w:rFonts w:ascii="Times New Roman" w:hAnsi="Times New Roman" w:cs="Times New Roman"/>
          <w:sz w:val="24"/>
          <w:szCs w:val="24"/>
        </w:rPr>
        <w:footnoteReference w:id="1138"/>
      </w:r>
      <w:r w:rsidRPr="008C3633">
        <w:rPr>
          <w:rFonts w:ascii="Times New Roman" w:hAnsi="Times New Roman" w:cs="Times New Roman"/>
          <w:sz w:val="24"/>
          <w:szCs w:val="24"/>
          <w:vertAlign w:val="baseline"/>
        </w:rPr>
        <w:t xml:space="preserve"> Thus, whilst there is formal recognition for local customary laws, they must be interpreted in light of statute and the Constitution. Yet, as observed by Atiemo, this is not always the case,</w:t>
      </w:r>
    </w:p>
    <w:p w14:paraId="6DFD9F30" w14:textId="77777777" w:rsidR="00697C79" w:rsidRPr="008C3633" w:rsidRDefault="00697C79" w:rsidP="00E615A2">
      <w:pPr>
        <w:spacing w:line="480" w:lineRule="auto"/>
        <w:ind w:firstLine="720"/>
        <w:jc w:val="both"/>
        <w:rPr>
          <w:rFonts w:ascii="Times New Roman" w:hAnsi="Times New Roman" w:cs="Times New Roman"/>
          <w:sz w:val="24"/>
          <w:szCs w:val="24"/>
          <w:vertAlign w:val="baseline"/>
        </w:rPr>
      </w:pPr>
    </w:p>
    <w:p w14:paraId="2BA3DDA1" w14:textId="77777777" w:rsidR="00C173D1" w:rsidRDefault="008C3633" w:rsidP="00697C79">
      <w:pPr>
        <w:spacing w:line="480" w:lineRule="auto"/>
        <w:ind w:left="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Legal responsibility under international human rights law to ensure that certain local customary laws and practices are modified to conform to human rights norms is often exercised with some diffidence. Even when the appropriate legislative instruments exist, their enforcement is not done with any enthusiasm.</w:t>
      </w:r>
      <w:r w:rsidRPr="008C3633">
        <w:rPr>
          <w:rFonts w:ascii="Times New Roman" w:hAnsi="Times New Roman" w:cs="Times New Roman"/>
          <w:sz w:val="24"/>
          <w:szCs w:val="24"/>
        </w:rPr>
        <w:footnoteReference w:id="1139"/>
      </w:r>
      <w:r w:rsidR="00DE0B6B">
        <w:rPr>
          <w:rFonts w:ascii="Times New Roman" w:hAnsi="Times New Roman" w:cs="Times New Roman"/>
          <w:sz w:val="24"/>
          <w:szCs w:val="24"/>
          <w:vertAlign w:val="baseline"/>
        </w:rPr>
        <w:t xml:space="preserve"> </w:t>
      </w:r>
    </w:p>
    <w:p w14:paraId="11486F4D" w14:textId="77777777" w:rsidR="00C173D1" w:rsidRDefault="00C173D1" w:rsidP="00C173D1">
      <w:pPr>
        <w:ind w:firstLine="720"/>
        <w:jc w:val="both"/>
        <w:rPr>
          <w:rFonts w:ascii="Times New Roman" w:hAnsi="Times New Roman" w:cs="Times New Roman"/>
          <w:sz w:val="24"/>
          <w:szCs w:val="24"/>
          <w:vertAlign w:val="baseline"/>
        </w:rPr>
      </w:pPr>
    </w:p>
    <w:p w14:paraId="55AE3A5E" w14:textId="221E088B" w:rsidR="008C3633" w:rsidRPr="008C3633" w:rsidRDefault="008C3633" w:rsidP="00DE0B6B">
      <w:pPr>
        <w:spacing w:line="480" w:lineRule="auto"/>
        <w:ind w:firstLine="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Atiemo states that the reasons for this are practical; the custodians of local customary law, namely the chiefs, embody the cultural, time-honoured values of particular ethnic groups, thus, making this a sensitive issue.</w:t>
      </w:r>
      <w:r w:rsidRPr="008C3633">
        <w:rPr>
          <w:rFonts w:ascii="Times New Roman" w:hAnsi="Times New Roman" w:cs="Times New Roman"/>
          <w:sz w:val="24"/>
          <w:szCs w:val="24"/>
        </w:rPr>
        <w:footnoteReference w:id="1140"/>
      </w:r>
      <w:r w:rsidRPr="008C3633">
        <w:rPr>
          <w:rFonts w:ascii="Times New Roman" w:hAnsi="Times New Roman" w:cs="Times New Roman"/>
          <w:sz w:val="24"/>
          <w:szCs w:val="24"/>
          <w:vertAlign w:val="baseline"/>
        </w:rPr>
        <w:t xml:space="preserve"> Moreover, as Atiemo explains, ‘another difficulty involved in changing religious and customary laws and practices is that custodians of such laws and practices are often powerful people with influence that the government would not want to offend.’</w:t>
      </w:r>
      <w:r w:rsidRPr="008C3633">
        <w:rPr>
          <w:rFonts w:ascii="Times New Roman" w:hAnsi="Times New Roman" w:cs="Times New Roman"/>
          <w:sz w:val="24"/>
          <w:szCs w:val="24"/>
        </w:rPr>
        <w:footnoteReference w:id="1141"/>
      </w:r>
      <w:r w:rsidRPr="008C3633">
        <w:rPr>
          <w:rFonts w:ascii="Times New Roman" w:hAnsi="Times New Roman" w:cs="Times New Roman"/>
          <w:sz w:val="24"/>
          <w:szCs w:val="24"/>
          <w:vertAlign w:val="baseline"/>
        </w:rPr>
        <w:t xml:space="preserve"> Essentially, the government often lacks the administrative and political authority relying, in certain cases, on the tradition of chieftaincy.</w:t>
      </w:r>
      <w:r w:rsidRPr="008C3633">
        <w:rPr>
          <w:rFonts w:ascii="Times New Roman" w:hAnsi="Times New Roman" w:cs="Times New Roman"/>
          <w:sz w:val="24"/>
          <w:szCs w:val="24"/>
        </w:rPr>
        <w:footnoteReference w:id="1142"/>
      </w:r>
      <w:r w:rsidRPr="008C3633">
        <w:rPr>
          <w:rFonts w:ascii="Times New Roman" w:hAnsi="Times New Roman" w:cs="Times New Roman"/>
          <w:sz w:val="24"/>
          <w:szCs w:val="24"/>
          <w:vertAlign w:val="baseline"/>
        </w:rPr>
        <w:t xml:space="preserve"> Thus, whilst the national laws of Ghana are meant to supersede local customary laws, the ‘religiously plural nature of modern communities makes it difficult to apply and enforce religious aspects of such customary laws without discrimination.’</w:t>
      </w:r>
      <w:r w:rsidRPr="008C3633">
        <w:rPr>
          <w:rFonts w:ascii="Times New Roman" w:hAnsi="Times New Roman" w:cs="Times New Roman"/>
          <w:sz w:val="24"/>
          <w:szCs w:val="24"/>
        </w:rPr>
        <w:footnoteReference w:id="1143"/>
      </w:r>
      <w:r w:rsidRPr="008C3633">
        <w:rPr>
          <w:rFonts w:ascii="Times New Roman" w:hAnsi="Times New Roman" w:cs="Times New Roman"/>
          <w:sz w:val="24"/>
          <w:szCs w:val="24"/>
          <w:vertAlign w:val="baseline"/>
        </w:rPr>
        <w:t xml:space="preserve"> Hence, through the haphazard application of local customary law, there is possibility for the abuse of individual’s human rights,</w:t>
      </w:r>
      <w:r w:rsidR="00A9400D">
        <w:rPr>
          <w:rFonts w:ascii="Times New Roman" w:hAnsi="Times New Roman" w:cs="Times New Roman"/>
          <w:sz w:val="24"/>
          <w:szCs w:val="24"/>
          <w:vertAlign w:val="baseline"/>
        </w:rPr>
        <w:t xml:space="preserve"> </w:t>
      </w:r>
      <w:r w:rsidRPr="008C3633">
        <w:rPr>
          <w:rFonts w:ascii="Times New Roman" w:hAnsi="Times New Roman" w:cs="Times New Roman"/>
          <w:sz w:val="24"/>
          <w:szCs w:val="24"/>
          <w:vertAlign w:val="baseline"/>
        </w:rPr>
        <w:t>particularly in remote and rural areas where there is a lack of public awareness of human rights.</w:t>
      </w:r>
      <w:r w:rsidRPr="008C3633">
        <w:rPr>
          <w:rFonts w:ascii="Times New Roman" w:hAnsi="Times New Roman" w:cs="Times New Roman"/>
          <w:sz w:val="24"/>
          <w:szCs w:val="24"/>
        </w:rPr>
        <w:footnoteReference w:id="1144"/>
      </w:r>
      <w:r w:rsidRPr="008C3633">
        <w:rPr>
          <w:rFonts w:ascii="Times New Roman" w:hAnsi="Times New Roman" w:cs="Times New Roman"/>
          <w:sz w:val="24"/>
          <w:szCs w:val="24"/>
          <w:vertAlign w:val="baseline"/>
        </w:rPr>
        <w:t xml:space="preserve"> </w:t>
      </w:r>
    </w:p>
    <w:p w14:paraId="1802006B" w14:textId="77777777" w:rsidR="008C3633" w:rsidRPr="008C3633" w:rsidRDefault="008C3633" w:rsidP="008C3633">
      <w:pPr>
        <w:spacing w:line="480" w:lineRule="auto"/>
        <w:jc w:val="both"/>
        <w:rPr>
          <w:rFonts w:ascii="Times New Roman" w:hAnsi="Times New Roman" w:cs="Times New Roman"/>
          <w:sz w:val="24"/>
          <w:szCs w:val="24"/>
          <w:vertAlign w:val="baseline"/>
        </w:rPr>
      </w:pPr>
    </w:p>
    <w:p w14:paraId="0BDC35D1" w14:textId="35D0D7DE" w:rsidR="008C3633" w:rsidRPr="00697C79" w:rsidRDefault="008C3633" w:rsidP="00697C79">
      <w:pPr>
        <w:spacing w:line="480" w:lineRule="auto"/>
        <w:ind w:firstLine="720"/>
        <w:jc w:val="both"/>
        <w:rPr>
          <w:rFonts w:ascii="Times New Roman" w:hAnsi="Times New Roman" w:cs="Times New Roman"/>
          <w:b/>
          <w:sz w:val="24"/>
          <w:szCs w:val="24"/>
          <w:u w:val="single"/>
          <w:vertAlign w:val="baseline"/>
        </w:rPr>
      </w:pPr>
      <w:r w:rsidRPr="008C3633">
        <w:rPr>
          <w:rFonts w:ascii="Times New Roman" w:hAnsi="Times New Roman" w:cs="Times New Roman"/>
          <w:sz w:val="24"/>
          <w:szCs w:val="24"/>
          <w:vertAlign w:val="baseline"/>
        </w:rPr>
        <w:t xml:space="preserve">Different application of local customary law can be noted in the following cases. In </w:t>
      </w:r>
      <w:r w:rsidRPr="008C3633">
        <w:rPr>
          <w:rFonts w:ascii="Times New Roman" w:hAnsi="Times New Roman" w:cs="Times New Roman"/>
          <w:i/>
          <w:sz w:val="24"/>
          <w:szCs w:val="24"/>
          <w:vertAlign w:val="baseline"/>
        </w:rPr>
        <w:t>Afful v Okyere and Another</w:t>
      </w:r>
      <w:r w:rsidRPr="008C3633">
        <w:rPr>
          <w:rFonts w:ascii="Times New Roman" w:hAnsi="Times New Roman" w:cs="Times New Roman"/>
          <w:sz w:val="24"/>
          <w:szCs w:val="24"/>
          <w:vertAlign w:val="baseline"/>
        </w:rPr>
        <w:t xml:space="preserve"> [1997-8],</w:t>
      </w:r>
      <w:r w:rsidRPr="008C3633">
        <w:rPr>
          <w:rFonts w:ascii="Times New Roman" w:hAnsi="Times New Roman" w:cs="Times New Roman"/>
          <w:sz w:val="24"/>
          <w:szCs w:val="24"/>
        </w:rPr>
        <w:footnoteReference w:id="1145"/>
      </w:r>
      <w:r w:rsidRPr="008C3633">
        <w:rPr>
          <w:rFonts w:ascii="Times New Roman" w:hAnsi="Times New Roman" w:cs="Times New Roman"/>
          <w:sz w:val="24"/>
          <w:szCs w:val="24"/>
          <w:vertAlign w:val="baseline"/>
        </w:rPr>
        <w:t xml:space="preserve"> the plaintiff, a senior nutrition officer with the Ministry of Health, and the defendants lived in the same house together as co-tenants. The plaintiff had originally made a claim for defamation in the High Court that, without provocation, the defendants had called the plaintiff a witch and accused the plaintiff of killing the first defendant’s two children. The defendants had subsequently denied the claim and issued a counterclaim for damages, instead asserting that it was the plaintiff who had named the first defendant as a wizard. Whilst one witness, who was a visitor to the house, corroborated the plaintiff’s evidence the High Court Judge rejected the evidence on the grounds that the witness was a stranger and the plaintiff should have called ‘an inmate of her house as her witness.’</w:t>
      </w:r>
      <w:r w:rsidRPr="008C3633">
        <w:rPr>
          <w:rFonts w:ascii="Times New Roman" w:hAnsi="Times New Roman" w:cs="Times New Roman"/>
          <w:sz w:val="24"/>
          <w:szCs w:val="24"/>
        </w:rPr>
        <w:footnoteReference w:id="1146"/>
      </w:r>
      <w:r w:rsidRPr="008C3633">
        <w:rPr>
          <w:rFonts w:ascii="Times New Roman" w:hAnsi="Times New Roman" w:cs="Times New Roman"/>
          <w:sz w:val="24"/>
          <w:szCs w:val="24"/>
          <w:vertAlign w:val="baseline"/>
        </w:rPr>
        <w:t xml:space="preserve"> The plaintiff appealed on the grounds that, ‘</w:t>
      </w:r>
      <w:r w:rsidRPr="008C3633">
        <w:rPr>
          <w:rFonts w:ascii="Times New Roman" w:hAnsi="Times New Roman" w:cs="Times New Roman"/>
          <w:sz w:val="24"/>
          <w:szCs w:val="24"/>
          <w:vertAlign w:val="baseline"/>
          <w:lang w:val="en-US"/>
        </w:rPr>
        <w:t>the trial judge had (a) erroneously interpreted the evidence on the record; and (b) confused the common law principles on defamation with that of customary law. The court found on the evidence that all the parties were Akans.’</w:t>
      </w:r>
      <w:r w:rsidRPr="008C3633">
        <w:rPr>
          <w:rFonts w:ascii="Times New Roman" w:hAnsi="Times New Roman" w:cs="Times New Roman"/>
          <w:sz w:val="24"/>
          <w:szCs w:val="24"/>
          <w:lang w:val="en-US"/>
        </w:rPr>
        <w:footnoteReference w:id="1147"/>
      </w:r>
      <w:r w:rsidRPr="008C3633">
        <w:rPr>
          <w:rFonts w:ascii="Times New Roman" w:hAnsi="Times New Roman" w:cs="Times New Roman"/>
          <w:sz w:val="24"/>
          <w:szCs w:val="24"/>
          <w:vertAlign w:val="baseline"/>
          <w:lang w:val="en-US"/>
        </w:rPr>
        <w:t xml:space="preserve"> In the Court of Appeal, the judge allowed the appeal stating that, </w:t>
      </w:r>
    </w:p>
    <w:p w14:paraId="1A095949" w14:textId="77777777" w:rsidR="008C3633" w:rsidRPr="008C3633" w:rsidRDefault="008C3633" w:rsidP="00697C79">
      <w:pPr>
        <w:spacing w:line="480" w:lineRule="auto"/>
        <w:ind w:left="720"/>
        <w:jc w:val="both"/>
        <w:rPr>
          <w:rFonts w:ascii="Times New Roman" w:hAnsi="Times New Roman" w:cs="Times New Roman"/>
          <w:sz w:val="24"/>
          <w:szCs w:val="24"/>
          <w:vertAlign w:val="baseline"/>
          <w:lang w:val="en-US"/>
        </w:rPr>
      </w:pPr>
      <w:r w:rsidRPr="008C3633">
        <w:rPr>
          <w:rFonts w:ascii="Times New Roman" w:hAnsi="Times New Roman" w:cs="Times New Roman"/>
          <w:sz w:val="24"/>
          <w:szCs w:val="24"/>
          <w:vertAlign w:val="baseline"/>
          <w:lang w:val="en-US"/>
        </w:rPr>
        <w:t>Although to call somebody a witch under the common law was not actionable without proof of special damage, on the authorities under the customary law, it was actionable per se without proof of damage. In the instant case, the parties were Akans, and therefore the law applicable was the Akan customary law. Accordingly, the first defendant was guilty of defamation of character when he called the plaintiff “a witch” and accused her of having killed his two children. In the circumstances, the trial judge erred in dismissing the plaintiff’s action.</w:t>
      </w:r>
      <w:r w:rsidRPr="008C3633">
        <w:rPr>
          <w:rFonts w:ascii="Times New Roman" w:hAnsi="Times New Roman" w:cs="Times New Roman"/>
          <w:sz w:val="24"/>
          <w:szCs w:val="24"/>
          <w:lang w:val="en-US"/>
        </w:rPr>
        <w:footnoteReference w:id="1148"/>
      </w:r>
    </w:p>
    <w:p w14:paraId="73B30E7F" w14:textId="77777777" w:rsidR="008C3633" w:rsidRPr="008C3633" w:rsidRDefault="008C3633" w:rsidP="008C3633">
      <w:pPr>
        <w:spacing w:line="480" w:lineRule="auto"/>
        <w:jc w:val="both"/>
        <w:rPr>
          <w:rFonts w:ascii="Times New Roman" w:hAnsi="Times New Roman" w:cs="Times New Roman"/>
          <w:sz w:val="24"/>
          <w:szCs w:val="24"/>
          <w:vertAlign w:val="baseline"/>
          <w:lang w:val="en-US"/>
        </w:rPr>
      </w:pPr>
    </w:p>
    <w:p w14:paraId="7B980CAC" w14:textId="66E1B6DB" w:rsidR="008C3633" w:rsidRDefault="008C3633" w:rsidP="00072D4C">
      <w:pPr>
        <w:spacing w:line="480" w:lineRule="auto"/>
        <w:jc w:val="both"/>
        <w:rPr>
          <w:rFonts w:ascii="Times New Roman" w:hAnsi="Times New Roman" w:cs="Times New Roman"/>
          <w:sz w:val="24"/>
          <w:szCs w:val="24"/>
          <w:vertAlign w:val="baseline"/>
          <w:lang w:val="en-US"/>
        </w:rPr>
      </w:pPr>
      <w:r w:rsidRPr="008C3633">
        <w:rPr>
          <w:rFonts w:ascii="Times New Roman" w:hAnsi="Times New Roman" w:cs="Times New Roman"/>
          <w:sz w:val="24"/>
          <w:szCs w:val="24"/>
          <w:vertAlign w:val="baseline"/>
          <w:lang w:val="en-US"/>
        </w:rPr>
        <w:t>As the parties lived within a community where the inhabitants all knew each other, the court held that it was ‘obvious that she had suffered injury to her reputation and calling from being accused as a witch who had killed two children.’</w:t>
      </w:r>
      <w:r w:rsidRPr="008C3633">
        <w:rPr>
          <w:rFonts w:ascii="Times New Roman" w:hAnsi="Times New Roman" w:cs="Times New Roman"/>
          <w:sz w:val="24"/>
          <w:szCs w:val="24"/>
          <w:lang w:val="en-US"/>
        </w:rPr>
        <w:footnoteReference w:id="1149"/>
      </w:r>
      <w:r w:rsidRPr="008C3633">
        <w:rPr>
          <w:rFonts w:ascii="Times New Roman" w:hAnsi="Times New Roman" w:cs="Times New Roman"/>
          <w:sz w:val="24"/>
          <w:szCs w:val="24"/>
          <w:vertAlign w:val="baseline"/>
          <w:lang w:val="en-US"/>
        </w:rPr>
        <w:t xml:space="preserve"> The plaintiff was awarded ¢2million</w:t>
      </w:r>
      <w:r w:rsidRPr="008C3633">
        <w:rPr>
          <w:rFonts w:ascii="Times New Roman" w:hAnsi="Times New Roman" w:cs="Times New Roman"/>
          <w:sz w:val="24"/>
          <w:szCs w:val="24"/>
          <w:lang w:val="en-US"/>
        </w:rPr>
        <w:footnoteReference w:id="1150"/>
      </w:r>
      <w:r w:rsidRPr="008C3633">
        <w:rPr>
          <w:rFonts w:ascii="Times New Roman" w:hAnsi="Times New Roman" w:cs="Times New Roman"/>
          <w:sz w:val="24"/>
          <w:szCs w:val="24"/>
          <w:vertAlign w:val="baseline"/>
          <w:lang w:val="en-US"/>
        </w:rPr>
        <w:t xml:space="preserve"> as damages. Customary law was also held to be more applicable than common law in the case of </w:t>
      </w:r>
      <w:r w:rsidRPr="008C3633">
        <w:rPr>
          <w:rFonts w:ascii="Times New Roman" w:hAnsi="Times New Roman" w:cs="Times New Roman"/>
          <w:i/>
          <w:sz w:val="24"/>
          <w:szCs w:val="24"/>
          <w:vertAlign w:val="baseline"/>
          <w:lang w:val="en-US"/>
        </w:rPr>
        <w:t xml:space="preserve">Wankyiwaa v Wereduwaa and Another </w:t>
      </w:r>
      <w:r w:rsidRPr="008C3633">
        <w:rPr>
          <w:rFonts w:ascii="Times New Roman" w:hAnsi="Times New Roman" w:cs="Times New Roman"/>
          <w:sz w:val="24"/>
          <w:szCs w:val="24"/>
          <w:vertAlign w:val="baseline"/>
          <w:lang w:val="en-US"/>
        </w:rPr>
        <w:t>[1963],</w:t>
      </w:r>
      <w:r w:rsidRPr="008C3633">
        <w:rPr>
          <w:rFonts w:ascii="Times New Roman" w:hAnsi="Times New Roman" w:cs="Times New Roman"/>
          <w:sz w:val="24"/>
          <w:szCs w:val="24"/>
          <w:lang w:val="en-US"/>
        </w:rPr>
        <w:footnoteReference w:id="1151"/>
      </w:r>
      <w:r w:rsidRPr="008C3633">
        <w:rPr>
          <w:rFonts w:ascii="Times New Roman" w:hAnsi="Times New Roman" w:cs="Times New Roman"/>
          <w:sz w:val="24"/>
          <w:szCs w:val="24"/>
          <w:vertAlign w:val="baseline"/>
          <w:lang w:val="en-US"/>
        </w:rPr>
        <w:t xml:space="preserve"> where, on appeal, the High Court Judge, in considering the previous judgment of the circuit court, stated that, </w:t>
      </w:r>
    </w:p>
    <w:p w14:paraId="715C3ED4" w14:textId="77777777" w:rsidR="00F52C41" w:rsidRPr="008C3633" w:rsidRDefault="00F52C41" w:rsidP="00CF7C19">
      <w:pPr>
        <w:spacing w:line="480" w:lineRule="auto"/>
        <w:jc w:val="both"/>
        <w:rPr>
          <w:rFonts w:ascii="Times New Roman" w:hAnsi="Times New Roman" w:cs="Times New Roman"/>
          <w:sz w:val="24"/>
          <w:szCs w:val="24"/>
          <w:vertAlign w:val="baseline"/>
          <w:lang w:val="en-US"/>
        </w:rPr>
      </w:pPr>
    </w:p>
    <w:p w14:paraId="132B0F6F" w14:textId="77777777" w:rsidR="008C3633" w:rsidRPr="008C3633" w:rsidRDefault="008C3633" w:rsidP="00F52C41">
      <w:pPr>
        <w:spacing w:line="480" w:lineRule="auto"/>
        <w:ind w:left="720"/>
        <w:jc w:val="both"/>
        <w:rPr>
          <w:rFonts w:ascii="Times New Roman" w:hAnsi="Times New Roman" w:cs="Times New Roman"/>
          <w:sz w:val="24"/>
          <w:szCs w:val="24"/>
          <w:vertAlign w:val="baseline"/>
          <w:lang w:val="en-US"/>
        </w:rPr>
      </w:pPr>
      <w:r w:rsidRPr="008C3633">
        <w:rPr>
          <w:rFonts w:ascii="Times New Roman" w:hAnsi="Times New Roman" w:cs="Times New Roman"/>
          <w:sz w:val="24"/>
          <w:szCs w:val="24"/>
          <w:vertAlign w:val="baseline"/>
          <w:lang w:val="en-US"/>
        </w:rPr>
        <w:t>It is plain he did not give consideration to the important question, namely, which law was properly applicable to the matter in question. I think he was wrong in that. I feel no doubt whatsoever that this matter ought to be determined by customary law.</w:t>
      </w:r>
      <w:r w:rsidRPr="008C3633">
        <w:rPr>
          <w:rFonts w:ascii="Times New Roman" w:hAnsi="Times New Roman" w:cs="Times New Roman"/>
          <w:sz w:val="24"/>
          <w:szCs w:val="24"/>
          <w:lang w:val="en-US"/>
        </w:rPr>
        <w:footnoteReference w:id="1152"/>
      </w:r>
    </w:p>
    <w:p w14:paraId="57F42AE7" w14:textId="77777777" w:rsidR="008C3633" w:rsidRPr="008C3633" w:rsidRDefault="008C3633" w:rsidP="008C3633">
      <w:pPr>
        <w:spacing w:line="480" w:lineRule="auto"/>
        <w:jc w:val="both"/>
        <w:rPr>
          <w:rFonts w:ascii="Times New Roman" w:hAnsi="Times New Roman" w:cs="Times New Roman"/>
          <w:sz w:val="24"/>
          <w:szCs w:val="24"/>
          <w:vertAlign w:val="baseline"/>
          <w:lang w:val="en-US"/>
        </w:rPr>
      </w:pPr>
    </w:p>
    <w:p w14:paraId="4D1EB8DB" w14:textId="77777777" w:rsidR="008C3633" w:rsidRDefault="008C3633" w:rsidP="00CF7C19">
      <w:pPr>
        <w:spacing w:line="480" w:lineRule="auto"/>
        <w:ind w:firstLine="720"/>
        <w:jc w:val="both"/>
        <w:rPr>
          <w:rFonts w:ascii="Times New Roman" w:hAnsi="Times New Roman" w:cs="Times New Roman"/>
          <w:sz w:val="24"/>
          <w:szCs w:val="24"/>
          <w:vertAlign w:val="baseline"/>
          <w:lang w:val="en-US"/>
        </w:rPr>
      </w:pPr>
      <w:r w:rsidRPr="008C3633">
        <w:rPr>
          <w:rFonts w:ascii="Times New Roman" w:hAnsi="Times New Roman" w:cs="Times New Roman"/>
          <w:sz w:val="24"/>
          <w:szCs w:val="24"/>
          <w:vertAlign w:val="baseline"/>
          <w:lang w:val="en-US"/>
        </w:rPr>
        <w:t xml:space="preserve">Conversely, in the case of </w:t>
      </w:r>
      <w:r w:rsidRPr="008C3633">
        <w:rPr>
          <w:rFonts w:ascii="Times New Roman" w:hAnsi="Times New Roman" w:cs="Times New Roman"/>
          <w:i/>
          <w:sz w:val="24"/>
          <w:szCs w:val="24"/>
          <w:vertAlign w:val="baseline"/>
          <w:lang w:val="en-US"/>
        </w:rPr>
        <w:t>Foli VIII and Others v The Republic</w:t>
      </w:r>
      <w:r w:rsidRPr="008C3633">
        <w:rPr>
          <w:rFonts w:ascii="Times New Roman" w:hAnsi="Times New Roman" w:cs="Times New Roman"/>
          <w:sz w:val="24"/>
          <w:szCs w:val="24"/>
          <w:vertAlign w:val="baseline"/>
          <w:lang w:val="en-US"/>
        </w:rPr>
        <w:t xml:space="preserve"> [1968],</w:t>
      </w:r>
      <w:r w:rsidRPr="008C3633">
        <w:rPr>
          <w:rFonts w:ascii="Times New Roman" w:hAnsi="Times New Roman" w:cs="Times New Roman"/>
          <w:sz w:val="24"/>
          <w:szCs w:val="24"/>
          <w:lang w:val="en-US"/>
        </w:rPr>
        <w:footnoteReference w:id="1153"/>
      </w:r>
      <w:r w:rsidRPr="008C3633">
        <w:rPr>
          <w:rFonts w:ascii="Times New Roman" w:hAnsi="Times New Roman" w:cs="Times New Roman"/>
          <w:sz w:val="24"/>
          <w:szCs w:val="24"/>
          <w:vertAlign w:val="baseline"/>
          <w:lang w:val="en-US"/>
        </w:rPr>
        <w:t xml:space="preserve"> the appellants were charged with the cremation of a corpse. Under section 285 of the Criminal Code Act 1960 (Act 29), it was an offence to set fire to a dead body without the permission of the medical officer for health.</w:t>
      </w:r>
      <w:r w:rsidRPr="008C3633">
        <w:rPr>
          <w:rFonts w:ascii="Times New Roman" w:hAnsi="Times New Roman" w:cs="Times New Roman"/>
          <w:sz w:val="24"/>
          <w:szCs w:val="24"/>
          <w:lang w:val="en-US"/>
        </w:rPr>
        <w:footnoteReference w:id="1154"/>
      </w:r>
      <w:r w:rsidRPr="008C3633">
        <w:rPr>
          <w:rFonts w:ascii="Times New Roman" w:hAnsi="Times New Roman" w:cs="Times New Roman"/>
          <w:sz w:val="24"/>
          <w:szCs w:val="24"/>
          <w:vertAlign w:val="baseline"/>
          <w:lang w:val="en-US"/>
        </w:rPr>
        <w:t xml:space="preserve"> In their defence, the appellants stated that it was an ‘established and long standing custom in their locality that any person, such as the deceased, who had violated custom but was not purified before dying should not be accorded a decent burial but should be cremated.’</w:t>
      </w:r>
      <w:r w:rsidRPr="008C3633">
        <w:rPr>
          <w:rFonts w:ascii="Times New Roman" w:hAnsi="Times New Roman" w:cs="Times New Roman"/>
          <w:sz w:val="24"/>
          <w:szCs w:val="24"/>
          <w:lang w:val="en-US"/>
        </w:rPr>
        <w:footnoteReference w:id="1155"/>
      </w:r>
      <w:r w:rsidRPr="008C3633">
        <w:rPr>
          <w:rFonts w:ascii="Times New Roman" w:hAnsi="Times New Roman" w:cs="Times New Roman"/>
          <w:sz w:val="24"/>
          <w:szCs w:val="24"/>
          <w:vertAlign w:val="baseline"/>
          <w:lang w:val="en-US"/>
        </w:rPr>
        <w:t xml:space="preserve"> The court dismissed the appeal stating that,</w:t>
      </w:r>
    </w:p>
    <w:p w14:paraId="6ADBA5CE" w14:textId="77777777" w:rsidR="00ED402F" w:rsidRPr="008C3633" w:rsidRDefault="00ED402F" w:rsidP="00CF7C19">
      <w:pPr>
        <w:spacing w:line="480" w:lineRule="auto"/>
        <w:ind w:firstLine="720"/>
        <w:jc w:val="both"/>
        <w:rPr>
          <w:rFonts w:ascii="Times New Roman" w:hAnsi="Times New Roman" w:cs="Times New Roman"/>
          <w:sz w:val="24"/>
          <w:szCs w:val="24"/>
          <w:vertAlign w:val="baseline"/>
          <w:lang w:val="en-US"/>
        </w:rPr>
      </w:pPr>
    </w:p>
    <w:p w14:paraId="2EA69AB4" w14:textId="77777777" w:rsidR="008C3633" w:rsidRPr="008C3633" w:rsidRDefault="008C3633" w:rsidP="00F52C41">
      <w:pPr>
        <w:spacing w:line="480" w:lineRule="auto"/>
        <w:ind w:left="720"/>
        <w:jc w:val="both"/>
        <w:rPr>
          <w:rFonts w:ascii="Times New Roman" w:hAnsi="Times New Roman" w:cs="Times New Roman"/>
          <w:sz w:val="24"/>
          <w:szCs w:val="24"/>
          <w:vertAlign w:val="baseline"/>
          <w:lang w:val="en-US"/>
        </w:rPr>
      </w:pPr>
      <w:r w:rsidRPr="008C3633">
        <w:rPr>
          <w:rFonts w:ascii="Times New Roman" w:hAnsi="Times New Roman" w:cs="Times New Roman"/>
          <w:sz w:val="24"/>
          <w:szCs w:val="24"/>
          <w:vertAlign w:val="baseline"/>
          <w:lang w:val="en-US"/>
        </w:rPr>
        <w:t>A custom could not be validated merely because it was an established and long-standing one within a particular locality when that custom was counter to statute and natural justice. The appellants’ custom of cremation should be discontinued with immediate effect, being expressly contrary to statutory law and repugnant to good conscience. Neither the deceased nor her family could be deemed to have consented to the offence; even if they did such consent was null and void.</w:t>
      </w:r>
      <w:r w:rsidRPr="008C3633">
        <w:rPr>
          <w:rFonts w:ascii="Times New Roman" w:hAnsi="Times New Roman" w:cs="Times New Roman"/>
          <w:sz w:val="24"/>
          <w:szCs w:val="24"/>
          <w:lang w:val="en-US"/>
        </w:rPr>
        <w:footnoteReference w:id="1156"/>
      </w:r>
    </w:p>
    <w:p w14:paraId="444D2BBA" w14:textId="77777777" w:rsidR="002F787B" w:rsidRPr="008C3633" w:rsidRDefault="002F787B" w:rsidP="008C3633">
      <w:pPr>
        <w:spacing w:line="480" w:lineRule="auto"/>
        <w:jc w:val="both"/>
        <w:rPr>
          <w:rFonts w:ascii="Times New Roman" w:hAnsi="Times New Roman" w:cs="Times New Roman"/>
          <w:b/>
          <w:sz w:val="24"/>
          <w:szCs w:val="24"/>
          <w:u w:val="single"/>
          <w:vertAlign w:val="baseline"/>
        </w:rPr>
      </w:pPr>
    </w:p>
    <w:p w14:paraId="6438A9F4" w14:textId="48B01216" w:rsidR="008C3633" w:rsidRPr="00F52C41" w:rsidRDefault="00F52C41" w:rsidP="008C3633">
      <w:pPr>
        <w:spacing w:line="480" w:lineRule="auto"/>
        <w:jc w:val="both"/>
        <w:rPr>
          <w:rFonts w:ascii="Times New Roman" w:hAnsi="Times New Roman" w:cs="Times New Roman"/>
          <w:b/>
          <w:i/>
          <w:sz w:val="24"/>
          <w:szCs w:val="24"/>
          <w:vertAlign w:val="baseline"/>
        </w:rPr>
      </w:pPr>
      <w:r w:rsidRPr="00F52C41">
        <w:rPr>
          <w:rFonts w:ascii="Times New Roman" w:hAnsi="Times New Roman" w:cs="Times New Roman"/>
          <w:b/>
          <w:i/>
          <w:sz w:val="24"/>
          <w:szCs w:val="24"/>
          <w:vertAlign w:val="baseline"/>
        </w:rPr>
        <w:t>6</w:t>
      </w:r>
      <w:r w:rsidR="002764E8" w:rsidRPr="00F52C41">
        <w:rPr>
          <w:rFonts w:ascii="Times New Roman" w:hAnsi="Times New Roman" w:cs="Times New Roman"/>
          <w:b/>
          <w:i/>
          <w:sz w:val="24"/>
          <w:szCs w:val="24"/>
          <w:vertAlign w:val="baseline"/>
        </w:rPr>
        <w:t xml:space="preserve">.5.2 </w:t>
      </w:r>
      <w:r w:rsidRPr="00F52C41">
        <w:rPr>
          <w:rFonts w:ascii="Times New Roman" w:hAnsi="Times New Roman" w:cs="Times New Roman"/>
          <w:b/>
          <w:i/>
          <w:sz w:val="24"/>
          <w:szCs w:val="24"/>
          <w:vertAlign w:val="baseline"/>
        </w:rPr>
        <w:t xml:space="preserve">Relationship </w:t>
      </w:r>
      <w:r w:rsidR="00606CA6" w:rsidRPr="00F52C41">
        <w:rPr>
          <w:rFonts w:ascii="Times New Roman" w:hAnsi="Times New Roman" w:cs="Times New Roman"/>
          <w:b/>
          <w:i/>
          <w:sz w:val="24"/>
          <w:szCs w:val="24"/>
          <w:vertAlign w:val="baseline"/>
        </w:rPr>
        <w:t>Between Local C</w:t>
      </w:r>
      <w:r w:rsidR="008C3633" w:rsidRPr="00F52C41">
        <w:rPr>
          <w:rFonts w:ascii="Times New Roman" w:hAnsi="Times New Roman" w:cs="Times New Roman"/>
          <w:b/>
          <w:i/>
          <w:sz w:val="24"/>
          <w:szCs w:val="24"/>
          <w:vertAlign w:val="baseline"/>
        </w:rPr>
        <w:t>ustomar</w:t>
      </w:r>
      <w:r w:rsidR="00606CA6" w:rsidRPr="00F52C41">
        <w:rPr>
          <w:rFonts w:ascii="Times New Roman" w:hAnsi="Times New Roman" w:cs="Times New Roman"/>
          <w:b/>
          <w:i/>
          <w:sz w:val="24"/>
          <w:szCs w:val="24"/>
          <w:vertAlign w:val="baseline"/>
        </w:rPr>
        <w:t>y Laws and State Laws in the Witchcraft D</w:t>
      </w:r>
      <w:r w:rsidR="008C3633" w:rsidRPr="00F52C41">
        <w:rPr>
          <w:rFonts w:ascii="Times New Roman" w:hAnsi="Times New Roman" w:cs="Times New Roman"/>
          <w:b/>
          <w:i/>
          <w:sz w:val="24"/>
          <w:szCs w:val="24"/>
          <w:vertAlign w:val="baseline"/>
        </w:rPr>
        <w:t>iscourse</w:t>
      </w:r>
    </w:p>
    <w:p w14:paraId="7F91CA7C" w14:textId="6544B7B5" w:rsidR="008C3633" w:rsidRDefault="008C3633" w:rsidP="00606CA6">
      <w:pPr>
        <w:spacing w:line="480" w:lineRule="auto"/>
        <w:ind w:firstLine="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 xml:space="preserve">Conflict between state legal norms and fundamental customary beliefs can be clearly found within the witchcraft discourse. As Atiemo explains, </w:t>
      </w:r>
    </w:p>
    <w:p w14:paraId="1951CC2D" w14:textId="77777777" w:rsidR="00987984" w:rsidRPr="008C3633" w:rsidRDefault="00987984" w:rsidP="00606CA6">
      <w:pPr>
        <w:spacing w:line="480" w:lineRule="auto"/>
        <w:ind w:firstLine="720"/>
        <w:jc w:val="both"/>
        <w:rPr>
          <w:rFonts w:ascii="Times New Roman" w:hAnsi="Times New Roman" w:cs="Times New Roman"/>
          <w:sz w:val="24"/>
          <w:szCs w:val="24"/>
          <w:vertAlign w:val="baseline"/>
        </w:rPr>
      </w:pPr>
    </w:p>
    <w:p w14:paraId="1711ED10" w14:textId="5F9360A6" w:rsidR="008C3633" w:rsidRPr="008C3633" w:rsidRDefault="008C3633" w:rsidP="00987984">
      <w:pPr>
        <w:spacing w:line="480" w:lineRule="auto"/>
        <w:ind w:left="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Many practical factors make the juridical role of chiefs in Ghana widespread and strong. Prominent among such factors is the exotic nature of the issues regarded as belonging to the sphere of customary law: witchcraft accusations, traditional methods of trial and punishment [and] widowhood rites … Aspects of most of these involve procedures and practices that are at variance with both national laws and international human rights norms. Yet, it is generally agreed that such cases are better understood and handled within local customary jurisdictions</w:t>
      </w:r>
      <w:r w:rsidR="002F787B">
        <w:rPr>
          <w:rFonts w:ascii="Times New Roman" w:hAnsi="Times New Roman" w:cs="Times New Roman"/>
          <w:sz w:val="24"/>
          <w:szCs w:val="24"/>
          <w:vertAlign w:val="baseline"/>
        </w:rPr>
        <w:t xml:space="preserve"> </w:t>
      </w:r>
      <w:r w:rsidRPr="008C3633">
        <w:rPr>
          <w:rFonts w:ascii="Times New Roman" w:hAnsi="Times New Roman" w:cs="Times New Roman"/>
          <w:sz w:val="24"/>
          <w:szCs w:val="24"/>
          <w:vertAlign w:val="baseline"/>
        </w:rPr>
        <w:t>…</w:t>
      </w:r>
      <w:r w:rsidRPr="008C3633">
        <w:rPr>
          <w:rFonts w:ascii="Times New Roman" w:hAnsi="Times New Roman" w:cs="Times New Roman"/>
          <w:sz w:val="24"/>
          <w:szCs w:val="24"/>
        </w:rPr>
        <w:footnoteReference w:id="1157"/>
      </w:r>
    </w:p>
    <w:p w14:paraId="25C03596" w14:textId="77777777" w:rsidR="008C3633" w:rsidRPr="008C3633" w:rsidRDefault="008C3633" w:rsidP="008C3633">
      <w:pPr>
        <w:spacing w:line="480" w:lineRule="auto"/>
        <w:jc w:val="both"/>
        <w:rPr>
          <w:rFonts w:ascii="Times New Roman" w:hAnsi="Times New Roman" w:cs="Times New Roman"/>
          <w:sz w:val="24"/>
          <w:szCs w:val="24"/>
          <w:vertAlign w:val="baseline"/>
        </w:rPr>
      </w:pPr>
    </w:p>
    <w:p w14:paraId="59D48CDD" w14:textId="77777777" w:rsidR="008C3633" w:rsidRPr="008C3633" w:rsidRDefault="008C3633" w:rsidP="002F787B">
      <w:pPr>
        <w:spacing w:line="480" w:lineRule="auto"/>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This conflict is also noted by Quarmyne, who states that, ‘punishing individuals who kill alleged witches creates a conflict between state legal norms and norms underlying popular beliefs because, culturally, the act of killing a witch is often praised.’</w:t>
      </w:r>
      <w:r w:rsidRPr="008C3633">
        <w:rPr>
          <w:rFonts w:ascii="Times New Roman" w:hAnsi="Times New Roman" w:cs="Times New Roman"/>
          <w:sz w:val="24"/>
          <w:szCs w:val="24"/>
        </w:rPr>
        <w:footnoteReference w:id="1158"/>
      </w:r>
      <w:r w:rsidRPr="008C3633">
        <w:rPr>
          <w:rFonts w:ascii="Times New Roman" w:hAnsi="Times New Roman" w:cs="Times New Roman"/>
          <w:sz w:val="24"/>
          <w:szCs w:val="24"/>
          <w:vertAlign w:val="baseline"/>
        </w:rPr>
        <w:t xml:space="preserve"> Traditional leaders/chiefs within these societies, who are always male, are instrumental within the maintenance and management of local customary law</w:t>
      </w:r>
      <w:r w:rsidRPr="008C3633">
        <w:rPr>
          <w:rFonts w:ascii="Times New Roman" w:hAnsi="Times New Roman" w:cs="Times New Roman"/>
          <w:sz w:val="24"/>
          <w:szCs w:val="24"/>
          <w:vertAlign w:val="baseline"/>
          <w:lang w:val="en-US"/>
        </w:rPr>
        <w:t>.</w:t>
      </w:r>
      <w:r w:rsidRPr="008C3633">
        <w:rPr>
          <w:rFonts w:ascii="Times New Roman" w:hAnsi="Times New Roman" w:cs="Times New Roman"/>
          <w:sz w:val="24"/>
          <w:szCs w:val="24"/>
          <w:lang w:val="en-US"/>
        </w:rPr>
        <w:footnoteReference w:id="1159"/>
      </w:r>
      <w:r w:rsidRPr="008C3633">
        <w:rPr>
          <w:rFonts w:ascii="Times New Roman" w:hAnsi="Times New Roman" w:cs="Times New Roman"/>
          <w:sz w:val="24"/>
          <w:szCs w:val="24"/>
          <w:vertAlign w:val="baseline"/>
          <w:lang w:val="en-US"/>
        </w:rPr>
        <w:t xml:space="preserve"> Alleged victims of witchcraft approach traditional leaders or chiefs with a complaint of suffering some form of misfortune or harm as a result of witchcraft, who would then investigate the allegation in order to determine the validity of the claim.</w:t>
      </w:r>
      <w:r w:rsidRPr="008C3633">
        <w:rPr>
          <w:rFonts w:ascii="Times New Roman" w:hAnsi="Times New Roman" w:cs="Times New Roman"/>
          <w:sz w:val="24"/>
          <w:szCs w:val="24"/>
          <w:lang w:val="en-US"/>
        </w:rPr>
        <w:footnoteReference w:id="1160"/>
      </w:r>
      <w:r w:rsidRPr="008C3633">
        <w:rPr>
          <w:rFonts w:ascii="Times New Roman" w:hAnsi="Times New Roman" w:cs="Times New Roman"/>
          <w:sz w:val="24"/>
          <w:szCs w:val="24"/>
          <w:vertAlign w:val="baseline"/>
        </w:rPr>
        <w:t xml:space="preserve"> </w:t>
      </w:r>
      <w:r w:rsidRPr="008C3633">
        <w:rPr>
          <w:rFonts w:ascii="Times New Roman" w:hAnsi="Times New Roman" w:cs="Times New Roman"/>
          <w:sz w:val="24"/>
          <w:szCs w:val="24"/>
          <w:vertAlign w:val="baseline"/>
          <w:lang w:val="en-US"/>
        </w:rPr>
        <w:t>If the traditional leader believes that the accusation was valid, the accused is then subject to a trial by ordeal carried out by the local witchdoctor, and if found to be guilty, the accused is subsequently punished by the traditional leader. Conversely, if the accused is found to be innocent, the traditional leader will mediate between the two parties to find an amicable solution.</w:t>
      </w:r>
      <w:r w:rsidRPr="008C3633">
        <w:rPr>
          <w:rFonts w:ascii="Times New Roman" w:hAnsi="Times New Roman" w:cs="Times New Roman"/>
          <w:sz w:val="24"/>
          <w:szCs w:val="24"/>
          <w:lang w:val="en-US"/>
        </w:rPr>
        <w:footnoteReference w:id="1161"/>
      </w:r>
      <w:r w:rsidRPr="008C3633">
        <w:rPr>
          <w:rFonts w:ascii="Times New Roman" w:hAnsi="Times New Roman" w:cs="Times New Roman"/>
          <w:sz w:val="24"/>
          <w:szCs w:val="24"/>
          <w:vertAlign w:val="baseline"/>
        </w:rPr>
        <w:t xml:space="preserve"> </w:t>
      </w:r>
    </w:p>
    <w:p w14:paraId="4A2CDE2A" w14:textId="77777777" w:rsidR="008C3633" w:rsidRPr="008C3633" w:rsidRDefault="008C3633" w:rsidP="008C3633">
      <w:pPr>
        <w:spacing w:line="480" w:lineRule="auto"/>
        <w:jc w:val="both"/>
        <w:rPr>
          <w:rFonts w:ascii="Times New Roman" w:hAnsi="Times New Roman" w:cs="Times New Roman"/>
          <w:sz w:val="24"/>
          <w:szCs w:val="24"/>
          <w:vertAlign w:val="baseline"/>
        </w:rPr>
      </w:pPr>
    </w:p>
    <w:p w14:paraId="3653CFF8" w14:textId="33EFB797" w:rsidR="008C3633" w:rsidRPr="008C3633" w:rsidRDefault="008C3633" w:rsidP="008773BD">
      <w:pPr>
        <w:spacing w:line="480" w:lineRule="auto"/>
        <w:ind w:firstLine="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Witchcraft beliefs and practices are pervasive and entrenched in Ghana. There are numerous reports within the media</w:t>
      </w:r>
      <w:r w:rsidRPr="008C3633">
        <w:rPr>
          <w:rFonts w:ascii="Times New Roman" w:hAnsi="Times New Roman" w:cs="Times New Roman"/>
          <w:sz w:val="24"/>
          <w:szCs w:val="24"/>
        </w:rPr>
        <w:footnoteReference w:id="1162"/>
      </w:r>
      <w:r w:rsidRPr="008C3633">
        <w:rPr>
          <w:rFonts w:ascii="Times New Roman" w:hAnsi="Times New Roman" w:cs="Times New Roman"/>
          <w:sz w:val="24"/>
          <w:szCs w:val="24"/>
          <w:vertAlign w:val="baseline"/>
        </w:rPr>
        <w:t xml:space="preserve"> documenting violent attacks on alleged witches, witchcraft accusations and confessions, with continuous catchphrases, expressing the role of witches in ruining people’s advancement in life, permeating </w:t>
      </w:r>
      <w:r w:rsidR="002F787B">
        <w:rPr>
          <w:rFonts w:ascii="Times New Roman" w:hAnsi="Times New Roman" w:cs="Times New Roman"/>
          <w:sz w:val="24"/>
          <w:szCs w:val="24"/>
          <w:vertAlign w:val="baseline"/>
        </w:rPr>
        <w:t xml:space="preserve">through </w:t>
      </w:r>
      <w:r w:rsidRPr="008C3633">
        <w:rPr>
          <w:rFonts w:ascii="Times New Roman" w:hAnsi="Times New Roman" w:cs="Times New Roman"/>
          <w:sz w:val="24"/>
          <w:szCs w:val="24"/>
          <w:vertAlign w:val="baseline"/>
        </w:rPr>
        <w:t>locally produced films, plays and music.</w:t>
      </w:r>
      <w:r w:rsidRPr="008C3633">
        <w:rPr>
          <w:rFonts w:ascii="Times New Roman" w:hAnsi="Times New Roman" w:cs="Times New Roman"/>
          <w:sz w:val="24"/>
          <w:szCs w:val="24"/>
        </w:rPr>
        <w:footnoteReference w:id="1163"/>
      </w:r>
      <w:r w:rsidRPr="008C3633">
        <w:rPr>
          <w:rFonts w:ascii="Times New Roman" w:hAnsi="Times New Roman" w:cs="Times New Roman"/>
          <w:sz w:val="24"/>
          <w:szCs w:val="24"/>
          <w:vertAlign w:val="baseline"/>
        </w:rPr>
        <w:t xml:space="preserve"> Moreover, witchcraft beliefs and fears can be found written on local commercial vehicles and within the Letters to the Editor section of the local daily newspapers, with religious Christian sermons regularly focusing upon the battle between the good (Christians) and the evil (witches), in particular the ability of those ‘good’ Christians to conquer the malevolent forces of witchcraft.</w:t>
      </w:r>
      <w:r w:rsidRPr="008C3633">
        <w:rPr>
          <w:rFonts w:ascii="Times New Roman" w:hAnsi="Times New Roman" w:cs="Times New Roman"/>
          <w:sz w:val="24"/>
          <w:szCs w:val="24"/>
        </w:rPr>
        <w:footnoteReference w:id="1164"/>
      </w:r>
      <w:r w:rsidRPr="008C3633">
        <w:rPr>
          <w:rFonts w:ascii="Times New Roman" w:hAnsi="Times New Roman" w:cs="Times New Roman"/>
          <w:sz w:val="24"/>
          <w:szCs w:val="24"/>
          <w:vertAlign w:val="baseline"/>
        </w:rPr>
        <w:t xml:space="preserve"> Whilst some countries in Sub-Saharan Africa have specific provisions to enforce and criminalise WAP,</w:t>
      </w:r>
      <w:r w:rsidRPr="008C3633">
        <w:rPr>
          <w:rFonts w:ascii="Times New Roman" w:hAnsi="Times New Roman" w:cs="Times New Roman"/>
          <w:sz w:val="24"/>
          <w:szCs w:val="24"/>
        </w:rPr>
        <w:footnoteReference w:id="1165"/>
      </w:r>
      <w:r w:rsidRPr="008C3633">
        <w:rPr>
          <w:rFonts w:ascii="Times New Roman" w:hAnsi="Times New Roman" w:cs="Times New Roman"/>
          <w:sz w:val="24"/>
          <w:szCs w:val="24"/>
          <w:vertAlign w:val="baseline"/>
        </w:rPr>
        <w:t xml:space="preserve"> there are no specific national provisions in Ghana that deal with this issue. Thus, it remains unsurprising that community members have resorted to finding their own form of ‘structure’ for handling witchcraft accusations, in the form of informal trials and subsequent witch-killings. Yet, such practices are disproportionately affecting women, as it is women </w:t>
      </w:r>
      <w:r w:rsidR="00987984">
        <w:rPr>
          <w:rFonts w:ascii="Times New Roman" w:hAnsi="Times New Roman" w:cs="Times New Roman"/>
          <w:sz w:val="24"/>
          <w:szCs w:val="24"/>
          <w:vertAlign w:val="baseline"/>
        </w:rPr>
        <w:t xml:space="preserve">that are </w:t>
      </w:r>
      <w:r w:rsidRPr="008C3633">
        <w:rPr>
          <w:rFonts w:ascii="Times New Roman" w:hAnsi="Times New Roman" w:cs="Times New Roman"/>
          <w:sz w:val="24"/>
          <w:szCs w:val="24"/>
          <w:vertAlign w:val="baseline"/>
        </w:rPr>
        <w:t>typically victims of witchcraft accusations.</w:t>
      </w:r>
      <w:r w:rsidRPr="008C3633">
        <w:rPr>
          <w:rFonts w:ascii="Times New Roman" w:hAnsi="Times New Roman" w:cs="Times New Roman"/>
          <w:sz w:val="24"/>
          <w:szCs w:val="24"/>
        </w:rPr>
        <w:footnoteReference w:id="1166"/>
      </w:r>
    </w:p>
    <w:p w14:paraId="485E2759" w14:textId="77777777" w:rsidR="008C3633" w:rsidRPr="008C3633" w:rsidRDefault="008C3633" w:rsidP="008C3633">
      <w:pPr>
        <w:spacing w:line="480" w:lineRule="auto"/>
        <w:jc w:val="both"/>
        <w:rPr>
          <w:rFonts w:ascii="Times New Roman" w:hAnsi="Times New Roman" w:cs="Times New Roman"/>
          <w:sz w:val="24"/>
          <w:szCs w:val="24"/>
          <w:vertAlign w:val="baseline"/>
        </w:rPr>
      </w:pPr>
    </w:p>
    <w:p w14:paraId="5F185B65" w14:textId="77777777" w:rsidR="008C3633" w:rsidRPr="008C3633" w:rsidRDefault="008C3633" w:rsidP="00FD424A">
      <w:pPr>
        <w:spacing w:line="480" w:lineRule="auto"/>
        <w:ind w:firstLine="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As a party to CEDAW, Ghana has incorporated some of the provisions of the Convention into domestic law, resulting in the enactment of laws such as the Domestic Violence Act 2007 (Act 732) and the Human Trafficking Act 2005 (Act 694), together with provisions in the Constitution, which ensure fundamental rights and freedoms of its citizens.</w:t>
      </w:r>
      <w:r w:rsidRPr="008C3633">
        <w:rPr>
          <w:rFonts w:ascii="Times New Roman" w:hAnsi="Times New Roman" w:cs="Times New Roman"/>
          <w:sz w:val="24"/>
          <w:szCs w:val="24"/>
        </w:rPr>
        <w:footnoteReference w:id="1167"/>
      </w:r>
      <w:r w:rsidRPr="008C3633">
        <w:rPr>
          <w:rFonts w:ascii="Times New Roman" w:hAnsi="Times New Roman" w:cs="Times New Roman"/>
          <w:sz w:val="24"/>
          <w:szCs w:val="24"/>
          <w:vertAlign w:val="baseline"/>
        </w:rPr>
        <w:t xml:space="preserve"> General provisions can be found in chapter five of the Ghanaian Constitution, ‘Fundamental Human Rights and Freedoms,’ which guarantees the cultural rights and practices of its citizens. Article 13(1) promotes the right to life, article 15(2)(a) prohibits the use of torture or other cruel, inhuman or degrading treatment or punishment, article 17 promotes equality and non-discrimination, whilst article 26(2) prohibits ‘all customary practices, which dehumanise or are injurious to the physical and mental well-being of a person.’</w:t>
      </w:r>
      <w:r w:rsidRPr="008C3633">
        <w:rPr>
          <w:rFonts w:ascii="Times New Roman" w:hAnsi="Times New Roman" w:cs="Times New Roman"/>
          <w:sz w:val="24"/>
          <w:szCs w:val="24"/>
        </w:rPr>
        <w:footnoteReference w:id="1168"/>
      </w:r>
      <w:r w:rsidRPr="008C3633">
        <w:rPr>
          <w:rFonts w:ascii="Times New Roman" w:hAnsi="Times New Roman" w:cs="Times New Roman"/>
          <w:sz w:val="24"/>
          <w:szCs w:val="24"/>
          <w:vertAlign w:val="baseline"/>
        </w:rPr>
        <w:t xml:space="preserve"> In 1998, the Ghanaian Parliament enacted the Criminal Code (Amendment) Act 1998, which sought to strengthen the law against Female Genital Mutilation (FGM) and targeted the traditional practice of </w:t>
      </w:r>
      <w:r w:rsidRPr="008C3633">
        <w:rPr>
          <w:rFonts w:ascii="Times New Roman" w:hAnsi="Times New Roman" w:cs="Times New Roman"/>
          <w:i/>
          <w:sz w:val="24"/>
          <w:szCs w:val="24"/>
          <w:vertAlign w:val="baseline"/>
        </w:rPr>
        <w:t>trokosi,</w:t>
      </w:r>
      <w:r w:rsidRPr="008C3633">
        <w:rPr>
          <w:rFonts w:ascii="Times New Roman" w:hAnsi="Times New Roman" w:cs="Times New Roman"/>
          <w:sz w:val="24"/>
          <w:szCs w:val="24"/>
        </w:rPr>
        <w:footnoteReference w:id="1169"/>
      </w:r>
      <w:r w:rsidRPr="008C3633">
        <w:rPr>
          <w:rFonts w:ascii="Times New Roman" w:hAnsi="Times New Roman" w:cs="Times New Roman"/>
          <w:sz w:val="24"/>
          <w:szCs w:val="24"/>
          <w:vertAlign w:val="baseline"/>
        </w:rPr>
        <w:t xml:space="preserve"> despite opposition from religious traditionalists.  However, as noted by the UN, shortcomings were identified, which hindered the effectiveness of this law, leading to a further amendment of section 69A, in 2007, of the 1994 Criminal Code,</w:t>
      </w:r>
      <w:r w:rsidRPr="008C3633">
        <w:rPr>
          <w:rFonts w:ascii="Times New Roman" w:hAnsi="Times New Roman" w:cs="Times New Roman"/>
          <w:sz w:val="24"/>
          <w:szCs w:val="24"/>
        </w:rPr>
        <w:footnoteReference w:id="1170"/>
      </w:r>
      <w:r w:rsidRPr="008C3633">
        <w:rPr>
          <w:rFonts w:ascii="Times New Roman" w:hAnsi="Times New Roman" w:cs="Times New Roman"/>
          <w:sz w:val="24"/>
          <w:szCs w:val="24"/>
          <w:vertAlign w:val="baseline"/>
        </w:rPr>
        <w:t xml:space="preserve"> providing harsher punishment of between five to ten years imprisonment for FGM offenders.</w:t>
      </w:r>
      <w:r w:rsidRPr="008C3633">
        <w:rPr>
          <w:rFonts w:ascii="Times New Roman" w:hAnsi="Times New Roman" w:cs="Times New Roman"/>
          <w:sz w:val="24"/>
          <w:szCs w:val="24"/>
        </w:rPr>
        <w:t xml:space="preserve"> </w:t>
      </w:r>
      <w:r w:rsidRPr="008C3633">
        <w:rPr>
          <w:rFonts w:ascii="Times New Roman" w:hAnsi="Times New Roman" w:cs="Times New Roman"/>
          <w:sz w:val="24"/>
          <w:szCs w:val="24"/>
        </w:rPr>
        <w:footnoteReference w:id="1171"/>
      </w:r>
      <w:r w:rsidRPr="008C3633">
        <w:rPr>
          <w:rFonts w:ascii="Times New Roman" w:hAnsi="Times New Roman" w:cs="Times New Roman"/>
          <w:sz w:val="24"/>
          <w:szCs w:val="24"/>
          <w:vertAlign w:val="baseline"/>
        </w:rPr>
        <w:t xml:space="preserve"> Thus far, it is documented by the UN that the new law has been extremely effective, with successful prosecutions of FGM practitioners.</w:t>
      </w:r>
      <w:r w:rsidRPr="008C3633">
        <w:rPr>
          <w:rFonts w:ascii="Times New Roman" w:hAnsi="Times New Roman" w:cs="Times New Roman"/>
          <w:sz w:val="24"/>
          <w:szCs w:val="24"/>
        </w:rPr>
        <w:footnoteReference w:id="1172"/>
      </w:r>
    </w:p>
    <w:p w14:paraId="44771845" w14:textId="77777777" w:rsidR="008C3633" w:rsidRPr="008C3633" w:rsidRDefault="008C3633" w:rsidP="008C3633">
      <w:pPr>
        <w:spacing w:line="480" w:lineRule="auto"/>
        <w:jc w:val="both"/>
        <w:rPr>
          <w:rFonts w:ascii="Times New Roman" w:hAnsi="Times New Roman" w:cs="Times New Roman"/>
          <w:sz w:val="24"/>
          <w:szCs w:val="24"/>
          <w:vertAlign w:val="baseline"/>
        </w:rPr>
      </w:pPr>
    </w:p>
    <w:p w14:paraId="27EADC18" w14:textId="77777777" w:rsidR="008C3633" w:rsidRPr="008C3633" w:rsidRDefault="008C3633" w:rsidP="00641DAC">
      <w:pPr>
        <w:spacing w:line="480" w:lineRule="auto"/>
        <w:ind w:firstLine="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It is generally accepted that since the establishment of the Ghanaian constitution the overall human rights situation in Ghana has significantly improved.</w:t>
      </w:r>
      <w:r w:rsidRPr="008C3633">
        <w:rPr>
          <w:rFonts w:ascii="Times New Roman" w:hAnsi="Times New Roman" w:cs="Times New Roman"/>
          <w:sz w:val="24"/>
          <w:szCs w:val="24"/>
        </w:rPr>
        <w:footnoteReference w:id="1173"/>
      </w:r>
      <w:r w:rsidRPr="008C3633">
        <w:rPr>
          <w:rFonts w:ascii="Times New Roman" w:hAnsi="Times New Roman" w:cs="Times New Roman"/>
          <w:sz w:val="24"/>
          <w:szCs w:val="24"/>
          <w:vertAlign w:val="baseline"/>
        </w:rPr>
        <w:t xml:space="preserve"> However, in terms of WAP, the situation appears to have been manifestly ignored. Witchcraft permeates through all aspects of Ghanaian society and has become the epitome of evil within this largely Christian society. There have been clear efforts, despite religious opposition, to legislate against and eradicate traditional practices such as FGM and </w:t>
      </w:r>
      <w:r w:rsidRPr="008C3633">
        <w:rPr>
          <w:rFonts w:ascii="Times New Roman" w:hAnsi="Times New Roman" w:cs="Times New Roman"/>
          <w:i/>
          <w:sz w:val="24"/>
          <w:szCs w:val="24"/>
          <w:vertAlign w:val="baseline"/>
        </w:rPr>
        <w:t>trokosi</w:t>
      </w:r>
      <w:r w:rsidRPr="008C3633">
        <w:rPr>
          <w:rFonts w:ascii="Times New Roman" w:hAnsi="Times New Roman" w:cs="Times New Roman"/>
          <w:sz w:val="24"/>
          <w:szCs w:val="24"/>
          <w:vertAlign w:val="baseline"/>
        </w:rPr>
        <w:t>, yet it is evident that WAP has been left to the realms of vigilante justice.</w:t>
      </w:r>
    </w:p>
    <w:p w14:paraId="780A5411" w14:textId="77777777" w:rsidR="008C3633" w:rsidRPr="008C3633" w:rsidRDefault="008C3633" w:rsidP="008C3633">
      <w:pPr>
        <w:spacing w:line="480" w:lineRule="auto"/>
        <w:jc w:val="both"/>
        <w:rPr>
          <w:rFonts w:ascii="Times New Roman" w:hAnsi="Times New Roman" w:cs="Times New Roman"/>
          <w:sz w:val="24"/>
          <w:szCs w:val="24"/>
          <w:vertAlign w:val="baseline"/>
          <w:lang w:val="en-US"/>
        </w:rPr>
      </w:pPr>
    </w:p>
    <w:p w14:paraId="3F47F7BA" w14:textId="6DF537D5" w:rsidR="008C3633" w:rsidRPr="008C3633" w:rsidRDefault="000120EC" w:rsidP="008C3633">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6</w:t>
      </w:r>
      <w:r w:rsidR="00325F0E">
        <w:rPr>
          <w:rFonts w:ascii="Times New Roman" w:hAnsi="Times New Roman" w:cs="Times New Roman"/>
          <w:b/>
          <w:sz w:val="24"/>
          <w:szCs w:val="24"/>
          <w:u w:val="single"/>
          <w:vertAlign w:val="baseline"/>
        </w:rPr>
        <w:t xml:space="preserve">.6 </w:t>
      </w:r>
      <w:r w:rsidR="008C3633" w:rsidRPr="008C3633">
        <w:rPr>
          <w:rFonts w:ascii="Times New Roman" w:hAnsi="Times New Roman" w:cs="Times New Roman"/>
          <w:b/>
          <w:sz w:val="24"/>
          <w:szCs w:val="24"/>
          <w:u w:val="single"/>
          <w:vertAlign w:val="baseline"/>
        </w:rPr>
        <w:t>N</w:t>
      </w:r>
      <w:r>
        <w:rPr>
          <w:rFonts w:ascii="Times New Roman" w:hAnsi="Times New Roman" w:cs="Times New Roman"/>
          <w:b/>
          <w:sz w:val="24"/>
          <w:szCs w:val="24"/>
          <w:u w:val="single"/>
          <w:vertAlign w:val="baseline"/>
        </w:rPr>
        <w:t>ATIONAL LAWS OF INDIA</w:t>
      </w:r>
    </w:p>
    <w:p w14:paraId="1E67AFC0" w14:textId="3FABD23C" w:rsidR="008C3633" w:rsidRPr="008C3633" w:rsidRDefault="008C3633" w:rsidP="00325F0E">
      <w:pPr>
        <w:spacing w:line="480" w:lineRule="auto"/>
        <w:ind w:firstLine="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On gaining independence from Britain in 1947, India established itself as a Sovereign Social</w:t>
      </w:r>
      <w:r w:rsidR="000120EC">
        <w:rPr>
          <w:rFonts w:ascii="Times New Roman" w:hAnsi="Times New Roman" w:cs="Times New Roman"/>
          <w:sz w:val="24"/>
          <w:szCs w:val="24"/>
          <w:vertAlign w:val="baseline"/>
        </w:rPr>
        <w:t>ist Secular Democratic Republic, a dualist state</w:t>
      </w:r>
      <w:r w:rsidRPr="008C3633">
        <w:rPr>
          <w:rFonts w:ascii="Times New Roman" w:hAnsi="Times New Roman" w:cs="Times New Roman"/>
          <w:sz w:val="24"/>
          <w:szCs w:val="24"/>
          <w:vertAlign w:val="baseline"/>
        </w:rPr>
        <w:t xml:space="preserve"> with a parliamentary system of government</w:t>
      </w:r>
      <w:r w:rsidR="000120EC">
        <w:rPr>
          <w:rFonts w:ascii="Times New Roman" w:hAnsi="Times New Roman" w:cs="Times New Roman"/>
          <w:sz w:val="24"/>
          <w:szCs w:val="24"/>
          <w:vertAlign w:val="baseline"/>
        </w:rPr>
        <w:t>.</w:t>
      </w:r>
      <w:r w:rsidRPr="008C3633">
        <w:rPr>
          <w:rFonts w:ascii="Times New Roman" w:hAnsi="Times New Roman" w:cs="Times New Roman"/>
          <w:sz w:val="24"/>
          <w:szCs w:val="24"/>
        </w:rPr>
        <w:footnoteReference w:id="1174"/>
      </w:r>
      <w:r w:rsidRPr="008C3633">
        <w:rPr>
          <w:rFonts w:ascii="Times New Roman" w:hAnsi="Times New Roman" w:cs="Times New Roman"/>
          <w:sz w:val="24"/>
          <w:szCs w:val="24"/>
          <w:vertAlign w:val="baseline"/>
        </w:rPr>
        <w:t xml:space="preserve"> The Constitution of India (1949) consists of 395 Articles and 12 schedules and is understood to be the most detailed and elaborate Constitution in the world.</w:t>
      </w:r>
      <w:r w:rsidRPr="008C3633">
        <w:rPr>
          <w:rFonts w:ascii="Times New Roman" w:hAnsi="Times New Roman" w:cs="Times New Roman"/>
          <w:sz w:val="24"/>
          <w:szCs w:val="24"/>
        </w:rPr>
        <w:footnoteReference w:id="1175"/>
      </w:r>
      <w:r w:rsidRPr="008C3633">
        <w:rPr>
          <w:rFonts w:ascii="Times New Roman" w:hAnsi="Times New Roman" w:cs="Times New Roman"/>
          <w:sz w:val="24"/>
          <w:szCs w:val="24"/>
          <w:vertAlign w:val="baseline"/>
        </w:rPr>
        <w:t xml:space="preserve"> Based on a federal system, the secular nature of the Indian Constitution recognises the vast diversity of cultures and religions within India and ‘elaborates a scheme of state neutrality through fostering of equal respect of all religions.’</w:t>
      </w:r>
      <w:r w:rsidRPr="008C3633">
        <w:rPr>
          <w:rFonts w:ascii="Times New Roman" w:hAnsi="Times New Roman" w:cs="Times New Roman"/>
          <w:sz w:val="24"/>
          <w:szCs w:val="24"/>
        </w:rPr>
        <w:footnoteReference w:id="1176"/>
      </w:r>
      <w:r w:rsidRPr="008C3633">
        <w:rPr>
          <w:rFonts w:ascii="Times New Roman" w:hAnsi="Times New Roman" w:cs="Times New Roman"/>
          <w:sz w:val="24"/>
          <w:szCs w:val="24"/>
          <w:vertAlign w:val="baseline"/>
        </w:rPr>
        <w:t xml:space="preserve"> As provided for in the Constitution, states in India have exclusive powers to legislate on matters affecting their own jurisdiction;</w:t>
      </w:r>
      <w:r w:rsidRPr="008C3633">
        <w:rPr>
          <w:rFonts w:ascii="Times New Roman" w:hAnsi="Times New Roman" w:cs="Times New Roman"/>
          <w:sz w:val="24"/>
          <w:szCs w:val="24"/>
        </w:rPr>
        <w:footnoteReference w:id="1177"/>
      </w:r>
      <w:r w:rsidRPr="008C3633">
        <w:rPr>
          <w:rFonts w:ascii="Times New Roman" w:hAnsi="Times New Roman" w:cs="Times New Roman"/>
          <w:sz w:val="24"/>
          <w:szCs w:val="24"/>
          <w:vertAlign w:val="baseline"/>
        </w:rPr>
        <w:t xml:space="preserve"> however, if there is a clash between the laws passed by Parliament and state law, the former will prevail.</w:t>
      </w:r>
      <w:r w:rsidRPr="008C3633">
        <w:rPr>
          <w:rFonts w:ascii="Times New Roman" w:hAnsi="Times New Roman" w:cs="Times New Roman"/>
          <w:sz w:val="24"/>
          <w:szCs w:val="24"/>
        </w:rPr>
        <w:footnoteReference w:id="1178"/>
      </w:r>
    </w:p>
    <w:p w14:paraId="3239114B" w14:textId="77777777" w:rsidR="00325F0E" w:rsidRDefault="00325F0E" w:rsidP="008C3633">
      <w:pPr>
        <w:spacing w:line="480" w:lineRule="auto"/>
        <w:jc w:val="both"/>
        <w:rPr>
          <w:rFonts w:ascii="Times New Roman" w:hAnsi="Times New Roman" w:cs="Times New Roman"/>
          <w:sz w:val="24"/>
          <w:szCs w:val="24"/>
          <w:vertAlign w:val="baseline"/>
        </w:rPr>
      </w:pPr>
    </w:p>
    <w:p w14:paraId="0ACE1692" w14:textId="225270A6" w:rsidR="008C3633" w:rsidRPr="008C3633" w:rsidRDefault="008C3633" w:rsidP="00325F0E">
      <w:pPr>
        <w:spacing w:line="480" w:lineRule="auto"/>
        <w:ind w:firstLine="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Part III of the Constitution</w:t>
      </w:r>
      <w:r w:rsidR="004F3D04">
        <w:rPr>
          <w:rFonts w:ascii="Times New Roman" w:hAnsi="Times New Roman" w:cs="Times New Roman"/>
          <w:sz w:val="24"/>
          <w:szCs w:val="24"/>
          <w:vertAlign w:val="baseline"/>
        </w:rPr>
        <w:t>, which</w:t>
      </w:r>
      <w:r w:rsidRPr="008C3633">
        <w:rPr>
          <w:rFonts w:ascii="Times New Roman" w:hAnsi="Times New Roman" w:cs="Times New Roman"/>
          <w:sz w:val="24"/>
          <w:szCs w:val="24"/>
          <w:vertAlign w:val="baseline"/>
        </w:rPr>
        <w:t xml:space="preserve"> deals with ‘Fundamental Rights</w:t>
      </w:r>
      <w:r w:rsidR="004F3D04">
        <w:rPr>
          <w:rFonts w:ascii="Times New Roman" w:hAnsi="Times New Roman" w:cs="Times New Roman"/>
          <w:sz w:val="24"/>
          <w:szCs w:val="24"/>
          <w:vertAlign w:val="baseline"/>
        </w:rPr>
        <w:t>,</w:t>
      </w:r>
      <w:r w:rsidRPr="008C3633">
        <w:rPr>
          <w:rFonts w:ascii="Times New Roman" w:hAnsi="Times New Roman" w:cs="Times New Roman"/>
          <w:sz w:val="24"/>
          <w:szCs w:val="24"/>
          <w:vertAlign w:val="baseline"/>
        </w:rPr>
        <w:t>’</w:t>
      </w:r>
      <w:r w:rsidR="004F3D04">
        <w:rPr>
          <w:rFonts w:ascii="Times New Roman" w:hAnsi="Times New Roman" w:cs="Times New Roman"/>
          <w:sz w:val="24"/>
          <w:szCs w:val="24"/>
          <w:vertAlign w:val="baseline"/>
        </w:rPr>
        <w:t xml:space="preserve"> reflects India’s obligations under international human rights law, </w:t>
      </w:r>
      <w:r w:rsidRPr="008C3633">
        <w:rPr>
          <w:rFonts w:ascii="Times New Roman" w:hAnsi="Times New Roman" w:cs="Times New Roman"/>
          <w:sz w:val="24"/>
          <w:szCs w:val="24"/>
          <w:vertAlign w:val="baseline"/>
        </w:rPr>
        <w:t>with article 14 emphasising the right to equality and article 15(1) prohibiting discrimination on grounds of religion, race, caste, sex or place of birth.</w:t>
      </w:r>
      <w:r w:rsidRPr="008C3633">
        <w:rPr>
          <w:rFonts w:ascii="Times New Roman" w:hAnsi="Times New Roman" w:cs="Times New Roman"/>
          <w:sz w:val="24"/>
          <w:szCs w:val="24"/>
        </w:rPr>
        <w:footnoteReference w:id="1179"/>
      </w:r>
      <w:r w:rsidRPr="008C3633">
        <w:rPr>
          <w:rFonts w:ascii="Times New Roman" w:hAnsi="Times New Roman" w:cs="Times New Roman"/>
          <w:sz w:val="24"/>
          <w:szCs w:val="24"/>
          <w:vertAlign w:val="baseline"/>
        </w:rPr>
        <w:t xml:space="preserve"> Other relevant articles include article 21, which protects the right to life and personal liberty. Whilst torture has not been explicitly defined within the Constitution, article 21 has ‘been held to include the right to live with human dignity and includes within its ambit a personal guarantee against torture or to cruel, inhuman or degrading treatment or punishment.’</w:t>
      </w:r>
      <w:r w:rsidRPr="008C3633">
        <w:rPr>
          <w:rFonts w:ascii="Times New Roman" w:hAnsi="Times New Roman" w:cs="Times New Roman"/>
          <w:sz w:val="24"/>
          <w:szCs w:val="24"/>
        </w:rPr>
        <w:footnoteReference w:id="1180"/>
      </w:r>
      <w:r w:rsidRPr="008C3633">
        <w:rPr>
          <w:rFonts w:ascii="Times New Roman" w:hAnsi="Times New Roman" w:cs="Times New Roman"/>
          <w:sz w:val="24"/>
          <w:szCs w:val="24"/>
          <w:vertAlign w:val="baseline"/>
        </w:rPr>
        <w:t xml:space="preserve"> </w:t>
      </w:r>
    </w:p>
    <w:p w14:paraId="1F448CE6" w14:textId="77777777" w:rsidR="008C3633" w:rsidRPr="008C3633" w:rsidRDefault="008C3633" w:rsidP="008C3633">
      <w:pPr>
        <w:spacing w:line="480" w:lineRule="auto"/>
        <w:jc w:val="both"/>
        <w:rPr>
          <w:rFonts w:ascii="Times New Roman" w:hAnsi="Times New Roman" w:cs="Times New Roman"/>
          <w:sz w:val="24"/>
          <w:szCs w:val="24"/>
          <w:vertAlign w:val="baseline"/>
        </w:rPr>
      </w:pPr>
    </w:p>
    <w:p w14:paraId="23DE0D54" w14:textId="67EA29E9" w:rsidR="008C3633" w:rsidRPr="000313B9" w:rsidRDefault="000313B9" w:rsidP="008C3633">
      <w:pPr>
        <w:spacing w:line="480" w:lineRule="auto"/>
        <w:jc w:val="both"/>
        <w:rPr>
          <w:rFonts w:ascii="Times New Roman" w:hAnsi="Times New Roman" w:cs="Times New Roman"/>
          <w:b/>
          <w:i/>
          <w:sz w:val="24"/>
          <w:szCs w:val="24"/>
          <w:vertAlign w:val="baseline"/>
        </w:rPr>
      </w:pPr>
      <w:r w:rsidRPr="000313B9">
        <w:rPr>
          <w:rFonts w:ascii="Times New Roman" w:hAnsi="Times New Roman" w:cs="Times New Roman"/>
          <w:b/>
          <w:i/>
          <w:sz w:val="24"/>
          <w:szCs w:val="24"/>
          <w:vertAlign w:val="baseline"/>
        </w:rPr>
        <w:t>6</w:t>
      </w:r>
      <w:r w:rsidR="000011DC" w:rsidRPr="000313B9">
        <w:rPr>
          <w:rFonts w:ascii="Times New Roman" w:hAnsi="Times New Roman" w:cs="Times New Roman"/>
          <w:b/>
          <w:i/>
          <w:sz w:val="24"/>
          <w:szCs w:val="24"/>
          <w:vertAlign w:val="baseline"/>
        </w:rPr>
        <w:t xml:space="preserve">.6.1 </w:t>
      </w:r>
      <w:r w:rsidR="008C3633" w:rsidRPr="000313B9">
        <w:rPr>
          <w:rFonts w:ascii="Times New Roman" w:hAnsi="Times New Roman" w:cs="Times New Roman"/>
          <w:b/>
          <w:i/>
          <w:sz w:val="24"/>
          <w:szCs w:val="24"/>
          <w:vertAlign w:val="baseline"/>
        </w:rPr>
        <w:t>Customary law</w:t>
      </w:r>
    </w:p>
    <w:p w14:paraId="006BB8FA" w14:textId="77777777" w:rsidR="008C3633" w:rsidRPr="008C3633" w:rsidRDefault="008C3633" w:rsidP="000011DC">
      <w:pPr>
        <w:spacing w:line="480" w:lineRule="auto"/>
        <w:ind w:firstLine="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The Indian Constitution recognises custom as a source of law in article 13(a), which states that, ‘“law” includes any Ordinance, order, bye-law, rule, regulation, notification, custom or usage having in the territory of India the force of law.’</w:t>
      </w:r>
      <w:r w:rsidRPr="008C3633">
        <w:rPr>
          <w:rFonts w:ascii="Times New Roman" w:hAnsi="Times New Roman" w:cs="Times New Roman"/>
          <w:sz w:val="24"/>
          <w:szCs w:val="24"/>
        </w:rPr>
        <w:footnoteReference w:id="1181"/>
      </w:r>
      <w:r w:rsidRPr="008C3633">
        <w:rPr>
          <w:rFonts w:ascii="Times New Roman" w:hAnsi="Times New Roman" w:cs="Times New Roman"/>
          <w:sz w:val="24"/>
          <w:szCs w:val="24"/>
          <w:vertAlign w:val="baseline"/>
        </w:rPr>
        <w:t xml:space="preserve"> Moreover, as Ahmad explains,  ‘the Courts of India have recognised custom as law only if the custom is (1) “ancient or immemorial” in origin, (2) “reasonable in nature and continuous in use” and (3) “certain.”’</w:t>
      </w:r>
      <w:r w:rsidRPr="008C3633">
        <w:rPr>
          <w:rFonts w:ascii="Times New Roman" w:hAnsi="Times New Roman" w:cs="Times New Roman"/>
          <w:sz w:val="24"/>
          <w:szCs w:val="24"/>
        </w:rPr>
        <w:footnoteReference w:id="1182"/>
      </w:r>
      <w:r w:rsidRPr="008C3633">
        <w:rPr>
          <w:rFonts w:ascii="Times New Roman" w:hAnsi="Times New Roman" w:cs="Times New Roman"/>
          <w:sz w:val="24"/>
          <w:szCs w:val="24"/>
          <w:vertAlign w:val="baseline"/>
        </w:rPr>
        <w:t xml:space="preserve"> However, as Krishnan observes, ‘perhaps the most prominent display of customary law is in the form of how the personal or family law system in India functions … In India, it is important to highlight another key source of law, which has also been appropriated by the judiciary: personal law.’</w:t>
      </w:r>
      <w:r w:rsidRPr="008C3633">
        <w:rPr>
          <w:rFonts w:ascii="Times New Roman" w:hAnsi="Times New Roman" w:cs="Times New Roman"/>
          <w:sz w:val="24"/>
          <w:szCs w:val="24"/>
        </w:rPr>
        <w:footnoteReference w:id="1183"/>
      </w:r>
    </w:p>
    <w:p w14:paraId="2B4D3C64" w14:textId="77777777" w:rsidR="000011DC" w:rsidRDefault="000011DC" w:rsidP="008C3633">
      <w:pPr>
        <w:spacing w:line="480" w:lineRule="auto"/>
        <w:jc w:val="both"/>
        <w:rPr>
          <w:rFonts w:ascii="Times New Roman" w:hAnsi="Times New Roman" w:cs="Times New Roman"/>
          <w:sz w:val="24"/>
          <w:szCs w:val="24"/>
          <w:vertAlign w:val="baseline"/>
        </w:rPr>
      </w:pPr>
    </w:p>
    <w:p w14:paraId="3FA3EFCA" w14:textId="77777777" w:rsidR="008C3633" w:rsidRDefault="008C3633" w:rsidP="000011DC">
      <w:pPr>
        <w:spacing w:line="480" w:lineRule="auto"/>
        <w:ind w:firstLine="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Thus, whilst the Constitution guarantees the fundamental rights of its citizens, India does not have a Uniform Civil Code to address matters of family law, such as inheritance, maintenance, marriage, divorce and adoption, with these matters being governed by religious personal laws.</w:t>
      </w:r>
      <w:r w:rsidRPr="008C3633">
        <w:rPr>
          <w:rFonts w:ascii="Times New Roman" w:hAnsi="Times New Roman" w:cs="Times New Roman"/>
          <w:sz w:val="24"/>
          <w:szCs w:val="24"/>
        </w:rPr>
        <w:footnoteReference w:id="1184"/>
      </w:r>
      <w:r w:rsidRPr="008C3633">
        <w:rPr>
          <w:rFonts w:ascii="Times New Roman" w:hAnsi="Times New Roman" w:cs="Times New Roman"/>
          <w:sz w:val="24"/>
          <w:szCs w:val="24"/>
          <w:vertAlign w:val="baseline"/>
        </w:rPr>
        <w:t xml:space="preserve"> As observed by Hasan,</w:t>
      </w:r>
    </w:p>
    <w:p w14:paraId="0774C21B" w14:textId="77777777" w:rsidR="00ED402F" w:rsidRPr="008C3633" w:rsidRDefault="00ED402F" w:rsidP="000011DC">
      <w:pPr>
        <w:spacing w:line="480" w:lineRule="auto"/>
        <w:ind w:firstLine="720"/>
        <w:jc w:val="both"/>
        <w:rPr>
          <w:rFonts w:ascii="Times New Roman" w:hAnsi="Times New Roman" w:cs="Times New Roman"/>
          <w:sz w:val="24"/>
          <w:szCs w:val="24"/>
          <w:vertAlign w:val="baseline"/>
        </w:rPr>
      </w:pPr>
    </w:p>
    <w:p w14:paraId="30105704" w14:textId="77777777" w:rsidR="008C3633" w:rsidRPr="008C3633" w:rsidRDefault="008C3633" w:rsidP="00950A5B">
      <w:pPr>
        <w:spacing w:line="480" w:lineRule="auto"/>
        <w:ind w:left="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The Indian legal system … is pluralistic in the sense that there are distinct personal laws for adherents of different religious faiths … the recognition of personal laws presents a problem, however, as state policies of accommodation end up reinforcing inequalities and hierarchies within the community.</w:t>
      </w:r>
      <w:r w:rsidRPr="008C3633">
        <w:rPr>
          <w:rFonts w:ascii="Times New Roman" w:hAnsi="Times New Roman" w:cs="Times New Roman"/>
          <w:sz w:val="24"/>
          <w:szCs w:val="24"/>
        </w:rPr>
        <w:footnoteReference w:id="1185"/>
      </w:r>
    </w:p>
    <w:p w14:paraId="248C3FE0" w14:textId="77777777" w:rsidR="008C3633" w:rsidRPr="008C3633" w:rsidRDefault="008C3633" w:rsidP="008C3633">
      <w:pPr>
        <w:spacing w:line="480" w:lineRule="auto"/>
        <w:jc w:val="both"/>
        <w:rPr>
          <w:rFonts w:ascii="Times New Roman" w:hAnsi="Times New Roman" w:cs="Times New Roman"/>
          <w:sz w:val="24"/>
          <w:szCs w:val="24"/>
          <w:vertAlign w:val="baseline"/>
        </w:rPr>
      </w:pPr>
    </w:p>
    <w:p w14:paraId="337B4693" w14:textId="61EDC30F" w:rsidR="008C3633" w:rsidRPr="00950A5B" w:rsidRDefault="00950A5B" w:rsidP="008C3633">
      <w:pPr>
        <w:spacing w:line="480" w:lineRule="auto"/>
        <w:jc w:val="both"/>
        <w:rPr>
          <w:rFonts w:ascii="Times New Roman" w:hAnsi="Times New Roman" w:cs="Times New Roman"/>
          <w:b/>
          <w:i/>
          <w:sz w:val="24"/>
          <w:szCs w:val="24"/>
          <w:vertAlign w:val="baseline"/>
        </w:rPr>
      </w:pPr>
      <w:r w:rsidRPr="00950A5B">
        <w:rPr>
          <w:rFonts w:ascii="Times New Roman" w:hAnsi="Times New Roman" w:cs="Times New Roman"/>
          <w:b/>
          <w:i/>
          <w:sz w:val="24"/>
          <w:szCs w:val="24"/>
          <w:vertAlign w:val="baseline"/>
        </w:rPr>
        <w:t>6</w:t>
      </w:r>
      <w:r w:rsidR="00D74968" w:rsidRPr="00950A5B">
        <w:rPr>
          <w:rFonts w:ascii="Times New Roman" w:hAnsi="Times New Roman" w:cs="Times New Roman"/>
          <w:b/>
          <w:i/>
          <w:sz w:val="24"/>
          <w:szCs w:val="24"/>
          <w:vertAlign w:val="baseline"/>
        </w:rPr>
        <w:t>.6.2 P</w:t>
      </w:r>
      <w:r w:rsidR="008C3633" w:rsidRPr="00950A5B">
        <w:rPr>
          <w:rFonts w:ascii="Times New Roman" w:hAnsi="Times New Roman" w:cs="Times New Roman"/>
          <w:b/>
          <w:i/>
          <w:sz w:val="24"/>
          <w:szCs w:val="24"/>
          <w:vertAlign w:val="baseline"/>
        </w:rPr>
        <w:t>ersonal laws</w:t>
      </w:r>
    </w:p>
    <w:p w14:paraId="1B4F32D9" w14:textId="77777777" w:rsidR="008C3633" w:rsidRDefault="008C3633" w:rsidP="00D74968">
      <w:pPr>
        <w:spacing w:line="480" w:lineRule="auto"/>
        <w:ind w:firstLine="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As this section is purposely discussing the personal laws specific to India, I will be utilising the term ‘personal laws’ throughout this section. Personal law refers to ‘legal arrangements for the application within a single polity of several bodies of law to different persons according to their religious or ethnic identity.’</w:t>
      </w:r>
      <w:r w:rsidRPr="008C3633">
        <w:rPr>
          <w:rFonts w:ascii="Times New Roman" w:hAnsi="Times New Roman" w:cs="Times New Roman"/>
          <w:sz w:val="24"/>
          <w:szCs w:val="24"/>
        </w:rPr>
        <w:footnoteReference w:id="1186"/>
      </w:r>
      <w:r w:rsidRPr="008C3633">
        <w:rPr>
          <w:rFonts w:ascii="Times New Roman" w:hAnsi="Times New Roman" w:cs="Times New Roman"/>
          <w:sz w:val="24"/>
          <w:szCs w:val="24"/>
          <w:vertAlign w:val="baseline"/>
        </w:rPr>
        <w:t xml:space="preserve"> However, as Ghosh clarifies, there is flaw in the terminology used,</w:t>
      </w:r>
    </w:p>
    <w:p w14:paraId="48DB26D3" w14:textId="77777777" w:rsidR="00467964" w:rsidRPr="008C3633" w:rsidRDefault="00467964" w:rsidP="00D74968">
      <w:pPr>
        <w:spacing w:line="480" w:lineRule="auto"/>
        <w:ind w:firstLine="720"/>
        <w:jc w:val="both"/>
        <w:rPr>
          <w:rFonts w:ascii="Times New Roman" w:hAnsi="Times New Roman" w:cs="Times New Roman"/>
          <w:sz w:val="24"/>
          <w:szCs w:val="24"/>
          <w:vertAlign w:val="baseline"/>
        </w:rPr>
      </w:pPr>
    </w:p>
    <w:p w14:paraId="2AC17AF7" w14:textId="1A6D3DF4" w:rsidR="008C3633" w:rsidRPr="008C3633" w:rsidRDefault="008C3633" w:rsidP="00467964">
      <w:pPr>
        <w:spacing w:line="480" w:lineRule="auto"/>
        <w:ind w:left="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There is a basic contradiction in the term ‘personal law’. A person is an individual. As such, any right of an individual should mean that it is a personal right. But personal law connotes a set of legal rights pertaining to family affairs that an individual is entitled to not just be being an individual but by virtue of being a member of a religious or ethnic group or community.</w:t>
      </w:r>
      <w:r w:rsidRPr="008C3633">
        <w:rPr>
          <w:rFonts w:ascii="Times New Roman" w:hAnsi="Times New Roman" w:cs="Times New Roman"/>
          <w:sz w:val="24"/>
          <w:szCs w:val="24"/>
        </w:rPr>
        <w:footnoteReference w:id="1187"/>
      </w:r>
    </w:p>
    <w:p w14:paraId="288B1968" w14:textId="77777777" w:rsidR="00B4308C" w:rsidRDefault="00B4308C" w:rsidP="00D74968">
      <w:pPr>
        <w:spacing w:line="480" w:lineRule="auto"/>
        <w:ind w:firstLine="720"/>
        <w:jc w:val="both"/>
        <w:rPr>
          <w:rFonts w:ascii="Times New Roman" w:hAnsi="Times New Roman" w:cs="Times New Roman"/>
          <w:sz w:val="24"/>
          <w:szCs w:val="24"/>
          <w:vertAlign w:val="baseline"/>
        </w:rPr>
      </w:pPr>
    </w:p>
    <w:p w14:paraId="5B971977" w14:textId="77777777" w:rsidR="008C3633" w:rsidRDefault="008C3633" w:rsidP="00D74968">
      <w:pPr>
        <w:spacing w:line="480" w:lineRule="auto"/>
        <w:ind w:firstLine="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Essentially, personal laws are family rights, pertaining to marriage, adoption and inheritance, which are claimed by individuals on the basis of them belonging to a specific community, but rights which they want to exercise as an individual.</w:t>
      </w:r>
      <w:r w:rsidRPr="008C3633">
        <w:rPr>
          <w:rFonts w:ascii="Times New Roman" w:hAnsi="Times New Roman" w:cs="Times New Roman"/>
          <w:sz w:val="24"/>
          <w:szCs w:val="24"/>
        </w:rPr>
        <w:footnoteReference w:id="1188"/>
      </w:r>
      <w:r w:rsidRPr="008C3633">
        <w:rPr>
          <w:rFonts w:ascii="Times New Roman" w:hAnsi="Times New Roman" w:cs="Times New Roman"/>
          <w:sz w:val="24"/>
          <w:szCs w:val="24"/>
          <w:vertAlign w:val="baseline"/>
        </w:rPr>
        <w:t xml:space="preserve"> Personal laws in India are, thus, divided amongst religious lines, namely Hindu personal laws, Muslim personal laws together with the Christian and Parsi personal laws.</w:t>
      </w:r>
      <w:r w:rsidRPr="008C3633">
        <w:rPr>
          <w:rFonts w:ascii="Times New Roman" w:hAnsi="Times New Roman" w:cs="Times New Roman"/>
          <w:sz w:val="24"/>
          <w:szCs w:val="24"/>
        </w:rPr>
        <w:footnoteReference w:id="1189"/>
      </w:r>
      <w:r w:rsidRPr="008C3633">
        <w:rPr>
          <w:rFonts w:ascii="Times New Roman" w:hAnsi="Times New Roman" w:cs="Times New Roman"/>
          <w:sz w:val="24"/>
          <w:szCs w:val="24"/>
          <w:vertAlign w:val="baseline"/>
        </w:rPr>
        <w:t xml:space="preserve"> Thus, together with the un-codified personal laws, Hindus in India are governed by the Hindu Marriage Act (1955), Hindu Succession Act (1956), Hindu Guardianship and Minorities Act (1956) and the Hindu Adoption and Maintenance Act (1956), Indian Muslims are governed by the Shari’a Act (1937), Muslim Women’s Dissolution of Marriage Act (1939), Muslim Women’s (Protection of Rights on Divorce) Act (1986), whilst Christians and Parsis both have their own codified laws of marriage, divorce and succession.</w:t>
      </w:r>
      <w:r w:rsidRPr="008C3633">
        <w:rPr>
          <w:rFonts w:ascii="Times New Roman" w:hAnsi="Times New Roman" w:cs="Times New Roman"/>
          <w:sz w:val="24"/>
          <w:szCs w:val="24"/>
        </w:rPr>
        <w:footnoteReference w:id="1190"/>
      </w:r>
      <w:r w:rsidRPr="008C3633">
        <w:rPr>
          <w:rFonts w:ascii="Times New Roman" w:hAnsi="Times New Roman" w:cs="Times New Roman"/>
          <w:sz w:val="24"/>
          <w:szCs w:val="24"/>
          <w:vertAlign w:val="baseline"/>
        </w:rPr>
        <w:t xml:space="preserve"> As Singh explains, </w:t>
      </w:r>
    </w:p>
    <w:p w14:paraId="47B9B438" w14:textId="77777777" w:rsidR="00ED69FF" w:rsidRDefault="00ED69FF" w:rsidP="00ED69FF">
      <w:pPr>
        <w:spacing w:line="480" w:lineRule="auto"/>
        <w:jc w:val="both"/>
        <w:rPr>
          <w:rFonts w:ascii="Times New Roman" w:hAnsi="Times New Roman" w:cs="Times New Roman"/>
          <w:sz w:val="24"/>
          <w:szCs w:val="24"/>
          <w:vertAlign w:val="baseline"/>
        </w:rPr>
      </w:pPr>
    </w:p>
    <w:p w14:paraId="2271AAC3" w14:textId="77777777" w:rsidR="008C3633" w:rsidRPr="008C3633" w:rsidRDefault="008C3633" w:rsidP="00467964">
      <w:pPr>
        <w:spacing w:line="480" w:lineRule="auto"/>
        <w:ind w:left="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We are thus confronted by a strange situation that while a Hindu, Christian or Parsi woman can sue her husband for bigamy under the criminal law code for punishment of up to seven years imprisonment, Indian Muslim personal law [which permits polygamy] allows a Muslim man to marry up to four times.</w:t>
      </w:r>
      <w:r w:rsidRPr="008C3633">
        <w:rPr>
          <w:rFonts w:ascii="Times New Roman" w:hAnsi="Times New Roman" w:cs="Times New Roman"/>
          <w:sz w:val="24"/>
          <w:szCs w:val="24"/>
        </w:rPr>
        <w:footnoteReference w:id="1191"/>
      </w:r>
    </w:p>
    <w:p w14:paraId="7DB0CDA2" w14:textId="77777777" w:rsidR="008C3633" w:rsidRPr="008C3633" w:rsidRDefault="008C3633" w:rsidP="008C3633">
      <w:pPr>
        <w:spacing w:line="480" w:lineRule="auto"/>
        <w:jc w:val="both"/>
        <w:rPr>
          <w:rFonts w:ascii="Times New Roman" w:hAnsi="Times New Roman" w:cs="Times New Roman"/>
          <w:sz w:val="24"/>
          <w:szCs w:val="24"/>
          <w:vertAlign w:val="baseline"/>
        </w:rPr>
      </w:pPr>
    </w:p>
    <w:p w14:paraId="02CDB50B" w14:textId="77777777" w:rsidR="008C3633" w:rsidRDefault="008C3633" w:rsidP="00A968A2">
      <w:pPr>
        <w:spacing w:line="480" w:lineRule="auto"/>
        <w:ind w:firstLine="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Thus, as Singh acknowledges, the predominant characteristic that personal laws share is that ‘they are all anti-women, anti-liberal and anti-human.’</w:t>
      </w:r>
      <w:r w:rsidRPr="008C3633">
        <w:rPr>
          <w:rFonts w:ascii="Times New Roman" w:hAnsi="Times New Roman" w:cs="Times New Roman"/>
          <w:sz w:val="24"/>
          <w:szCs w:val="24"/>
        </w:rPr>
        <w:footnoteReference w:id="1192"/>
      </w:r>
      <w:r w:rsidRPr="008C3633">
        <w:rPr>
          <w:rFonts w:ascii="Times New Roman" w:hAnsi="Times New Roman" w:cs="Times New Roman"/>
          <w:sz w:val="24"/>
          <w:szCs w:val="24"/>
          <w:vertAlign w:val="baseline"/>
        </w:rPr>
        <w:t xml:space="preserve"> Religious personal laws dictate all elements of women’s lives in India; ‘many of the practices defended in the name of culture impinge on human rights and are gender specific and the guardians of patriarchy tries to preserve all sorts of inequalities at the expense of women’s rights.’</w:t>
      </w:r>
      <w:r w:rsidRPr="008C3633">
        <w:rPr>
          <w:rFonts w:ascii="Times New Roman" w:hAnsi="Times New Roman" w:cs="Times New Roman"/>
          <w:sz w:val="24"/>
          <w:szCs w:val="24"/>
        </w:rPr>
        <w:footnoteReference w:id="1193"/>
      </w:r>
      <w:r w:rsidRPr="008C3633">
        <w:rPr>
          <w:rFonts w:ascii="Times New Roman" w:hAnsi="Times New Roman" w:cs="Times New Roman"/>
          <w:sz w:val="24"/>
          <w:szCs w:val="24"/>
          <w:vertAlign w:val="baseline"/>
        </w:rPr>
        <w:t xml:space="preserve"> For example, India has the highest number of child brides in the world with an estimated 47% of girls married before their eighteenth birthday.</w:t>
      </w:r>
      <w:r w:rsidRPr="008C3633">
        <w:rPr>
          <w:rFonts w:ascii="Times New Roman" w:hAnsi="Times New Roman" w:cs="Times New Roman"/>
          <w:sz w:val="24"/>
          <w:szCs w:val="24"/>
        </w:rPr>
        <w:footnoteReference w:id="1194"/>
      </w:r>
      <w:r w:rsidRPr="008C3633">
        <w:rPr>
          <w:rFonts w:ascii="Times New Roman" w:hAnsi="Times New Roman" w:cs="Times New Roman"/>
          <w:sz w:val="24"/>
          <w:szCs w:val="24"/>
          <w:vertAlign w:val="baseline"/>
        </w:rPr>
        <w:t xml:space="preserve"> Not only is the practice of children marrying so young abhorrent, the practice then has later implications in life for the girl. As Ghosh explains, </w:t>
      </w:r>
    </w:p>
    <w:p w14:paraId="3A9B1E1A" w14:textId="77777777" w:rsidR="00ED402F" w:rsidRPr="008C3633" w:rsidRDefault="00ED402F" w:rsidP="00A968A2">
      <w:pPr>
        <w:spacing w:line="480" w:lineRule="auto"/>
        <w:ind w:firstLine="720"/>
        <w:jc w:val="both"/>
        <w:rPr>
          <w:rFonts w:ascii="Times New Roman" w:hAnsi="Times New Roman" w:cs="Times New Roman"/>
          <w:sz w:val="24"/>
          <w:szCs w:val="24"/>
          <w:vertAlign w:val="baseline"/>
        </w:rPr>
      </w:pPr>
    </w:p>
    <w:p w14:paraId="2E2DDFF1" w14:textId="77777777" w:rsidR="008C3633" w:rsidRPr="008C3633" w:rsidRDefault="008C3633" w:rsidP="00467964">
      <w:pPr>
        <w:spacing w:line="480" w:lineRule="auto"/>
        <w:ind w:left="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This often results in early widowhood, payment of dowry, deprivation of property, as lopsided patriarchal inheritance systems under certain personal laws deprive women of a fair share of paternal property, as well as the widows’ right to the property … witch-hunting, restrictive dress codes, diet code and behaviour code that are direct violation of women’s basic rights.</w:t>
      </w:r>
      <w:r w:rsidRPr="008C3633">
        <w:rPr>
          <w:rFonts w:ascii="Times New Roman" w:hAnsi="Times New Roman" w:cs="Times New Roman"/>
          <w:sz w:val="24"/>
          <w:szCs w:val="24"/>
        </w:rPr>
        <w:footnoteReference w:id="1195"/>
      </w:r>
      <w:r w:rsidRPr="008C3633">
        <w:rPr>
          <w:rFonts w:ascii="Times New Roman" w:hAnsi="Times New Roman" w:cs="Times New Roman"/>
          <w:sz w:val="24"/>
          <w:szCs w:val="24"/>
          <w:vertAlign w:val="baseline"/>
        </w:rPr>
        <w:t xml:space="preserve"> </w:t>
      </w:r>
    </w:p>
    <w:p w14:paraId="30F4F512" w14:textId="77777777" w:rsidR="008C3633" w:rsidRPr="008C3633" w:rsidRDefault="008C3633" w:rsidP="008C3633">
      <w:pPr>
        <w:spacing w:line="480" w:lineRule="auto"/>
        <w:jc w:val="both"/>
        <w:rPr>
          <w:rFonts w:ascii="Times New Roman" w:hAnsi="Times New Roman" w:cs="Times New Roman"/>
          <w:sz w:val="24"/>
          <w:szCs w:val="24"/>
          <w:vertAlign w:val="baseline"/>
        </w:rPr>
      </w:pPr>
    </w:p>
    <w:p w14:paraId="406A892F" w14:textId="13DA73A8" w:rsidR="008C3633" w:rsidRDefault="008C3633" w:rsidP="006411FE">
      <w:pPr>
        <w:spacing w:line="480" w:lineRule="auto"/>
        <w:ind w:firstLine="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Despite, assurances in the Constitution mandating the right to equality and non-discrimination, India has made no attempt to change discriminatory personal laws ‘or introduce new legislation in conformity with Constitutional principles.’</w:t>
      </w:r>
      <w:r w:rsidRPr="008C3633">
        <w:rPr>
          <w:rFonts w:ascii="Times New Roman" w:hAnsi="Times New Roman" w:cs="Times New Roman"/>
          <w:sz w:val="24"/>
          <w:szCs w:val="24"/>
        </w:rPr>
        <w:footnoteReference w:id="1196"/>
      </w:r>
      <w:r w:rsidRPr="008C3633">
        <w:rPr>
          <w:rFonts w:ascii="Times New Roman" w:hAnsi="Times New Roman" w:cs="Times New Roman"/>
          <w:sz w:val="24"/>
          <w:szCs w:val="24"/>
          <w:vertAlign w:val="baseline"/>
        </w:rPr>
        <w:t xml:space="preserve">  Moreover, on signing CEDAW, India entered </w:t>
      </w:r>
      <w:r w:rsidR="00ED69FF">
        <w:rPr>
          <w:rFonts w:ascii="Times New Roman" w:hAnsi="Times New Roman" w:cs="Times New Roman"/>
          <w:sz w:val="24"/>
          <w:szCs w:val="24"/>
          <w:vertAlign w:val="baseline"/>
        </w:rPr>
        <w:t>declarations</w:t>
      </w:r>
      <w:r w:rsidRPr="008C3633">
        <w:rPr>
          <w:rFonts w:ascii="Times New Roman" w:hAnsi="Times New Roman" w:cs="Times New Roman"/>
          <w:sz w:val="24"/>
          <w:szCs w:val="24"/>
          <w:vertAlign w:val="baseline"/>
        </w:rPr>
        <w:t xml:space="preserve"> to articles 5(a)</w:t>
      </w:r>
      <w:r w:rsidRPr="008C3633">
        <w:rPr>
          <w:rFonts w:ascii="Times New Roman" w:hAnsi="Times New Roman" w:cs="Times New Roman"/>
          <w:sz w:val="24"/>
          <w:szCs w:val="24"/>
        </w:rPr>
        <w:footnoteReference w:id="1197"/>
      </w:r>
      <w:r w:rsidRPr="008C3633">
        <w:rPr>
          <w:rFonts w:ascii="Times New Roman" w:hAnsi="Times New Roman" w:cs="Times New Roman"/>
          <w:sz w:val="24"/>
          <w:szCs w:val="24"/>
          <w:vertAlign w:val="baseline"/>
        </w:rPr>
        <w:t xml:space="preserve"> and 16(1)</w:t>
      </w:r>
      <w:r w:rsidRPr="008C3633">
        <w:rPr>
          <w:rFonts w:ascii="Times New Roman" w:hAnsi="Times New Roman" w:cs="Times New Roman"/>
          <w:sz w:val="24"/>
          <w:szCs w:val="24"/>
        </w:rPr>
        <w:footnoteReference w:id="1198"/>
      </w:r>
      <w:r w:rsidRPr="008C3633">
        <w:rPr>
          <w:rFonts w:ascii="Times New Roman" w:hAnsi="Times New Roman" w:cs="Times New Roman"/>
          <w:sz w:val="24"/>
          <w:szCs w:val="24"/>
          <w:vertAlign w:val="baseline"/>
        </w:rPr>
        <w:t xml:space="preserve"> </w:t>
      </w:r>
      <w:r w:rsidR="003714B0" w:rsidRPr="008C3633">
        <w:rPr>
          <w:rFonts w:ascii="Times New Roman" w:hAnsi="Times New Roman" w:cs="Times New Roman"/>
          <w:sz w:val="24"/>
          <w:szCs w:val="24"/>
          <w:vertAlign w:val="baseline"/>
        </w:rPr>
        <w:t>affirming</w:t>
      </w:r>
      <w:r w:rsidRPr="008C3633">
        <w:rPr>
          <w:rFonts w:ascii="Times New Roman" w:hAnsi="Times New Roman" w:cs="Times New Roman"/>
          <w:sz w:val="24"/>
          <w:szCs w:val="24"/>
          <w:vertAlign w:val="baseline"/>
        </w:rPr>
        <w:t xml:space="preserve"> that the State does not want to interfere in the personal matters of any community ‘without its initiative and consent.’</w:t>
      </w:r>
      <w:r w:rsidRPr="008C3633">
        <w:rPr>
          <w:rFonts w:ascii="Times New Roman" w:hAnsi="Times New Roman" w:cs="Times New Roman"/>
          <w:sz w:val="24"/>
          <w:szCs w:val="24"/>
        </w:rPr>
        <w:footnoteReference w:id="1199"/>
      </w:r>
      <w:r w:rsidRPr="008C3633">
        <w:rPr>
          <w:rFonts w:ascii="Times New Roman" w:hAnsi="Times New Roman" w:cs="Times New Roman"/>
          <w:sz w:val="24"/>
          <w:szCs w:val="24"/>
          <w:vertAlign w:val="baseline"/>
        </w:rPr>
        <w:t xml:space="preserve"> This uncommitted attitude can also been noted within the judiciary when faced with matters of personal law. As observed by Desai, </w:t>
      </w:r>
    </w:p>
    <w:p w14:paraId="6BDEAAFA" w14:textId="77777777" w:rsidR="00ED402F" w:rsidRPr="008C3633" w:rsidRDefault="00ED402F" w:rsidP="006411FE">
      <w:pPr>
        <w:spacing w:line="480" w:lineRule="auto"/>
        <w:ind w:firstLine="720"/>
        <w:jc w:val="both"/>
        <w:rPr>
          <w:rFonts w:ascii="Times New Roman" w:hAnsi="Times New Roman" w:cs="Times New Roman"/>
          <w:sz w:val="24"/>
          <w:szCs w:val="24"/>
          <w:vertAlign w:val="baseline"/>
        </w:rPr>
      </w:pPr>
    </w:p>
    <w:p w14:paraId="54D60128" w14:textId="77777777" w:rsidR="008C3633" w:rsidRPr="008C3633" w:rsidRDefault="008C3633" w:rsidP="00467964">
      <w:pPr>
        <w:spacing w:line="480" w:lineRule="auto"/>
        <w:ind w:left="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Over the years the Supreme Court has taken differing views while dealing with personal laws. In a number of cases</w:t>
      </w:r>
      <w:r w:rsidRPr="008C3633">
        <w:rPr>
          <w:rFonts w:ascii="Times New Roman" w:hAnsi="Times New Roman" w:cs="Times New Roman"/>
          <w:sz w:val="24"/>
          <w:szCs w:val="24"/>
        </w:rPr>
        <w:footnoteReference w:id="1200"/>
      </w:r>
      <w:r w:rsidRPr="008C3633">
        <w:rPr>
          <w:rFonts w:ascii="Times New Roman" w:hAnsi="Times New Roman" w:cs="Times New Roman"/>
          <w:sz w:val="24"/>
          <w:szCs w:val="24"/>
          <w:vertAlign w:val="baseline"/>
        </w:rPr>
        <w:t xml:space="preserve"> it has held that personal laws of parties are not susceptible to Part III of the Constitution … on the other hand … the Supreme Court has tested personal laws</w:t>
      </w:r>
      <w:r w:rsidRPr="008C3633">
        <w:rPr>
          <w:rFonts w:ascii="Times New Roman" w:hAnsi="Times New Roman" w:cs="Times New Roman"/>
          <w:sz w:val="24"/>
          <w:szCs w:val="24"/>
        </w:rPr>
        <w:footnoteReference w:id="1201"/>
      </w:r>
      <w:r w:rsidRPr="008C3633">
        <w:rPr>
          <w:rFonts w:ascii="Times New Roman" w:hAnsi="Times New Roman" w:cs="Times New Roman"/>
          <w:sz w:val="24"/>
          <w:szCs w:val="24"/>
          <w:vertAlign w:val="baseline"/>
        </w:rPr>
        <w:t xml:space="preserve"> on the touchstone of fundamental rights … under Article 13</w:t>
      </w:r>
      <w:r w:rsidRPr="008C3633">
        <w:rPr>
          <w:rFonts w:ascii="Times New Roman" w:hAnsi="Times New Roman" w:cs="Times New Roman"/>
          <w:sz w:val="24"/>
          <w:szCs w:val="24"/>
        </w:rPr>
        <w:footnoteReference w:id="1202"/>
      </w:r>
      <w:r w:rsidRPr="008C3633">
        <w:rPr>
          <w:rFonts w:ascii="Times New Roman" w:hAnsi="Times New Roman" w:cs="Times New Roman"/>
          <w:sz w:val="24"/>
          <w:szCs w:val="24"/>
          <w:vertAlign w:val="baseline"/>
        </w:rPr>
        <w:t xml:space="preserve"> of the Constitution of India.</w:t>
      </w:r>
      <w:r w:rsidRPr="008C3633">
        <w:rPr>
          <w:rFonts w:ascii="Times New Roman" w:hAnsi="Times New Roman" w:cs="Times New Roman"/>
          <w:sz w:val="24"/>
          <w:szCs w:val="24"/>
        </w:rPr>
        <w:footnoteReference w:id="1203"/>
      </w:r>
    </w:p>
    <w:p w14:paraId="30F73B24" w14:textId="77777777" w:rsidR="008C3633" w:rsidRPr="008C3633" w:rsidRDefault="008C3633" w:rsidP="008C3633">
      <w:pPr>
        <w:spacing w:line="480" w:lineRule="auto"/>
        <w:jc w:val="both"/>
        <w:rPr>
          <w:rFonts w:ascii="Times New Roman" w:hAnsi="Times New Roman" w:cs="Times New Roman"/>
          <w:sz w:val="24"/>
          <w:szCs w:val="24"/>
          <w:vertAlign w:val="baseline"/>
        </w:rPr>
      </w:pPr>
    </w:p>
    <w:p w14:paraId="17A4A53A" w14:textId="77777777" w:rsidR="008C3633" w:rsidRPr="008C3633" w:rsidRDefault="008C3633" w:rsidP="00C22DF5">
      <w:pPr>
        <w:spacing w:line="480" w:lineRule="auto"/>
        <w:ind w:firstLine="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However, more recently, the Supreme Court has questioned the government’s lack of willingness to bring in the Uniform Civil Code, which, if introduced, would, essentially, regulate all religions in exactly the same way, thus, avoiding confusion and bringing uniformity across India, with regards personal laws.</w:t>
      </w:r>
      <w:r w:rsidRPr="008C3633">
        <w:rPr>
          <w:rFonts w:ascii="Times New Roman" w:hAnsi="Times New Roman" w:cs="Times New Roman"/>
          <w:sz w:val="24"/>
          <w:szCs w:val="24"/>
        </w:rPr>
        <w:footnoteReference w:id="1204"/>
      </w:r>
      <w:r w:rsidRPr="008C3633">
        <w:rPr>
          <w:rFonts w:ascii="Times New Roman" w:hAnsi="Times New Roman" w:cs="Times New Roman"/>
          <w:sz w:val="24"/>
          <w:szCs w:val="24"/>
          <w:vertAlign w:val="baseline"/>
        </w:rPr>
        <w:t xml:space="preserve"> Whilst hearing a petition, which challenged the discriminatory legal provision in Section 10A (1) of the Divorce Act 1869, Justices Vikramjit Sen and Shiva Kirti Singh argued for a change to law, due to the inconsistency that under this particular law, the period of separation for Christians was two years, whereas in other statues governing different religious groups, such as the Hindu Marriage Act, the period of separation was for one year only.</w:t>
      </w:r>
      <w:r w:rsidRPr="008C3633">
        <w:rPr>
          <w:rFonts w:ascii="Times New Roman" w:hAnsi="Times New Roman" w:cs="Times New Roman"/>
          <w:sz w:val="24"/>
          <w:szCs w:val="24"/>
        </w:rPr>
        <w:footnoteReference w:id="1205"/>
      </w:r>
      <w:r w:rsidRPr="008C3633">
        <w:rPr>
          <w:rFonts w:ascii="Times New Roman" w:hAnsi="Times New Roman" w:cs="Times New Roman"/>
          <w:sz w:val="24"/>
          <w:szCs w:val="24"/>
          <w:vertAlign w:val="baseline"/>
        </w:rPr>
        <w:t xml:space="preserve"> Similar cases,</w:t>
      </w:r>
      <w:r w:rsidRPr="008C3633">
        <w:rPr>
          <w:rFonts w:ascii="Times New Roman" w:hAnsi="Times New Roman" w:cs="Times New Roman"/>
          <w:sz w:val="24"/>
          <w:szCs w:val="24"/>
        </w:rPr>
        <w:footnoteReference w:id="1206"/>
      </w:r>
      <w:r w:rsidRPr="008C3633">
        <w:rPr>
          <w:rFonts w:ascii="Times New Roman" w:hAnsi="Times New Roman" w:cs="Times New Roman"/>
          <w:sz w:val="24"/>
          <w:szCs w:val="24"/>
          <w:vertAlign w:val="baseline"/>
        </w:rPr>
        <w:t xml:space="preserve"> dealt with by the High Court have also examined the constitutional validity of Section 10A Divorce Act 1869, declaring the act as unconstitutional and in violation of articles 14 (rights to equality) and 21 (right to life). However, despite the courts acknowledgment of the need for a Uniform Civil Code and the necessary unification of all religious personal laws, it was noted by the Supreme Court that despite questioning the same matter several months earlier, the government had failed to react.</w:t>
      </w:r>
      <w:r w:rsidRPr="008C3633">
        <w:rPr>
          <w:rFonts w:ascii="Times New Roman" w:hAnsi="Times New Roman" w:cs="Times New Roman"/>
          <w:sz w:val="24"/>
          <w:szCs w:val="24"/>
        </w:rPr>
        <w:footnoteReference w:id="1207"/>
      </w:r>
      <w:r w:rsidRPr="008C3633">
        <w:rPr>
          <w:rFonts w:ascii="Times New Roman" w:hAnsi="Times New Roman" w:cs="Times New Roman"/>
          <w:sz w:val="24"/>
          <w:szCs w:val="24"/>
          <w:vertAlign w:val="baseline"/>
        </w:rPr>
        <w:t xml:space="preserve"> Whilst the court can raise issues of policy, ultimately they are unable to legislate and it is for the government to take these necessary steps. Thus, without uniformity, discriminatory personal laws will continue to dictate within the realm of family law.</w:t>
      </w:r>
    </w:p>
    <w:p w14:paraId="2263710C" w14:textId="77777777" w:rsidR="008C3633" w:rsidRPr="008C3633" w:rsidRDefault="008C3633" w:rsidP="008C3633">
      <w:pPr>
        <w:spacing w:line="480" w:lineRule="auto"/>
        <w:jc w:val="both"/>
        <w:rPr>
          <w:rFonts w:ascii="Times New Roman" w:hAnsi="Times New Roman" w:cs="Times New Roman"/>
          <w:b/>
          <w:sz w:val="24"/>
          <w:szCs w:val="24"/>
          <w:u w:val="single"/>
          <w:vertAlign w:val="baseline"/>
        </w:rPr>
      </w:pPr>
    </w:p>
    <w:p w14:paraId="5260E1AB" w14:textId="160A8560" w:rsidR="008C3633" w:rsidRPr="00ED3552" w:rsidRDefault="00ED3552" w:rsidP="008C3633">
      <w:pPr>
        <w:spacing w:line="480" w:lineRule="auto"/>
        <w:jc w:val="both"/>
        <w:rPr>
          <w:rFonts w:ascii="Times New Roman" w:hAnsi="Times New Roman" w:cs="Times New Roman"/>
          <w:b/>
          <w:i/>
          <w:sz w:val="24"/>
          <w:szCs w:val="24"/>
          <w:vertAlign w:val="baseline"/>
        </w:rPr>
      </w:pPr>
      <w:r w:rsidRPr="00ED3552">
        <w:rPr>
          <w:rFonts w:ascii="Times New Roman" w:hAnsi="Times New Roman" w:cs="Times New Roman"/>
          <w:b/>
          <w:i/>
          <w:sz w:val="24"/>
          <w:szCs w:val="24"/>
          <w:vertAlign w:val="baseline"/>
        </w:rPr>
        <w:t>6</w:t>
      </w:r>
      <w:r w:rsidR="008E633D" w:rsidRPr="00ED3552">
        <w:rPr>
          <w:rFonts w:ascii="Times New Roman" w:hAnsi="Times New Roman" w:cs="Times New Roman"/>
          <w:b/>
          <w:i/>
          <w:sz w:val="24"/>
          <w:szCs w:val="24"/>
          <w:vertAlign w:val="baseline"/>
        </w:rPr>
        <w:t>.6.3 Witchcraft L</w:t>
      </w:r>
      <w:r w:rsidR="008C3633" w:rsidRPr="00ED3552">
        <w:rPr>
          <w:rFonts w:ascii="Times New Roman" w:hAnsi="Times New Roman" w:cs="Times New Roman"/>
          <w:b/>
          <w:i/>
          <w:sz w:val="24"/>
          <w:szCs w:val="24"/>
          <w:vertAlign w:val="baseline"/>
        </w:rPr>
        <w:t>aws</w:t>
      </w:r>
    </w:p>
    <w:p w14:paraId="69BE41BF" w14:textId="58C0519E" w:rsidR="008C3633" w:rsidRDefault="008C3633" w:rsidP="00505107">
      <w:pPr>
        <w:spacing w:line="480" w:lineRule="auto"/>
        <w:ind w:firstLine="720"/>
        <w:jc w:val="both"/>
        <w:rPr>
          <w:rFonts w:ascii="Times New Roman" w:hAnsi="Times New Roman" w:cs="Times New Roman"/>
          <w:bCs/>
          <w:sz w:val="24"/>
          <w:szCs w:val="24"/>
          <w:vertAlign w:val="baseline"/>
        </w:rPr>
      </w:pPr>
      <w:r w:rsidRPr="008C3633">
        <w:rPr>
          <w:rFonts w:ascii="Times New Roman" w:hAnsi="Times New Roman" w:cs="Times New Roman"/>
          <w:sz w:val="24"/>
          <w:szCs w:val="24"/>
          <w:vertAlign w:val="baseline"/>
        </w:rPr>
        <w:t>In terms of WAP, there are several states within India that have specific laws against witch-hunts. In Chhattisgarh, the Chhattisgarh Tonahi Pratadna Nivaran Act 2005,</w:t>
      </w:r>
      <w:r w:rsidRPr="008C3633">
        <w:rPr>
          <w:rFonts w:ascii="Times New Roman" w:hAnsi="Times New Roman" w:cs="Times New Roman"/>
          <w:sz w:val="24"/>
          <w:szCs w:val="24"/>
        </w:rPr>
        <w:footnoteReference w:id="1208"/>
      </w:r>
      <w:r w:rsidRPr="008C3633">
        <w:rPr>
          <w:rFonts w:ascii="Times New Roman" w:hAnsi="Times New Roman" w:cs="Times New Roman"/>
          <w:sz w:val="24"/>
          <w:szCs w:val="24"/>
          <w:vertAlign w:val="baseline"/>
        </w:rPr>
        <w:t xml:space="preserve"> stipulates three years imprisonment for anyone found guilty of accusing a woman of being a </w:t>
      </w:r>
      <w:r w:rsidRPr="008C3633">
        <w:rPr>
          <w:rFonts w:ascii="Times New Roman" w:hAnsi="Times New Roman" w:cs="Times New Roman"/>
          <w:i/>
          <w:sz w:val="24"/>
          <w:szCs w:val="24"/>
          <w:vertAlign w:val="baseline"/>
        </w:rPr>
        <w:t>tonahi</w:t>
      </w:r>
      <w:r w:rsidRPr="008C3633">
        <w:rPr>
          <w:rFonts w:ascii="Times New Roman" w:hAnsi="Times New Roman" w:cs="Times New Roman"/>
          <w:i/>
          <w:sz w:val="24"/>
          <w:szCs w:val="24"/>
        </w:rPr>
        <w:footnoteReference w:id="1209"/>
      </w:r>
      <w:r w:rsidRPr="008C3633">
        <w:rPr>
          <w:rFonts w:ascii="Times New Roman" w:hAnsi="Times New Roman" w:cs="Times New Roman"/>
          <w:sz w:val="24"/>
          <w:szCs w:val="24"/>
          <w:vertAlign w:val="baseline"/>
        </w:rPr>
        <w:t xml:space="preserve"> and five years imprisonment for anyone who causes physical harm to a woman by labelling her as a </w:t>
      </w:r>
      <w:r w:rsidRPr="008C3633">
        <w:rPr>
          <w:rFonts w:ascii="Times New Roman" w:hAnsi="Times New Roman" w:cs="Times New Roman"/>
          <w:i/>
          <w:sz w:val="24"/>
          <w:szCs w:val="24"/>
          <w:vertAlign w:val="baseline"/>
        </w:rPr>
        <w:t>tonahi</w:t>
      </w:r>
      <w:r w:rsidRPr="008C3633">
        <w:rPr>
          <w:rFonts w:ascii="Times New Roman" w:hAnsi="Times New Roman" w:cs="Times New Roman"/>
          <w:sz w:val="24"/>
          <w:szCs w:val="24"/>
          <w:vertAlign w:val="baseline"/>
        </w:rPr>
        <w:t xml:space="preserve"> or witch. Similarly, the Prevention of Witchcraft (Daain) Practices Act 1999</w:t>
      </w:r>
      <w:r w:rsidRPr="008C3633">
        <w:rPr>
          <w:rFonts w:ascii="Times New Roman" w:hAnsi="Times New Roman" w:cs="Times New Roman"/>
          <w:sz w:val="24"/>
          <w:szCs w:val="24"/>
        </w:rPr>
        <w:footnoteReference w:id="1210"/>
      </w:r>
      <w:r w:rsidRPr="008C3633">
        <w:rPr>
          <w:rFonts w:ascii="Times New Roman" w:hAnsi="Times New Roman" w:cs="Times New Roman"/>
          <w:sz w:val="24"/>
          <w:szCs w:val="24"/>
          <w:vertAlign w:val="baseline"/>
        </w:rPr>
        <w:t xml:space="preserve"> in Bihar, and the Witchcraft Prevention Act 2001 in Jharkhand, specify comparable punishments for people involved in witch-hunts. More recent legislation includes the Prevention of Witch Hunting Act 2013 in Odisha, with Parliament passing the Rajasthan Prevention of Witch Hunting Bill 2015 on 9 April 2015</w:t>
      </w:r>
      <w:r w:rsidRPr="008C3633">
        <w:rPr>
          <w:rFonts w:ascii="Times New Roman" w:hAnsi="Times New Roman" w:cs="Times New Roman"/>
          <w:sz w:val="24"/>
          <w:szCs w:val="24"/>
        </w:rPr>
        <w:footnoteReference w:id="1211"/>
      </w:r>
      <w:r w:rsidRPr="008C3633">
        <w:rPr>
          <w:rFonts w:ascii="Times New Roman" w:hAnsi="Times New Roman" w:cs="Times New Roman"/>
          <w:sz w:val="24"/>
          <w:szCs w:val="24"/>
          <w:vertAlign w:val="baseline"/>
        </w:rPr>
        <w:t xml:space="preserve"> and the Assam Witch Hunting (Prohibition, Prevention and Protection) Bill 2015 on 13 August 2015.</w:t>
      </w:r>
      <w:r w:rsidRPr="008C3633">
        <w:rPr>
          <w:rFonts w:ascii="Times New Roman" w:hAnsi="Times New Roman" w:cs="Times New Roman"/>
          <w:sz w:val="24"/>
          <w:szCs w:val="24"/>
        </w:rPr>
        <w:footnoteReference w:id="1212"/>
      </w:r>
      <w:r w:rsidRPr="008C3633">
        <w:rPr>
          <w:rFonts w:ascii="Times New Roman" w:hAnsi="Times New Roman" w:cs="Times New Roman"/>
          <w:sz w:val="24"/>
          <w:szCs w:val="24"/>
          <w:vertAlign w:val="baseline"/>
        </w:rPr>
        <w:t xml:space="preserve"> One of the most recent significant improvements was made in the state of Maharashtra, which became the first state in India to enact a single law banning black magic, witchcraft and other superstitious practices.</w:t>
      </w:r>
      <w:r w:rsidRPr="008C3633">
        <w:rPr>
          <w:rFonts w:ascii="Times New Roman" w:hAnsi="Times New Roman" w:cs="Times New Roman"/>
          <w:sz w:val="24"/>
          <w:szCs w:val="24"/>
        </w:rPr>
        <w:footnoteReference w:id="1213"/>
      </w:r>
      <w:r w:rsidRPr="008C3633">
        <w:rPr>
          <w:rFonts w:ascii="Times New Roman" w:hAnsi="Times New Roman" w:cs="Times New Roman"/>
          <w:sz w:val="24"/>
          <w:szCs w:val="24"/>
          <w:vertAlign w:val="baseline"/>
        </w:rPr>
        <w:t xml:space="preserve"> The Maharashtra Prevention and Eradication of Human Sacrifice and Other Inhuman, Evil and </w:t>
      </w:r>
      <w:r w:rsidRPr="00C47E48">
        <w:rPr>
          <w:rFonts w:ascii="Times New Roman" w:hAnsi="Times New Roman" w:cs="Times New Roman"/>
          <w:i/>
          <w:sz w:val="24"/>
          <w:szCs w:val="24"/>
          <w:vertAlign w:val="baseline"/>
        </w:rPr>
        <w:t>Aghori</w:t>
      </w:r>
      <w:r w:rsidRPr="008C3633">
        <w:rPr>
          <w:rFonts w:ascii="Times New Roman" w:hAnsi="Times New Roman" w:cs="Times New Roman"/>
          <w:sz w:val="24"/>
          <w:szCs w:val="24"/>
          <w:vertAlign w:val="baseline"/>
        </w:rPr>
        <w:t xml:space="preserve"> Practices and Black Magic Bill</w:t>
      </w:r>
      <w:r w:rsidR="00C47E48">
        <w:rPr>
          <w:rFonts w:ascii="Times New Roman" w:hAnsi="Times New Roman" w:cs="Times New Roman"/>
          <w:sz w:val="24"/>
          <w:szCs w:val="24"/>
          <w:vertAlign w:val="baseline"/>
        </w:rPr>
        <w:t>,</w:t>
      </w:r>
      <w:r w:rsidRPr="008C3633">
        <w:rPr>
          <w:rFonts w:ascii="Times New Roman" w:hAnsi="Times New Roman" w:cs="Times New Roman"/>
          <w:sz w:val="24"/>
          <w:szCs w:val="24"/>
          <w:vertAlign w:val="baseline"/>
        </w:rPr>
        <w:t xml:space="preserve"> had been drafted by Narendra Dabholkar, the founder-head of Maharashtra Andhashraddha Nirmoolan Samiti,</w:t>
      </w:r>
      <w:r w:rsidRPr="008C3633">
        <w:rPr>
          <w:rFonts w:ascii="Times New Roman" w:hAnsi="Times New Roman" w:cs="Times New Roman"/>
          <w:sz w:val="24"/>
          <w:szCs w:val="24"/>
        </w:rPr>
        <w:footnoteReference w:id="1214"/>
      </w:r>
      <w:r w:rsidRPr="008C3633">
        <w:rPr>
          <w:rFonts w:ascii="Times New Roman" w:hAnsi="Times New Roman" w:cs="Times New Roman"/>
          <w:sz w:val="24"/>
          <w:szCs w:val="24"/>
          <w:vertAlign w:val="baseline"/>
        </w:rPr>
        <w:t xml:space="preserve"> who had attempted to enact the law for over a decade. However, when the state tried to enact the law, it failed, largely due to resistance from religious groups citing cultural impunity. Dabholkar himself had received many threats and was sadly murdered on 20 August 2013. As Prithviraj Chavan stated, ‘the forces which did not want this Bill to be presented and passed into a law were the people responsible for silencing his voice.’</w:t>
      </w:r>
      <w:r w:rsidRPr="008C3633">
        <w:rPr>
          <w:rFonts w:ascii="Times New Roman" w:hAnsi="Times New Roman" w:cs="Times New Roman"/>
          <w:sz w:val="24"/>
          <w:szCs w:val="24"/>
        </w:rPr>
        <w:footnoteReference w:id="1215"/>
      </w:r>
      <w:r w:rsidRPr="008C3633">
        <w:rPr>
          <w:rFonts w:ascii="Times New Roman" w:hAnsi="Times New Roman" w:cs="Times New Roman"/>
          <w:sz w:val="24"/>
          <w:szCs w:val="24"/>
          <w:vertAlign w:val="baseline"/>
        </w:rPr>
        <w:t xml:space="preserve"> Four days later, the governor of Maharashtra signed an ordinance and the </w:t>
      </w:r>
      <w:r w:rsidRPr="008C3633">
        <w:rPr>
          <w:rFonts w:ascii="Times New Roman" w:hAnsi="Times New Roman" w:cs="Times New Roman"/>
          <w:bCs/>
          <w:sz w:val="24"/>
          <w:szCs w:val="24"/>
          <w:vertAlign w:val="baseline"/>
        </w:rPr>
        <w:t>Maharashtra Prevention and Eradication of Human Sacrifice and Other Inhuman, Evil and </w:t>
      </w:r>
      <w:r w:rsidRPr="008C3633">
        <w:rPr>
          <w:rFonts w:ascii="Times New Roman" w:hAnsi="Times New Roman" w:cs="Times New Roman"/>
          <w:bCs/>
          <w:i/>
          <w:iCs/>
          <w:sz w:val="24"/>
          <w:szCs w:val="24"/>
          <w:vertAlign w:val="baseline"/>
        </w:rPr>
        <w:t>Aghori</w:t>
      </w:r>
      <w:r w:rsidRPr="008C3633">
        <w:rPr>
          <w:rFonts w:ascii="Times New Roman" w:hAnsi="Times New Roman" w:cs="Times New Roman"/>
          <w:bCs/>
          <w:sz w:val="24"/>
          <w:szCs w:val="24"/>
          <w:vertAlign w:val="baseline"/>
        </w:rPr>
        <w:t> Practices and Black Magic Ordinance (Maharashtra Ordinance XIV of 2013) came into effect on 26 August 2013. The rationale of the Act, as stated in the preamble, is to,</w:t>
      </w:r>
    </w:p>
    <w:p w14:paraId="5852295D" w14:textId="77777777" w:rsidR="00ED402F" w:rsidRPr="008C3633" w:rsidRDefault="00ED402F" w:rsidP="00505107">
      <w:pPr>
        <w:spacing w:line="480" w:lineRule="auto"/>
        <w:ind w:firstLine="720"/>
        <w:jc w:val="both"/>
        <w:rPr>
          <w:rFonts w:ascii="Times New Roman" w:hAnsi="Times New Roman" w:cs="Times New Roman"/>
          <w:bCs/>
          <w:sz w:val="24"/>
          <w:szCs w:val="24"/>
          <w:vertAlign w:val="baseline"/>
        </w:rPr>
      </w:pPr>
    </w:p>
    <w:p w14:paraId="21E6E248" w14:textId="77777777" w:rsidR="008C3633" w:rsidRPr="008C3633" w:rsidRDefault="008C3633" w:rsidP="004D7313">
      <w:pPr>
        <w:spacing w:line="480" w:lineRule="auto"/>
        <w:ind w:left="720"/>
        <w:jc w:val="both"/>
        <w:rPr>
          <w:rFonts w:ascii="Times New Roman" w:hAnsi="Times New Roman" w:cs="Times New Roman"/>
          <w:bCs/>
          <w:sz w:val="24"/>
          <w:szCs w:val="24"/>
          <w:vertAlign w:val="baseline"/>
        </w:rPr>
      </w:pPr>
      <w:r w:rsidRPr="008C3633">
        <w:rPr>
          <w:rFonts w:ascii="Times New Roman" w:hAnsi="Times New Roman" w:cs="Times New Roman"/>
          <w:bCs/>
          <w:sz w:val="24"/>
          <w:szCs w:val="24"/>
          <w:vertAlign w:val="baseline"/>
        </w:rPr>
        <w:t xml:space="preserve">Bring social awakening and awareness in the society and to create a healthy and safe social environment with a view to protect the common people in society against the evil and sinister practices thriving on ignorance, and to combat and eradicate human sacrifice and other inhuman, evil, sinister and </w:t>
      </w:r>
      <w:r w:rsidRPr="008C3633">
        <w:rPr>
          <w:rFonts w:ascii="Times New Roman" w:hAnsi="Times New Roman" w:cs="Times New Roman"/>
          <w:bCs/>
          <w:i/>
          <w:sz w:val="24"/>
          <w:szCs w:val="24"/>
          <w:vertAlign w:val="baseline"/>
        </w:rPr>
        <w:t>aghori</w:t>
      </w:r>
      <w:r w:rsidRPr="008C3633">
        <w:rPr>
          <w:rFonts w:ascii="Times New Roman" w:hAnsi="Times New Roman" w:cs="Times New Roman"/>
          <w:bCs/>
          <w:i/>
          <w:sz w:val="24"/>
          <w:szCs w:val="24"/>
        </w:rPr>
        <w:footnoteReference w:id="1216"/>
      </w:r>
      <w:r w:rsidRPr="008C3633">
        <w:rPr>
          <w:rFonts w:ascii="Times New Roman" w:hAnsi="Times New Roman" w:cs="Times New Roman"/>
          <w:bCs/>
          <w:sz w:val="24"/>
          <w:szCs w:val="24"/>
          <w:vertAlign w:val="baseline"/>
        </w:rPr>
        <w:t xml:space="preserve"> practices propagated in the name of so called supernatural or magical powers or evil spirits commonly known as black magic by conmen with sinister motive of exploiting the common people in society and thereby destroying the very social fibre of the society.</w:t>
      </w:r>
      <w:r w:rsidRPr="008C3633">
        <w:rPr>
          <w:rFonts w:ascii="Times New Roman" w:hAnsi="Times New Roman" w:cs="Times New Roman"/>
          <w:bCs/>
          <w:sz w:val="24"/>
          <w:szCs w:val="24"/>
        </w:rPr>
        <w:footnoteReference w:id="1217"/>
      </w:r>
    </w:p>
    <w:p w14:paraId="31839B9B" w14:textId="77777777" w:rsidR="008C3633" w:rsidRPr="008C3633" w:rsidRDefault="008C3633" w:rsidP="008C3633">
      <w:pPr>
        <w:spacing w:line="480" w:lineRule="auto"/>
        <w:jc w:val="both"/>
        <w:rPr>
          <w:rFonts w:ascii="Times New Roman" w:hAnsi="Times New Roman" w:cs="Times New Roman"/>
          <w:bCs/>
          <w:sz w:val="24"/>
          <w:szCs w:val="24"/>
          <w:vertAlign w:val="baseline"/>
        </w:rPr>
      </w:pPr>
    </w:p>
    <w:p w14:paraId="20F54CAC" w14:textId="77777777" w:rsidR="008C3633" w:rsidRPr="008C3633" w:rsidRDefault="008C3633" w:rsidP="008C3633">
      <w:pPr>
        <w:spacing w:line="480" w:lineRule="auto"/>
        <w:jc w:val="both"/>
        <w:rPr>
          <w:rFonts w:ascii="Times New Roman" w:hAnsi="Times New Roman" w:cs="Times New Roman"/>
          <w:bCs/>
          <w:sz w:val="24"/>
          <w:szCs w:val="24"/>
          <w:vertAlign w:val="baseline"/>
        </w:rPr>
      </w:pPr>
      <w:r w:rsidRPr="008C3633">
        <w:rPr>
          <w:rFonts w:ascii="Times New Roman" w:hAnsi="Times New Roman" w:cs="Times New Roman"/>
          <w:bCs/>
          <w:sz w:val="24"/>
          <w:szCs w:val="24"/>
          <w:vertAlign w:val="baseline"/>
        </w:rPr>
        <w:t>Punishment, under the Act, is imprisonment of not less than six months, extending to seven years, with a fine of between five thousand and fifty thousand rupees.</w:t>
      </w:r>
      <w:r w:rsidRPr="008C3633">
        <w:rPr>
          <w:rFonts w:ascii="Times New Roman" w:hAnsi="Times New Roman" w:cs="Times New Roman"/>
          <w:bCs/>
          <w:sz w:val="24"/>
          <w:szCs w:val="24"/>
        </w:rPr>
        <w:footnoteReference w:id="1218"/>
      </w:r>
      <w:r w:rsidRPr="008C3633">
        <w:rPr>
          <w:rFonts w:ascii="Times New Roman" w:hAnsi="Times New Roman" w:cs="Times New Roman"/>
          <w:bCs/>
          <w:sz w:val="24"/>
          <w:szCs w:val="24"/>
          <w:vertAlign w:val="baseline"/>
        </w:rPr>
        <w:t xml:space="preserve"> No one has yet been arrested for Dabholkar’s murder. To date, the Act appears to have made an impact in Maharashtra, with more than one hundred and fifty cases filed under the Act, as of the August 2015, with the majority of the victims registering complaints documented as women.</w:t>
      </w:r>
      <w:r w:rsidRPr="008C3633">
        <w:rPr>
          <w:rFonts w:ascii="Times New Roman" w:hAnsi="Times New Roman" w:cs="Times New Roman"/>
          <w:bCs/>
          <w:sz w:val="24"/>
          <w:szCs w:val="24"/>
        </w:rPr>
        <w:footnoteReference w:id="1219"/>
      </w:r>
      <w:r w:rsidRPr="008C3633">
        <w:rPr>
          <w:rFonts w:ascii="Times New Roman" w:hAnsi="Times New Roman" w:cs="Times New Roman"/>
          <w:bCs/>
          <w:sz w:val="24"/>
          <w:szCs w:val="24"/>
          <w:vertAlign w:val="baseline"/>
        </w:rPr>
        <w:t xml:space="preserve"> Disappointingly, despite this, there has only been one conviction under the Act, in which an ‘exorcist’ and two others were convicted in Bhandara for participating in black magic and </w:t>
      </w:r>
      <w:r w:rsidRPr="008C3633">
        <w:rPr>
          <w:rFonts w:ascii="Times New Roman" w:hAnsi="Times New Roman" w:cs="Times New Roman"/>
          <w:bCs/>
          <w:i/>
          <w:sz w:val="24"/>
          <w:szCs w:val="24"/>
          <w:vertAlign w:val="baseline"/>
        </w:rPr>
        <w:t>Aghori</w:t>
      </w:r>
      <w:r w:rsidRPr="008C3633">
        <w:rPr>
          <w:rFonts w:ascii="Times New Roman" w:hAnsi="Times New Roman" w:cs="Times New Roman"/>
          <w:bCs/>
          <w:sz w:val="24"/>
          <w:szCs w:val="24"/>
          <w:vertAlign w:val="baseline"/>
        </w:rPr>
        <w:t xml:space="preserve"> practices, in order to ‘cure’ a twenty nine year old woman from witchcraft.</w:t>
      </w:r>
      <w:r w:rsidRPr="008C3633">
        <w:rPr>
          <w:rFonts w:ascii="Times New Roman" w:hAnsi="Times New Roman" w:cs="Times New Roman"/>
          <w:bCs/>
          <w:sz w:val="24"/>
          <w:szCs w:val="24"/>
        </w:rPr>
        <w:footnoteReference w:id="1220"/>
      </w:r>
      <w:r w:rsidRPr="008C3633">
        <w:rPr>
          <w:rFonts w:ascii="Times New Roman" w:hAnsi="Times New Roman" w:cs="Times New Roman"/>
          <w:bCs/>
          <w:sz w:val="24"/>
          <w:szCs w:val="24"/>
          <w:vertAlign w:val="baseline"/>
        </w:rPr>
        <w:t xml:space="preserve"> </w:t>
      </w:r>
    </w:p>
    <w:p w14:paraId="7D8B2145" w14:textId="77777777" w:rsidR="008C3633" w:rsidRPr="008C3633" w:rsidRDefault="008C3633" w:rsidP="008C3633">
      <w:pPr>
        <w:spacing w:line="480" w:lineRule="auto"/>
        <w:jc w:val="both"/>
        <w:rPr>
          <w:rFonts w:ascii="Times New Roman" w:hAnsi="Times New Roman" w:cs="Times New Roman"/>
          <w:bCs/>
          <w:sz w:val="24"/>
          <w:szCs w:val="24"/>
          <w:vertAlign w:val="baseline"/>
        </w:rPr>
      </w:pPr>
    </w:p>
    <w:p w14:paraId="06D507E6" w14:textId="474C8DF5" w:rsidR="008C3633" w:rsidRDefault="008C3633" w:rsidP="00CB3E1B">
      <w:pPr>
        <w:spacing w:line="480" w:lineRule="auto"/>
        <w:ind w:firstLine="720"/>
        <w:jc w:val="both"/>
        <w:rPr>
          <w:rFonts w:ascii="Times New Roman" w:hAnsi="Times New Roman" w:cs="Times New Roman"/>
          <w:bCs/>
          <w:sz w:val="24"/>
          <w:szCs w:val="24"/>
          <w:vertAlign w:val="baseline"/>
        </w:rPr>
      </w:pPr>
      <w:r w:rsidRPr="008C3633">
        <w:rPr>
          <w:rFonts w:ascii="Times New Roman" w:hAnsi="Times New Roman" w:cs="Times New Roman"/>
          <w:bCs/>
          <w:sz w:val="24"/>
          <w:szCs w:val="24"/>
          <w:vertAlign w:val="baseline"/>
        </w:rPr>
        <w:t>Whilst there have been attempts by states to eliminate the practice of WAP, disappointedly, in the majority of states within India, no legal action has been taken to eliminate the practice of witch-hunting.</w:t>
      </w:r>
      <w:r w:rsidRPr="008C3633">
        <w:rPr>
          <w:rFonts w:ascii="Times New Roman" w:hAnsi="Times New Roman" w:cs="Times New Roman"/>
          <w:bCs/>
          <w:sz w:val="24"/>
          <w:szCs w:val="24"/>
        </w:rPr>
        <w:footnoteReference w:id="1221"/>
      </w:r>
      <w:r w:rsidRPr="008C3633">
        <w:rPr>
          <w:rFonts w:ascii="Times New Roman" w:hAnsi="Times New Roman" w:cs="Times New Roman"/>
          <w:bCs/>
          <w:sz w:val="24"/>
          <w:szCs w:val="24"/>
          <w:vertAlign w:val="baseline"/>
        </w:rPr>
        <w:t xml:space="preserve"> Moreover, in those states with preventative legislation, this has proved unsuccessful, seemingly unable to provide effective deterrent, curative, or punitive measures for victims of WAP,</w:t>
      </w:r>
      <w:r w:rsidRPr="008C3633">
        <w:rPr>
          <w:rFonts w:ascii="Times New Roman" w:hAnsi="Times New Roman" w:cs="Times New Roman"/>
          <w:bCs/>
          <w:sz w:val="24"/>
          <w:szCs w:val="24"/>
        </w:rPr>
        <w:t xml:space="preserve"> </w:t>
      </w:r>
      <w:r w:rsidRPr="008C3633">
        <w:rPr>
          <w:rFonts w:ascii="Times New Roman" w:hAnsi="Times New Roman" w:cs="Times New Roman"/>
          <w:bCs/>
          <w:sz w:val="24"/>
          <w:szCs w:val="24"/>
        </w:rPr>
        <w:footnoteReference w:id="1222"/>
      </w:r>
      <w:r w:rsidRPr="008C3633">
        <w:rPr>
          <w:rFonts w:ascii="Times New Roman" w:hAnsi="Times New Roman" w:cs="Times New Roman"/>
          <w:bCs/>
          <w:sz w:val="24"/>
          <w:szCs w:val="24"/>
          <w:vertAlign w:val="baseline"/>
        </w:rPr>
        <w:t xml:space="preserve"> with witch-hunting across many states alleged to be on the increase.</w:t>
      </w:r>
      <w:r w:rsidRPr="008C3633">
        <w:rPr>
          <w:rFonts w:ascii="Times New Roman" w:hAnsi="Times New Roman" w:cs="Times New Roman"/>
          <w:bCs/>
          <w:sz w:val="24"/>
          <w:szCs w:val="24"/>
        </w:rPr>
        <w:footnoteReference w:id="1223"/>
      </w:r>
      <w:r w:rsidRPr="008C3633">
        <w:rPr>
          <w:rFonts w:ascii="Times New Roman" w:hAnsi="Times New Roman" w:cs="Times New Roman"/>
          <w:bCs/>
          <w:sz w:val="24"/>
          <w:szCs w:val="24"/>
          <w:vertAlign w:val="baseline"/>
        </w:rPr>
        <w:t xml:space="preserve"> WAP in India is a consequence of entrenched superstitious beliefs, combined with disputes over land, property and gender, fostered by patriarchy. As Mishra explains, ‘oppression of women as ‘witches’ can be traced back to the first social communities in India … as women gained power in the community, excuses were found to “bring them down to their place.”’</w:t>
      </w:r>
      <w:r w:rsidRPr="008C3633">
        <w:rPr>
          <w:rFonts w:ascii="Times New Roman" w:hAnsi="Times New Roman" w:cs="Times New Roman"/>
          <w:bCs/>
          <w:sz w:val="24"/>
          <w:szCs w:val="24"/>
        </w:rPr>
        <w:footnoteReference w:id="1224"/>
      </w:r>
      <w:r w:rsidRPr="008C3633">
        <w:rPr>
          <w:rFonts w:ascii="Times New Roman" w:hAnsi="Times New Roman" w:cs="Times New Roman"/>
          <w:bCs/>
          <w:sz w:val="24"/>
          <w:szCs w:val="24"/>
          <w:vertAlign w:val="baseline"/>
        </w:rPr>
        <w:t xml:space="preserve"> WAP continues to exist in India, despite the enactment of the aforementioned anti-witch hunting laws due to a lack of implementation and a lack of enforcement by the authorities.  As Kumar explains, </w:t>
      </w:r>
    </w:p>
    <w:p w14:paraId="6309A807" w14:textId="77777777" w:rsidR="00ED402F" w:rsidRPr="008C3633" w:rsidRDefault="00ED402F" w:rsidP="00CB3E1B">
      <w:pPr>
        <w:spacing w:line="480" w:lineRule="auto"/>
        <w:ind w:firstLine="720"/>
        <w:jc w:val="both"/>
        <w:rPr>
          <w:rFonts w:ascii="Times New Roman" w:hAnsi="Times New Roman" w:cs="Times New Roman"/>
          <w:bCs/>
          <w:sz w:val="24"/>
          <w:szCs w:val="24"/>
          <w:vertAlign w:val="baseline"/>
        </w:rPr>
      </w:pPr>
    </w:p>
    <w:p w14:paraId="5611B8D2" w14:textId="77777777" w:rsidR="008C3633" w:rsidRPr="008C3633" w:rsidRDefault="008C3633" w:rsidP="004D7313">
      <w:pPr>
        <w:spacing w:line="480" w:lineRule="auto"/>
        <w:ind w:left="720"/>
        <w:jc w:val="both"/>
        <w:rPr>
          <w:rFonts w:ascii="Times New Roman" w:hAnsi="Times New Roman" w:cs="Times New Roman"/>
          <w:bCs/>
          <w:sz w:val="24"/>
          <w:szCs w:val="24"/>
          <w:vertAlign w:val="baseline"/>
        </w:rPr>
      </w:pPr>
      <w:r w:rsidRPr="008C3633">
        <w:rPr>
          <w:rFonts w:ascii="Times New Roman" w:hAnsi="Times New Roman" w:cs="Times New Roman"/>
          <w:bCs/>
          <w:sz w:val="24"/>
          <w:szCs w:val="24"/>
          <w:vertAlign w:val="baseline"/>
        </w:rPr>
        <w:t>What is most troubling is that such events find only a quiet mention in government records, if at all. The attitude of the police towards these cases is, at best, disappointing – and at worst, negligent. According to villagers, police simply encourage the parties involved to settle matters privately, without any formal legal action.</w:t>
      </w:r>
      <w:r w:rsidRPr="008C3633">
        <w:rPr>
          <w:rFonts w:ascii="Times New Roman" w:hAnsi="Times New Roman" w:cs="Times New Roman"/>
          <w:bCs/>
          <w:sz w:val="24"/>
          <w:szCs w:val="24"/>
        </w:rPr>
        <w:footnoteReference w:id="1225"/>
      </w:r>
    </w:p>
    <w:p w14:paraId="01C526E2" w14:textId="77777777" w:rsidR="008C3633" w:rsidRPr="008C3633" w:rsidRDefault="008C3633" w:rsidP="008C3633">
      <w:pPr>
        <w:spacing w:line="480" w:lineRule="auto"/>
        <w:jc w:val="both"/>
        <w:rPr>
          <w:rFonts w:ascii="Times New Roman" w:hAnsi="Times New Roman" w:cs="Times New Roman"/>
          <w:bCs/>
          <w:sz w:val="24"/>
          <w:szCs w:val="24"/>
          <w:vertAlign w:val="baseline"/>
        </w:rPr>
      </w:pPr>
    </w:p>
    <w:p w14:paraId="03716FC4" w14:textId="77777777" w:rsidR="008C3633" w:rsidRPr="008C3633" w:rsidRDefault="008C3633" w:rsidP="00B74690">
      <w:pPr>
        <w:spacing w:line="480" w:lineRule="auto"/>
        <w:ind w:firstLine="720"/>
        <w:jc w:val="both"/>
        <w:rPr>
          <w:rFonts w:ascii="Times New Roman" w:hAnsi="Times New Roman" w:cs="Times New Roman"/>
          <w:bCs/>
          <w:sz w:val="24"/>
          <w:szCs w:val="24"/>
          <w:vertAlign w:val="baseline"/>
        </w:rPr>
      </w:pPr>
      <w:r w:rsidRPr="008C3633">
        <w:rPr>
          <w:rFonts w:ascii="Times New Roman" w:hAnsi="Times New Roman" w:cs="Times New Roman"/>
          <w:bCs/>
          <w:sz w:val="24"/>
          <w:szCs w:val="24"/>
          <w:vertAlign w:val="baseline"/>
        </w:rPr>
        <w:t xml:space="preserve">Thus, victims are often afraid to lodge police complaints, due to the lack of evidence, response and fear of retaliation from the perpetrators. In the absence of case law and secure convictions, it becomes difficult for law-enforcement officials to determine the nature of how to proceed with accusations of witchcraft and the evidence required in order to secure more convictions of WAP. Consequently, of those cases that do make it to court, many are dismissed due to lack of evidence, owing to the largely secretive and accusatory nature of the witchcraft discourse. This was documented in the case of </w:t>
      </w:r>
      <w:r w:rsidRPr="008C3633">
        <w:rPr>
          <w:rFonts w:ascii="Times New Roman" w:hAnsi="Times New Roman" w:cs="Times New Roman"/>
          <w:i/>
          <w:sz w:val="24"/>
          <w:szCs w:val="24"/>
          <w:vertAlign w:val="baseline"/>
        </w:rPr>
        <w:t>Tula Devi And Ors. vs The State Of Jharkhand And Anr,</w:t>
      </w:r>
      <w:r w:rsidRPr="008C3633">
        <w:rPr>
          <w:rFonts w:ascii="Times New Roman" w:hAnsi="Times New Roman" w:cs="Times New Roman"/>
          <w:bCs/>
          <w:sz w:val="24"/>
          <w:szCs w:val="24"/>
        </w:rPr>
        <w:t xml:space="preserve"> </w:t>
      </w:r>
      <w:r w:rsidRPr="008C3633">
        <w:rPr>
          <w:rFonts w:ascii="Times New Roman" w:hAnsi="Times New Roman" w:cs="Times New Roman"/>
          <w:bCs/>
          <w:sz w:val="24"/>
          <w:szCs w:val="24"/>
        </w:rPr>
        <w:footnoteReference w:id="1226"/>
      </w:r>
      <w:r w:rsidRPr="008C3633">
        <w:rPr>
          <w:rFonts w:ascii="Times New Roman" w:hAnsi="Times New Roman" w:cs="Times New Roman"/>
          <w:bCs/>
          <w:sz w:val="24"/>
          <w:szCs w:val="24"/>
        </w:rPr>
        <w:t xml:space="preserve"> </w:t>
      </w:r>
      <w:r w:rsidRPr="008C3633">
        <w:rPr>
          <w:rFonts w:ascii="Times New Roman" w:hAnsi="Times New Roman" w:cs="Times New Roman"/>
          <w:bCs/>
          <w:sz w:val="24"/>
          <w:szCs w:val="24"/>
          <w:vertAlign w:val="baseline"/>
        </w:rPr>
        <w:t xml:space="preserve">where the victim failed to prove that she had been accused and subsequently harmed for being a witch, due to a lack of witnesses and evidential proof. Likewise in the case of </w:t>
      </w:r>
      <w:r w:rsidRPr="008C3633">
        <w:rPr>
          <w:rFonts w:ascii="Times New Roman" w:hAnsi="Times New Roman" w:cs="Times New Roman"/>
          <w:bCs/>
          <w:i/>
          <w:sz w:val="24"/>
          <w:szCs w:val="24"/>
          <w:vertAlign w:val="baseline"/>
        </w:rPr>
        <w:t xml:space="preserve">Madhu Munda And Ors. vs State Of Bihar, </w:t>
      </w:r>
      <w:r w:rsidRPr="008C3633">
        <w:rPr>
          <w:rFonts w:ascii="Times New Roman" w:hAnsi="Times New Roman" w:cs="Times New Roman"/>
          <w:bCs/>
          <w:sz w:val="24"/>
          <w:szCs w:val="24"/>
          <w:vertAlign w:val="baseline"/>
        </w:rPr>
        <w:t xml:space="preserve"> a delay in the victim’s family reporting the incident, due to societal pressure, was grounds enough for not convicting the accused.</w:t>
      </w:r>
      <w:r w:rsidRPr="008C3633">
        <w:rPr>
          <w:rFonts w:ascii="Times New Roman" w:hAnsi="Times New Roman" w:cs="Times New Roman"/>
          <w:bCs/>
          <w:sz w:val="24"/>
          <w:szCs w:val="24"/>
        </w:rPr>
        <w:footnoteReference w:id="1227"/>
      </w:r>
      <w:r w:rsidRPr="008C3633">
        <w:rPr>
          <w:rFonts w:ascii="Times New Roman" w:hAnsi="Times New Roman" w:cs="Times New Roman"/>
          <w:bCs/>
          <w:sz w:val="24"/>
          <w:szCs w:val="24"/>
          <w:vertAlign w:val="baseline"/>
        </w:rPr>
        <w:t xml:space="preserve"> </w:t>
      </w:r>
    </w:p>
    <w:p w14:paraId="31D97201" w14:textId="77777777" w:rsidR="008C3633" w:rsidRPr="008C3633" w:rsidRDefault="008C3633" w:rsidP="008C3633">
      <w:pPr>
        <w:spacing w:line="480" w:lineRule="auto"/>
        <w:jc w:val="both"/>
        <w:rPr>
          <w:rFonts w:ascii="Times New Roman" w:hAnsi="Times New Roman" w:cs="Times New Roman"/>
          <w:bCs/>
          <w:sz w:val="24"/>
          <w:szCs w:val="24"/>
          <w:vertAlign w:val="baseline"/>
        </w:rPr>
      </w:pPr>
    </w:p>
    <w:p w14:paraId="7DF7599D" w14:textId="471EB5DC" w:rsidR="008C3633" w:rsidRPr="008C3633" w:rsidRDefault="008C3633" w:rsidP="008C3633">
      <w:pPr>
        <w:spacing w:line="480" w:lineRule="auto"/>
        <w:jc w:val="both"/>
        <w:rPr>
          <w:rFonts w:ascii="Times New Roman" w:hAnsi="Times New Roman" w:cs="Times New Roman"/>
          <w:bCs/>
          <w:sz w:val="24"/>
          <w:szCs w:val="24"/>
          <w:vertAlign w:val="baseline"/>
        </w:rPr>
      </w:pPr>
      <w:r w:rsidRPr="008C3633">
        <w:rPr>
          <w:rFonts w:ascii="Times New Roman" w:hAnsi="Times New Roman" w:cs="Times New Roman"/>
          <w:bCs/>
          <w:sz w:val="24"/>
          <w:szCs w:val="24"/>
          <w:vertAlign w:val="baseline"/>
        </w:rPr>
        <w:t xml:space="preserve"> </w:t>
      </w:r>
      <w:r w:rsidR="00E01A51">
        <w:rPr>
          <w:rFonts w:ascii="Times New Roman" w:hAnsi="Times New Roman" w:cs="Times New Roman"/>
          <w:bCs/>
          <w:sz w:val="24"/>
          <w:szCs w:val="24"/>
          <w:vertAlign w:val="baseline"/>
        </w:rPr>
        <w:tab/>
      </w:r>
      <w:r w:rsidRPr="008C3633">
        <w:rPr>
          <w:rFonts w:ascii="Times New Roman" w:hAnsi="Times New Roman" w:cs="Times New Roman"/>
          <w:bCs/>
          <w:sz w:val="24"/>
          <w:szCs w:val="24"/>
          <w:vertAlign w:val="baseline"/>
        </w:rPr>
        <w:t>It is alleged that reported incidents of WAP are only the tip of the iceberg, but as noted by the Free Legal Aid Committee, ‘less than 1% of reported cases actually lead to conviction.’</w:t>
      </w:r>
      <w:r w:rsidRPr="008C3633">
        <w:rPr>
          <w:rFonts w:ascii="Times New Roman" w:hAnsi="Times New Roman" w:cs="Times New Roman"/>
          <w:bCs/>
          <w:sz w:val="24"/>
          <w:szCs w:val="24"/>
        </w:rPr>
        <w:footnoteReference w:id="1228"/>
      </w:r>
      <w:r w:rsidRPr="008C3633">
        <w:rPr>
          <w:rFonts w:ascii="Times New Roman" w:hAnsi="Times New Roman" w:cs="Times New Roman"/>
          <w:bCs/>
          <w:sz w:val="24"/>
          <w:szCs w:val="24"/>
          <w:vertAlign w:val="baseline"/>
        </w:rPr>
        <w:t xml:space="preserve"> The effect of the Maharashtra Prevention and Eradication of Human Sacrifice and Other Inhuman, Evil and </w:t>
      </w:r>
      <w:r w:rsidRPr="008C3633">
        <w:rPr>
          <w:rFonts w:ascii="Times New Roman" w:hAnsi="Times New Roman" w:cs="Times New Roman"/>
          <w:bCs/>
          <w:i/>
          <w:iCs/>
          <w:sz w:val="24"/>
          <w:szCs w:val="24"/>
          <w:vertAlign w:val="baseline"/>
        </w:rPr>
        <w:t>Aghori</w:t>
      </w:r>
      <w:r w:rsidRPr="008C3633">
        <w:rPr>
          <w:rFonts w:ascii="Times New Roman" w:hAnsi="Times New Roman" w:cs="Times New Roman"/>
          <w:bCs/>
          <w:sz w:val="24"/>
          <w:szCs w:val="24"/>
          <w:vertAlign w:val="baseline"/>
        </w:rPr>
        <w:t> Practices and Black Magic Ordinance (Maharashtra Ordinance XIV of 2013) is promising; yet, there is still only one conviction under the Act. It is hoped that this conviction will be utilised and studied by law enforcement officials, in order to obtain further convictions under the Act. Whilst every legal initiative to try and eradicate WAP is both necessary and welcome, an inherent social and cultural acceptance of the practice negates such efforts. The need for effective and extensive awareness of the practice nationally, coupled with an explicit national law on the issue, as opposed to sporadic regional legislation, must be implemented concurrently. Moreover, as documented in chapter five,</w:t>
      </w:r>
      <w:r w:rsidRPr="008C3633">
        <w:rPr>
          <w:rFonts w:ascii="Times New Roman" w:hAnsi="Times New Roman" w:cs="Times New Roman"/>
          <w:bCs/>
          <w:sz w:val="24"/>
          <w:szCs w:val="24"/>
        </w:rPr>
        <w:footnoteReference w:id="1229"/>
      </w:r>
      <w:r w:rsidRPr="008C3633">
        <w:rPr>
          <w:rFonts w:ascii="Times New Roman" w:hAnsi="Times New Roman" w:cs="Times New Roman"/>
          <w:bCs/>
          <w:sz w:val="24"/>
          <w:szCs w:val="24"/>
          <w:vertAlign w:val="baseline"/>
        </w:rPr>
        <w:t xml:space="preserve"> there needs to be a willingness from India, to adhere to their obligations under international human rights law. Yet, there remains reluctance from the State to challenge traditional practices such as WAP that violate the rights of women. Until the very root of the issue, namely cultural superstition, is dealt with legislation remains ineffective.</w:t>
      </w:r>
    </w:p>
    <w:p w14:paraId="449A80EB" w14:textId="77777777" w:rsidR="00C471BE" w:rsidRDefault="00C471BE" w:rsidP="008C3633">
      <w:pPr>
        <w:spacing w:line="480" w:lineRule="auto"/>
        <w:jc w:val="both"/>
        <w:rPr>
          <w:rFonts w:ascii="Times New Roman" w:hAnsi="Times New Roman" w:cs="Times New Roman"/>
          <w:bCs/>
          <w:sz w:val="24"/>
          <w:szCs w:val="24"/>
          <w:vertAlign w:val="baseline"/>
        </w:rPr>
      </w:pPr>
    </w:p>
    <w:p w14:paraId="37F6063C" w14:textId="34B8F132" w:rsidR="008C3633" w:rsidRPr="008C3633" w:rsidRDefault="004D7313" w:rsidP="008C3633">
      <w:pPr>
        <w:spacing w:line="480" w:lineRule="auto"/>
        <w:jc w:val="both"/>
        <w:rPr>
          <w:rFonts w:ascii="Times New Roman" w:hAnsi="Times New Roman" w:cs="Times New Roman"/>
          <w:b/>
          <w:bCs/>
          <w:sz w:val="24"/>
          <w:szCs w:val="24"/>
          <w:u w:val="single"/>
          <w:vertAlign w:val="baseline"/>
        </w:rPr>
      </w:pPr>
      <w:r>
        <w:rPr>
          <w:rFonts w:ascii="Times New Roman" w:hAnsi="Times New Roman" w:cs="Times New Roman"/>
          <w:b/>
          <w:bCs/>
          <w:sz w:val="24"/>
          <w:szCs w:val="24"/>
          <w:u w:val="single"/>
          <w:vertAlign w:val="baseline"/>
        </w:rPr>
        <w:t>6</w:t>
      </w:r>
      <w:r w:rsidR="00C471BE">
        <w:rPr>
          <w:rFonts w:ascii="Times New Roman" w:hAnsi="Times New Roman" w:cs="Times New Roman"/>
          <w:b/>
          <w:bCs/>
          <w:sz w:val="24"/>
          <w:szCs w:val="24"/>
          <w:u w:val="single"/>
          <w:vertAlign w:val="baseline"/>
        </w:rPr>
        <w:t xml:space="preserve">.7 </w:t>
      </w:r>
      <w:r w:rsidR="008C3633" w:rsidRPr="008C3633">
        <w:rPr>
          <w:rFonts w:ascii="Times New Roman" w:hAnsi="Times New Roman" w:cs="Times New Roman"/>
          <w:b/>
          <w:bCs/>
          <w:sz w:val="24"/>
          <w:szCs w:val="24"/>
          <w:u w:val="single"/>
          <w:vertAlign w:val="baseline"/>
        </w:rPr>
        <w:t>N</w:t>
      </w:r>
      <w:r>
        <w:rPr>
          <w:rFonts w:ascii="Times New Roman" w:hAnsi="Times New Roman" w:cs="Times New Roman"/>
          <w:b/>
          <w:bCs/>
          <w:sz w:val="24"/>
          <w:szCs w:val="24"/>
          <w:u w:val="single"/>
          <w:vertAlign w:val="baseline"/>
        </w:rPr>
        <w:t>ATIONAL LAWS OF NEPAL</w:t>
      </w:r>
    </w:p>
    <w:p w14:paraId="3C8D73CE" w14:textId="77777777" w:rsidR="00A52ABA" w:rsidRDefault="008C3633" w:rsidP="00C471BE">
      <w:pPr>
        <w:spacing w:line="480" w:lineRule="auto"/>
        <w:ind w:firstLine="720"/>
        <w:jc w:val="both"/>
        <w:rPr>
          <w:rFonts w:ascii="Times New Roman" w:hAnsi="Times New Roman" w:cs="Times New Roman"/>
          <w:bCs/>
          <w:sz w:val="24"/>
          <w:szCs w:val="24"/>
          <w:vertAlign w:val="baseline"/>
        </w:rPr>
      </w:pPr>
      <w:r w:rsidRPr="008C3633">
        <w:rPr>
          <w:rFonts w:ascii="Times New Roman" w:hAnsi="Times New Roman" w:cs="Times New Roman"/>
          <w:bCs/>
          <w:sz w:val="24"/>
          <w:szCs w:val="24"/>
          <w:vertAlign w:val="baseline"/>
        </w:rPr>
        <w:t>Following a decade long armed conflict between the Nepalese government and the Communist Party of Nepal an agreement was reached and the Comprehensive Peace Accord (CPA) was signed on 21</w:t>
      </w:r>
      <w:r w:rsidRPr="008C3633">
        <w:rPr>
          <w:rFonts w:ascii="Times New Roman" w:hAnsi="Times New Roman" w:cs="Times New Roman"/>
          <w:bCs/>
          <w:sz w:val="24"/>
          <w:szCs w:val="24"/>
        </w:rPr>
        <w:t xml:space="preserve"> </w:t>
      </w:r>
      <w:r w:rsidRPr="008C3633">
        <w:rPr>
          <w:rFonts w:ascii="Times New Roman" w:hAnsi="Times New Roman" w:cs="Times New Roman"/>
          <w:bCs/>
          <w:sz w:val="24"/>
          <w:szCs w:val="24"/>
          <w:vertAlign w:val="baseline"/>
        </w:rPr>
        <w:t>November 2006.</w:t>
      </w:r>
      <w:r w:rsidRPr="008C3633">
        <w:rPr>
          <w:rFonts w:ascii="Times New Roman" w:hAnsi="Times New Roman" w:cs="Times New Roman"/>
          <w:bCs/>
          <w:sz w:val="24"/>
          <w:szCs w:val="24"/>
        </w:rPr>
        <w:footnoteReference w:id="1230"/>
      </w:r>
      <w:r w:rsidRPr="008C3633">
        <w:rPr>
          <w:rFonts w:ascii="Times New Roman" w:hAnsi="Times New Roman" w:cs="Times New Roman"/>
          <w:bCs/>
          <w:sz w:val="24"/>
          <w:szCs w:val="24"/>
          <w:vertAlign w:val="baseline"/>
        </w:rPr>
        <w:t xml:space="preserve"> One of the fundamental pillars of the CPA was to write a new Constitution, one that grants equal rights and opportunities for all citizens of Nepal. Nepal is currently governed by the Interim Constitution of Nepal 2007, which entered into forced on 15 January 2007. Whilst efforts have been made to finalise a new long-overdue Constitution, they have, thus far, failed. Most recently there have been violent clashes and protests</w:t>
      </w:r>
      <w:r w:rsidRPr="008C3633">
        <w:rPr>
          <w:rFonts w:ascii="Times New Roman" w:hAnsi="Times New Roman" w:cs="Times New Roman"/>
          <w:bCs/>
          <w:sz w:val="24"/>
          <w:szCs w:val="24"/>
        </w:rPr>
        <w:footnoteReference w:id="1231"/>
      </w:r>
      <w:r w:rsidRPr="008C3633">
        <w:rPr>
          <w:rFonts w:ascii="Times New Roman" w:hAnsi="Times New Roman" w:cs="Times New Roman"/>
          <w:bCs/>
          <w:sz w:val="24"/>
          <w:szCs w:val="24"/>
          <w:vertAlign w:val="baseline"/>
        </w:rPr>
        <w:t xml:space="preserve"> over proposals laid down in the draft Constitution, regarding the division of Nepal into seven federal states, with minority groups arguing that such divisions would ‘discriminate against them and give the</w:t>
      </w:r>
      <w:r w:rsidR="00A52ABA">
        <w:rPr>
          <w:rFonts w:ascii="Times New Roman" w:hAnsi="Times New Roman" w:cs="Times New Roman"/>
          <w:bCs/>
          <w:sz w:val="24"/>
          <w:szCs w:val="24"/>
          <w:vertAlign w:val="baseline"/>
        </w:rPr>
        <w:t>m</w:t>
      </w:r>
      <w:r w:rsidRPr="008C3633">
        <w:rPr>
          <w:rFonts w:ascii="Times New Roman" w:hAnsi="Times New Roman" w:cs="Times New Roman"/>
          <w:bCs/>
          <w:sz w:val="24"/>
          <w:szCs w:val="24"/>
          <w:vertAlign w:val="baseline"/>
        </w:rPr>
        <w:t xml:space="preserve"> insufficient autonomy.’</w:t>
      </w:r>
      <w:r w:rsidRPr="008C3633">
        <w:rPr>
          <w:rFonts w:ascii="Times New Roman" w:hAnsi="Times New Roman" w:cs="Times New Roman"/>
          <w:bCs/>
          <w:sz w:val="24"/>
          <w:szCs w:val="24"/>
        </w:rPr>
        <w:footnoteReference w:id="1232"/>
      </w:r>
      <w:r w:rsidRPr="008C3633">
        <w:rPr>
          <w:rFonts w:ascii="Times New Roman" w:hAnsi="Times New Roman" w:cs="Times New Roman"/>
          <w:bCs/>
          <w:sz w:val="24"/>
          <w:szCs w:val="24"/>
          <w:vertAlign w:val="baseline"/>
        </w:rPr>
        <w:t xml:space="preserve"> </w:t>
      </w:r>
    </w:p>
    <w:p w14:paraId="3DB65CDD" w14:textId="77777777" w:rsidR="00A52ABA" w:rsidRDefault="00A52ABA" w:rsidP="00C471BE">
      <w:pPr>
        <w:spacing w:line="480" w:lineRule="auto"/>
        <w:ind w:firstLine="720"/>
        <w:jc w:val="both"/>
        <w:rPr>
          <w:rFonts w:ascii="Times New Roman" w:hAnsi="Times New Roman" w:cs="Times New Roman"/>
          <w:bCs/>
          <w:sz w:val="24"/>
          <w:szCs w:val="24"/>
          <w:vertAlign w:val="baseline"/>
        </w:rPr>
      </w:pPr>
    </w:p>
    <w:p w14:paraId="3B15E138" w14:textId="3EF5DB81" w:rsidR="008C3633" w:rsidRPr="008C3633" w:rsidRDefault="008C3633" w:rsidP="00C471BE">
      <w:pPr>
        <w:spacing w:line="480" w:lineRule="auto"/>
        <w:ind w:firstLine="720"/>
        <w:jc w:val="both"/>
        <w:rPr>
          <w:rFonts w:ascii="Times New Roman" w:hAnsi="Times New Roman" w:cs="Times New Roman"/>
          <w:bCs/>
          <w:sz w:val="24"/>
          <w:szCs w:val="24"/>
          <w:vertAlign w:val="baseline"/>
        </w:rPr>
      </w:pPr>
      <w:r w:rsidRPr="008C3633">
        <w:rPr>
          <w:rFonts w:ascii="Times New Roman" w:hAnsi="Times New Roman" w:cs="Times New Roman"/>
          <w:bCs/>
          <w:sz w:val="24"/>
          <w:szCs w:val="24"/>
          <w:vertAlign w:val="baseline"/>
        </w:rPr>
        <w:t xml:space="preserve">Part III of the Interim Constitution of Nepal deals with ‘Fundamental Rights,’ </w:t>
      </w:r>
      <w:r w:rsidR="00B257B1">
        <w:rPr>
          <w:rFonts w:ascii="Times New Roman" w:hAnsi="Times New Roman" w:cs="Times New Roman"/>
          <w:bCs/>
          <w:sz w:val="24"/>
          <w:szCs w:val="24"/>
          <w:vertAlign w:val="baseline"/>
        </w:rPr>
        <w:t xml:space="preserve">which reflects Nepal’s obligations under international human rights law, </w:t>
      </w:r>
      <w:r w:rsidRPr="008C3633">
        <w:rPr>
          <w:rFonts w:ascii="Times New Roman" w:hAnsi="Times New Roman" w:cs="Times New Roman"/>
          <w:bCs/>
          <w:sz w:val="24"/>
          <w:szCs w:val="24"/>
          <w:vertAlign w:val="baseline"/>
        </w:rPr>
        <w:t>with article 13 affirming the right to equality and non-discrimination and article 26 prohibiting the use of torture. More specific articles such as article 14 are aimed at the caste system; article 14(1) states, ‘No person shall, on the ground of caste, descent, community or occupation, be subject to racial discrimination and untouchability of any form,’</w:t>
      </w:r>
      <w:r w:rsidRPr="008C3633">
        <w:rPr>
          <w:rFonts w:ascii="Times New Roman" w:hAnsi="Times New Roman" w:cs="Times New Roman"/>
          <w:bCs/>
          <w:sz w:val="24"/>
          <w:szCs w:val="24"/>
        </w:rPr>
        <w:footnoteReference w:id="1233"/>
      </w:r>
      <w:r w:rsidRPr="008C3633">
        <w:rPr>
          <w:rFonts w:ascii="Times New Roman" w:hAnsi="Times New Roman" w:cs="Times New Roman"/>
          <w:bCs/>
          <w:sz w:val="24"/>
          <w:szCs w:val="24"/>
          <w:vertAlign w:val="baseline"/>
        </w:rPr>
        <w:t xml:space="preserve"> with article 20 specifically catering for the rights of women, </w:t>
      </w:r>
    </w:p>
    <w:p w14:paraId="516DE381" w14:textId="77777777" w:rsidR="008C3633" w:rsidRPr="008C3633" w:rsidRDefault="008C3633" w:rsidP="008C3633">
      <w:pPr>
        <w:spacing w:line="480" w:lineRule="auto"/>
        <w:jc w:val="both"/>
        <w:rPr>
          <w:rFonts w:ascii="Times New Roman" w:hAnsi="Times New Roman" w:cs="Times New Roman"/>
          <w:bCs/>
          <w:sz w:val="24"/>
          <w:szCs w:val="24"/>
          <w:vertAlign w:val="baseline"/>
        </w:rPr>
      </w:pPr>
    </w:p>
    <w:p w14:paraId="7FBDB49C" w14:textId="77777777" w:rsidR="008C3633" w:rsidRPr="008C3633" w:rsidRDefault="008C3633" w:rsidP="00A52ABA">
      <w:pPr>
        <w:spacing w:line="480" w:lineRule="auto"/>
        <w:ind w:left="720"/>
        <w:jc w:val="both"/>
        <w:rPr>
          <w:rFonts w:ascii="Times New Roman" w:hAnsi="Times New Roman" w:cs="Times New Roman"/>
          <w:bCs/>
          <w:sz w:val="24"/>
          <w:szCs w:val="24"/>
          <w:vertAlign w:val="baseline"/>
        </w:rPr>
      </w:pPr>
      <w:r w:rsidRPr="008C3633">
        <w:rPr>
          <w:rFonts w:ascii="Times New Roman" w:hAnsi="Times New Roman" w:cs="Times New Roman"/>
          <w:bCs/>
          <w:sz w:val="24"/>
          <w:szCs w:val="24"/>
          <w:vertAlign w:val="baseline"/>
        </w:rPr>
        <w:t>(1) No one shall be discriminated in any form merely for being a woman. (2) Every woman shall have the right to reproductive health and other reproductive matters. (3) No physical, mental or any other form of violence shall be inflicted to any woman, and such an act shall be punishable by law. (4) Son and daughter shall have equal rights to their ancestral property.</w:t>
      </w:r>
      <w:r w:rsidRPr="008C3633">
        <w:rPr>
          <w:rFonts w:ascii="Times New Roman" w:hAnsi="Times New Roman" w:cs="Times New Roman"/>
          <w:bCs/>
          <w:sz w:val="24"/>
          <w:szCs w:val="24"/>
        </w:rPr>
        <w:footnoteReference w:id="1234"/>
      </w:r>
    </w:p>
    <w:p w14:paraId="2BC6C254" w14:textId="77777777" w:rsidR="008C3633" w:rsidRPr="008C3633" w:rsidRDefault="008C3633" w:rsidP="008C3633">
      <w:pPr>
        <w:spacing w:line="480" w:lineRule="auto"/>
        <w:jc w:val="both"/>
        <w:rPr>
          <w:rFonts w:ascii="Times New Roman" w:hAnsi="Times New Roman" w:cs="Times New Roman"/>
          <w:bCs/>
          <w:sz w:val="24"/>
          <w:szCs w:val="24"/>
          <w:vertAlign w:val="baseline"/>
        </w:rPr>
      </w:pPr>
    </w:p>
    <w:p w14:paraId="12075057" w14:textId="77777777" w:rsidR="008C3633" w:rsidRPr="008C3633" w:rsidRDefault="008C3633" w:rsidP="008C3633">
      <w:pPr>
        <w:spacing w:line="480" w:lineRule="auto"/>
        <w:jc w:val="both"/>
        <w:rPr>
          <w:rFonts w:ascii="Times New Roman" w:hAnsi="Times New Roman" w:cs="Times New Roman"/>
          <w:bCs/>
          <w:sz w:val="24"/>
          <w:szCs w:val="24"/>
          <w:vertAlign w:val="baseline"/>
        </w:rPr>
      </w:pPr>
      <w:r w:rsidRPr="008C3633">
        <w:rPr>
          <w:rFonts w:ascii="Times New Roman" w:hAnsi="Times New Roman" w:cs="Times New Roman"/>
          <w:bCs/>
          <w:sz w:val="24"/>
          <w:szCs w:val="24"/>
          <w:vertAlign w:val="baseline"/>
        </w:rPr>
        <w:t>Similarly, article 28 provides the right against exploitation, stating that,  ‘(1) Every person shall have the right against exploitation. (2) No one shall be exploited in the name of any custom, tradition and usage or in any manner whatsoever.’</w:t>
      </w:r>
      <w:r w:rsidRPr="008C3633">
        <w:rPr>
          <w:rFonts w:ascii="Times New Roman" w:hAnsi="Times New Roman" w:cs="Times New Roman"/>
          <w:bCs/>
          <w:sz w:val="24"/>
          <w:szCs w:val="24"/>
        </w:rPr>
        <w:footnoteReference w:id="1235"/>
      </w:r>
      <w:r w:rsidRPr="008C3633">
        <w:rPr>
          <w:rFonts w:ascii="Times New Roman" w:hAnsi="Times New Roman" w:cs="Times New Roman"/>
          <w:bCs/>
          <w:sz w:val="24"/>
          <w:szCs w:val="24"/>
          <w:vertAlign w:val="baseline"/>
        </w:rPr>
        <w:t xml:space="preserve"> </w:t>
      </w:r>
    </w:p>
    <w:p w14:paraId="3DA1D6F9" w14:textId="77777777" w:rsidR="008C3633" w:rsidRPr="008C3633" w:rsidRDefault="008C3633" w:rsidP="008C3633">
      <w:pPr>
        <w:spacing w:line="480" w:lineRule="auto"/>
        <w:jc w:val="both"/>
        <w:rPr>
          <w:rFonts w:ascii="Times New Roman" w:hAnsi="Times New Roman" w:cs="Times New Roman"/>
          <w:bCs/>
          <w:sz w:val="24"/>
          <w:szCs w:val="24"/>
          <w:vertAlign w:val="baseline"/>
        </w:rPr>
      </w:pPr>
    </w:p>
    <w:p w14:paraId="04C0F63D" w14:textId="11C89599" w:rsidR="008C3633" w:rsidRPr="008C3633" w:rsidRDefault="008C3633" w:rsidP="003C2647">
      <w:pPr>
        <w:spacing w:line="480" w:lineRule="auto"/>
        <w:ind w:firstLine="720"/>
        <w:jc w:val="both"/>
        <w:rPr>
          <w:rFonts w:ascii="Times New Roman" w:hAnsi="Times New Roman" w:cs="Times New Roman"/>
          <w:bCs/>
          <w:sz w:val="24"/>
          <w:szCs w:val="24"/>
          <w:vertAlign w:val="baseline"/>
        </w:rPr>
      </w:pPr>
      <w:r w:rsidRPr="008C3633">
        <w:rPr>
          <w:rFonts w:ascii="Times New Roman" w:hAnsi="Times New Roman" w:cs="Times New Roman"/>
          <w:bCs/>
          <w:sz w:val="24"/>
          <w:szCs w:val="24"/>
          <w:vertAlign w:val="baseline"/>
        </w:rPr>
        <w:t xml:space="preserve">Despite these provisions, Dalit women are among the most disadvantaged people in Nepal, scoring at the lowest in most social indicators in Nepal; </w:t>
      </w:r>
      <w:r w:rsidRPr="008C3633">
        <w:rPr>
          <w:rFonts w:ascii="Times New Roman" w:hAnsi="Times New Roman" w:cs="Times New Roman"/>
          <w:sz w:val="24"/>
          <w:szCs w:val="24"/>
          <w:vertAlign w:val="baseline"/>
        </w:rPr>
        <w:t xml:space="preserve">42 per cent of the population is reported to live below the national poverty line, with 37.7 per </w:t>
      </w:r>
      <w:r w:rsidR="007957AB">
        <w:rPr>
          <w:rFonts w:ascii="Times New Roman" w:hAnsi="Times New Roman" w:cs="Times New Roman"/>
          <w:sz w:val="24"/>
          <w:szCs w:val="24"/>
          <w:vertAlign w:val="baseline"/>
        </w:rPr>
        <w:t>cent earning less than one dollar</w:t>
      </w:r>
      <w:r w:rsidRPr="008C3633">
        <w:rPr>
          <w:rFonts w:ascii="Times New Roman" w:hAnsi="Times New Roman" w:cs="Times New Roman"/>
          <w:sz w:val="24"/>
          <w:szCs w:val="24"/>
          <w:vertAlign w:val="baseline"/>
        </w:rPr>
        <w:t xml:space="preserve"> a day.</w:t>
      </w:r>
      <w:r w:rsidRPr="008C3633">
        <w:rPr>
          <w:rFonts w:ascii="Times New Roman" w:hAnsi="Times New Roman" w:cs="Times New Roman"/>
          <w:bCs/>
          <w:sz w:val="24"/>
          <w:szCs w:val="24"/>
        </w:rPr>
        <w:footnoteReference w:id="1236"/>
      </w:r>
      <w:r w:rsidR="007957AB">
        <w:rPr>
          <w:rFonts w:ascii="Times New Roman" w:hAnsi="Times New Roman" w:cs="Times New Roman"/>
          <w:bCs/>
          <w:sz w:val="24"/>
          <w:szCs w:val="24"/>
          <w:vertAlign w:val="baseline"/>
        </w:rPr>
        <w:t xml:space="preserve"> </w:t>
      </w:r>
      <w:r w:rsidRPr="008C3633">
        <w:rPr>
          <w:rFonts w:ascii="Times New Roman" w:hAnsi="Times New Roman" w:cs="Times New Roman"/>
          <w:bCs/>
          <w:sz w:val="24"/>
          <w:szCs w:val="24"/>
          <w:vertAlign w:val="baseline"/>
        </w:rPr>
        <w:t>Despite, the national legal age of marriage in Nepal being 18 years for female and 21 years for males,</w:t>
      </w:r>
      <w:r w:rsidRPr="008C3633">
        <w:rPr>
          <w:rFonts w:ascii="Times New Roman" w:hAnsi="Times New Roman" w:cs="Times New Roman"/>
          <w:bCs/>
          <w:sz w:val="24"/>
          <w:szCs w:val="24"/>
        </w:rPr>
        <w:footnoteReference w:id="1237"/>
      </w:r>
      <w:r w:rsidRPr="008C3633">
        <w:rPr>
          <w:rFonts w:ascii="Times New Roman" w:hAnsi="Times New Roman" w:cs="Times New Roman"/>
          <w:bCs/>
          <w:sz w:val="24"/>
          <w:szCs w:val="24"/>
          <w:vertAlign w:val="baseline"/>
        </w:rPr>
        <w:t xml:space="preserve"> akin to India, Nepal has a high percentage of child marriage, with approximately 54% of girls in rural areas and 41% in urban areas married before the age of eighteen.</w:t>
      </w:r>
      <w:r w:rsidRPr="008C3633">
        <w:rPr>
          <w:rFonts w:ascii="Times New Roman" w:hAnsi="Times New Roman" w:cs="Times New Roman"/>
          <w:bCs/>
          <w:sz w:val="24"/>
          <w:szCs w:val="24"/>
        </w:rPr>
        <w:footnoteReference w:id="1238"/>
      </w:r>
      <w:r w:rsidRPr="008C3633">
        <w:rPr>
          <w:rFonts w:ascii="Times New Roman" w:hAnsi="Times New Roman" w:cs="Times New Roman"/>
          <w:bCs/>
          <w:sz w:val="24"/>
          <w:szCs w:val="24"/>
          <w:vertAlign w:val="baseline"/>
        </w:rPr>
        <w:t xml:space="preserve"> Thus, as</w:t>
      </w:r>
      <w:r w:rsidR="00C02486">
        <w:rPr>
          <w:rFonts w:ascii="Times New Roman" w:hAnsi="Times New Roman" w:cs="Times New Roman"/>
          <w:bCs/>
          <w:sz w:val="24"/>
          <w:szCs w:val="24"/>
          <w:vertAlign w:val="baseline"/>
        </w:rPr>
        <w:t xml:space="preserve"> discussed in chapter four</w:t>
      </w:r>
      <w:r w:rsidR="00036573">
        <w:rPr>
          <w:rFonts w:ascii="Times New Roman" w:hAnsi="Times New Roman" w:cs="Times New Roman"/>
          <w:bCs/>
          <w:sz w:val="24"/>
          <w:szCs w:val="24"/>
          <w:vertAlign w:val="baseline"/>
        </w:rPr>
        <w:t>,</w:t>
      </w:r>
      <w:r w:rsidR="00C02486">
        <w:rPr>
          <w:rStyle w:val="FootnoteReference"/>
          <w:rFonts w:ascii="Times New Roman" w:hAnsi="Times New Roman" w:cs="Times New Roman"/>
          <w:bCs/>
          <w:sz w:val="24"/>
          <w:szCs w:val="24"/>
        </w:rPr>
        <w:footnoteReference w:id="1239"/>
      </w:r>
      <w:r w:rsidR="005054AC">
        <w:rPr>
          <w:rFonts w:ascii="Times New Roman" w:hAnsi="Times New Roman" w:cs="Times New Roman"/>
          <w:bCs/>
          <w:sz w:val="24"/>
          <w:szCs w:val="24"/>
          <w:vertAlign w:val="baseline"/>
        </w:rPr>
        <w:t xml:space="preserve"> the </w:t>
      </w:r>
      <w:r w:rsidRPr="008C3633">
        <w:rPr>
          <w:rFonts w:ascii="Times New Roman" w:hAnsi="Times New Roman" w:cs="Times New Roman"/>
          <w:bCs/>
          <w:sz w:val="24"/>
          <w:szCs w:val="24"/>
          <w:vertAlign w:val="baseline"/>
        </w:rPr>
        <w:t>high percentage</w:t>
      </w:r>
      <w:r w:rsidR="00036573">
        <w:rPr>
          <w:rFonts w:ascii="Times New Roman" w:hAnsi="Times New Roman" w:cs="Times New Roman"/>
          <w:bCs/>
          <w:sz w:val="24"/>
          <w:szCs w:val="24"/>
          <w:vertAlign w:val="baseline"/>
        </w:rPr>
        <w:t>s</w:t>
      </w:r>
      <w:r w:rsidR="005054AC">
        <w:rPr>
          <w:rFonts w:ascii="Times New Roman" w:hAnsi="Times New Roman" w:cs="Times New Roman"/>
          <w:bCs/>
          <w:sz w:val="24"/>
          <w:szCs w:val="24"/>
          <w:vertAlign w:val="baseline"/>
        </w:rPr>
        <w:t xml:space="preserve"> of widows, as a consequence of child marriage,</w:t>
      </w:r>
      <w:r w:rsidRPr="008C3633">
        <w:rPr>
          <w:rFonts w:ascii="Times New Roman" w:hAnsi="Times New Roman" w:cs="Times New Roman"/>
          <w:bCs/>
          <w:sz w:val="24"/>
          <w:szCs w:val="24"/>
          <w:vertAlign w:val="baseline"/>
        </w:rPr>
        <w:t xml:space="preserve"> provide families with the ideal opportunity to exploit the</w:t>
      </w:r>
      <w:r w:rsidR="005054AC">
        <w:rPr>
          <w:rFonts w:ascii="Times New Roman" w:hAnsi="Times New Roman" w:cs="Times New Roman"/>
          <w:bCs/>
          <w:sz w:val="24"/>
          <w:szCs w:val="24"/>
          <w:vertAlign w:val="baseline"/>
        </w:rPr>
        <w:t>ir vulnerability.</w:t>
      </w:r>
    </w:p>
    <w:p w14:paraId="2DC7B318" w14:textId="77777777" w:rsidR="003C2647" w:rsidRDefault="003C2647" w:rsidP="008C3633">
      <w:pPr>
        <w:spacing w:line="480" w:lineRule="auto"/>
        <w:jc w:val="both"/>
        <w:rPr>
          <w:rFonts w:ascii="Times New Roman" w:hAnsi="Times New Roman" w:cs="Times New Roman"/>
          <w:bCs/>
          <w:sz w:val="24"/>
          <w:szCs w:val="24"/>
          <w:vertAlign w:val="baseline"/>
        </w:rPr>
      </w:pPr>
    </w:p>
    <w:p w14:paraId="62459236" w14:textId="247A075F" w:rsidR="00060B12" w:rsidRPr="00475418" w:rsidRDefault="00475418" w:rsidP="008C3633">
      <w:pPr>
        <w:spacing w:line="480" w:lineRule="auto"/>
        <w:jc w:val="both"/>
        <w:rPr>
          <w:rFonts w:ascii="Times New Roman" w:hAnsi="Times New Roman" w:cs="Times New Roman"/>
          <w:b/>
          <w:bCs/>
          <w:i/>
          <w:sz w:val="24"/>
          <w:szCs w:val="24"/>
          <w:vertAlign w:val="baseline"/>
        </w:rPr>
      </w:pPr>
      <w:r w:rsidRPr="00475418">
        <w:rPr>
          <w:rFonts w:ascii="Times New Roman" w:hAnsi="Times New Roman" w:cs="Times New Roman"/>
          <w:b/>
          <w:bCs/>
          <w:i/>
          <w:sz w:val="24"/>
          <w:szCs w:val="24"/>
          <w:vertAlign w:val="baseline"/>
        </w:rPr>
        <w:t>6</w:t>
      </w:r>
      <w:r w:rsidR="003C2647" w:rsidRPr="00475418">
        <w:rPr>
          <w:rFonts w:ascii="Times New Roman" w:hAnsi="Times New Roman" w:cs="Times New Roman"/>
          <w:b/>
          <w:bCs/>
          <w:i/>
          <w:sz w:val="24"/>
          <w:szCs w:val="24"/>
          <w:vertAlign w:val="baseline"/>
        </w:rPr>
        <w:t xml:space="preserve">.7.1 </w:t>
      </w:r>
      <w:r w:rsidR="008C3633" w:rsidRPr="00475418">
        <w:rPr>
          <w:rFonts w:ascii="Times New Roman" w:hAnsi="Times New Roman" w:cs="Times New Roman"/>
          <w:b/>
          <w:bCs/>
          <w:i/>
          <w:sz w:val="24"/>
          <w:szCs w:val="24"/>
          <w:vertAlign w:val="baseline"/>
        </w:rPr>
        <w:t>Personal laws</w:t>
      </w:r>
    </w:p>
    <w:p w14:paraId="5D3F3B8A" w14:textId="1BCA3EA9" w:rsidR="00C47E48" w:rsidRDefault="008C3633" w:rsidP="000A6308">
      <w:pPr>
        <w:spacing w:line="480" w:lineRule="auto"/>
        <w:ind w:firstLine="720"/>
        <w:jc w:val="both"/>
        <w:rPr>
          <w:rFonts w:ascii="Times New Roman" w:hAnsi="Times New Roman" w:cs="Times New Roman"/>
          <w:b/>
          <w:bCs/>
          <w:sz w:val="24"/>
          <w:szCs w:val="24"/>
          <w:u w:val="single"/>
          <w:vertAlign w:val="baseline"/>
        </w:rPr>
      </w:pPr>
      <w:r w:rsidRPr="008C3633">
        <w:rPr>
          <w:rFonts w:ascii="Times New Roman" w:hAnsi="Times New Roman" w:cs="Times New Roman"/>
          <w:bCs/>
          <w:sz w:val="24"/>
          <w:szCs w:val="24"/>
          <w:vertAlign w:val="baseline"/>
        </w:rPr>
        <w:t>Whilst there is no formal recognition of customary or personal laws in the Nepalese Interim Constitution, they are reflected in the Muluki Ain (General Code) 1963, which recognises customary rules and practices of indigenous communities.</w:t>
      </w:r>
      <w:r w:rsidRPr="008C3633">
        <w:rPr>
          <w:rFonts w:ascii="Times New Roman" w:hAnsi="Times New Roman" w:cs="Times New Roman"/>
          <w:bCs/>
          <w:sz w:val="24"/>
          <w:szCs w:val="24"/>
        </w:rPr>
        <w:footnoteReference w:id="1240"/>
      </w:r>
      <w:r w:rsidRPr="008C3633">
        <w:rPr>
          <w:rFonts w:ascii="Times New Roman" w:hAnsi="Times New Roman" w:cs="Times New Roman"/>
          <w:sz w:val="24"/>
          <w:szCs w:val="24"/>
          <w:vertAlign w:val="baseline"/>
        </w:rPr>
        <w:t xml:space="preserve"> Until the establishment of democracy in Nepal, in 1951,</w:t>
      </w:r>
      <w:r w:rsidRPr="008C3633">
        <w:rPr>
          <w:rFonts w:ascii="Times New Roman" w:hAnsi="Times New Roman" w:cs="Times New Roman"/>
          <w:sz w:val="24"/>
          <w:szCs w:val="24"/>
        </w:rPr>
        <w:footnoteReference w:id="1241"/>
      </w:r>
      <w:r w:rsidRPr="008C3633">
        <w:rPr>
          <w:rFonts w:ascii="Times New Roman" w:hAnsi="Times New Roman" w:cs="Times New Roman"/>
          <w:sz w:val="24"/>
          <w:szCs w:val="24"/>
          <w:vertAlign w:val="baseline"/>
        </w:rPr>
        <w:t xml:space="preserve"> Nepalese laws were based on the Hindu religion, local customs and royal decrees.</w:t>
      </w:r>
      <w:r w:rsidRPr="008C3633">
        <w:rPr>
          <w:rFonts w:ascii="Times New Roman" w:hAnsi="Times New Roman" w:cs="Times New Roman"/>
          <w:sz w:val="24"/>
          <w:szCs w:val="24"/>
        </w:rPr>
        <w:footnoteReference w:id="1242"/>
      </w:r>
      <w:r w:rsidRPr="008C3633">
        <w:rPr>
          <w:rFonts w:ascii="Times New Roman" w:hAnsi="Times New Roman" w:cs="Times New Roman"/>
          <w:sz w:val="24"/>
          <w:szCs w:val="24"/>
          <w:vertAlign w:val="baseline"/>
        </w:rPr>
        <w:t xml:space="preserve"> Thus, prior to the codification of the Muluki Ain 1854, which was subsequently replaced by the Muluki Ain 1963, the legal system of Nepal was highly influenced by laws, which ‘were based on social customs, traditions, culture values and religion.’</w:t>
      </w:r>
      <w:r w:rsidRPr="008C3633">
        <w:rPr>
          <w:rFonts w:ascii="Times New Roman" w:hAnsi="Times New Roman" w:cs="Times New Roman"/>
          <w:sz w:val="24"/>
          <w:szCs w:val="24"/>
        </w:rPr>
        <w:footnoteReference w:id="1243"/>
      </w:r>
      <w:r w:rsidRPr="008C3633">
        <w:rPr>
          <w:rFonts w:ascii="Times New Roman" w:hAnsi="Times New Roman" w:cs="Times New Roman"/>
          <w:sz w:val="24"/>
          <w:szCs w:val="24"/>
          <w:vertAlign w:val="baseline"/>
        </w:rPr>
        <w:t xml:space="preserve"> As Ghosh explains, ‘it was the national code of 1854 that had introduced a National Caste System by allocating a certain rank to each ethnic and religious group as per the ruler’s political requirements.’</w:t>
      </w:r>
      <w:r w:rsidRPr="008C3633">
        <w:rPr>
          <w:rFonts w:ascii="Times New Roman" w:hAnsi="Times New Roman" w:cs="Times New Roman"/>
          <w:sz w:val="24"/>
          <w:szCs w:val="24"/>
        </w:rPr>
        <w:footnoteReference w:id="1244"/>
      </w:r>
      <w:r w:rsidRPr="008C3633">
        <w:rPr>
          <w:rFonts w:ascii="Times New Roman" w:hAnsi="Times New Roman" w:cs="Times New Roman"/>
          <w:sz w:val="24"/>
          <w:szCs w:val="24"/>
          <w:vertAlign w:val="baseline"/>
        </w:rPr>
        <w:t xml:space="preserve"> Thus, akin to India, personal laws in Nepal were divided along ethnic and religious lines. However, </w:t>
      </w:r>
      <w:r w:rsidRPr="008C3633">
        <w:rPr>
          <w:rFonts w:ascii="Times New Roman" w:hAnsi="Times New Roman" w:cs="Times New Roman"/>
          <w:bCs/>
          <w:sz w:val="24"/>
          <w:szCs w:val="24"/>
          <w:vertAlign w:val="baseline"/>
        </w:rPr>
        <w:t xml:space="preserve">whilst personal laws in India still remain divided amongst religious lines due to their lack of uniform civil code, </w:t>
      </w:r>
      <w:r w:rsidRPr="008C3633">
        <w:rPr>
          <w:rFonts w:ascii="Times New Roman" w:hAnsi="Times New Roman" w:cs="Times New Roman"/>
          <w:sz w:val="24"/>
          <w:szCs w:val="24"/>
          <w:vertAlign w:val="baseline"/>
        </w:rPr>
        <w:t>the introduction of the Muluki Ain 1963, which was based upon the notion of equality, codified all laws of Nepal, including civil, religious, criminal and customary laws, and abolished all forms of discrimination, including the caste system and untouchability.</w:t>
      </w:r>
      <w:r w:rsidRPr="008C3633">
        <w:rPr>
          <w:rFonts w:ascii="Times New Roman" w:hAnsi="Times New Roman" w:cs="Times New Roman"/>
          <w:sz w:val="24"/>
          <w:szCs w:val="24"/>
        </w:rPr>
        <w:footnoteReference w:id="1245"/>
      </w:r>
      <w:r w:rsidRPr="008C3633">
        <w:rPr>
          <w:rFonts w:ascii="Times New Roman" w:hAnsi="Times New Roman" w:cs="Times New Roman"/>
          <w:bCs/>
          <w:sz w:val="24"/>
          <w:szCs w:val="24"/>
          <w:vertAlign w:val="baseline"/>
        </w:rPr>
        <w:t xml:space="preserve"> Yet, whilst the Muluki Ain 1963 declared all citizens equal before the law, the 1963 code is ‘essentially a Hindu code.’</w:t>
      </w:r>
      <w:r w:rsidRPr="008C3633">
        <w:rPr>
          <w:rFonts w:ascii="Times New Roman" w:hAnsi="Times New Roman" w:cs="Times New Roman"/>
          <w:bCs/>
          <w:sz w:val="24"/>
          <w:szCs w:val="24"/>
        </w:rPr>
        <w:footnoteReference w:id="1246"/>
      </w:r>
      <w:r w:rsidRPr="008C3633">
        <w:rPr>
          <w:rFonts w:ascii="Times New Roman" w:hAnsi="Times New Roman" w:cs="Times New Roman"/>
          <w:bCs/>
          <w:sz w:val="24"/>
          <w:szCs w:val="24"/>
          <w:vertAlign w:val="baseline"/>
        </w:rPr>
        <w:t xml:space="preserve"> Whilst constitutionally, Nepal may appear to be a secular country, the social structure of Nepal remains rooted in the old traditions, values, customs and practices of the Hindu religion and associated rituals.</w:t>
      </w:r>
      <w:r w:rsidRPr="008C3633">
        <w:rPr>
          <w:rFonts w:ascii="Times New Roman" w:hAnsi="Times New Roman" w:cs="Times New Roman"/>
          <w:bCs/>
          <w:sz w:val="24"/>
          <w:szCs w:val="24"/>
        </w:rPr>
        <w:footnoteReference w:id="1247"/>
      </w:r>
    </w:p>
    <w:p w14:paraId="38D2A73F" w14:textId="77777777" w:rsidR="000A6308" w:rsidRDefault="000A6308" w:rsidP="000A6308">
      <w:pPr>
        <w:spacing w:line="480" w:lineRule="auto"/>
        <w:ind w:firstLine="720"/>
        <w:jc w:val="both"/>
        <w:rPr>
          <w:rFonts w:ascii="Times New Roman" w:hAnsi="Times New Roman" w:cs="Times New Roman"/>
          <w:b/>
          <w:bCs/>
          <w:sz w:val="24"/>
          <w:szCs w:val="24"/>
          <w:u w:val="single"/>
          <w:vertAlign w:val="baseline"/>
        </w:rPr>
      </w:pPr>
    </w:p>
    <w:p w14:paraId="0F43649A" w14:textId="678CCC49" w:rsidR="008C3633" w:rsidRPr="00475418" w:rsidRDefault="00475418" w:rsidP="008C3633">
      <w:pPr>
        <w:spacing w:line="480" w:lineRule="auto"/>
        <w:jc w:val="both"/>
        <w:rPr>
          <w:rFonts w:ascii="Times New Roman" w:hAnsi="Times New Roman" w:cs="Times New Roman"/>
          <w:b/>
          <w:bCs/>
          <w:i/>
          <w:sz w:val="24"/>
          <w:szCs w:val="24"/>
          <w:vertAlign w:val="baseline"/>
        </w:rPr>
      </w:pPr>
      <w:r w:rsidRPr="00475418">
        <w:rPr>
          <w:rFonts w:ascii="Times New Roman" w:hAnsi="Times New Roman" w:cs="Times New Roman"/>
          <w:b/>
          <w:bCs/>
          <w:i/>
          <w:sz w:val="24"/>
          <w:szCs w:val="24"/>
          <w:vertAlign w:val="baseline"/>
        </w:rPr>
        <w:t>6</w:t>
      </w:r>
      <w:r w:rsidR="0034297F" w:rsidRPr="00475418">
        <w:rPr>
          <w:rFonts w:ascii="Times New Roman" w:hAnsi="Times New Roman" w:cs="Times New Roman"/>
          <w:b/>
          <w:bCs/>
          <w:i/>
          <w:sz w:val="24"/>
          <w:szCs w:val="24"/>
          <w:vertAlign w:val="baseline"/>
        </w:rPr>
        <w:t>.7.2 Witchcraft L</w:t>
      </w:r>
      <w:r w:rsidR="008C3633" w:rsidRPr="00475418">
        <w:rPr>
          <w:rFonts w:ascii="Times New Roman" w:hAnsi="Times New Roman" w:cs="Times New Roman"/>
          <w:b/>
          <w:bCs/>
          <w:i/>
          <w:sz w:val="24"/>
          <w:szCs w:val="24"/>
          <w:vertAlign w:val="baseline"/>
        </w:rPr>
        <w:t>aws</w:t>
      </w:r>
    </w:p>
    <w:p w14:paraId="2A5EA57D" w14:textId="0BFF7518" w:rsidR="00CC1953" w:rsidRPr="008C3633" w:rsidRDefault="008C3633" w:rsidP="00CC1953">
      <w:pPr>
        <w:spacing w:line="480" w:lineRule="auto"/>
        <w:ind w:firstLine="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As regards WAP there are is a specific reference to witchcraft in The Muluki Ain (General Code).</w:t>
      </w:r>
      <w:r w:rsidRPr="008C3633">
        <w:rPr>
          <w:rFonts w:ascii="Times New Roman" w:hAnsi="Times New Roman" w:cs="Times New Roman"/>
          <w:sz w:val="24"/>
          <w:szCs w:val="24"/>
        </w:rPr>
        <w:footnoteReference w:id="1248"/>
      </w:r>
      <w:r w:rsidRPr="008C3633">
        <w:rPr>
          <w:rFonts w:ascii="Times New Roman" w:hAnsi="Times New Roman" w:cs="Times New Roman"/>
          <w:sz w:val="24"/>
          <w:szCs w:val="24"/>
          <w:vertAlign w:val="baseline"/>
        </w:rPr>
        <w:t xml:space="preserve"> Inserted into the Muluki Ain by the Some Nepal Acts Amendment Act 2063 (2007), number 10B states, </w:t>
      </w:r>
    </w:p>
    <w:p w14:paraId="3348325E" w14:textId="77777777" w:rsidR="008C3633" w:rsidRPr="008C3633" w:rsidRDefault="008C3633" w:rsidP="001D4540">
      <w:pPr>
        <w:jc w:val="both"/>
        <w:rPr>
          <w:rFonts w:ascii="Times New Roman" w:hAnsi="Times New Roman" w:cs="Times New Roman"/>
          <w:sz w:val="24"/>
          <w:szCs w:val="24"/>
          <w:vertAlign w:val="baseline"/>
        </w:rPr>
      </w:pPr>
    </w:p>
    <w:p w14:paraId="73C10E12" w14:textId="77777777" w:rsidR="008C3633" w:rsidRPr="008C3633" w:rsidRDefault="008C3633" w:rsidP="00900389">
      <w:pPr>
        <w:spacing w:line="480" w:lineRule="auto"/>
        <w:ind w:left="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If a person accuses another person of [being] a witch or banishes him or her from his or her place of residence on such accusation or excludes him other from social activities or does any other inhuman or degrading treatment or commits torture or banishes any ill (sick) person from his or her place of residence by rejecting or doing any inhuman or degrading treatment to him or her on the ground that he or she has suffered from any disease, the person shall be liable to the punishment of imprisonment for a term ranging from Three months to Two years or a fine of Five Thousand Rupees to Twenty Five Thousand Rupees or both.</w:t>
      </w:r>
      <w:r w:rsidRPr="008C3633">
        <w:rPr>
          <w:rFonts w:ascii="Times New Roman" w:hAnsi="Times New Roman" w:cs="Times New Roman"/>
          <w:sz w:val="24"/>
          <w:szCs w:val="24"/>
        </w:rPr>
        <w:footnoteReference w:id="1249"/>
      </w:r>
    </w:p>
    <w:p w14:paraId="1FA8F8FB" w14:textId="77777777" w:rsidR="008C3633" w:rsidRPr="008C3633" w:rsidRDefault="008C3633" w:rsidP="008C3633">
      <w:pPr>
        <w:spacing w:line="480" w:lineRule="auto"/>
        <w:jc w:val="both"/>
        <w:rPr>
          <w:rFonts w:ascii="Times New Roman" w:hAnsi="Times New Roman" w:cs="Times New Roman"/>
          <w:sz w:val="24"/>
          <w:szCs w:val="24"/>
          <w:vertAlign w:val="baseline"/>
        </w:rPr>
      </w:pPr>
    </w:p>
    <w:p w14:paraId="3064752C" w14:textId="2C557C2A" w:rsidR="008C3633" w:rsidRDefault="008C3633" w:rsidP="00CC1953">
      <w:pPr>
        <w:spacing w:line="480" w:lineRule="auto"/>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Whilst the Muluki Ain recognises the need to legislate against WAP, the ‘or’ conjunction in the final sentence of article 10B (above) causes ambiguity, as perpetrators face the possibility of walking away paying the minimum fine.</w:t>
      </w:r>
      <w:r w:rsidRPr="008C3633">
        <w:rPr>
          <w:rFonts w:ascii="Times New Roman" w:hAnsi="Times New Roman" w:cs="Times New Roman"/>
          <w:sz w:val="24"/>
          <w:szCs w:val="24"/>
        </w:rPr>
        <w:footnoteReference w:id="1250"/>
      </w:r>
      <w:r w:rsidRPr="008C3633">
        <w:rPr>
          <w:rFonts w:ascii="Times New Roman" w:hAnsi="Times New Roman" w:cs="Times New Roman"/>
          <w:sz w:val="24"/>
          <w:szCs w:val="24"/>
          <w:vertAlign w:val="baseline"/>
        </w:rPr>
        <w:t xml:space="preserve"> Thus, the Muluki Ain presented no real deterrent to perpetrators, with victims fearful that reporting the crime would only assist in dispersing the story to a wider audience and that the stigma of being a ‘witch’ would stay with them forever. Moreover, as observed by Ansari,</w:t>
      </w:r>
      <w:r w:rsidRPr="008C3633">
        <w:rPr>
          <w:rFonts w:ascii="Times New Roman" w:hAnsi="Times New Roman" w:cs="Times New Roman"/>
          <w:sz w:val="24"/>
          <w:szCs w:val="24"/>
        </w:rPr>
        <w:footnoteReference w:id="1251"/>
      </w:r>
      <w:r w:rsidRPr="008C3633">
        <w:rPr>
          <w:rFonts w:ascii="Times New Roman" w:hAnsi="Times New Roman" w:cs="Times New Roman"/>
          <w:sz w:val="24"/>
          <w:szCs w:val="24"/>
          <w:vertAlign w:val="baseline"/>
        </w:rPr>
        <w:t xml:space="preserve"> ‘the other problem lies with the police administration, members of which belong to the same society that believes in the existence of witches. Instead of sympathy and provisions for counselling, the police personnel wonder if the victim was really a witch because there can’t be any smoke without fire.’</w:t>
      </w:r>
      <w:r w:rsidRPr="008C3633">
        <w:rPr>
          <w:rFonts w:ascii="Times New Roman" w:hAnsi="Times New Roman" w:cs="Times New Roman"/>
          <w:sz w:val="24"/>
          <w:szCs w:val="24"/>
        </w:rPr>
        <w:footnoteReference w:id="1252"/>
      </w:r>
      <w:r w:rsidRPr="008C3633">
        <w:rPr>
          <w:rFonts w:ascii="Times New Roman" w:hAnsi="Times New Roman" w:cs="Times New Roman"/>
          <w:sz w:val="24"/>
          <w:szCs w:val="24"/>
          <w:vertAlign w:val="baseline"/>
        </w:rPr>
        <w:t xml:space="preserve"> Conversely, the judiciary in Nepal has been instrumental in contributing towards strict enforcement of laws prohibiting harmful practices, such as </w:t>
      </w:r>
      <w:r w:rsidR="00CC1953">
        <w:rPr>
          <w:rFonts w:ascii="Times New Roman" w:hAnsi="Times New Roman" w:cs="Times New Roman"/>
          <w:i/>
          <w:sz w:val="24"/>
          <w:szCs w:val="24"/>
          <w:vertAlign w:val="baseline"/>
        </w:rPr>
        <w:t>c</w:t>
      </w:r>
      <w:r w:rsidR="00E63239">
        <w:rPr>
          <w:rFonts w:ascii="Times New Roman" w:hAnsi="Times New Roman" w:cs="Times New Roman"/>
          <w:i/>
          <w:sz w:val="24"/>
          <w:szCs w:val="24"/>
          <w:vertAlign w:val="baseline"/>
        </w:rPr>
        <w:t>h</w:t>
      </w:r>
      <w:r w:rsidRPr="008C3633">
        <w:rPr>
          <w:rFonts w:ascii="Times New Roman" w:hAnsi="Times New Roman" w:cs="Times New Roman"/>
          <w:i/>
          <w:sz w:val="24"/>
          <w:szCs w:val="24"/>
          <w:vertAlign w:val="baseline"/>
        </w:rPr>
        <w:t>aupadi</w:t>
      </w:r>
      <w:r w:rsidRPr="008C3633">
        <w:rPr>
          <w:rFonts w:ascii="Times New Roman" w:hAnsi="Times New Roman" w:cs="Times New Roman"/>
          <w:sz w:val="24"/>
          <w:szCs w:val="24"/>
        </w:rPr>
        <w:footnoteReference w:id="1253"/>
      </w:r>
      <w:r w:rsidRPr="008C3633">
        <w:rPr>
          <w:rFonts w:ascii="Times New Roman" w:hAnsi="Times New Roman" w:cs="Times New Roman"/>
          <w:i/>
          <w:sz w:val="24"/>
          <w:szCs w:val="24"/>
          <w:vertAlign w:val="baseline"/>
        </w:rPr>
        <w:t xml:space="preserve"> </w:t>
      </w:r>
      <w:r w:rsidRPr="008C3633">
        <w:rPr>
          <w:rFonts w:ascii="Times New Roman" w:hAnsi="Times New Roman" w:cs="Times New Roman"/>
          <w:sz w:val="24"/>
          <w:szCs w:val="24"/>
          <w:vertAlign w:val="baseline"/>
        </w:rPr>
        <w:t>and witchcraft.</w:t>
      </w:r>
      <w:r w:rsidRPr="008C3633">
        <w:rPr>
          <w:rFonts w:ascii="Times New Roman" w:hAnsi="Times New Roman" w:cs="Times New Roman"/>
          <w:sz w:val="24"/>
          <w:szCs w:val="24"/>
        </w:rPr>
        <w:footnoteReference w:id="1254"/>
      </w:r>
      <w:r w:rsidRPr="008C3633">
        <w:rPr>
          <w:rFonts w:ascii="Times New Roman" w:hAnsi="Times New Roman" w:cs="Times New Roman"/>
          <w:sz w:val="24"/>
          <w:szCs w:val="24"/>
          <w:vertAlign w:val="baseline"/>
        </w:rPr>
        <w:t xml:space="preserve"> In the case of </w:t>
      </w:r>
      <w:r w:rsidRPr="008C3633">
        <w:rPr>
          <w:rFonts w:ascii="Times New Roman" w:hAnsi="Times New Roman" w:cs="Times New Roman"/>
          <w:i/>
          <w:sz w:val="24"/>
          <w:szCs w:val="24"/>
          <w:vertAlign w:val="baseline"/>
        </w:rPr>
        <w:t xml:space="preserve">Advocate </w:t>
      </w:r>
      <w:r w:rsidR="00A92D4E">
        <w:rPr>
          <w:rFonts w:ascii="Times New Roman" w:hAnsi="Times New Roman" w:cs="Times New Roman"/>
          <w:i/>
          <w:sz w:val="24"/>
          <w:szCs w:val="24"/>
          <w:vertAlign w:val="baseline"/>
        </w:rPr>
        <w:t>Resma Thapa v HMG Nepal</w:t>
      </w:r>
      <w:r w:rsidRPr="008C3633">
        <w:rPr>
          <w:rFonts w:ascii="Times New Roman" w:hAnsi="Times New Roman" w:cs="Times New Roman"/>
          <w:i/>
          <w:sz w:val="24"/>
          <w:szCs w:val="24"/>
          <w:vertAlign w:val="baseline"/>
        </w:rPr>
        <w:t>,</w:t>
      </w:r>
      <w:r w:rsidRPr="008C3633">
        <w:rPr>
          <w:rFonts w:ascii="Times New Roman" w:hAnsi="Times New Roman" w:cs="Times New Roman"/>
          <w:sz w:val="24"/>
          <w:szCs w:val="24"/>
        </w:rPr>
        <w:footnoteReference w:id="1255"/>
      </w:r>
      <w:r w:rsidRPr="008C3633">
        <w:rPr>
          <w:rFonts w:ascii="Times New Roman" w:hAnsi="Times New Roman" w:cs="Times New Roman"/>
          <w:sz w:val="24"/>
          <w:szCs w:val="24"/>
          <w:vertAlign w:val="baseline"/>
        </w:rPr>
        <w:t xml:space="preserve"> the Supreme Court of Nepal issued a directive order to the Government of Nepal to enact adequate and appropriate laws and to take other appropriate and preventative measures against the practice of witchcraft,</w:t>
      </w:r>
      <w:r w:rsidRPr="008C3633">
        <w:rPr>
          <w:rFonts w:ascii="Times New Roman" w:hAnsi="Times New Roman" w:cs="Times New Roman"/>
          <w:sz w:val="24"/>
          <w:szCs w:val="24"/>
        </w:rPr>
        <w:footnoteReference w:id="1256"/>
      </w:r>
      <w:r w:rsidRPr="008C3633">
        <w:rPr>
          <w:rFonts w:ascii="Times New Roman" w:hAnsi="Times New Roman" w:cs="Times New Roman"/>
          <w:sz w:val="24"/>
          <w:szCs w:val="24"/>
          <w:vertAlign w:val="baseline"/>
        </w:rPr>
        <w:t xml:space="preserve"> stating that,</w:t>
      </w:r>
    </w:p>
    <w:p w14:paraId="216F12E2" w14:textId="77777777" w:rsidR="00ED402F" w:rsidRPr="008C3633" w:rsidRDefault="00ED402F" w:rsidP="001D4540">
      <w:pPr>
        <w:spacing w:line="480" w:lineRule="auto"/>
        <w:ind w:firstLine="720"/>
        <w:jc w:val="both"/>
        <w:rPr>
          <w:rFonts w:ascii="Times New Roman" w:hAnsi="Times New Roman" w:cs="Times New Roman"/>
          <w:sz w:val="24"/>
          <w:szCs w:val="24"/>
          <w:vertAlign w:val="baseline"/>
        </w:rPr>
      </w:pPr>
    </w:p>
    <w:p w14:paraId="18EFF779" w14:textId="77777777" w:rsidR="008C3633" w:rsidRPr="008C3633" w:rsidRDefault="008C3633" w:rsidP="00900389">
      <w:pPr>
        <w:spacing w:line="480" w:lineRule="auto"/>
        <w:ind w:left="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The charge of witchcraft against women in rural Nepal is a common phenomena … in the name of witchcraft, many women have lost their lives, and there are daily reports in the media of [women] … suffering a physical attack or torture, sometimes from their own kith and kin … Bringing baseless and superstitious allegations of witchcraft against a women, and then taking her naked around the village and feeding her excreta is an extremely inhumane and degrading treatment that damages the women’s prestige, dignity and reputation.</w:t>
      </w:r>
      <w:r w:rsidRPr="008C3633">
        <w:rPr>
          <w:rFonts w:ascii="Times New Roman" w:hAnsi="Times New Roman" w:cs="Times New Roman"/>
          <w:sz w:val="24"/>
          <w:szCs w:val="24"/>
        </w:rPr>
        <w:footnoteReference w:id="1257"/>
      </w:r>
    </w:p>
    <w:p w14:paraId="48F5924E" w14:textId="77777777" w:rsidR="008C3633" w:rsidRPr="008C3633" w:rsidRDefault="008C3633" w:rsidP="008C3633">
      <w:pPr>
        <w:spacing w:line="480" w:lineRule="auto"/>
        <w:jc w:val="both"/>
        <w:rPr>
          <w:rFonts w:ascii="Times New Roman" w:hAnsi="Times New Roman" w:cs="Times New Roman"/>
          <w:sz w:val="24"/>
          <w:szCs w:val="24"/>
          <w:vertAlign w:val="baseline"/>
        </w:rPr>
      </w:pPr>
    </w:p>
    <w:p w14:paraId="0FFAA0C4" w14:textId="78301135" w:rsidR="008C3633" w:rsidRPr="008C3633" w:rsidRDefault="008C3633" w:rsidP="00127F3F">
      <w:pPr>
        <w:spacing w:line="480" w:lineRule="auto"/>
        <w:ind w:firstLine="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In a 2011 Government report,</w:t>
      </w:r>
      <w:r w:rsidRPr="008C3633">
        <w:rPr>
          <w:rFonts w:ascii="Times New Roman" w:hAnsi="Times New Roman" w:cs="Times New Roman"/>
          <w:sz w:val="24"/>
          <w:szCs w:val="24"/>
        </w:rPr>
        <w:footnoteReference w:id="1258"/>
      </w:r>
      <w:r w:rsidRPr="008C3633">
        <w:rPr>
          <w:rFonts w:ascii="Times New Roman" w:hAnsi="Times New Roman" w:cs="Times New Roman"/>
          <w:sz w:val="24"/>
          <w:szCs w:val="24"/>
          <w:vertAlign w:val="baseline"/>
        </w:rPr>
        <w:t xml:space="preserve"> the Government declared ‘the practices of </w:t>
      </w:r>
      <w:r w:rsidR="00871A8B">
        <w:rPr>
          <w:rFonts w:ascii="Times New Roman" w:hAnsi="Times New Roman" w:cs="Times New Roman"/>
          <w:i/>
          <w:sz w:val="24"/>
          <w:szCs w:val="24"/>
          <w:vertAlign w:val="baseline"/>
        </w:rPr>
        <w:t>c</w:t>
      </w:r>
      <w:r w:rsidR="00655C14" w:rsidRPr="008C3633">
        <w:rPr>
          <w:rFonts w:ascii="Times New Roman" w:hAnsi="Times New Roman" w:cs="Times New Roman"/>
          <w:i/>
          <w:sz w:val="24"/>
          <w:szCs w:val="24"/>
          <w:vertAlign w:val="baseline"/>
        </w:rPr>
        <w:t>haupadi</w:t>
      </w:r>
      <w:r w:rsidRPr="008C3633">
        <w:rPr>
          <w:rFonts w:ascii="Times New Roman" w:hAnsi="Times New Roman" w:cs="Times New Roman"/>
          <w:sz w:val="24"/>
          <w:szCs w:val="24"/>
          <w:vertAlign w:val="baseline"/>
        </w:rPr>
        <w:t xml:space="preserve"> and witchcraft as [the] worst forms of social practices;’</w:t>
      </w:r>
      <w:r w:rsidRPr="008C3633">
        <w:rPr>
          <w:rFonts w:ascii="Times New Roman" w:hAnsi="Times New Roman" w:cs="Times New Roman"/>
          <w:sz w:val="24"/>
          <w:szCs w:val="24"/>
        </w:rPr>
        <w:footnoteReference w:id="1259"/>
      </w:r>
      <w:r w:rsidRPr="008C3633">
        <w:rPr>
          <w:rFonts w:ascii="Times New Roman" w:hAnsi="Times New Roman" w:cs="Times New Roman"/>
          <w:sz w:val="24"/>
          <w:szCs w:val="24"/>
          <w:vertAlign w:val="baseline"/>
        </w:rPr>
        <w:t xml:space="preserve"> however, also acknowledged that ‘social acceptance or the culture of silence can still be observed in some of the stereotypes areas, and these harmful practices are occasionally reported in the media.’</w:t>
      </w:r>
      <w:r w:rsidRPr="008C3633">
        <w:rPr>
          <w:rFonts w:ascii="Times New Roman" w:hAnsi="Times New Roman" w:cs="Times New Roman"/>
          <w:sz w:val="24"/>
          <w:szCs w:val="24"/>
        </w:rPr>
        <w:footnoteReference w:id="1260"/>
      </w:r>
      <w:r w:rsidRPr="008C3633">
        <w:rPr>
          <w:rFonts w:ascii="Times New Roman" w:hAnsi="Times New Roman" w:cs="Times New Roman"/>
          <w:sz w:val="24"/>
          <w:szCs w:val="24"/>
          <w:vertAlign w:val="baseline"/>
        </w:rPr>
        <w:t xml:space="preserve"> In a bid to change the lack of reporting on WAP and in an attempt to eliminate the harmful practice, on 28</w:t>
      </w:r>
      <w:r w:rsidRPr="008C3633">
        <w:rPr>
          <w:rFonts w:ascii="Times New Roman" w:hAnsi="Times New Roman" w:cs="Times New Roman"/>
          <w:sz w:val="24"/>
          <w:szCs w:val="24"/>
        </w:rPr>
        <w:t>th</w:t>
      </w:r>
      <w:r w:rsidRPr="008C3633">
        <w:rPr>
          <w:rFonts w:ascii="Times New Roman" w:hAnsi="Times New Roman" w:cs="Times New Roman"/>
          <w:sz w:val="24"/>
          <w:szCs w:val="24"/>
          <w:vertAlign w:val="baseline"/>
        </w:rPr>
        <w:t xml:space="preserve"> July 2015, Parliament finally passed the Anti Witchcraft (Crime and Punishment) Bill 2071 B.S. (2015). In comparison with the Muluki Ain, the Anti Witchcraft Bill proposes a penalty of up to 15 years imprisonment and a fine of 100,000 rupees for anyone convicted of the maltreatment of alleged witches. Thus, the ‘or’ has been changed for ‘and,’ and perpetrators are now unable to escape a prison sentence once convicted. Whether the new Bill will act as a deterrent and lead to higher rep</w:t>
      </w:r>
      <w:r w:rsidR="00D511B5">
        <w:rPr>
          <w:rFonts w:ascii="Times New Roman" w:hAnsi="Times New Roman" w:cs="Times New Roman"/>
          <w:sz w:val="24"/>
          <w:szCs w:val="24"/>
          <w:vertAlign w:val="baseline"/>
        </w:rPr>
        <w:t>orting levels is yet to be seen;</w:t>
      </w:r>
      <w:r w:rsidRPr="008C3633">
        <w:rPr>
          <w:rFonts w:ascii="Times New Roman" w:hAnsi="Times New Roman" w:cs="Times New Roman"/>
          <w:sz w:val="24"/>
          <w:szCs w:val="24"/>
          <w:vertAlign w:val="baseline"/>
        </w:rPr>
        <w:t xml:space="preserve"> however, the introduction of the Act, with tougher penalties for perpetrators, is certainly a step in the right direction. In order to be effective, the law needs to be correctly implemented and enforced by law enforcement officers. Clear guidelines need to be set in order to establish how complaints lodged under the Act should be dealt with effectively and adequately by police officers at the first instance. This training of police officers is vital, as lack of evidence is often the key hindrance in securing convictions of WAP. However, as noted within India, despite the introduction of WAP specific legislation, </w:t>
      </w:r>
      <w:r w:rsidRPr="008C3633">
        <w:rPr>
          <w:rFonts w:ascii="Times New Roman" w:hAnsi="Times New Roman" w:cs="Times New Roman"/>
          <w:bCs/>
          <w:sz w:val="24"/>
          <w:szCs w:val="24"/>
          <w:vertAlign w:val="baseline"/>
        </w:rPr>
        <w:t xml:space="preserve">an inherent social and cultural acceptance of the practice of WAP has, thus far, negated such efforts. It is therefore necessary that Nepal does not make the same mistakes as India in their denial of the pervasiveness of WAP against women. </w:t>
      </w:r>
    </w:p>
    <w:p w14:paraId="67111CF5" w14:textId="77777777" w:rsidR="00D511B5" w:rsidRDefault="00D511B5" w:rsidP="008C3633">
      <w:pPr>
        <w:spacing w:line="480" w:lineRule="auto"/>
        <w:jc w:val="both"/>
        <w:rPr>
          <w:rFonts w:ascii="Times New Roman" w:hAnsi="Times New Roman" w:cs="Times New Roman"/>
          <w:sz w:val="24"/>
          <w:szCs w:val="24"/>
          <w:vertAlign w:val="baseline"/>
        </w:rPr>
      </w:pPr>
    </w:p>
    <w:p w14:paraId="2DC09AD7" w14:textId="69EC3C35" w:rsidR="008C3633" w:rsidRPr="008C3633" w:rsidRDefault="00900389" w:rsidP="008C3633">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6</w:t>
      </w:r>
      <w:r w:rsidR="006A0209">
        <w:rPr>
          <w:rFonts w:ascii="Times New Roman" w:hAnsi="Times New Roman" w:cs="Times New Roman"/>
          <w:b/>
          <w:sz w:val="24"/>
          <w:szCs w:val="24"/>
          <w:u w:val="single"/>
          <w:vertAlign w:val="baseline"/>
        </w:rPr>
        <w:t>.3 N</w:t>
      </w:r>
      <w:r>
        <w:rPr>
          <w:rFonts w:ascii="Times New Roman" w:hAnsi="Times New Roman" w:cs="Times New Roman"/>
          <w:b/>
          <w:sz w:val="24"/>
          <w:szCs w:val="24"/>
          <w:u w:val="single"/>
          <w:vertAlign w:val="baseline"/>
        </w:rPr>
        <w:t>ATIONAL LAWS OF PAPUA NEW GUINEA</w:t>
      </w:r>
    </w:p>
    <w:p w14:paraId="2B32B86E" w14:textId="77777777" w:rsidR="008C3633" w:rsidRPr="008C3633" w:rsidRDefault="008C3633" w:rsidP="00A244C8">
      <w:pPr>
        <w:spacing w:line="480" w:lineRule="auto"/>
        <w:ind w:firstLine="720"/>
        <w:jc w:val="both"/>
        <w:rPr>
          <w:rFonts w:ascii="Times New Roman" w:hAnsi="Times New Roman" w:cs="Times New Roman"/>
          <w:b/>
          <w:sz w:val="24"/>
          <w:szCs w:val="24"/>
          <w:u w:val="single"/>
          <w:vertAlign w:val="baseline"/>
        </w:rPr>
      </w:pPr>
      <w:r w:rsidRPr="008C3633">
        <w:rPr>
          <w:rFonts w:ascii="Times New Roman" w:hAnsi="Times New Roman" w:cs="Times New Roman"/>
          <w:sz w:val="24"/>
          <w:szCs w:val="24"/>
          <w:vertAlign w:val="baseline"/>
        </w:rPr>
        <w:t>On gaining independence from Australia on 16 September 1975, PNG established itself as the Independent State of Papua New Guinea. PNG is a Commonwealth country, with a parliamentary government and recognises Queen Elizabeth II as its head of state.</w:t>
      </w:r>
      <w:r w:rsidRPr="008C3633">
        <w:rPr>
          <w:rFonts w:ascii="Times New Roman" w:hAnsi="Times New Roman" w:cs="Times New Roman"/>
          <w:sz w:val="24"/>
          <w:szCs w:val="24"/>
        </w:rPr>
        <w:footnoteReference w:id="1261"/>
      </w:r>
      <w:r w:rsidRPr="008C3633">
        <w:rPr>
          <w:rFonts w:ascii="Times New Roman" w:hAnsi="Times New Roman" w:cs="Times New Roman"/>
          <w:sz w:val="24"/>
          <w:szCs w:val="24"/>
          <w:vertAlign w:val="baseline"/>
        </w:rPr>
        <w:t xml:space="preserve"> PNG has a Constitution, adopted after independence in 1975. Part II of the Constitution deals with the laws of PNG, which include the Constitution, different categories of legislation and the ‘underlying law.’</w:t>
      </w:r>
      <w:r w:rsidRPr="008C3633">
        <w:rPr>
          <w:rFonts w:ascii="Times New Roman" w:hAnsi="Times New Roman" w:cs="Times New Roman"/>
          <w:sz w:val="24"/>
          <w:szCs w:val="24"/>
        </w:rPr>
        <w:footnoteReference w:id="1262"/>
      </w:r>
      <w:r w:rsidRPr="008C3633">
        <w:rPr>
          <w:rFonts w:ascii="Times New Roman" w:hAnsi="Times New Roman" w:cs="Times New Roman"/>
          <w:sz w:val="24"/>
          <w:szCs w:val="24"/>
          <w:vertAlign w:val="baseline"/>
        </w:rPr>
        <w:t xml:space="preserve"> As described in section 20</w:t>
      </w:r>
      <w:r w:rsidRPr="008C3633">
        <w:rPr>
          <w:rFonts w:ascii="Times New Roman" w:hAnsi="Times New Roman" w:cs="Times New Roman"/>
          <w:sz w:val="24"/>
          <w:szCs w:val="24"/>
        </w:rPr>
        <w:footnoteReference w:id="1263"/>
      </w:r>
      <w:r w:rsidRPr="008C3633">
        <w:rPr>
          <w:rFonts w:ascii="Times New Roman" w:hAnsi="Times New Roman" w:cs="Times New Roman"/>
          <w:sz w:val="24"/>
          <w:szCs w:val="24"/>
          <w:vertAlign w:val="baseline"/>
        </w:rPr>
        <w:t xml:space="preserve"> and Schedule 2,</w:t>
      </w:r>
      <w:r w:rsidRPr="008C3633">
        <w:rPr>
          <w:rFonts w:ascii="Times New Roman" w:hAnsi="Times New Roman" w:cs="Times New Roman"/>
          <w:sz w:val="24"/>
          <w:szCs w:val="24"/>
        </w:rPr>
        <w:footnoteReference w:id="1264"/>
      </w:r>
      <w:r w:rsidRPr="008C3633">
        <w:rPr>
          <w:rFonts w:ascii="Times New Roman" w:hAnsi="Times New Roman" w:cs="Times New Roman"/>
          <w:sz w:val="24"/>
          <w:szCs w:val="24"/>
          <w:vertAlign w:val="baseline"/>
        </w:rPr>
        <w:t xml:space="preserve"> underlying law is split into customary law and the common law. The Constitution of PNG, provides the ‘most expansive definition of customary law of any national constitution’</w:t>
      </w:r>
      <w:r w:rsidRPr="008C3633">
        <w:rPr>
          <w:rFonts w:ascii="Times New Roman" w:hAnsi="Times New Roman" w:cs="Times New Roman"/>
          <w:sz w:val="24"/>
          <w:szCs w:val="24"/>
        </w:rPr>
        <w:footnoteReference w:id="1265"/>
      </w:r>
      <w:r w:rsidRPr="008C3633">
        <w:rPr>
          <w:rFonts w:ascii="Times New Roman" w:hAnsi="Times New Roman" w:cs="Times New Roman"/>
          <w:sz w:val="24"/>
          <w:szCs w:val="24"/>
          <w:vertAlign w:val="baseline"/>
        </w:rPr>
        <w:t xml:space="preserve"> describing it as,</w:t>
      </w:r>
    </w:p>
    <w:p w14:paraId="70AF2A96" w14:textId="4FCC9E31" w:rsidR="008C3633" w:rsidRPr="008C3633" w:rsidRDefault="008C3633" w:rsidP="00A244C8">
      <w:pPr>
        <w:spacing w:line="480" w:lineRule="auto"/>
        <w:ind w:left="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"Custom" means the customs and usages of indige</w:t>
      </w:r>
      <w:r w:rsidR="003923F8">
        <w:rPr>
          <w:rFonts w:ascii="Times New Roman" w:hAnsi="Times New Roman" w:cs="Times New Roman"/>
          <w:sz w:val="24"/>
          <w:szCs w:val="24"/>
          <w:vertAlign w:val="baseline"/>
        </w:rPr>
        <w:t xml:space="preserve">nous inhabitants of the country </w:t>
      </w:r>
      <w:r w:rsidRPr="008C3633">
        <w:rPr>
          <w:rFonts w:ascii="Times New Roman" w:hAnsi="Times New Roman" w:cs="Times New Roman"/>
          <w:sz w:val="24"/>
          <w:szCs w:val="24"/>
          <w:vertAlign w:val="baseline"/>
        </w:rPr>
        <w:t>existing in relation to the matter in question at the time when and the place in relation to which the matter arises, regardless of whether or not the custom or usage ha</w:t>
      </w:r>
      <w:r w:rsidR="003923F8">
        <w:rPr>
          <w:rFonts w:ascii="Times New Roman" w:hAnsi="Times New Roman" w:cs="Times New Roman"/>
          <w:sz w:val="24"/>
          <w:szCs w:val="24"/>
          <w:vertAlign w:val="baseline"/>
        </w:rPr>
        <w:t>s existed from time immemorial.</w:t>
      </w:r>
      <w:r w:rsidRPr="008C3633">
        <w:rPr>
          <w:rFonts w:ascii="Times New Roman" w:hAnsi="Times New Roman" w:cs="Times New Roman"/>
          <w:sz w:val="24"/>
          <w:szCs w:val="24"/>
        </w:rPr>
        <w:footnoteReference w:id="1266"/>
      </w:r>
    </w:p>
    <w:p w14:paraId="0B01B32F" w14:textId="77777777" w:rsidR="008C3633" w:rsidRPr="008C3633" w:rsidRDefault="008C3633" w:rsidP="008C3633">
      <w:pPr>
        <w:spacing w:line="480" w:lineRule="auto"/>
        <w:jc w:val="both"/>
        <w:rPr>
          <w:rFonts w:ascii="Times New Roman" w:hAnsi="Times New Roman" w:cs="Times New Roman"/>
          <w:sz w:val="24"/>
          <w:szCs w:val="24"/>
          <w:vertAlign w:val="baseline"/>
        </w:rPr>
      </w:pPr>
    </w:p>
    <w:p w14:paraId="5B43BAC2" w14:textId="77777777" w:rsidR="008C3633" w:rsidRDefault="008C3633" w:rsidP="003923F8">
      <w:pPr>
        <w:spacing w:line="480" w:lineRule="auto"/>
        <w:ind w:firstLine="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As documented in Schedule 2.1,</w:t>
      </w:r>
      <w:r w:rsidRPr="008C3633">
        <w:rPr>
          <w:rFonts w:ascii="Times New Roman" w:hAnsi="Times New Roman" w:cs="Times New Roman"/>
          <w:sz w:val="24"/>
          <w:szCs w:val="24"/>
        </w:rPr>
        <w:footnoteReference w:id="1267"/>
      </w:r>
      <w:r w:rsidRPr="008C3633">
        <w:rPr>
          <w:rFonts w:ascii="Times New Roman" w:hAnsi="Times New Roman" w:cs="Times New Roman"/>
          <w:sz w:val="24"/>
          <w:szCs w:val="24"/>
          <w:vertAlign w:val="baseline"/>
        </w:rPr>
        <w:t xml:space="preserve"> custom is to be ‘applied and enforced, as part of the underlying law’</w:t>
      </w:r>
      <w:r w:rsidRPr="008C3633">
        <w:rPr>
          <w:rFonts w:ascii="Times New Roman" w:hAnsi="Times New Roman" w:cs="Times New Roman"/>
          <w:sz w:val="24"/>
          <w:szCs w:val="24"/>
        </w:rPr>
        <w:footnoteReference w:id="1268"/>
      </w:r>
      <w:r w:rsidRPr="008C3633">
        <w:rPr>
          <w:rFonts w:ascii="Times New Roman" w:hAnsi="Times New Roman" w:cs="Times New Roman"/>
          <w:sz w:val="24"/>
          <w:szCs w:val="24"/>
          <w:vertAlign w:val="baseline"/>
        </w:rPr>
        <w:t xml:space="preserve"> unless the custom is ‘inconsistent with a Constitutional Law or a statute, or repugnant to the general principles of humanity.’</w:t>
      </w:r>
      <w:r w:rsidRPr="008C3633">
        <w:rPr>
          <w:rFonts w:ascii="Times New Roman" w:hAnsi="Times New Roman" w:cs="Times New Roman"/>
          <w:sz w:val="24"/>
          <w:szCs w:val="24"/>
        </w:rPr>
        <w:footnoteReference w:id="1269"/>
      </w:r>
      <w:r w:rsidRPr="008C3633">
        <w:rPr>
          <w:rFonts w:ascii="Times New Roman" w:hAnsi="Times New Roman" w:cs="Times New Roman"/>
          <w:sz w:val="24"/>
          <w:szCs w:val="24"/>
          <w:vertAlign w:val="baseline"/>
        </w:rPr>
        <w:t xml:space="preserve"> Whilst the Constitution recognises both common law and customary law, it establishes customary law as superior to common law.</w:t>
      </w:r>
      <w:r w:rsidRPr="008C3633">
        <w:rPr>
          <w:rFonts w:ascii="Times New Roman" w:hAnsi="Times New Roman" w:cs="Times New Roman"/>
          <w:sz w:val="24"/>
          <w:szCs w:val="24"/>
        </w:rPr>
        <w:footnoteReference w:id="1270"/>
      </w:r>
      <w:r w:rsidRPr="008C3633">
        <w:rPr>
          <w:rFonts w:ascii="Times New Roman" w:hAnsi="Times New Roman" w:cs="Times New Roman"/>
          <w:sz w:val="24"/>
          <w:szCs w:val="24"/>
          <w:vertAlign w:val="baseline"/>
        </w:rPr>
        <w:t xml:space="preserve"> However, as Sarei notes, </w:t>
      </w:r>
    </w:p>
    <w:p w14:paraId="17291F5E" w14:textId="77777777" w:rsidR="00ED402F" w:rsidRPr="008C3633" w:rsidRDefault="00ED402F" w:rsidP="003923F8">
      <w:pPr>
        <w:spacing w:line="480" w:lineRule="auto"/>
        <w:ind w:firstLine="720"/>
        <w:jc w:val="both"/>
        <w:rPr>
          <w:rFonts w:ascii="Times New Roman" w:hAnsi="Times New Roman" w:cs="Times New Roman"/>
          <w:sz w:val="24"/>
          <w:szCs w:val="24"/>
          <w:vertAlign w:val="baseline"/>
        </w:rPr>
      </w:pPr>
    </w:p>
    <w:p w14:paraId="247B3154" w14:textId="77777777" w:rsidR="008C3633" w:rsidRPr="008C3633" w:rsidRDefault="008C3633" w:rsidP="00A244C8">
      <w:pPr>
        <w:spacing w:line="480" w:lineRule="auto"/>
        <w:ind w:left="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The Papua New Guinea Constitution allows for the practises of the customary laws; however, it is applied only at village level and not in the urban areas. The customary laws are only practiced in a society, which has the same common norms and values, and the process of the application of the customary laws.</w:t>
      </w:r>
      <w:r w:rsidRPr="008C3633">
        <w:rPr>
          <w:rFonts w:ascii="Times New Roman" w:hAnsi="Times New Roman" w:cs="Times New Roman"/>
          <w:sz w:val="24"/>
          <w:szCs w:val="24"/>
        </w:rPr>
        <w:footnoteReference w:id="1271"/>
      </w:r>
    </w:p>
    <w:p w14:paraId="25202228" w14:textId="77777777" w:rsidR="008C3633" w:rsidRPr="008C3633" w:rsidRDefault="008C3633" w:rsidP="008C3633">
      <w:pPr>
        <w:spacing w:line="480" w:lineRule="auto"/>
        <w:jc w:val="both"/>
        <w:rPr>
          <w:rFonts w:ascii="Times New Roman" w:hAnsi="Times New Roman" w:cs="Times New Roman"/>
          <w:sz w:val="24"/>
          <w:szCs w:val="24"/>
          <w:vertAlign w:val="baseline"/>
        </w:rPr>
      </w:pPr>
    </w:p>
    <w:p w14:paraId="5EDE8A63" w14:textId="22054648" w:rsidR="00A244C8" w:rsidRDefault="008C3633" w:rsidP="00BC5ECD">
      <w:pPr>
        <w:spacing w:line="480" w:lineRule="auto"/>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This is substantiated by Tobin, who states that, ‘despite the categorisation of customary law as the superior to common law, the courts of Papua New Guinea continued, until relatively recently, to rely on common law as the favoured source for judicial decision making.’</w:t>
      </w:r>
      <w:r w:rsidRPr="008C3633">
        <w:rPr>
          <w:rFonts w:ascii="Times New Roman" w:hAnsi="Times New Roman" w:cs="Times New Roman"/>
          <w:sz w:val="24"/>
          <w:szCs w:val="24"/>
        </w:rPr>
        <w:footnoteReference w:id="1272"/>
      </w:r>
      <w:r w:rsidRPr="008C3633">
        <w:rPr>
          <w:rFonts w:ascii="Times New Roman" w:hAnsi="Times New Roman" w:cs="Times New Roman"/>
          <w:sz w:val="24"/>
          <w:szCs w:val="24"/>
          <w:vertAlign w:val="baseline"/>
        </w:rPr>
        <w:t xml:space="preserve"> Part III of the Constitution deals with Fundamental Rights</w:t>
      </w:r>
      <w:r w:rsidR="0092113E">
        <w:rPr>
          <w:rFonts w:ascii="Times New Roman" w:hAnsi="Times New Roman" w:cs="Times New Roman"/>
          <w:sz w:val="24"/>
          <w:szCs w:val="24"/>
          <w:vertAlign w:val="baseline"/>
        </w:rPr>
        <w:t>,</w:t>
      </w:r>
      <w:r w:rsidR="00563DAB">
        <w:rPr>
          <w:rFonts w:ascii="Times New Roman" w:hAnsi="Times New Roman" w:cs="Times New Roman"/>
          <w:sz w:val="24"/>
          <w:szCs w:val="24"/>
          <w:vertAlign w:val="baseline"/>
        </w:rPr>
        <w:t xml:space="preserve"> reflecting PNG’s international human rights obligations</w:t>
      </w:r>
      <w:r w:rsidRPr="008C3633">
        <w:rPr>
          <w:rFonts w:ascii="Times New Roman" w:hAnsi="Times New Roman" w:cs="Times New Roman"/>
          <w:sz w:val="24"/>
          <w:szCs w:val="24"/>
          <w:vertAlign w:val="baseline"/>
        </w:rPr>
        <w:t>; section 35 guarantees the right to life, section 36 guarantees freedom from inhumane treatment and section 55 guarantees the equality of all citizens. The national legal system of PNG is based on the common law system of England and Australia, with matters being dealt with via the National Court, district courts and village courts. The Office of the Public Prosecutor is authorised by the Constitution to prosecute on behalf of the state in both the National Court and the Supreme Court of PNG.</w:t>
      </w:r>
      <w:r w:rsidRPr="008C3633">
        <w:rPr>
          <w:rFonts w:ascii="Times New Roman" w:hAnsi="Times New Roman" w:cs="Times New Roman"/>
          <w:sz w:val="24"/>
          <w:szCs w:val="24"/>
        </w:rPr>
        <w:footnoteReference w:id="1273"/>
      </w:r>
      <w:r w:rsidRPr="008C3633">
        <w:rPr>
          <w:rFonts w:ascii="Times New Roman" w:hAnsi="Times New Roman" w:cs="Times New Roman"/>
          <w:sz w:val="24"/>
          <w:szCs w:val="24"/>
          <w:vertAlign w:val="baseline"/>
        </w:rPr>
        <w:t xml:space="preserve"> </w:t>
      </w:r>
    </w:p>
    <w:p w14:paraId="50042FAB" w14:textId="77777777" w:rsidR="00A244C8" w:rsidRDefault="00A244C8" w:rsidP="007E7975">
      <w:pPr>
        <w:spacing w:line="480" w:lineRule="auto"/>
        <w:ind w:firstLine="720"/>
        <w:jc w:val="both"/>
        <w:rPr>
          <w:rFonts w:ascii="Times New Roman" w:hAnsi="Times New Roman" w:cs="Times New Roman"/>
          <w:sz w:val="24"/>
          <w:szCs w:val="24"/>
          <w:vertAlign w:val="baseline"/>
        </w:rPr>
      </w:pPr>
    </w:p>
    <w:p w14:paraId="5CCB2CAD" w14:textId="1A6FD9D3" w:rsidR="008C3633" w:rsidRPr="008C3633" w:rsidRDefault="008C3633" w:rsidP="007E7975">
      <w:pPr>
        <w:spacing w:line="480" w:lineRule="auto"/>
        <w:ind w:firstLine="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The widespread belief in sorcery has been recognised by the courts in PNG, as observed by Sir Buri Kidu</w:t>
      </w:r>
      <w:r w:rsidRPr="008C3633">
        <w:rPr>
          <w:rFonts w:ascii="Times New Roman" w:hAnsi="Times New Roman" w:cs="Times New Roman"/>
          <w:sz w:val="24"/>
          <w:szCs w:val="24"/>
        </w:rPr>
        <w:footnoteReference w:id="1274"/>
      </w:r>
      <w:r w:rsidRPr="008C3633">
        <w:rPr>
          <w:rFonts w:ascii="Times New Roman" w:hAnsi="Times New Roman" w:cs="Times New Roman"/>
          <w:sz w:val="24"/>
          <w:szCs w:val="24"/>
          <w:vertAlign w:val="baseline"/>
        </w:rPr>
        <w:t xml:space="preserve"> in </w:t>
      </w:r>
      <w:r w:rsidRPr="008C3633">
        <w:rPr>
          <w:rFonts w:ascii="Times New Roman" w:hAnsi="Times New Roman" w:cs="Times New Roman"/>
          <w:i/>
          <w:sz w:val="24"/>
          <w:szCs w:val="24"/>
          <w:vertAlign w:val="baseline"/>
        </w:rPr>
        <w:t>State v Aiaka Karavea &amp; Anor</w:t>
      </w:r>
      <w:r w:rsidRPr="008C3633">
        <w:rPr>
          <w:rFonts w:ascii="Times New Roman" w:hAnsi="Times New Roman" w:cs="Times New Roman"/>
          <w:sz w:val="24"/>
          <w:szCs w:val="24"/>
          <w:vertAlign w:val="baseline"/>
        </w:rPr>
        <w:t xml:space="preserve"> [1983]</w:t>
      </w:r>
      <w:r w:rsidRPr="008C3633">
        <w:rPr>
          <w:rFonts w:ascii="Times New Roman" w:hAnsi="Times New Roman" w:cs="Times New Roman"/>
          <w:sz w:val="24"/>
          <w:szCs w:val="24"/>
        </w:rPr>
        <w:footnoteReference w:id="1275"/>
      </w:r>
      <w:r w:rsidRPr="008C3633">
        <w:rPr>
          <w:rFonts w:ascii="Times New Roman" w:hAnsi="Times New Roman" w:cs="Times New Roman"/>
          <w:sz w:val="24"/>
          <w:szCs w:val="24"/>
          <w:vertAlign w:val="baseline"/>
        </w:rPr>
        <w:t xml:space="preserve"> who stated that, </w:t>
      </w:r>
    </w:p>
    <w:p w14:paraId="6324A01E" w14:textId="0466EB2A" w:rsidR="008C3633" w:rsidRPr="008C3633" w:rsidRDefault="008C3633" w:rsidP="000A6308">
      <w:pPr>
        <w:spacing w:line="480" w:lineRule="auto"/>
        <w:ind w:left="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 xml:space="preserve">There is no doubt that in this country the belief in sorcery is widespread and nobody really has to prove to the court that it exists. Belief in sorcery exists amongst some of the most backward people in the mountains of every province and also in the urban areas … Very </w:t>
      </w:r>
      <w:r w:rsidR="00BC5ECD" w:rsidRPr="008C3633">
        <w:rPr>
          <w:rFonts w:ascii="Times New Roman" w:hAnsi="Times New Roman" w:cs="Times New Roman"/>
          <w:sz w:val="24"/>
          <w:szCs w:val="24"/>
          <w:vertAlign w:val="baseline"/>
        </w:rPr>
        <w:t>well educated</w:t>
      </w:r>
      <w:r w:rsidRPr="008C3633">
        <w:rPr>
          <w:rFonts w:ascii="Times New Roman" w:hAnsi="Times New Roman" w:cs="Times New Roman"/>
          <w:sz w:val="24"/>
          <w:szCs w:val="24"/>
          <w:vertAlign w:val="baseline"/>
        </w:rPr>
        <w:t xml:space="preserve"> people believe that sorcery exists and that there is power in people who practice sorcery to cause the death of other persons.</w:t>
      </w:r>
      <w:r w:rsidRPr="008C3633">
        <w:rPr>
          <w:rFonts w:ascii="Times New Roman" w:hAnsi="Times New Roman" w:cs="Times New Roman"/>
          <w:sz w:val="24"/>
          <w:szCs w:val="24"/>
        </w:rPr>
        <w:footnoteReference w:id="1276"/>
      </w:r>
    </w:p>
    <w:p w14:paraId="0F1F9716" w14:textId="77777777" w:rsidR="008C3633" w:rsidRDefault="008C3633" w:rsidP="00BC5ECD">
      <w:pPr>
        <w:spacing w:line="480" w:lineRule="auto"/>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Many local matters are settled by village courts, established by the Village Courts Act 1973 and now governed by the Village Courts Act 1989 and the Village Courts Regulation 1974, as authorised under section 172 of the Constitution.</w:t>
      </w:r>
      <w:r w:rsidRPr="008C3633">
        <w:rPr>
          <w:rFonts w:ascii="Times New Roman" w:hAnsi="Times New Roman" w:cs="Times New Roman"/>
          <w:sz w:val="24"/>
          <w:szCs w:val="24"/>
        </w:rPr>
        <w:footnoteReference w:id="1277"/>
      </w:r>
      <w:r w:rsidRPr="008C3633">
        <w:rPr>
          <w:rFonts w:ascii="Times New Roman" w:hAnsi="Times New Roman" w:cs="Times New Roman"/>
          <w:sz w:val="24"/>
          <w:szCs w:val="24"/>
          <w:vertAlign w:val="baseline"/>
        </w:rPr>
        <w:t xml:space="preserve"> The courts consist of a minimum of three lay magistrates appointed from the local village by the Minister of Justice and appeals are directed to the local or district court magistrate,</w:t>
      </w:r>
      <w:r w:rsidRPr="008C3633">
        <w:rPr>
          <w:rFonts w:ascii="Times New Roman" w:hAnsi="Times New Roman" w:cs="Times New Roman"/>
          <w:sz w:val="24"/>
          <w:szCs w:val="24"/>
        </w:rPr>
        <w:footnoteReference w:id="1278"/>
      </w:r>
      <w:r w:rsidRPr="008C3633">
        <w:rPr>
          <w:rFonts w:ascii="Times New Roman" w:hAnsi="Times New Roman" w:cs="Times New Roman"/>
          <w:sz w:val="24"/>
          <w:szCs w:val="24"/>
          <w:vertAlign w:val="baseline"/>
        </w:rPr>
        <w:t xml:space="preserve"> with the primary objective of village courts being ‘to ensure peace and harmony in the area for which it is established by mediating in and endeavouring to obtain just and amicable settlements of disputes.’</w:t>
      </w:r>
      <w:r w:rsidRPr="008C3633">
        <w:rPr>
          <w:rFonts w:ascii="Times New Roman" w:hAnsi="Times New Roman" w:cs="Times New Roman"/>
          <w:sz w:val="24"/>
          <w:szCs w:val="24"/>
        </w:rPr>
        <w:footnoteReference w:id="1279"/>
      </w:r>
      <w:r w:rsidRPr="008C3633">
        <w:rPr>
          <w:rFonts w:ascii="Times New Roman" w:hAnsi="Times New Roman" w:cs="Times New Roman"/>
          <w:sz w:val="24"/>
          <w:szCs w:val="24"/>
          <w:vertAlign w:val="baseline"/>
        </w:rPr>
        <w:t xml:space="preserve"> However, as observed by Rosenbaum, ‘law enforcement (in PNG) is underfunded and compromised, and the task of dissuading vigilante justice is often left to the village court’s elected officials.’</w:t>
      </w:r>
      <w:r w:rsidRPr="008C3633">
        <w:rPr>
          <w:rFonts w:ascii="Times New Roman" w:hAnsi="Times New Roman" w:cs="Times New Roman"/>
          <w:sz w:val="24"/>
          <w:szCs w:val="24"/>
        </w:rPr>
        <w:footnoteReference w:id="1280"/>
      </w:r>
    </w:p>
    <w:p w14:paraId="6129B25F" w14:textId="77777777" w:rsidR="006D3342" w:rsidRPr="008C3633" w:rsidRDefault="006D3342" w:rsidP="00C7572A">
      <w:pPr>
        <w:spacing w:line="480" w:lineRule="auto"/>
        <w:ind w:firstLine="720"/>
        <w:jc w:val="both"/>
        <w:rPr>
          <w:rFonts w:ascii="Times New Roman" w:hAnsi="Times New Roman" w:cs="Times New Roman"/>
          <w:sz w:val="24"/>
          <w:szCs w:val="24"/>
          <w:vertAlign w:val="baseline"/>
        </w:rPr>
      </w:pPr>
    </w:p>
    <w:p w14:paraId="3E0895FC" w14:textId="2BF4CA52" w:rsidR="00C7572A" w:rsidRPr="00A244C8" w:rsidRDefault="00A244C8" w:rsidP="008C3633">
      <w:pPr>
        <w:spacing w:line="480" w:lineRule="auto"/>
        <w:jc w:val="both"/>
        <w:rPr>
          <w:rFonts w:ascii="Times New Roman" w:hAnsi="Times New Roman" w:cs="Times New Roman"/>
          <w:b/>
          <w:i/>
          <w:sz w:val="24"/>
          <w:szCs w:val="24"/>
          <w:vertAlign w:val="baseline"/>
        </w:rPr>
      </w:pPr>
      <w:r w:rsidRPr="00A244C8">
        <w:rPr>
          <w:rFonts w:ascii="Times New Roman" w:hAnsi="Times New Roman" w:cs="Times New Roman"/>
          <w:b/>
          <w:i/>
          <w:sz w:val="24"/>
          <w:szCs w:val="24"/>
          <w:vertAlign w:val="baseline"/>
        </w:rPr>
        <w:t>6</w:t>
      </w:r>
      <w:r w:rsidR="006D3342" w:rsidRPr="00A244C8">
        <w:rPr>
          <w:rFonts w:ascii="Times New Roman" w:hAnsi="Times New Roman" w:cs="Times New Roman"/>
          <w:b/>
          <w:i/>
          <w:sz w:val="24"/>
          <w:szCs w:val="24"/>
          <w:vertAlign w:val="baseline"/>
        </w:rPr>
        <w:t>.3.1 Witchcraft Laws</w:t>
      </w:r>
    </w:p>
    <w:p w14:paraId="4FA02169" w14:textId="580A0FF3" w:rsidR="008C3633" w:rsidRPr="008C3633" w:rsidRDefault="008C3633" w:rsidP="006D3342">
      <w:pPr>
        <w:spacing w:line="480" w:lineRule="auto"/>
        <w:ind w:firstLine="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In terms of WAP, the PNG Parliament recently (2013) repealed the Sorcery Act 1971, in response to a series of highly publicised witchcraft related murders,</w:t>
      </w:r>
      <w:r w:rsidRPr="008C3633">
        <w:rPr>
          <w:rFonts w:ascii="Times New Roman" w:hAnsi="Times New Roman" w:cs="Times New Roman"/>
          <w:sz w:val="24"/>
          <w:szCs w:val="24"/>
        </w:rPr>
        <w:footnoteReference w:id="1281"/>
      </w:r>
      <w:r w:rsidRPr="008C3633">
        <w:rPr>
          <w:rFonts w:ascii="Times New Roman" w:hAnsi="Times New Roman" w:cs="Times New Roman"/>
          <w:sz w:val="24"/>
          <w:szCs w:val="24"/>
          <w:vertAlign w:val="baseline"/>
        </w:rPr>
        <w:t xml:space="preserve"> together with pressure from human rights groups such as Amnesty International</w:t>
      </w:r>
      <w:r w:rsidRPr="008C3633">
        <w:rPr>
          <w:rFonts w:ascii="Times New Roman" w:hAnsi="Times New Roman" w:cs="Times New Roman"/>
          <w:sz w:val="24"/>
          <w:szCs w:val="24"/>
        </w:rPr>
        <w:footnoteReference w:id="1282"/>
      </w:r>
      <w:r w:rsidRPr="008C3633">
        <w:rPr>
          <w:rFonts w:ascii="Times New Roman" w:hAnsi="Times New Roman" w:cs="Times New Roman"/>
          <w:sz w:val="24"/>
          <w:szCs w:val="24"/>
          <w:vertAlign w:val="baseline"/>
        </w:rPr>
        <w:t xml:space="preserve"> to prevent such murders. The Sorcery Act 1971 criminalised the act of sorcery and recognised accusations of sorcery as a defence to murder; thus, prosecuting and punishing innocent victims accused of WAP. However, whilst repealing the Sorcery Act 1971, the PNG government concurrently reintroduced the death penalty</w:t>
      </w:r>
      <w:r w:rsidRPr="008C3633">
        <w:rPr>
          <w:rFonts w:ascii="Times New Roman" w:hAnsi="Times New Roman" w:cs="Times New Roman"/>
          <w:sz w:val="24"/>
          <w:szCs w:val="24"/>
        </w:rPr>
        <w:footnoteReference w:id="1283"/>
      </w:r>
      <w:r w:rsidRPr="008C3633">
        <w:rPr>
          <w:rFonts w:ascii="Times New Roman" w:hAnsi="Times New Roman" w:cs="Times New Roman"/>
          <w:sz w:val="24"/>
          <w:szCs w:val="24"/>
          <w:vertAlign w:val="baseline"/>
        </w:rPr>
        <w:t xml:space="preserve"> in a bid to curb the number of witchcraft related killings. This followed the highly publicised and brutal killing of </w:t>
      </w:r>
      <w:r w:rsidR="00872EE2" w:rsidRPr="008C3633">
        <w:rPr>
          <w:rFonts w:ascii="Times New Roman" w:hAnsi="Times New Roman" w:cs="Times New Roman"/>
          <w:sz w:val="24"/>
          <w:szCs w:val="24"/>
          <w:vertAlign w:val="baseline"/>
        </w:rPr>
        <w:t>twenty-year-old</w:t>
      </w:r>
      <w:r w:rsidRPr="008C3633">
        <w:rPr>
          <w:rFonts w:ascii="Times New Roman" w:hAnsi="Times New Roman" w:cs="Times New Roman"/>
          <w:sz w:val="24"/>
          <w:szCs w:val="24"/>
          <w:vertAlign w:val="baseline"/>
        </w:rPr>
        <w:t xml:space="preserve"> Kepari Leniata, who was stripped and tortured by a group of fifty people, before being burnt alive.</w:t>
      </w:r>
      <w:r w:rsidRPr="008C3633">
        <w:rPr>
          <w:rFonts w:ascii="Times New Roman" w:hAnsi="Times New Roman" w:cs="Times New Roman"/>
          <w:sz w:val="24"/>
          <w:szCs w:val="24"/>
        </w:rPr>
        <w:footnoteReference w:id="1284"/>
      </w:r>
      <w:r w:rsidRPr="008C3633">
        <w:rPr>
          <w:rFonts w:ascii="Times New Roman" w:hAnsi="Times New Roman" w:cs="Times New Roman"/>
          <w:sz w:val="24"/>
          <w:szCs w:val="24"/>
          <w:vertAlign w:val="baseline"/>
        </w:rPr>
        <w:t xml:space="preserve"> Thus, a specific law on sorcery has now been added to the Criminal Code of PNG. The Criminal Code (Amendment) Act 2013 amends, amongst other sections, section 299 Criminal Code Act 1974, ‘Wilful Murder,’ which states that ‘(1) subject to the succeeding provisions of this Code, a person who unlawfully kills another person, intending to cause his death or that of some other person, is guilty of wilful murder,’ by adding Section 299A, ‘Wilful Murder of a Person on Account of Accusation of Sorcery.’ This section states,</w:t>
      </w:r>
    </w:p>
    <w:p w14:paraId="11676117" w14:textId="77777777" w:rsidR="008C3633" w:rsidRPr="008C3633" w:rsidRDefault="008C3633" w:rsidP="00E74B67">
      <w:pPr>
        <w:spacing w:line="480" w:lineRule="auto"/>
        <w:ind w:left="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(1) Any person who intentionally kills another person on account of accusation that the person is practicing sorcery is guilty of wilful murder and shall be sentenced to death. (2) For purposes of Subsection (1), “sorcery” includes (without being exhaustive and exclusive) what is known in various languages and parts of the country as witchcraft, magic, enchantment, puripuri, mura mura dikana, vada, mea mea, sanguma, or malira, whether or not connected with or related to the supernatural.</w:t>
      </w:r>
      <w:r w:rsidRPr="008C3633">
        <w:rPr>
          <w:rFonts w:ascii="Times New Roman" w:hAnsi="Times New Roman" w:cs="Times New Roman"/>
          <w:sz w:val="24"/>
          <w:szCs w:val="24"/>
        </w:rPr>
        <w:footnoteReference w:id="1285"/>
      </w:r>
    </w:p>
    <w:p w14:paraId="46046142" w14:textId="77777777" w:rsidR="008C3633" w:rsidRPr="008C3633" w:rsidRDefault="008C3633" w:rsidP="008C3633">
      <w:pPr>
        <w:spacing w:line="480" w:lineRule="auto"/>
        <w:jc w:val="both"/>
        <w:rPr>
          <w:rFonts w:ascii="Times New Roman" w:hAnsi="Times New Roman" w:cs="Times New Roman"/>
          <w:sz w:val="24"/>
          <w:szCs w:val="24"/>
          <w:vertAlign w:val="baseline"/>
        </w:rPr>
      </w:pPr>
    </w:p>
    <w:p w14:paraId="3113F9C5" w14:textId="77777777" w:rsidR="008C3633" w:rsidRDefault="008C3633" w:rsidP="00C842C0">
      <w:pPr>
        <w:spacing w:line="480" w:lineRule="auto"/>
        <w:ind w:firstLine="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Although the death penalty applies to a long list of crimes including murder, rape, robbery and sorcery-related killings, Amnesty International state that ‘Papua New Guinea has taken one step forward in protecting women from violence by repealing the Sorcery Act, but several giant steps back by moving closer to executions.’</w:t>
      </w:r>
      <w:r w:rsidRPr="008C3633">
        <w:rPr>
          <w:rFonts w:ascii="Times New Roman" w:hAnsi="Times New Roman" w:cs="Times New Roman"/>
          <w:sz w:val="24"/>
          <w:szCs w:val="24"/>
        </w:rPr>
        <w:footnoteReference w:id="1286"/>
      </w:r>
      <w:r w:rsidRPr="008C3633">
        <w:rPr>
          <w:rFonts w:ascii="Times New Roman" w:hAnsi="Times New Roman" w:cs="Times New Roman"/>
          <w:sz w:val="24"/>
          <w:szCs w:val="24"/>
          <w:vertAlign w:val="baseline"/>
        </w:rPr>
        <w:t xml:space="preserve"> Despite the severity of the punishment for accusations of WAP, the law appears not to have deterred perpetrators of witchcraft violence. Only one month after the repeal of the Sorcery Act 1971 and subsequent introduction of the death penalty, Helen Rumbali was tortured and beheaded by villagers for allegedly practicing witchcraft,</w:t>
      </w:r>
      <w:r w:rsidRPr="008C3633">
        <w:rPr>
          <w:rFonts w:ascii="Times New Roman" w:hAnsi="Times New Roman" w:cs="Times New Roman"/>
          <w:sz w:val="24"/>
          <w:szCs w:val="24"/>
        </w:rPr>
        <w:footnoteReference w:id="1287"/>
      </w:r>
      <w:r w:rsidRPr="008C3633">
        <w:rPr>
          <w:rFonts w:ascii="Times New Roman" w:hAnsi="Times New Roman" w:cs="Times New Roman"/>
          <w:sz w:val="24"/>
          <w:szCs w:val="24"/>
          <w:vertAlign w:val="baseline"/>
        </w:rPr>
        <w:t xml:space="preserve"> and, more recently, in May 2015, a group of ten men axed a women to death, accused of sparking a measles outbreak via the use of witchcraft.</w:t>
      </w:r>
      <w:r w:rsidRPr="008C3633">
        <w:rPr>
          <w:rFonts w:ascii="Times New Roman" w:hAnsi="Times New Roman" w:cs="Times New Roman"/>
          <w:sz w:val="24"/>
          <w:szCs w:val="24"/>
        </w:rPr>
        <w:footnoteReference w:id="1288"/>
      </w:r>
      <w:r w:rsidRPr="008C3633">
        <w:rPr>
          <w:rFonts w:ascii="Times New Roman" w:hAnsi="Times New Roman" w:cs="Times New Roman"/>
          <w:sz w:val="24"/>
          <w:szCs w:val="24"/>
          <w:vertAlign w:val="baseline"/>
        </w:rPr>
        <w:t xml:space="preserve"> Political will alone, will not stop accusations of WAP. As noted by Auka et al., the amount of sorcery and witchcraft related cases that come to the National Court of Justice is far less than it should be, with inaccurate figures that do not adequately reflect the number of crimes that occur.</w:t>
      </w:r>
      <w:r w:rsidRPr="008C3633">
        <w:rPr>
          <w:rFonts w:ascii="Times New Roman" w:hAnsi="Times New Roman" w:cs="Times New Roman"/>
          <w:sz w:val="24"/>
          <w:szCs w:val="24"/>
        </w:rPr>
        <w:footnoteReference w:id="1289"/>
      </w:r>
      <w:r w:rsidRPr="008C3633">
        <w:rPr>
          <w:rFonts w:ascii="Times New Roman" w:hAnsi="Times New Roman" w:cs="Times New Roman"/>
          <w:sz w:val="24"/>
          <w:szCs w:val="24"/>
          <w:vertAlign w:val="baseline"/>
        </w:rPr>
        <w:t xml:space="preserve"> One reason for this is the lack of police presence in PNG. As observed by Eves, </w:t>
      </w:r>
    </w:p>
    <w:p w14:paraId="1FA50848" w14:textId="77777777" w:rsidR="00ED402F" w:rsidRPr="008C3633" w:rsidRDefault="00ED402F" w:rsidP="00C842C0">
      <w:pPr>
        <w:spacing w:line="480" w:lineRule="auto"/>
        <w:ind w:firstLine="720"/>
        <w:jc w:val="both"/>
        <w:rPr>
          <w:rFonts w:ascii="Times New Roman" w:hAnsi="Times New Roman" w:cs="Times New Roman"/>
          <w:sz w:val="24"/>
          <w:szCs w:val="24"/>
          <w:vertAlign w:val="baseline"/>
        </w:rPr>
      </w:pPr>
    </w:p>
    <w:p w14:paraId="4DC5FD80" w14:textId="77777777" w:rsidR="008C3633" w:rsidRPr="008C3633" w:rsidRDefault="008C3633" w:rsidP="00E74B67">
      <w:pPr>
        <w:spacing w:line="480" w:lineRule="auto"/>
        <w:ind w:left="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There are more than 800 different cultures in PNG, and belief in sorcery is pervasive across most of them. Legislation and good policy don’t necessarily mean an end to the problem because the ratio of police to population is quite low. When you’ve got an armed mob screaming for blood, there’s nothing much a few policemen can do. And the fact is that the police in PNG are just as likely to believe the accused are guilty as charged.</w:t>
      </w:r>
      <w:r w:rsidRPr="008C3633">
        <w:rPr>
          <w:rFonts w:ascii="Times New Roman" w:hAnsi="Times New Roman" w:cs="Times New Roman"/>
          <w:sz w:val="24"/>
          <w:szCs w:val="24"/>
        </w:rPr>
        <w:footnoteReference w:id="1290"/>
      </w:r>
    </w:p>
    <w:p w14:paraId="3F9B06D8" w14:textId="77777777" w:rsidR="008C3633" w:rsidRPr="008C3633" w:rsidRDefault="008C3633" w:rsidP="008C3633">
      <w:pPr>
        <w:spacing w:line="480" w:lineRule="auto"/>
        <w:jc w:val="both"/>
        <w:rPr>
          <w:rFonts w:ascii="Times New Roman" w:hAnsi="Times New Roman" w:cs="Times New Roman"/>
          <w:sz w:val="24"/>
          <w:szCs w:val="24"/>
          <w:vertAlign w:val="baseline"/>
        </w:rPr>
      </w:pPr>
    </w:p>
    <w:p w14:paraId="39626329" w14:textId="2C9C7960" w:rsidR="008C3633" w:rsidRDefault="008C3633" w:rsidP="00C842C0">
      <w:pPr>
        <w:spacing w:line="480" w:lineRule="auto"/>
        <w:ind w:firstLine="720"/>
        <w:jc w:val="both"/>
        <w:rPr>
          <w:rFonts w:ascii="Times New Roman" w:hAnsi="Times New Roman" w:cs="Times New Roman"/>
          <w:bCs/>
          <w:sz w:val="24"/>
          <w:szCs w:val="24"/>
          <w:vertAlign w:val="baseline"/>
        </w:rPr>
      </w:pPr>
      <w:r w:rsidRPr="008C3633">
        <w:rPr>
          <w:rFonts w:ascii="Times New Roman" w:hAnsi="Times New Roman" w:cs="Times New Roman"/>
          <w:bCs/>
          <w:sz w:val="24"/>
          <w:szCs w:val="24"/>
          <w:vertAlign w:val="baseline"/>
        </w:rPr>
        <w:t>Urame details several reasons as to why the police response has been limited, ‘unavailability of vehicles, no fuel, lack of manpower and police expectations for complainants to pay money or buy diesel before cases are attended to. These are expressions of police reluctance or ignorance to reduce sorcery-related violence.’</w:t>
      </w:r>
      <w:r w:rsidRPr="008C3633">
        <w:rPr>
          <w:rFonts w:ascii="Times New Roman" w:hAnsi="Times New Roman" w:cs="Times New Roman"/>
          <w:bCs/>
          <w:sz w:val="24"/>
          <w:szCs w:val="24"/>
        </w:rPr>
        <w:footnoteReference w:id="1291"/>
      </w:r>
      <w:r w:rsidRPr="008C3633">
        <w:rPr>
          <w:rFonts w:ascii="Times New Roman" w:hAnsi="Times New Roman" w:cs="Times New Roman"/>
          <w:bCs/>
          <w:sz w:val="24"/>
          <w:szCs w:val="24"/>
          <w:vertAlign w:val="baseline"/>
        </w:rPr>
        <w:t xml:space="preserve"> Moreover, Urame explains that due to the </w:t>
      </w:r>
      <w:r w:rsidR="00C842C0" w:rsidRPr="008C3633">
        <w:rPr>
          <w:rFonts w:ascii="Times New Roman" w:hAnsi="Times New Roman" w:cs="Times New Roman"/>
          <w:bCs/>
          <w:sz w:val="24"/>
          <w:szCs w:val="24"/>
          <w:vertAlign w:val="baseline"/>
        </w:rPr>
        <w:t>deep-rooted</w:t>
      </w:r>
      <w:r w:rsidRPr="008C3633">
        <w:rPr>
          <w:rFonts w:ascii="Times New Roman" w:hAnsi="Times New Roman" w:cs="Times New Roman"/>
          <w:bCs/>
          <w:sz w:val="24"/>
          <w:szCs w:val="24"/>
          <w:vertAlign w:val="baseline"/>
        </w:rPr>
        <w:t xml:space="preserve"> belief systems throughout PNG, people, including those with a position of authority are not able to accept alternative </w:t>
      </w:r>
      <w:r w:rsidR="00872EE2" w:rsidRPr="008C3633">
        <w:rPr>
          <w:rFonts w:ascii="Times New Roman" w:hAnsi="Times New Roman" w:cs="Times New Roman"/>
          <w:bCs/>
          <w:sz w:val="24"/>
          <w:szCs w:val="24"/>
          <w:vertAlign w:val="baseline"/>
        </w:rPr>
        <w:t>world</w:t>
      </w:r>
      <w:r w:rsidR="00872EE2">
        <w:rPr>
          <w:rFonts w:ascii="Times New Roman" w:hAnsi="Times New Roman" w:cs="Times New Roman"/>
          <w:bCs/>
          <w:sz w:val="24"/>
          <w:szCs w:val="24"/>
          <w:vertAlign w:val="baseline"/>
        </w:rPr>
        <w:t xml:space="preserve"> </w:t>
      </w:r>
      <w:r w:rsidR="00872EE2" w:rsidRPr="008C3633">
        <w:rPr>
          <w:rFonts w:ascii="Times New Roman" w:hAnsi="Times New Roman" w:cs="Times New Roman"/>
          <w:bCs/>
          <w:sz w:val="24"/>
          <w:szCs w:val="24"/>
          <w:vertAlign w:val="baseline"/>
        </w:rPr>
        <w:t>views</w:t>
      </w:r>
      <w:r w:rsidRPr="008C3633">
        <w:rPr>
          <w:rFonts w:ascii="Times New Roman" w:hAnsi="Times New Roman" w:cs="Times New Roman"/>
          <w:bCs/>
          <w:sz w:val="24"/>
          <w:szCs w:val="24"/>
          <w:vertAlign w:val="baseline"/>
        </w:rPr>
        <w:t xml:space="preserve">, </w:t>
      </w:r>
    </w:p>
    <w:p w14:paraId="193B6F4D" w14:textId="77777777" w:rsidR="00ED402F" w:rsidRPr="008C3633" w:rsidRDefault="00ED402F" w:rsidP="00C842C0">
      <w:pPr>
        <w:spacing w:line="480" w:lineRule="auto"/>
        <w:ind w:firstLine="720"/>
        <w:jc w:val="both"/>
        <w:rPr>
          <w:rFonts w:ascii="Times New Roman" w:hAnsi="Times New Roman" w:cs="Times New Roman"/>
          <w:bCs/>
          <w:sz w:val="24"/>
          <w:szCs w:val="24"/>
          <w:vertAlign w:val="baseline"/>
        </w:rPr>
      </w:pPr>
    </w:p>
    <w:p w14:paraId="5202D47E" w14:textId="77777777" w:rsidR="008C3633" w:rsidRPr="008C3633" w:rsidRDefault="008C3633" w:rsidP="00E74B67">
      <w:pPr>
        <w:spacing w:line="480" w:lineRule="auto"/>
        <w:ind w:left="720"/>
        <w:jc w:val="both"/>
        <w:rPr>
          <w:rFonts w:ascii="Times New Roman" w:hAnsi="Times New Roman" w:cs="Times New Roman"/>
          <w:bCs/>
          <w:sz w:val="24"/>
          <w:szCs w:val="24"/>
          <w:vertAlign w:val="baseline"/>
        </w:rPr>
      </w:pPr>
      <w:r w:rsidRPr="008C3633">
        <w:rPr>
          <w:rFonts w:ascii="Times New Roman" w:hAnsi="Times New Roman" w:cs="Times New Roman"/>
          <w:bCs/>
          <w:sz w:val="24"/>
          <w:szCs w:val="24"/>
          <w:vertAlign w:val="baseline"/>
        </w:rPr>
        <w:t>People with positions of authority and responsibilities, such as medical workers, police, church pastors and educated elites, continue to believe in the power of sorcery and witchcraft. They sometimes become a party to sorcery violence through direct involvement in it, or through their influence on others … thus, lack of positive knowledge can lead to the increase in sorcery violence.</w:t>
      </w:r>
      <w:r w:rsidRPr="008C3633">
        <w:rPr>
          <w:rFonts w:ascii="Times New Roman" w:hAnsi="Times New Roman" w:cs="Times New Roman"/>
          <w:bCs/>
          <w:sz w:val="24"/>
          <w:szCs w:val="24"/>
        </w:rPr>
        <w:footnoteReference w:id="1292"/>
      </w:r>
    </w:p>
    <w:p w14:paraId="519ECAA0" w14:textId="77777777" w:rsidR="008C3633" w:rsidRPr="008C3633" w:rsidRDefault="008C3633" w:rsidP="008C3633">
      <w:pPr>
        <w:spacing w:line="480" w:lineRule="auto"/>
        <w:jc w:val="both"/>
        <w:rPr>
          <w:rFonts w:ascii="Times New Roman" w:hAnsi="Times New Roman" w:cs="Times New Roman"/>
          <w:bCs/>
          <w:sz w:val="24"/>
          <w:szCs w:val="24"/>
          <w:vertAlign w:val="baseline"/>
        </w:rPr>
      </w:pPr>
    </w:p>
    <w:p w14:paraId="2C02FC8F" w14:textId="7B586479" w:rsidR="00ED402F" w:rsidRDefault="008C3633" w:rsidP="000A6308">
      <w:pPr>
        <w:spacing w:line="480" w:lineRule="auto"/>
        <w:ind w:firstLine="720"/>
        <w:jc w:val="both"/>
        <w:rPr>
          <w:rFonts w:ascii="Times New Roman" w:hAnsi="Times New Roman" w:cs="Times New Roman"/>
          <w:bCs/>
          <w:sz w:val="24"/>
          <w:szCs w:val="24"/>
          <w:vertAlign w:val="baseline"/>
        </w:rPr>
      </w:pPr>
      <w:r w:rsidRPr="008C3633">
        <w:rPr>
          <w:rFonts w:ascii="Times New Roman" w:hAnsi="Times New Roman" w:cs="Times New Roman"/>
          <w:bCs/>
          <w:sz w:val="24"/>
          <w:szCs w:val="24"/>
          <w:vertAlign w:val="baseline"/>
        </w:rPr>
        <w:t>This is substantiated by Forsyth, who states that there is a culture of impunity, regarding WAP, partially due to police complicity.</w:t>
      </w:r>
      <w:r w:rsidRPr="008C3633">
        <w:rPr>
          <w:rFonts w:ascii="Times New Roman" w:hAnsi="Times New Roman" w:cs="Times New Roman"/>
          <w:bCs/>
          <w:sz w:val="24"/>
          <w:szCs w:val="24"/>
        </w:rPr>
        <w:footnoteReference w:id="1293"/>
      </w:r>
      <w:r w:rsidRPr="008C3633">
        <w:rPr>
          <w:rFonts w:ascii="Times New Roman" w:hAnsi="Times New Roman" w:cs="Times New Roman"/>
          <w:bCs/>
          <w:sz w:val="24"/>
          <w:szCs w:val="24"/>
          <w:vertAlign w:val="baseline"/>
        </w:rPr>
        <w:t xml:space="preserve"> Forsyth makes reference to a 2014 Al-Jazeera documentary, in which a senior police officer in Kundiawa, stated that if they ‘got rid of’ all the sorcerers then they would have no more human rights abuses in PNG; when asked how he would ‘get rid of’ the sorcerers, the police officer responded, ‘we kill them, we just go ahead and kill them.’</w:t>
      </w:r>
      <w:r w:rsidRPr="008C3633">
        <w:rPr>
          <w:rFonts w:ascii="Times New Roman" w:hAnsi="Times New Roman" w:cs="Times New Roman"/>
          <w:bCs/>
          <w:sz w:val="24"/>
          <w:szCs w:val="24"/>
        </w:rPr>
        <w:footnoteReference w:id="1294"/>
      </w:r>
      <w:r w:rsidRPr="008C3633">
        <w:rPr>
          <w:rFonts w:ascii="Times New Roman" w:hAnsi="Times New Roman" w:cs="Times New Roman"/>
          <w:bCs/>
          <w:sz w:val="24"/>
          <w:szCs w:val="24"/>
          <w:vertAlign w:val="baseline"/>
        </w:rPr>
        <w:t xml:space="preserve"> Other aggravating factors listed by Forsyth, which impede police prosecutions are ‘a lack of police logistics, personnel and training, the absence of complaints, intimidation of witnesses, bribes paid to police to drop cases, and people being afraid of police retaliation if they complain cases have not been pursued.’</w:t>
      </w:r>
      <w:r w:rsidRPr="008C3633">
        <w:rPr>
          <w:rFonts w:ascii="Times New Roman" w:hAnsi="Times New Roman" w:cs="Times New Roman"/>
          <w:bCs/>
          <w:sz w:val="24"/>
          <w:szCs w:val="24"/>
        </w:rPr>
        <w:footnoteReference w:id="1295"/>
      </w:r>
      <w:r w:rsidRPr="008C3633">
        <w:rPr>
          <w:rFonts w:ascii="Times New Roman" w:hAnsi="Times New Roman" w:cs="Times New Roman"/>
          <w:bCs/>
          <w:sz w:val="24"/>
          <w:szCs w:val="24"/>
          <w:vertAlign w:val="baseline"/>
        </w:rPr>
        <w:t xml:space="preserve"> Thus, there is a desperate need in PNG for a </w:t>
      </w:r>
      <w:r w:rsidRPr="008C3633">
        <w:rPr>
          <w:rFonts w:ascii="Times New Roman" w:hAnsi="Times New Roman" w:cs="Times New Roman"/>
          <w:sz w:val="24"/>
          <w:szCs w:val="24"/>
          <w:vertAlign w:val="baseline"/>
        </w:rPr>
        <w:t>larger, better-armed, better-trained, better-educated and better-paid police force.</w:t>
      </w:r>
      <w:r w:rsidRPr="008C3633">
        <w:rPr>
          <w:rFonts w:ascii="Times New Roman" w:hAnsi="Times New Roman" w:cs="Times New Roman"/>
          <w:sz w:val="24"/>
          <w:szCs w:val="24"/>
        </w:rPr>
        <w:footnoteReference w:id="1296"/>
      </w:r>
      <w:r w:rsidRPr="008C3633">
        <w:rPr>
          <w:rFonts w:ascii="Times New Roman" w:hAnsi="Times New Roman" w:cs="Times New Roman"/>
          <w:sz w:val="24"/>
          <w:szCs w:val="24"/>
          <w:vertAlign w:val="baseline"/>
        </w:rPr>
        <w:t xml:space="preserve"> Moreover, u</w:t>
      </w:r>
      <w:r w:rsidRPr="008C3633">
        <w:rPr>
          <w:rFonts w:ascii="Times New Roman" w:hAnsi="Times New Roman" w:cs="Times New Roman"/>
          <w:bCs/>
          <w:sz w:val="24"/>
          <w:szCs w:val="24"/>
          <w:vertAlign w:val="baseline"/>
        </w:rPr>
        <w:t>ntil the poor societal status of women within PNG improves and the witchcraft mentality continues to thrive throughout society, legislation, irrespective of its severity, remains ineffective.</w:t>
      </w:r>
    </w:p>
    <w:p w14:paraId="09137B55" w14:textId="77777777" w:rsidR="000A6308" w:rsidRPr="000A6308" w:rsidRDefault="000A6308" w:rsidP="000A6308">
      <w:pPr>
        <w:spacing w:line="480" w:lineRule="auto"/>
        <w:ind w:firstLine="720"/>
        <w:jc w:val="both"/>
        <w:rPr>
          <w:rFonts w:ascii="Times New Roman" w:hAnsi="Times New Roman" w:cs="Times New Roman"/>
          <w:bCs/>
          <w:sz w:val="24"/>
          <w:szCs w:val="24"/>
          <w:vertAlign w:val="baseline"/>
        </w:rPr>
      </w:pPr>
    </w:p>
    <w:p w14:paraId="2E7BF079" w14:textId="10745B1D" w:rsidR="008C3633" w:rsidRPr="008C3633" w:rsidRDefault="006C66F3" w:rsidP="008C3633">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6</w:t>
      </w:r>
      <w:r w:rsidR="009F7611">
        <w:rPr>
          <w:rFonts w:ascii="Times New Roman" w:hAnsi="Times New Roman" w:cs="Times New Roman"/>
          <w:b/>
          <w:sz w:val="24"/>
          <w:szCs w:val="24"/>
          <w:u w:val="single"/>
          <w:vertAlign w:val="baseline"/>
        </w:rPr>
        <w:t xml:space="preserve">.4 </w:t>
      </w:r>
      <w:r w:rsidR="008C3633" w:rsidRPr="008C3633">
        <w:rPr>
          <w:rFonts w:ascii="Times New Roman" w:hAnsi="Times New Roman" w:cs="Times New Roman"/>
          <w:b/>
          <w:sz w:val="24"/>
          <w:szCs w:val="24"/>
          <w:u w:val="single"/>
          <w:vertAlign w:val="baseline"/>
        </w:rPr>
        <w:t>C</w:t>
      </w:r>
      <w:r>
        <w:rPr>
          <w:rFonts w:ascii="Times New Roman" w:hAnsi="Times New Roman" w:cs="Times New Roman"/>
          <w:b/>
          <w:sz w:val="24"/>
          <w:szCs w:val="24"/>
          <w:u w:val="single"/>
          <w:vertAlign w:val="baseline"/>
        </w:rPr>
        <w:t>ONCLUSION</w:t>
      </w:r>
    </w:p>
    <w:p w14:paraId="19E3F430" w14:textId="3494B9D1" w:rsidR="008C3633" w:rsidRPr="008C3633" w:rsidRDefault="008C3633" w:rsidP="005E1A60">
      <w:pPr>
        <w:spacing w:line="480" w:lineRule="auto"/>
        <w:ind w:firstLine="720"/>
        <w:jc w:val="both"/>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 xml:space="preserve">Within all four states, the denial of the seriousness and pervasiveness of violence against women, in particular </w:t>
      </w:r>
      <w:r w:rsidR="00872EE2" w:rsidRPr="008C3633">
        <w:rPr>
          <w:rFonts w:ascii="Times New Roman" w:hAnsi="Times New Roman" w:cs="Times New Roman"/>
          <w:sz w:val="24"/>
          <w:szCs w:val="24"/>
          <w:vertAlign w:val="baseline"/>
        </w:rPr>
        <w:t>WAP</w:t>
      </w:r>
      <w:r w:rsidRPr="008C3633">
        <w:rPr>
          <w:rFonts w:ascii="Times New Roman" w:hAnsi="Times New Roman" w:cs="Times New Roman"/>
          <w:sz w:val="24"/>
          <w:szCs w:val="24"/>
          <w:vertAlign w:val="baseline"/>
        </w:rPr>
        <w:t xml:space="preserve"> remains widespread. VAW is both a means and a consequence of women’s subordination. In all four countries, women are considere</w:t>
      </w:r>
      <w:r w:rsidR="00872EE2">
        <w:rPr>
          <w:rFonts w:ascii="Times New Roman" w:hAnsi="Times New Roman" w:cs="Times New Roman"/>
          <w:sz w:val="24"/>
          <w:szCs w:val="24"/>
          <w:vertAlign w:val="baseline"/>
        </w:rPr>
        <w:t>d the exclusive property of men;</w:t>
      </w:r>
      <w:r w:rsidRPr="008C3633">
        <w:rPr>
          <w:rFonts w:ascii="Times New Roman" w:hAnsi="Times New Roman" w:cs="Times New Roman"/>
          <w:sz w:val="24"/>
          <w:szCs w:val="24"/>
          <w:vertAlign w:val="baseline"/>
        </w:rPr>
        <w:t xml:space="preserve"> thus, control and power over a woman symbolises the power and status of the man. Throughout a woman’s lifetime, from birth until death, she is subjected to a spectrum of violent traditional discriminatory practices. These forms of violence are structural; their purpose being that the individual has transgressed the patriarchal norms that govern society. WAP is one of the most horrific forms of violence women face.  Cultural violence, such as WAP, is not a passing phenomenon of cultural development. Cultural violence is integral to the way in which patriarchy manifests itself within society. Legislating against such cultural practices is, thus, a difficult area for any state to address. All four countries have an allocated ‘Fundamental Rights’ section within their Constitutions, all expressing the need for rights to equality, non-discrimination and freedom from inhumane treatment and harmful practices. Yet, the application of these norms is asymmetric. Within the public sphere, women are guaranteed a certain standard of equality, yet in the private sphere, women’s lives remain regulated by local customary laws. The customary defence of these laws, by states, simply perpetuates these patriarchal systems. Whilst states such as India have made attempts to address the issue of WAP, legislation here is sporadic, with less than 1% of reported incidents leading to conviction. In Nepal, despite current political unease, attempts have been made to strengthen the punishment of perpetrators of WAP. Results of this are yet to be seen. In PNG, the Sorcery Act, which previously persecuted victims of WAP, has been repealed, with the introduction of the death penalty for perpetrators of WAP. Yet, only weeks after this was enacted, incidents of WAP were documented throughout the media. In contrast, Ghana has no specific laws on witchcraft, despite the prevalence of witch camps within the north of the state.</w:t>
      </w:r>
      <w:r w:rsidRPr="008C3633">
        <w:rPr>
          <w:rFonts w:ascii="Times New Roman" w:hAnsi="Times New Roman" w:cs="Times New Roman"/>
          <w:sz w:val="24"/>
          <w:szCs w:val="24"/>
        </w:rPr>
        <w:footnoteReference w:id="1297"/>
      </w:r>
      <w:r w:rsidRPr="008C3633">
        <w:rPr>
          <w:rFonts w:ascii="Times New Roman" w:hAnsi="Times New Roman" w:cs="Times New Roman"/>
          <w:sz w:val="24"/>
          <w:szCs w:val="24"/>
          <w:vertAlign w:val="baseline"/>
        </w:rPr>
        <w:t xml:space="preserve"> Despite an improvement in the overall human rights situation of Ghana, the plight of women accused of witchcraft appears to have been ignored. Whilst punishment and culpability is important in the context of WAP, it remains apparent that legislation </w:t>
      </w:r>
      <w:r w:rsidRPr="008C3633">
        <w:rPr>
          <w:rFonts w:ascii="Times New Roman" w:hAnsi="Times New Roman" w:cs="Times New Roman"/>
          <w:i/>
          <w:sz w:val="24"/>
          <w:szCs w:val="24"/>
          <w:vertAlign w:val="baseline"/>
        </w:rPr>
        <w:t>per se</w:t>
      </w:r>
      <w:r w:rsidRPr="008C3633">
        <w:rPr>
          <w:rFonts w:ascii="Times New Roman" w:hAnsi="Times New Roman" w:cs="Times New Roman"/>
          <w:sz w:val="24"/>
          <w:szCs w:val="24"/>
          <w:vertAlign w:val="baseline"/>
        </w:rPr>
        <w:t xml:space="preserve"> does not lead to the deterrence and elimination of WAP. Legislation has previously failed to protect women, due to a lack of state implementation, weak enforcement procedures, weak punishment and, subsequen</w:t>
      </w:r>
      <w:r w:rsidR="00872EE2">
        <w:rPr>
          <w:rFonts w:ascii="Times New Roman" w:hAnsi="Times New Roman" w:cs="Times New Roman"/>
          <w:sz w:val="24"/>
          <w:szCs w:val="24"/>
          <w:vertAlign w:val="baseline"/>
        </w:rPr>
        <w:t>t, impunity for perpetrators with</w:t>
      </w:r>
      <w:r w:rsidRPr="008C3633">
        <w:rPr>
          <w:rFonts w:ascii="Times New Roman" w:hAnsi="Times New Roman" w:cs="Times New Roman"/>
          <w:sz w:val="24"/>
          <w:szCs w:val="24"/>
          <w:vertAlign w:val="baseline"/>
        </w:rPr>
        <w:t xml:space="preserve"> limited access to the law for those women from poorer societies. Furthermore, in societies that sanctions the subordination of women, combined with police forces prone to corruption, it would appear that the patriarchal values at stake are often regarded as more important than life itself. The lack of adequate policing, the failure of the police to investigate and low conviction rates facilitates those culpable for WAP. This failure of legislation is an issue that states need to urgently address. For legislation to succeed, states need to identify and recognise those discriminatory values, inherent within societies, challenging the patriarchal systems that sanction WAP at grass roots level. However, it is here where the problem lies. </w:t>
      </w:r>
      <w:r w:rsidR="00F946B4">
        <w:rPr>
          <w:rFonts w:ascii="Times New Roman" w:hAnsi="Times New Roman" w:cs="Times New Roman"/>
          <w:sz w:val="24"/>
          <w:szCs w:val="24"/>
          <w:vertAlign w:val="baseline"/>
        </w:rPr>
        <w:t>As documented in chapter five,</w:t>
      </w:r>
      <w:r w:rsidR="00F946B4">
        <w:rPr>
          <w:rStyle w:val="FootnoteReference"/>
          <w:rFonts w:ascii="Times New Roman" w:hAnsi="Times New Roman" w:cs="Times New Roman"/>
          <w:sz w:val="24"/>
          <w:szCs w:val="24"/>
        </w:rPr>
        <w:footnoteReference w:id="1298"/>
      </w:r>
      <w:r w:rsidR="00F946B4">
        <w:rPr>
          <w:rFonts w:ascii="Times New Roman" w:hAnsi="Times New Roman" w:cs="Times New Roman"/>
          <w:sz w:val="24"/>
          <w:szCs w:val="24"/>
          <w:vertAlign w:val="baseline"/>
        </w:rPr>
        <w:t xml:space="preserve"> violations of human rights can occur through the failure of states to take necessary measures stemming from legal obligations, with a particular distinction made between inability and unwillingness to comply. </w:t>
      </w:r>
      <w:r w:rsidRPr="008C3633">
        <w:rPr>
          <w:rFonts w:ascii="Times New Roman" w:hAnsi="Times New Roman" w:cs="Times New Roman"/>
          <w:sz w:val="24"/>
          <w:szCs w:val="24"/>
          <w:vertAlign w:val="baseline"/>
        </w:rPr>
        <w:t>This failure of states to fully implement legislation at national level and also to fully commit to their obligations under international human rights law is due to their reluctance</w:t>
      </w:r>
      <w:r w:rsidR="002133BD">
        <w:rPr>
          <w:rFonts w:ascii="Times New Roman" w:hAnsi="Times New Roman" w:cs="Times New Roman"/>
          <w:sz w:val="24"/>
          <w:szCs w:val="24"/>
          <w:vertAlign w:val="baseline"/>
        </w:rPr>
        <w:t xml:space="preserve"> and unwillingness</w:t>
      </w:r>
      <w:r w:rsidRPr="008C3633">
        <w:rPr>
          <w:rFonts w:ascii="Times New Roman" w:hAnsi="Times New Roman" w:cs="Times New Roman"/>
          <w:sz w:val="24"/>
          <w:szCs w:val="24"/>
          <w:vertAlign w:val="baseline"/>
        </w:rPr>
        <w:t xml:space="preserve"> to interfere with discriminatory traditional values; thus, rendering the law ineffective. As observed in India, the reluctance of the government to introduce a Uniform Civil Code, bringing all discriminatory religious laws into uniformity, fully illustrates this point, despite calls from the Supreme Court who themselves have questioned the fragmented, conflicting and confusing nature of the law. There needs to be a greater responsibility placed upon states, by the international community, to adhere to their commitments under international human rights law and to, sequentially, bring their national legislation in line with these obligations. Without state engagement and commitment, legislation will remain ineffective. </w:t>
      </w:r>
    </w:p>
    <w:p w14:paraId="591B89D0" w14:textId="77777777" w:rsidR="008C3633" w:rsidRPr="008C3633" w:rsidRDefault="008C3633" w:rsidP="008C3633">
      <w:pPr>
        <w:spacing w:line="480" w:lineRule="auto"/>
        <w:jc w:val="both"/>
        <w:rPr>
          <w:rFonts w:ascii="Times New Roman" w:hAnsi="Times New Roman" w:cs="Times New Roman"/>
          <w:sz w:val="24"/>
          <w:szCs w:val="24"/>
          <w:vertAlign w:val="baseline"/>
        </w:rPr>
      </w:pPr>
    </w:p>
    <w:p w14:paraId="1082C922" w14:textId="77777777" w:rsidR="008C3633" w:rsidRPr="008C3633" w:rsidRDefault="008C3633" w:rsidP="008C3633">
      <w:pPr>
        <w:spacing w:line="480" w:lineRule="auto"/>
        <w:jc w:val="both"/>
        <w:rPr>
          <w:rFonts w:ascii="Times New Roman" w:hAnsi="Times New Roman" w:cs="Times New Roman"/>
          <w:sz w:val="24"/>
          <w:szCs w:val="24"/>
          <w:vertAlign w:val="baseline"/>
        </w:rPr>
      </w:pPr>
    </w:p>
    <w:p w14:paraId="14842E3D" w14:textId="5DBFDCA0" w:rsidR="001C6724" w:rsidRPr="001C6724" w:rsidRDefault="001F5EF2" w:rsidP="001F5EF2">
      <w:pPr>
        <w:rPr>
          <w:rFonts w:ascii="Times New Roman" w:hAnsi="Times New Roman" w:cs="Times New Roman"/>
          <w:sz w:val="24"/>
          <w:szCs w:val="24"/>
          <w:vertAlign w:val="baseline"/>
        </w:rPr>
      </w:pPr>
      <w:r>
        <w:rPr>
          <w:rFonts w:ascii="Times New Roman" w:hAnsi="Times New Roman" w:cs="Times New Roman"/>
          <w:sz w:val="24"/>
          <w:szCs w:val="24"/>
          <w:vertAlign w:val="baseline"/>
        </w:rPr>
        <w:br w:type="page"/>
      </w:r>
    </w:p>
    <w:p w14:paraId="18D8AD29" w14:textId="77777777" w:rsidR="006A62F3" w:rsidRPr="006A62F3" w:rsidRDefault="006A62F3" w:rsidP="006A62F3">
      <w:pPr>
        <w:spacing w:line="480" w:lineRule="auto"/>
        <w:jc w:val="center"/>
        <w:rPr>
          <w:rFonts w:ascii="Times New Roman" w:hAnsi="Times New Roman" w:cs="Times New Roman"/>
          <w:b/>
          <w:sz w:val="28"/>
          <w:szCs w:val="28"/>
          <w:vertAlign w:val="baseline"/>
        </w:rPr>
      </w:pPr>
      <w:r w:rsidRPr="006A62F3">
        <w:rPr>
          <w:rFonts w:ascii="Times New Roman" w:hAnsi="Times New Roman" w:cs="Times New Roman"/>
          <w:b/>
          <w:sz w:val="28"/>
          <w:szCs w:val="28"/>
          <w:vertAlign w:val="baseline"/>
        </w:rPr>
        <w:t>Chapter Seven – Conclusion</w:t>
      </w:r>
    </w:p>
    <w:p w14:paraId="4B77AFF2" w14:textId="2A731702" w:rsidR="006A62F3" w:rsidRPr="006A62F3" w:rsidRDefault="00A66097" w:rsidP="006A62F3">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Introduction</w:t>
      </w:r>
    </w:p>
    <w:p w14:paraId="52682814" w14:textId="370C9537" w:rsidR="007444E9" w:rsidRDefault="00191835" w:rsidP="008A5394">
      <w:pPr>
        <w:spacing w:line="480" w:lineRule="auto"/>
        <w:ind w:firstLine="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In this thesis</w:t>
      </w:r>
      <w:r w:rsidR="009331DE">
        <w:rPr>
          <w:rFonts w:ascii="Times New Roman" w:hAnsi="Times New Roman" w:cs="Times New Roman"/>
          <w:sz w:val="24"/>
          <w:szCs w:val="24"/>
          <w:vertAlign w:val="baseline"/>
        </w:rPr>
        <w:t>, utilising a feminist methodology,</w:t>
      </w:r>
      <w:r>
        <w:rPr>
          <w:rFonts w:ascii="Times New Roman" w:hAnsi="Times New Roman" w:cs="Times New Roman"/>
          <w:sz w:val="24"/>
          <w:szCs w:val="24"/>
          <w:vertAlign w:val="baseline"/>
        </w:rPr>
        <w:t xml:space="preserve"> I questioned to what extent witchcraft accusations and persecution </w:t>
      </w:r>
      <w:r w:rsidR="009331DE">
        <w:rPr>
          <w:rFonts w:ascii="Times New Roman" w:hAnsi="Times New Roman" w:cs="Times New Roman"/>
          <w:sz w:val="24"/>
          <w:szCs w:val="24"/>
          <w:vertAlign w:val="baseline"/>
        </w:rPr>
        <w:t xml:space="preserve">are </w:t>
      </w:r>
      <w:r>
        <w:rPr>
          <w:rFonts w:ascii="Times New Roman" w:hAnsi="Times New Roman" w:cs="Times New Roman"/>
          <w:sz w:val="24"/>
          <w:szCs w:val="24"/>
          <w:vertAlign w:val="baseline"/>
        </w:rPr>
        <w:t>being used as a marginalisation mechanism</w:t>
      </w:r>
      <w:r w:rsidR="00615E1F">
        <w:rPr>
          <w:rFonts w:ascii="Times New Roman" w:hAnsi="Times New Roman" w:cs="Times New Roman"/>
          <w:sz w:val="24"/>
          <w:szCs w:val="24"/>
          <w:vertAlign w:val="baseline"/>
        </w:rPr>
        <w:t xml:space="preserve"> against women</w:t>
      </w:r>
      <w:r>
        <w:rPr>
          <w:rFonts w:ascii="Times New Roman" w:hAnsi="Times New Roman" w:cs="Times New Roman"/>
          <w:sz w:val="24"/>
          <w:szCs w:val="24"/>
          <w:vertAlign w:val="baseline"/>
        </w:rPr>
        <w:t>, in order to preserve patriarchal norms.</w:t>
      </w:r>
      <w:r w:rsidR="009331DE">
        <w:rPr>
          <w:rFonts w:ascii="Times New Roman" w:hAnsi="Times New Roman" w:cs="Times New Roman"/>
          <w:sz w:val="24"/>
          <w:szCs w:val="24"/>
          <w:vertAlign w:val="baseline"/>
        </w:rPr>
        <w:t xml:space="preserve"> My </w:t>
      </w:r>
      <w:r w:rsidR="00CF64C1">
        <w:rPr>
          <w:rFonts w:ascii="Times New Roman" w:hAnsi="Times New Roman" w:cs="Times New Roman"/>
          <w:sz w:val="24"/>
          <w:szCs w:val="24"/>
          <w:vertAlign w:val="baseline"/>
        </w:rPr>
        <w:t>conclusion is</w:t>
      </w:r>
      <w:r w:rsidR="009331DE">
        <w:rPr>
          <w:rFonts w:ascii="Times New Roman" w:hAnsi="Times New Roman" w:cs="Times New Roman"/>
          <w:sz w:val="24"/>
          <w:szCs w:val="24"/>
          <w:vertAlign w:val="baseline"/>
        </w:rPr>
        <w:t xml:space="preserve"> that they are being used to a considerable extent.</w:t>
      </w:r>
      <w:r w:rsidR="008A5394">
        <w:rPr>
          <w:rFonts w:ascii="Times New Roman" w:hAnsi="Times New Roman" w:cs="Times New Roman"/>
          <w:sz w:val="24"/>
          <w:szCs w:val="24"/>
          <w:vertAlign w:val="baseline"/>
        </w:rPr>
        <w:t xml:space="preserve"> </w:t>
      </w:r>
      <w:r>
        <w:rPr>
          <w:rFonts w:ascii="Times New Roman" w:hAnsi="Times New Roman" w:cs="Times New Roman"/>
          <w:sz w:val="24"/>
          <w:szCs w:val="24"/>
          <w:vertAlign w:val="baseline"/>
        </w:rPr>
        <w:t>Belief in witchcraft in the 21</w:t>
      </w:r>
      <w:r w:rsidRPr="0002227C">
        <w:rPr>
          <w:rFonts w:ascii="Times New Roman" w:hAnsi="Times New Roman" w:cs="Times New Roman"/>
          <w:sz w:val="24"/>
          <w:szCs w:val="24"/>
        </w:rPr>
        <w:t>st</w:t>
      </w:r>
      <w:r>
        <w:rPr>
          <w:rFonts w:ascii="Times New Roman" w:hAnsi="Times New Roman" w:cs="Times New Roman"/>
          <w:sz w:val="24"/>
          <w:szCs w:val="24"/>
          <w:vertAlign w:val="baseline"/>
        </w:rPr>
        <w:t xml:space="preserve"> century is rife. </w:t>
      </w:r>
      <w:r w:rsidR="00924CC6">
        <w:rPr>
          <w:rFonts w:ascii="Times New Roman" w:hAnsi="Times New Roman" w:cs="Times New Roman"/>
          <w:sz w:val="24"/>
          <w:szCs w:val="24"/>
          <w:vertAlign w:val="baseline"/>
        </w:rPr>
        <w:t>T</w:t>
      </w:r>
      <w:r w:rsidR="0002227C">
        <w:rPr>
          <w:rFonts w:ascii="Times New Roman" w:hAnsi="Times New Roman" w:cs="Times New Roman"/>
          <w:sz w:val="24"/>
          <w:szCs w:val="24"/>
          <w:vertAlign w:val="baseline"/>
        </w:rPr>
        <w:t xml:space="preserve">he number of women </w:t>
      </w:r>
      <w:r w:rsidR="00924CC6">
        <w:rPr>
          <w:rFonts w:ascii="Times New Roman" w:hAnsi="Times New Roman" w:cs="Times New Roman"/>
          <w:sz w:val="24"/>
          <w:szCs w:val="24"/>
          <w:vertAlign w:val="baseline"/>
        </w:rPr>
        <w:t>who are repeatedly tortured, ostracised from society and</w:t>
      </w:r>
      <w:r w:rsidR="00903502">
        <w:rPr>
          <w:rFonts w:ascii="Times New Roman" w:hAnsi="Times New Roman" w:cs="Times New Roman"/>
          <w:sz w:val="24"/>
          <w:szCs w:val="24"/>
          <w:vertAlign w:val="baseline"/>
        </w:rPr>
        <w:t xml:space="preserve"> habitually murdered, due to witchcraft</w:t>
      </w:r>
      <w:r w:rsidR="00924CC6">
        <w:rPr>
          <w:rFonts w:ascii="Times New Roman" w:hAnsi="Times New Roman" w:cs="Times New Roman"/>
          <w:sz w:val="24"/>
          <w:szCs w:val="24"/>
          <w:vertAlign w:val="baseline"/>
        </w:rPr>
        <w:t xml:space="preserve"> belief</w:t>
      </w:r>
      <w:r w:rsidR="00903502">
        <w:rPr>
          <w:rFonts w:ascii="Times New Roman" w:hAnsi="Times New Roman" w:cs="Times New Roman"/>
          <w:sz w:val="24"/>
          <w:szCs w:val="24"/>
          <w:vertAlign w:val="baseline"/>
        </w:rPr>
        <w:t>s</w:t>
      </w:r>
      <w:r w:rsidR="00924CC6">
        <w:rPr>
          <w:rFonts w:ascii="Times New Roman" w:hAnsi="Times New Roman" w:cs="Times New Roman"/>
          <w:sz w:val="24"/>
          <w:szCs w:val="24"/>
          <w:vertAlign w:val="baseline"/>
        </w:rPr>
        <w:t xml:space="preserve"> is</w:t>
      </w:r>
      <w:r w:rsidR="00415375">
        <w:rPr>
          <w:rFonts w:ascii="Times New Roman" w:hAnsi="Times New Roman" w:cs="Times New Roman"/>
          <w:sz w:val="24"/>
          <w:szCs w:val="24"/>
          <w:vertAlign w:val="baseline"/>
        </w:rPr>
        <w:t>,</w:t>
      </w:r>
      <w:r w:rsidR="00924CC6">
        <w:rPr>
          <w:rFonts w:ascii="Times New Roman" w:hAnsi="Times New Roman" w:cs="Times New Roman"/>
          <w:sz w:val="24"/>
          <w:szCs w:val="24"/>
          <w:vertAlign w:val="baseline"/>
        </w:rPr>
        <w:t xml:space="preserve"> quite frankly</w:t>
      </w:r>
      <w:r w:rsidR="00415375">
        <w:rPr>
          <w:rFonts w:ascii="Times New Roman" w:hAnsi="Times New Roman" w:cs="Times New Roman"/>
          <w:sz w:val="24"/>
          <w:szCs w:val="24"/>
          <w:vertAlign w:val="baseline"/>
        </w:rPr>
        <w:t>,</w:t>
      </w:r>
      <w:r w:rsidR="00924CC6">
        <w:rPr>
          <w:rFonts w:ascii="Times New Roman" w:hAnsi="Times New Roman" w:cs="Times New Roman"/>
          <w:sz w:val="24"/>
          <w:szCs w:val="24"/>
          <w:vertAlign w:val="baseline"/>
        </w:rPr>
        <w:t xml:space="preserve"> staggering.</w:t>
      </w:r>
      <w:r w:rsidR="00DA38E5">
        <w:rPr>
          <w:rFonts w:ascii="Times New Roman" w:hAnsi="Times New Roman" w:cs="Times New Roman"/>
          <w:sz w:val="24"/>
          <w:szCs w:val="24"/>
          <w:vertAlign w:val="baseline"/>
        </w:rPr>
        <w:t xml:space="preserve"> Despite women’s continued struggle for equality and recognition within society, the misogynistic view of women, preserved through </w:t>
      </w:r>
      <w:r w:rsidR="00BD2D54">
        <w:rPr>
          <w:rFonts w:ascii="Times New Roman" w:hAnsi="Times New Roman" w:cs="Times New Roman"/>
          <w:sz w:val="24"/>
          <w:szCs w:val="24"/>
          <w:vertAlign w:val="baseline"/>
        </w:rPr>
        <w:t xml:space="preserve">religion </w:t>
      </w:r>
      <w:r w:rsidR="00C20314">
        <w:rPr>
          <w:rFonts w:ascii="Times New Roman" w:hAnsi="Times New Roman" w:cs="Times New Roman"/>
          <w:sz w:val="24"/>
          <w:szCs w:val="24"/>
          <w:vertAlign w:val="baseline"/>
        </w:rPr>
        <w:t>and exacerbated through patriarchy and culture</w:t>
      </w:r>
      <w:r>
        <w:rPr>
          <w:rFonts w:ascii="Times New Roman" w:hAnsi="Times New Roman" w:cs="Times New Roman"/>
          <w:sz w:val="24"/>
          <w:szCs w:val="24"/>
          <w:vertAlign w:val="baseline"/>
        </w:rPr>
        <w:t xml:space="preserve">, continues to prevail. </w:t>
      </w:r>
      <w:r w:rsidR="000A39B9">
        <w:rPr>
          <w:rFonts w:ascii="Times New Roman" w:hAnsi="Times New Roman" w:cs="Times New Roman"/>
          <w:sz w:val="24"/>
          <w:szCs w:val="24"/>
          <w:vertAlign w:val="baseline"/>
        </w:rPr>
        <w:t>Wit</w:t>
      </w:r>
      <w:r w:rsidR="00F52A00">
        <w:rPr>
          <w:rFonts w:ascii="Times New Roman" w:hAnsi="Times New Roman" w:cs="Times New Roman"/>
          <w:sz w:val="24"/>
          <w:szCs w:val="24"/>
          <w:vertAlign w:val="baseline"/>
        </w:rPr>
        <w:t xml:space="preserve">hin these </w:t>
      </w:r>
      <w:r w:rsidR="00CE2AB8">
        <w:rPr>
          <w:rFonts w:ascii="Times New Roman" w:hAnsi="Times New Roman" w:cs="Times New Roman"/>
          <w:sz w:val="24"/>
          <w:szCs w:val="24"/>
          <w:vertAlign w:val="baseline"/>
        </w:rPr>
        <w:t xml:space="preserve">patriarchal </w:t>
      </w:r>
      <w:r w:rsidR="00F52A00">
        <w:rPr>
          <w:rFonts w:ascii="Times New Roman" w:hAnsi="Times New Roman" w:cs="Times New Roman"/>
          <w:sz w:val="24"/>
          <w:szCs w:val="24"/>
          <w:vertAlign w:val="baseline"/>
        </w:rPr>
        <w:t>systems, women are</w:t>
      </w:r>
      <w:r w:rsidR="000A39B9">
        <w:rPr>
          <w:rFonts w:ascii="Times New Roman" w:hAnsi="Times New Roman" w:cs="Times New Roman"/>
          <w:sz w:val="24"/>
          <w:szCs w:val="24"/>
          <w:vertAlign w:val="baseline"/>
        </w:rPr>
        <w:t xml:space="preserve"> subordinate on every level.</w:t>
      </w:r>
      <w:r w:rsidR="00023C28">
        <w:rPr>
          <w:rFonts w:ascii="Times New Roman" w:hAnsi="Times New Roman" w:cs="Times New Roman"/>
          <w:sz w:val="24"/>
          <w:szCs w:val="24"/>
          <w:vertAlign w:val="baseline"/>
        </w:rPr>
        <w:t xml:space="preserve"> Unfortunately, it is these very systems that control and influence </w:t>
      </w:r>
      <w:r w:rsidR="00903502">
        <w:rPr>
          <w:rFonts w:ascii="Times New Roman" w:hAnsi="Times New Roman" w:cs="Times New Roman"/>
          <w:sz w:val="24"/>
          <w:szCs w:val="24"/>
          <w:vertAlign w:val="baseline"/>
        </w:rPr>
        <w:t xml:space="preserve">society </w:t>
      </w:r>
      <w:r w:rsidR="00023C28">
        <w:rPr>
          <w:rFonts w:ascii="Times New Roman" w:hAnsi="Times New Roman" w:cs="Times New Roman"/>
          <w:sz w:val="24"/>
          <w:szCs w:val="24"/>
          <w:vertAlign w:val="baseline"/>
        </w:rPr>
        <w:t xml:space="preserve">on a global scale. </w:t>
      </w:r>
    </w:p>
    <w:p w14:paraId="3DEA5CDE" w14:textId="77777777" w:rsidR="007444E9" w:rsidRDefault="007444E9" w:rsidP="00E4593B">
      <w:pPr>
        <w:spacing w:line="480" w:lineRule="auto"/>
        <w:ind w:firstLine="720"/>
        <w:jc w:val="both"/>
        <w:rPr>
          <w:rFonts w:ascii="Times New Roman" w:hAnsi="Times New Roman" w:cs="Times New Roman"/>
          <w:sz w:val="24"/>
          <w:szCs w:val="24"/>
          <w:vertAlign w:val="baseline"/>
        </w:rPr>
      </w:pPr>
    </w:p>
    <w:p w14:paraId="4B6F4FC1" w14:textId="33C0DC1B" w:rsidR="00ED478A" w:rsidRDefault="00023C28" w:rsidP="00A72CA1">
      <w:pPr>
        <w:spacing w:line="480" w:lineRule="auto"/>
        <w:ind w:firstLine="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The power of</w:t>
      </w:r>
      <w:r w:rsidR="000C63F6">
        <w:rPr>
          <w:rFonts w:ascii="Times New Roman" w:hAnsi="Times New Roman" w:cs="Times New Roman"/>
          <w:sz w:val="24"/>
          <w:szCs w:val="24"/>
          <w:vertAlign w:val="baseline"/>
        </w:rPr>
        <w:t xml:space="preserve"> religion is immense. Religion is undoubtedly the single most influential authority there is. Of course, man created religion, hence, why religion remains the main purveyor of misogyny to date.</w:t>
      </w:r>
      <w:r w:rsidR="00AD1305">
        <w:rPr>
          <w:rFonts w:ascii="Times New Roman" w:hAnsi="Times New Roman" w:cs="Times New Roman"/>
          <w:sz w:val="24"/>
          <w:szCs w:val="24"/>
          <w:vertAlign w:val="baseline"/>
        </w:rPr>
        <w:t xml:space="preserve"> </w:t>
      </w:r>
      <w:r w:rsidR="00EF0FCD">
        <w:rPr>
          <w:rFonts w:ascii="Times New Roman" w:hAnsi="Times New Roman" w:cs="Times New Roman"/>
          <w:sz w:val="24"/>
          <w:szCs w:val="24"/>
          <w:vertAlign w:val="baseline"/>
        </w:rPr>
        <w:t>It was Christianity</w:t>
      </w:r>
      <w:r w:rsidR="00AD1305">
        <w:rPr>
          <w:rFonts w:ascii="Times New Roman" w:hAnsi="Times New Roman" w:cs="Times New Roman"/>
          <w:sz w:val="24"/>
          <w:szCs w:val="24"/>
          <w:vertAlign w:val="baseline"/>
        </w:rPr>
        <w:t xml:space="preserve"> </w:t>
      </w:r>
      <w:r w:rsidR="00E4593B">
        <w:rPr>
          <w:rFonts w:ascii="Times New Roman" w:hAnsi="Times New Roman" w:cs="Times New Roman"/>
          <w:sz w:val="24"/>
          <w:szCs w:val="24"/>
          <w:vertAlign w:val="baseline"/>
        </w:rPr>
        <w:t>that provided</w:t>
      </w:r>
      <w:r w:rsidR="00AD1305">
        <w:rPr>
          <w:rFonts w:ascii="Times New Roman" w:hAnsi="Times New Roman" w:cs="Times New Roman"/>
          <w:sz w:val="24"/>
          <w:szCs w:val="24"/>
          <w:vertAlign w:val="baseline"/>
        </w:rPr>
        <w:t xml:space="preserve"> the</w:t>
      </w:r>
      <w:r w:rsidR="007444E9">
        <w:rPr>
          <w:rFonts w:ascii="Times New Roman" w:hAnsi="Times New Roman" w:cs="Times New Roman"/>
          <w:sz w:val="24"/>
          <w:szCs w:val="24"/>
          <w:vertAlign w:val="baseline"/>
        </w:rPr>
        <w:t xml:space="preserve"> initial</w:t>
      </w:r>
      <w:r w:rsidR="00AD1305">
        <w:rPr>
          <w:rFonts w:ascii="Times New Roman" w:hAnsi="Times New Roman" w:cs="Times New Roman"/>
          <w:sz w:val="24"/>
          <w:szCs w:val="24"/>
          <w:vertAlign w:val="baseline"/>
        </w:rPr>
        <w:t xml:space="preserve"> link between women and evil, thus, seque</w:t>
      </w:r>
      <w:r w:rsidR="007444E9">
        <w:rPr>
          <w:rFonts w:ascii="Times New Roman" w:hAnsi="Times New Roman" w:cs="Times New Roman"/>
          <w:sz w:val="24"/>
          <w:szCs w:val="24"/>
          <w:vertAlign w:val="baseline"/>
        </w:rPr>
        <w:t>ntially, providing</w:t>
      </w:r>
      <w:r w:rsidR="00AD1305">
        <w:rPr>
          <w:rFonts w:ascii="Times New Roman" w:hAnsi="Times New Roman" w:cs="Times New Roman"/>
          <w:sz w:val="24"/>
          <w:szCs w:val="24"/>
          <w:vertAlign w:val="baseline"/>
        </w:rPr>
        <w:t xml:space="preserve"> the rationale behind witchcraft beliefs.</w:t>
      </w:r>
      <w:r w:rsidR="00790453">
        <w:rPr>
          <w:rFonts w:ascii="Times New Roman" w:hAnsi="Times New Roman" w:cs="Times New Roman"/>
          <w:sz w:val="24"/>
          <w:szCs w:val="24"/>
          <w:vertAlign w:val="baseline"/>
        </w:rPr>
        <w:t xml:space="preserve"> </w:t>
      </w:r>
      <w:r w:rsidR="001C0E72">
        <w:rPr>
          <w:rFonts w:ascii="Times New Roman" w:hAnsi="Times New Roman" w:cs="Times New Roman"/>
          <w:sz w:val="24"/>
          <w:szCs w:val="24"/>
          <w:vertAlign w:val="baseline"/>
        </w:rPr>
        <w:t xml:space="preserve">The rationale behind witchcraft is certainly clever. The combination of women’s ‘inherent weakness,’ their failure to control their own bodies and their allegiance to the devil, together with the added </w:t>
      </w:r>
      <w:r w:rsidR="000C2C46">
        <w:rPr>
          <w:rFonts w:ascii="Times New Roman" w:hAnsi="Times New Roman" w:cs="Times New Roman"/>
          <w:sz w:val="24"/>
          <w:szCs w:val="24"/>
          <w:vertAlign w:val="baseline"/>
        </w:rPr>
        <w:t xml:space="preserve">manipulation of </w:t>
      </w:r>
      <w:r w:rsidR="00790453">
        <w:rPr>
          <w:rFonts w:ascii="Times New Roman" w:hAnsi="Times New Roman" w:cs="Times New Roman"/>
          <w:sz w:val="24"/>
          <w:szCs w:val="24"/>
          <w:vertAlign w:val="baseline"/>
        </w:rPr>
        <w:t>fear</w:t>
      </w:r>
      <w:r w:rsidR="000C2C46">
        <w:rPr>
          <w:rFonts w:ascii="Times New Roman" w:hAnsi="Times New Roman" w:cs="Times New Roman"/>
          <w:sz w:val="24"/>
          <w:szCs w:val="24"/>
          <w:vertAlign w:val="baseline"/>
        </w:rPr>
        <w:t>, both</w:t>
      </w:r>
      <w:r w:rsidR="00790453">
        <w:rPr>
          <w:rFonts w:ascii="Times New Roman" w:hAnsi="Times New Roman" w:cs="Times New Roman"/>
          <w:sz w:val="24"/>
          <w:szCs w:val="24"/>
          <w:vertAlign w:val="baseline"/>
        </w:rPr>
        <w:t xml:space="preserve"> of the unknown and the supernatural,</w:t>
      </w:r>
      <w:r w:rsidR="001012DB">
        <w:rPr>
          <w:rFonts w:ascii="Times New Roman" w:hAnsi="Times New Roman" w:cs="Times New Roman"/>
          <w:sz w:val="24"/>
          <w:szCs w:val="24"/>
          <w:vertAlign w:val="baseline"/>
        </w:rPr>
        <w:t xml:space="preserve"> brought together two central religious themes. </w:t>
      </w:r>
      <w:r w:rsidR="000A093E">
        <w:rPr>
          <w:rFonts w:ascii="Times New Roman" w:hAnsi="Times New Roman" w:cs="Times New Roman"/>
          <w:sz w:val="24"/>
          <w:szCs w:val="24"/>
          <w:vertAlign w:val="baseline"/>
        </w:rPr>
        <w:t xml:space="preserve">It is here </w:t>
      </w:r>
      <w:r w:rsidR="001C0E72">
        <w:rPr>
          <w:rFonts w:ascii="Times New Roman" w:hAnsi="Times New Roman" w:cs="Times New Roman"/>
          <w:sz w:val="24"/>
          <w:szCs w:val="24"/>
          <w:vertAlign w:val="baseline"/>
        </w:rPr>
        <w:t xml:space="preserve">where women were formulated as witches. </w:t>
      </w:r>
      <w:r w:rsidR="008676CB">
        <w:rPr>
          <w:rFonts w:ascii="Times New Roman" w:hAnsi="Times New Roman" w:cs="Times New Roman"/>
          <w:sz w:val="24"/>
          <w:szCs w:val="24"/>
          <w:vertAlign w:val="baseline"/>
        </w:rPr>
        <w:t>Witchcraft revives and exaggerates this association of women and evil. Moreover,</w:t>
      </w:r>
      <w:r w:rsidR="00D36D1C">
        <w:rPr>
          <w:rFonts w:ascii="Times New Roman" w:hAnsi="Times New Roman" w:cs="Times New Roman"/>
          <w:sz w:val="24"/>
          <w:szCs w:val="24"/>
          <w:vertAlign w:val="baseline"/>
        </w:rPr>
        <w:t xml:space="preserve"> to believers,</w:t>
      </w:r>
      <w:r w:rsidR="008676CB">
        <w:rPr>
          <w:rFonts w:ascii="Times New Roman" w:hAnsi="Times New Roman" w:cs="Times New Roman"/>
          <w:sz w:val="24"/>
          <w:szCs w:val="24"/>
          <w:vertAlign w:val="baseline"/>
        </w:rPr>
        <w:t xml:space="preserve"> witchcraft </w:t>
      </w:r>
      <w:r w:rsidR="00F51FBB">
        <w:rPr>
          <w:rFonts w:ascii="Times New Roman" w:hAnsi="Times New Roman" w:cs="Times New Roman"/>
          <w:sz w:val="24"/>
          <w:szCs w:val="24"/>
          <w:vertAlign w:val="baseline"/>
        </w:rPr>
        <w:t>proves the theory</w:t>
      </w:r>
      <w:r w:rsidR="008676CB">
        <w:rPr>
          <w:rFonts w:ascii="Times New Roman" w:hAnsi="Times New Roman" w:cs="Times New Roman"/>
          <w:sz w:val="24"/>
          <w:szCs w:val="24"/>
          <w:vertAlign w:val="baseline"/>
        </w:rPr>
        <w:t xml:space="preserve"> of women </w:t>
      </w:r>
      <w:r w:rsidR="00F51FBB">
        <w:rPr>
          <w:rFonts w:ascii="Times New Roman" w:hAnsi="Times New Roman" w:cs="Times New Roman"/>
          <w:sz w:val="24"/>
          <w:szCs w:val="24"/>
          <w:vertAlign w:val="baseline"/>
        </w:rPr>
        <w:t xml:space="preserve">as inherently weaker individuals to be </w:t>
      </w:r>
      <w:r w:rsidR="00725245">
        <w:rPr>
          <w:rFonts w:ascii="Times New Roman" w:hAnsi="Times New Roman" w:cs="Times New Roman"/>
          <w:sz w:val="24"/>
          <w:szCs w:val="24"/>
          <w:vertAlign w:val="baseline"/>
        </w:rPr>
        <w:t>correct</w:t>
      </w:r>
      <w:r w:rsidR="00F51FBB">
        <w:rPr>
          <w:rFonts w:ascii="Times New Roman" w:hAnsi="Times New Roman" w:cs="Times New Roman"/>
          <w:sz w:val="24"/>
          <w:szCs w:val="24"/>
          <w:vertAlign w:val="baseline"/>
        </w:rPr>
        <w:t xml:space="preserve">. Women’s disposition to be vulnerable, credulous, disloyal and easily </w:t>
      </w:r>
      <w:r w:rsidR="003765A3" w:rsidRPr="003765A3">
        <w:rPr>
          <w:rFonts w:ascii="Times New Roman" w:hAnsi="Times New Roman" w:cs="Times New Roman"/>
          <w:sz w:val="24"/>
          <w:szCs w:val="24"/>
          <w:vertAlign w:val="baseline"/>
        </w:rPr>
        <w:t>manipulated</w:t>
      </w:r>
      <w:r w:rsidR="00F51FBB">
        <w:rPr>
          <w:rFonts w:ascii="Times New Roman" w:hAnsi="Times New Roman" w:cs="Times New Roman"/>
          <w:sz w:val="24"/>
          <w:szCs w:val="24"/>
          <w:vertAlign w:val="baseline"/>
        </w:rPr>
        <w:t xml:space="preserve">, allows for the penetration of evil influences and demonic forces </w:t>
      </w:r>
      <w:r w:rsidR="00316115">
        <w:rPr>
          <w:rFonts w:ascii="Times New Roman" w:hAnsi="Times New Roman" w:cs="Times New Roman"/>
          <w:sz w:val="24"/>
          <w:szCs w:val="24"/>
          <w:vertAlign w:val="baseline"/>
        </w:rPr>
        <w:t>that</w:t>
      </w:r>
      <w:r w:rsidR="00F51FBB">
        <w:rPr>
          <w:rFonts w:ascii="Times New Roman" w:hAnsi="Times New Roman" w:cs="Times New Roman"/>
          <w:sz w:val="24"/>
          <w:szCs w:val="24"/>
          <w:vertAlign w:val="baseline"/>
        </w:rPr>
        <w:t xml:space="preserve"> are only able to access and </w:t>
      </w:r>
      <w:r w:rsidR="008676CB">
        <w:rPr>
          <w:rFonts w:ascii="Times New Roman" w:hAnsi="Times New Roman" w:cs="Times New Roman"/>
          <w:sz w:val="24"/>
          <w:szCs w:val="24"/>
          <w:vertAlign w:val="baseline"/>
        </w:rPr>
        <w:t>manipulate their power th</w:t>
      </w:r>
      <w:r w:rsidR="00F51FBB">
        <w:rPr>
          <w:rFonts w:ascii="Times New Roman" w:hAnsi="Times New Roman" w:cs="Times New Roman"/>
          <w:sz w:val="24"/>
          <w:szCs w:val="24"/>
          <w:vertAlign w:val="baseline"/>
        </w:rPr>
        <w:t xml:space="preserve">rough the </w:t>
      </w:r>
      <w:r w:rsidR="00064E02">
        <w:rPr>
          <w:rFonts w:ascii="Times New Roman" w:hAnsi="Times New Roman" w:cs="Times New Roman"/>
          <w:sz w:val="24"/>
          <w:szCs w:val="24"/>
          <w:vertAlign w:val="baseline"/>
        </w:rPr>
        <w:t xml:space="preserve">imperfect </w:t>
      </w:r>
      <w:r w:rsidR="00F51FBB">
        <w:rPr>
          <w:rFonts w:ascii="Times New Roman" w:hAnsi="Times New Roman" w:cs="Times New Roman"/>
          <w:sz w:val="24"/>
          <w:szCs w:val="24"/>
          <w:vertAlign w:val="baseline"/>
        </w:rPr>
        <w:t>feminine unconscious.</w:t>
      </w:r>
      <w:r w:rsidR="00316115">
        <w:rPr>
          <w:rFonts w:ascii="Times New Roman" w:hAnsi="Times New Roman" w:cs="Times New Roman"/>
          <w:sz w:val="24"/>
          <w:szCs w:val="24"/>
          <w:vertAlign w:val="baseline"/>
        </w:rPr>
        <w:t xml:space="preserve"> </w:t>
      </w:r>
      <w:r w:rsidR="0055029A">
        <w:rPr>
          <w:rFonts w:ascii="Times New Roman" w:hAnsi="Times New Roman" w:cs="Times New Roman"/>
          <w:sz w:val="24"/>
          <w:szCs w:val="24"/>
          <w:vertAlign w:val="baseline"/>
        </w:rPr>
        <w:t>Obviously</w:t>
      </w:r>
      <w:r w:rsidR="00316115">
        <w:rPr>
          <w:rFonts w:ascii="Times New Roman" w:hAnsi="Times New Roman" w:cs="Times New Roman"/>
          <w:sz w:val="24"/>
          <w:szCs w:val="24"/>
          <w:vertAlign w:val="baseline"/>
        </w:rPr>
        <w:t xml:space="preserve">, the masculine unconscious is </w:t>
      </w:r>
      <w:r w:rsidR="00064E02">
        <w:rPr>
          <w:rFonts w:ascii="Times New Roman" w:hAnsi="Times New Roman" w:cs="Times New Roman"/>
          <w:sz w:val="24"/>
          <w:szCs w:val="24"/>
          <w:vertAlign w:val="baseline"/>
        </w:rPr>
        <w:t xml:space="preserve">perfect and </w:t>
      </w:r>
      <w:r w:rsidR="00316115">
        <w:rPr>
          <w:rFonts w:ascii="Times New Roman" w:hAnsi="Times New Roman" w:cs="Times New Roman"/>
          <w:sz w:val="24"/>
          <w:szCs w:val="24"/>
          <w:vertAlign w:val="baseline"/>
        </w:rPr>
        <w:t xml:space="preserve">far too strong, powerful and intelligent </w:t>
      </w:r>
      <w:r w:rsidR="0055029A">
        <w:rPr>
          <w:rFonts w:ascii="Times New Roman" w:hAnsi="Times New Roman" w:cs="Times New Roman"/>
          <w:sz w:val="24"/>
          <w:szCs w:val="24"/>
          <w:vertAlign w:val="baseline"/>
        </w:rPr>
        <w:t>to be vulnerable to such depravity.</w:t>
      </w:r>
      <w:r w:rsidR="00A72CA1">
        <w:rPr>
          <w:rFonts w:ascii="Times New Roman" w:hAnsi="Times New Roman" w:cs="Times New Roman"/>
          <w:sz w:val="24"/>
          <w:szCs w:val="24"/>
          <w:vertAlign w:val="baseline"/>
        </w:rPr>
        <w:t xml:space="preserve"> Thus, t</w:t>
      </w:r>
      <w:r w:rsidR="001C0E72">
        <w:rPr>
          <w:rFonts w:ascii="Times New Roman" w:hAnsi="Times New Roman" w:cs="Times New Roman"/>
          <w:sz w:val="24"/>
          <w:szCs w:val="24"/>
          <w:vertAlign w:val="baseline"/>
        </w:rPr>
        <w:t xml:space="preserve">his creation of women as witches </w:t>
      </w:r>
      <w:r w:rsidR="00415375">
        <w:rPr>
          <w:rFonts w:ascii="Times New Roman" w:hAnsi="Times New Roman" w:cs="Times New Roman"/>
          <w:sz w:val="24"/>
          <w:szCs w:val="24"/>
          <w:vertAlign w:val="baseline"/>
        </w:rPr>
        <w:t xml:space="preserve">has </w:t>
      </w:r>
      <w:r w:rsidR="001C0E72">
        <w:rPr>
          <w:rFonts w:ascii="Times New Roman" w:hAnsi="Times New Roman" w:cs="Times New Roman"/>
          <w:sz w:val="24"/>
          <w:szCs w:val="24"/>
          <w:vertAlign w:val="baseline"/>
        </w:rPr>
        <w:t xml:space="preserve">provided </w:t>
      </w:r>
      <w:r w:rsidR="004E1046">
        <w:rPr>
          <w:rFonts w:ascii="Times New Roman" w:hAnsi="Times New Roman" w:cs="Times New Roman"/>
          <w:sz w:val="24"/>
          <w:szCs w:val="24"/>
          <w:vertAlign w:val="baseline"/>
        </w:rPr>
        <w:t xml:space="preserve">both </w:t>
      </w:r>
      <w:r w:rsidR="001C0E72">
        <w:rPr>
          <w:rFonts w:ascii="Times New Roman" w:hAnsi="Times New Roman" w:cs="Times New Roman"/>
          <w:sz w:val="24"/>
          <w:szCs w:val="24"/>
          <w:vertAlign w:val="baseline"/>
        </w:rPr>
        <w:t>religion</w:t>
      </w:r>
      <w:r w:rsidR="004E1046">
        <w:rPr>
          <w:rFonts w:ascii="Times New Roman" w:hAnsi="Times New Roman" w:cs="Times New Roman"/>
          <w:sz w:val="24"/>
          <w:szCs w:val="24"/>
          <w:vertAlign w:val="baseline"/>
        </w:rPr>
        <w:t xml:space="preserve"> and society as a whole</w:t>
      </w:r>
      <w:r w:rsidR="001C0E72">
        <w:rPr>
          <w:rFonts w:ascii="Times New Roman" w:hAnsi="Times New Roman" w:cs="Times New Roman"/>
          <w:sz w:val="24"/>
          <w:szCs w:val="24"/>
          <w:vertAlign w:val="baseline"/>
        </w:rPr>
        <w:t xml:space="preserve"> </w:t>
      </w:r>
      <w:r w:rsidR="00790453">
        <w:rPr>
          <w:rFonts w:ascii="Times New Roman" w:hAnsi="Times New Roman" w:cs="Times New Roman"/>
          <w:sz w:val="24"/>
          <w:szCs w:val="24"/>
          <w:vertAlign w:val="baseline"/>
        </w:rPr>
        <w:t>wi</w:t>
      </w:r>
      <w:r w:rsidR="00236E66">
        <w:rPr>
          <w:rFonts w:ascii="Times New Roman" w:hAnsi="Times New Roman" w:cs="Times New Roman"/>
          <w:sz w:val="24"/>
          <w:szCs w:val="24"/>
          <w:vertAlign w:val="baseline"/>
        </w:rPr>
        <w:t>th the per</w:t>
      </w:r>
      <w:r w:rsidR="00790453">
        <w:rPr>
          <w:rFonts w:ascii="Times New Roman" w:hAnsi="Times New Roman" w:cs="Times New Roman"/>
          <w:sz w:val="24"/>
          <w:szCs w:val="24"/>
          <w:vertAlign w:val="baseline"/>
        </w:rPr>
        <w:t>fect scapegoat</w:t>
      </w:r>
      <w:r w:rsidR="00236E66">
        <w:rPr>
          <w:rFonts w:ascii="Times New Roman" w:hAnsi="Times New Roman" w:cs="Times New Roman"/>
          <w:sz w:val="24"/>
          <w:szCs w:val="24"/>
          <w:vertAlign w:val="baseline"/>
        </w:rPr>
        <w:t>,</w:t>
      </w:r>
      <w:r w:rsidR="00790453">
        <w:rPr>
          <w:rFonts w:ascii="Times New Roman" w:hAnsi="Times New Roman" w:cs="Times New Roman"/>
          <w:sz w:val="24"/>
          <w:szCs w:val="24"/>
          <w:vertAlign w:val="baseline"/>
        </w:rPr>
        <w:t xml:space="preserve"> within the patriarchal struggle for power </w:t>
      </w:r>
      <w:r w:rsidR="000C2C46">
        <w:rPr>
          <w:rFonts w:ascii="Times New Roman" w:hAnsi="Times New Roman" w:cs="Times New Roman"/>
          <w:sz w:val="24"/>
          <w:szCs w:val="24"/>
          <w:vertAlign w:val="baseline"/>
        </w:rPr>
        <w:t xml:space="preserve">and control. </w:t>
      </w:r>
    </w:p>
    <w:p w14:paraId="13B1B010" w14:textId="77777777" w:rsidR="00EA7F3C" w:rsidRDefault="00EA7F3C" w:rsidP="00A72CA1">
      <w:pPr>
        <w:spacing w:line="480" w:lineRule="auto"/>
        <w:ind w:firstLine="720"/>
        <w:jc w:val="both"/>
        <w:rPr>
          <w:rFonts w:ascii="Times New Roman" w:hAnsi="Times New Roman" w:cs="Times New Roman"/>
          <w:sz w:val="24"/>
          <w:szCs w:val="24"/>
          <w:vertAlign w:val="baseline"/>
        </w:rPr>
      </w:pPr>
    </w:p>
    <w:p w14:paraId="0553FA51" w14:textId="412DC37F" w:rsidR="00ED478A" w:rsidRPr="00EA7F3C" w:rsidRDefault="00EA7F3C" w:rsidP="00EA7F3C">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Contemporary witchcraft</w:t>
      </w:r>
    </w:p>
    <w:p w14:paraId="2229A76A" w14:textId="74740E47" w:rsidR="001C0E72" w:rsidRDefault="00B57EB9" w:rsidP="00DC17F6">
      <w:pPr>
        <w:spacing w:line="480" w:lineRule="auto"/>
        <w:ind w:firstLine="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Unfortunately, in the 21</w:t>
      </w:r>
      <w:r w:rsidRPr="00B57EB9">
        <w:rPr>
          <w:rFonts w:ascii="Times New Roman" w:hAnsi="Times New Roman" w:cs="Times New Roman"/>
          <w:sz w:val="24"/>
          <w:szCs w:val="24"/>
        </w:rPr>
        <w:t>st</w:t>
      </w:r>
      <w:r>
        <w:rPr>
          <w:rFonts w:ascii="Times New Roman" w:hAnsi="Times New Roman" w:cs="Times New Roman"/>
          <w:sz w:val="24"/>
          <w:szCs w:val="24"/>
          <w:vertAlign w:val="baseline"/>
        </w:rPr>
        <w:t xml:space="preserve"> century, things have not progressed. </w:t>
      </w:r>
      <w:r w:rsidR="00862194">
        <w:rPr>
          <w:rFonts w:ascii="Times New Roman" w:hAnsi="Times New Roman" w:cs="Times New Roman"/>
          <w:sz w:val="24"/>
          <w:szCs w:val="24"/>
          <w:vertAlign w:val="baseline"/>
        </w:rPr>
        <w:t xml:space="preserve">Due to its very nature, the </w:t>
      </w:r>
      <w:r w:rsidR="00F75AFC">
        <w:rPr>
          <w:rFonts w:ascii="Times New Roman" w:hAnsi="Times New Roman" w:cs="Times New Roman"/>
          <w:sz w:val="24"/>
          <w:szCs w:val="24"/>
          <w:vertAlign w:val="baseline"/>
        </w:rPr>
        <w:t>witchcraft discourse remains</w:t>
      </w:r>
      <w:r>
        <w:rPr>
          <w:rFonts w:ascii="Times New Roman" w:hAnsi="Times New Roman" w:cs="Times New Roman"/>
          <w:sz w:val="24"/>
          <w:szCs w:val="24"/>
          <w:vertAlign w:val="baseline"/>
        </w:rPr>
        <w:t xml:space="preserve"> somewhat</w:t>
      </w:r>
      <w:r w:rsidR="00862194">
        <w:rPr>
          <w:rFonts w:ascii="Times New Roman" w:hAnsi="Times New Roman" w:cs="Times New Roman"/>
          <w:sz w:val="24"/>
          <w:szCs w:val="24"/>
          <w:vertAlign w:val="baseline"/>
        </w:rPr>
        <w:t xml:space="preserve"> unchallengeable. </w:t>
      </w:r>
      <w:r w:rsidR="00F75AFC">
        <w:rPr>
          <w:rFonts w:ascii="Times New Roman" w:hAnsi="Times New Roman" w:cs="Times New Roman"/>
          <w:sz w:val="24"/>
          <w:szCs w:val="24"/>
          <w:vertAlign w:val="baseline"/>
        </w:rPr>
        <w:t xml:space="preserve">People are still, peculiarly, superstitious, despite the absence of any causal link between superstitious behaviour and </w:t>
      </w:r>
      <w:r w:rsidR="00FC272E">
        <w:rPr>
          <w:rFonts w:ascii="Times New Roman" w:hAnsi="Times New Roman" w:cs="Times New Roman"/>
          <w:sz w:val="24"/>
          <w:szCs w:val="24"/>
          <w:vertAlign w:val="baseline"/>
        </w:rPr>
        <w:t>intended outcomes.</w:t>
      </w:r>
      <w:r w:rsidR="00AF45BA">
        <w:rPr>
          <w:rFonts w:ascii="Times New Roman" w:hAnsi="Times New Roman" w:cs="Times New Roman"/>
          <w:sz w:val="24"/>
          <w:szCs w:val="24"/>
          <w:vertAlign w:val="baseline"/>
        </w:rPr>
        <w:t xml:space="preserve"> Fear of the unknown and </w:t>
      </w:r>
      <w:r w:rsidR="00AA522B">
        <w:rPr>
          <w:rFonts w:ascii="Times New Roman" w:hAnsi="Times New Roman" w:cs="Times New Roman"/>
          <w:sz w:val="24"/>
          <w:szCs w:val="24"/>
          <w:vertAlign w:val="baseline"/>
        </w:rPr>
        <w:t xml:space="preserve">of </w:t>
      </w:r>
      <w:r w:rsidR="00AF45BA">
        <w:rPr>
          <w:rFonts w:ascii="Times New Roman" w:hAnsi="Times New Roman" w:cs="Times New Roman"/>
          <w:sz w:val="24"/>
          <w:szCs w:val="24"/>
          <w:vertAlign w:val="baseline"/>
        </w:rPr>
        <w:t>the supernatural</w:t>
      </w:r>
      <w:r w:rsidR="00690244">
        <w:rPr>
          <w:rFonts w:ascii="Times New Roman" w:hAnsi="Times New Roman" w:cs="Times New Roman"/>
          <w:sz w:val="24"/>
          <w:szCs w:val="24"/>
          <w:vertAlign w:val="baseline"/>
        </w:rPr>
        <w:t xml:space="preserve"> </w:t>
      </w:r>
      <w:r w:rsidR="00C300F8" w:rsidRPr="00C300F8">
        <w:rPr>
          <w:rFonts w:ascii="Times New Roman" w:hAnsi="Times New Roman" w:cs="Times New Roman"/>
          <w:sz w:val="24"/>
          <w:szCs w:val="24"/>
          <w:vertAlign w:val="baseline"/>
        </w:rPr>
        <w:t>continues</w:t>
      </w:r>
      <w:r w:rsidR="00690244">
        <w:rPr>
          <w:rFonts w:ascii="Times New Roman" w:hAnsi="Times New Roman" w:cs="Times New Roman"/>
          <w:sz w:val="24"/>
          <w:szCs w:val="24"/>
          <w:vertAlign w:val="baseline"/>
        </w:rPr>
        <w:t>,</w:t>
      </w:r>
      <w:r w:rsidR="00AF45BA">
        <w:rPr>
          <w:rFonts w:ascii="Times New Roman" w:hAnsi="Times New Roman" w:cs="Times New Roman"/>
          <w:sz w:val="24"/>
          <w:szCs w:val="24"/>
          <w:vertAlign w:val="baseline"/>
        </w:rPr>
        <w:t xml:space="preserve"> propagated by religion,</w:t>
      </w:r>
      <w:r w:rsidR="00C300F8">
        <w:rPr>
          <w:rFonts w:ascii="Times New Roman" w:hAnsi="Times New Roman" w:cs="Times New Roman"/>
          <w:sz w:val="24"/>
          <w:szCs w:val="24"/>
          <w:vertAlign w:val="baseline"/>
        </w:rPr>
        <w:t xml:space="preserve"> in an attempt</w:t>
      </w:r>
      <w:r w:rsidR="0098460B">
        <w:rPr>
          <w:rFonts w:ascii="Times New Roman" w:hAnsi="Times New Roman" w:cs="Times New Roman"/>
          <w:sz w:val="24"/>
          <w:szCs w:val="24"/>
          <w:vertAlign w:val="baseline"/>
        </w:rPr>
        <w:t xml:space="preserve"> to maintain </w:t>
      </w:r>
      <w:r w:rsidR="00FC19D5">
        <w:rPr>
          <w:rFonts w:ascii="Times New Roman" w:hAnsi="Times New Roman" w:cs="Times New Roman"/>
          <w:sz w:val="24"/>
          <w:szCs w:val="24"/>
          <w:vertAlign w:val="baseline"/>
        </w:rPr>
        <w:t xml:space="preserve">its </w:t>
      </w:r>
      <w:r w:rsidR="0098460B">
        <w:rPr>
          <w:rFonts w:ascii="Times New Roman" w:hAnsi="Times New Roman" w:cs="Times New Roman"/>
          <w:sz w:val="24"/>
          <w:szCs w:val="24"/>
          <w:vertAlign w:val="baseline"/>
        </w:rPr>
        <w:t>control over society.</w:t>
      </w:r>
      <w:r w:rsidR="00AA414A">
        <w:rPr>
          <w:rFonts w:ascii="Times New Roman" w:hAnsi="Times New Roman" w:cs="Times New Roman"/>
          <w:sz w:val="24"/>
          <w:szCs w:val="24"/>
          <w:vertAlign w:val="baseline"/>
        </w:rPr>
        <w:t xml:space="preserve"> </w:t>
      </w:r>
      <w:r w:rsidR="00415375">
        <w:rPr>
          <w:rFonts w:ascii="Times New Roman" w:hAnsi="Times New Roman" w:cs="Times New Roman"/>
          <w:sz w:val="24"/>
          <w:szCs w:val="24"/>
          <w:vertAlign w:val="baseline"/>
        </w:rPr>
        <w:t>And women are still</w:t>
      </w:r>
      <w:r w:rsidR="00A3094E">
        <w:rPr>
          <w:rFonts w:ascii="Times New Roman" w:hAnsi="Times New Roman" w:cs="Times New Roman"/>
          <w:sz w:val="24"/>
          <w:szCs w:val="24"/>
          <w:vertAlign w:val="baseline"/>
        </w:rPr>
        <w:t xml:space="preserve"> </w:t>
      </w:r>
      <w:r w:rsidR="003720CC">
        <w:rPr>
          <w:rFonts w:ascii="Times New Roman" w:hAnsi="Times New Roman" w:cs="Times New Roman"/>
          <w:sz w:val="24"/>
          <w:szCs w:val="24"/>
          <w:vertAlign w:val="baseline"/>
        </w:rPr>
        <w:t xml:space="preserve">viewed as </w:t>
      </w:r>
      <w:r w:rsidR="00A3094E">
        <w:rPr>
          <w:rFonts w:ascii="Times New Roman" w:hAnsi="Times New Roman" w:cs="Times New Roman"/>
          <w:sz w:val="24"/>
          <w:szCs w:val="24"/>
          <w:vertAlign w:val="baseline"/>
        </w:rPr>
        <w:t>inferior</w:t>
      </w:r>
      <w:r w:rsidR="003720CC">
        <w:rPr>
          <w:rFonts w:ascii="Times New Roman" w:hAnsi="Times New Roman" w:cs="Times New Roman"/>
          <w:sz w:val="24"/>
          <w:szCs w:val="24"/>
          <w:vertAlign w:val="baseline"/>
        </w:rPr>
        <w:t>,</w:t>
      </w:r>
      <w:r w:rsidR="00415375">
        <w:rPr>
          <w:rFonts w:ascii="Times New Roman" w:hAnsi="Times New Roman" w:cs="Times New Roman"/>
          <w:sz w:val="24"/>
          <w:szCs w:val="24"/>
          <w:vertAlign w:val="baseline"/>
        </w:rPr>
        <w:t xml:space="preserve"> pawns </w:t>
      </w:r>
      <w:r w:rsidR="00E31090">
        <w:rPr>
          <w:rFonts w:ascii="Times New Roman" w:hAnsi="Times New Roman" w:cs="Times New Roman"/>
          <w:sz w:val="24"/>
          <w:szCs w:val="24"/>
          <w:vertAlign w:val="baseline"/>
        </w:rPr>
        <w:t>with</w:t>
      </w:r>
      <w:r w:rsidR="00415375">
        <w:rPr>
          <w:rFonts w:ascii="Times New Roman" w:hAnsi="Times New Roman" w:cs="Times New Roman"/>
          <w:sz w:val="24"/>
          <w:szCs w:val="24"/>
          <w:vertAlign w:val="baseline"/>
        </w:rPr>
        <w:t xml:space="preserve">in the </w:t>
      </w:r>
      <w:r w:rsidR="00E31090">
        <w:rPr>
          <w:rFonts w:ascii="Times New Roman" w:hAnsi="Times New Roman" w:cs="Times New Roman"/>
          <w:sz w:val="24"/>
          <w:szCs w:val="24"/>
          <w:vertAlign w:val="baseline"/>
        </w:rPr>
        <w:t xml:space="preserve">continuing </w:t>
      </w:r>
      <w:r w:rsidR="00415375">
        <w:rPr>
          <w:rFonts w:ascii="Times New Roman" w:hAnsi="Times New Roman" w:cs="Times New Roman"/>
          <w:sz w:val="24"/>
          <w:szCs w:val="24"/>
          <w:vertAlign w:val="baseline"/>
        </w:rPr>
        <w:t>patriarchal battle for absolute power and control over society.</w:t>
      </w:r>
      <w:r w:rsidR="005B18D2">
        <w:rPr>
          <w:rFonts w:ascii="Times New Roman" w:hAnsi="Times New Roman" w:cs="Times New Roman"/>
          <w:sz w:val="24"/>
          <w:szCs w:val="24"/>
          <w:vertAlign w:val="baseline"/>
        </w:rPr>
        <w:t xml:space="preserve"> </w:t>
      </w:r>
      <w:r w:rsidR="00AA414A">
        <w:rPr>
          <w:rFonts w:ascii="Times New Roman" w:hAnsi="Times New Roman" w:cs="Times New Roman"/>
          <w:sz w:val="24"/>
          <w:szCs w:val="24"/>
          <w:vertAlign w:val="baseline"/>
        </w:rPr>
        <w:t xml:space="preserve">Whilst the belief in witches may have subsided in Europe, the </w:t>
      </w:r>
      <w:r w:rsidR="007A02F7">
        <w:rPr>
          <w:rFonts w:ascii="Times New Roman" w:hAnsi="Times New Roman" w:cs="Times New Roman"/>
          <w:sz w:val="24"/>
          <w:szCs w:val="24"/>
          <w:vertAlign w:val="baseline"/>
        </w:rPr>
        <w:t>rise</w:t>
      </w:r>
      <w:r w:rsidR="00AA414A">
        <w:rPr>
          <w:rFonts w:ascii="Times New Roman" w:hAnsi="Times New Roman" w:cs="Times New Roman"/>
          <w:sz w:val="24"/>
          <w:szCs w:val="24"/>
          <w:vertAlign w:val="baseline"/>
        </w:rPr>
        <w:t xml:space="preserve"> of </w:t>
      </w:r>
      <w:r w:rsidR="007A02F7">
        <w:rPr>
          <w:rFonts w:ascii="Times New Roman" w:hAnsi="Times New Roman" w:cs="Times New Roman"/>
          <w:sz w:val="24"/>
          <w:szCs w:val="24"/>
          <w:vertAlign w:val="baseline"/>
        </w:rPr>
        <w:t>a new charismatic branch of Christianity in the 20</w:t>
      </w:r>
      <w:r w:rsidR="007A02F7" w:rsidRPr="007A02F7">
        <w:rPr>
          <w:rFonts w:ascii="Times New Roman" w:hAnsi="Times New Roman" w:cs="Times New Roman"/>
          <w:sz w:val="24"/>
          <w:szCs w:val="24"/>
        </w:rPr>
        <w:t>th</w:t>
      </w:r>
      <w:r w:rsidR="007A02F7">
        <w:rPr>
          <w:rFonts w:ascii="Times New Roman" w:hAnsi="Times New Roman" w:cs="Times New Roman"/>
          <w:sz w:val="24"/>
          <w:szCs w:val="24"/>
          <w:vertAlign w:val="baseline"/>
        </w:rPr>
        <w:t xml:space="preserve"> century, with their focus on divine healing, the miraculous and on the sinfulness of the Devil, has brought the belief in witchcraft back into the contemporary society.</w:t>
      </w:r>
      <w:r w:rsidR="00A66237">
        <w:rPr>
          <w:rFonts w:ascii="Times New Roman" w:hAnsi="Times New Roman" w:cs="Times New Roman"/>
          <w:sz w:val="24"/>
          <w:szCs w:val="24"/>
          <w:vertAlign w:val="baseline"/>
        </w:rPr>
        <w:t xml:space="preserve"> Thus, predominantly Christian countries such as Papua New Guinea and </w:t>
      </w:r>
      <w:r w:rsidR="00EF08F9">
        <w:rPr>
          <w:rFonts w:ascii="Times New Roman" w:hAnsi="Times New Roman" w:cs="Times New Roman"/>
          <w:sz w:val="24"/>
          <w:szCs w:val="24"/>
          <w:vertAlign w:val="baseline"/>
        </w:rPr>
        <w:t>Ghana</w:t>
      </w:r>
      <w:r w:rsidR="00A66237">
        <w:rPr>
          <w:rFonts w:ascii="Times New Roman" w:hAnsi="Times New Roman" w:cs="Times New Roman"/>
          <w:sz w:val="24"/>
          <w:szCs w:val="24"/>
          <w:vertAlign w:val="baseline"/>
        </w:rPr>
        <w:t xml:space="preserve"> </w:t>
      </w:r>
      <w:r w:rsidR="00EF08F9">
        <w:rPr>
          <w:rFonts w:ascii="Times New Roman" w:hAnsi="Times New Roman" w:cs="Times New Roman"/>
          <w:sz w:val="24"/>
          <w:szCs w:val="24"/>
          <w:vertAlign w:val="baseline"/>
        </w:rPr>
        <w:t>have seen a rise in Pentecostalism.</w:t>
      </w:r>
      <w:r w:rsidR="00221D50">
        <w:rPr>
          <w:rFonts w:ascii="Times New Roman" w:hAnsi="Times New Roman" w:cs="Times New Roman"/>
          <w:sz w:val="24"/>
          <w:szCs w:val="24"/>
          <w:vertAlign w:val="baseline"/>
        </w:rPr>
        <w:t xml:space="preserve"> They have also seen a rise in witchcraft accusations and persecution.</w:t>
      </w:r>
      <w:r w:rsidR="00EF08F9">
        <w:rPr>
          <w:rFonts w:ascii="Times New Roman" w:hAnsi="Times New Roman" w:cs="Times New Roman"/>
          <w:sz w:val="24"/>
          <w:szCs w:val="24"/>
          <w:vertAlign w:val="baseline"/>
        </w:rPr>
        <w:t xml:space="preserve"> Whether this rise in Penteco</w:t>
      </w:r>
      <w:r w:rsidR="005531BE">
        <w:rPr>
          <w:rFonts w:ascii="Times New Roman" w:hAnsi="Times New Roman" w:cs="Times New Roman"/>
          <w:sz w:val="24"/>
          <w:szCs w:val="24"/>
          <w:vertAlign w:val="baseline"/>
        </w:rPr>
        <w:t>stalism can be attributed to this</w:t>
      </w:r>
      <w:r w:rsidR="00EF08F9">
        <w:rPr>
          <w:rFonts w:ascii="Times New Roman" w:hAnsi="Times New Roman" w:cs="Times New Roman"/>
          <w:sz w:val="24"/>
          <w:szCs w:val="24"/>
          <w:vertAlign w:val="baseline"/>
        </w:rPr>
        <w:t xml:space="preserve"> rise in witchcraft related attacks on women is </w:t>
      </w:r>
      <w:r w:rsidR="0043009B">
        <w:rPr>
          <w:rFonts w:ascii="Times New Roman" w:hAnsi="Times New Roman" w:cs="Times New Roman"/>
          <w:sz w:val="24"/>
          <w:szCs w:val="24"/>
          <w:vertAlign w:val="baseline"/>
        </w:rPr>
        <w:t>merely speculative</w:t>
      </w:r>
      <w:r w:rsidR="000134FE">
        <w:rPr>
          <w:rFonts w:ascii="Times New Roman" w:hAnsi="Times New Roman" w:cs="Times New Roman"/>
          <w:sz w:val="24"/>
          <w:szCs w:val="24"/>
          <w:vertAlign w:val="baseline"/>
        </w:rPr>
        <w:t xml:space="preserve"> and is certainly an area that needs more research.</w:t>
      </w:r>
      <w:r w:rsidR="00EF08F9">
        <w:rPr>
          <w:rFonts w:ascii="Times New Roman" w:hAnsi="Times New Roman" w:cs="Times New Roman"/>
          <w:sz w:val="24"/>
          <w:szCs w:val="24"/>
          <w:vertAlign w:val="baseline"/>
        </w:rPr>
        <w:t xml:space="preserve"> However, the link between the propagation of contemporary witchcraft beliefs and Pentecostal</w:t>
      </w:r>
      <w:r w:rsidR="00211867">
        <w:rPr>
          <w:rFonts w:ascii="Times New Roman" w:hAnsi="Times New Roman" w:cs="Times New Roman"/>
          <w:sz w:val="24"/>
          <w:szCs w:val="24"/>
          <w:vertAlign w:val="baseline"/>
        </w:rPr>
        <w:t xml:space="preserve"> religions</w:t>
      </w:r>
      <w:r w:rsidR="00EF08F9">
        <w:rPr>
          <w:rFonts w:ascii="Times New Roman" w:hAnsi="Times New Roman" w:cs="Times New Roman"/>
          <w:sz w:val="24"/>
          <w:szCs w:val="24"/>
          <w:vertAlign w:val="baseline"/>
        </w:rPr>
        <w:t xml:space="preserve"> is clearly undeniable. I</w:t>
      </w:r>
      <w:r w:rsidR="00942E52">
        <w:rPr>
          <w:rFonts w:ascii="Times New Roman" w:hAnsi="Times New Roman" w:cs="Times New Roman"/>
          <w:sz w:val="24"/>
          <w:szCs w:val="24"/>
          <w:vertAlign w:val="baseline"/>
        </w:rPr>
        <w:t>n other societies, such as India</w:t>
      </w:r>
      <w:r w:rsidR="00A66237">
        <w:rPr>
          <w:rFonts w:ascii="Times New Roman" w:hAnsi="Times New Roman" w:cs="Times New Roman"/>
          <w:sz w:val="24"/>
          <w:szCs w:val="24"/>
          <w:vertAlign w:val="baseline"/>
        </w:rPr>
        <w:t xml:space="preserve"> and Nepal</w:t>
      </w:r>
      <w:r w:rsidR="00942E52">
        <w:rPr>
          <w:rFonts w:ascii="Times New Roman" w:hAnsi="Times New Roman" w:cs="Times New Roman"/>
          <w:sz w:val="24"/>
          <w:szCs w:val="24"/>
          <w:vertAlign w:val="baseline"/>
        </w:rPr>
        <w:t xml:space="preserve">, the belief in witchcraft </w:t>
      </w:r>
      <w:r w:rsidR="00403C59">
        <w:rPr>
          <w:rFonts w:ascii="Times New Roman" w:hAnsi="Times New Roman" w:cs="Times New Roman"/>
          <w:sz w:val="24"/>
          <w:szCs w:val="24"/>
          <w:vertAlign w:val="baseline"/>
        </w:rPr>
        <w:t xml:space="preserve">has </w:t>
      </w:r>
      <w:r w:rsidR="00AF6571">
        <w:rPr>
          <w:rFonts w:ascii="Times New Roman" w:hAnsi="Times New Roman" w:cs="Times New Roman"/>
          <w:sz w:val="24"/>
          <w:szCs w:val="24"/>
          <w:vertAlign w:val="baseline"/>
        </w:rPr>
        <w:t>been ever-present</w:t>
      </w:r>
      <w:r w:rsidR="00403C59">
        <w:rPr>
          <w:rFonts w:ascii="Times New Roman" w:hAnsi="Times New Roman" w:cs="Times New Roman"/>
          <w:sz w:val="24"/>
          <w:szCs w:val="24"/>
          <w:vertAlign w:val="baseline"/>
        </w:rPr>
        <w:t>.</w:t>
      </w:r>
      <w:r w:rsidR="00942E52">
        <w:rPr>
          <w:rFonts w:ascii="Times New Roman" w:hAnsi="Times New Roman" w:cs="Times New Roman"/>
          <w:sz w:val="24"/>
          <w:szCs w:val="24"/>
          <w:vertAlign w:val="baseline"/>
        </w:rPr>
        <w:t xml:space="preserve"> Here, a combination of high levels of poverty and misogyny,</w:t>
      </w:r>
      <w:r w:rsidR="00A32833">
        <w:rPr>
          <w:rFonts w:ascii="Times New Roman" w:hAnsi="Times New Roman" w:cs="Times New Roman"/>
          <w:sz w:val="24"/>
          <w:szCs w:val="24"/>
          <w:vertAlign w:val="baseline"/>
        </w:rPr>
        <w:t xml:space="preserve"> clashes between</w:t>
      </w:r>
      <w:r w:rsidR="007C7C72">
        <w:rPr>
          <w:rFonts w:ascii="Times New Roman" w:hAnsi="Times New Roman" w:cs="Times New Roman"/>
          <w:sz w:val="24"/>
          <w:szCs w:val="24"/>
          <w:vertAlign w:val="baseline"/>
        </w:rPr>
        <w:t xml:space="preserve"> modernity and traditional values,</w:t>
      </w:r>
      <w:r w:rsidR="00942E52">
        <w:rPr>
          <w:rFonts w:ascii="Times New Roman" w:hAnsi="Times New Roman" w:cs="Times New Roman"/>
          <w:sz w:val="24"/>
          <w:szCs w:val="24"/>
          <w:vertAlign w:val="baseline"/>
        </w:rPr>
        <w:t xml:space="preserve"> together with the ‘support’ of the caste system, has allowed witchcraft beliefs to</w:t>
      </w:r>
      <w:r w:rsidR="00930026">
        <w:rPr>
          <w:rFonts w:ascii="Times New Roman" w:hAnsi="Times New Roman" w:cs="Times New Roman"/>
          <w:sz w:val="24"/>
          <w:szCs w:val="24"/>
          <w:vertAlign w:val="baseline"/>
        </w:rPr>
        <w:t xml:space="preserve"> manipulate and</w:t>
      </w:r>
      <w:r w:rsidR="00942E52">
        <w:rPr>
          <w:rFonts w:ascii="Times New Roman" w:hAnsi="Times New Roman" w:cs="Times New Roman"/>
          <w:sz w:val="24"/>
          <w:szCs w:val="24"/>
          <w:vertAlign w:val="baseline"/>
        </w:rPr>
        <w:t xml:space="preserve"> </w:t>
      </w:r>
      <w:r w:rsidR="006B64EA">
        <w:rPr>
          <w:rFonts w:ascii="Times New Roman" w:hAnsi="Times New Roman" w:cs="Times New Roman"/>
          <w:sz w:val="24"/>
          <w:szCs w:val="24"/>
          <w:vertAlign w:val="baseline"/>
        </w:rPr>
        <w:t>penetrate contemporary society,</w:t>
      </w:r>
      <w:r w:rsidR="00942E52">
        <w:rPr>
          <w:rFonts w:ascii="Times New Roman" w:hAnsi="Times New Roman" w:cs="Times New Roman"/>
          <w:sz w:val="24"/>
          <w:szCs w:val="24"/>
          <w:vertAlign w:val="baseline"/>
        </w:rPr>
        <w:t xml:space="preserve"> </w:t>
      </w:r>
      <w:r w:rsidR="006B64EA">
        <w:rPr>
          <w:rFonts w:ascii="Times New Roman" w:hAnsi="Times New Roman" w:cs="Times New Roman"/>
          <w:sz w:val="24"/>
          <w:szCs w:val="24"/>
          <w:vertAlign w:val="baseline"/>
        </w:rPr>
        <w:t>becoming</w:t>
      </w:r>
      <w:r w:rsidR="00942E52">
        <w:rPr>
          <w:rFonts w:ascii="Times New Roman" w:hAnsi="Times New Roman" w:cs="Times New Roman"/>
          <w:sz w:val="24"/>
          <w:szCs w:val="24"/>
          <w:vertAlign w:val="baseline"/>
        </w:rPr>
        <w:t xml:space="preserve"> the perfect solution for those looking </w:t>
      </w:r>
      <w:r w:rsidR="00BA251A">
        <w:rPr>
          <w:rFonts w:ascii="Times New Roman" w:hAnsi="Times New Roman" w:cs="Times New Roman"/>
          <w:sz w:val="24"/>
          <w:szCs w:val="24"/>
          <w:vertAlign w:val="baseline"/>
        </w:rPr>
        <w:t xml:space="preserve">to evade responsibility and </w:t>
      </w:r>
      <w:r w:rsidR="00942E52">
        <w:rPr>
          <w:rFonts w:ascii="Times New Roman" w:hAnsi="Times New Roman" w:cs="Times New Roman"/>
          <w:sz w:val="24"/>
          <w:szCs w:val="24"/>
          <w:vertAlign w:val="baseline"/>
        </w:rPr>
        <w:t xml:space="preserve">for </w:t>
      </w:r>
      <w:r w:rsidR="00DC4396">
        <w:rPr>
          <w:rFonts w:ascii="Times New Roman" w:hAnsi="Times New Roman" w:cs="Times New Roman"/>
          <w:sz w:val="24"/>
          <w:szCs w:val="24"/>
          <w:vertAlign w:val="baseline"/>
        </w:rPr>
        <w:t>someone to blame.</w:t>
      </w:r>
    </w:p>
    <w:p w14:paraId="6D9E0067" w14:textId="77777777" w:rsidR="00BD2D54" w:rsidRDefault="00BD2D54" w:rsidP="00DC17F6">
      <w:pPr>
        <w:spacing w:line="480" w:lineRule="auto"/>
        <w:ind w:firstLine="720"/>
        <w:jc w:val="both"/>
        <w:rPr>
          <w:rFonts w:ascii="Times New Roman" w:hAnsi="Times New Roman" w:cs="Times New Roman"/>
          <w:sz w:val="24"/>
          <w:szCs w:val="24"/>
          <w:vertAlign w:val="baseline"/>
        </w:rPr>
      </w:pPr>
    </w:p>
    <w:p w14:paraId="24C224CB" w14:textId="470A34F2" w:rsidR="00BD2D54" w:rsidRPr="00A66097" w:rsidRDefault="00BD2D54" w:rsidP="00A66097">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Gendered witchcraft</w:t>
      </w:r>
    </w:p>
    <w:p w14:paraId="0F221E28" w14:textId="3D6C8E10" w:rsidR="00BD2D54" w:rsidRDefault="005B18D2" w:rsidP="00BD2D54">
      <w:pPr>
        <w:spacing w:line="480" w:lineRule="auto"/>
        <w:ind w:firstLine="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Whilst women appear to be the primary targets of witchcraft violence, there has been much debate as to the classification of witchcraft as sex-specific or sex-related. My position here is that t</w:t>
      </w:r>
      <w:r w:rsidR="005C0ADF">
        <w:rPr>
          <w:rFonts w:ascii="Times New Roman" w:hAnsi="Times New Roman" w:cs="Times New Roman"/>
          <w:sz w:val="24"/>
          <w:szCs w:val="24"/>
          <w:vertAlign w:val="baseline"/>
        </w:rPr>
        <w:t>he witchcraft discourse is undoubtedly a gendered</w:t>
      </w:r>
      <w:r w:rsidR="005F5491">
        <w:rPr>
          <w:rFonts w:ascii="Times New Roman" w:hAnsi="Times New Roman" w:cs="Times New Roman"/>
          <w:sz w:val="24"/>
          <w:szCs w:val="24"/>
          <w:vertAlign w:val="baseline"/>
        </w:rPr>
        <w:t xml:space="preserve"> ideology. </w:t>
      </w:r>
      <w:r>
        <w:rPr>
          <w:rFonts w:ascii="Times New Roman" w:hAnsi="Times New Roman" w:cs="Times New Roman"/>
          <w:sz w:val="24"/>
          <w:szCs w:val="24"/>
          <w:vertAlign w:val="baseline"/>
        </w:rPr>
        <w:t>Larner contends that, historically, witchcraft was sex-related, with women finding themselves locked within a religious battle between the forces of good (God) and evil (the Devil).</w:t>
      </w:r>
      <w:r w:rsidR="00182684">
        <w:rPr>
          <w:rStyle w:val="FootnoteReference"/>
          <w:rFonts w:ascii="Times New Roman" w:hAnsi="Times New Roman" w:cs="Times New Roman"/>
          <w:sz w:val="24"/>
          <w:szCs w:val="24"/>
        </w:rPr>
        <w:footnoteReference w:id="1299"/>
      </w:r>
      <w:r>
        <w:rPr>
          <w:rFonts w:ascii="Times New Roman" w:hAnsi="Times New Roman" w:cs="Times New Roman"/>
          <w:sz w:val="24"/>
          <w:szCs w:val="24"/>
          <w:vertAlign w:val="baseline"/>
        </w:rPr>
        <w:t xml:space="preserve"> </w:t>
      </w:r>
      <w:r w:rsidR="001E5A6A">
        <w:rPr>
          <w:rFonts w:ascii="Times New Roman" w:hAnsi="Times New Roman" w:cs="Times New Roman"/>
          <w:sz w:val="24"/>
          <w:szCs w:val="24"/>
          <w:vertAlign w:val="baseline"/>
        </w:rPr>
        <w:t>Her analysis provides that the Devil was himself masculine, thus, the evil that witches represented was not actually sex-specific.</w:t>
      </w:r>
      <w:r w:rsidR="000965F2">
        <w:rPr>
          <w:rStyle w:val="FootnoteReference"/>
          <w:rFonts w:ascii="Times New Roman" w:hAnsi="Times New Roman" w:cs="Times New Roman"/>
          <w:sz w:val="24"/>
          <w:szCs w:val="24"/>
        </w:rPr>
        <w:footnoteReference w:id="1300"/>
      </w:r>
      <w:r w:rsidR="001E5A6A">
        <w:rPr>
          <w:rFonts w:ascii="Times New Roman" w:hAnsi="Times New Roman" w:cs="Times New Roman"/>
          <w:sz w:val="24"/>
          <w:szCs w:val="24"/>
          <w:vertAlign w:val="baseline"/>
        </w:rPr>
        <w:t xml:space="preserve"> However, what Larner fails to recognise is that this analysis actually provides the rationale as to why witchcraft is specifically sex-specific. Women did not suddenly find themselves inconveniently locked within a religious battle. Women were purposely scapegoated</w:t>
      </w:r>
      <w:r w:rsidR="007738C3">
        <w:rPr>
          <w:rFonts w:ascii="Times New Roman" w:hAnsi="Times New Roman" w:cs="Times New Roman"/>
          <w:sz w:val="24"/>
          <w:szCs w:val="24"/>
          <w:vertAlign w:val="baseline"/>
        </w:rPr>
        <w:t xml:space="preserve"> as witches,</w:t>
      </w:r>
      <w:r w:rsidR="001E5A6A">
        <w:rPr>
          <w:rFonts w:ascii="Times New Roman" w:hAnsi="Times New Roman" w:cs="Times New Roman"/>
          <w:sz w:val="24"/>
          <w:szCs w:val="24"/>
          <w:vertAlign w:val="baseline"/>
        </w:rPr>
        <w:t xml:space="preserve"> by religion</w:t>
      </w:r>
      <w:r w:rsidR="007738C3">
        <w:rPr>
          <w:rFonts w:ascii="Times New Roman" w:hAnsi="Times New Roman" w:cs="Times New Roman"/>
          <w:sz w:val="24"/>
          <w:szCs w:val="24"/>
          <w:vertAlign w:val="baseline"/>
        </w:rPr>
        <w:t>,</w:t>
      </w:r>
      <w:r w:rsidR="001E5A6A">
        <w:rPr>
          <w:rFonts w:ascii="Times New Roman" w:hAnsi="Times New Roman" w:cs="Times New Roman"/>
          <w:sz w:val="24"/>
          <w:szCs w:val="24"/>
          <w:vertAlign w:val="baseline"/>
        </w:rPr>
        <w:t xml:space="preserve"> as a mechanism of controlling and eliminating women who did not conform to patriarchal supremacy. Thus, the battle between the two male forces of good</w:t>
      </w:r>
      <w:r w:rsidR="00967209">
        <w:rPr>
          <w:rFonts w:ascii="Times New Roman" w:hAnsi="Times New Roman" w:cs="Times New Roman"/>
          <w:sz w:val="24"/>
          <w:szCs w:val="24"/>
          <w:vertAlign w:val="baseline"/>
        </w:rPr>
        <w:t xml:space="preserve"> (God)</w:t>
      </w:r>
      <w:r w:rsidR="001E5A6A">
        <w:rPr>
          <w:rFonts w:ascii="Times New Roman" w:hAnsi="Times New Roman" w:cs="Times New Roman"/>
          <w:sz w:val="24"/>
          <w:szCs w:val="24"/>
          <w:vertAlign w:val="baseline"/>
        </w:rPr>
        <w:t xml:space="preserve"> and </w:t>
      </w:r>
      <w:r w:rsidR="00E629C0">
        <w:rPr>
          <w:rFonts w:ascii="Times New Roman" w:hAnsi="Times New Roman" w:cs="Times New Roman"/>
          <w:sz w:val="24"/>
          <w:szCs w:val="24"/>
          <w:vertAlign w:val="baseline"/>
        </w:rPr>
        <w:t>evil</w:t>
      </w:r>
      <w:r w:rsidR="001E5A6A">
        <w:rPr>
          <w:rFonts w:ascii="Times New Roman" w:hAnsi="Times New Roman" w:cs="Times New Roman"/>
          <w:sz w:val="24"/>
          <w:szCs w:val="24"/>
          <w:vertAlign w:val="baseline"/>
        </w:rPr>
        <w:t xml:space="preserve"> </w:t>
      </w:r>
      <w:r w:rsidR="00967209">
        <w:rPr>
          <w:rFonts w:ascii="Times New Roman" w:hAnsi="Times New Roman" w:cs="Times New Roman"/>
          <w:sz w:val="24"/>
          <w:szCs w:val="24"/>
          <w:vertAlign w:val="baseline"/>
        </w:rPr>
        <w:t xml:space="preserve">(Devil) </w:t>
      </w:r>
      <w:r w:rsidR="007807E1">
        <w:rPr>
          <w:rFonts w:ascii="Times New Roman" w:hAnsi="Times New Roman" w:cs="Times New Roman"/>
          <w:sz w:val="24"/>
          <w:szCs w:val="24"/>
          <w:vertAlign w:val="baseline"/>
        </w:rPr>
        <w:t>simply represents</w:t>
      </w:r>
      <w:r w:rsidR="001E5A6A">
        <w:rPr>
          <w:rFonts w:ascii="Times New Roman" w:hAnsi="Times New Roman" w:cs="Times New Roman"/>
          <w:sz w:val="24"/>
          <w:szCs w:val="24"/>
          <w:vertAlign w:val="baseline"/>
        </w:rPr>
        <w:t xml:space="preserve"> the constant </w:t>
      </w:r>
      <w:r w:rsidR="007807E1">
        <w:rPr>
          <w:rFonts w:ascii="Times New Roman" w:hAnsi="Times New Roman" w:cs="Times New Roman"/>
          <w:sz w:val="24"/>
          <w:szCs w:val="24"/>
          <w:vertAlign w:val="baseline"/>
        </w:rPr>
        <w:t xml:space="preserve">and continuing </w:t>
      </w:r>
      <w:r w:rsidR="001E5A6A">
        <w:rPr>
          <w:rFonts w:ascii="Times New Roman" w:hAnsi="Times New Roman" w:cs="Times New Roman"/>
          <w:sz w:val="24"/>
          <w:szCs w:val="24"/>
          <w:vertAlign w:val="baseline"/>
        </w:rPr>
        <w:t>battle of p</w:t>
      </w:r>
      <w:r w:rsidR="007807E1">
        <w:rPr>
          <w:rFonts w:ascii="Times New Roman" w:hAnsi="Times New Roman" w:cs="Times New Roman"/>
          <w:sz w:val="24"/>
          <w:szCs w:val="24"/>
          <w:vertAlign w:val="baseline"/>
        </w:rPr>
        <w:t>ower within patriarchal society that we see today.</w:t>
      </w:r>
      <w:r w:rsidR="00C13CED">
        <w:rPr>
          <w:rFonts w:ascii="Times New Roman" w:hAnsi="Times New Roman" w:cs="Times New Roman"/>
          <w:sz w:val="24"/>
          <w:szCs w:val="24"/>
          <w:vertAlign w:val="baseline"/>
        </w:rPr>
        <w:t xml:space="preserve"> Women need to be controlled by men, </w:t>
      </w:r>
      <w:r w:rsidR="00230E94">
        <w:rPr>
          <w:rFonts w:ascii="Times New Roman" w:hAnsi="Times New Roman" w:cs="Times New Roman"/>
          <w:sz w:val="24"/>
          <w:szCs w:val="24"/>
          <w:vertAlign w:val="baseline"/>
        </w:rPr>
        <w:t>not because of the weakness of women, but because of the weakness of men.</w:t>
      </w:r>
      <w:r w:rsidR="007E351F">
        <w:rPr>
          <w:rFonts w:ascii="Times New Roman" w:hAnsi="Times New Roman" w:cs="Times New Roman"/>
          <w:sz w:val="24"/>
          <w:szCs w:val="24"/>
          <w:vertAlign w:val="baseline"/>
        </w:rPr>
        <w:t xml:space="preserve"> It is this weakness in men</w:t>
      </w:r>
      <w:r w:rsidR="00BF7AA6">
        <w:rPr>
          <w:rFonts w:ascii="Times New Roman" w:hAnsi="Times New Roman" w:cs="Times New Roman"/>
          <w:sz w:val="24"/>
          <w:szCs w:val="24"/>
          <w:vertAlign w:val="baseline"/>
        </w:rPr>
        <w:t>, particularly in relation to the</w:t>
      </w:r>
      <w:r w:rsidR="00253AED">
        <w:rPr>
          <w:rFonts w:ascii="Times New Roman" w:hAnsi="Times New Roman" w:cs="Times New Roman"/>
          <w:sz w:val="24"/>
          <w:szCs w:val="24"/>
          <w:vertAlign w:val="baseline"/>
        </w:rPr>
        <w:t>ir</w:t>
      </w:r>
      <w:r w:rsidR="00BF7AA6">
        <w:rPr>
          <w:rFonts w:ascii="Times New Roman" w:hAnsi="Times New Roman" w:cs="Times New Roman"/>
          <w:sz w:val="24"/>
          <w:szCs w:val="24"/>
          <w:vertAlign w:val="baseline"/>
        </w:rPr>
        <w:t xml:space="preserve"> </w:t>
      </w:r>
      <w:r w:rsidR="00E6717B">
        <w:rPr>
          <w:rFonts w:ascii="Times New Roman" w:hAnsi="Times New Roman" w:cs="Times New Roman"/>
          <w:sz w:val="24"/>
          <w:szCs w:val="24"/>
          <w:vertAlign w:val="baseline"/>
        </w:rPr>
        <w:t xml:space="preserve">sexual </w:t>
      </w:r>
      <w:r w:rsidR="00BF7AA6">
        <w:rPr>
          <w:rFonts w:ascii="Times New Roman" w:hAnsi="Times New Roman" w:cs="Times New Roman"/>
          <w:sz w:val="24"/>
          <w:szCs w:val="24"/>
          <w:vertAlign w:val="baseline"/>
        </w:rPr>
        <w:t>temptation</w:t>
      </w:r>
      <w:r w:rsidR="00253AED">
        <w:rPr>
          <w:rFonts w:ascii="Times New Roman" w:hAnsi="Times New Roman" w:cs="Times New Roman"/>
          <w:sz w:val="24"/>
          <w:szCs w:val="24"/>
          <w:vertAlign w:val="baseline"/>
        </w:rPr>
        <w:t xml:space="preserve"> towards </w:t>
      </w:r>
      <w:r w:rsidR="00AE6C45">
        <w:rPr>
          <w:rFonts w:ascii="Times New Roman" w:hAnsi="Times New Roman" w:cs="Times New Roman"/>
          <w:sz w:val="24"/>
          <w:szCs w:val="24"/>
          <w:vertAlign w:val="baseline"/>
        </w:rPr>
        <w:t>women, which</w:t>
      </w:r>
      <w:r w:rsidR="007E351F">
        <w:rPr>
          <w:rFonts w:ascii="Times New Roman" w:hAnsi="Times New Roman" w:cs="Times New Roman"/>
          <w:sz w:val="24"/>
          <w:szCs w:val="24"/>
          <w:vertAlign w:val="baseline"/>
        </w:rPr>
        <w:t xml:space="preserve"> threatens their </w:t>
      </w:r>
      <w:r w:rsidR="00AC6854">
        <w:rPr>
          <w:rFonts w:ascii="Times New Roman" w:hAnsi="Times New Roman" w:cs="Times New Roman"/>
          <w:sz w:val="24"/>
          <w:szCs w:val="24"/>
          <w:vertAlign w:val="baseline"/>
        </w:rPr>
        <w:t xml:space="preserve">inherent </w:t>
      </w:r>
      <w:r w:rsidR="00844A48">
        <w:rPr>
          <w:rFonts w:ascii="Times New Roman" w:hAnsi="Times New Roman" w:cs="Times New Roman"/>
          <w:sz w:val="24"/>
          <w:szCs w:val="24"/>
          <w:vertAlign w:val="baseline"/>
        </w:rPr>
        <w:t xml:space="preserve">desire for power and control. </w:t>
      </w:r>
    </w:p>
    <w:p w14:paraId="2D3E7EDD" w14:textId="77777777" w:rsidR="00BD2D54" w:rsidRDefault="00BD2D54" w:rsidP="00BD2D54">
      <w:pPr>
        <w:spacing w:line="480" w:lineRule="auto"/>
        <w:ind w:firstLine="720"/>
        <w:jc w:val="both"/>
        <w:rPr>
          <w:rFonts w:ascii="Times New Roman" w:hAnsi="Times New Roman" w:cs="Times New Roman"/>
          <w:sz w:val="24"/>
          <w:szCs w:val="24"/>
          <w:vertAlign w:val="baseline"/>
        </w:rPr>
      </w:pPr>
    </w:p>
    <w:p w14:paraId="2E5768B9" w14:textId="67505036" w:rsidR="00BD2D54" w:rsidRPr="00BD2D54" w:rsidRDefault="00BD2D54" w:rsidP="00BD2D54">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The witchcraft discourse</w:t>
      </w:r>
    </w:p>
    <w:p w14:paraId="2B489427" w14:textId="3AA564ED" w:rsidR="00D0087F" w:rsidRDefault="0090061C" w:rsidP="00812BF0">
      <w:pPr>
        <w:spacing w:line="480" w:lineRule="auto"/>
        <w:ind w:firstLine="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Witchcraft</w:t>
      </w:r>
      <w:r w:rsidR="002B5DF8">
        <w:rPr>
          <w:rFonts w:ascii="Times New Roman" w:hAnsi="Times New Roman" w:cs="Times New Roman"/>
          <w:sz w:val="24"/>
          <w:szCs w:val="24"/>
          <w:vertAlign w:val="baseline"/>
        </w:rPr>
        <w:t xml:space="preserve"> is a discourse built on emotion and </w:t>
      </w:r>
      <w:r w:rsidR="005F5491">
        <w:rPr>
          <w:rFonts w:ascii="Times New Roman" w:hAnsi="Times New Roman" w:cs="Times New Roman"/>
          <w:sz w:val="24"/>
          <w:szCs w:val="24"/>
          <w:vertAlign w:val="baseline"/>
        </w:rPr>
        <w:t xml:space="preserve">a product of human environment. It is resourceful, self-perpetuating and </w:t>
      </w:r>
      <w:r w:rsidR="00AE71D5">
        <w:rPr>
          <w:rFonts w:ascii="Times New Roman" w:hAnsi="Times New Roman" w:cs="Times New Roman"/>
          <w:sz w:val="24"/>
          <w:szCs w:val="24"/>
          <w:vertAlign w:val="baseline"/>
        </w:rPr>
        <w:t>fool proof</w:t>
      </w:r>
      <w:r w:rsidR="005F5491">
        <w:rPr>
          <w:rFonts w:ascii="Times New Roman" w:hAnsi="Times New Roman" w:cs="Times New Roman"/>
          <w:sz w:val="24"/>
          <w:szCs w:val="24"/>
          <w:vertAlign w:val="baseline"/>
        </w:rPr>
        <w:t>. It becomes the ideal mechanism to control, maintain and manipulate society. Witchcraft can regulate societal values, dissolve unwanted relationships, resolve conflicts</w:t>
      </w:r>
      <w:r w:rsidR="00D0087F">
        <w:rPr>
          <w:rFonts w:ascii="Times New Roman" w:hAnsi="Times New Roman" w:cs="Times New Roman"/>
          <w:sz w:val="24"/>
          <w:szCs w:val="24"/>
          <w:vertAlign w:val="baseline"/>
        </w:rPr>
        <w:t>, deal with difference</w:t>
      </w:r>
      <w:r w:rsidR="005F5491">
        <w:rPr>
          <w:rFonts w:ascii="Times New Roman" w:hAnsi="Times New Roman" w:cs="Times New Roman"/>
          <w:sz w:val="24"/>
          <w:szCs w:val="24"/>
          <w:vertAlign w:val="baseline"/>
        </w:rPr>
        <w:t xml:space="preserve"> and provide explanations to the unexplainable. Most importantly, witchcraft is the ideal way to </w:t>
      </w:r>
      <w:r w:rsidR="00A323AD">
        <w:rPr>
          <w:rFonts w:ascii="Times New Roman" w:hAnsi="Times New Roman" w:cs="Times New Roman"/>
          <w:sz w:val="24"/>
          <w:szCs w:val="24"/>
          <w:vertAlign w:val="baseline"/>
        </w:rPr>
        <w:t>‘</w:t>
      </w:r>
      <w:r w:rsidR="005F5491">
        <w:rPr>
          <w:rFonts w:ascii="Times New Roman" w:hAnsi="Times New Roman" w:cs="Times New Roman"/>
          <w:sz w:val="24"/>
          <w:szCs w:val="24"/>
          <w:vertAlign w:val="baseline"/>
        </w:rPr>
        <w:t>deal with</w:t>
      </w:r>
      <w:r w:rsidR="00A323AD">
        <w:rPr>
          <w:rFonts w:ascii="Times New Roman" w:hAnsi="Times New Roman" w:cs="Times New Roman"/>
          <w:sz w:val="24"/>
          <w:szCs w:val="24"/>
          <w:vertAlign w:val="baseline"/>
        </w:rPr>
        <w:t>’ and subordinate women. Beauvoir’s concept of ‘otherness,’ defines women’s role within the witchcraft discourse.</w:t>
      </w:r>
      <w:r w:rsidR="00B35CC3">
        <w:rPr>
          <w:rStyle w:val="FootnoteReference"/>
          <w:rFonts w:ascii="Times New Roman" w:hAnsi="Times New Roman" w:cs="Times New Roman"/>
          <w:sz w:val="24"/>
          <w:szCs w:val="24"/>
        </w:rPr>
        <w:footnoteReference w:id="1301"/>
      </w:r>
      <w:r w:rsidR="00A323AD">
        <w:rPr>
          <w:rFonts w:ascii="Times New Roman" w:hAnsi="Times New Roman" w:cs="Times New Roman"/>
          <w:sz w:val="24"/>
          <w:szCs w:val="24"/>
          <w:vertAlign w:val="baseline"/>
        </w:rPr>
        <w:t xml:space="preserve"> Women are deemed as incidental and inessential, necessary only for male sexual gratifi</w:t>
      </w:r>
      <w:r w:rsidR="00420B76">
        <w:rPr>
          <w:rFonts w:ascii="Times New Roman" w:hAnsi="Times New Roman" w:cs="Times New Roman"/>
          <w:sz w:val="24"/>
          <w:szCs w:val="24"/>
          <w:vertAlign w:val="baseline"/>
        </w:rPr>
        <w:t>cation and reproduction, unlike</w:t>
      </w:r>
      <w:r w:rsidR="00A323AD">
        <w:rPr>
          <w:rFonts w:ascii="Times New Roman" w:hAnsi="Times New Roman" w:cs="Times New Roman"/>
          <w:sz w:val="24"/>
          <w:szCs w:val="24"/>
          <w:vertAlign w:val="baseline"/>
        </w:rPr>
        <w:t xml:space="preserve"> men</w:t>
      </w:r>
      <w:r w:rsidR="00420B76">
        <w:rPr>
          <w:rFonts w:ascii="Times New Roman" w:hAnsi="Times New Roman" w:cs="Times New Roman"/>
          <w:sz w:val="24"/>
          <w:szCs w:val="24"/>
          <w:vertAlign w:val="baseline"/>
        </w:rPr>
        <w:t>. Men</w:t>
      </w:r>
      <w:r w:rsidR="00A323AD">
        <w:rPr>
          <w:rFonts w:ascii="Times New Roman" w:hAnsi="Times New Roman" w:cs="Times New Roman"/>
          <w:sz w:val="24"/>
          <w:szCs w:val="24"/>
          <w:vertAlign w:val="baseline"/>
        </w:rPr>
        <w:t xml:space="preserve"> are absolute. </w:t>
      </w:r>
      <w:r w:rsidR="00023690">
        <w:rPr>
          <w:rFonts w:ascii="Times New Roman" w:hAnsi="Times New Roman" w:cs="Times New Roman"/>
          <w:sz w:val="24"/>
          <w:szCs w:val="24"/>
          <w:vertAlign w:val="baseline"/>
        </w:rPr>
        <w:t xml:space="preserve">Those that fall foul to the male perception of what women are essentially ‘for,’ </w:t>
      </w:r>
      <w:r w:rsidR="00023690" w:rsidRPr="00023690">
        <w:rPr>
          <w:rFonts w:ascii="Times New Roman" w:hAnsi="Times New Roman" w:cs="Times New Roman"/>
          <w:sz w:val="24"/>
          <w:szCs w:val="24"/>
          <w:vertAlign w:val="baseline"/>
        </w:rPr>
        <w:t>for instance</w:t>
      </w:r>
      <w:r w:rsidR="00023690">
        <w:rPr>
          <w:rFonts w:ascii="Times New Roman" w:hAnsi="Times New Roman" w:cs="Times New Roman"/>
          <w:sz w:val="24"/>
          <w:szCs w:val="24"/>
          <w:vertAlign w:val="baseline"/>
        </w:rPr>
        <w:t>, women who are unable/no longer able to conceive, automatically become victims of the witchcraft discourse.</w:t>
      </w:r>
      <w:r w:rsidR="002108EF">
        <w:rPr>
          <w:rStyle w:val="FootnoteReference"/>
          <w:rFonts w:ascii="Times New Roman" w:hAnsi="Times New Roman" w:cs="Times New Roman"/>
          <w:sz w:val="24"/>
          <w:szCs w:val="24"/>
        </w:rPr>
        <w:footnoteReference w:id="1302"/>
      </w:r>
      <w:r w:rsidR="00023690">
        <w:rPr>
          <w:rFonts w:ascii="Times New Roman" w:hAnsi="Times New Roman" w:cs="Times New Roman"/>
          <w:sz w:val="24"/>
          <w:szCs w:val="24"/>
          <w:vertAlign w:val="baseline"/>
        </w:rPr>
        <w:t xml:space="preserve"> They are no l</w:t>
      </w:r>
      <w:r w:rsidR="00E94F0B">
        <w:rPr>
          <w:rFonts w:ascii="Times New Roman" w:hAnsi="Times New Roman" w:cs="Times New Roman"/>
          <w:sz w:val="24"/>
          <w:szCs w:val="24"/>
          <w:vertAlign w:val="baseline"/>
        </w:rPr>
        <w:t xml:space="preserve">onger needed within society. Witchcraft allows for </w:t>
      </w:r>
      <w:r w:rsidR="009E7071">
        <w:rPr>
          <w:rFonts w:ascii="Times New Roman" w:hAnsi="Times New Roman" w:cs="Times New Roman"/>
          <w:sz w:val="24"/>
          <w:szCs w:val="24"/>
          <w:vertAlign w:val="baseline"/>
        </w:rPr>
        <w:t xml:space="preserve">the </w:t>
      </w:r>
      <w:r w:rsidR="00E94F0B">
        <w:rPr>
          <w:rFonts w:ascii="Times New Roman" w:hAnsi="Times New Roman" w:cs="Times New Roman"/>
          <w:sz w:val="24"/>
          <w:szCs w:val="24"/>
          <w:vertAlign w:val="baseline"/>
        </w:rPr>
        <w:t xml:space="preserve">removal of </w:t>
      </w:r>
      <w:r w:rsidR="009E7071">
        <w:rPr>
          <w:rFonts w:ascii="Times New Roman" w:hAnsi="Times New Roman" w:cs="Times New Roman"/>
          <w:sz w:val="24"/>
          <w:szCs w:val="24"/>
          <w:vertAlign w:val="baseline"/>
        </w:rPr>
        <w:t xml:space="preserve">these women, with no reprisal. </w:t>
      </w:r>
      <w:r w:rsidR="000315BD">
        <w:rPr>
          <w:rFonts w:ascii="Times New Roman" w:hAnsi="Times New Roman" w:cs="Times New Roman"/>
          <w:sz w:val="24"/>
          <w:szCs w:val="24"/>
          <w:vertAlign w:val="baseline"/>
        </w:rPr>
        <w:t>Whilst, to an outsider, the bel</w:t>
      </w:r>
      <w:r w:rsidR="00EA5503">
        <w:rPr>
          <w:rFonts w:ascii="Times New Roman" w:hAnsi="Times New Roman" w:cs="Times New Roman"/>
          <w:sz w:val="24"/>
          <w:szCs w:val="24"/>
          <w:vertAlign w:val="baseline"/>
        </w:rPr>
        <w:t>ief in witchcraft appears to be</w:t>
      </w:r>
      <w:r w:rsidR="00A26EE9">
        <w:rPr>
          <w:rFonts w:ascii="Times New Roman" w:hAnsi="Times New Roman" w:cs="Times New Roman"/>
          <w:sz w:val="24"/>
          <w:szCs w:val="24"/>
          <w:vertAlign w:val="baseline"/>
        </w:rPr>
        <w:t xml:space="preserve"> </w:t>
      </w:r>
      <w:r w:rsidR="000315BD">
        <w:rPr>
          <w:rFonts w:ascii="Times New Roman" w:hAnsi="Times New Roman" w:cs="Times New Roman"/>
          <w:sz w:val="24"/>
          <w:szCs w:val="24"/>
          <w:vertAlign w:val="baseline"/>
        </w:rPr>
        <w:t>‘harmless superstition</w:t>
      </w:r>
      <w:r w:rsidR="0081262F">
        <w:rPr>
          <w:rFonts w:ascii="Times New Roman" w:hAnsi="Times New Roman" w:cs="Times New Roman"/>
          <w:sz w:val="24"/>
          <w:szCs w:val="24"/>
          <w:vertAlign w:val="baseline"/>
        </w:rPr>
        <w:t>,</w:t>
      </w:r>
      <w:r w:rsidR="000315BD">
        <w:rPr>
          <w:rFonts w:ascii="Times New Roman" w:hAnsi="Times New Roman" w:cs="Times New Roman"/>
          <w:sz w:val="24"/>
          <w:szCs w:val="24"/>
          <w:vertAlign w:val="baseline"/>
        </w:rPr>
        <w:t>’ the reality is that the power of the witchcraft discourse is being vastly underestimated.</w:t>
      </w:r>
      <w:r w:rsidR="00DD7A34">
        <w:rPr>
          <w:rFonts w:ascii="Times New Roman" w:hAnsi="Times New Roman" w:cs="Times New Roman"/>
          <w:sz w:val="24"/>
          <w:szCs w:val="24"/>
          <w:vertAlign w:val="baseline"/>
        </w:rPr>
        <w:t xml:space="preserve"> </w:t>
      </w:r>
      <w:r w:rsidR="00E649ED">
        <w:rPr>
          <w:rFonts w:ascii="Times New Roman" w:hAnsi="Times New Roman" w:cs="Times New Roman"/>
          <w:sz w:val="24"/>
          <w:szCs w:val="24"/>
          <w:vertAlign w:val="baseline"/>
        </w:rPr>
        <w:t xml:space="preserve">Unfortunately, however, not by those </w:t>
      </w:r>
      <w:r w:rsidR="00592441">
        <w:rPr>
          <w:rFonts w:ascii="Times New Roman" w:hAnsi="Times New Roman" w:cs="Times New Roman"/>
          <w:sz w:val="24"/>
          <w:szCs w:val="24"/>
          <w:vertAlign w:val="baseline"/>
        </w:rPr>
        <w:t>who</w:t>
      </w:r>
      <w:r w:rsidR="00E649ED">
        <w:rPr>
          <w:rFonts w:ascii="Times New Roman" w:hAnsi="Times New Roman" w:cs="Times New Roman"/>
          <w:sz w:val="24"/>
          <w:szCs w:val="24"/>
          <w:vertAlign w:val="baseline"/>
        </w:rPr>
        <w:t xml:space="preserve"> propagate the witchcraft discourse.</w:t>
      </w:r>
      <w:r w:rsidR="00592441">
        <w:rPr>
          <w:rFonts w:ascii="Times New Roman" w:hAnsi="Times New Roman" w:cs="Times New Roman"/>
          <w:sz w:val="24"/>
          <w:szCs w:val="24"/>
          <w:vertAlign w:val="baseline"/>
        </w:rPr>
        <w:t xml:space="preserve"> </w:t>
      </w:r>
      <w:r w:rsidR="00D3258B">
        <w:rPr>
          <w:rFonts w:ascii="Times New Roman" w:hAnsi="Times New Roman" w:cs="Times New Roman"/>
          <w:sz w:val="24"/>
          <w:szCs w:val="24"/>
          <w:vertAlign w:val="baseline"/>
        </w:rPr>
        <w:t>Propagat</w:t>
      </w:r>
      <w:r w:rsidR="00055C98">
        <w:rPr>
          <w:rFonts w:ascii="Times New Roman" w:hAnsi="Times New Roman" w:cs="Times New Roman"/>
          <w:sz w:val="24"/>
          <w:szCs w:val="24"/>
          <w:vertAlign w:val="baseline"/>
        </w:rPr>
        <w:t xml:space="preserve">ors of witchcraft beliefs recognise </w:t>
      </w:r>
      <w:r w:rsidR="00D3258B">
        <w:rPr>
          <w:rFonts w:ascii="Times New Roman" w:hAnsi="Times New Roman" w:cs="Times New Roman"/>
          <w:sz w:val="24"/>
          <w:szCs w:val="24"/>
          <w:vertAlign w:val="baseline"/>
        </w:rPr>
        <w:t xml:space="preserve">the personal </w:t>
      </w:r>
      <w:r w:rsidR="00CB37F8">
        <w:rPr>
          <w:rFonts w:ascii="Times New Roman" w:hAnsi="Times New Roman" w:cs="Times New Roman"/>
          <w:sz w:val="24"/>
          <w:szCs w:val="24"/>
          <w:vertAlign w:val="baseline"/>
        </w:rPr>
        <w:t>benefits attributed to them. Within the family, it becomes a way to solve issues of inheritance, to gain money and land or to simply ‘remove’ those that have caused you some harm. Within society, witchcraft is more lucrative. I</w:t>
      </w:r>
      <w:r w:rsidR="00B74789">
        <w:rPr>
          <w:rFonts w:ascii="Times New Roman" w:hAnsi="Times New Roman" w:cs="Times New Roman"/>
          <w:sz w:val="24"/>
          <w:szCs w:val="24"/>
          <w:vertAlign w:val="baseline"/>
        </w:rPr>
        <w:t xml:space="preserve">ndividuals ‘assigned by God’ to assist </w:t>
      </w:r>
      <w:r w:rsidR="00CB37F8">
        <w:rPr>
          <w:rFonts w:ascii="Times New Roman" w:hAnsi="Times New Roman" w:cs="Times New Roman"/>
          <w:sz w:val="24"/>
          <w:szCs w:val="24"/>
          <w:vertAlign w:val="baseline"/>
        </w:rPr>
        <w:t>victims of witchcraft, have turned witch-hunting into a</w:t>
      </w:r>
      <w:r w:rsidR="0050537B">
        <w:rPr>
          <w:rFonts w:ascii="Times New Roman" w:hAnsi="Times New Roman" w:cs="Times New Roman"/>
          <w:sz w:val="24"/>
          <w:szCs w:val="24"/>
          <w:vertAlign w:val="baseline"/>
        </w:rPr>
        <w:t>n extremely</w:t>
      </w:r>
      <w:r w:rsidR="00CB37F8">
        <w:rPr>
          <w:rFonts w:ascii="Times New Roman" w:hAnsi="Times New Roman" w:cs="Times New Roman"/>
          <w:sz w:val="24"/>
          <w:szCs w:val="24"/>
          <w:vertAlign w:val="baseline"/>
        </w:rPr>
        <w:t xml:space="preserve"> profitable business.</w:t>
      </w:r>
      <w:r w:rsidR="00793C2F">
        <w:rPr>
          <w:rStyle w:val="FootnoteReference"/>
          <w:rFonts w:ascii="Times New Roman" w:hAnsi="Times New Roman" w:cs="Times New Roman"/>
          <w:sz w:val="24"/>
          <w:szCs w:val="24"/>
        </w:rPr>
        <w:footnoteReference w:id="1303"/>
      </w:r>
      <w:r w:rsidR="00102A31">
        <w:rPr>
          <w:rFonts w:ascii="Times New Roman" w:hAnsi="Times New Roman" w:cs="Times New Roman"/>
          <w:sz w:val="24"/>
          <w:szCs w:val="24"/>
          <w:vertAlign w:val="baseline"/>
        </w:rPr>
        <w:t xml:space="preserve"> </w:t>
      </w:r>
      <w:r w:rsidR="00A57840">
        <w:rPr>
          <w:rFonts w:ascii="Times New Roman" w:hAnsi="Times New Roman" w:cs="Times New Roman"/>
          <w:sz w:val="24"/>
          <w:szCs w:val="24"/>
          <w:vertAlign w:val="baseline"/>
        </w:rPr>
        <w:t>More recently, we have seen a manipulation of the witchcraft discourse, by those who wish to make money at the expense of other’s misery.</w:t>
      </w:r>
      <w:r w:rsidR="00CD4638">
        <w:rPr>
          <w:rFonts w:ascii="Times New Roman" w:hAnsi="Times New Roman" w:cs="Times New Roman"/>
          <w:sz w:val="24"/>
          <w:szCs w:val="24"/>
          <w:vertAlign w:val="baseline"/>
        </w:rPr>
        <w:t xml:space="preserve"> Attacks on people with albinism are bec</w:t>
      </w:r>
      <w:r w:rsidR="00B1670C">
        <w:rPr>
          <w:rFonts w:ascii="Times New Roman" w:hAnsi="Times New Roman" w:cs="Times New Roman"/>
          <w:sz w:val="24"/>
          <w:szCs w:val="24"/>
          <w:vertAlign w:val="baseline"/>
        </w:rPr>
        <w:t>oming more frequent, due to the</w:t>
      </w:r>
      <w:r w:rsidR="00CD4638">
        <w:rPr>
          <w:rFonts w:ascii="Times New Roman" w:hAnsi="Times New Roman" w:cs="Times New Roman"/>
          <w:sz w:val="24"/>
          <w:szCs w:val="24"/>
          <w:vertAlign w:val="baseline"/>
        </w:rPr>
        <w:t xml:space="preserve"> belief</w:t>
      </w:r>
      <w:r w:rsidR="00BC1399">
        <w:rPr>
          <w:rFonts w:ascii="Times New Roman" w:hAnsi="Times New Roman" w:cs="Times New Roman"/>
          <w:sz w:val="24"/>
          <w:szCs w:val="24"/>
          <w:vertAlign w:val="baseline"/>
        </w:rPr>
        <w:t xml:space="preserve"> that their body</w:t>
      </w:r>
      <w:r w:rsidR="00350757">
        <w:rPr>
          <w:rFonts w:ascii="Times New Roman" w:hAnsi="Times New Roman" w:cs="Times New Roman"/>
          <w:sz w:val="24"/>
          <w:szCs w:val="24"/>
          <w:vertAlign w:val="baseline"/>
        </w:rPr>
        <w:t xml:space="preserve"> parts contain ‘magical powers,’ which </w:t>
      </w:r>
      <w:r w:rsidR="00BC1399">
        <w:rPr>
          <w:rFonts w:ascii="Times New Roman" w:hAnsi="Times New Roman" w:cs="Times New Roman"/>
          <w:sz w:val="24"/>
          <w:szCs w:val="24"/>
          <w:vertAlign w:val="baseline"/>
        </w:rPr>
        <w:t>are able to cure people from a variety of different ailments, including witchcraft.  The trade in body parts of persons with albinism has, thus, become an extremely profitable business. Secondly, there is the disturbing development of ‘child witches.’ Here, there is no specific category of what precisely constitutes witchcraft in a child.</w:t>
      </w:r>
      <w:r w:rsidR="007E7F0F">
        <w:rPr>
          <w:rFonts w:ascii="Times New Roman" w:hAnsi="Times New Roman" w:cs="Times New Roman"/>
          <w:sz w:val="24"/>
          <w:szCs w:val="24"/>
          <w:vertAlign w:val="baseline"/>
        </w:rPr>
        <w:t xml:space="preserve"> Children may be blamed for misfortunate events, they may exhibit particular kinds of behaviour, good or bad, or they may just be in the wrong place at the wrong time. I acknowledge here that the addition of children into the witchcraft discourse somewhat counteracts my argument of witchcraft being a gendered ideology. However, I stand by this argument. What is different about the introduction of children into the witchcraft </w:t>
      </w:r>
      <w:r w:rsidR="00885BF1">
        <w:rPr>
          <w:rFonts w:ascii="Times New Roman" w:hAnsi="Times New Roman" w:cs="Times New Roman"/>
          <w:sz w:val="24"/>
          <w:szCs w:val="24"/>
          <w:vertAlign w:val="baseline"/>
        </w:rPr>
        <w:t>discourse</w:t>
      </w:r>
      <w:r w:rsidR="007E7F0F">
        <w:rPr>
          <w:rFonts w:ascii="Times New Roman" w:hAnsi="Times New Roman" w:cs="Times New Roman"/>
          <w:sz w:val="24"/>
          <w:szCs w:val="24"/>
          <w:vertAlign w:val="baseline"/>
        </w:rPr>
        <w:t xml:space="preserve"> is that it has been recently introduced </w:t>
      </w:r>
      <w:r w:rsidR="007A1DE8">
        <w:rPr>
          <w:rFonts w:ascii="Times New Roman" w:hAnsi="Times New Roman" w:cs="Times New Roman"/>
          <w:sz w:val="24"/>
          <w:szCs w:val="24"/>
          <w:vertAlign w:val="baseline"/>
        </w:rPr>
        <w:t>into society, due to</w:t>
      </w:r>
      <w:r w:rsidR="007E7F0F">
        <w:rPr>
          <w:rFonts w:ascii="Times New Roman" w:hAnsi="Times New Roman" w:cs="Times New Roman"/>
          <w:sz w:val="24"/>
          <w:szCs w:val="24"/>
          <w:vertAlign w:val="baseline"/>
        </w:rPr>
        <w:t xml:space="preserve"> </w:t>
      </w:r>
      <w:r w:rsidR="004B305B">
        <w:rPr>
          <w:rFonts w:ascii="Times New Roman" w:hAnsi="Times New Roman" w:cs="Times New Roman"/>
          <w:sz w:val="24"/>
          <w:szCs w:val="24"/>
          <w:vertAlign w:val="baseline"/>
        </w:rPr>
        <w:t xml:space="preserve">the growth and sudden rise in </w:t>
      </w:r>
      <w:r w:rsidR="007E7F0F">
        <w:rPr>
          <w:rFonts w:ascii="Times New Roman" w:hAnsi="Times New Roman" w:cs="Times New Roman"/>
          <w:sz w:val="24"/>
          <w:szCs w:val="24"/>
          <w:vertAlign w:val="baseline"/>
        </w:rPr>
        <w:t>Pe</w:t>
      </w:r>
      <w:r w:rsidR="00CA16F7">
        <w:rPr>
          <w:rFonts w:ascii="Times New Roman" w:hAnsi="Times New Roman" w:cs="Times New Roman"/>
          <w:sz w:val="24"/>
          <w:szCs w:val="24"/>
          <w:vertAlign w:val="baseline"/>
        </w:rPr>
        <w:t>ntecostalism.</w:t>
      </w:r>
      <w:r w:rsidR="0068283E">
        <w:rPr>
          <w:rStyle w:val="FootnoteReference"/>
          <w:rFonts w:ascii="Times New Roman" w:hAnsi="Times New Roman" w:cs="Times New Roman"/>
          <w:sz w:val="24"/>
          <w:szCs w:val="24"/>
        </w:rPr>
        <w:footnoteReference w:id="1304"/>
      </w:r>
      <w:r w:rsidR="00CA16F7">
        <w:rPr>
          <w:rFonts w:ascii="Times New Roman" w:hAnsi="Times New Roman" w:cs="Times New Roman"/>
          <w:sz w:val="24"/>
          <w:szCs w:val="24"/>
          <w:vertAlign w:val="baseline"/>
        </w:rPr>
        <w:t xml:space="preserve"> </w:t>
      </w:r>
      <w:r w:rsidR="00330FBB">
        <w:rPr>
          <w:rFonts w:ascii="Times New Roman" w:hAnsi="Times New Roman" w:cs="Times New Roman"/>
          <w:sz w:val="24"/>
          <w:szCs w:val="24"/>
          <w:vertAlign w:val="baseline"/>
        </w:rPr>
        <w:t xml:space="preserve">As with women, children are vulnerable and, therefore, have no voice in society. </w:t>
      </w:r>
      <w:r w:rsidR="00D3560F">
        <w:rPr>
          <w:rFonts w:ascii="Times New Roman" w:hAnsi="Times New Roman" w:cs="Times New Roman"/>
          <w:sz w:val="24"/>
          <w:szCs w:val="24"/>
          <w:vertAlign w:val="baseline"/>
        </w:rPr>
        <w:t xml:space="preserve">Thus, it is a modern manipulation of the witchcraft discourse in an attempt to control, but at the same time and most significantly, to make money. </w:t>
      </w:r>
      <w:r w:rsidR="00CA16F7">
        <w:rPr>
          <w:rFonts w:ascii="Times New Roman" w:hAnsi="Times New Roman" w:cs="Times New Roman"/>
          <w:sz w:val="24"/>
          <w:szCs w:val="24"/>
          <w:vertAlign w:val="baseline"/>
        </w:rPr>
        <w:t>Many of the pastors who propagate such beliefs, particularly in Africa, are self-made millionaire</w:t>
      </w:r>
      <w:r w:rsidR="00D52D4E">
        <w:rPr>
          <w:rFonts w:ascii="Times New Roman" w:hAnsi="Times New Roman" w:cs="Times New Roman"/>
          <w:sz w:val="24"/>
          <w:szCs w:val="24"/>
          <w:vertAlign w:val="baseline"/>
        </w:rPr>
        <w:t>s</w:t>
      </w:r>
      <w:r w:rsidR="00CA16F7">
        <w:rPr>
          <w:rFonts w:ascii="Times New Roman" w:hAnsi="Times New Roman" w:cs="Times New Roman"/>
          <w:sz w:val="24"/>
          <w:szCs w:val="24"/>
          <w:vertAlign w:val="baseline"/>
        </w:rPr>
        <w:t>.</w:t>
      </w:r>
      <w:r w:rsidR="0068283E">
        <w:rPr>
          <w:rStyle w:val="FootnoteReference"/>
          <w:rFonts w:ascii="Times New Roman" w:hAnsi="Times New Roman" w:cs="Times New Roman"/>
          <w:sz w:val="24"/>
          <w:szCs w:val="24"/>
        </w:rPr>
        <w:footnoteReference w:id="1305"/>
      </w:r>
      <w:r w:rsidR="00CA16F7">
        <w:rPr>
          <w:rFonts w:ascii="Times New Roman" w:hAnsi="Times New Roman" w:cs="Times New Roman"/>
          <w:sz w:val="24"/>
          <w:szCs w:val="24"/>
          <w:vertAlign w:val="baseline"/>
        </w:rPr>
        <w:t xml:space="preserve"> </w:t>
      </w:r>
      <w:r w:rsidR="00C16AA8">
        <w:rPr>
          <w:rFonts w:ascii="Times New Roman" w:hAnsi="Times New Roman" w:cs="Times New Roman"/>
          <w:sz w:val="24"/>
          <w:szCs w:val="24"/>
          <w:vertAlign w:val="baseline"/>
        </w:rPr>
        <w:t>Thus, the trade in witch-hunting is without a doubt, a successful and highly lucrative business.</w:t>
      </w:r>
      <w:r w:rsidR="00812BF0">
        <w:rPr>
          <w:rFonts w:ascii="Times New Roman" w:hAnsi="Times New Roman" w:cs="Times New Roman"/>
          <w:sz w:val="24"/>
          <w:szCs w:val="24"/>
          <w:vertAlign w:val="baseline"/>
        </w:rPr>
        <w:t xml:space="preserve"> Unfortunately, t</w:t>
      </w:r>
      <w:r w:rsidR="00330FBB">
        <w:rPr>
          <w:rFonts w:ascii="Times New Roman" w:hAnsi="Times New Roman" w:cs="Times New Roman"/>
          <w:sz w:val="24"/>
          <w:szCs w:val="24"/>
          <w:vertAlign w:val="baseline"/>
        </w:rPr>
        <w:t>his manipulation of the vulnerable, by the religious is not a new phenomenon.</w:t>
      </w:r>
      <w:r w:rsidR="003601CE">
        <w:rPr>
          <w:rFonts w:ascii="Times New Roman" w:hAnsi="Times New Roman" w:cs="Times New Roman"/>
          <w:sz w:val="24"/>
          <w:szCs w:val="24"/>
          <w:vertAlign w:val="baseline"/>
        </w:rPr>
        <w:t xml:space="preserve"> </w:t>
      </w:r>
      <w:r w:rsidR="00193E84">
        <w:rPr>
          <w:rFonts w:ascii="Times New Roman" w:hAnsi="Times New Roman" w:cs="Times New Roman"/>
          <w:sz w:val="24"/>
          <w:szCs w:val="24"/>
          <w:vertAlign w:val="baseline"/>
        </w:rPr>
        <w:t>T</w:t>
      </w:r>
      <w:r w:rsidR="00B74789">
        <w:rPr>
          <w:rFonts w:ascii="Times New Roman" w:hAnsi="Times New Roman" w:cs="Times New Roman"/>
          <w:sz w:val="24"/>
          <w:szCs w:val="24"/>
          <w:vertAlign w:val="baseline"/>
        </w:rPr>
        <w:t>he infallible</w:t>
      </w:r>
      <w:r w:rsidR="00193E84">
        <w:rPr>
          <w:rFonts w:ascii="Times New Roman" w:hAnsi="Times New Roman" w:cs="Times New Roman"/>
          <w:sz w:val="24"/>
          <w:szCs w:val="24"/>
          <w:vertAlign w:val="baseline"/>
        </w:rPr>
        <w:t>, adaptable and dynamic</w:t>
      </w:r>
      <w:r w:rsidR="00B74789">
        <w:rPr>
          <w:rFonts w:ascii="Times New Roman" w:hAnsi="Times New Roman" w:cs="Times New Roman"/>
          <w:sz w:val="24"/>
          <w:szCs w:val="24"/>
          <w:vertAlign w:val="baseline"/>
        </w:rPr>
        <w:t xml:space="preserve"> nature of the witchcraft discourse makes this form of belief very dangerous indeed.</w:t>
      </w:r>
    </w:p>
    <w:p w14:paraId="4CED0D28" w14:textId="5C6D537D" w:rsidR="00DD7A34" w:rsidRPr="00BD2D54" w:rsidRDefault="00BD2D54" w:rsidP="006A62F3">
      <w:pPr>
        <w:spacing w:line="480" w:lineRule="auto"/>
        <w:jc w:val="both"/>
        <w:rPr>
          <w:rFonts w:ascii="Times New Roman" w:hAnsi="Times New Roman" w:cs="Times New Roman"/>
          <w:b/>
          <w:sz w:val="24"/>
          <w:szCs w:val="24"/>
          <w:u w:val="single"/>
          <w:vertAlign w:val="baseline"/>
        </w:rPr>
      </w:pPr>
      <w:r w:rsidRPr="00BD2D54">
        <w:rPr>
          <w:rFonts w:ascii="Times New Roman" w:hAnsi="Times New Roman" w:cs="Times New Roman"/>
          <w:b/>
          <w:sz w:val="24"/>
          <w:szCs w:val="24"/>
          <w:u w:val="single"/>
          <w:vertAlign w:val="baseline"/>
        </w:rPr>
        <w:t>Witchcraft beliefs in Ghana, India, PNG and Nepal</w:t>
      </w:r>
    </w:p>
    <w:p w14:paraId="103CA808" w14:textId="7CA24FBB" w:rsidR="00AB20D7" w:rsidRDefault="00215898" w:rsidP="00ED402F">
      <w:pPr>
        <w:spacing w:line="480" w:lineRule="auto"/>
        <w:ind w:firstLine="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The global scale of witchcraft beliefs </w:t>
      </w:r>
      <w:r w:rsidRPr="00215898">
        <w:rPr>
          <w:rFonts w:ascii="Times New Roman" w:hAnsi="Times New Roman" w:cs="Times New Roman"/>
          <w:sz w:val="24"/>
          <w:szCs w:val="24"/>
          <w:vertAlign w:val="baseline"/>
        </w:rPr>
        <w:t>signifies</w:t>
      </w:r>
      <w:r>
        <w:rPr>
          <w:rFonts w:ascii="Times New Roman" w:hAnsi="Times New Roman" w:cs="Times New Roman"/>
          <w:sz w:val="24"/>
          <w:szCs w:val="24"/>
          <w:vertAlign w:val="baseline"/>
        </w:rPr>
        <w:t xml:space="preserve"> that they are an important characteristic of contemporary</w:t>
      </w:r>
      <w:r w:rsidR="005A2D7D">
        <w:rPr>
          <w:rFonts w:ascii="Times New Roman" w:hAnsi="Times New Roman" w:cs="Times New Roman"/>
          <w:sz w:val="24"/>
          <w:szCs w:val="24"/>
          <w:vertAlign w:val="baseline"/>
        </w:rPr>
        <w:t xml:space="preserve"> society</w:t>
      </w:r>
      <w:r w:rsidR="004D3B32">
        <w:rPr>
          <w:rFonts w:ascii="Times New Roman" w:hAnsi="Times New Roman" w:cs="Times New Roman"/>
          <w:sz w:val="24"/>
          <w:szCs w:val="24"/>
          <w:vertAlign w:val="baseline"/>
        </w:rPr>
        <w:t>. Furthermore, the global prevalence of witchcraft accusations and persecution denotes that witchcraft is</w:t>
      </w:r>
      <w:r w:rsidR="00482EDD">
        <w:rPr>
          <w:rFonts w:ascii="Times New Roman" w:hAnsi="Times New Roman" w:cs="Times New Roman"/>
          <w:sz w:val="24"/>
          <w:szCs w:val="24"/>
          <w:vertAlign w:val="baseline"/>
        </w:rPr>
        <w:t>,</w:t>
      </w:r>
      <w:r w:rsidR="004D3B32">
        <w:rPr>
          <w:rFonts w:ascii="Times New Roman" w:hAnsi="Times New Roman" w:cs="Times New Roman"/>
          <w:sz w:val="24"/>
          <w:szCs w:val="24"/>
          <w:vertAlign w:val="baseline"/>
        </w:rPr>
        <w:t xml:space="preserve"> undeniably</w:t>
      </w:r>
      <w:r w:rsidR="00482EDD">
        <w:rPr>
          <w:rFonts w:ascii="Times New Roman" w:hAnsi="Times New Roman" w:cs="Times New Roman"/>
          <w:sz w:val="24"/>
          <w:szCs w:val="24"/>
          <w:vertAlign w:val="baseline"/>
        </w:rPr>
        <w:t>,</w:t>
      </w:r>
      <w:r w:rsidR="004D3B32">
        <w:rPr>
          <w:rFonts w:ascii="Times New Roman" w:hAnsi="Times New Roman" w:cs="Times New Roman"/>
          <w:sz w:val="24"/>
          <w:szCs w:val="24"/>
          <w:vertAlign w:val="baseline"/>
        </w:rPr>
        <w:t xml:space="preserve"> being utilised as serious and systematic form of discrimination on grounds of gender, disability and age.</w:t>
      </w:r>
      <w:r>
        <w:rPr>
          <w:rFonts w:ascii="Times New Roman" w:hAnsi="Times New Roman" w:cs="Times New Roman"/>
          <w:sz w:val="24"/>
          <w:szCs w:val="24"/>
          <w:vertAlign w:val="baseline"/>
        </w:rPr>
        <w:t xml:space="preserve"> </w:t>
      </w:r>
      <w:r w:rsidR="00A35B2C">
        <w:rPr>
          <w:rFonts w:ascii="Times New Roman" w:hAnsi="Times New Roman" w:cs="Times New Roman"/>
          <w:sz w:val="24"/>
          <w:szCs w:val="24"/>
          <w:vertAlign w:val="baseline"/>
        </w:rPr>
        <w:t>On examination of four culturally diverse countries, Ind</w:t>
      </w:r>
      <w:r w:rsidR="007E2A3F">
        <w:rPr>
          <w:rFonts w:ascii="Times New Roman" w:hAnsi="Times New Roman" w:cs="Times New Roman"/>
          <w:sz w:val="24"/>
          <w:szCs w:val="24"/>
          <w:vertAlign w:val="baseline"/>
        </w:rPr>
        <w:t>ia, PNG, Nepal and Ghana, it became</w:t>
      </w:r>
      <w:r w:rsidR="00A35B2C">
        <w:rPr>
          <w:rFonts w:ascii="Times New Roman" w:hAnsi="Times New Roman" w:cs="Times New Roman"/>
          <w:sz w:val="24"/>
          <w:szCs w:val="24"/>
          <w:vertAlign w:val="baseline"/>
        </w:rPr>
        <w:t xml:space="preserve"> apparent that there were common themes as to how witchcraft manifested itself within society. </w:t>
      </w:r>
      <w:r w:rsidR="00A679DF">
        <w:rPr>
          <w:rFonts w:ascii="Times New Roman" w:hAnsi="Times New Roman" w:cs="Times New Roman"/>
          <w:sz w:val="24"/>
          <w:szCs w:val="24"/>
          <w:vertAlign w:val="baseline"/>
        </w:rPr>
        <w:t>Whilst the fundamental belief in witchcraft</w:t>
      </w:r>
      <w:r w:rsidR="002E5431">
        <w:rPr>
          <w:rFonts w:ascii="Times New Roman" w:hAnsi="Times New Roman" w:cs="Times New Roman"/>
          <w:sz w:val="24"/>
          <w:szCs w:val="24"/>
          <w:vertAlign w:val="baseline"/>
        </w:rPr>
        <w:t>,</w:t>
      </w:r>
      <w:r w:rsidR="00A679DF">
        <w:rPr>
          <w:rFonts w:ascii="Times New Roman" w:hAnsi="Times New Roman" w:cs="Times New Roman"/>
          <w:sz w:val="24"/>
          <w:szCs w:val="24"/>
          <w:vertAlign w:val="baseline"/>
        </w:rPr>
        <w:t xml:space="preserve"> rooted in </w:t>
      </w:r>
      <w:r w:rsidR="002E5431">
        <w:rPr>
          <w:rFonts w:ascii="Times New Roman" w:hAnsi="Times New Roman" w:cs="Times New Roman"/>
          <w:sz w:val="24"/>
          <w:szCs w:val="24"/>
          <w:vertAlign w:val="baseline"/>
        </w:rPr>
        <w:t xml:space="preserve">patriarchy, </w:t>
      </w:r>
      <w:r w:rsidR="00A679DF">
        <w:rPr>
          <w:rFonts w:ascii="Times New Roman" w:hAnsi="Times New Roman" w:cs="Times New Roman"/>
          <w:sz w:val="24"/>
          <w:szCs w:val="24"/>
          <w:vertAlign w:val="baseline"/>
        </w:rPr>
        <w:t>superstition and religious beliefs</w:t>
      </w:r>
      <w:r w:rsidR="002E5431">
        <w:rPr>
          <w:rFonts w:ascii="Times New Roman" w:hAnsi="Times New Roman" w:cs="Times New Roman"/>
          <w:sz w:val="24"/>
          <w:szCs w:val="24"/>
          <w:vertAlign w:val="baseline"/>
        </w:rPr>
        <w:t>, remained,</w:t>
      </w:r>
      <w:r w:rsidR="00A679DF">
        <w:rPr>
          <w:rFonts w:ascii="Times New Roman" w:hAnsi="Times New Roman" w:cs="Times New Roman"/>
          <w:sz w:val="24"/>
          <w:szCs w:val="24"/>
          <w:vertAlign w:val="baseline"/>
        </w:rPr>
        <w:t xml:space="preserve"> </w:t>
      </w:r>
      <w:r w:rsidR="000076EB">
        <w:rPr>
          <w:rFonts w:ascii="Times New Roman" w:hAnsi="Times New Roman" w:cs="Times New Roman"/>
          <w:sz w:val="24"/>
          <w:szCs w:val="24"/>
          <w:vertAlign w:val="baseline"/>
        </w:rPr>
        <w:t xml:space="preserve">as did women as the victims of WAP, </w:t>
      </w:r>
      <w:r w:rsidR="00A679DF">
        <w:rPr>
          <w:rFonts w:ascii="Times New Roman" w:hAnsi="Times New Roman" w:cs="Times New Roman"/>
          <w:sz w:val="24"/>
          <w:szCs w:val="24"/>
          <w:vertAlign w:val="baseline"/>
        </w:rPr>
        <w:t>contemporary witchcraft beliefs have become intertwined with aggravating factors such as poverty</w:t>
      </w:r>
      <w:r w:rsidR="00A35B2C">
        <w:rPr>
          <w:rFonts w:ascii="Times New Roman" w:hAnsi="Times New Roman" w:cs="Times New Roman"/>
          <w:sz w:val="24"/>
          <w:szCs w:val="24"/>
          <w:vertAlign w:val="baseline"/>
        </w:rPr>
        <w:t xml:space="preserve"> and remoteness</w:t>
      </w:r>
      <w:r w:rsidR="00A679DF">
        <w:rPr>
          <w:rFonts w:ascii="Times New Roman" w:hAnsi="Times New Roman" w:cs="Times New Roman"/>
          <w:sz w:val="24"/>
          <w:szCs w:val="24"/>
          <w:vertAlign w:val="baseline"/>
        </w:rPr>
        <w:t>, poor healthcare and</w:t>
      </w:r>
      <w:r w:rsidR="00A35B2C">
        <w:rPr>
          <w:rFonts w:ascii="Times New Roman" w:hAnsi="Times New Roman" w:cs="Times New Roman"/>
          <w:sz w:val="24"/>
          <w:szCs w:val="24"/>
          <w:vertAlign w:val="baseline"/>
        </w:rPr>
        <w:t>, in India and Nepal,</w:t>
      </w:r>
      <w:r w:rsidR="00A679DF">
        <w:rPr>
          <w:rFonts w:ascii="Times New Roman" w:hAnsi="Times New Roman" w:cs="Times New Roman"/>
          <w:sz w:val="24"/>
          <w:szCs w:val="24"/>
          <w:vertAlign w:val="baseline"/>
        </w:rPr>
        <w:t xml:space="preserve"> the</w:t>
      </w:r>
      <w:r w:rsidR="00A35B2C">
        <w:rPr>
          <w:rFonts w:ascii="Times New Roman" w:hAnsi="Times New Roman" w:cs="Times New Roman"/>
          <w:sz w:val="24"/>
          <w:szCs w:val="24"/>
          <w:vertAlign w:val="baseline"/>
        </w:rPr>
        <w:t xml:space="preserve"> caste system</w:t>
      </w:r>
      <w:r w:rsidR="009814C8">
        <w:rPr>
          <w:rFonts w:ascii="Times New Roman" w:hAnsi="Times New Roman" w:cs="Times New Roman"/>
          <w:sz w:val="24"/>
          <w:szCs w:val="24"/>
          <w:vertAlign w:val="baseline"/>
        </w:rPr>
        <w:t>;</w:t>
      </w:r>
      <w:r w:rsidR="00A679DF">
        <w:rPr>
          <w:rFonts w:ascii="Times New Roman" w:hAnsi="Times New Roman" w:cs="Times New Roman"/>
          <w:sz w:val="24"/>
          <w:szCs w:val="24"/>
          <w:vertAlign w:val="baseline"/>
        </w:rPr>
        <w:t xml:space="preserve"> thus, exacerbating both the pervasiveness of gender inequality and subsequent witchcraft accusations and persecutions against women.</w:t>
      </w:r>
      <w:r w:rsidR="00A35B2C">
        <w:rPr>
          <w:rFonts w:ascii="Times New Roman" w:hAnsi="Times New Roman" w:cs="Times New Roman"/>
          <w:sz w:val="24"/>
          <w:szCs w:val="24"/>
          <w:vertAlign w:val="baseline"/>
        </w:rPr>
        <w:t xml:space="preserve"> </w:t>
      </w:r>
      <w:r w:rsidR="007F154D">
        <w:rPr>
          <w:rFonts w:ascii="Times New Roman" w:hAnsi="Times New Roman" w:cs="Times New Roman"/>
          <w:sz w:val="24"/>
          <w:szCs w:val="24"/>
          <w:vertAlign w:val="baseline"/>
        </w:rPr>
        <w:t xml:space="preserve">All four countries examined were ranked in the lower end of the UNDP Multidimensional Poverty Index. </w:t>
      </w:r>
      <w:r w:rsidR="007E2A3F">
        <w:rPr>
          <w:rFonts w:ascii="Times New Roman" w:hAnsi="Times New Roman" w:cs="Times New Roman"/>
          <w:sz w:val="24"/>
          <w:szCs w:val="24"/>
          <w:vertAlign w:val="baseline"/>
        </w:rPr>
        <w:t>As discussed in chapter four,</w:t>
      </w:r>
      <w:r w:rsidR="007E2A3F">
        <w:rPr>
          <w:rStyle w:val="FootnoteReference"/>
          <w:rFonts w:ascii="Times New Roman" w:hAnsi="Times New Roman" w:cs="Times New Roman"/>
          <w:sz w:val="24"/>
          <w:szCs w:val="24"/>
        </w:rPr>
        <w:footnoteReference w:id="1306"/>
      </w:r>
      <w:r w:rsidR="007E2A3F">
        <w:rPr>
          <w:rFonts w:ascii="Times New Roman" w:hAnsi="Times New Roman" w:cs="Times New Roman"/>
          <w:sz w:val="24"/>
          <w:szCs w:val="24"/>
          <w:vertAlign w:val="baseline"/>
        </w:rPr>
        <w:t xml:space="preserve"> p</w:t>
      </w:r>
      <w:r w:rsidR="007F154D">
        <w:rPr>
          <w:rFonts w:ascii="Times New Roman" w:hAnsi="Times New Roman" w:cs="Times New Roman"/>
          <w:sz w:val="24"/>
          <w:szCs w:val="24"/>
          <w:vertAlign w:val="baseline"/>
        </w:rPr>
        <w:t xml:space="preserve">overty is one of the major factors attributed to witchcraft, with higher levels of WAP concentrated within the most poorest and remote areas of each country. </w:t>
      </w:r>
      <w:r w:rsidR="00117987">
        <w:rPr>
          <w:rFonts w:ascii="Times New Roman" w:hAnsi="Times New Roman" w:cs="Times New Roman"/>
          <w:sz w:val="24"/>
          <w:szCs w:val="24"/>
          <w:vertAlign w:val="baseline"/>
        </w:rPr>
        <w:t>This is clearly evident in Northern Ghana, which is home to</w:t>
      </w:r>
      <w:r w:rsidR="001C70F9">
        <w:rPr>
          <w:rFonts w:ascii="Times New Roman" w:hAnsi="Times New Roman" w:cs="Times New Roman"/>
          <w:sz w:val="24"/>
          <w:szCs w:val="24"/>
          <w:vertAlign w:val="baseline"/>
        </w:rPr>
        <w:t xml:space="preserve"> all of the witch camps</w:t>
      </w:r>
      <w:r w:rsidR="00117987">
        <w:rPr>
          <w:rFonts w:ascii="Times New Roman" w:hAnsi="Times New Roman" w:cs="Times New Roman"/>
          <w:sz w:val="24"/>
          <w:szCs w:val="24"/>
          <w:vertAlign w:val="baseline"/>
        </w:rPr>
        <w:t xml:space="preserve"> and also home to some of the poorest socio-economic groups in Ghana. Thus, whilst the South of Ghana has prospered from rapid economic development, the situation in the North is very different indeed.</w:t>
      </w:r>
      <w:r w:rsidR="00B13618">
        <w:rPr>
          <w:rFonts w:ascii="Times New Roman" w:hAnsi="Times New Roman" w:cs="Times New Roman"/>
          <w:sz w:val="24"/>
          <w:szCs w:val="24"/>
          <w:vertAlign w:val="baseline"/>
        </w:rPr>
        <w:t xml:space="preserve"> </w:t>
      </w:r>
      <w:r w:rsidR="000A6EF7">
        <w:rPr>
          <w:rFonts w:ascii="Times New Roman" w:hAnsi="Times New Roman" w:cs="Times New Roman"/>
          <w:sz w:val="24"/>
          <w:szCs w:val="24"/>
          <w:vertAlign w:val="baseline"/>
        </w:rPr>
        <w:t>This</w:t>
      </w:r>
      <w:r w:rsidR="002F1EC9">
        <w:rPr>
          <w:rFonts w:ascii="Times New Roman" w:hAnsi="Times New Roman" w:cs="Times New Roman"/>
          <w:sz w:val="24"/>
          <w:szCs w:val="24"/>
          <w:vertAlign w:val="baseline"/>
        </w:rPr>
        <w:t xml:space="preserve"> detachment of remote societies from modern inner </w:t>
      </w:r>
      <w:r w:rsidR="000A6EF7">
        <w:rPr>
          <w:rFonts w:ascii="Times New Roman" w:hAnsi="Times New Roman" w:cs="Times New Roman"/>
          <w:sz w:val="24"/>
          <w:szCs w:val="24"/>
          <w:vertAlign w:val="baseline"/>
        </w:rPr>
        <w:t>cities</w:t>
      </w:r>
      <w:r w:rsidR="002F1EC9">
        <w:rPr>
          <w:rFonts w:ascii="Times New Roman" w:hAnsi="Times New Roman" w:cs="Times New Roman"/>
          <w:sz w:val="24"/>
          <w:szCs w:val="24"/>
          <w:vertAlign w:val="baseline"/>
        </w:rPr>
        <w:t xml:space="preserve"> means that </w:t>
      </w:r>
      <w:r w:rsidR="000A6EF7">
        <w:rPr>
          <w:rFonts w:ascii="Times New Roman" w:hAnsi="Times New Roman" w:cs="Times New Roman"/>
          <w:sz w:val="24"/>
          <w:szCs w:val="24"/>
          <w:vertAlign w:val="baseline"/>
        </w:rPr>
        <w:t xml:space="preserve">in </w:t>
      </w:r>
      <w:r w:rsidR="002F1EC9">
        <w:rPr>
          <w:rFonts w:ascii="Times New Roman" w:hAnsi="Times New Roman" w:cs="Times New Roman"/>
          <w:sz w:val="24"/>
          <w:szCs w:val="24"/>
          <w:vertAlign w:val="baseline"/>
        </w:rPr>
        <w:t xml:space="preserve">rural communities </w:t>
      </w:r>
      <w:r w:rsidR="000A6EF7">
        <w:rPr>
          <w:rFonts w:ascii="Times New Roman" w:hAnsi="Times New Roman" w:cs="Times New Roman"/>
          <w:sz w:val="24"/>
          <w:szCs w:val="24"/>
          <w:vertAlign w:val="baseline"/>
        </w:rPr>
        <w:t xml:space="preserve">access </w:t>
      </w:r>
      <w:r w:rsidR="00F12DE0">
        <w:rPr>
          <w:rFonts w:ascii="Times New Roman" w:hAnsi="Times New Roman" w:cs="Times New Roman"/>
          <w:sz w:val="24"/>
          <w:szCs w:val="24"/>
          <w:vertAlign w:val="baseline"/>
        </w:rPr>
        <w:t>to healthcare is problematic; therefore,</w:t>
      </w:r>
      <w:r w:rsidR="000A6EF7">
        <w:rPr>
          <w:rFonts w:ascii="Times New Roman" w:hAnsi="Times New Roman" w:cs="Times New Roman"/>
          <w:sz w:val="24"/>
          <w:szCs w:val="24"/>
          <w:vertAlign w:val="baseline"/>
        </w:rPr>
        <w:t xml:space="preserve"> the causes of illness and disease </w:t>
      </w:r>
      <w:r w:rsidR="00850996">
        <w:rPr>
          <w:rFonts w:ascii="Times New Roman" w:hAnsi="Times New Roman" w:cs="Times New Roman"/>
          <w:sz w:val="24"/>
          <w:szCs w:val="24"/>
          <w:vertAlign w:val="baseline"/>
        </w:rPr>
        <w:t xml:space="preserve">are largely misunderstood and </w:t>
      </w:r>
      <w:r w:rsidR="000A6EF7">
        <w:rPr>
          <w:rFonts w:ascii="Times New Roman" w:hAnsi="Times New Roman" w:cs="Times New Roman"/>
          <w:sz w:val="24"/>
          <w:szCs w:val="24"/>
          <w:vertAlign w:val="baseline"/>
        </w:rPr>
        <w:t xml:space="preserve">often become attributed to witchcraft. </w:t>
      </w:r>
      <w:r w:rsidR="00D2681E">
        <w:rPr>
          <w:rFonts w:ascii="Times New Roman" w:hAnsi="Times New Roman" w:cs="Times New Roman"/>
          <w:sz w:val="24"/>
          <w:szCs w:val="24"/>
          <w:vertAlign w:val="baseline"/>
        </w:rPr>
        <w:t>This is a noticeable occurrence in both Ghana and PNG, where a high prevalence of infectious diseases such as malaria, guinea worm and CSM (Cerebral Spinal Meningitis) are attributed to witchcraft in Ghana, as is the HIV/Aids epidemic in PNG.</w:t>
      </w:r>
      <w:r w:rsidR="00850996">
        <w:rPr>
          <w:rFonts w:ascii="Times New Roman" w:hAnsi="Times New Roman" w:cs="Times New Roman"/>
          <w:sz w:val="24"/>
          <w:szCs w:val="24"/>
          <w:vertAlign w:val="baseline"/>
        </w:rPr>
        <w:t xml:space="preserve"> </w:t>
      </w:r>
      <w:r w:rsidR="008C509C">
        <w:rPr>
          <w:rFonts w:ascii="Times New Roman" w:hAnsi="Times New Roman" w:cs="Times New Roman"/>
          <w:sz w:val="24"/>
          <w:szCs w:val="24"/>
          <w:vertAlign w:val="baseline"/>
        </w:rPr>
        <w:t xml:space="preserve">In India and Nepal, the </w:t>
      </w:r>
      <w:r w:rsidR="00B13618">
        <w:rPr>
          <w:rFonts w:ascii="Times New Roman" w:hAnsi="Times New Roman" w:cs="Times New Roman"/>
          <w:sz w:val="24"/>
          <w:szCs w:val="24"/>
          <w:vertAlign w:val="baseline"/>
        </w:rPr>
        <w:t>caste system pro</w:t>
      </w:r>
      <w:r w:rsidR="00AA75B8">
        <w:rPr>
          <w:rFonts w:ascii="Times New Roman" w:hAnsi="Times New Roman" w:cs="Times New Roman"/>
          <w:sz w:val="24"/>
          <w:szCs w:val="24"/>
          <w:vertAlign w:val="baseline"/>
        </w:rPr>
        <w:t>motes gender inequality, whilst aiding the proliferation of witchcraft accusations targeted at lower caste women.</w:t>
      </w:r>
      <w:r w:rsidR="001839DC">
        <w:rPr>
          <w:rFonts w:ascii="Times New Roman" w:hAnsi="Times New Roman" w:cs="Times New Roman"/>
          <w:sz w:val="24"/>
          <w:szCs w:val="24"/>
          <w:vertAlign w:val="baseline"/>
        </w:rPr>
        <w:t xml:space="preserve"> Here women are discriminated on two levels, their gender and their caste.</w:t>
      </w:r>
      <w:r w:rsidR="008F6516">
        <w:rPr>
          <w:rFonts w:ascii="Times New Roman" w:hAnsi="Times New Roman" w:cs="Times New Roman"/>
          <w:sz w:val="24"/>
          <w:szCs w:val="24"/>
          <w:vertAlign w:val="baseline"/>
        </w:rPr>
        <w:t xml:space="preserve"> </w:t>
      </w:r>
    </w:p>
    <w:p w14:paraId="2762D3CC" w14:textId="77777777" w:rsidR="00BD2D54" w:rsidRDefault="00BD2D54" w:rsidP="00ED402F">
      <w:pPr>
        <w:spacing w:line="480" w:lineRule="auto"/>
        <w:ind w:firstLine="720"/>
        <w:jc w:val="both"/>
        <w:rPr>
          <w:rFonts w:ascii="Times New Roman" w:hAnsi="Times New Roman" w:cs="Times New Roman"/>
          <w:sz w:val="24"/>
          <w:szCs w:val="24"/>
          <w:vertAlign w:val="baseline"/>
        </w:rPr>
      </w:pPr>
    </w:p>
    <w:p w14:paraId="05E2F38D" w14:textId="7F136DA8" w:rsidR="00BD2D54" w:rsidRPr="00BD2D54" w:rsidRDefault="00BD2D54" w:rsidP="00BD2D54">
      <w:pPr>
        <w:spacing w:line="480" w:lineRule="auto"/>
        <w:jc w:val="both"/>
        <w:rPr>
          <w:rFonts w:ascii="Times New Roman" w:hAnsi="Times New Roman" w:cs="Times New Roman"/>
          <w:b/>
          <w:sz w:val="24"/>
          <w:szCs w:val="24"/>
          <w:u w:val="single"/>
          <w:vertAlign w:val="baseline"/>
        </w:rPr>
      </w:pPr>
      <w:r w:rsidRPr="00BD2D54">
        <w:rPr>
          <w:rFonts w:ascii="Times New Roman" w:hAnsi="Times New Roman" w:cs="Times New Roman"/>
          <w:b/>
          <w:sz w:val="24"/>
          <w:szCs w:val="24"/>
          <w:u w:val="single"/>
          <w:vertAlign w:val="baseline"/>
        </w:rPr>
        <w:t>Levels of Violence associated with witchcraft</w:t>
      </w:r>
    </w:p>
    <w:p w14:paraId="65C57F8B" w14:textId="5612A4C6" w:rsidR="002E6E62" w:rsidRDefault="00D76870" w:rsidP="00ED402F">
      <w:pPr>
        <w:spacing w:line="480" w:lineRule="auto"/>
        <w:ind w:firstLine="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Whilst witchcraft undeniably promotes discrimination against women on a variety of different levels, such as age, gender</w:t>
      </w:r>
      <w:r w:rsidR="0034052F">
        <w:rPr>
          <w:rFonts w:ascii="Times New Roman" w:hAnsi="Times New Roman" w:cs="Times New Roman"/>
          <w:sz w:val="24"/>
          <w:szCs w:val="24"/>
          <w:vertAlign w:val="baseline"/>
        </w:rPr>
        <w:t>, ethnicity</w:t>
      </w:r>
      <w:r>
        <w:rPr>
          <w:rFonts w:ascii="Times New Roman" w:hAnsi="Times New Roman" w:cs="Times New Roman"/>
          <w:sz w:val="24"/>
          <w:szCs w:val="24"/>
          <w:vertAlign w:val="baseline"/>
        </w:rPr>
        <w:t xml:space="preserve"> and disability, what is most shocking a</w:t>
      </w:r>
      <w:r w:rsidR="00283192">
        <w:rPr>
          <w:rFonts w:ascii="Times New Roman" w:hAnsi="Times New Roman" w:cs="Times New Roman"/>
          <w:sz w:val="24"/>
          <w:szCs w:val="24"/>
          <w:vertAlign w:val="baseline"/>
        </w:rPr>
        <w:t>bout the witchcraft discourse, are</w:t>
      </w:r>
      <w:r w:rsidR="00A06491">
        <w:rPr>
          <w:rFonts w:ascii="Times New Roman" w:hAnsi="Times New Roman" w:cs="Times New Roman"/>
          <w:sz w:val="24"/>
          <w:szCs w:val="24"/>
          <w:vertAlign w:val="baseline"/>
        </w:rPr>
        <w:t xml:space="preserve"> the levels of </w:t>
      </w:r>
      <w:r>
        <w:rPr>
          <w:rFonts w:ascii="Times New Roman" w:hAnsi="Times New Roman" w:cs="Times New Roman"/>
          <w:sz w:val="24"/>
          <w:szCs w:val="24"/>
          <w:vertAlign w:val="baseline"/>
        </w:rPr>
        <w:t>associated</w:t>
      </w:r>
      <w:r w:rsidR="00A06491">
        <w:rPr>
          <w:rFonts w:ascii="Times New Roman" w:hAnsi="Times New Roman" w:cs="Times New Roman"/>
          <w:sz w:val="24"/>
          <w:szCs w:val="24"/>
          <w:vertAlign w:val="baseline"/>
        </w:rPr>
        <w:t xml:space="preserve"> violence</w:t>
      </w:r>
      <w:r>
        <w:rPr>
          <w:rFonts w:ascii="Times New Roman" w:hAnsi="Times New Roman" w:cs="Times New Roman"/>
          <w:sz w:val="24"/>
          <w:szCs w:val="24"/>
          <w:vertAlign w:val="baseline"/>
        </w:rPr>
        <w:t xml:space="preserve">. </w:t>
      </w:r>
      <w:r w:rsidR="00AB20D7">
        <w:rPr>
          <w:rFonts w:ascii="Times New Roman" w:hAnsi="Times New Roman" w:cs="Times New Roman"/>
          <w:sz w:val="24"/>
          <w:szCs w:val="24"/>
          <w:vertAlign w:val="baseline"/>
        </w:rPr>
        <w:t>The word discrimination does not do justice to the torment and suffering</w:t>
      </w:r>
      <w:r w:rsidR="00477913">
        <w:rPr>
          <w:rFonts w:ascii="Times New Roman" w:hAnsi="Times New Roman" w:cs="Times New Roman"/>
          <w:sz w:val="24"/>
          <w:szCs w:val="24"/>
          <w:vertAlign w:val="baseline"/>
        </w:rPr>
        <w:t xml:space="preserve"> victims</w:t>
      </w:r>
      <w:r w:rsidR="00AB20D7">
        <w:rPr>
          <w:rFonts w:ascii="Times New Roman" w:hAnsi="Times New Roman" w:cs="Times New Roman"/>
          <w:sz w:val="24"/>
          <w:szCs w:val="24"/>
          <w:vertAlign w:val="baseline"/>
        </w:rPr>
        <w:t xml:space="preserve"> of witchcraft accusations face on a daily basis.</w:t>
      </w:r>
      <w:r w:rsidR="005B2BA2">
        <w:rPr>
          <w:rFonts w:ascii="Times New Roman" w:hAnsi="Times New Roman" w:cs="Times New Roman"/>
          <w:sz w:val="24"/>
          <w:szCs w:val="24"/>
          <w:vertAlign w:val="baseline"/>
        </w:rPr>
        <w:t xml:space="preserve"> </w:t>
      </w:r>
      <w:r w:rsidR="00656B3B">
        <w:rPr>
          <w:rFonts w:ascii="Times New Roman" w:hAnsi="Times New Roman" w:cs="Times New Roman"/>
          <w:sz w:val="24"/>
          <w:szCs w:val="24"/>
          <w:vertAlign w:val="baseline"/>
        </w:rPr>
        <w:t xml:space="preserve">The violence associated with witchcraft is </w:t>
      </w:r>
      <w:r w:rsidR="001C5994">
        <w:rPr>
          <w:rFonts w:ascii="Times New Roman" w:hAnsi="Times New Roman" w:cs="Times New Roman"/>
          <w:sz w:val="24"/>
          <w:szCs w:val="24"/>
          <w:vertAlign w:val="baseline"/>
        </w:rPr>
        <w:t xml:space="preserve">cruel, barbaric and </w:t>
      </w:r>
      <w:r w:rsidR="00656B3B">
        <w:rPr>
          <w:rFonts w:ascii="Times New Roman" w:hAnsi="Times New Roman" w:cs="Times New Roman"/>
          <w:sz w:val="24"/>
          <w:szCs w:val="24"/>
          <w:vertAlign w:val="baseline"/>
        </w:rPr>
        <w:t>inconceivable.</w:t>
      </w:r>
      <w:r w:rsidR="00847DF9">
        <w:rPr>
          <w:rFonts w:ascii="Times New Roman" w:hAnsi="Times New Roman" w:cs="Times New Roman"/>
          <w:sz w:val="24"/>
          <w:szCs w:val="24"/>
          <w:vertAlign w:val="baseline"/>
        </w:rPr>
        <w:t xml:space="preserve"> In Ghana, members of their family and the community subject women to pu</w:t>
      </w:r>
      <w:r w:rsidR="00EC4A81">
        <w:rPr>
          <w:rFonts w:ascii="Times New Roman" w:hAnsi="Times New Roman" w:cs="Times New Roman"/>
          <w:sz w:val="24"/>
          <w:szCs w:val="24"/>
          <w:vertAlign w:val="baseline"/>
        </w:rPr>
        <w:t>blic attacks, in which women can be</w:t>
      </w:r>
      <w:r w:rsidR="00847DF9">
        <w:rPr>
          <w:rFonts w:ascii="Times New Roman" w:hAnsi="Times New Roman" w:cs="Times New Roman"/>
          <w:sz w:val="24"/>
          <w:szCs w:val="24"/>
          <w:vertAlign w:val="baseline"/>
        </w:rPr>
        <w:t xml:space="preserve"> thrashed, doused in kerosene and burnt alive.</w:t>
      </w:r>
      <w:r w:rsidR="00EC4A81">
        <w:rPr>
          <w:rFonts w:ascii="Times New Roman" w:hAnsi="Times New Roman" w:cs="Times New Roman"/>
          <w:sz w:val="24"/>
          <w:szCs w:val="24"/>
          <w:vertAlign w:val="baseline"/>
        </w:rPr>
        <w:t xml:space="preserve"> For those ‘lucky’ survivors of public beatings, women in Ghana are ostracised to one of the many witch-camps in Northern Ghan</w:t>
      </w:r>
      <w:r w:rsidR="00580E7E">
        <w:rPr>
          <w:rFonts w:ascii="Times New Roman" w:hAnsi="Times New Roman" w:cs="Times New Roman"/>
          <w:sz w:val="24"/>
          <w:szCs w:val="24"/>
          <w:vertAlign w:val="baseline"/>
        </w:rPr>
        <w:t xml:space="preserve">a, situated in remote areas, </w:t>
      </w:r>
      <w:r w:rsidR="00EC4A81">
        <w:rPr>
          <w:rFonts w:ascii="Times New Roman" w:hAnsi="Times New Roman" w:cs="Times New Roman"/>
          <w:sz w:val="24"/>
          <w:szCs w:val="24"/>
          <w:vertAlign w:val="baseline"/>
        </w:rPr>
        <w:t xml:space="preserve">offering poor living conditions and inadequate food and water supplies. </w:t>
      </w:r>
      <w:r w:rsidR="00810426">
        <w:rPr>
          <w:rFonts w:ascii="Times New Roman" w:hAnsi="Times New Roman" w:cs="Times New Roman"/>
          <w:sz w:val="24"/>
          <w:szCs w:val="24"/>
          <w:vertAlign w:val="baseline"/>
        </w:rPr>
        <w:t xml:space="preserve">On arrival at these camps women are subjected to purification rituals that involve drinking harmful concoctions of chicken blood, monkey skulls and soil, before starting their ‘new life’ living in squalid conditions. Due to the inadequate </w:t>
      </w:r>
      <w:r w:rsidR="00505B79">
        <w:rPr>
          <w:rFonts w:ascii="Times New Roman" w:hAnsi="Times New Roman" w:cs="Times New Roman"/>
          <w:sz w:val="24"/>
          <w:szCs w:val="24"/>
          <w:vertAlign w:val="baseline"/>
        </w:rPr>
        <w:t xml:space="preserve">and unacceptable </w:t>
      </w:r>
      <w:r w:rsidR="00810426">
        <w:rPr>
          <w:rFonts w:ascii="Times New Roman" w:hAnsi="Times New Roman" w:cs="Times New Roman"/>
          <w:sz w:val="24"/>
          <w:szCs w:val="24"/>
          <w:vertAlign w:val="baseline"/>
        </w:rPr>
        <w:t>living conditions within these camps, there have been calls from c</w:t>
      </w:r>
      <w:r w:rsidR="006D7986">
        <w:rPr>
          <w:rFonts w:ascii="Times New Roman" w:hAnsi="Times New Roman" w:cs="Times New Roman"/>
          <w:sz w:val="24"/>
          <w:szCs w:val="24"/>
          <w:vertAlign w:val="baseline"/>
        </w:rPr>
        <w:t>ivil society</w:t>
      </w:r>
      <w:r w:rsidR="00A433FF">
        <w:rPr>
          <w:rFonts w:ascii="Times New Roman" w:hAnsi="Times New Roman" w:cs="Times New Roman"/>
          <w:sz w:val="24"/>
          <w:szCs w:val="24"/>
          <w:vertAlign w:val="baseline"/>
        </w:rPr>
        <w:t xml:space="preserve"> and the CEDAW Committee</w:t>
      </w:r>
      <w:r w:rsidR="006D7986">
        <w:rPr>
          <w:rFonts w:ascii="Times New Roman" w:hAnsi="Times New Roman" w:cs="Times New Roman"/>
          <w:sz w:val="24"/>
          <w:szCs w:val="24"/>
          <w:vertAlign w:val="baseline"/>
        </w:rPr>
        <w:t xml:space="preserve"> to close down the camps.</w:t>
      </w:r>
      <w:r w:rsidR="00C124F1">
        <w:rPr>
          <w:rStyle w:val="FootnoteReference"/>
          <w:rFonts w:ascii="Times New Roman" w:hAnsi="Times New Roman" w:cs="Times New Roman"/>
          <w:sz w:val="24"/>
          <w:szCs w:val="24"/>
        </w:rPr>
        <w:footnoteReference w:id="1307"/>
      </w:r>
      <w:r w:rsidR="006D7986">
        <w:rPr>
          <w:rFonts w:ascii="Times New Roman" w:hAnsi="Times New Roman" w:cs="Times New Roman"/>
          <w:sz w:val="24"/>
          <w:szCs w:val="24"/>
          <w:vertAlign w:val="baseline"/>
        </w:rPr>
        <w:t xml:space="preserve"> However, this situation presents w</w:t>
      </w:r>
      <w:r w:rsidR="004B2FE8">
        <w:rPr>
          <w:rFonts w:ascii="Times New Roman" w:hAnsi="Times New Roman" w:cs="Times New Roman"/>
          <w:sz w:val="24"/>
          <w:szCs w:val="24"/>
          <w:vertAlign w:val="baseline"/>
        </w:rPr>
        <w:t xml:space="preserve">omen with a double-edged sword. Is it better to close down the camps and attempt to reintegrate women back into society, or is it more favourable </w:t>
      </w:r>
      <w:r w:rsidR="0073354D">
        <w:rPr>
          <w:rFonts w:ascii="Times New Roman" w:hAnsi="Times New Roman" w:cs="Times New Roman"/>
          <w:sz w:val="24"/>
          <w:szCs w:val="24"/>
          <w:vertAlign w:val="baseline"/>
        </w:rPr>
        <w:t>for the government to focus on the provision of</w:t>
      </w:r>
      <w:r w:rsidR="004B2FE8">
        <w:rPr>
          <w:rFonts w:ascii="Times New Roman" w:hAnsi="Times New Roman" w:cs="Times New Roman"/>
          <w:sz w:val="24"/>
          <w:szCs w:val="24"/>
          <w:vertAlign w:val="baseline"/>
        </w:rPr>
        <w:t xml:space="preserve"> better conditions and address </w:t>
      </w:r>
      <w:r w:rsidR="0073354D">
        <w:rPr>
          <w:rFonts w:ascii="Times New Roman" w:hAnsi="Times New Roman" w:cs="Times New Roman"/>
          <w:sz w:val="24"/>
          <w:szCs w:val="24"/>
          <w:vertAlign w:val="baseline"/>
        </w:rPr>
        <w:t xml:space="preserve">the </w:t>
      </w:r>
      <w:r w:rsidR="004B2FE8">
        <w:rPr>
          <w:rFonts w:ascii="Times New Roman" w:hAnsi="Times New Roman" w:cs="Times New Roman"/>
          <w:sz w:val="24"/>
          <w:szCs w:val="24"/>
          <w:vertAlign w:val="baseline"/>
        </w:rPr>
        <w:t xml:space="preserve">human rights issues </w:t>
      </w:r>
      <w:r w:rsidR="0073354D">
        <w:rPr>
          <w:rFonts w:ascii="Times New Roman" w:hAnsi="Times New Roman" w:cs="Times New Roman"/>
          <w:sz w:val="24"/>
          <w:szCs w:val="24"/>
          <w:vertAlign w:val="baseline"/>
        </w:rPr>
        <w:t xml:space="preserve">of women who wish to remain </w:t>
      </w:r>
      <w:r w:rsidR="004B2FE8">
        <w:rPr>
          <w:rFonts w:ascii="Times New Roman" w:hAnsi="Times New Roman" w:cs="Times New Roman"/>
          <w:sz w:val="24"/>
          <w:szCs w:val="24"/>
          <w:vertAlign w:val="baseline"/>
        </w:rPr>
        <w:t>in the camps?</w:t>
      </w:r>
      <w:r w:rsidR="003E5AC4">
        <w:rPr>
          <w:rFonts w:ascii="Times New Roman" w:hAnsi="Times New Roman" w:cs="Times New Roman"/>
          <w:sz w:val="24"/>
          <w:szCs w:val="24"/>
          <w:vertAlign w:val="baseline"/>
        </w:rPr>
        <w:t xml:space="preserve"> For many women, these camps, although neglected, provide a safe refuge.</w:t>
      </w:r>
      <w:r w:rsidR="00C73BD0">
        <w:rPr>
          <w:rFonts w:ascii="Times New Roman" w:hAnsi="Times New Roman" w:cs="Times New Roman"/>
          <w:sz w:val="24"/>
          <w:szCs w:val="24"/>
          <w:vertAlign w:val="baseline"/>
        </w:rPr>
        <w:t xml:space="preserve"> It is certainly a difficult decision for anyone to make. </w:t>
      </w:r>
      <w:r w:rsidR="007E6302">
        <w:rPr>
          <w:rFonts w:ascii="Times New Roman" w:hAnsi="Times New Roman" w:cs="Times New Roman"/>
          <w:sz w:val="24"/>
          <w:szCs w:val="24"/>
          <w:vertAlign w:val="baseline"/>
        </w:rPr>
        <w:t xml:space="preserve">A solution may be to apply a combination of both </w:t>
      </w:r>
      <w:r w:rsidR="007E6302" w:rsidRPr="007E6302">
        <w:rPr>
          <w:rFonts w:ascii="Times New Roman" w:hAnsi="Times New Roman" w:cs="Times New Roman"/>
          <w:sz w:val="24"/>
          <w:szCs w:val="24"/>
          <w:vertAlign w:val="baseline"/>
        </w:rPr>
        <w:t>standpoints</w:t>
      </w:r>
      <w:r w:rsidR="007E6302">
        <w:rPr>
          <w:rFonts w:ascii="Times New Roman" w:hAnsi="Times New Roman" w:cs="Times New Roman"/>
          <w:sz w:val="24"/>
          <w:szCs w:val="24"/>
          <w:vertAlign w:val="baseline"/>
        </w:rPr>
        <w:t>; reintegrate those women who are most likely to be accepted back into society, whilst maintaining the camps, with the provision of better facilities, for those victims who feel unable to return home. However</w:t>
      </w:r>
      <w:r w:rsidR="00C73BD0">
        <w:rPr>
          <w:rFonts w:ascii="Times New Roman" w:hAnsi="Times New Roman" w:cs="Times New Roman"/>
          <w:sz w:val="24"/>
          <w:szCs w:val="24"/>
          <w:vertAlign w:val="baseline"/>
        </w:rPr>
        <w:t xml:space="preserve">, until witchcraft beliefs are dealt with within Ghanaian society, reintegrated victims will always feel the stigma associated </w:t>
      </w:r>
      <w:r w:rsidR="00B4465D">
        <w:rPr>
          <w:rFonts w:ascii="Times New Roman" w:hAnsi="Times New Roman" w:cs="Times New Roman"/>
          <w:sz w:val="24"/>
          <w:szCs w:val="24"/>
          <w:vertAlign w:val="baseline"/>
        </w:rPr>
        <w:t>with witchcraft, whilst living under the constant fear of reprisal.</w:t>
      </w:r>
      <w:r w:rsidR="0006557E">
        <w:rPr>
          <w:rFonts w:ascii="Times New Roman" w:hAnsi="Times New Roman" w:cs="Times New Roman"/>
          <w:sz w:val="24"/>
          <w:szCs w:val="24"/>
          <w:vertAlign w:val="baseline"/>
        </w:rPr>
        <w:t xml:space="preserve"> It is impossible to </w:t>
      </w:r>
      <w:r w:rsidR="00324ADA">
        <w:rPr>
          <w:rFonts w:ascii="Times New Roman" w:hAnsi="Times New Roman" w:cs="Times New Roman"/>
          <w:sz w:val="24"/>
          <w:szCs w:val="24"/>
          <w:vertAlign w:val="baseline"/>
        </w:rPr>
        <w:t xml:space="preserve">adequately </w:t>
      </w:r>
      <w:r w:rsidR="0006557E">
        <w:rPr>
          <w:rFonts w:ascii="Times New Roman" w:hAnsi="Times New Roman" w:cs="Times New Roman"/>
          <w:sz w:val="24"/>
          <w:szCs w:val="24"/>
          <w:vertAlign w:val="baseline"/>
        </w:rPr>
        <w:t xml:space="preserve">deal with the </w:t>
      </w:r>
      <w:r w:rsidR="00324ADA">
        <w:rPr>
          <w:rFonts w:ascii="Times New Roman" w:hAnsi="Times New Roman" w:cs="Times New Roman"/>
          <w:sz w:val="24"/>
          <w:szCs w:val="24"/>
          <w:vertAlign w:val="baseline"/>
        </w:rPr>
        <w:t>consequences created by witchcraft, if the issue itself is being ignored.</w:t>
      </w:r>
      <w:r w:rsidR="00C36EA2">
        <w:rPr>
          <w:rFonts w:ascii="Times New Roman" w:hAnsi="Times New Roman" w:cs="Times New Roman"/>
          <w:sz w:val="24"/>
          <w:szCs w:val="24"/>
          <w:vertAlign w:val="baseline"/>
        </w:rPr>
        <w:t xml:space="preserve"> In Nepal, the severity of the punishment for alleged witches differs from case to case. The majority of victims are subjected to </w:t>
      </w:r>
      <w:r w:rsidR="00A86533">
        <w:rPr>
          <w:rFonts w:ascii="Times New Roman" w:hAnsi="Times New Roman" w:cs="Times New Roman"/>
          <w:sz w:val="24"/>
          <w:szCs w:val="24"/>
          <w:vertAlign w:val="baseline"/>
        </w:rPr>
        <w:t>public beatings consisting of being</w:t>
      </w:r>
      <w:r w:rsidR="00C36EA2">
        <w:rPr>
          <w:rFonts w:ascii="Times New Roman" w:hAnsi="Times New Roman" w:cs="Times New Roman"/>
          <w:sz w:val="24"/>
          <w:szCs w:val="24"/>
          <w:vertAlign w:val="baseline"/>
        </w:rPr>
        <w:t xml:space="preserve"> tortured with hot iron rods</w:t>
      </w:r>
      <w:r w:rsidR="00A86533">
        <w:rPr>
          <w:rFonts w:ascii="Times New Roman" w:hAnsi="Times New Roman" w:cs="Times New Roman"/>
          <w:sz w:val="24"/>
          <w:szCs w:val="24"/>
          <w:vertAlign w:val="baseline"/>
        </w:rPr>
        <w:t xml:space="preserve">, force-feeding of excreta, rubbing chilli powder/peppers into eyes and private parts and in some cases, sexual abuse where implements are interested into their private parts. Most severe violence culminates in women being burned alive. Whilst in </w:t>
      </w:r>
      <w:r w:rsidR="001229EA">
        <w:rPr>
          <w:rFonts w:ascii="Times New Roman" w:hAnsi="Times New Roman" w:cs="Times New Roman"/>
          <w:sz w:val="24"/>
          <w:szCs w:val="24"/>
          <w:vertAlign w:val="baseline"/>
        </w:rPr>
        <w:t>Ghana and Nepal, there is a greater</w:t>
      </w:r>
      <w:r w:rsidR="00A86533">
        <w:rPr>
          <w:rFonts w:ascii="Times New Roman" w:hAnsi="Times New Roman" w:cs="Times New Roman"/>
          <w:sz w:val="24"/>
          <w:szCs w:val="24"/>
          <w:vertAlign w:val="baseline"/>
        </w:rPr>
        <w:t xml:space="preserve"> chance of surviving witchcra</w:t>
      </w:r>
      <w:r w:rsidR="00F47BCC">
        <w:rPr>
          <w:rFonts w:ascii="Times New Roman" w:hAnsi="Times New Roman" w:cs="Times New Roman"/>
          <w:sz w:val="24"/>
          <w:szCs w:val="24"/>
          <w:vertAlign w:val="baseline"/>
        </w:rPr>
        <w:t>ft related attacks,</w:t>
      </w:r>
      <w:r w:rsidR="00A86533">
        <w:rPr>
          <w:rFonts w:ascii="Times New Roman" w:hAnsi="Times New Roman" w:cs="Times New Roman"/>
          <w:sz w:val="24"/>
          <w:szCs w:val="24"/>
          <w:vertAlign w:val="baseline"/>
        </w:rPr>
        <w:t xml:space="preserve"> the violence allotted to witches in India and PNG is more sinister. Survivors of witchcraft accusations in India and PNG are rare. In India, the abuse of ‘witches’ is diverse and prolonged, including public humiliation, in the form of stripping women naked, shaving their heads, defanging, public whipping/branding and the force feeding of excreta. Women are subjected to public hangings, being hacked with machetes, ‘necklacing’ and being burnt alive.</w:t>
      </w:r>
      <w:r w:rsidR="000B7ED4">
        <w:rPr>
          <w:rFonts w:ascii="Times New Roman" w:hAnsi="Times New Roman" w:cs="Times New Roman"/>
          <w:sz w:val="24"/>
          <w:szCs w:val="24"/>
          <w:vertAlign w:val="baseline"/>
        </w:rPr>
        <w:t xml:space="preserve"> Such instances of violence are documented daily within media reports.</w:t>
      </w:r>
      <w:r w:rsidR="004B7C29">
        <w:rPr>
          <w:rStyle w:val="FootnoteReference"/>
          <w:rFonts w:ascii="Times New Roman" w:hAnsi="Times New Roman" w:cs="Times New Roman"/>
          <w:sz w:val="24"/>
          <w:szCs w:val="24"/>
        </w:rPr>
        <w:footnoteReference w:id="1308"/>
      </w:r>
      <w:r w:rsidR="001222E1">
        <w:rPr>
          <w:rFonts w:ascii="Times New Roman" w:hAnsi="Times New Roman" w:cs="Times New Roman"/>
          <w:sz w:val="24"/>
          <w:szCs w:val="24"/>
          <w:vertAlign w:val="baseline"/>
        </w:rPr>
        <w:t xml:space="preserve"> It is in PNG where the violence is at its most extreme, largely due to the belief that witches do not feel </w:t>
      </w:r>
      <w:r w:rsidR="00FC7D1F">
        <w:rPr>
          <w:rFonts w:ascii="Times New Roman" w:hAnsi="Times New Roman" w:cs="Times New Roman"/>
          <w:sz w:val="24"/>
          <w:szCs w:val="24"/>
          <w:vertAlign w:val="baseline"/>
        </w:rPr>
        <w:t xml:space="preserve">the same amount of pain as </w:t>
      </w:r>
      <w:r w:rsidR="00A8677F">
        <w:rPr>
          <w:rFonts w:ascii="Times New Roman" w:hAnsi="Times New Roman" w:cs="Times New Roman"/>
          <w:sz w:val="24"/>
          <w:szCs w:val="24"/>
          <w:vertAlign w:val="baseline"/>
        </w:rPr>
        <w:t>humans. Here the treatment allotted to victims of witchcraft accusations is inhumane.</w:t>
      </w:r>
      <w:r w:rsidR="00B96AB9">
        <w:rPr>
          <w:rStyle w:val="FootnoteReference"/>
          <w:rFonts w:ascii="Times New Roman" w:hAnsi="Times New Roman" w:cs="Times New Roman"/>
          <w:sz w:val="24"/>
          <w:szCs w:val="24"/>
        </w:rPr>
        <w:footnoteReference w:id="1309"/>
      </w:r>
      <w:r w:rsidR="00A8677F">
        <w:rPr>
          <w:rFonts w:ascii="Times New Roman" w:hAnsi="Times New Roman" w:cs="Times New Roman"/>
          <w:sz w:val="24"/>
          <w:szCs w:val="24"/>
          <w:vertAlign w:val="baseline"/>
        </w:rPr>
        <w:t xml:space="preserve"> </w:t>
      </w:r>
      <w:r w:rsidR="00E75E23">
        <w:rPr>
          <w:rFonts w:ascii="Times New Roman" w:hAnsi="Times New Roman" w:cs="Times New Roman"/>
          <w:sz w:val="24"/>
          <w:szCs w:val="24"/>
          <w:vertAlign w:val="baseline"/>
        </w:rPr>
        <w:t xml:space="preserve">Violence at any level is unacceptable, however, </w:t>
      </w:r>
      <w:r w:rsidR="00FC56C6">
        <w:rPr>
          <w:rFonts w:ascii="Times New Roman" w:hAnsi="Times New Roman" w:cs="Times New Roman"/>
          <w:sz w:val="24"/>
          <w:szCs w:val="24"/>
          <w:vertAlign w:val="baseline"/>
        </w:rPr>
        <w:t>the</w:t>
      </w:r>
      <w:r w:rsidR="0025031E">
        <w:rPr>
          <w:rFonts w:ascii="Times New Roman" w:hAnsi="Times New Roman" w:cs="Times New Roman"/>
          <w:sz w:val="24"/>
          <w:szCs w:val="24"/>
          <w:vertAlign w:val="baseline"/>
        </w:rPr>
        <w:t xml:space="preserve"> levels of violence</w:t>
      </w:r>
      <w:r w:rsidR="00FC56C6">
        <w:rPr>
          <w:rFonts w:ascii="Times New Roman" w:hAnsi="Times New Roman" w:cs="Times New Roman"/>
          <w:sz w:val="24"/>
          <w:szCs w:val="24"/>
          <w:vertAlign w:val="baseline"/>
        </w:rPr>
        <w:t xml:space="preserve"> </w:t>
      </w:r>
      <w:r w:rsidR="00E75E23">
        <w:rPr>
          <w:rFonts w:ascii="Times New Roman" w:hAnsi="Times New Roman" w:cs="Times New Roman"/>
          <w:sz w:val="24"/>
          <w:szCs w:val="24"/>
          <w:vertAlign w:val="baseline"/>
        </w:rPr>
        <w:t xml:space="preserve">documented above </w:t>
      </w:r>
      <w:r w:rsidR="00B22564">
        <w:rPr>
          <w:rFonts w:ascii="Times New Roman" w:hAnsi="Times New Roman" w:cs="Times New Roman"/>
          <w:sz w:val="24"/>
          <w:szCs w:val="24"/>
          <w:vertAlign w:val="baseline"/>
        </w:rPr>
        <w:t>are overwhelmingly</w:t>
      </w:r>
      <w:r w:rsidR="0025031E">
        <w:rPr>
          <w:rFonts w:ascii="Times New Roman" w:hAnsi="Times New Roman" w:cs="Times New Roman"/>
          <w:sz w:val="24"/>
          <w:szCs w:val="24"/>
          <w:vertAlign w:val="baseline"/>
        </w:rPr>
        <w:t xml:space="preserve"> </w:t>
      </w:r>
      <w:r w:rsidR="00E83061">
        <w:rPr>
          <w:rFonts w:ascii="Times New Roman" w:hAnsi="Times New Roman" w:cs="Times New Roman"/>
          <w:sz w:val="24"/>
          <w:szCs w:val="24"/>
          <w:vertAlign w:val="baseline"/>
        </w:rPr>
        <w:t>ab</w:t>
      </w:r>
      <w:r w:rsidR="0092238B">
        <w:rPr>
          <w:rFonts w:ascii="Times New Roman" w:hAnsi="Times New Roman" w:cs="Times New Roman"/>
          <w:sz w:val="24"/>
          <w:szCs w:val="24"/>
          <w:vertAlign w:val="baseline"/>
        </w:rPr>
        <w:t xml:space="preserve">horrent and are clear violations of human rights. </w:t>
      </w:r>
      <w:r w:rsidR="009828F1">
        <w:rPr>
          <w:rFonts w:ascii="Times New Roman" w:hAnsi="Times New Roman" w:cs="Times New Roman"/>
          <w:sz w:val="24"/>
          <w:szCs w:val="24"/>
          <w:vertAlign w:val="baseline"/>
        </w:rPr>
        <w:t>How members of society can inflict that degree of pain and torture onto a fellow human being</w:t>
      </w:r>
      <w:r w:rsidR="00245BE9">
        <w:rPr>
          <w:rFonts w:ascii="Times New Roman" w:hAnsi="Times New Roman" w:cs="Times New Roman"/>
          <w:sz w:val="24"/>
          <w:szCs w:val="24"/>
          <w:vertAlign w:val="baseline"/>
        </w:rPr>
        <w:t>,</w:t>
      </w:r>
      <w:r w:rsidR="009828F1">
        <w:rPr>
          <w:rFonts w:ascii="Times New Roman" w:hAnsi="Times New Roman" w:cs="Times New Roman"/>
          <w:sz w:val="24"/>
          <w:szCs w:val="24"/>
          <w:vertAlign w:val="baseline"/>
        </w:rPr>
        <w:t xml:space="preserve"> in the name of witchcraft is</w:t>
      </w:r>
      <w:r w:rsidR="00CF460B">
        <w:rPr>
          <w:rFonts w:ascii="Times New Roman" w:hAnsi="Times New Roman" w:cs="Times New Roman"/>
          <w:sz w:val="24"/>
          <w:szCs w:val="24"/>
          <w:vertAlign w:val="baseline"/>
        </w:rPr>
        <w:t>,</w:t>
      </w:r>
      <w:r w:rsidR="009828F1">
        <w:rPr>
          <w:rFonts w:ascii="Times New Roman" w:hAnsi="Times New Roman" w:cs="Times New Roman"/>
          <w:sz w:val="24"/>
          <w:szCs w:val="24"/>
          <w:vertAlign w:val="baseline"/>
        </w:rPr>
        <w:t xml:space="preserve"> quite frankly</w:t>
      </w:r>
      <w:r w:rsidR="00CF460B">
        <w:rPr>
          <w:rFonts w:ascii="Times New Roman" w:hAnsi="Times New Roman" w:cs="Times New Roman"/>
          <w:sz w:val="24"/>
          <w:szCs w:val="24"/>
          <w:vertAlign w:val="baseline"/>
        </w:rPr>
        <w:t>,</w:t>
      </w:r>
      <w:r w:rsidR="009828F1">
        <w:rPr>
          <w:rFonts w:ascii="Times New Roman" w:hAnsi="Times New Roman" w:cs="Times New Roman"/>
          <w:sz w:val="24"/>
          <w:szCs w:val="24"/>
          <w:vertAlign w:val="baseline"/>
        </w:rPr>
        <w:t xml:space="preserve"> </w:t>
      </w:r>
      <w:r w:rsidR="00A77898">
        <w:rPr>
          <w:rFonts w:ascii="Times New Roman" w:hAnsi="Times New Roman" w:cs="Times New Roman"/>
          <w:sz w:val="24"/>
          <w:szCs w:val="24"/>
          <w:vertAlign w:val="baseline"/>
        </w:rPr>
        <w:t>unbelievable.</w:t>
      </w:r>
      <w:r w:rsidR="00C101B8">
        <w:rPr>
          <w:rFonts w:ascii="Times New Roman" w:hAnsi="Times New Roman" w:cs="Times New Roman"/>
          <w:sz w:val="24"/>
          <w:szCs w:val="24"/>
          <w:vertAlign w:val="baseline"/>
        </w:rPr>
        <w:t xml:space="preserve"> What is more unbelievable, if that is at all possible, is the fact that very little is being done to combat witchcraft beliefs, accusations and persecutions.</w:t>
      </w:r>
    </w:p>
    <w:p w14:paraId="4B8C10AA" w14:textId="77777777" w:rsidR="00BD2D54" w:rsidRDefault="00BD2D54" w:rsidP="00ED402F">
      <w:pPr>
        <w:spacing w:line="480" w:lineRule="auto"/>
        <w:ind w:firstLine="720"/>
        <w:jc w:val="both"/>
        <w:rPr>
          <w:rFonts w:ascii="Times New Roman" w:hAnsi="Times New Roman" w:cs="Times New Roman"/>
          <w:sz w:val="24"/>
          <w:szCs w:val="24"/>
          <w:vertAlign w:val="baseline"/>
        </w:rPr>
      </w:pPr>
    </w:p>
    <w:p w14:paraId="153F7BA3" w14:textId="039528D0" w:rsidR="00BD2D54" w:rsidRPr="00BD2D54" w:rsidRDefault="00BD2D54" w:rsidP="00BD2D54">
      <w:pPr>
        <w:spacing w:line="480" w:lineRule="auto"/>
        <w:jc w:val="both"/>
        <w:rPr>
          <w:rFonts w:ascii="Times New Roman" w:hAnsi="Times New Roman" w:cs="Times New Roman"/>
          <w:b/>
          <w:sz w:val="24"/>
          <w:szCs w:val="24"/>
          <w:u w:val="single"/>
          <w:vertAlign w:val="baseline"/>
        </w:rPr>
      </w:pPr>
      <w:r w:rsidRPr="00BD2D54">
        <w:rPr>
          <w:rFonts w:ascii="Times New Roman" w:hAnsi="Times New Roman" w:cs="Times New Roman"/>
          <w:b/>
          <w:sz w:val="24"/>
          <w:szCs w:val="24"/>
          <w:u w:val="single"/>
          <w:vertAlign w:val="baseline"/>
        </w:rPr>
        <w:t>Witchcraft and International Human Rights</w:t>
      </w:r>
      <w:r>
        <w:rPr>
          <w:rFonts w:ascii="Times New Roman" w:hAnsi="Times New Roman" w:cs="Times New Roman"/>
          <w:b/>
          <w:sz w:val="24"/>
          <w:szCs w:val="24"/>
          <w:u w:val="single"/>
          <w:vertAlign w:val="baseline"/>
        </w:rPr>
        <w:t xml:space="preserve"> Law</w:t>
      </w:r>
    </w:p>
    <w:p w14:paraId="47F23215" w14:textId="26302A9D" w:rsidR="00D402F3" w:rsidRDefault="004C4E25" w:rsidP="00FF2714">
      <w:pPr>
        <w:spacing w:line="480" w:lineRule="auto"/>
        <w:ind w:firstLine="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On examination of all four states, India, PNG, Ghana and Nepal, high levels of </w:t>
      </w:r>
      <w:r w:rsidR="006B2875">
        <w:rPr>
          <w:rFonts w:ascii="Times New Roman" w:hAnsi="Times New Roman" w:cs="Times New Roman"/>
          <w:sz w:val="24"/>
          <w:szCs w:val="24"/>
          <w:vertAlign w:val="baseline"/>
        </w:rPr>
        <w:t xml:space="preserve">gender inequality and </w:t>
      </w:r>
      <w:r>
        <w:rPr>
          <w:rFonts w:ascii="Times New Roman" w:hAnsi="Times New Roman" w:cs="Times New Roman"/>
          <w:sz w:val="24"/>
          <w:szCs w:val="24"/>
          <w:vertAlign w:val="baseline"/>
        </w:rPr>
        <w:t>WAP related violence are evident.</w:t>
      </w:r>
      <w:r w:rsidR="00825A14">
        <w:rPr>
          <w:rFonts w:ascii="Times New Roman" w:hAnsi="Times New Roman" w:cs="Times New Roman"/>
          <w:sz w:val="24"/>
          <w:szCs w:val="24"/>
          <w:vertAlign w:val="baseline"/>
        </w:rPr>
        <w:t xml:space="preserve"> </w:t>
      </w:r>
      <w:r w:rsidR="00482EDD">
        <w:rPr>
          <w:rFonts w:ascii="Times New Roman" w:hAnsi="Times New Roman" w:cs="Times New Roman"/>
          <w:sz w:val="24"/>
          <w:szCs w:val="24"/>
          <w:vertAlign w:val="baseline"/>
        </w:rPr>
        <w:t>Moreover</w:t>
      </w:r>
      <w:r w:rsidR="00FA1A66">
        <w:rPr>
          <w:rFonts w:ascii="Times New Roman" w:hAnsi="Times New Roman" w:cs="Times New Roman"/>
          <w:sz w:val="24"/>
          <w:szCs w:val="24"/>
          <w:vertAlign w:val="baseline"/>
        </w:rPr>
        <w:t>, it is evident that witchcraft permeates all levels of society, violating the human rights of women on every level.</w:t>
      </w:r>
      <w:r w:rsidR="00FA1A66" w:rsidRPr="004C4E25">
        <w:rPr>
          <w:rFonts w:ascii="Times New Roman" w:hAnsi="Times New Roman" w:cs="Times New Roman"/>
          <w:sz w:val="24"/>
          <w:szCs w:val="24"/>
          <w:vertAlign w:val="baseline"/>
        </w:rPr>
        <w:t xml:space="preserve"> </w:t>
      </w:r>
      <w:r w:rsidR="00825A14">
        <w:rPr>
          <w:rFonts w:ascii="Times New Roman" w:hAnsi="Times New Roman" w:cs="Times New Roman"/>
          <w:sz w:val="24"/>
          <w:szCs w:val="24"/>
          <w:vertAlign w:val="baseline"/>
        </w:rPr>
        <w:t>Yet, whilst instances of WAP related violence become more prevalent, there remains an uneasy silence within the international community</w:t>
      </w:r>
      <w:r w:rsidR="00721DCA">
        <w:rPr>
          <w:rFonts w:ascii="Times New Roman" w:hAnsi="Times New Roman" w:cs="Times New Roman"/>
          <w:sz w:val="24"/>
          <w:szCs w:val="24"/>
          <w:vertAlign w:val="baseline"/>
        </w:rPr>
        <w:t xml:space="preserve"> and a lack of acknowledgment by states, as to the scale of the issue.</w:t>
      </w:r>
      <w:r w:rsidR="0085753B">
        <w:rPr>
          <w:rFonts w:ascii="Times New Roman" w:hAnsi="Times New Roman" w:cs="Times New Roman"/>
          <w:sz w:val="24"/>
          <w:szCs w:val="24"/>
          <w:vertAlign w:val="baseline"/>
        </w:rPr>
        <w:t xml:space="preserve"> </w:t>
      </w:r>
      <w:r w:rsidR="000F2CDB">
        <w:rPr>
          <w:rFonts w:ascii="Times New Roman" w:hAnsi="Times New Roman" w:cs="Times New Roman"/>
          <w:sz w:val="24"/>
          <w:szCs w:val="24"/>
          <w:vertAlign w:val="baseline"/>
        </w:rPr>
        <w:t xml:space="preserve">Why is this the case? </w:t>
      </w:r>
      <w:r w:rsidR="00183A10">
        <w:rPr>
          <w:rFonts w:ascii="Times New Roman" w:hAnsi="Times New Roman" w:cs="Times New Roman"/>
          <w:sz w:val="24"/>
          <w:szCs w:val="24"/>
          <w:vertAlign w:val="baseline"/>
        </w:rPr>
        <w:t>Denial simply exacerbates the issue.</w:t>
      </w:r>
      <w:r w:rsidR="0089391A">
        <w:rPr>
          <w:rFonts w:ascii="Times New Roman" w:hAnsi="Times New Roman" w:cs="Times New Roman"/>
          <w:sz w:val="24"/>
          <w:szCs w:val="24"/>
          <w:vertAlign w:val="baseline"/>
        </w:rPr>
        <w:t xml:space="preserve"> </w:t>
      </w:r>
      <w:r>
        <w:rPr>
          <w:rFonts w:ascii="Times New Roman" w:hAnsi="Times New Roman" w:cs="Times New Roman"/>
          <w:sz w:val="24"/>
          <w:szCs w:val="24"/>
          <w:vertAlign w:val="baseline"/>
        </w:rPr>
        <w:t xml:space="preserve">The problem lies within </w:t>
      </w:r>
      <w:r w:rsidR="0009660F">
        <w:rPr>
          <w:rFonts w:ascii="Times New Roman" w:hAnsi="Times New Roman" w:cs="Times New Roman"/>
          <w:sz w:val="24"/>
          <w:szCs w:val="24"/>
          <w:vertAlign w:val="baseline"/>
        </w:rPr>
        <w:t xml:space="preserve">the very nature of WAP. Witchcraft is a cultural and a religious belief. </w:t>
      </w:r>
      <w:r w:rsidR="004C496A">
        <w:rPr>
          <w:rFonts w:ascii="Times New Roman" w:hAnsi="Times New Roman" w:cs="Times New Roman"/>
          <w:sz w:val="24"/>
          <w:szCs w:val="24"/>
          <w:vertAlign w:val="baseline"/>
        </w:rPr>
        <w:t xml:space="preserve">Moreover, it is a belief system that fundamentally focuses on the discrimination of women within the private sphere. </w:t>
      </w:r>
      <w:r w:rsidR="00AD434D">
        <w:rPr>
          <w:rFonts w:ascii="Times New Roman" w:hAnsi="Times New Roman" w:cs="Times New Roman"/>
          <w:sz w:val="24"/>
          <w:szCs w:val="24"/>
          <w:vertAlign w:val="baseline"/>
        </w:rPr>
        <w:t>Whilst it is the legal responsibility of states, under international human rights law, to modify traditional and cultural practices, in order to conform to human rights norms, the reality is that this ‘legal responsibility’ is visibly being ignored.</w:t>
      </w:r>
      <w:r w:rsidR="004A06E7">
        <w:rPr>
          <w:rFonts w:ascii="Times New Roman" w:hAnsi="Times New Roman" w:cs="Times New Roman"/>
          <w:sz w:val="24"/>
          <w:szCs w:val="24"/>
          <w:vertAlign w:val="baseline"/>
        </w:rPr>
        <w:t xml:space="preserve"> So what, you may ask is being done, by the international community, to rectify this ignorance</w:t>
      </w:r>
      <w:r w:rsidR="00D04A59">
        <w:rPr>
          <w:rFonts w:ascii="Times New Roman" w:hAnsi="Times New Roman" w:cs="Times New Roman"/>
          <w:sz w:val="24"/>
          <w:szCs w:val="24"/>
          <w:vertAlign w:val="baseline"/>
        </w:rPr>
        <w:t xml:space="preserve">? The </w:t>
      </w:r>
      <w:r w:rsidR="00E647E6">
        <w:rPr>
          <w:rFonts w:ascii="Times New Roman" w:hAnsi="Times New Roman" w:cs="Times New Roman"/>
          <w:sz w:val="24"/>
          <w:szCs w:val="24"/>
          <w:vertAlign w:val="baseline"/>
        </w:rPr>
        <w:t>answer</w:t>
      </w:r>
      <w:r w:rsidR="00D178C6">
        <w:rPr>
          <w:rFonts w:ascii="Times New Roman" w:hAnsi="Times New Roman" w:cs="Times New Roman"/>
          <w:sz w:val="24"/>
          <w:szCs w:val="24"/>
          <w:vertAlign w:val="baseline"/>
        </w:rPr>
        <w:t>?</w:t>
      </w:r>
      <w:r w:rsidR="004062BD">
        <w:rPr>
          <w:rFonts w:ascii="Times New Roman" w:hAnsi="Times New Roman" w:cs="Times New Roman"/>
          <w:sz w:val="24"/>
          <w:szCs w:val="24"/>
          <w:vertAlign w:val="baseline"/>
        </w:rPr>
        <w:t xml:space="preserve"> </w:t>
      </w:r>
      <w:r w:rsidR="00D178C6">
        <w:rPr>
          <w:rFonts w:ascii="Times New Roman" w:hAnsi="Times New Roman" w:cs="Times New Roman"/>
          <w:sz w:val="24"/>
          <w:szCs w:val="24"/>
          <w:vertAlign w:val="baseline"/>
        </w:rPr>
        <w:t>N</w:t>
      </w:r>
      <w:r w:rsidR="00465564">
        <w:rPr>
          <w:rFonts w:ascii="Times New Roman" w:hAnsi="Times New Roman" w:cs="Times New Roman"/>
          <w:sz w:val="24"/>
          <w:szCs w:val="24"/>
          <w:vertAlign w:val="baseline"/>
        </w:rPr>
        <w:t>ot enough</w:t>
      </w:r>
      <w:r w:rsidR="004A06E7">
        <w:rPr>
          <w:rFonts w:ascii="Times New Roman" w:hAnsi="Times New Roman" w:cs="Times New Roman"/>
          <w:sz w:val="24"/>
          <w:szCs w:val="24"/>
          <w:vertAlign w:val="baseline"/>
        </w:rPr>
        <w:t>.</w:t>
      </w:r>
      <w:r w:rsidR="004062BD">
        <w:rPr>
          <w:rFonts w:ascii="Times New Roman" w:hAnsi="Times New Roman" w:cs="Times New Roman"/>
          <w:sz w:val="24"/>
          <w:szCs w:val="24"/>
          <w:vertAlign w:val="baseline"/>
        </w:rPr>
        <w:t xml:space="preserve"> </w:t>
      </w:r>
    </w:p>
    <w:p w14:paraId="6740D044" w14:textId="77777777" w:rsidR="00D402F3" w:rsidRDefault="00D402F3" w:rsidP="006A62F3">
      <w:pPr>
        <w:spacing w:line="480" w:lineRule="auto"/>
        <w:jc w:val="both"/>
        <w:rPr>
          <w:rFonts w:ascii="Times New Roman" w:hAnsi="Times New Roman" w:cs="Times New Roman"/>
          <w:sz w:val="24"/>
          <w:szCs w:val="24"/>
          <w:vertAlign w:val="baseline"/>
        </w:rPr>
      </w:pPr>
    </w:p>
    <w:p w14:paraId="3EC15019" w14:textId="36583E37" w:rsidR="00E606E1" w:rsidRDefault="009406A8" w:rsidP="009E0B4B">
      <w:pPr>
        <w:spacing w:line="480" w:lineRule="auto"/>
        <w:ind w:firstLine="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Witchcraft is positioned within two </w:t>
      </w:r>
      <w:r w:rsidR="004C1E1A">
        <w:rPr>
          <w:rFonts w:ascii="Times New Roman" w:hAnsi="Times New Roman" w:cs="Times New Roman"/>
          <w:sz w:val="24"/>
          <w:szCs w:val="24"/>
          <w:vertAlign w:val="baseline"/>
        </w:rPr>
        <w:t xml:space="preserve">major </w:t>
      </w:r>
      <w:r>
        <w:rPr>
          <w:rFonts w:ascii="Times New Roman" w:hAnsi="Times New Roman" w:cs="Times New Roman"/>
          <w:sz w:val="24"/>
          <w:szCs w:val="24"/>
          <w:vertAlign w:val="baseline"/>
        </w:rPr>
        <w:t xml:space="preserve">dichotomies of international human rights law; the public/private divide and the </w:t>
      </w:r>
      <w:r w:rsidR="008D1FC3">
        <w:rPr>
          <w:rFonts w:ascii="Times New Roman" w:hAnsi="Times New Roman" w:cs="Times New Roman"/>
          <w:sz w:val="24"/>
          <w:szCs w:val="24"/>
          <w:vertAlign w:val="baseline"/>
        </w:rPr>
        <w:t>debate between universalism and cultural relativism</w:t>
      </w:r>
      <w:r w:rsidR="00D402F3">
        <w:rPr>
          <w:rFonts w:ascii="Times New Roman" w:hAnsi="Times New Roman" w:cs="Times New Roman"/>
          <w:sz w:val="24"/>
          <w:szCs w:val="24"/>
          <w:vertAlign w:val="baseline"/>
        </w:rPr>
        <w:t>.</w:t>
      </w:r>
      <w:r w:rsidR="00E606E1" w:rsidRPr="00E606E1">
        <w:rPr>
          <w:rFonts w:ascii="Times New Roman" w:hAnsi="Times New Roman" w:cs="Times New Roman"/>
          <w:sz w:val="24"/>
          <w:szCs w:val="24"/>
          <w:vertAlign w:val="baseline"/>
        </w:rPr>
        <w:t xml:space="preserve"> </w:t>
      </w:r>
      <w:r w:rsidR="00E606E1">
        <w:rPr>
          <w:rFonts w:ascii="Times New Roman" w:hAnsi="Times New Roman" w:cs="Times New Roman"/>
          <w:sz w:val="24"/>
          <w:szCs w:val="24"/>
          <w:vertAlign w:val="baseline"/>
        </w:rPr>
        <w:t>The focus of international human rights law on the public sphere has long been criticised, as has the femi</w:t>
      </w:r>
      <w:r w:rsidR="006568DF">
        <w:rPr>
          <w:rFonts w:ascii="Times New Roman" w:hAnsi="Times New Roman" w:cs="Times New Roman"/>
          <w:sz w:val="24"/>
          <w:szCs w:val="24"/>
          <w:vertAlign w:val="baseline"/>
        </w:rPr>
        <w:t>nine exclusion of human rights and the masculine social construction of gender.</w:t>
      </w:r>
      <w:r w:rsidR="00C86ED3">
        <w:rPr>
          <w:rStyle w:val="FootnoteReference"/>
          <w:rFonts w:ascii="Times New Roman" w:hAnsi="Times New Roman" w:cs="Times New Roman"/>
          <w:sz w:val="24"/>
          <w:szCs w:val="24"/>
        </w:rPr>
        <w:footnoteReference w:id="1310"/>
      </w:r>
      <w:r w:rsidR="006568DF">
        <w:rPr>
          <w:rFonts w:ascii="Times New Roman" w:hAnsi="Times New Roman" w:cs="Times New Roman"/>
          <w:sz w:val="24"/>
          <w:szCs w:val="24"/>
          <w:vertAlign w:val="baseline"/>
        </w:rPr>
        <w:t xml:space="preserve"> </w:t>
      </w:r>
      <w:r w:rsidR="00E606E1">
        <w:rPr>
          <w:rFonts w:ascii="Times New Roman" w:hAnsi="Times New Roman" w:cs="Times New Roman"/>
          <w:sz w:val="24"/>
          <w:szCs w:val="24"/>
          <w:vertAlign w:val="baseline"/>
        </w:rPr>
        <w:t>The socially constructed concept of gender within international human rights pertains to the social and psychological characteristics connected with being male or female; essentially</w:t>
      </w:r>
      <w:r w:rsidR="000C245D">
        <w:rPr>
          <w:rFonts w:ascii="Times New Roman" w:hAnsi="Times New Roman" w:cs="Times New Roman"/>
          <w:sz w:val="24"/>
          <w:szCs w:val="24"/>
          <w:vertAlign w:val="baseline"/>
        </w:rPr>
        <w:t>,</w:t>
      </w:r>
      <w:r w:rsidR="00E606E1">
        <w:rPr>
          <w:rFonts w:ascii="Times New Roman" w:hAnsi="Times New Roman" w:cs="Times New Roman"/>
          <w:sz w:val="24"/>
          <w:szCs w:val="24"/>
          <w:vertAlign w:val="baseline"/>
        </w:rPr>
        <w:t xml:space="preserve"> how they ought to be </w:t>
      </w:r>
      <w:r w:rsidR="00F01785">
        <w:rPr>
          <w:rFonts w:ascii="Times New Roman" w:hAnsi="Times New Roman" w:cs="Times New Roman"/>
          <w:sz w:val="24"/>
          <w:szCs w:val="24"/>
          <w:vertAlign w:val="baseline"/>
        </w:rPr>
        <w:t>perceived within society. W</w:t>
      </w:r>
      <w:r w:rsidR="00436D8E">
        <w:rPr>
          <w:rFonts w:ascii="Times New Roman" w:hAnsi="Times New Roman" w:cs="Times New Roman"/>
          <w:sz w:val="24"/>
          <w:szCs w:val="24"/>
          <w:vertAlign w:val="baseline"/>
        </w:rPr>
        <w:t xml:space="preserve">hilst men are deemed to be rational and aggressive, </w:t>
      </w:r>
      <w:r w:rsidR="00F01785">
        <w:rPr>
          <w:rFonts w:ascii="Times New Roman" w:hAnsi="Times New Roman" w:cs="Times New Roman"/>
          <w:sz w:val="24"/>
          <w:szCs w:val="24"/>
          <w:vertAlign w:val="baseline"/>
        </w:rPr>
        <w:t xml:space="preserve">such </w:t>
      </w:r>
      <w:r w:rsidR="00E606E1">
        <w:rPr>
          <w:rFonts w:ascii="Times New Roman" w:hAnsi="Times New Roman" w:cs="Times New Roman"/>
          <w:sz w:val="24"/>
          <w:szCs w:val="24"/>
          <w:vertAlign w:val="baseline"/>
        </w:rPr>
        <w:t xml:space="preserve">gendered interpretations overemphasise </w:t>
      </w:r>
      <w:r w:rsidR="00436D8E">
        <w:rPr>
          <w:rFonts w:ascii="Times New Roman" w:hAnsi="Times New Roman" w:cs="Times New Roman"/>
          <w:sz w:val="24"/>
          <w:szCs w:val="24"/>
          <w:vertAlign w:val="baseline"/>
        </w:rPr>
        <w:t xml:space="preserve">women as emotional, vulnerable and </w:t>
      </w:r>
      <w:r w:rsidR="00436D8E" w:rsidRPr="00436D8E">
        <w:rPr>
          <w:rFonts w:ascii="Times New Roman" w:hAnsi="Times New Roman" w:cs="Times New Roman"/>
          <w:sz w:val="24"/>
          <w:szCs w:val="24"/>
          <w:vertAlign w:val="baseline"/>
        </w:rPr>
        <w:t>accommodating</w:t>
      </w:r>
      <w:r w:rsidR="00436D8E">
        <w:rPr>
          <w:rFonts w:ascii="Times New Roman" w:hAnsi="Times New Roman" w:cs="Times New Roman"/>
          <w:sz w:val="24"/>
          <w:szCs w:val="24"/>
          <w:vertAlign w:val="baseline"/>
        </w:rPr>
        <w:t xml:space="preserve">. </w:t>
      </w:r>
      <w:r w:rsidR="00B44989">
        <w:rPr>
          <w:rFonts w:ascii="Times New Roman" w:hAnsi="Times New Roman" w:cs="Times New Roman"/>
          <w:sz w:val="24"/>
          <w:szCs w:val="24"/>
          <w:vertAlign w:val="baseline"/>
        </w:rPr>
        <w:t>Hence, as seen within the witchcraft discourse, women are once again relegated to</w:t>
      </w:r>
      <w:r w:rsidR="00FE753D">
        <w:rPr>
          <w:rFonts w:ascii="Times New Roman" w:hAnsi="Times New Roman" w:cs="Times New Roman"/>
          <w:sz w:val="24"/>
          <w:szCs w:val="24"/>
          <w:vertAlign w:val="baseline"/>
        </w:rPr>
        <w:t xml:space="preserve"> be</w:t>
      </w:r>
      <w:r w:rsidR="00B44989">
        <w:rPr>
          <w:rFonts w:ascii="Times New Roman" w:hAnsi="Times New Roman" w:cs="Times New Roman"/>
          <w:sz w:val="24"/>
          <w:szCs w:val="24"/>
          <w:vertAlign w:val="baseline"/>
        </w:rPr>
        <w:t xml:space="preserve"> weaker, more impressionable</w:t>
      </w:r>
      <w:r w:rsidR="00F01785">
        <w:rPr>
          <w:rFonts w:ascii="Times New Roman" w:hAnsi="Times New Roman" w:cs="Times New Roman"/>
          <w:sz w:val="24"/>
          <w:szCs w:val="24"/>
          <w:vertAlign w:val="baseline"/>
        </w:rPr>
        <w:t>,</w:t>
      </w:r>
      <w:r w:rsidR="00B44989">
        <w:rPr>
          <w:rFonts w:ascii="Times New Roman" w:hAnsi="Times New Roman" w:cs="Times New Roman"/>
          <w:sz w:val="24"/>
          <w:szCs w:val="24"/>
          <w:vertAlign w:val="baseline"/>
        </w:rPr>
        <w:t xml:space="preserve"> and</w:t>
      </w:r>
      <w:r w:rsidR="00F01785">
        <w:rPr>
          <w:rFonts w:ascii="Times New Roman" w:hAnsi="Times New Roman" w:cs="Times New Roman"/>
          <w:sz w:val="24"/>
          <w:szCs w:val="24"/>
          <w:vertAlign w:val="baseline"/>
        </w:rPr>
        <w:t>, fundamentally, the ‘other.’</w:t>
      </w:r>
      <w:r w:rsidR="00B44989">
        <w:rPr>
          <w:rFonts w:ascii="Times New Roman" w:hAnsi="Times New Roman" w:cs="Times New Roman"/>
          <w:sz w:val="24"/>
          <w:szCs w:val="24"/>
          <w:vertAlign w:val="baseline"/>
        </w:rPr>
        <w:t xml:space="preserve"> </w:t>
      </w:r>
      <w:r w:rsidR="009C3687">
        <w:rPr>
          <w:rFonts w:ascii="Times New Roman" w:hAnsi="Times New Roman" w:cs="Times New Roman"/>
          <w:sz w:val="24"/>
          <w:szCs w:val="24"/>
          <w:vertAlign w:val="baseline"/>
        </w:rPr>
        <w:t xml:space="preserve">This focus </w:t>
      </w:r>
      <w:r w:rsidR="000734AF">
        <w:rPr>
          <w:rFonts w:ascii="Times New Roman" w:hAnsi="Times New Roman" w:cs="Times New Roman"/>
          <w:sz w:val="24"/>
          <w:szCs w:val="24"/>
          <w:vertAlign w:val="baseline"/>
        </w:rPr>
        <w:t>on</w:t>
      </w:r>
      <w:r w:rsidR="009C3687">
        <w:rPr>
          <w:rFonts w:ascii="Times New Roman" w:hAnsi="Times New Roman" w:cs="Times New Roman"/>
          <w:sz w:val="24"/>
          <w:szCs w:val="24"/>
          <w:vertAlign w:val="baseline"/>
        </w:rPr>
        <w:t xml:space="preserve"> socially gendered constructions permeates throughout the international human rights</w:t>
      </w:r>
      <w:r w:rsidR="00B463FA">
        <w:rPr>
          <w:rFonts w:ascii="Times New Roman" w:hAnsi="Times New Roman" w:cs="Times New Roman"/>
          <w:sz w:val="24"/>
          <w:szCs w:val="24"/>
          <w:vertAlign w:val="baseline"/>
        </w:rPr>
        <w:t xml:space="preserve"> system, as does the need to place women on an equal footing with men in the public sphere. </w:t>
      </w:r>
      <w:r w:rsidR="009C3687">
        <w:rPr>
          <w:rFonts w:ascii="Times New Roman" w:hAnsi="Times New Roman" w:cs="Times New Roman"/>
          <w:sz w:val="24"/>
          <w:szCs w:val="24"/>
          <w:vertAlign w:val="baseline"/>
        </w:rPr>
        <w:t xml:space="preserve"> </w:t>
      </w:r>
      <w:r w:rsidR="00EF7C07">
        <w:rPr>
          <w:rFonts w:ascii="Times New Roman" w:hAnsi="Times New Roman" w:cs="Times New Roman"/>
          <w:sz w:val="24"/>
          <w:szCs w:val="24"/>
          <w:vertAlign w:val="baseline"/>
        </w:rPr>
        <w:t xml:space="preserve">However, what international human rights </w:t>
      </w:r>
      <w:r w:rsidR="00BA4491">
        <w:rPr>
          <w:rFonts w:ascii="Times New Roman" w:hAnsi="Times New Roman" w:cs="Times New Roman"/>
          <w:sz w:val="24"/>
          <w:szCs w:val="24"/>
          <w:vertAlign w:val="baseline"/>
        </w:rPr>
        <w:t>have</w:t>
      </w:r>
      <w:r w:rsidR="00EF7C07">
        <w:rPr>
          <w:rFonts w:ascii="Times New Roman" w:hAnsi="Times New Roman" w:cs="Times New Roman"/>
          <w:sz w:val="24"/>
          <w:szCs w:val="24"/>
          <w:vertAlign w:val="baseline"/>
        </w:rPr>
        <w:t xml:space="preserve"> failed to recognise is that such patriarchal social constructions of women </w:t>
      </w:r>
      <w:r w:rsidR="007521EE">
        <w:rPr>
          <w:rFonts w:ascii="Times New Roman" w:hAnsi="Times New Roman" w:cs="Times New Roman"/>
          <w:sz w:val="24"/>
          <w:szCs w:val="24"/>
          <w:vertAlign w:val="baseline"/>
        </w:rPr>
        <w:t xml:space="preserve">make this </w:t>
      </w:r>
      <w:r w:rsidR="00BA4491">
        <w:rPr>
          <w:rFonts w:ascii="Times New Roman" w:hAnsi="Times New Roman" w:cs="Times New Roman"/>
          <w:sz w:val="24"/>
          <w:szCs w:val="24"/>
          <w:vertAlign w:val="baseline"/>
        </w:rPr>
        <w:t>‘</w:t>
      </w:r>
      <w:r w:rsidR="007521EE">
        <w:rPr>
          <w:rFonts w:ascii="Times New Roman" w:hAnsi="Times New Roman" w:cs="Times New Roman"/>
          <w:sz w:val="24"/>
          <w:szCs w:val="24"/>
          <w:vertAlign w:val="baseline"/>
        </w:rPr>
        <w:t>vision of equality</w:t>
      </w:r>
      <w:r w:rsidR="00BA4491">
        <w:rPr>
          <w:rFonts w:ascii="Times New Roman" w:hAnsi="Times New Roman" w:cs="Times New Roman"/>
          <w:sz w:val="24"/>
          <w:szCs w:val="24"/>
          <w:vertAlign w:val="baseline"/>
        </w:rPr>
        <w:t>’</w:t>
      </w:r>
      <w:r w:rsidR="007521EE">
        <w:rPr>
          <w:rFonts w:ascii="Times New Roman" w:hAnsi="Times New Roman" w:cs="Times New Roman"/>
          <w:sz w:val="24"/>
          <w:szCs w:val="24"/>
          <w:vertAlign w:val="baseline"/>
        </w:rPr>
        <w:t xml:space="preserve"> impossible.</w:t>
      </w:r>
      <w:r w:rsidR="00BA4491">
        <w:rPr>
          <w:rFonts w:ascii="Times New Roman" w:hAnsi="Times New Roman" w:cs="Times New Roman"/>
          <w:sz w:val="24"/>
          <w:szCs w:val="24"/>
          <w:vertAlign w:val="baseline"/>
        </w:rPr>
        <w:t xml:space="preserve"> Moreover, the continued focus on </w:t>
      </w:r>
      <w:r w:rsidR="00567108">
        <w:rPr>
          <w:rFonts w:ascii="Times New Roman" w:hAnsi="Times New Roman" w:cs="Times New Roman"/>
          <w:sz w:val="24"/>
          <w:szCs w:val="24"/>
          <w:vertAlign w:val="baseline"/>
        </w:rPr>
        <w:t xml:space="preserve">the public sphere, allows patriarchal systems of </w:t>
      </w:r>
      <w:r w:rsidR="000734AF">
        <w:rPr>
          <w:rFonts w:ascii="Times New Roman" w:hAnsi="Times New Roman" w:cs="Times New Roman"/>
          <w:sz w:val="24"/>
          <w:szCs w:val="24"/>
          <w:vertAlign w:val="baseline"/>
        </w:rPr>
        <w:t xml:space="preserve">culture </w:t>
      </w:r>
      <w:r w:rsidR="00567108">
        <w:rPr>
          <w:rFonts w:ascii="Times New Roman" w:hAnsi="Times New Roman" w:cs="Times New Roman"/>
          <w:sz w:val="24"/>
          <w:szCs w:val="24"/>
          <w:vertAlign w:val="baseline"/>
        </w:rPr>
        <w:t xml:space="preserve">and religion </w:t>
      </w:r>
      <w:r w:rsidR="000734AF">
        <w:rPr>
          <w:rFonts w:ascii="Times New Roman" w:hAnsi="Times New Roman" w:cs="Times New Roman"/>
          <w:sz w:val="24"/>
          <w:szCs w:val="24"/>
          <w:vertAlign w:val="baseline"/>
        </w:rPr>
        <w:t xml:space="preserve">to </w:t>
      </w:r>
      <w:r w:rsidR="001B6769">
        <w:rPr>
          <w:rFonts w:ascii="Times New Roman" w:hAnsi="Times New Roman" w:cs="Times New Roman"/>
          <w:sz w:val="24"/>
          <w:szCs w:val="24"/>
          <w:vertAlign w:val="baseline"/>
        </w:rPr>
        <w:t>intervene</w:t>
      </w:r>
      <w:r w:rsidR="000734AF">
        <w:rPr>
          <w:rFonts w:ascii="Times New Roman" w:hAnsi="Times New Roman" w:cs="Times New Roman"/>
          <w:sz w:val="24"/>
          <w:szCs w:val="24"/>
          <w:vertAlign w:val="baseline"/>
        </w:rPr>
        <w:t xml:space="preserve"> and </w:t>
      </w:r>
      <w:r w:rsidR="001B6769">
        <w:rPr>
          <w:rFonts w:ascii="Times New Roman" w:hAnsi="Times New Roman" w:cs="Times New Roman"/>
          <w:sz w:val="24"/>
          <w:szCs w:val="24"/>
          <w:vertAlign w:val="baseline"/>
        </w:rPr>
        <w:t xml:space="preserve">take </w:t>
      </w:r>
      <w:r w:rsidR="003C029B">
        <w:rPr>
          <w:rFonts w:ascii="Times New Roman" w:hAnsi="Times New Roman" w:cs="Times New Roman"/>
          <w:sz w:val="24"/>
          <w:szCs w:val="24"/>
          <w:vertAlign w:val="baseline"/>
        </w:rPr>
        <w:t>control the private sphere, and, in turn, take control of women.</w:t>
      </w:r>
      <w:r w:rsidR="00567108">
        <w:rPr>
          <w:rFonts w:ascii="Times New Roman" w:hAnsi="Times New Roman" w:cs="Times New Roman"/>
          <w:sz w:val="24"/>
          <w:szCs w:val="24"/>
          <w:vertAlign w:val="baseline"/>
        </w:rPr>
        <w:t xml:space="preserve"> Women are bearers of their culture. Her rights are assigned to her dependent on her religion, ethnicity, class or caste.</w:t>
      </w:r>
      <w:r w:rsidR="000204AE">
        <w:rPr>
          <w:rStyle w:val="FootnoteReference"/>
          <w:rFonts w:ascii="Times New Roman" w:hAnsi="Times New Roman" w:cs="Times New Roman"/>
          <w:sz w:val="24"/>
          <w:szCs w:val="24"/>
        </w:rPr>
        <w:footnoteReference w:id="1311"/>
      </w:r>
      <w:r w:rsidR="00567108">
        <w:rPr>
          <w:rFonts w:ascii="Times New Roman" w:hAnsi="Times New Roman" w:cs="Times New Roman"/>
          <w:sz w:val="24"/>
          <w:szCs w:val="24"/>
          <w:vertAlign w:val="baseline"/>
        </w:rPr>
        <w:t xml:space="preserve"> </w:t>
      </w:r>
      <w:r w:rsidR="00484DE1">
        <w:rPr>
          <w:rFonts w:ascii="Times New Roman" w:hAnsi="Times New Roman" w:cs="Times New Roman"/>
          <w:sz w:val="24"/>
          <w:szCs w:val="24"/>
          <w:vertAlign w:val="baseline"/>
        </w:rPr>
        <w:t xml:space="preserve">Thus, how is it possible for women to be equally </w:t>
      </w:r>
      <w:r w:rsidR="00567108">
        <w:rPr>
          <w:rFonts w:ascii="Times New Roman" w:hAnsi="Times New Roman" w:cs="Times New Roman"/>
          <w:sz w:val="24"/>
          <w:szCs w:val="24"/>
          <w:vertAlign w:val="baseline"/>
        </w:rPr>
        <w:t xml:space="preserve">legally, when they are not equally socially? </w:t>
      </w:r>
      <w:r w:rsidR="002F2F5C">
        <w:rPr>
          <w:rFonts w:ascii="Times New Roman" w:hAnsi="Times New Roman" w:cs="Times New Roman"/>
          <w:sz w:val="24"/>
          <w:szCs w:val="24"/>
          <w:vertAlign w:val="baseline"/>
        </w:rPr>
        <w:t xml:space="preserve">In short, it isn’t. </w:t>
      </w:r>
    </w:p>
    <w:p w14:paraId="7A320E5B" w14:textId="77777777" w:rsidR="006E6DB1" w:rsidRDefault="006E6DB1" w:rsidP="009E0B4B">
      <w:pPr>
        <w:spacing w:line="480" w:lineRule="auto"/>
        <w:ind w:firstLine="720"/>
        <w:jc w:val="both"/>
        <w:rPr>
          <w:rFonts w:ascii="Times New Roman" w:hAnsi="Times New Roman" w:cs="Times New Roman"/>
          <w:sz w:val="24"/>
          <w:szCs w:val="24"/>
          <w:vertAlign w:val="baseline"/>
        </w:rPr>
      </w:pPr>
    </w:p>
    <w:p w14:paraId="1F0D0D69" w14:textId="3A35C0B6" w:rsidR="008D062D" w:rsidRDefault="009C1190" w:rsidP="00A9544C">
      <w:pPr>
        <w:spacing w:line="480" w:lineRule="auto"/>
        <w:ind w:firstLine="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This focus by the international community on the public sphere and su</w:t>
      </w:r>
      <w:r w:rsidR="00975ABD">
        <w:rPr>
          <w:rFonts w:ascii="Times New Roman" w:hAnsi="Times New Roman" w:cs="Times New Roman"/>
          <w:sz w:val="24"/>
          <w:szCs w:val="24"/>
          <w:vertAlign w:val="baseline"/>
        </w:rPr>
        <w:t>bsequent absence of attention to</w:t>
      </w:r>
      <w:r>
        <w:rPr>
          <w:rFonts w:ascii="Times New Roman" w:hAnsi="Times New Roman" w:cs="Times New Roman"/>
          <w:sz w:val="24"/>
          <w:szCs w:val="24"/>
          <w:vertAlign w:val="baseline"/>
        </w:rPr>
        <w:t xml:space="preserve"> matters in the private sphere, governing the family and society, has allowed the private sphere to be controlled by plural legal systems, consisting of religious and local customary laws. </w:t>
      </w:r>
      <w:r w:rsidR="00AF6AED">
        <w:rPr>
          <w:rFonts w:ascii="Times New Roman" w:hAnsi="Times New Roman" w:cs="Times New Roman"/>
          <w:sz w:val="24"/>
          <w:szCs w:val="24"/>
          <w:vertAlign w:val="baseline"/>
        </w:rPr>
        <w:t>I</w:t>
      </w:r>
      <w:r>
        <w:rPr>
          <w:rFonts w:ascii="Times New Roman" w:hAnsi="Times New Roman" w:cs="Times New Roman"/>
          <w:sz w:val="24"/>
          <w:szCs w:val="24"/>
          <w:vertAlign w:val="baseline"/>
        </w:rPr>
        <w:t xml:space="preserve">t would appear that </w:t>
      </w:r>
      <w:r w:rsidR="00AF6AED">
        <w:rPr>
          <w:rFonts w:ascii="Times New Roman" w:hAnsi="Times New Roman" w:cs="Times New Roman"/>
          <w:sz w:val="24"/>
          <w:szCs w:val="24"/>
          <w:vertAlign w:val="baseline"/>
        </w:rPr>
        <w:t xml:space="preserve">states view </w:t>
      </w:r>
      <w:r>
        <w:rPr>
          <w:rFonts w:ascii="Times New Roman" w:hAnsi="Times New Roman" w:cs="Times New Roman"/>
          <w:sz w:val="24"/>
          <w:szCs w:val="24"/>
          <w:vertAlign w:val="baseline"/>
        </w:rPr>
        <w:t xml:space="preserve">matters pertaining to the family </w:t>
      </w:r>
      <w:r w:rsidR="00AF6AED">
        <w:rPr>
          <w:rFonts w:ascii="Times New Roman" w:hAnsi="Times New Roman" w:cs="Times New Roman"/>
          <w:sz w:val="24"/>
          <w:szCs w:val="24"/>
          <w:vertAlign w:val="baseline"/>
        </w:rPr>
        <w:t>as</w:t>
      </w:r>
      <w:r>
        <w:rPr>
          <w:rFonts w:ascii="Times New Roman" w:hAnsi="Times New Roman" w:cs="Times New Roman"/>
          <w:sz w:val="24"/>
          <w:szCs w:val="24"/>
          <w:vertAlign w:val="baseline"/>
        </w:rPr>
        <w:t xml:space="preserve"> cultural-specific</w:t>
      </w:r>
      <w:r w:rsidR="00AF6AED">
        <w:rPr>
          <w:rFonts w:ascii="Times New Roman" w:hAnsi="Times New Roman" w:cs="Times New Roman"/>
          <w:sz w:val="24"/>
          <w:szCs w:val="24"/>
          <w:vertAlign w:val="baseline"/>
        </w:rPr>
        <w:t>, thus,</w:t>
      </w:r>
      <w:r>
        <w:rPr>
          <w:rFonts w:ascii="Times New Roman" w:hAnsi="Times New Roman" w:cs="Times New Roman"/>
          <w:sz w:val="24"/>
          <w:szCs w:val="24"/>
          <w:vertAlign w:val="baseline"/>
        </w:rPr>
        <w:t xml:space="preserve"> remain</w:t>
      </w:r>
      <w:r w:rsidR="00AF6AED">
        <w:rPr>
          <w:rFonts w:ascii="Times New Roman" w:hAnsi="Times New Roman" w:cs="Times New Roman"/>
          <w:sz w:val="24"/>
          <w:szCs w:val="24"/>
          <w:vertAlign w:val="baseline"/>
        </w:rPr>
        <w:t>ing</w:t>
      </w:r>
      <w:r>
        <w:rPr>
          <w:rFonts w:ascii="Times New Roman" w:hAnsi="Times New Roman" w:cs="Times New Roman"/>
          <w:sz w:val="24"/>
          <w:szCs w:val="24"/>
          <w:vertAlign w:val="baseline"/>
        </w:rPr>
        <w:t xml:space="preserve"> impervious to the protections of universal human rights norms.</w:t>
      </w:r>
      <w:r w:rsidR="00154BBE">
        <w:rPr>
          <w:rFonts w:ascii="Times New Roman" w:hAnsi="Times New Roman" w:cs="Times New Roman"/>
          <w:sz w:val="24"/>
          <w:szCs w:val="24"/>
          <w:vertAlign w:val="baseline"/>
        </w:rPr>
        <w:t xml:space="preserve"> </w:t>
      </w:r>
      <w:r w:rsidR="00EF0383">
        <w:rPr>
          <w:rFonts w:ascii="Times New Roman" w:hAnsi="Times New Roman" w:cs="Times New Roman"/>
          <w:sz w:val="24"/>
          <w:szCs w:val="24"/>
          <w:vertAlign w:val="baseline"/>
        </w:rPr>
        <w:t xml:space="preserve">Furthermore, international human rights standards have not adequately addressed this form of legal pluralism as a human rights issue, particularly pertaining to culture and gender. </w:t>
      </w:r>
      <w:r w:rsidR="00C408B0">
        <w:rPr>
          <w:rFonts w:ascii="Times New Roman" w:hAnsi="Times New Roman" w:cs="Times New Roman"/>
          <w:sz w:val="24"/>
          <w:szCs w:val="24"/>
          <w:vertAlign w:val="baseline"/>
        </w:rPr>
        <w:t xml:space="preserve">The international community </w:t>
      </w:r>
      <w:r w:rsidR="00EB3939">
        <w:rPr>
          <w:rFonts w:ascii="Times New Roman" w:hAnsi="Times New Roman" w:cs="Times New Roman"/>
          <w:sz w:val="24"/>
          <w:szCs w:val="24"/>
          <w:vertAlign w:val="baseline"/>
        </w:rPr>
        <w:t xml:space="preserve">has </w:t>
      </w:r>
      <w:r w:rsidR="006E6DB1">
        <w:rPr>
          <w:rFonts w:ascii="Times New Roman" w:hAnsi="Times New Roman" w:cs="Times New Roman"/>
          <w:sz w:val="24"/>
          <w:szCs w:val="24"/>
          <w:vertAlign w:val="baseline"/>
        </w:rPr>
        <w:t xml:space="preserve">attempted to tackle the conflicting issues of </w:t>
      </w:r>
      <w:r w:rsidR="00A52649">
        <w:rPr>
          <w:rFonts w:ascii="Times New Roman" w:hAnsi="Times New Roman" w:cs="Times New Roman"/>
          <w:sz w:val="24"/>
          <w:szCs w:val="24"/>
          <w:vertAlign w:val="baseline"/>
        </w:rPr>
        <w:t>c</w:t>
      </w:r>
      <w:r w:rsidR="00C32073">
        <w:rPr>
          <w:rFonts w:ascii="Times New Roman" w:hAnsi="Times New Roman" w:cs="Times New Roman"/>
          <w:sz w:val="24"/>
          <w:szCs w:val="24"/>
          <w:vertAlign w:val="baseline"/>
        </w:rPr>
        <w:t>ultural, religious and traditional</w:t>
      </w:r>
      <w:r w:rsidR="00A52649">
        <w:rPr>
          <w:rFonts w:ascii="Times New Roman" w:hAnsi="Times New Roman" w:cs="Times New Roman"/>
          <w:sz w:val="24"/>
          <w:szCs w:val="24"/>
          <w:vertAlign w:val="baseline"/>
        </w:rPr>
        <w:t xml:space="preserve"> harmful practices</w:t>
      </w:r>
      <w:r w:rsidR="006E6DB1">
        <w:rPr>
          <w:rFonts w:ascii="Times New Roman" w:hAnsi="Times New Roman" w:cs="Times New Roman"/>
          <w:sz w:val="24"/>
          <w:szCs w:val="24"/>
          <w:vertAlign w:val="baseline"/>
        </w:rPr>
        <w:t xml:space="preserve"> and women</w:t>
      </w:r>
      <w:r w:rsidR="00E50211">
        <w:rPr>
          <w:rFonts w:ascii="Times New Roman" w:hAnsi="Times New Roman" w:cs="Times New Roman"/>
          <w:sz w:val="24"/>
          <w:szCs w:val="24"/>
          <w:vertAlign w:val="baseline"/>
        </w:rPr>
        <w:t>’s rights</w:t>
      </w:r>
      <w:r w:rsidR="00A52649">
        <w:rPr>
          <w:rFonts w:ascii="Times New Roman" w:hAnsi="Times New Roman" w:cs="Times New Roman"/>
          <w:sz w:val="24"/>
          <w:szCs w:val="24"/>
          <w:vertAlign w:val="baseline"/>
        </w:rPr>
        <w:t>.</w:t>
      </w:r>
      <w:r w:rsidR="00CC18F3">
        <w:rPr>
          <w:rFonts w:ascii="Times New Roman" w:hAnsi="Times New Roman" w:cs="Times New Roman"/>
          <w:sz w:val="24"/>
          <w:szCs w:val="24"/>
          <w:vertAlign w:val="baseline"/>
        </w:rPr>
        <w:t xml:space="preserve"> CEDAW article 2(f) specifies the need for states to take all appropriate measures to </w:t>
      </w:r>
      <w:r w:rsidR="00622755">
        <w:rPr>
          <w:rFonts w:ascii="Times New Roman" w:hAnsi="Times New Roman" w:cs="Times New Roman"/>
          <w:sz w:val="24"/>
          <w:szCs w:val="24"/>
          <w:vertAlign w:val="baseline"/>
        </w:rPr>
        <w:t xml:space="preserve">modify or abolish customary practices and laws that constitute discrimination against women, whilst article 5(a) refers to the modification of social, customary and cultural patterns that are based upon the inferiority of women. </w:t>
      </w:r>
      <w:r w:rsidR="0021455C">
        <w:rPr>
          <w:rFonts w:ascii="Times New Roman" w:hAnsi="Times New Roman" w:cs="Times New Roman"/>
          <w:sz w:val="24"/>
          <w:szCs w:val="24"/>
          <w:vertAlign w:val="baseline"/>
        </w:rPr>
        <w:t>Yet these two articles are amongst the most heavily reserved against articles in the Convention.</w:t>
      </w:r>
      <w:r w:rsidR="00A9544C">
        <w:rPr>
          <w:rFonts w:ascii="Times New Roman" w:hAnsi="Times New Roman" w:cs="Times New Roman"/>
          <w:sz w:val="24"/>
          <w:szCs w:val="24"/>
          <w:vertAlign w:val="baseline"/>
        </w:rPr>
        <w:t xml:space="preserve"> </w:t>
      </w:r>
      <w:r w:rsidR="00FE28A5">
        <w:rPr>
          <w:rFonts w:ascii="Times New Roman" w:hAnsi="Times New Roman" w:cs="Times New Roman"/>
          <w:sz w:val="24"/>
          <w:szCs w:val="24"/>
          <w:vertAlign w:val="baseline"/>
        </w:rPr>
        <w:t xml:space="preserve">DEVAW article 4 calls for states to condemn VAW regardless of custom, tradition or religious </w:t>
      </w:r>
      <w:r w:rsidR="000D75A4">
        <w:rPr>
          <w:rFonts w:ascii="Times New Roman" w:hAnsi="Times New Roman" w:cs="Times New Roman"/>
          <w:sz w:val="24"/>
          <w:szCs w:val="24"/>
          <w:vertAlign w:val="baseline"/>
        </w:rPr>
        <w:t>considerations;</w:t>
      </w:r>
      <w:r w:rsidR="00FE28A5">
        <w:rPr>
          <w:rFonts w:ascii="Times New Roman" w:hAnsi="Times New Roman" w:cs="Times New Roman"/>
          <w:sz w:val="24"/>
          <w:szCs w:val="24"/>
          <w:vertAlign w:val="baseline"/>
        </w:rPr>
        <w:t xml:space="preserve"> </w:t>
      </w:r>
      <w:r w:rsidR="000D75A4">
        <w:rPr>
          <w:rFonts w:ascii="Times New Roman" w:hAnsi="Times New Roman" w:cs="Times New Roman"/>
          <w:sz w:val="24"/>
          <w:szCs w:val="24"/>
          <w:vertAlign w:val="baseline"/>
        </w:rPr>
        <w:t>however, DEVAW lacks binding legal authority.</w:t>
      </w:r>
      <w:r w:rsidR="00A9544C">
        <w:rPr>
          <w:rFonts w:ascii="Times New Roman" w:hAnsi="Times New Roman" w:cs="Times New Roman"/>
          <w:sz w:val="24"/>
          <w:szCs w:val="24"/>
          <w:vertAlign w:val="baseline"/>
        </w:rPr>
        <w:t xml:space="preserve"> </w:t>
      </w:r>
      <w:r w:rsidR="006337B8">
        <w:rPr>
          <w:rFonts w:ascii="Times New Roman" w:hAnsi="Times New Roman" w:cs="Times New Roman"/>
          <w:sz w:val="24"/>
          <w:szCs w:val="24"/>
          <w:vertAlign w:val="baseline"/>
        </w:rPr>
        <w:t>Regarding, a</w:t>
      </w:r>
      <w:r w:rsidR="00FE28A5">
        <w:rPr>
          <w:rFonts w:ascii="Times New Roman" w:hAnsi="Times New Roman" w:cs="Times New Roman"/>
          <w:sz w:val="24"/>
          <w:szCs w:val="24"/>
          <w:vertAlign w:val="baseline"/>
        </w:rPr>
        <w:t>rticle 15(1)(a) ICESCR, the CESCR, in General Comment No.21, emphasised the importance of human rights in the face of cultural diversity</w:t>
      </w:r>
      <w:r w:rsidR="00D319D8">
        <w:rPr>
          <w:rFonts w:ascii="Times New Roman" w:hAnsi="Times New Roman" w:cs="Times New Roman"/>
          <w:sz w:val="24"/>
          <w:szCs w:val="24"/>
          <w:vertAlign w:val="baseline"/>
        </w:rPr>
        <w:t>,</w:t>
      </w:r>
      <w:r w:rsidR="00FE28A5">
        <w:rPr>
          <w:rFonts w:ascii="Times New Roman" w:hAnsi="Times New Roman" w:cs="Times New Roman"/>
          <w:sz w:val="24"/>
          <w:szCs w:val="24"/>
          <w:vertAlign w:val="baseline"/>
        </w:rPr>
        <w:t xml:space="preserve"> by stating that no-one may invoke cultural diversity to infringe upon human rights </w:t>
      </w:r>
      <w:r w:rsidR="00BD1A3E">
        <w:rPr>
          <w:rFonts w:ascii="Times New Roman" w:hAnsi="Times New Roman" w:cs="Times New Roman"/>
          <w:sz w:val="24"/>
          <w:szCs w:val="24"/>
          <w:vertAlign w:val="baseline"/>
        </w:rPr>
        <w:t>nor to limit their scope.</w:t>
      </w:r>
      <w:r w:rsidR="00202B79">
        <w:rPr>
          <w:rFonts w:ascii="Times New Roman" w:hAnsi="Times New Roman" w:cs="Times New Roman"/>
          <w:sz w:val="24"/>
          <w:szCs w:val="24"/>
          <w:vertAlign w:val="baseline"/>
        </w:rPr>
        <w:t xml:space="preserve"> </w:t>
      </w:r>
      <w:r w:rsidR="00214986">
        <w:rPr>
          <w:rFonts w:ascii="Times New Roman" w:hAnsi="Times New Roman" w:cs="Times New Roman"/>
          <w:sz w:val="24"/>
          <w:szCs w:val="24"/>
          <w:vertAlign w:val="baseline"/>
        </w:rPr>
        <w:t xml:space="preserve">The CESCR made it clear that </w:t>
      </w:r>
      <w:r w:rsidR="00D319D8">
        <w:rPr>
          <w:rFonts w:ascii="Times New Roman" w:hAnsi="Times New Roman" w:cs="Times New Roman"/>
          <w:sz w:val="24"/>
          <w:szCs w:val="24"/>
          <w:vertAlign w:val="baseline"/>
        </w:rPr>
        <w:t>violations of article 15(1)(a) can occur through direct action and also through the omission or failure of states to comply with their legal obligations under ICESCR.</w:t>
      </w:r>
      <w:r w:rsidR="00214986">
        <w:rPr>
          <w:rFonts w:ascii="Times New Roman" w:hAnsi="Times New Roman" w:cs="Times New Roman"/>
          <w:sz w:val="24"/>
          <w:szCs w:val="24"/>
          <w:vertAlign w:val="baseline"/>
        </w:rPr>
        <w:t xml:space="preserve"> Thus, failure, by states, to take adequate steps to modify and tackle harmful traditional practices puts them in clear violation of article 15(1)(a) ICESCR.</w:t>
      </w:r>
      <w:r w:rsidR="001012CD">
        <w:rPr>
          <w:rFonts w:ascii="Times New Roman" w:hAnsi="Times New Roman" w:cs="Times New Roman"/>
          <w:sz w:val="24"/>
          <w:szCs w:val="24"/>
          <w:vertAlign w:val="baseline"/>
        </w:rPr>
        <w:t xml:space="preserve"> </w:t>
      </w:r>
      <w:r w:rsidR="009061BE">
        <w:rPr>
          <w:rFonts w:ascii="Times New Roman" w:hAnsi="Times New Roman" w:cs="Times New Roman"/>
          <w:sz w:val="24"/>
          <w:szCs w:val="24"/>
          <w:vertAlign w:val="baseline"/>
        </w:rPr>
        <w:t>Whilst this elaboration by CESCR, of article 15(1)(a), is an important contribution to the understanding of cultural rights within a human rights context,</w:t>
      </w:r>
      <w:r w:rsidR="00672C28">
        <w:rPr>
          <w:rFonts w:ascii="Times New Roman" w:hAnsi="Times New Roman" w:cs="Times New Roman"/>
          <w:sz w:val="24"/>
          <w:szCs w:val="24"/>
          <w:vertAlign w:val="baseline"/>
        </w:rPr>
        <w:t xml:space="preserve"> particularly as it specifically recognises witchcraft as a type of traditional harmful practice</w:t>
      </w:r>
      <w:r w:rsidR="00D23FE7">
        <w:rPr>
          <w:rFonts w:ascii="Times New Roman" w:hAnsi="Times New Roman" w:cs="Times New Roman"/>
          <w:sz w:val="24"/>
          <w:szCs w:val="24"/>
          <w:vertAlign w:val="baseline"/>
        </w:rPr>
        <w:t>, the effectiveness of article 15(1)(a) is ultimately reliant on state compliance.</w:t>
      </w:r>
    </w:p>
    <w:p w14:paraId="5311FC33" w14:textId="77777777" w:rsidR="00B559B3" w:rsidRDefault="00B559B3" w:rsidP="006C2097">
      <w:pPr>
        <w:spacing w:line="480" w:lineRule="auto"/>
        <w:jc w:val="both"/>
        <w:rPr>
          <w:rFonts w:ascii="Times New Roman" w:hAnsi="Times New Roman" w:cs="Times New Roman"/>
          <w:sz w:val="24"/>
          <w:szCs w:val="24"/>
          <w:vertAlign w:val="baseline"/>
        </w:rPr>
      </w:pPr>
    </w:p>
    <w:p w14:paraId="32009707" w14:textId="6BBE4E45" w:rsidR="002F5BC1" w:rsidRDefault="001012CD" w:rsidP="009A0A93">
      <w:pPr>
        <w:spacing w:line="480" w:lineRule="auto"/>
        <w:ind w:firstLine="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As regards the more specific offence of WAP, </w:t>
      </w:r>
      <w:r w:rsidR="008D062D">
        <w:rPr>
          <w:rFonts w:ascii="Times New Roman" w:hAnsi="Times New Roman" w:cs="Times New Roman"/>
          <w:sz w:val="24"/>
          <w:szCs w:val="24"/>
          <w:vertAlign w:val="baseline"/>
        </w:rPr>
        <w:t>it is submitted</w:t>
      </w:r>
      <w:r w:rsidR="00B2480A">
        <w:rPr>
          <w:rFonts w:ascii="Times New Roman" w:hAnsi="Times New Roman" w:cs="Times New Roman"/>
          <w:sz w:val="24"/>
          <w:szCs w:val="24"/>
          <w:vertAlign w:val="baseline"/>
        </w:rPr>
        <w:t xml:space="preserve"> </w:t>
      </w:r>
      <w:r w:rsidR="008D062D">
        <w:rPr>
          <w:rFonts w:ascii="Times New Roman" w:hAnsi="Times New Roman" w:cs="Times New Roman"/>
          <w:sz w:val="24"/>
          <w:szCs w:val="24"/>
          <w:vertAlign w:val="baseline"/>
        </w:rPr>
        <w:t>that WAP violates aspects of CEDAW, ICCPR and ICESCR, whilst also qualifying as torture or cruel, inhuman and degrading treatment under CAT. T</w:t>
      </w:r>
      <w:r w:rsidR="0079378D">
        <w:rPr>
          <w:rFonts w:ascii="Times New Roman" w:hAnsi="Times New Roman" w:cs="Times New Roman"/>
          <w:sz w:val="24"/>
          <w:szCs w:val="24"/>
          <w:vertAlign w:val="baseline"/>
        </w:rPr>
        <w:t>he CEDAW Committee, CAT Committee, HR Council, HRC Advisory Committee, CESCR,</w:t>
      </w:r>
      <w:r w:rsidR="00616B61">
        <w:rPr>
          <w:rFonts w:ascii="Times New Roman" w:hAnsi="Times New Roman" w:cs="Times New Roman"/>
          <w:sz w:val="24"/>
          <w:szCs w:val="24"/>
          <w:vertAlign w:val="baseline"/>
        </w:rPr>
        <w:t xml:space="preserve"> CCPR, CSW, </w:t>
      </w:r>
      <w:r w:rsidR="0079378D">
        <w:rPr>
          <w:rFonts w:ascii="Times New Roman" w:hAnsi="Times New Roman" w:cs="Times New Roman"/>
          <w:sz w:val="24"/>
          <w:szCs w:val="24"/>
          <w:vertAlign w:val="baseline"/>
        </w:rPr>
        <w:t xml:space="preserve">UN Women </w:t>
      </w:r>
      <w:r w:rsidR="00616B61">
        <w:rPr>
          <w:rFonts w:ascii="Times New Roman" w:hAnsi="Times New Roman" w:cs="Times New Roman"/>
          <w:sz w:val="24"/>
          <w:szCs w:val="24"/>
          <w:vertAlign w:val="baseline"/>
        </w:rPr>
        <w:t>and the SRs on VAW</w:t>
      </w:r>
      <w:r w:rsidR="00616B61" w:rsidRPr="00616B61">
        <w:rPr>
          <w:rFonts w:ascii="Times New Roman" w:hAnsi="Times New Roman" w:cs="Times New Roman"/>
          <w:sz w:val="24"/>
          <w:szCs w:val="24"/>
          <w:vertAlign w:val="baseline"/>
        </w:rPr>
        <w:t>, extrajudicial, summary or arbitrary executions</w:t>
      </w:r>
      <w:r w:rsidR="00616B61">
        <w:rPr>
          <w:rFonts w:ascii="Times New Roman" w:hAnsi="Times New Roman" w:cs="Times New Roman"/>
          <w:sz w:val="24"/>
          <w:szCs w:val="24"/>
          <w:vertAlign w:val="baseline"/>
        </w:rPr>
        <w:t xml:space="preserve"> and on torture, </w:t>
      </w:r>
      <w:r w:rsidR="0079378D">
        <w:rPr>
          <w:rFonts w:ascii="Times New Roman" w:hAnsi="Times New Roman" w:cs="Times New Roman"/>
          <w:sz w:val="24"/>
          <w:szCs w:val="24"/>
          <w:vertAlign w:val="baseline"/>
        </w:rPr>
        <w:t xml:space="preserve">have all documented witchcraft </w:t>
      </w:r>
      <w:r w:rsidR="0046256A">
        <w:rPr>
          <w:rFonts w:ascii="Times New Roman" w:hAnsi="Times New Roman" w:cs="Times New Roman"/>
          <w:sz w:val="24"/>
          <w:szCs w:val="24"/>
          <w:vertAlign w:val="baseline"/>
        </w:rPr>
        <w:t xml:space="preserve">accusations and persecutions </w:t>
      </w:r>
      <w:r w:rsidR="0079378D">
        <w:rPr>
          <w:rFonts w:ascii="Times New Roman" w:hAnsi="Times New Roman" w:cs="Times New Roman"/>
          <w:sz w:val="24"/>
          <w:szCs w:val="24"/>
          <w:vertAlign w:val="baseline"/>
        </w:rPr>
        <w:t>within their various reports</w:t>
      </w:r>
      <w:r w:rsidR="00162F34">
        <w:rPr>
          <w:rFonts w:ascii="Times New Roman" w:hAnsi="Times New Roman" w:cs="Times New Roman"/>
          <w:sz w:val="24"/>
          <w:szCs w:val="24"/>
          <w:vertAlign w:val="baseline"/>
        </w:rPr>
        <w:t>, specifically in those referring to India, Nepal, PNG and Ghana.</w:t>
      </w:r>
      <w:r w:rsidR="00616B61">
        <w:rPr>
          <w:rFonts w:ascii="Times New Roman" w:hAnsi="Times New Roman" w:cs="Times New Roman"/>
          <w:sz w:val="24"/>
          <w:szCs w:val="24"/>
          <w:vertAlign w:val="baseline"/>
        </w:rPr>
        <w:t xml:space="preserve"> </w:t>
      </w:r>
      <w:r w:rsidR="00AD616B">
        <w:rPr>
          <w:rFonts w:ascii="Times New Roman" w:hAnsi="Times New Roman" w:cs="Times New Roman"/>
          <w:sz w:val="24"/>
          <w:szCs w:val="24"/>
          <w:vertAlign w:val="baseline"/>
        </w:rPr>
        <w:t>However, whilst the initial recognition of WAP is a positive sign, the response by the international community has been limited and sporadic. Moreover, many of these reports simply reiterate what the other is saying. Surely the very fact that the same issue is being repeated throughout a variety of different UN bodies, shows</w:t>
      </w:r>
      <w:r w:rsidR="00763249">
        <w:rPr>
          <w:rFonts w:ascii="Times New Roman" w:hAnsi="Times New Roman" w:cs="Times New Roman"/>
          <w:sz w:val="24"/>
          <w:szCs w:val="24"/>
          <w:vertAlign w:val="baseline"/>
        </w:rPr>
        <w:t xml:space="preserve"> not only a fragmented approach to human rights, but also shows</w:t>
      </w:r>
      <w:r w:rsidR="005D2C26">
        <w:rPr>
          <w:rFonts w:ascii="Times New Roman" w:hAnsi="Times New Roman" w:cs="Times New Roman"/>
          <w:sz w:val="24"/>
          <w:szCs w:val="24"/>
          <w:vertAlign w:val="baseline"/>
        </w:rPr>
        <w:t xml:space="preserve"> that, in practice</w:t>
      </w:r>
      <w:r w:rsidR="00763249">
        <w:rPr>
          <w:rFonts w:ascii="Times New Roman" w:hAnsi="Times New Roman" w:cs="Times New Roman"/>
          <w:sz w:val="24"/>
          <w:szCs w:val="24"/>
          <w:vertAlign w:val="baseline"/>
        </w:rPr>
        <w:t>,</w:t>
      </w:r>
      <w:r w:rsidR="005D2C26">
        <w:rPr>
          <w:rFonts w:ascii="Times New Roman" w:hAnsi="Times New Roman" w:cs="Times New Roman"/>
          <w:sz w:val="24"/>
          <w:szCs w:val="24"/>
          <w:vertAlign w:val="baseline"/>
        </w:rPr>
        <w:t xml:space="preserve"> nothing is actually being done to resolve </w:t>
      </w:r>
      <w:r w:rsidR="00E22358">
        <w:rPr>
          <w:rFonts w:ascii="Times New Roman" w:hAnsi="Times New Roman" w:cs="Times New Roman"/>
          <w:sz w:val="24"/>
          <w:szCs w:val="24"/>
          <w:vertAlign w:val="baseline"/>
        </w:rPr>
        <w:t>the issue.</w:t>
      </w:r>
      <w:r w:rsidR="008D062D">
        <w:rPr>
          <w:rFonts w:ascii="Times New Roman" w:hAnsi="Times New Roman" w:cs="Times New Roman"/>
          <w:sz w:val="24"/>
          <w:szCs w:val="24"/>
          <w:vertAlign w:val="baseline"/>
        </w:rPr>
        <w:t xml:space="preserve"> Moreover</w:t>
      </w:r>
      <w:r w:rsidR="006C2097">
        <w:rPr>
          <w:rFonts w:ascii="Times New Roman" w:hAnsi="Times New Roman" w:cs="Times New Roman"/>
          <w:sz w:val="24"/>
          <w:szCs w:val="24"/>
          <w:vertAlign w:val="baseline"/>
        </w:rPr>
        <w:t>,</w:t>
      </w:r>
      <w:r w:rsidR="008D062D">
        <w:rPr>
          <w:rFonts w:ascii="Times New Roman" w:hAnsi="Times New Roman" w:cs="Times New Roman"/>
          <w:sz w:val="24"/>
          <w:szCs w:val="24"/>
          <w:vertAlign w:val="baseline"/>
        </w:rPr>
        <w:t xml:space="preserve"> state compliance</w:t>
      </w:r>
      <w:r w:rsidR="00F73A3C">
        <w:rPr>
          <w:rFonts w:ascii="Times New Roman" w:hAnsi="Times New Roman" w:cs="Times New Roman"/>
          <w:sz w:val="24"/>
          <w:szCs w:val="24"/>
          <w:vertAlign w:val="baseline"/>
        </w:rPr>
        <w:t xml:space="preserve"> is occasional and reluctant, and quite often resistant.</w:t>
      </w:r>
      <w:r w:rsidR="009A0A93">
        <w:rPr>
          <w:rFonts w:ascii="Times New Roman" w:hAnsi="Times New Roman" w:cs="Times New Roman"/>
          <w:sz w:val="24"/>
          <w:szCs w:val="24"/>
          <w:vertAlign w:val="baseline"/>
        </w:rPr>
        <w:t xml:space="preserve"> </w:t>
      </w:r>
      <w:r w:rsidR="00206156">
        <w:rPr>
          <w:rFonts w:ascii="Times New Roman" w:hAnsi="Times New Roman" w:cs="Times New Roman"/>
          <w:sz w:val="24"/>
          <w:szCs w:val="24"/>
          <w:vertAlign w:val="baseline"/>
        </w:rPr>
        <w:t xml:space="preserve">Enforceability and state impunity are key factors here. Enforceability is evidently one of the major weaknesses of the human rights system. Whilst UN bodies can comment on violations of their respective articles enshrined within the various UN Conventions, the reality is that there is little that they can actually do about it. UN Committees simply do not have the power to impose sanctions. </w:t>
      </w:r>
      <w:r w:rsidR="00C639C8">
        <w:rPr>
          <w:rFonts w:ascii="Times New Roman" w:hAnsi="Times New Roman" w:cs="Times New Roman"/>
          <w:sz w:val="24"/>
          <w:szCs w:val="24"/>
          <w:vertAlign w:val="baseline"/>
        </w:rPr>
        <w:t xml:space="preserve">Moreover, states are fully aware of this. </w:t>
      </w:r>
      <w:r w:rsidR="009A0A93">
        <w:rPr>
          <w:rFonts w:ascii="Times New Roman" w:hAnsi="Times New Roman" w:cs="Times New Roman"/>
          <w:sz w:val="24"/>
          <w:szCs w:val="24"/>
          <w:vertAlign w:val="baseline"/>
        </w:rPr>
        <w:t>The reporting procedure is supposed to be a key legal obligation, yet the UN documents that only 16% of state parties report on time, with only one-third of reports submitted when given a</w:t>
      </w:r>
      <w:r w:rsidR="006B557A">
        <w:rPr>
          <w:rFonts w:ascii="Times New Roman" w:hAnsi="Times New Roman" w:cs="Times New Roman"/>
          <w:sz w:val="24"/>
          <w:szCs w:val="24"/>
          <w:vertAlign w:val="baseline"/>
        </w:rPr>
        <w:t>n additional</w:t>
      </w:r>
      <w:r w:rsidR="009A0A93">
        <w:rPr>
          <w:rFonts w:ascii="Times New Roman" w:hAnsi="Times New Roman" w:cs="Times New Roman"/>
          <w:sz w:val="24"/>
          <w:szCs w:val="24"/>
          <w:vertAlign w:val="baseline"/>
        </w:rPr>
        <w:t xml:space="preserve"> period of twelve months grace. </w:t>
      </w:r>
      <w:r w:rsidR="000832EC">
        <w:rPr>
          <w:rFonts w:ascii="Times New Roman" w:hAnsi="Times New Roman" w:cs="Times New Roman"/>
          <w:sz w:val="24"/>
          <w:szCs w:val="24"/>
          <w:vertAlign w:val="baseline"/>
        </w:rPr>
        <w:t xml:space="preserve">Evidence of this lack of compliance is </w:t>
      </w:r>
      <w:r w:rsidR="002D48E1">
        <w:rPr>
          <w:rFonts w:ascii="Times New Roman" w:hAnsi="Times New Roman" w:cs="Times New Roman"/>
          <w:sz w:val="24"/>
          <w:szCs w:val="24"/>
          <w:vertAlign w:val="baseline"/>
        </w:rPr>
        <w:t>plentiful</w:t>
      </w:r>
      <w:r w:rsidR="000832EC">
        <w:rPr>
          <w:rFonts w:ascii="Times New Roman" w:hAnsi="Times New Roman" w:cs="Times New Roman"/>
          <w:sz w:val="24"/>
          <w:szCs w:val="24"/>
          <w:vertAlign w:val="baseline"/>
        </w:rPr>
        <w:t>. For example, Ghana were thirteen years late when su</w:t>
      </w:r>
      <w:r w:rsidR="00EC36F1">
        <w:rPr>
          <w:rFonts w:ascii="Times New Roman" w:hAnsi="Times New Roman" w:cs="Times New Roman"/>
          <w:sz w:val="24"/>
          <w:szCs w:val="24"/>
          <w:vertAlign w:val="baseline"/>
        </w:rPr>
        <w:t xml:space="preserve">bmitting their initial report under ICCPR, PNG still have not submitted their first periodic report under the ICCPR, which is currently six years late, whilst India have failed to submit their fourth periodic review under the ICCPR, which is currently fifteen years late. India’s lack of compliance is also shown in the </w:t>
      </w:r>
      <w:r w:rsidR="00451D9A">
        <w:rPr>
          <w:rFonts w:ascii="Times New Roman" w:hAnsi="Times New Roman" w:cs="Times New Roman"/>
          <w:sz w:val="24"/>
          <w:szCs w:val="24"/>
          <w:vertAlign w:val="baseline"/>
        </w:rPr>
        <w:t>fifteen-year</w:t>
      </w:r>
      <w:r w:rsidR="00EC36F1">
        <w:rPr>
          <w:rFonts w:ascii="Times New Roman" w:hAnsi="Times New Roman" w:cs="Times New Roman"/>
          <w:sz w:val="24"/>
          <w:szCs w:val="24"/>
          <w:vertAlign w:val="baseline"/>
        </w:rPr>
        <w:t xml:space="preserve"> delay it took in submitting reports </w:t>
      </w:r>
      <w:r w:rsidR="00451D9A">
        <w:rPr>
          <w:rFonts w:ascii="Times New Roman" w:hAnsi="Times New Roman" w:cs="Times New Roman"/>
          <w:sz w:val="24"/>
          <w:szCs w:val="24"/>
          <w:vertAlign w:val="baseline"/>
        </w:rPr>
        <w:t>due under ICESCR.</w:t>
      </w:r>
      <w:r w:rsidR="004B0FC5">
        <w:rPr>
          <w:rFonts w:ascii="Times New Roman" w:hAnsi="Times New Roman" w:cs="Times New Roman"/>
          <w:sz w:val="24"/>
          <w:szCs w:val="24"/>
          <w:vertAlign w:val="baseline"/>
        </w:rPr>
        <w:t xml:space="preserve"> </w:t>
      </w:r>
      <w:r w:rsidR="002F5BC1">
        <w:rPr>
          <w:rFonts w:ascii="Times New Roman" w:hAnsi="Times New Roman" w:cs="Times New Roman"/>
          <w:sz w:val="24"/>
          <w:szCs w:val="24"/>
          <w:vertAlign w:val="baseline"/>
        </w:rPr>
        <w:t>This level of lack of co</w:t>
      </w:r>
      <w:r w:rsidR="0017366A">
        <w:rPr>
          <w:rFonts w:ascii="Times New Roman" w:hAnsi="Times New Roman" w:cs="Times New Roman"/>
          <w:sz w:val="24"/>
          <w:szCs w:val="24"/>
          <w:vertAlign w:val="baseline"/>
        </w:rPr>
        <w:t>mpliance by states</w:t>
      </w:r>
      <w:r w:rsidR="00993A05">
        <w:rPr>
          <w:rFonts w:ascii="Times New Roman" w:hAnsi="Times New Roman" w:cs="Times New Roman"/>
          <w:sz w:val="24"/>
          <w:szCs w:val="24"/>
          <w:vertAlign w:val="baseline"/>
        </w:rPr>
        <w:t xml:space="preserve"> is shameful</w:t>
      </w:r>
      <w:r w:rsidR="002F5BC1">
        <w:rPr>
          <w:rFonts w:ascii="Times New Roman" w:hAnsi="Times New Roman" w:cs="Times New Roman"/>
          <w:sz w:val="24"/>
          <w:szCs w:val="24"/>
          <w:vertAlign w:val="baseline"/>
        </w:rPr>
        <w:t>.</w:t>
      </w:r>
    </w:p>
    <w:p w14:paraId="5B1254B4" w14:textId="77777777" w:rsidR="002F5BC1" w:rsidRDefault="002F5BC1" w:rsidP="009A0A93">
      <w:pPr>
        <w:spacing w:line="480" w:lineRule="auto"/>
        <w:ind w:firstLine="720"/>
        <w:jc w:val="both"/>
        <w:rPr>
          <w:rFonts w:ascii="Times New Roman" w:hAnsi="Times New Roman" w:cs="Times New Roman"/>
          <w:sz w:val="24"/>
          <w:szCs w:val="24"/>
          <w:vertAlign w:val="baseline"/>
        </w:rPr>
      </w:pPr>
    </w:p>
    <w:p w14:paraId="2A9B1672" w14:textId="3EB17041" w:rsidR="00C463B7" w:rsidRDefault="004B0FC5" w:rsidP="005E39D5">
      <w:pPr>
        <w:spacing w:line="480" w:lineRule="auto"/>
        <w:ind w:firstLine="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The central issue within all four states examined throughout this thesis, is one of impunity. This coupled with the lack of enforceability and lack of a concerted and systematic effort by both states and the international community simply exacerbates violations of human rights. </w:t>
      </w:r>
      <w:r w:rsidR="00964E83">
        <w:rPr>
          <w:rFonts w:ascii="Times New Roman" w:hAnsi="Times New Roman" w:cs="Times New Roman"/>
          <w:sz w:val="24"/>
          <w:szCs w:val="24"/>
          <w:vertAlign w:val="baseline"/>
        </w:rPr>
        <w:t>As does the allowance of state reservations to CEDAW based on religious and cultural grounds.</w:t>
      </w:r>
      <w:r w:rsidR="005E207E">
        <w:rPr>
          <w:rFonts w:ascii="Times New Roman" w:hAnsi="Times New Roman" w:cs="Times New Roman"/>
          <w:sz w:val="24"/>
          <w:szCs w:val="24"/>
          <w:vertAlign w:val="baseline"/>
        </w:rPr>
        <w:t xml:space="preserve"> The</w:t>
      </w:r>
      <w:r w:rsidR="00C73A41">
        <w:rPr>
          <w:rFonts w:ascii="Times New Roman" w:hAnsi="Times New Roman" w:cs="Times New Roman"/>
          <w:sz w:val="24"/>
          <w:szCs w:val="24"/>
          <w:vertAlign w:val="baseline"/>
        </w:rPr>
        <w:t xml:space="preserve"> allowance</w:t>
      </w:r>
      <w:r w:rsidR="005E207E">
        <w:rPr>
          <w:rFonts w:ascii="Times New Roman" w:hAnsi="Times New Roman" w:cs="Times New Roman"/>
          <w:sz w:val="24"/>
          <w:szCs w:val="24"/>
          <w:vertAlign w:val="baseline"/>
        </w:rPr>
        <w:t>,</w:t>
      </w:r>
      <w:r w:rsidR="00C73A41">
        <w:rPr>
          <w:rFonts w:ascii="Times New Roman" w:hAnsi="Times New Roman" w:cs="Times New Roman"/>
          <w:sz w:val="24"/>
          <w:szCs w:val="24"/>
          <w:vertAlign w:val="baseline"/>
        </w:rPr>
        <w:t xml:space="preserve"> by the international community</w:t>
      </w:r>
      <w:r w:rsidR="005E207E">
        <w:rPr>
          <w:rFonts w:ascii="Times New Roman" w:hAnsi="Times New Roman" w:cs="Times New Roman"/>
          <w:sz w:val="24"/>
          <w:szCs w:val="24"/>
          <w:vertAlign w:val="baseline"/>
        </w:rPr>
        <w:t>,</w:t>
      </w:r>
      <w:r w:rsidR="00C73A41">
        <w:rPr>
          <w:rFonts w:ascii="Times New Roman" w:hAnsi="Times New Roman" w:cs="Times New Roman"/>
          <w:sz w:val="24"/>
          <w:szCs w:val="24"/>
          <w:vertAlign w:val="baseline"/>
        </w:rPr>
        <w:t xml:space="preserve"> of the conditional acceptance and selectiveness of states in their implementation of</w:t>
      </w:r>
      <w:r w:rsidR="005E207E">
        <w:rPr>
          <w:rFonts w:ascii="Times New Roman" w:hAnsi="Times New Roman" w:cs="Times New Roman"/>
          <w:sz w:val="24"/>
          <w:szCs w:val="24"/>
          <w:vertAlign w:val="baseline"/>
        </w:rPr>
        <w:t>,</w:t>
      </w:r>
      <w:r w:rsidR="00C73A41">
        <w:rPr>
          <w:rFonts w:ascii="Times New Roman" w:hAnsi="Times New Roman" w:cs="Times New Roman"/>
          <w:sz w:val="24"/>
          <w:szCs w:val="24"/>
          <w:vertAlign w:val="baseline"/>
        </w:rPr>
        <w:t xml:space="preserve"> and</w:t>
      </w:r>
      <w:r w:rsidR="005E207E">
        <w:rPr>
          <w:rFonts w:ascii="Times New Roman" w:hAnsi="Times New Roman" w:cs="Times New Roman"/>
          <w:sz w:val="24"/>
          <w:szCs w:val="24"/>
          <w:vertAlign w:val="baseline"/>
        </w:rPr>
        <w:t>,</w:t>
      </w:r>
      <w:r w:rsidR="00C73A41">
        <w:rPr>
          <w:rFonts w:ascii="Times New Roman" w:hAnsi="Times New Roman" w:cs="Times New Roman"/>
          <w:sz w:val="24"/>
          <w:szCs w:val="24"/>
          <w:vertAlign w:val="baseline"/>
        </w:rPr>
        <w:t xml:space="preserve"> compliance with</w:t>
      </w:r>
      <w:r w:rsidR="005E207E">
        <w:rPr>
          <w:rFonts w:ascii="Times New Roman" w:hAnsi="Times New Roman" w:cs="Times New Roman"/>
          <w:sz w:val="24"/>
          <w:szCs w:val="24"/>
          <w:vertAlign w:val="baseline"/>
        </w:rPr>
        <w:t>,</w:t>
      </w:r>
      <w:r w:rsidR="00C73A41">
        <w:rPr>
          <w:rFonts w:ascii="Times New Roman" w:hAnsi="Times New Roman" w:cs="Times New Roman"/>
          <w:sz w:val="24"/>
          <w:szCs w:val="24"/>
          <w:vertAlign w:val="baseline"/>
        </w:rPr>
        <w:t xml:space="preserve"> human rights </w:t>
      </w:r>
      <w:r w:rsidR="00744F76">
        <w:rPr>
          <w:rFonts w:ascii="Times New Roman" w:hAnsi="Times New Roman" w:cs="Times New Roman"/>
          <w:sz w:val="24"/>
          <w:szCs w:val="24"/>
          <w:vertAlign w:val="baseline"/>
        </w:rPr>
        <w:t>guarantees</w:t>
      </w:r>
      <w:r w:rsidR="00C73A41">
        <w:rPr>
          <w:rFonts w:ascii="Times New Roman" w:hAnsi="Times New Roman" w:cs="Times New Roman"/>
          <w:sz w:val="24"/>
          <w:szCs w:val="24"/>
          <w:vertAlign w:val="baseline"/>
        </w:rPr>
        <w:t xml:space="preserve"> simply reflects the marginalisation of women’s rights within international human rights law.</w:t>
      </w:r>
      <w:r w:rsidR="005E207E">
        <w:rPr>
          <w:rFonts w:ascii="Times New Roman" w:hAnsi="Times New Roman" w:cs="Times New Roman"/>
          <w:sz w:val="24"/>
          <w:szCs w:val="24"/>
          <w:vertAlign w:val="baseline"/>
        </w:rPr>
        <w:t xml:space="preserve"> </w:t>
      </w:r>
      <w:r w:rsidR="001457DB">
        <w:rPr>
          <w:rFonts w:ascii="Times New Roman" w:hAnsi="Times New Roman" w:cs="Times New Roman"/>
          <w:sz w:val="24"/>
          <w:szCs w:val="24"/>
          <w:vertAlign w:val="baseline"/>
        </w:rPr>
        <w:t xml:space="preserve">Protection of states citing cultural impunity at the expense of women’s rights is </w:t>
      </w:r>
      <w:r w:rsidR="00B87D6D">
        <w:rPr>
          <w:rFonts w:ascii="Times New Roman" w:hAnsi="Times New Roman" w:cs="Times New Roman"/>
          <w:sz w:val="24"/>
          <w:szCs w:val="24"/>
          <w:vertAlign w:val="baseline"/>
        </w:rPr>
        <w:t xml:space="preserve">blatantly </w:t>
      </w:r>
      <w:r w:rsidR="001457DB">
        <w:rPr>
          <w:rFonts w:ascii="Times New Roman" w:hAnsi="Times New Roman" w:cs="Times New Roman"/>
          <w:sz w:val="24"/>
          <w:szCs w:val="24"/>
          <w:vertAlign w:val="baseline"/>
        </w:rPr>
        <w:t>unacceptable.</w:t>
      </w:r>
      <w:r w:rsidR="00696557">
        <w:rPr>
          <w:rFonts w:ascii="Times New Roman" w:hAnsi="Times New Roman" w:cs="Times New Roman"/>
          <w:sz w:val="24"/>
          <w:szCs w:val="24"/>
          <w:vertAlign w:val="baseline"/>
        </w:rPr>
        <w:t xml:space="preserve"> Whilst the international community continues to reiterate its concern at the prevalence of WAP, states continue to deny, ignore and protect such harmful practices.</w:t>
      </w:r>
      <w:r w:rsidR="005565BE">
        <w:rPr>
          <w:rFonts w:ascii="Times New Roman" w:hAnsi="Times New Roman" w:cs="Times New Roman"/>
          <w:sz w:val="24"/>
          <w:szCs w:val="24"/>
          <w:vertAlign w:val="baseline"/>
        </w:rPr>
        <w:t xml:space="preserve"> This is clearly evident within the CEDAW Committee</w:t>
      </w:r>
      <w:r w:rsidR="00BC699C">
        <w:rPr>
          <w:rFonts w:ascii="Times New Roman" w:hAnsi="Times New Roman" w:cs="Times New Roman"/>
          <w:sz w:val="24"/>
          <w:szCs w:val="24"/>
          <w:vertAlign w:val="baseline"/>
        </w:rPr>
        <w:t>’</w:t>
      </w:r>
      <w:r w:rsidR="005565BE">
        <w:rPr>
          <w:rFonts w:ascii="Times New Roman" w:hAnsi="Times New Roman" w:cs="Times New Roman"/>
          <w:sz w:val="24"/>
          <w:szCs w:val="24"/>
          <w:vertAlign w:val="baseline"/>
        </w:rPr>
        <w:t xml:space="preserve">s reiteration, seven years later, of </w:t>
      </w:r>
      <w:r w:rsidR="00BC699C">
        <w:rPr>
          <w:rFonts w:ascii="Times New Roman" w:hAnsi="Times New Roman" w:cs="Times New Roman"/>
          <w:sz w:val="24"/>
          <w:szCs w:val="24"/>
          <w:vertAlign w:val="baseline"/>
        </w:rPr>
        <w:t xml:space="preserve">exactly </w:t>
      </w:r>
      <w:r w:rsidR="005565BE">
        <w:rPr>
          <w:rFonts w:ascii="Times New Roman" w:hAnsi="Times New Roman" w:cs="Times New Roman"/>
          <w:sz w:val="24"/>
          <w:szCs w:val="24"/>
          <w:vertAlign w:val="baseline"/>
        </w:rPr>
        <w:t>the same Concluding Observations</w:t>
      </w:r>
      <w:r w:rsidR="00BC699C">
        <w:rPr>
          <w:rFonts w:ascii="Times New Roman" w:hAnsi="Times New Roman" w:cs="Times New Roman"/>
          <w:sz w:val="24"/>
          <w:szCs w:val="24"/>
          <w:vertAlign w:val="baseline"/>
        </w:rPr>
        <w:t xml:space="preserve"> to India,</w:t>
      </w:r>
      <w:r w:rsidR="005565BE">
        <w:rPr>
          <w:rFonts w:ascii="Times New Roman" w:hAnsi="Times New Roman" w:cs="Times New Roman"/>
          <w:sz w:val="24"/>
          <w:szCs w:val="24"/>
          <w:vertAlign w:val="baseline"/>
        </w:rPr>
        <w:t xml:space="preserve"> regarding the need to modify or eliminat</w:t>
      </w:r>
      <w:r w:rsidR="00F67407">
        <w:rPr>
          <w:rFonts w:ascii="Times New Roman" w:hAnsi="Times New Roman" w:cs="Times New Roman"/>
          <w:sz w:val="24"/>
          <w:szCs w:val="24"/>
          <w:vertAlign w:val="baseline"/>
        </w:rPr>
        <w:t>e harmful traditional practices an</w:t>
      </w:r>
      <w:r w:rsidR="00383BF9">
        <w:rPr>
          <w:rFonts w:ascii="Times New Roman" w:hAnsi="Times New Roman" w:cs="Times New Roman"/>
          <w:sz w:val="24"/>
          <w:szCs w:val="24"/>
          <w:vertAlign w:val="baseline"/>
        </w:rPr>
        <w:t>d, similarly, the repetition on the issue of Ghana’s witch camps within reports by the CEDAW Committee, the UPR and the Committee against Torture.</w:t>
      </w:r>
      <w:r w:rsidR="00A55150">
        <w:rPr>
          <w:rFonts w:ascii="Times New Roman" w:hAnsi="Times New Roman" w:cs="Times New Roman"/>
          <w:sz w:val="24"/>
          <w:szCs w:val="24"/>
          <w:vertAlign w:val="baseline"/>
        </w:rPr>
        <w:t xml:space="preserve"> </w:t>
      </w:r>
      <w:r w:rsidR="00812892">
        <w:rPr>
          <w:rFonts w:ascii="Times New Roman" w:hAnsi="Times New Roman" w:cs="Times New Roman"/>
          <w:sz w:val="24"/>
          <w:szCs w:val="24"/>
          <w:vertAlign w:val="baseline"/>
        </w:rPr>
        <w:t>There is a need for a major upheaval of the current UN human rights system. States need to be accountable for their actions, particularly in their reporting obligations and implementation of human rights guarantees. In order to guarantee this accountability, s</w:t>
      </w:r>
      <w:r w:rsidR="00800DAE">
        <w:rPr>
          <w:rFonts w:ascii="Times New Roman" w:hAnsi="Times New Roman" w:cs="Times New Roman"/>
          <w:sz w:val="24"/>
          <w:szCs w:val="24"/>
          <w:vertAlign w:val="baseline"/>
        </w:rPr>
        <w:t xml:space="preserve">anctions need to be enforceable, with </w:t>
      </w:r>
      <w:r w:rsidR="00E869A1">
        <w:rPr>
          <w:rFonts w:ascii="Times New Roman" w:hAnsi="Times New Roman" w:cs="Times New Roman"/>
          <w:sz w:val="24"/>
          <w:szCs w:val="24"/>
          <w:vertAlign w:val="baseline"/>
        </w:rPr>
        <w:t xml:space="preserve">strict </w:t>
      </w:r>
      <w:r w:rsidR="00800DAE">
        <w:rPr>
          <w:rFonts w:ascii="Times New Roman" w:hAnsi="Times New Roman" w:cs="Times New Roman"/>
          <w:sz w:val="24"/>
          <w:szCs w:val="24"/>
          <w:vertAlign w:val="baseline"/>
        </w:rPr>
        <w:t>penalties for non-compliance.</w:t>
      </w:r>
      <w:r w:rsidR="00E869A1">
        <w:rPr>
          <w:rFonts w:ascii="Times New Roman" w:hAnsi="Times New Roman" w:cs="Times New Roman"/>
          <w:sz w:val="24"/>
          <w:szCs w:val="24"/>
          <w:vertAlign w:val="baseline"/>
        </w:rPr>
        <w:t xml:space="preserve"> </w:t>
      </w:r>
      <w:r w:rsidR="005E39D5">
        <w:rPr>
          <w:rFonts w:ascii="Times New Roman" w:hAnsi="Times New Roman" w:cs="Times New Roman"/>
          <w:sz w:val="24"/>
          <w:szCs w:val="24"/>
          <w:vertAlign w:val="baseline"/>
        </w:rPr>
        <w:t xml:space="preserve">In terms of WAP on an international level, there needs to be greater awareness and understanding of the issue, </w:t>
      </w:r>
      <w:r w:rsidR="00ED3500">
        <w:rPr>
          <w:rFonts w:ascii="Times New Roman" w:hAnsi="Times New Roman" w:cs="Times New Roman"/>
          <w:sz w:val="24"/>
          <w:szCs w:val="24"/>
          <w:vertAlign w:val="baseline"/>
        </w:rPr>
        <w:t>constructive</w:t>
      </w:r>
      <w:r w:rsidR="005E39D5">
        <w:rPr>
          <w:rFonts w:ascii="Times New Roman" w:hAnsi="Times New Roman" w:cs="Times New Roman"/>
          <w:sz w:val="24"/>
          <w:szCs w:val="24"/>
          <w:vertAlign w:val="baseline"/>
        </w:rPr>
        <w:t xml:space="preserve"> </w:t>
      </w:r>
      <w:r w:rsidR="00ED3500">
        <w:rPr>
          <w:rFonts w:ascii="Times New Roman" w:hAnsi="Times New Roman" w:cs="Times New Roman"/>
          <w:sz w:val="24"/>
          <w:szCs w:val="24"/>
          <w:vertAlign w:val="baseline"/>
        </w:rPr>
        <w:t>dialogues</w:t>
      </w:r>
      <w:r w:rsidR="005E39D5">
        <w:rPr>
          <w:rFonts w:ascii="Times New Roman" w:hAnsi="Times New Roman" w:cs="Times New Roman"/>
          <w:sz w:val="24"/>
          <w:szCs w:val="24"/>
          <w:vertAlign w:val="baseline"/>
        </w:rPr>
        <w:t xml:space="preserve"> and </w:t>
      </w:r>
      <w:r w:rsidR="00ED3500">
        <w:rPr>
          <w:rFonts w:ascii="Times New Roman" w:hAnsi="Times New Roman" w:cs="Times New Roman"/>
          <w:sz w:val="24"/>
          <w:szCs w:val="24"/>
          <w:vertAlign w:val="baseline"/>
        </w:rPr>
        <w:t xml:space="preserve">further </w:t>
      </w:r>
      <w:r w:rsidR="005E39D5">
        <w:rPr>
          <w:rFonts w:ascii="Times New Roman" w:hAnsi="Times New Roman" w:cs="Times New Roman"/>
          <w:sz w:val="24"/>
          <w:szCs w:val="24"/>
          <w:vertAlign w:val="baseline"/>
        </w:rPr>
        <w:t>research as to the sc</w:t>
      </w:r>
      <w:r w:rsidR="00D41E5E">
        <w:rPr>
          <w:rFonts w:ascii="Times New Roman" w:hAnsi="Times New Roman" w:cs="Times New Roman"/>
          <w:sz w:val="24"/>
          <w:szCs w:val="24"/>
          <w:vertAlign w:val="baseline"/>
        </w:rPr>
        <w:t>ale and pervasiveness of WAP, with</w:t>
      </w:r>
      <w:r w:rsidR="005E39D5">
        <w:rPr>
          <w:rFonts w:ascii="Times New Roman" w:hAnsi="Times New Roman" w:cs="Times New Roman"/>
          <w:sz w:val="24"/>
          <w:szCs w:val="24"/>
          <w:vertAlign w:val="baseline"/>
        </w:rPr>
        <w:t xml:space="preserve"> a less disjointed approach in tackling the issue. </w:t>
      </w:r>
      <w:r w:rsidR="00E869A1">
        <w:rPr>
          <w:rFonts w:ascii="Times New Roman" w:hAnsi="Times New Roman" w:cs="Times New Roman"/>
          <w:sz w:val="24"/>
          <w:szCs w:val="24"/>
          <w:vertAlign w:val="baseline"/>
        </w:rPr>
        <w:t>The UN human rights system was developed to be universal to all individuals, not as an optional scheme for the fortunate.</w:t>
      </w:r>
      <w:r w:rsidR="008059FC">
        <w:rPr>
          <w:rFonts w:ascii="Times New Roman" w:hAnsi="Times New Roman" w:cs="Times New Roman"/>
          <w:sz w:val="24"/>
          <w:szCs w:val="24"/>
          <w:vertAlign w:val="baseline"/>
        </w:rPr>
        <w:t xml:space="preserve"> </w:t>
      </w:r>
    </w:p>
    <w:p w14:paraId="010A484B" w14:textId="77777777" w:rsidR="00BD2D54" w:rsidRDefault="00BD2D54" w:rsidP="005E39D5">
      <w:pPr>
        <w:spacing w:line="480" w:lineRule="auto"/>
        <w:ind w:firstLine="720"/>
        <w:jc w:val="both"/>
        <w:rPr>
          <w:rFonts w:ascii="Times New Roman" w:hAnsi="Times New Roman" w:cs="Times New Roman"/>
          <w:sz w:val="24"/>
          <w:szCs w:val="24"/>
          <w:vertAlign w:val="baseline"/>
        </w:rPr>
      </w:pPr>
    </w:p>
    <w:p w14:paraId="5207D18C" w14:textId="463F2F66" w:rsidR="00C463B7" w:rsidRPr="00BD2D54" w:rsidRDefault="00BD2D54" w:rsidP="00BD2D54">
      <w:pPr>
        <w:spacing w:line="480" w:lineRule="auto"/>
        <w:jc w:val="both"/>
        <w:rPr>
          <w:rFonts w:ascii="Times New Roman" w:hAnsi="Times New Roman" w:cs="Times New Roman"/>
          <w:b/>
          <w:sz w:val="24"/>
          <w:szCs w:val="24"/>
          <w:u w:val="single"/>
          <w:vertAlign w:val="baseline"/>
        </w:rPr>
      </w:pPr>
      <w:r w:rsidRPr="00BD2D54">
        <w:rPr>
          <w:rFonts w:ascii="Times New Roman" w:hAnsi="Times New Roman" w:cs="Times New Roman"/>
          <w:b/>
          <w:sz w:val="24"/>
          <w:szCs w:val="24"/>
          <w:u w:val="single"/>
          <w:vertAlign w:val="baseline"/>
        </w:rPr>
        <w:t>Witchcraft and National Laws</w:t>
      </w:r>
    </w:p>
    <w:p w14:paraId="5B12E015" w14:textId="08F787D7" w:rsidR="005236E0" w:rsidRDefault="00C463B7" w:rsidP="005145DF">
      <w:pPr>
        <w:spacing w:line="480" w:lineRule="auto"/>
        <w:ind w:firstLine="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On a national level, within all four states, the denial of the pervasiveness of WAP is prevalent.</w:t>
      </w:r>
      <w:r w:rsidR="006A4ADD">
        <w:rPr>
          <w:rFonts w:ascii="Times New Roman" w:hAnsi="Times New Roman" w:cs="Times New Roman"/>
          <w:sz w:val="24"/>
          <w:szCs w:val="24"/>
          <w:vertAlign w:val="baseline"/>
        </w:rPr>
        <w:t xml:space="preserve"> </w:t>
      </w:r>
      <w:r w:rsidR="005236E0">
        <w:rPr>
          <w:rFonts w:ascii="Times New Roman" w:hAnsi="Times New Roman" w:cs="Times New Roman"/>
          <w:sz w:val="24"/>
          <w:szCs w:val="24"/>
          <w:vertAlign w:val="baseline"/>
        </w:rPr>
        <w:t xml:space="preserve">All four countries discussed have </w:t>
      </w:r>
      <w:r w:rsidR="000B147D">
        <w:rPr>
          <w:rFonts w:ascii="Times New Roman" w:hAnsi="Times New Roman" w:cs="Times New Roman"/>
          <w:sz w:val="24"/>
          <w:szCs w:val="24"/>
          <w:vertAlign w:val="baseline"/>
        </w:rPr>
        <w:t xml:space="preserve">an allocated </w:t>
      </w:r>
      <w:r w:rsidR="005236E0">
        <w:rPr>
          <w:rFonts w:ascii="Times New Roman" w:hAnsi="Times New Roman" w:cs="Times New Roman"/>
          <w:sz w:val="24"/>
          <w:szCs w:val="24"/>
          <w:vertAlign w:val="baseline"/>
        </w:rPr>
        <w:t xml:space="preserve">‘Fundamental Rights’ section within their respective Constitutions, </w:t>
      </w:r>
      <w:r w:rsidR="000B147D">
        <w:rPr>
          <w:rFonts w:ascii="Times New Roman" w:hAnsi="Times New Roman" w:cs="Times New Roman"/>
          <w:sz w:val="24"/>
          <w:szCs w:val="24"/>
          <w:vertAlign w:val="baseline"/>
        </w:rPr>
        <w:t>specifying the rights for equality, non-discrimination and freedom from inhumane treatment. However, whilst this may be applicable to the public sphere, the private sphere remains regulated by local customary laws</w:t>
      </w:r>
      <w:r w:rsidR="00076BA5">
        <w:rPr>
          <w:rFonts w:ascii="Times New Roman" w:hAnsi="Times New Roman" w:cs="Times New Roman"/>
          <w:sz w:val="24"/>
          <w:szCs w:val="24"/>
          <w:vertAlign w:val="baseline"/>
        </w:rPr>
        <w:t>.</w:t>
      </w:r>
      <w:r w:rsidR="005145DF">
        <w:rPr>
          <w:rFonts w:ascii="Times New Roman" w:hAnsi="Times New Roman" w:cs="Times New Roman"/>
          <w:sz w:val="24"/>
          <w:szCs w:val="24"/>
          <w:vertAlign w:val="baseline"/>
        </w:rPr>
        <w:t xml:space="preserve"> </w:t>
      </w:r>
      <w:r w:rsidR="001F0B94">
        <w:rPr>
          <w:rFonts w:ascii="Times New Roman" w:hAnsi="Times New Roman" w:cs="Times New Roman"/>
          <w:sz w:val="24"/>
          <w:szCs w:val="24"/>
          <w:vertAlign w:val="baseline"/>
        </w:rPr>
        <w:t xml:space="preserve">Barriers posed by culture and customary laws, which defend and propagate WAP, remain entrenched throughout all aspects of social, cultural, religious and political structures of society. </w:t>
      </w:r>
      <w:r w:rsidR="006A4ADD">
        <w:rPr>
          <w:rFonts w:ascii="Times New Roman" w:hAnsi="Times New Roman" w:cs="Times New Roman"/>
          <w:sz w:val="24"/>
          <w:szCs w:val="24"/>
          <w:vertAlign w:val="baseline"/>
        </w:rPr>
        <w:t>Unfortunately, state</w:t>
      </w:r>
      <w:r w:rsidR="00FE1AB2">
        <w:rPr>
          <w:rFonts w:ascii="Times New Roman" w:hAnsi="Times New Roman" w:cs="Times New Roman"/>
          <w:sz w:val="24"/>
          <w:szCs w:val="24"/>
          <w:vertAlign w:val="baseline"/>
        </w:rPr>
        <w:t xml:space="preserve">s are seemingly indifferent when faced with </w:t>
      </w:r>
      <w:r w:rsidR="006A4ADD">
        <w:rPr>
          <w:rFonts w:ascii="Times New Roman" w:hAnsi="Times New Roman" w:cs="Times New Roman"/>
          <w:sz w:val="24"/>
          <w:szCs w:val="24"/>
          <w:vertAlign w:val="baseline"/>
        </w:rPr>
        <w:t>target</w:t>
      </w:r>
      <w:r w:rsidR="00FE1AB2">
        <w:rPr>
          <w:rFonts w:ascii="Times New Roman" w:hAnsi="Times New Roman" w:cs="Times New Roman"/>
          <w:sz w:val="24"/>
          <w:szCs w:val="24"/>
          <w:vertAlign w:val="baseline"/>
        </w:rPr>
        <w:t>ing</w:t>
      </w:r>
      <w:r w:rsidR="006A4ADD">
        <w:rPr>
          <w:rFonts w:ascii="Times New Roman" w:hAnsi="Times New Roman" w:cs="Times New Roman"/>
          <w:sz w:val="24"/>
          <w:szCs w:val="24"/>
          <w:vertAlign w:val="baseline"/>
        </w:rPr>
        <w:t xml:space="preserve"> discrimi</w:t>
      </w:r>
      <w:r w:rsidR="00FE1AB2">
        <w:rPr>
          <w:rFonts w:ascii="Times New Roman" w:hAnsi="Times New Roman" w:cs="Times New Roman"/>
          <w:sz w:val="24"/>
          <w:szCs w:val="24"/>
          <w:vertAlign w:val="baseline"/>
        </w:rPr>
        <w:t>natory traditional practices.</w:t>
      </w:r>
      <w:r w:rsidR="00F6453F">
        <w:rPr>
          <w:rFonts w:ascii="Times New Roman" w:hAnsi="Times New Roman" w:cs="Times New Roman"/>
          <w:sz w:val="24"/>
          <w:szCs w:val="24"/>
          <w:vertAlign w:val="baseline"/>
        </w:rPr>
        <w:t xml:space="preserve"> </w:t>
      </w:r>
      <w:r w:rsidR="00A357F2">
        <w:rPr>
          <w:rFonts w:ascii="Times New Roman" w:hAnsi="Times New Roman" w:cs="Times New Roman"/>
          <w:sz w:val="24"/>
          <w:szCs w:val="24"/>
          <w:vertAlign w:val="baseline"/>
        </w:rPr>
        <w:t xml:space="preserve">Under international human rights law, states have a legal responsibility to ensure that harmful customary laws and practices are modified in order to conform </w:t>
      </w:r>
      <w:r w:rsidR="00F6432C">
        <w:rPr>
          <w:rFonts w:ascii="Times New Roman" w:hAnsi="Times New Roman" w:cs="Times New Roman"/>
          <w:sz w:val="24"/>
          <w:szCs w:val="24"/>
          <w:vertAlign w:val="baseline"/>
        </w:rPr>
        <w:t>to</w:t>
      </w:r>
      <w:r w:rsidR="00A357F2">
        <w:rPr>
          <w:rFonts w:ascii="Times New Roman" w:hAnsi="Times New Roman" w:cs="Times New Roman"/>
          <w:sz w:val="24"/>
          <w:szCs w:val="24"/>
          <w:vertAlign w:val="baseline"/>
        </w:rPr>
        <w:t xml:space="preserve"> human rights norms. </w:t>
      </w:r>
      <w:r w:rsidR="00F6432C">
        <w:rPr>
          <w:rFonts w:ascii="Times New Roman" w:hAnsi="Times New Roman" w:cs="Times New Roman"/>
          <w:sz w:val="24"/>
          <w:szCs w:val="24"/>
          <w:vertAlign w:val="baseline"/>
        </w:rPr>
        <w:t>Yet, even where there is legislation in place, the enforcement of such laws lacks enthusiasm.</w:t>
      </w:r>
      <w:r w:rsidR="00CA3257">
        <w:rPr>
          <w:rFonts w:ascii="Times New Roman" w:hAnsi="Times New Roman" w:cs="Times New Roman"/>
          <w:sz w:val="24"/>
          <w:szCs w:val="24"/>
          <w:vertAlign w:val="baseline"/>
        </w:rPr>
        <w:t xml:space="preserve"> As noted previously, matters pertaining to the private sphere are generally viewed as cultural-specific. Thus, state characterisation of women’s rights as family rights simply exacerbates the issue of discrimination</w:t>
      </w:r>
      <w:r w:rsidR="00D57411">
        <w:rPr>
          <w:rFonts w:ascii="Times New Roman" w:hAnsi="Times New Roman" w:cs="Times New Roman"/>
          <w:sz w:val="24"/>
          <w:szCs w:val="24"/>
          <w:vertAlign w:val="baseline"/>
        </w:rPr>
        <w:t>,</w:t>
      </w:r>
      <w:r w:rsidR="00CA3257">
        <w:rPr>
          <w:rFonts w:ascii="Times New Roman" w:hAnsi="Times New Roman" w:cs="Times New Roman"/>
          <w:sz w:val="24"/>
          <w:szCs w:val="24"/>
          <w:vertAlign w:val="baseline"/>
        </w:rPr>
        <w:t xml:space="preserve"> in terms of customary laws and practices.</w:t>
      </w:r>
      <w:r w:rsidR="00D57411">
        <w:rPr>
          <w:rFonts w:ascii="Times New Roman" w:hAnsi="Times New Roman" w:cs="Times New Roman"/>
          <w:sz w:val="24"/>
          <w:szCs w:val="24"/>
          <w:vertAlign w:val="baseline"/>
        </w:rPr>
        <w:t xml:space="preserve"> </w:t>
      </w:r>
      <w:r w:rsidR="00FA5D3C">
        <w:rPr>
          <w:rFonts w:ascii="Times New Roman" w:hAnsi="Times New Roman" w:cs="Times New Roman"/>
          <w:sz w:val="24"/>
          <w:szCs w:val="24"/>
          <w:vertAlign w:val="baseline"/>
        </w:rPr>
        <w:t xml:space="preserve">Moreover, these rights are determined by religion and ethnicity, which </w:t>
      </w:r>
      <w:r w:rsidR="009047AC">
        <w:rPr>
          <w:rFonts w:ascii="Times New Roman" w:hAnsi="Times New Roman" w:cs="Times New Roman"/>
          <w:sz w:val="24"/>
          <w:szCs w:val="24"/>
          <w:vertAlign w:val="baseline"/>
        </w:rPr>
        <w:t xml:space="preserve">not only discriminates against women because they are women, </w:t>
      </w:r>
      <w:r w:rsidR="003D0A18">
        <w:rPr>
          <w:rFonts w:ascii="Times New Roman" w:hAnsi="Times New Roman" w:cs="Times New Roman"/>
          <w:sz w:val="24"/>
          <w:szCs w:val="24"/>
          <w:vertAlign w:val="baseline"/>
        </w:rPr>
        <w:t>but also</w:t>
      </w:r>
      <w:r w:rsidR="009047AC">
        <w:rPr>
          <w:rFonts w:ascii="Times New Roman" w:hAnsi="Times New Roman" w:cs="Times New Roman"/>
          <w:sz w:val="24"/>
          <w:szCs w:val="24"/>
          <w:vertAlign w:val="baseline"/>
        </w:rPr>
        <w:t xml:space="preserve"> discriminates </w:t>
      </w:r>
      <w:r w:rsidR="003D0A18">
        <w:rPr>
          <w:rFonts w:ascii="Times New Roman" w:hAnsi="Times New Roman" w:cs="Times New Roman"/>
          <w:sz w:val="24"/>
          <w:szCs w:val="24"/>
          <w:vertAlign w:val="baseline"/>
        </w:rPr>
        <w:t>against women in respect of their caste, religion and ethnicity.</w:t>
      </w:r>
      <w:r w:rsidR="00860383">
        <w:rPr>
          <w:rFonts w:ascii="Times New Roman" w:hAnsi="Times New Roman" w:cs="Times New Roman"/>
          <w:sz w:val="24"/>
          <w:szCs w:val="24"/>
          <w:vertAlign w:val="baseline"/>
        </w:rPr>
        <w:t xml:space="preserve"> For example, in India, the reluctance to introduce uniformity of the law, with respect to the enactment of an Indian Civil Code, allows women to be treated </w:t>
      </w:r>
      <w:r w:rsidR="00DD72D7">
        <w:rPr>
          <w:rFonts w:ascii="Times New Roman" w:hAnsi="Times New Roman" w:cs="Times New Roman"/>
          <w:sz w:val="24"/>
          <w:szCs w:val="24"/>
          <w:vertAlign w:val="baseline"/>
        </w:rPr>
        <w:t xml:space="preserve">differently dependent on religious </w:t>
      </w:r>
      <w:r w:rsidR="00872F4A">
        <w:rPr>
          <w:rFonts w:ascii="Times New Roman" w:hAnsi="Times New Roman" w:cs="Times New Roman"/>
          <w:sz w:val="24"/>
          <w:szCs w:val="24"/>
          <w:vertAlign w:val="baseline"/>
        </w:rPr>
        <w:t>faith</w:t>
      </w:r>
      <w:r w:rsidR="00DD72D7">
        <w:rPr>
          <w:rFonts w:ascii="Times New Roman" w:hAnsi="Times New Roman" w:cs="Times New Roman"/>
          <w:sz w:val="24"/>
          <w:szCs w:val="24"/>
          <w:vertAlign w:val="baseline"/>
        </w:rPr>
        <w:t>.</w:t>
      </w:r>
      <w:r w:rsidR="00872F4A">
        <w:rPr>
          <w:rFonts w:ascii="Times New Roman" w:hAnsi="Times New Roman" w:cs="Times New Roman"/>
          <w:sz w:val="24"/>
          <w:szCs w:val="24"/>
          <w:vertAlign w:val="baseline"/>
        </w:rPr>
        <w:t xml:space="preserve"> The recognition of such laws, by the government, represents further issues, as this simply reinforces inequality throughout society.</w:t>
      </w:r>
      <w:r w:rsidR="009B281B">
        <w:rPr>
          <w:rFonts w:ascii="Times New Roman" w:hAnsi="Times New Roman" w:cs="Times New Roman"/>
          <w:sz w:val="24"/>
          <w:szCs w:val="24"/>
          <w:vertAlign w:val="baseline"/>
        </w:rPr>
        <w:t xml:space="preserve"> </w:t>
      </w:r>
    </w:p>
    <w:p w14:paraId="6046B73F" w14:textId="77777777" w:rsidR="005236E0" w:rsidRDefault="005236E0" w:rsidP="005145DF">
      <w:pPr>
        <w:spacing w:line="480" w:lineRule="auto"/>
        <w:jc w:val="both"/>
        <w:rPr>
          <w:rFonts w:ascii="Times New Roman" w:hAnsi="Times New Roman" w:cs="Times New Roman"/>
          <w:sz w:val="24"/>
          <w:szCs w:val="24"/>
          <w:vertAlign w:val="baseline"/>
        </w:rPr>
      </w:pPr>
    </w:p>
    <w:p w14:paraId="7868EB35" w14:textId="0837C05C" w:rsidR="00F6453F" w:rsidRDefault="005145DF" w:rsidP="00E61470">
      <w:pPr>
        <w:spacing w:line="480" w:lineRule="auto"/>
        <w:ind w:firstLine="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On a positive note</w:t>
      </w:r>
      <w:r w:rsidR="009B281B">
        <w:rPr>
          <w:rFonts w:ascii="Times New Roman" w:hAnsi="Times New Roman" w:cs="Times New Roman"/>
          <w:sz w:val="24"/>
          <w:szCs w:val="24"/>
          <w:vertAlign w:val="baseline"/>
        </w:rPr>
        <w:t xml:space="preserve">, there have been attempts by states to legislate against the practice of witchcraft. </w:t>
      </w:r>
      <w:r>
        <w:rPr>
          <w:rFonts w:ascii="Times New Roman" w:hAnsi="Times New Roman" w:cs="Times New Roman"/>
          <w:sz w:val="24"/>
          <w:szCs w:val="24"/>
          <w:vertAlign w:val="baseline"/>
        </w:rPr>
        <w:t>Within India, seven states</w:t>
      </w:r>
      <w:r w:rsidR="002D43B1">
        <w:rPr>
          <w:rStyle w:val="FootnoteReference"/>
          <w:rFonts w:ascii="Times New Roman" w:hAnsi="Times New Roman" w:cs="Times New Roman"/>
          <w:sz w:val="24"/>
          <w:szCs w:val="24"/>
        </w:rPr>
        <w:footnoteReference w:id="1312"/>
      </w:r>
      <w:r>
        <w:rPr>
          <w:rFonts w:ascii="Times New Roman" w:hAnsi="Times New Roman" w:cs="Times New Roman"/>
          <w:sz w:val="24"/>
          <w:szCs w:val="24"/>
          <w:vertAlign w:val="baseline"/>
        </w:rPr>
        <w:t xml:space="preserve"> have </w:t>
      </w:r>
      <w:r w:rsidR="002D43B1">
        <w:rPr>
          <w:rFonts w:ascii="Times New Roman" w:hAnsi="Times New Roman" w:cs="Times New Roman"/>
          <w:sz w:val="24"/>
          <w:szCs w:val="24"/>
          <w:vertAlign w:val="baseline"/>
        </w:rPr>
        <w:t>enacted specific laws against WAP.</w:t>
      </w:r>
      <w:r w:rsidR="005475B9">
        <w:rPr>
          <w:rFonts w:ascii="Times New Roman" w:hAnsi="Times New Roman" w:cs="Times New Roman"/>
          <w:sz w:val="24"/>
          <w:szCs w:val="24"/>
          <w:vertAlign w:val="baseline"/>
        </w:rPr>
        <w:t xml:space="preserve"> Whilst encouraging, in the majority of Indian states there is no legislation to protect against WAP. Moreover, in those states that have enacted </w:t>
      </w:r>
      <w:r w:rsidR="009B10AC">
        <w:rPr>
          <w:rFonts w:ascii="Times New Roman" w:hAnsi="Times New Roman" w:cs="Times New Roman"/>
          <w:sz w:val="24"/>
          <w:szCs w:val="24"/>
          <w:vertAlign w:val="baseline"/>
        </w:rPr>
        <w:t>preventative legislation, this has, thus far, proved ineffective, with conviction rates less than 1%.</w:t>
      </w:r>
      <w:r w:rsidR="00D81BFB">
        <w:rPr>
          <w:rFonts w:ascii="Times New Roman" w:hAnsi="Times New Roman" w:cs="Times New Roman"/>
          <w:sz w:val="24"/>
          <w:szCs w:val="24"/>
          <w:vertAlign w:val="baseline"/>
        </w:rPr>
        <w:t xml:space="preserve"> In Nepal, there is reference to WAP within their General</w:t>
      </w:r>
      <w:r w:rsidR="007863C0">
        <w:rPr>
          <w:rFonts w:ascii="Times New Roman" w:hAnsi="Times New Roman" w:cs="Times New Roman"/>
          <w:sz w:val="24"/>
          <w:szCs w:val="24"/>
          <w:vertAlign w:val="baseline"/>
        </w:rPr>
        <w:t xml:space="preserve"> Code; yet with weak </w:t>
      </w:r>
      <w:r w:rsidR="00D81BFB">
        <w:rPr>
          <w:rFonts w:ascii="Times New Roman" w:hAnsi="Times New Roman" w:cs="Times New Roman"/>
          <w:sz w:val="24"/>
          <w:szCs w:val="24"/>
          <w:vertAlign w:val="baseline"/>
        </w:rPr>
        <w:t>punishment, the code presents no real deterrent to wrongdoers.</w:t>
      </w:r>
      <w:r w:rsidR="00EF45E9">
        <w:rPr>
          <w:rFonts w:ascii="Times New Roman" w:hAnsi="Times New Roman" w:cs="Times New Roman"/>
          <w:sz w:val="24"/>
          <w:szCs w:val="24"/>
          <w:vertAlign w:val="baseline"/>
        </w:rPr>
        <w:t xml:space="preserve"> Interestingly, in both India and Nepal, there have been calls from the respective Supreme Courts to challenge the pervasiveness of harmful traditional practices. The Supreme Court of Nepal issued a directive order to the Government of Nepal to enact adequate and appropriate laws and to take preventative measures against the practice of witchcraft, whilst the Supreme Court of India has challenged the Indian Government’s unwillingness to enact </w:t>
      </w:r>
      <w:r w:rsidR="00B03191">
        <w:rPr>
          <w:rFonts w:ascii="Times New Roman" w:hAnsi="Times New Roman" w:cs="Times New Roman"/>
          <w:sz w:val="24"/>
          <w:szCs w:val="24"/>
          <w:vertAlign w:val="baseline"/>
        </w:rPr>
        <w:t xml:space="preserve">a Uniform Civil Code. However, currently such </w:t>
      </w:r>
      <w:r w:rsidR="00D74683">
        <w:rPr>
          <w:rFonts w:ascii="Times New Roman" w:hAnsi="Times New Roman" w:cs="Times New Roman"/>
          <w:sz w:val="24"/>
          <w:szCs w:val="24"/>
          <w:vertAlign w:val="baseline"/>
        </w:rPr>
        <w:t>views have fallen on deaf ears. Whilst courts can raise issues of policy, ultimately it is for the government to enact the required legislation.</w:t>
      </w:r>
      <w:r w:rsidR="0098110A">
        <w:rPr>
          <w:rFonts w:ascii="Times New Roman" w:hAnsi="Times New Roman" w:cs="Times New Roman"/>
          <w:sz w:val="24"/>
          <w:szCs w:val="24"/>
          <w:vertAlign w:val="baseline"/>
        </w:rPr>
        <w:t xml:space="preserve"> </w:t>
      </w:r>
      <w:r w:rsidR="00893CFD">
        <w:rPr>
          <w:rFonts w:ascii="Times New Roman" w:hAnsi="Times New Roman" w:cs="Times New Roman"/>
          <w:sz w:val="24"/>
          <w:szCs w:val="24"/>
          <w:vertAlign w:val="baseline"/>
        </w:rPr>
        <w:t>In 2013, in response to a series of highly publicised WAP related murders and pressure from human rights groups, PNG repealed the Sorcery Act 1971, which had previously criminalised the act of sorcery, instead adding a specific law on sorcery into their Criminal Code Act 1974</w:t>
      </w:r>
      <w:r w:rsidR="00630911">
        <w:rPr>
          <w:rFonts w:ascii="Times New Roman" w:hAnsi="Times New Roman" w:cs="Times New Roman"/>
          <w:sz w:val="24"/>
          <w:szCs w:val="24"/>
          <w:vertAlign w:val="baseline"/>
        </w:rPr>
        <w:t>,</w:t>
      </w:r>
      <w:r w:rsidR="00893CFD">
        <w:rPr>
          <w:rFonts w:ascii="Times New Roman" w:hAnsi="Times New Roman" w:cs="Times New Roman"/>
          <w:sz w:val="24"/>
          <w:szCs w:val="24"/>
          <w:vertAlign w:val="baseline"/>
        </w:rPr>
        <w:t xml:space="preserve"> punishable by the death penalty. </w:t>
      </w:r>
      <w:r w:rsidR="006E23CE">
        <w:rPr>
          <w:rFonts w:ascii="Times New Roman" w:hAnsi="Times New Roman" w:cs="Times New Roman"/>
          <w:sz w:val="24"/>
          <w:szCs w:val="24"/>
          <w:vertAlign w:val="baseline"/>
        </w:rPr>
        <w:t>Despite the severity of the punishment for perpetrators of WAP, witchcraft related violence remains prevalent in PNG. The continuing high prevalence of WAP, in the face of specific legislation, is due to</w:t>
      </w:r>
      <w:r w:rsidR="00D3550D">
        <w:rPr>
          <w:rFonts w:ascii="Times New Roman" w:hAnsi="Times New Roman" w:cs="Times New Roman"/>
          <w:sz w:val="24"/>
          <w:szCs w:val="24"/>
          <w:vertAlign w:val="baseline"/>
        </w:rPr>
        <w:t xml:space="preserve"> a combination of weak </w:t>
      </w:r>
      <w:r w:rsidR="00F942AA">
        <w:rPr>
          <w:rFonts w:ascii="Times New Roman" w:hAnsi="Times New Roman" w:cs="Times New Roman"/>
          <w:sz w:val="24"/>
          <w:szCs w:val="24"/>
          <w:vertAlign w:val="baseline"/>
        </w:rPr>
        <w:t xml:space="preserve">implementation and </w:t>
      </w:r>
      <w:r w:rsidR="00D3550D">
        <w:rPr>
          <w:rFonts w:ascii="Times New Roman" w:hAnsi="Times New Roman" w:cs="Times New Roman"/>
          <w:sz w:val="24"/>
          <w:szCs w:val="24"/>
          <w:vertAlign w:val="baseline"/>
        </w:rPr>
        <w:t xml:space="preserve">enforcement of the existing legislation, ineffective policing, entrenched cultural </w:t>
      </w:r>
      <w:r w:rsidR="00B2187D">
        <w:rPr>
          <w:rFonts w:ascii="Times New Roman" w:hAnsi="Times New Roman" w:cs="Times New Roman"/>
          <w:sz w:val="24"/>
          <w:szCs w:val="24"/>
          <w:vertAlign w:val="baseline"/>
        </w:rPr>
        <w:t xml:space="preserve">and superstitious </w:t>
      </w:r>
      <w:r w:rsidR="00D3550D">
        <w:rPr>
          <w:rFonts w:ascii="Times New Roman" w:hAnsi="Times New Roman" w:cs="Times New Roman"/>
          <w:sz w:val="24"/>
          <w:szCs w:val="24"/>
          <w:vertAlign w:val="baseline"/>
        </w:rPr>
        <w:t xml:space="preserve">beliefs in witchcraft and discriminatory attitudes towards women.  </w:t>
      </w:r>
      <w:r w:rsidR="00B2187D">
        <w:rPr>
          <w:rFonts w:ascii="Times New Roman" w:hAnsi="Times New Roman" w:cs="Times New Roman"/>
          <w:sz w:val="24"/>
          <w:szCs w:val="24"/>
          <w:vertAlign w:val="baseline"/>
        </w:rPr>
        <w:t xml:space="preserve">Victims are afraid to lodge complaints, due to lack of evidence, </w:t>
      </w:r>
      <w:r w:rsidR="00F942AA">
        <w:rPr>
          <w:rFonts w:ascii="Times New Roman" w:hAnsi="Times New Roman" w:cs="Times New Roman"/>
          <w:sz w:val="24"/>
          <w:szCs w:val="24"/>
          <w:vertAlign w:val="baseline"/>
        </w:rPr>
        <w:t xml:space="preserve">societal pressure, </w:t>
      </w:r>
      <w:r w:rsidR="00B2187D">
        <w:rPr>
          <w:rFonts w:ascii="Times New Roman" w:hAnsi="Times New Roman" w:cs="Times New Roman"/>
          <w:sz w:val="24"/>
          <w:szCs w:val="24"/>
          <w:vertAlign w:val="baseline"/>
        </w:rPr>
        <w:t>poor police response and a fear of retaliation.</w:t>
      </w:r>
      <w:r w:rsidR="00F942AA">
        <w:rPr>
          <w:rFonts w:ascii="Times New Roman" w:hAnsi="Times New Roman" w:cs="Times New Roman"/>
          <w:sz w:val="24"/>
          <w:szCs w:val="24"/>
          <w:vertAlign w:val="baseline"/>
        </w:rPr>
        <w:t xml:space="preserve"> In terms of policing, entrenched beliefs in witchcraft also permeate throughout law enforcement agencies, contributing to police reluctance and ignorance when faced with victims of WAP. This makes it difficult for victims to trust the police and also allows for a culture of impunity within these societies. </w:t>
      </w:r>
      <w:r w:rsidR="00003C11">
        <w:rPr>
          <w:rFonts w:ascii="Times New Roman" w:hAnsi="Times New Roman" w:cs="Times New Roman"/>
          <w:sz w:val="24"/>
          <w:szCs w:val="24"/>
          <w:vertAlign w:val="baseline"/>
        </w:rPr>
        <w:t>Moreover, police forces are often ill equipped to deal with such problems.</w:t>
      </w:r>
      <w:r w:rsidR="007C33C3">
        <w:rPr>
          <w:rFonts w:ascii="Times New Roman" w:hAnsi="Times New Roman" w:cs="Times New Roman"/>
          <w:sz w:val="24"/>
          <w:szCs w:val="24"/>
          <w:vertAlign w:val="baseline"/>
        </w:rPr>
        <w:t xml:space="preserve"> Thus, there is the need for better training and education on how to proceed with securing evidence in cases of witchcraft that are highly secretive in nature and remain guarded by society. </w:t>
      </w:r>
      <w:r w:rsidR="00685886">
        <w:rPr>
          <w:rFonts w:ascii="Times New Roman" w:hAnsi="Times New Roman" w:cs="Times New Roman"/>
          <w:sz w:val="24"/>
          <w:szCs w:val="24"/>
          <w:vertAlign w:val="baseline"/>
        </w:rPr>
        <w:t>Police officers also need to be offered incentives, such as better wages, so not as to be tempted into corruption by taking bribes.</w:t>
      </w:r>
      <w:r w:rsidR="00E61470">
        <w:rPr>
          <w:rFonts w:ascii="Times New Roman" w:hAnsi="Times New Roman" w:cs="Times New Roman"/>
          <w:sz w:val="24"/>
          <w:szCs w:val="24"/>
          <w:vertAlign w:val="baseline"/>
        </w:rPr>
        <w:t xml:space="preserve"> </w:t>
      </w:r>
      <w:r w:rsidR="006E23CE">
        <w:rPr>
          <w:rFonts w:ascii="Times New Roman" w:hAnsi="Times New Roman" w:cs="Times New Roman"/>
          <w:sz w:val="24"/>
          <w:szCs w:val="24"/>
          <w:vertAlign w:val="baseline"/>
        </w:rPr>
        <w:t xml:space="preserve">In contrast with the other three states, Ghana, despite the establishment of witch-camps specifically to deal with the demand of women accused of </w:t>
      </w:r>
      <w:r w:rsidR="00E61470">
        <w:rPr>
          <w:rFonts w:ascii="Times New Roman" w:hAnsi="Times New Roman" w:cs="Times New Roman"/>
          <w:sz w:val="24"/>
          <w:szCs w:val="24"/>
          <w:vertAlign w:val="baseline"/>
        </w:rPr>
        <w:t>witchcraft</w:t>
      </w:r>
      <w:r w:rsidR="006E23CE">
        <w:rPr>
          <w:rFonts w:ascii="Times New Roman" w:hAnsi="Times New Roman" w:cs="Times New Roman"/>
          <w:sz w:val="24"/>
          <w:szCs w:val="24"/>
          <w:vertAlign w:val="baseline"/>
        </w:rPr>
        <w:t xml:space="preserve"> has enacted no specific laws on WAP. </w:t>
      </w:r>
      <w:r w:rsidR="00E61470">
        <w:rPr>
          <w:rFonts w:ascii="Times New Roman" w:hAnsi="Times New Roman" w:cs="Times New Roman"/>
          <w:sz w:val="24"/>
          <w:szCs w:val="24"/>
          <w:vertAlign w:val="baseline"/>
        </w:rPr>
        <w:t>Whilst</w:t>
      </w:r>
      <w:r w:rsidR="006E23CE">
        <w:rPr>
          <w:rFonts w:ascii="Times New Roman" w:hAnsi="Times New Roman" w:cs="Times New Roman"/>
          <w:sz w:val="24"/>
          <w:szCs w:val="24"/>
          <w:vertAlign w:val="baseline"/>
        </w:rPr>
        <w:t xml:space="preserve"> </w:t>
      </w:r>
      <w:r w:rsidR="00E61470">
        <w:rPr>
          <w:rFonts w:ascii="Times New Roman" w:hAnsi="Times New Roman" w:cs="Times New Roman"/>
          <w:sz w:val="24"/>
          <w:szCs w:val="24"/>
          <w:vertAlign w:val="baseline"/>
        </w:rPr>
        <w:t>efforts have been concentrated on the eradication of</w:t>
      </w:r>
      <w:r w:rsidR="00E61470" w:rsidRPr="00E61470">
        <w:rPr>
          <w:rFonts w:ascii="Times New Roman" w:hAnsi="Times New Roman" w:cs="Times New Roman"/>
          <w:sz w:val="24"/>
          <w:szCs w:val="24"/>
          <w:vertAlign w:val="baseline"/>
        </w:rPr>
        <w:t xml:space="preserve"> </w:t>
      </w:r>
      <w:r w:rsidR="00E61470">
        <w:rPr>
          <w:rFonts w:ascii="Times New Roman" w:hAnsi="Times New Roman" w:cs="Times New Roman"/>
          <w:sz w:val="24"/>
          <w:szCs w:val="24"/>
          <w:vertAlign w:val="baseline"/>
        </w:rPr>
        <w:t xml:space="preserve">traditional cultural practices such as FGM and </w:t>
      </w:r>
      <w:r w:rsidR="00E61470">
        <w:rPr>
          <w:rFonts w:ascii="Times New Roman" w:hAnsi="Times New Roman" w:cs="Times New Roman"/>
          <w:i/>
          <w:sz w:val="24"/>
          <w:szCs w:val="24"/>
          <w:vertAlign w:val="baseline"/>
        </w:rPr>
        <w:t>trokosi</w:t>
      </w:r>
      <w:r w:rsidR="00E61470">
        <w:rPr>
          <w:rFonts w:ascii="Times New Roman" w:hAnsi="Times New Roman" w:cs="Times New Roman"/>
          <w:sz w:val="24"/>
          <w:szCs w:val="24"/>
          <w:vertAlign w:val="baseline"/>
        </w:rPr>
        <w:t xml:space="preserve">, the plight of witches appears to have been </w:t>
      </w:r>
      <w:r w:rsidR="00B07AA8">
        <w:rPr>
          <w:rFonts w:ascii="Times New Roman" w:hAnsi="Times New Roman" w:cs="Times New Roman"/>
          <w:sz w:val="24"/>
          <w:szCs w:val="24"/>
          <w:vertAlign w:val="baseline"/>
        </w:rPr>
        <w:t>glaringly overlooked</w:t>
      </w:r>
      <w:r w:rsidR="00064B24">
        <w:rPr>
          <w:rFonts w:ascii="Times New Roman" w:hAnsi="Times New Roman" w:cs="Times New Roman"/>
          <w:sz w:val="24"/>
          <w:szCs w:val="24"/>
          <w:vertAlign w:val="baseline"/>
        </w:rPr>
        <w:t>.</w:t>
      </w:r>
      <w:r w:rsidR="00150BB7">
        <w:rPr>
          <w:rFonts w:ascii="Times New Roman" w:hAnsi="Times New Roman" w:cs="Times New Roman"/>
          <w:sz w:val="24"/>
          <w:szCs w:val="24"/>
          <w:vertAlign w:val="baseline"/>
        </w:rPr>
        <w:t xml:space="preserve"> </w:t>
      </w:r>
    </w:p>
    <w:p w14:paraId="2731A125" w14:textId="77777777" w:rsidR="00BD2D54" w:rsidRDefault="00BD2D54" w:rsidP="00E61470">
      <w:pPr>
        <w:spacing w:line="480" w:lineRule="auto"/>
        <w:ind w:firstLine="720"/>
        <w:jc w:val="both"/>
        <w:rPr>
          <w:rFonts w:ascii="Times New Roman" w:hAnsi="Times New Roman" w:cs="Times New Roman"/>
          <w:sz w:val="24"/>
          <w:szCs w:val="24"/>
          <w:vertAlign w:val="baseline"/>
        </w:rPr>
      </w:pPr>
    </w:p>
    <w:p w14:paraId="1D650517" w14:textId="5B1747FD" w:rsidR="00150BB7" w:rsidRPr="00BD2D54" w:rsidRDefault="00BD2D54" w:rsidP="00BD2D54">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Conclusion</w:t>
      </w:r>
    </w:p>
    <w:p w14:paraId="64454294" w14:textId="4594F532" w:rsidR="00E606E1" w:rsidRDefault="00150BB7" w:rsidP="00B14B64">
      <w:pPr>
        <w:spacing w:line="480" w:lineRule="auto"/>
        <w:ind w:firstLine="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Currently, i</w:t>
      </w:r>
      <w:r w:rsidR="00230E17">
        <w:rPr>
          <w:rFonts w:ascii="Times New Roman" w:hAnsi="Times New Roman" w:cs="Times New Roman"/>
          <w:sz w:val="24"/>
          <w:szCs w:val="24"/>
          <w:vertAlign w:val="baseline"/>
        </w:rPr>
        <w:t>nternational human rights law is</w:t>
      </w:r>
      <w:r>
        <w:rPr>
          <w:rFonts w:ascii="Times New Roman" w:hAnsi="Times New Roman" w:cs="Times New Roman"/>
          <w:sz w:val="24"/>
          <w:szCs w:val="24"/>
          <w:vertAlign w:val="baseline"/>
        </w:rPr>
        <w:t xml:space="preserve"> failing women</w:t>
      </w:r>
      <w:r w:rsidR="00230E17">
        <w:rPr>
          <w:rFonts w:ascii="Times New Roman" w:hAnsi="Times New Roman" w:cs="Times New Roman"/>
          <w:sz w:val="24"/>
          <w:szCs w:val="24"/>
          <w:vertAlign w:val="baseline"/>
        </w:rPr>
        <w:t xml:space="preserve"> accused of witchcraft</w:t>
      </w:r>
      <w:r>
        <w:rPr>
          <w:rFonts w:ascii="Times New Roman" w:hAnsi="Times New Roman" w:cs="Times New Roman"/>
          <w:sz w:val="24"/>
          <w:szCs w:val="24"/>
          <w:vertAlign w:val="baseline"/>
        </w:rPr>
        <w:t xml:space="preserve">. Women remain locked in a battle between culture/religion, patriarchy and the universality of human rights. </w:t>
      </w:r>
      <w:r w:rsidR="004E58B8">
        <w:rPr>
          <w:rFonts w:ascii="Times New Roman" w:hAnsi="Times New Roman" w:cs="Times New Roman"/>
          <w:sz w:val="24"/>
          <w:szCs w:val="24"/>
          <w:vertAlign w:val="baseline"/>
        </w:rPr>
        <w:t>In a utopian society, I would argue that there is no room for cultu</w:t>
      </w:r>
      <w:r w:rsidR="00EC7CBE">
        <w:rPr>
          <w:rFonts w:ascii="Times New Roman" w:hAnsi="Times New Roman" w:cs="Times New Roman"/>
          <w:sz w:val="24"/>
          <w:szCs w:val="24"/>
          <w:vertAlign w:val="baseline"/>
        </w:rPr>
        <w:t xml:space="preserve">re and religion within society, however, </w:t>
      </w:r>
      <w:r w:rsidR="00D318AD">
        <w:rPr>
          <w:rFonts w:ascii="Times New Roman" w:hAnsi="Times New Roman" w:cs="Times New Roman"/>
          <w:sz w:val="24"/>
          <w:szCs w:val="24"/>
          <w:vertAlign w:val="baseline"/>
        </w:rPr>
        <w:t>I am aware that</w:t>
      </w:r>
      <w:r w:rsidR="00123902">
        <w:rPr>
          <w:rFonts w:ascii="Times New Roman" w:hAnsi="Times New Roman" w:cs="Times New Roman"/>
          <w:sz w:val="24"/>
          <w:szCs w:val="24"/>
          <w:vertAlign w:val="baseline"/>
        </w:rPr>
        <w:t>,</w:t>
      </w:r>
      <w:r w:rsidR="00D318AD">
        <w:rPr>
          <w:rFonts w:ascii="Times New Roman" w:hAnsi="Times New Roman" w:cs="Times New Roman"/>
          <w:sz w:val="24"/>
          <w:szCs w:val="24"/>
          <w:vertAlign w:val="baseline"/>
        </w:rPr>
        <w:t xml:space="preserve"> pragmatically</w:t>
      </w:r>
      <w:r w:rsidR="00123902">
        <w:rPr>
          <w:rFonts w:ascii="Times New Roman" w:hAnsi="Times New Roman" w:cs="Times New Roman"/>
          <w:sz w:val="24"/>
          <w:szCs w:val="24"/>
          <w:vertAlign w:val="baseline"/>
        </w:rPr>
        <w:t>,</w:t>
      </w:r>
      <w:r w:rsidR="00D318AD">
        <w:rPr>
          <w:rFonts w:ascii="Times New Roman" w:hAnsi="Times New Roman" w:cs="Times New Roman"/>
          <w:sz w:val="24"/>
          <w:szCs w:val="24"/>
          <w:vertAlign w:val="baseline"/>
        </w:rPr>
        <w:t xml:space="preserve"> </w:t>
      </w:r>
      <w:r w:rsidR="00123902">
        <w:rPr>
          <w:rFonts w:ascii="Times New Roman" w:hAnsi="Times New Roman" w:cs="Times New Roman"/>
          <w:sz w:val="24"/>
          <w:szCs w:val="24"/>
          <w:vertAlign w:val="baseline"/>
        </w:rPr>
        <w:t>this is both problematic and unrealistic.</w:t>
      </w:r>
      <w:r w:rsidR="00B14B64">
        <w:rPr>
          <w:rFonts w:ascii="Times New Roman" w:hAnsi="Times New Roman" w:cs="Times New Roman"/>
          <w:sz w:val="24"/>
          <w:szCs w:val="24"/>
          <w:vertAlign w:val="baseline"/>
        </w:rPr>
        <w:t xml:space="preserve"> Nevertheless</w:t>
      </w:r>
      <w:r>
        <w:rPr>
          <w:rFonts w:ascii="Times New Roman" w:hAnsi="Times New Roman" w:cs="Times New Roman"/>
          <w:sz w:val="24"/>
          <w:szCs w:val="24"/>
          <w:vertAlign w:val="baseline"/>
        </w:rPr>
        <w:t xml:space="preserve">, what must be </w:t>
      </w:r>
      <w:r w:rsidR="004E3FC4">
        <w:rPr>
          <w:rFonts w:ascii="Times New Roman" w:hAnsi="Times New Roman" w:cs="Times New Roman"/>
          <w:sz w:val="24"/>
          <w:szCs w:val="24"/>
          <w:vertAlign w:val="baseline"/>
        </w:rPr>
        <w:t>understood</w:t>
      </w:r>
      <w:r>
        <w:rPr>
          <w:rFonts w:ascii="Times New Roman" w:hAnsi="Times New Roman" w:cs="Times New Roman"/>
          <w:sz w:val="24"/>
          <w:szCs w:val="24"/>
          <w:vertAlign w:val="baseline"/>
        </w:rPr>
        <w:t xml:space="preserve"> is that it is the </w:t>
      </w:r>
      <w:r w:rsidR="00D00CA4">
        <w:rPr>
          <w:rFonts w:ascii="Times New Roman" w:hAnsi="Times New Roman" w:cs="Times New Roman"/>
          <w:sz w:val="24"/>
          <w:szCs w:val="24"/>
          <w:vertAlign w:val="baseline"/>
        </w:rPr>
        <w:t xml:space="preserve">continued </w:t>
      </w:r>
      <w:r>
        <w:rPr>
          <w:rFonts w:ascii="Times New Roman" w:hAnsi="Times New Roman" w:cs="Times New Roman"/>
          <w:sz w:val="24"/>
          <w:szCs w:val="24"/>
          <w:vertAlign w:val="baseline"/>
        </w:rPr>
        <w:t>protection of cultur</w:t>
      </w:r>
      <w:r w:rsidR="00D83291">
        <w:rPr>
          <w:rFonts w:ascii="Times New Roman" w:hAnsi="Times New Roman" w:cs="Times New Roman"/>
          <w:sz w:val="24"/>
          <w:szCs w:val="24"/>
          <w:vertAlign w:val="baseline"/>
        </w:rPr>
        <w:t>al and religious beliefs that</w:t>
      </w:r>
      <w:r w:rsidR="004E3FC4">
        <w:rPr>
          <w:rFonts w:ascii="Times New Roman" w:hAnsi="Times New Roman" w:cs="Times New Roman"/>
          <w:sz w:val="24"/>
          <w:szCs w:val="24"/>
          <w:vertAlign w:val="baseline"/>
        </w:rPr>
        <w:t xml:space="preserve"> fuels inequality and, subsequently, </w:t>
      </w:r>
      <w:r>
        <w:rPr>
          <w:rFonts w:ascii="Times New Roman" w:hAnsi="Times New Roman" w:cs="Times New Roman"/>
          <w:sz w:val="24"/>
          <w:szCs w:val="24"/>
          <w:vertAlign w:val="baseline"/>
        </w:rPr>
        <w:t>allows for propagation of harmful beliefs and practices such as</w:t>
      </w:r>
      <w:r w:rsidR="00BF5160">
        <w:rPr>
          <w:rFonts w:ascii="Times New Roman" w:hAnsi="Times New Roman" w:cs="Times New Roman"/>
          <w:sz w:val="24"/>
          <w:szCs w:val="24"/>
          <w:vertAlign w:val="baseline"/>
        </w:rPr>
        <w:t xml:space="preserve"> witchcraft. </w:t>
      </w:r>
      <w:r w:rsidR="00F22D82">
        <w:rPr>
          <w:rFonts w:ascii="Times New Roman" w:hAnsi="Times New Roman" w:cs="Times New Roman"/>
          <w:sz w:val="24"/>
          <w:szCs w:val="24"/>
          <w:vertAlign w:val="baseline"/>
        </w:rPr>
        <w:t>Women’s rights are human rights; yet w</w:t>
      </w:r>
      <w:r w:rsidR="00BF5160">
        <w:rPr>
          <w:rFonts w:ascii="Times New Roman" w:hAnsi="Times New Roman" w:cs="Times New Roman"/>
          <w:sz w:val="24"/>
          <w:szCs w:val="24"/>
          <w:vertAlign w:val="baseline"/>
        </w:rPr>
        <w:t>omen are not equal on any level, be it socially or legally, nationally or internationally.</w:t>
      </w:r>
      <w:r w:rsidR="005D55F6">
        <w:rPr>
          <w:rFonts w:ascii="Times New Roman" w:hAnsi="Times New Roman" w:cs="Times New Roman"/>
          <w:sz w:val="24"/>
          <w:szCs w:val="24"/>
          <w:vertAlign w:val="baseline"/>
        </w:rPr>
        <w:t xml:space="preserve"> W</w:t>
      </w:r>
      <w:r w:rsidR="00433D74">
        <w:rPr>
          <w:rFonts w:ascii="Times New Roman" w:hAnsi="Times New Roman" w:cs="Times New Roman"/>
          <w:sz w:val="24"/>
          <w:szCs w:val="24"/>
          <w:vertAlign w:val="baseline"/>
        </w:rPr>
        <w:t>omen</w:t>
      </w:r>
      <w:r w:rsidR="00E865CE">
        <w:rPr>
          <w:rFonts w:ascii="Times New Roman" w:hAnsi="Times New Roman" w:cs="Times New Roman"/>
          <w:sz w:val="24"/>
          <w:szCs w:val="24"/>
          <w:vertAlign w:val="baseline"/>
        </w:rPr>
        <w:t xml:space="preserve"> continue to </w:t>
      </w:r>
      <w:r w:rsidR="00433D74">
        <w:rPr>
          <w:rFonts w:ascii="Times New Roman" w:hAnsi="Times New Roman" w:cs="Times New Roman"/>
          <w:sz w:val="24"/>
          <w:szCs w:val="24"/>
          <w:vertAlign w:val="baseline"/>
        </w:rPr>
        <w:t>be</w:t>
      </w:r>
      <w:r w:rsidR="00E865CE">
        <w:rPr>
          <w:rFonts w:ascii="Times New Roman" w:hAnsi="Times New Roman" w:cs="Times New Roman"/>
          <w:sz w:val="24"/>
          <w:szCs w:val="24"/>
          <w:vertAlign w:val="baseline"/>
        </w:rPr>
        <w:t xml:space="preserve"> scapegoats within the patriarchal battles for supremacy</w:t>
      </w:r>
      <w:r w:rsidR="00433D74">
        <w:rPr>
          <w:rFonts w:ascii="Times New Roman" w:hAnsi="Times New Roman" w:cs="Times New Roman"/>
          <w:sz w:val="24"/>
          <w:szCs w:val="24"/>
          <w:vertAlign w:val="baseline"/>
        </w:rPr>
        <w:t>, on all levels,</w:t>
      </w:r>
      <w:r w:rsidR="00E865CE">
        <w:rPr>
          <w:rFonts w:ascii="Times New Roman" w:hAnsi="Times New Roman" w:cs="Times New Roman"/>
          <w:sz w:val="24"/>
          <w:szCs w:val="24"/>
          <w:vertAlign w:val="baseline"/>
        </w:rPr>
        <w:t xml:space="preserve"> and will</w:t>
      </w:r>
      <w:r w:rsidR="00433D74">
        <w:rPr>
          <w:rFonts w:ascii="Times New Roman" w:hAnsi="Times New Roman" w:cs="Times New Roman"/>
          <w:sz w:val="24"/>
          <w:szCs w:val="24"/>
          <w:vertAlign w:val="baseline"/>
        </w:rPr>
        <w:t>,</w:t>
      </w:r>
      <w:r w:rsidR="00E865CE">
        <w:rPr>
          <w:rFonts w:ascii="Times New Roman" w:hAnsi="Times New Roman" w:cs="Times New Roman"/>
          <w:sz w:val="24"/>
          <w:szCs w:val="24"/>
          <w:vertAlign w:val="baseline"/>
        </w:rPr>
        <w:t xml:space="preserve"> </w:t>
      </w:r>
      <w:r w:rsidR="00433D74">
        <w:rPr>
          <w:rFonts w:ascii="Times New Roman" w:hAnsi="Times New Roman" w:cs="Times New Roman"/>
          <w:sz w:val="24"/>
          <w:szCs w:val="24"/>
          <w:vertAlign w:val="baseline"/>
        </w:rPr>
        <w:t xml:space="preserve">consequently, </w:t>
      </w:r>
      <w:r w:rsidR="00E865CE">
        <w:rPr>
          <w:rFonts w:ascii="Times New Roman" w:hAnsi="Times New Roman" w:cs="Times New Roman"/>
          <w:sz w:val="24"/>
          <w:szCs w:val="24"/>
          <w:vertAlign w:val="baseline"/>
        </w:rPr>
        <w:t xml:space="preserve">remain marginalised </w:t>
      </w:r>
      <w:r w:rsidR="00EA111B">
        <w:rPr>
          <w:rFonts w:ascii="Times New Roman" w:hAnsi="Times New Roman" w:cs="Times New Roman"/>
          <w:sz w:val="24"/>
          <w:szCs w:val="24"/>
          <w:vertAlign w:val="baseline"/>
        </w:rPr>
        <w:t xml:space="preserve">and abused </w:t>
      </w:r>
      <w:r w:rsidR="00E865CE">
        <w:rPr>
          <w:rFonts w:ascii="Times New Roman" w:hAnsi="Times New Roman" w:cs="Times New Roman"/>
          <w:sz w:val="24"/>
          <w:szCs w:val="24"/>
          <w:vertAlign w:val="baseline"/>
        </w:rPr>
        <w:t xml:space="preserve">by </w:t>
      </w:r>
      <w:r w:rsidR="00333565">
        <w:rPr>
          <w:rFonts w:ascii="Times New Roman" w:hAnsi="Times New Roman" w:cs="Times New Roman"/>
          <w:sz w:val="24"/>
          <w:szCs w:val="24"/>
          <w:vertAlign w:val="baseline"/>
        </w:rPr>
        <w:t xml:space="preserve">patriarchally dominated belief systems such as </w:t>
      </w:r>
      <w:r w:rsidR="00E865CE">
        <w:rPr>
          <w:rFonts w:ascii="Times New Roman" w:hAnsi="Times New Roman" w:cs="Times New Roman"/>
          <w:sz w:val="24"/>
          <w:szCs w:val="24"/>
          <w:vertAlign w:val="baseline"/>
        </w:rPr>
        <w:t>witchcraft</w:t>
      </w:r>
      <w:r w:rsidR="00AF7812">
        <w:rPr>
          <w:rFonts w:ascii="Times New Roman" w:hAnsi="Times New Roman" w:cs="Times New Roman"/>
          <w:sz w:val="24"/>
          <w:szCs w:val="24"/>
          <w:vertAlign w:val="baseline"/>
        </w:rPr>
        <w:t xml:space="preserve">, until such systems are adequately challenged. </w:t>
      </w:r>
      <w:r w:rsidR="006F60F0">
        <w:rPr>
          <w:rFonts w:ascii="Times New Roman" w:hAnsi="Times New Roman" w:cs="Times New Roman"/>
          <w:sz w:val="24"/>
          <w:szCs w:val="24"/>
          <w:vertAlign w:val="baseline"/>
        </w:rPr>
        <w:t>There is, and always has been, a reluctance to challeng</w:t>
      </w:r>
      <w:r w:rsidR="00312D63">
        <w:rPr>
          <w:rFonts w:ascii="Times New Roman" w:hAnsi="Times New Roman" w:cs="Times New Roman"/>
          <w:sz w:val="24"/>
          <w:szCs w:val="24"/>
          <w:vertAlign w:val="baseline"/>
        </w:rPr>
        <w:t xml:space="preserve">e </w:t>
      </w:r>
      <w:r w:rsidR="006F60F0">
        <w:rPr>
          <w:rFonts w:ascii="Times New Roman" w:hAnsi="Times New Roman" w:cs="Times New Roman"/>
          <w:sz w:val="24"/>
          <w:szCs w:val="24"/>
          <w:vertAlign w:val="baseline"/>
        </w:rPr>
        <w:t xml:space="preserve">dominant </w:t>
      </w:r>
      <w:r w:rsidR="00230E17">
        <w:rPr>
          <w:rFonts w:ascii="Times New Roman" w:hAnsi="Times New Roman" w:cs="Times New Roman"/>
          <w:sz w:val="24"/>
          <w:szCs w:val="24"/>
          <w:vertAlign w:val="baseline"/>
        </w:rPr>
        <w:t xml:space="preserve">and hierarchical </w:t>
      </w:r>
      <w:r w:rsidR="006F60F0">
        <w:rPr>
          <w:rFonts w:ascii="Times New Roman" w:hAnsi="Times New Roman" w:cs="Times New Roman"/>
          <w:sz w:val="24"/>
          <w:szCs w:val="24"/>
          <w:vertAlign w:val="baseline"/>
        </w:rPr>
        <w:t xml:space="preserve">forms of power </w:t>
      </w:r>
      <w:r w:rsidR="00312D63">
        <w:rPr>
          <w:rFonts w:ascii="Times New Roman" w:hAnsi="Times New Roman" w:cs="Times New Roman"/>
          <w:sz w:val="24"/>
          <w:szCs w:val="24"/>
          <w:vertAlign w:val="baseline"/>
        </w:rPr>
        <w:t xml:space="preserve">such </w:t>
      </w:r>
      <w:r w:rsidR="006F60F0">
        <w:rPr>
          <w:rFonts w:ascii="Times New Roman" w:hAnsi="Times New Roman" w:cs="Times New Roman"/>
          <w:sz w:val="24"/>
          <w:szCs w:val="24"/>
          <w:vertAlign w:val="baseline"/>
        </w:rPr>
        <w:t xml:space="preserve">as religion. Yet it is such convictions that </w:t>
      </w:r>
      <w:r w:rsidR="00230E17">
        <w:rPr>
          <w:rFonts w:ascii="Times New Roman" w:hAnsi="Times New Roman" w:cs="Times New Roman"/>
          <w:sz w:val="24"/>
          <w:szCs w:val="24"/>
          <w:vertAlign w:val="baseline"/>
        </w:rPr>
        <w:t xml:space="preserve">promote patriarchy and </w:t>
      </w:r>
      <w:r w:rsidR="006F60F0">
        <w:rPr>
          <w:rFonts w:ascii="Times New Roman" w:hAnsi="Times New Roman" w:cs="Times New Roman"/>
          <w:sz w:val="24"/>
          <w:szCs w:val="24"/>
          <w:vertAlign w:val="baseline"/>
        </w:rPr>
        <w:t>bolster the inequality of men and women</w:t>
      </w:r>
      <w:r w:rsidR="00A44034">
        <w:rPr>
          <w:rFonts w:ascii="Times New Roman" w:hAnsi="Times New Roman" w:cs="Times New Roman"/>
          <w:sz w:val="24"/>
          <w:szCs w:val="24"/>
          <w:vertAlign w:val="baseline"/>
        </w:rPr>
        <w:t>.</w:t>
      </w:r>
      <w:r w:rsidR="002B4CD5">
        <w:rPr>
          <w:rFonts w:ascii="Times New Roman" w:hAnsi="Times New Roman" w:cs="Times New Roman"/>
          <w:sz w:val="24"/>
          <w:szCs w:val="24"/>
          <w:vertAlign w:val="baseline"/>
        </w:rPr>
        <w:t xml:space="preserve"> </w:t>
      </w:r>
      <w:r w:rsidR="00A07E08">
        <w:rPr>
          <w:rFonts w:ascii="Times New Roman" w:hAnsi="Times New Roman" w:cs="Times New Roman"/>
          <w:sz w:val="24"/>
          <w:szCs w:val="24"/>
          <w:vertAlign w:val="baseline"/>
        </w:rPr>
        <w:t xml:space="preserve">Whilst we continue to protect </w:t>
      </w:r>
      <w:r w:rsidR="00DC023F">
        <w:rPr>
          <w:rFonts w:ascii="Times New Roman" w:hAnsi="Times New Roman" w:cs="Times New Roman"/>
          <w:sz w:val="24"/>
          <w:szCs w:val="24"/>
          <w:vertAlign w:val="baseline"/>
        </w:rPr>
        <w:t xml:space="preserve">and elevate </w:t>
      </w:r>
      <w:r w:rsidR="00A07E08">
        <w:rPr>
          <w:rFonts w:ascii="Times New Roman" w:hAnsi="Times New Roman" w:cs="Times New Roman"/>
          <w:sz w:val="24"/>
          <w:szCs w:val="24"/>
          <w:vertAlign w:val="baseline"/>
        </w:rPr>
        <w:t>the</w:t>
      </w:r>
      <w:r w:rsidR="00870F76">
        <w:rPr>
          <w:rFonts w:ascii="Times New Roman" w:hAnsi="Times New Roman" w:cs="Times New Roman"/>
          <w:sz w:val="24"/>
          <w:szCs w:val="24"/>
          <w:vertAlign w:val="baseline"/>
        </w:rPr>
        <w:t>se</w:t>
      </w:r>
      <w:r w:rsidR="00734EA3">
        <w:rPr>
          <w:rFonts w:ascii="Times New Roman" w:hAnsi="Times New Roman" w:cs="Times New Roman"/>
          <w:sz w:val="24"/>
          <w:szCs w:val="24"/>
          <w:vertAlign w:val="baseline"/>
        </w:rPr>
        <w:t xml:space="preserve"> systems, women </w:t>
      </w:r>
      <w:r w:rsidR="00F900F4">
        <w:rPr>
          <w:rFonts w:ascii="Times New Roman" w:hAnsi="Times New Roman" w:cs="Times New Roman"/>
          <w:sz w:val="24"/>
          <w:szCs w:val="24"/>
          <w:vertAlign w:val="baseline"/>
        </w:rPr>
        <w:t xml:space="preserve">will </w:t>
      </w:r>
      <w:r w:rsidR="00E914A3">
        <w:rPr>
          <w:rFonts w:ascii="Times New Roman" w:hAnsi="Times New Roman" w:cs="Times New Roman"/>
          <w:sz w:val="24"/>
          <w:szCs w:val="24"/>
          <w:vertAlign w:val="baseline"/>
        </w:rPr>
        <w:t>remain subordinate.</w:t>
      </w:r>
    </w:p>
    <w:p w14:paraId="3BA62E00" w14:textId="77777777" w:rsidR="00C173D1" w:rsidRDefault="00C173D1" w:rsidP="00146D3C">
      <w:pPr>
        <w:spacing w:line="480" w:lineRule="auto"/>
        <w:jc w:val="both"/>
        <w:rPr>
          <w:rFonts w:ascii="Times New Roman" w:hAnsi="Times New Roman" w:cs="Times New Roman"/>
          <w:b/>
          <w:sz w:val="24"/>
          <w:szCs w:val="24"/>
          <w:u w:val="single"/>
          <w:vertAlign w:val="baseline"/>
        </w:rPr>
      </w:pPr>
    </w:p>
    <w:p w14:paraId="713F7CCE" w14:textId="74B02DB6" w:rsidR="00C173D1" w:rsidRDefault="00905DDD" w:rsidP="00146D3C">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7.1 RECOMMENDATIONS</w:t>
      </w:r>
    </w:p>
    <w:p w14:paraId="24BABF1C" w14:textId="5034C69D" w:rsidR="00D93CF9" w:rsidRDefault="00D93CF9" w:rsidP="00D62885">
      <w:pPr>
        <w:spacing w:line="480" w:lineRule="auto"/>
        <w:ind w:firstLine="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On an international level, </w:t>
      </w:r>
      <w:r w:rsidR="00FC215E">
        <w:rPr>
          <w:rFonts w:ascii="Times New Roman" w:hAnsi="Times New Roman" w:cs="Times New Roman"/>
          <w:sz w:val="24"/>
          <w:szCs w:val="24"/>
          <w:vertAlign w:val="baseline"/>
        </w:rPr>
        <w:t>s</w:t>
      </w:r>
      <w:r w:rsidR="00216991">
        <w:rPr>
          <w:rFonts w:ascii="Times New Roman" w:hAnsi="Times New Roman" w:cs="Times New Roman"/>
          <w:sz w:val="24"/>
          <w:szCs w:val="24"/>
          <w:vertAlign w:val="baseline"/>
        </w:rPr>
        <w:t xml:space="preserve">tates need to ratify all the Conventions discussed </w:t>
      </w:r>
      <w:r w:rsidR="00FC215E">
        <w:rPr>
          <w:rFonts w:ascii="Times New Roman" w:hAnsi="Times New Roman" w:cs="Times New Roman"/>
          <w:sz w:val="24"/>
          <w:szCs w:val="24"/>
          <w:vertAlign w:val="baseline"/>
        </w:rPr>
        <w:t xml:space="preserve">in this thesis, without reservation, </w:t>
      </w:r>
      <w:r w:rsidR="00216991">
        <w:rPr>
          <w:rFonts w:ascii="Times New Roman" w:hAnsi="Times New Roman" w:cs="Times New Roman"/>
          <w:sz w:val="24"/>
          <w:szCs w:val="24"/>
          <w:vertAlign w:val="baseline"/>
        </w:rPr>
        <w:t>together with their Optional Protocols in order to realise their full potential.</w:t>
      </w:r>
      <w:r w:rsidR="00216991">
        <w:rPr>
          <w:rStyle w:val="FootnoteReference"/>
          <w:rFonts w:ascii="Times New Roman" w:hAnsi="Times New Roman" w:cs="Times New Roman"/>
          <w:sz w:val="24"/>
          <w:szCs w:val="24"/>
        </w:rPr>
        <w:footnoteReference w:id="1313"/>
      </w:r>
      <w:r w:rsidR="00216991">
        <w:rPr>
          <w:rFonts w:ascii="Times New Roman" w:hAnsi="Times New Roman" w:cs="Times New Roman"/>
          <w:sz w:val="24"/>
          <w:szCs w:val="24"/>
          <w:vertAlign w:val="baseline"/>
        </w:rPr>
        <w:t xml:space="preserve"> </w:t>
      </w:r>
      <w:r w:rsidR="00FC215E">
        <w:rPr>
          <w:rFonts w:ascii="Times New Roman" w:hAnsi="Times New Roman" w:cs="Times New Roman"/>
          <w:sz w:val="24"/>
          <w:szCs w:val="24"/>
          <w:vertAlign w:val="baseline"/>
        </w:rPr>
        <w:t xml:space="preserve">In particular, India should remove its declarations to articles 5(a) and 16(1) CEDAW, which specifically refer to harmful traditional practices and discrimination against women in the family and </w:t>
      </w:r>
      <w:r w:rsidR="00FC215E" w:rsidRPr="00FC215E">
        <w:rPr>
          <w:rFonts w:ascii="Times New Roman" w:hAnsi="Times New Roman" w:cs="Times New Roman"/>
          <w:sz w:val="24"/>
          <w:szCs w:val="24"/>
          <w:vertAlign w:val="baseline"/>
        </w:rPr>
        <w:t>infringe</w:t>
      </w:r>
      <w:r w:rsidR="00FC215E">
        <w:rPr>
          <w:rFonts w:ascii="Times New Roman" w:hAnsi="Times New Roman" w:cs="Times New Roman"/>
          <w:sz w:val="24"/>
          <w:szCs w:val="24"/>
          <w:vertAlign w:val="baseline"/>
        </w:rPr>
        <w:t xml:space="preserve"> core provisions of the Convention. </w:t>
      </w:r>
      <w:r w:rsidR="00D5076B">
        <w:rPr>
          <w:rFonts w:ascii="Times New Roman" w:hAnsi="Times New Roman" w:cs="Times New Roman"/>
          <w:sz w:val="24"/>
          <w:szCs w:val="24"/>
          <w:vertAlign w:val="baseline"/>
        </w:rPr>
        <w:t>Whilst political will is a major barrier to the realisation of women’s rights, so to</w:t>
      </w:r>
      <w:r w:rsidR="0057376B">
        <w:rPr>
          <w:rFonts w:ascii="Times New Roman" w:hAnsi="Times New Roman" w:cs="Times New Roman"/>
          <w:sz w:val="24"/>
          <w:szCs w:val="24"/>
          <w:vertAlign w:val="baseline"/>
        </w:rPr>
        <w:t>o</w:t>
      </w:r>
      <w:r w:rsidR="00D5076B">
        <w:rPr>
          <w:rFonts w:ascii="Times New Roman" w:hAnsi="Times New Roman" w:cs="Times New Roman"/>
          <w:sz w:val="24"/>
          <w:szCs w:val="24"/>
          <w:vertAlign w:val="baseline"/>
        </w:rPr>
        <w:t xml:space="preserve"> is the inherently masculine nature of international human rights law</w:t>
      </w:r>
      <w:r w:rsidR="00C07696">
        <w:rPr>
          <w:rFonts w:ascii="Times New Roman" w:hAnsi="Times New Roman" w:cs="Times New Roman"/>
          <w:sz w:val="24"/>
          <w:szCs w:val="24"/>
          <w:vertAlign w:val="baseline"/>
        </w:rPr>
        <w:t>,</w:t>
      </w:r>
      <w:r w:rsidR="00D5076B">
        <w:rPr>
          <w:rFonts w:ascii="Times New Roman" w:hAnsi="Times New Roman" w:cs="Times New Roman"/>
          <w:sz w:val="24"/>
          <w:szCs w:val="24"/>
          <w:vertAlign w:val="baseline"/>
        </w:rPr>
        <w:t xml:space="preserve"> as demonstrated through the allowance of r</w:t>
      </w:r>
      <w:r w:rsidR="002613BC">
        <w:rPr>
          <w:rFonts w:ascii="Times New Roman" w:hAnsi="Times New Roman" w:cs="Times New Roman"/>
          <w:sz w:val="24"/>
          <w:szCs w:val="24"/>
          <w:vertAlign w:val="baseline"/>
        </w:rPr>
        <w:t>eservations to CEDAW</w:t>
      </w:r>
      <w:r w:rsidR="00D5076B">
        <w:rPr>
          <w:rFonts w:ascii="Times New Roman" w:hAnsi="Times New Roman" w:cs="Times New Roman"/>
          <w:sz w:val="24"/>
          <w:szCs w:val="24"/>
          <w:vertAlign w:val="baseline"/>
        </w:rPr>
        <w:t>, which</w:t>
      </w:r>
      <w:r w:rsidR="002613BC">
        <w:rPr>
          <w:rFonts w:ascii="Times New Roman" w:hAnsi="Times New Roman" w:cs="Times New Roman"/>
          <w:sz w:val="24"/>
          <w:szCs w:val="24"/>
          <w:vertAlign w:val="baseline"/>
        </w:rPr>
        <w:t xml:space="preserve"> simply perpetuate the entrenched nature of women’s inequality</w:t>
      </w:r>
      <w:r w:rsidR="00D5076B">
        <w:rPr>
          <w:rFonts w:ascii="Times New Roman" w:hAnsi="Times New Roman" w:cs="Times New Roman"/>
          <w:sz w:val="24"/>
          <w:szCs w:val="24"/>
          <w:vertAlign w:val="baseline"/>
        </w:rPr>
        <w:t xml:space="preserve">. </w:t>
      </w:r>
      <w:r w:rsidR="00D62885">
        <w:rPr>
          <w:rFonts w:ascii="Times New Roman" w:hAnsi="Times New Roman" w:cs="Times New Roman"/>
          <w:sz w:val="24"/>
          <w:szCs w:val="24"/>
          <w:vertAlign w:val="baseline"/>
        </w:rPr>
        <w:t xml:space="preserve">As regards the reporting procedures under the treaty system, there is certainly the need for revision. </w:t>
      </w:r>
      <w:r w:rsidR="00216991">
        <w:rPr>
          <w:rFonts w:ascii="Times New Roman" w:hAnsi="Times New Roman" w:cs="Times New Roman"/>
          <w:sz w:val="24"/>
          <w:szCs w:val="24"/>
          <w:vertAlign w:val="baseline"/>
        </w:rPr>
        <w:t>Systems need to be put in place in order to tackle the recurrent issues of late/non-reporting of states, with strict penalties for non-compliance of state obligations under international human rights treaties.</w:t>
      </w:r>
      <w:r w:rsidR="00AA7FCE">
        <w:rPr>
          <w:rFonts w:ascii="Times New Roman" w:hAnsi="Times New Roman" w:cs="Times New Roman"/>
          <w:sz w:val="24"/>
          <w:szCs w:val="24"/>
          <w:vertAlign w:val="baseline"/>
        </w:rPr>
        <w:t xml:space="preserve"> </w:t>
      </w:r>
      <w:r w:rsidR="00C10A6B">
        <w:rPr>
          <w:rFonts w:ascii="Times New Roman" w:hAnsi="Times New Roman" w:cs="Times New Roman"/>
          <w:sz w:val="24"/>
          <w:szCs w:val="24"/>
          <w:vertAlign w:val="baseline"/>
        </w:rPr>
        <w:t xml:space="preserve">Moreover, there is the need for greater coherency </w:t>
      </w:r>
      <w:r w:rsidR="00AA7FCE">
        <w:rPr>
          <w:rFonts w:ascii="Times New Roman" w:hAnsi="Times New Roman" w:cs="Times New Roman"/>
          <w:sz w:val="24"/>
          <w:szCs w:val="24"/>
          <w:vertAlign w:val="baseline"/>
        </w:rPr>
        <w:t>and conformity of reports by both states and Committees. States should adhere to the relevant guidelines, answering q</w:t>
      </w:r>
      <w:r w:rsidR="00CE0640">
        <w:rPr>
          <w:rFonts w:ascii="Times New Roman" w:hAnsi="Times New Roman" w:cs="Times New Roman"/>
          <w:sz w:val="24"/>
          <w:szCs w:val="24"/>
          <w:vertAlign w:val="baseline"/>
        </w:rPr>
        <w:t xml:space="preserve">uestions posed by the Committees, </w:t>
      </w:r>
      <w:r w:rsidR="00AA7FCE">
        <w:rPr>
          <w:rFonts w:ascii="Times New Roman" w:hAnsi="Times New Roman" w:cs="Times New Roman"/>
          <w:sz w:val="24"/>
          <w:szCs w:val="24"/>
          <w:vertAlign w:val="baseline"/>
        </w:rPr>
        <w:t xml:space="preserve">using previous recommendations, with examples of implementation, as a basis for preparing future reports. This would greatly reduce the amount of repetition from </w:t>
      </w:r>
      <w:r w:rsidR="00CE0640">
        <w:rPr>
          <w:rFonts w:ascii="Times New Roman" w:hAnsi="Times New Roman" w:cs="Times New Roman"/>
          <w:sz w:val="24"/>
          <w:szCs w:val="24"/>
          <w:vertAlign w:val="baseline"/>
        </w:rPr>
        <w:t xml:space="preserve">all </w:t>
      </w:r>
      <w:r w:rsidR="00AA7FCE">
        <w:rPr>
          <w:rFonts w:ascii="Times New Roman" w:hAnsi="Times New Roman" w:cs="Times New Roman"/>
          <w:sz w:val="24"/>
          <w:szCs w:val="24"/>
          <w:vertAlign w:val="baseline"/>
        </w:rPr>
        <w:t>the Committees. There also needs to be a greater co-ordination between the differing treaty bodies on their work to ensure consistency throughout their reports. This was highlighted throughout my examination of the various bodies and their inconsistencies when referring to WAP.</w:t>
      </w:r>
      <w:r w:rsidR="004A144F" w:rsidRPr="004A144F">
        <w:rPr>
          <w:rFonts w:ascii="Times New Roman" w:hAnsi="Times New Roman" w:cs="Times New Roman"/>
          <w:sz w:val="24"/>
          <w:szCs w:val="24"/>
          <w:vertAlign w:val="baseline"/>
        </w:rPr>
        <w:t xml:space="preserve"> </w:t>
      </w:r>
      <w:r w:rsidR="004A144F">
        <w:rPr>
          <w:rFonts w:ascii="Times New Roman" w:hAnsi="Times New Roman" w:cs="Times New Roman"/>
          <w:sz w:val="24"/>
          <w:szCs w:val="24"/>
          <w:vertAlign w:val="baseline"/>
        </w:rPr>
        <w:t xml:space="preserve">Greater co-ordination of these treaty bodies would perhaps be simpler if all they were all allocated the same amount of respect by states and within international human rights law, eliminating the ‘lesser status’ of the ‘feminine’ CEDAW Committee. </w:t>
      </w:r>
      <w:r w:rsidR="00C87D7F">
        <w:rPr>
          <w:rFonts w:ascii="Times New Roman" w:hAnsi="Times New Roman" w:cs="Times New Roman"/>
          <w:sz w:val="24"/>
          <w:szCs w:val="24"/>
          <w:vertAlign w:val="baseline"/>
        </w:rPr>
        <w:t>It is</w:t>
      </w:r>
      <w:r w:rsidR="005A7D22">
        <w:rPr>
          <w:rFonts w:ascii="Times New Roman" w:hAnsi="Times New Roman" w:cs="Times New Roman"/>
          <w:sz w:val="24"/>
          <w:szCs w:val="24"/>
          <w:vertAlign w:val="baseline"/>
        </w:rPr>
        <w:t xml:space="preserve"> also</w:t>
      </w:r>
      <w:r w:rsidR="00C87D7F">
        <w:rPr>
          <w:rFonts w:ascii="Times New Roman" w:hAnsi="Times New Roman" w:cs="Times New Roman"/>
          <w:sz w:val="24"/>
          <w:szCs w:val="24"/>
          <w:vertAlign w:val="baseline"/>
        </w:rPr>
        <w:t xml:space="preserve"> recommended that in order to tackle the preval</w:t>
      </w:r>
      <w:r w:rsidR="00C93DCA">
        <w:rPr>
          <w:rFonts w:ascii="Times New Roman" w:hAnsi="Times New Roman" w:cs="Times New Roman"/>
          <w:sz w:val="24"/>
          <w:szCs w:val="24"/>
          <w:vertAlign w:val="baseline"/>
        </w:rPr>
        <w:t>ence of WAP, there should be an</w:t>
      </w:r>
      <w:r w:rsidR="00C87D7F">
        <w:rPr>
          <w:rFonts w:ascii="Times New Roman" w:hAnsi="Times New Roman" w:cs="Times New Roman"/>
          <w:sz w:val="24"/>
          <w:szCs w:val="24"/>
          <w:vertAlign w:val="baseline"/>
        </w:rPr>
        <w:t xml:space="preserve"> appointment of a SR on harmful traditional and cultural practices to specifically deal with the </w:t>
      </w:r>
      <w:r w:rsidR="005A7D22">
        <w:rPr>
          <w:rFonts w:ascii="Times New Roman" w:hAnsi="Times New Roman" w:cs="Times New Roman"/>
          <w:sz w:val="24"/>
          <w:szCs w:val="24"/>
          <w:vertAlign w:val="baseline"/>
        </w:rPr>
        <w:t xml:space="preserve">pervasiveness of WAP, </w:t>
      </w:r>
      <w:r w:rsidR="009A17A3">
        <w:rPr>
          <w:rFonts w:ascii="Times New Roman" w:hAnsi="Times New Roman" w:cs="Times New Roman"/>
          <w:sz w:val="24"/>
          <w:szCs w:val="24"/>
          <w:vertAlign w:val="baseline"/>
        </w:rPr>
        <w:t>amongst other harmful practices.</w:t>
      </w:r>
    </w:p>
    <w:p w14:paraId="2C850638" w14:textId="77777777" w:rsidR="00C93DCA" w:rsidRDefault="00C93DCA" w:rsidP="00D93CF9">
      <w:pPr>
        <w:spacing w:line="480" w:lineRule="auto"/>
        <w:jc w:val="both"/>
        <w:rPr>
          <w:rFonts w:ascii="Times New Roman" w:hAnsi="Times New Roman" w:cs="Times New Roman"/>
          <w:sz w:val="24"/>
          <w:szCs w:val="24"/>
          <w:vertAlign w:val="baseline"/>
        </w:rPr>
      </w:pPr>
    </w:p>
    <w:p w14:paraId="3CBC9A4C" w14:textId="0A7E01BD" w:rsidR="00C93DCA" w:rsidRDefault="00C93DCA" w:rsidP="008900B1">
      <w:pPr>
        <w:spacing w:line="480" w:lineRule="auto"/>
        <w:ind w:firstLine="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On a</w:t>
      </w:r>
      <w:r w:rsidR="0021754E">
        <w:rPr>
          <w:rFonts w:ascii="Times New Roman" w:hAnsi="Times New Roman" w:cs="Times New Roman"/>
          <w:sz w:val="24"/>
          <w:szCs w:val="24"/>
          <w:vertAlign w:val="baseline"/>
        </w:rPr>
        <w:t xml:space="preserve"> national level</w:t>
      </w:r>
      <w:r w:rsidR="00B27ABF">
        <w:rPr>
          <w:rFonts w:ascii="Times New Roman" w:hAnsi="Times New Roman" w:cs="Times New Roman"/>
          <w:sz w:val="24"/>
          <w:szCs w:val="24"/>
          <w:vertAlign w:val="baseline"/>
        </w:rPr>
        <w:t>,</w:t>
      </w:r>
      <w:r w:rsidR="0021754E">
        <w:rPr>
          <w:rFonts w:ascii="Times New Roman" w:hAnsi="Times New Roman" w:cs="Times New Roman"/>
          <w:sz w:val="24"/>
          <w:szCs w:val="24"/>
          <w:vertAlign w:val="baseline"/>
        </w:rPr>
        <w:t xml:space="preserve"> it is </w:t>
      </w:r>
      <w:r>
        <w:rPr>
          <w:rFonts w:ascii="Times New Roman" w:hAnsi="Times New Roman" w:cs="Times New Roman"/>
          <w:sz w:val="24"/>
          <w:szCs w:val="24"/>
          <w:vertAlign w:val="baseline"/>
        </w:rPr>
        <w:t xml:space="preserve">suggested that states </w:t>
      </w:r>
      <w:r w:rsidR="008900B1">
        <w:rPr>
          <w:rFonts w:ascii="Times New Roman" w:hAnsi="Times New Roman" w:cs="Times New Roman"/>
          <w:sz w:val="24"/>
          <w:szCs w:val="24"/>
          <w:vertAlign w:val="baseline"/>
        </w:rPr>
        <w:t xml:space="preserve">should </w:t>
      </w:r>
      <w:r>
        <w:rPr>
          <w:rFonts w:ascii="Times New Roman" w:hAnsi="Times New Roman" w:cs="Times New Roman"/>
          <w:sz w:val="24"/>
          <w:szCs w:val="24"/>
          <w:vertAlign w:val="baseline"/>
        </w:rPr>
        <w:t>effectively implement human rights legislatio</w:t>
      </w:r>
      <w:r w:rsidR="008900B1">
        <w:rPr>
          <w:rFonts w:ascii="Times New Roman" w:hAnsi="Times New Roman" w:cs="Times New Roman"/>
          <w:sz w:val="24"/>
          <w:szCs w:val="24"/>
          <w:vertAlign w:val="baseline"/>
        </w:rPr>
        <w:t>n into national law, making</w:t>
      </w:r>
      <w:r>
        <w:rPr>
          <w:rFonts w:ascii="Times New Roman" w:hAnsi="Times New Roman" w:cs="Times New Roman"/>
          <w:sz w:val="24"/>
          <w:szCs w:val="24"/>
          <w:vertAlign w:val="baseline"/>
        </w:rPr>
        <w:t xml:space="preserve"> a </w:t>
      </w:r>
      <w:r w:rsidR="008900B1">
        <w:rPr>
          <w:rFonts w:ascii="Times New Roman" w:hAnsi="Times New Roman" w:cs="Times New Roman"/>
          <w:sz w:val="24"/>
          <w:szCs w:val="24"/>
          <w:vertAlign w:val="baseline"/>
        </w:rPr>
        <w:t xml:space="preserve">more </w:t>
      </w:r>
      <w:r>
        <w:rPr>
          <w:rFonts w:ascii="Times New Roman" w:hAnsi="Times New Roman" w:cs="Times New Roman"/>
          <w:sz w:val="24"/>
          <w:szCs w:val="24"/>
          <w:vertAlign w:val="baseline"/>
        </w:rPr>
        <w:t>concerted effort to adhere to their obligations under international human rights law. State co-operation is a key element to the functioning of the international human rights system.</w:t>
      </w:r>
      <w:r w:rsidR="009B7D92">
        <w:rPr>
          <w:rFonts w:ascii="Times New Roman" w:hAnsi="Times New Roman" w:cs="Times New Roman"/>
          <w:sz w:val="24"/>
          <w:szCs w:val="24"/>
          <w:vertAlign w:val="baseline"/>
        </w:rPr>
        <w:t xml:space="preserve"> Moreover, states</w:t>
      </w:r>
      <w:r w:rsidR="006E7ECF" w:rsidRPr="006E7ECF">
        <w:rPr>
          <w:rFonts w:ascii="Times New Roman" w:hAnsi="Times New Roman" w:cs="Times New Roman"/>
          <w:sz w:val="24"/>
          <w:szCs w:val="24"/>
          <w:vertAlign w:val="baseline"/>
        </w:rPr>
        <w:t xml:space="preserve"> </w:t>
      </w:r>
      <w:r w:rsidR="006E7ECF">
        <w:rPr>
          <w:rFonts w:ascii="Times New Roman" w:hAnsi="Times New Roman" w:cs="Times New Roman"/>
          <w:sz w:val="24"/>
          <w:szCs w:val="24"/>
          <w:vertAlign w:val="baseline"/>
        </w:rPr>
        <w:t xml:space="preserve">need to effectively tackle the prevalence of patriarchal norms that permeate through society, </w:t>
      </w:r>
      <w:r w:rsidR="009B7D92">
        <w:rPr>
          <w:rFonts w:ascii="Times New Roman" w:hAnsi="Times New Roman" w:cs="Times New Roman"/>
          <w:sz w:val="24"/>
          <w:szCs w:val="24"/>
          <w:vertAlign w:val="baseline"/>
        </w:rPr>
        <w:t>tak</w:t>
      </w:r>
      <w:r w:rsidR="006E7ECF">
        <w:rPr>
          <w:rFonts w:ascii="Times New Roman" w:hAnsi="Times New Roman" w:cs="Times New Roman"/>
          <w:sz w:val="24"/>
          <w:szCs w:val="24"/>
          <w:vertAlign w:val="baseline"/>
        </w:rPr>
        <w:t>ing</w:t>
      </w:r>
      <w:r w:rsidR="009B7D92">
        <w:rPr>
          <w:rFonts w:ascii="Times New Roman" w:hAnsi="Times New Roman" w:cs="Times New Roman"/>
          <w:sz w:val="24"/>
          <w:szCs w:val="24"/>
          <w:vertAlign w:val="baseline"/>
        </w:rPr>
        <w:t xml:space="preserve"> steps to </w:t>
      </w:r>
      <w:r w:rsidR="0068271F">
        <w:rPr>
          <w:rFonts w:ascii="Times New Roman" w:hAnsi="Times New Roman" w:cs="Times New Roman"/>
          <w:sz w:val="24"/>
          <w:szCs w:val="24"/>
          <w:vertAlign w:val="baseline"/>
        </w:rPr>
        <w:t xml:space="preserve">review and reform </w:t>
      </w:r>
      <w:r w:rsidR="009B7D92">
        <w:rPr>
          <w:rFonts w:ascii="Times New Roman" w:hAnsi="Times New Roman" w:cs="Times New Roman"/>
          <w:sz w:val="24"/>
          <w:szCs w:val="24"/>
          <w:vertAlign w:val="baseline"/>
        </w:rPr>
        <w:t xml:space="preserve">those discriminatory systems of </w:t>
      </w:r>
      <w:r w:rsidR="00F24D46">
        <w:rPr>
          <w:rFonts w:ascii="Times New Roman" w:hAnsi="Times New Roman" w:cs="Times New Roman"/>
          <w:sz w:val="24"/>
          <w:szCs w:val="24"/>
          <w:vertAlign w:val="baseline"/>
        </w:rPr>
        <w:t xml:space="preserve">traditional </w:t>
      </w:r>
      <w:r w:rsidR="009B7D92">
        <w:rPr>
          <w:rFonts w:ascii="Times New Roman" w:hAnsi="Times New Roman" w:cs="Times New Roman"/>
          <w:sz w:val="24"/>
          <w:szCs w:val="24"/>
          <w:vertAlign w:val="baseline"/>
        </w:rPr>
        <w:t>customary laws and personal laws that are incompatible with treaty provisions</w:t>
      </w:r>
      <w:r w:rsidR="006E7ECF">
        <w:rPr>
          <w:rFonts w:ascii="Times New Roman" w:hAnsi="Times New Roman" w:cs="Times New Roman"/>
          <w:sz w:val="24"/>
          <w:szCs w:val="24"/>
          <w:vertAlign w:val="baseline"/>
        </w:rPr>
        <w:t xml:space="preserve">. </w:t>
      </w:r>
      <w:r w:rsidR="009B7D92">
        <w:rPr>
          <w:rFonts w:ascii="Times New Roman" w:hAnsi="Times New Roman" w:cs="Times New Roman"/>
          <w:sz w:val="24"/>
          <w:szCs w:val="24"/>
          <w:vertAlign w:val="baseline"/>
        </w:rPr>
        <w:t xml:space="preserve">Protection of such laws by states is a major cause of subordination and discrimination of women and other marginalised groups. In terms of WAP, national laws need to be enacted in all states, with effective implementation and </w:t>
      </w:r>
      <w:r w:rsidR="00FA42C0">
        <w:rPr>
          <w:rFonts w:ascii="Times New Roman" w:hAnsi="Times New Roman" w:cs="Times New Roman"/>
          <w:sz w:val="24"/>
          <w:szCs w:val="24"/>
          <w:vertAlign w:val="baseline"/>
        </w:rPr>
        <w:t xml:space="preserve">strengthening of </w:t>
      </w:r>
      <w:r w:rsidR="0068271F">
        <w:rPr>
          <w:rFonts w:ascii="Times New Roman" w:hAnsi="Times New Roman" w:cs="Times New Roman"/>
          <w:sz w:val="24"/>
          <w:szCs w:val="24"/>
          <w:vertAlign w:val="baseline"/>
        </w:rPr>
        <w:t xml:space="preserve">its </w:t>
      </w:r>
      <w:r w:rsidR="009B7D92">
        <w:rPr>
          <w:rFonts w:ascii="Times New Roman" w:hAnsi="Times New Roman" w:cs="Times New Roman"/>
          <w:sz w:val="24"/>
          <w:szCs w:val="24"/>
          <w:vertAlign w:val="baseline"/>
        </w:rPr>
        <w:t xml:space="preserve">enforcement. Whilst there has been some progress in legislating against WAP, currently these laws are proving to be ineffective. </w:t>
      </w:r>
      <w:r w:rsidR="00FA42C0">
        <w:rPr>
          <w:rFonts w:ascii="Times New Roman" w:hAnsi="Times New Roman" w:cs="Times New Roman"/>
          <w:sz w:val="24"/>
          <w:szCs w:val="24"/>
          <w:vertAlign w:val="baseline"/>
        </w:rPr>
        <w:t xml:space="preserve">Lack of enforcement is hugely </w:t>
      </w:r>
      <w:r w:rsidR="0068271F">
        <w:rPr>
          <w:rFonts w:ascii="Times New Roman" w:hAnsi="Times New Roman" w:cs="Times New Roman"/>
          <w:sz w:val="24"/>
          <w:szCs w:val="24"/>
          <w:vertAlign w:val="baseline"/>
        </w:rPr>
        <w:t xml:space="preserve">problematic in all </w:t>
      </w:r>
      <w:r w:rsidR="00FA1E28">
        <w:rPr>
          <w:rFonts w:ascii="Times New Roman" w:hAnsi="Times New Roman" w:cs="Times New Roman"/>
          <w:sz w:val="24"/>
          <w:szCs w:val="24"/>
          <w:vertAlign w:val="baseline"/>
        </w:rPr>
        <w:t>four states. T</w:t>
      </w:r>
      <w:r w:rsidR="00E304D7">
        <w:rPr>
          <w:rFonts w:ascii="Times New Roman" w:hAnsi="Times New Roman" w:cs="Times New Roman"/>
          <w:sz w:val="24"/>
          <w:szCs w:val="24"/>
          <w:vertAlign w:val="baseline"/>
        </w:rPr>
        <w:t xml:space="preserve">here is the </w:t>
      </w:r>
      <w:r w:rsidR="00886F23">
        <w:rPr>
          <w:rFonts w:ascii="Times New Roman" w:hAnsi="Times New Roman" w:cs="Times New Roman"/>
          <w:sz w:val="24"/>
          <w:szCs w:val="24"/>
          <w:vertAlign w:val="baseline"/>
        </w:rPr>
        <w:t>nee</w:t>
      </w:r>
      <w:r w:rsidR="00E304D7">
        <w:rPr>
          <w:rFonts w:ascii="Times New Roman" w:hAnsi="Times New Roman" w:cs="Times New Roman"/>
          <w:sz w:val="24"/>
          <w:szCs w:val="24"/>
          <w:vertAlign w:val="baseline"/>
        </w:rPr>
        <w:t>d for an extensive review into law enforcement procedures</w:t>
      </w:r>
      <w:r w:rsidR="00F92C76">
        <w:rPr>
          <w:rFonts w:ascii="Times New Roman" w:hAnsi="Times New Roman" w:cs="Times New Roman"/>
          <w:sz w:val="24"/>
          <w:szCs w:val="24"/>
          <w:vertAlign w:val="baseline"/>
        </w:rPr>
        <w:t xml:space="preserve"> at all levels</w:t>
      </w:r>
      <w:r w:rsidR="00E304D7">
        <w:rPr>
          <w:rFonts w:ascii="Times New Roman" w:hAnsi="Times New Roman" w:cs="Times New Roman"/>
          <w:sz w:val="24"/>
          <w:szCs w:val="24"/>
          <w:vertAlign w:val="baseline"/>
        </w:rPr>
        <w:t xml:space="preserve">, with an emphasis on </w:t>
      </w:r>
      <w:r w:rsidR="00F92C76">
        <w:rPr>
          <w:rFonts w:ascii="Times New Roman" w:hAnsi="Times New Roman" w:cs="Times New Roman"/>
          <w:sz w:val="24"/>
          <w:szCs w:val="24"/>
          <w:vertAlign w:val="baseline"/>
        </w:rPr>
        <w:t xml:space="preserve">better resources and education in order to improve investigations and </w:t>
      </w:r>
      <w:r w:rsidR="00E304D7">
        <w:rPr>
          <w:rFonts w:ascii="Times New Roman" w:hAnsi="Times New Roman" w:cs="Times New Roman"/>
          <w:sz w:val="24"/>
          <w:szCs w:val="24"/>
          <w:vertAlign w:val="baseline"/>
        </w:rPr>
        <w:t>the</w:t>
      </w:r>
      <w:r w:rsidR="00BE1FB4">
        <w:rPr>
          <w:rFonts w:ascii="Times New Roman" w:hAnsi="Times New Roman" w:cs="Times New Roman"/>
          <w:sz w:val="24"/>
          <w:szCs w:val="24"/>
          <w:vertAlign w:val="baseline"/>
        </w:rPr>
        <w:t xml:space="preserve"> much needed</w:t>
      </w:r>
      <w:r w:rsidR="00E304D7">
        <w:rPr>
          <w:rFonts w:ascii="Times New Roman" w:hAnsi="Times New Roman" w:cs="Times New Roman"/>
          <w:sz w:val="24"/>
          <w:szCs w:val="24"/>
          <w:vertAlign w:val="baseline"/>
        </w:rPr>
        <w:t xml:space="preserve"> protection of witnesses</w:t>
      </w:r>
      <w:r w:rsidR="00BE1FB4">
        <w:rPr>
          <w:rFonts w:ascii="Times New Roman" w:hAnsi="Times New Roman" w:cs="Times New Roman"/>
          <w:sz w:val="24"/>
          <w:szCs w:val="24"/>
          <w:vertAlign w:val="baseline"/>
        </w:rPr>
        <w:t xml:space="preserve"> and victims</w:t>
      </w:r>
      <w:r w:rsidR="00F92C76">
        <w:rPr>
          <w:rFonts w:ascii="Times New Roman" w:hAnsi="Times New Roman" w:cs="Times New Roman"/>
          <w:sz w:val="24"/>
          <w:szCs w:val="24"/>
          <w:vertAlign w:val="baseline"/>
        </w:rPr>
        <w:t xml:space="preserve">, together with </w:t>
      </w:r>
      <w:r w:rsidR="00E304D7">
        <w:rPr>
          <w:rFonts w:ascii="Times New Roman" w:hAnsi="Times New Roman" w:cs="Times New Roman"/>
          <w:sz w:val="24"/>
          <w:szCs w:val="24"/>
          <w:vertAlign w:val="baseline"/>
        </w:rPr>
        <w:t xml:space="preserve">stronger punishments and higher rates of prosecutions for offenders. </w:t>
      </w:r>
      <w:r w:rsidR="00B7216D">
        <w:rPr>
          <w:rFonts w:ascii="Times New Roman" w:hAnsi="Times New Roman" w:cs="Times New Roman"/>
          <w:sz w:val="24"/>
          <w:szCs w:val="24"/>
          <w:vertAlign w:val="baseline"/>
        </w:rPr>
        <w:t>In collaboration with effective legislation, there is also the need for extensive education and awareness campaigns, incorporating the recognition of human rights, gender equality and harmful traditional practices</w:t>
      </w:r>
      <w:r w:rsidR="00B27ABF">
        <w:rPr>
          <w:rFonts w:ascii="Times New Roman" w:hAnsi="Times New Roman" w:cs="Times New Roman"/>
          <w:sz w:val="24"/>
          <w:szCs w:val="24"/>
          <w:vertAlign w:val="baseline"/>
        </w:rPr>
        <w:t>,</w:t>
      </w:r>
      <w:r w:rsidR="00B7216D">
        <w:rPr>
          <w:rFonts w:ascii="Times New Roman" w:hAnsi="Times New Roman" w:cs="Times New Roman"/>
          <w:sz w:val="24"/>
          <w:szCs w:val="24"/>
          <w:vertAlign w:val="baseline"/>
        </w:rPr>
        <w:t xml:space="preserve"> in order to tackle the dominance of patriarchal attitudes</w:t>
      </w:r>
      <w:r w:rsidR="008777D8">
        <w:rPr>
          <w:rFonts w:ascii="Times New Roman" w:hAnsi="Times New Roman" w:cs="Times New Roman"/>
          <w:sz w:val="24"/>
          <w:szCs w:val="24"/>
          <w:vertAlign w:val="baseline"/>
        </w:rPr>
        <w:t xml:space="preserve">, whilst </w:t>
      </w:r>
      <w:r w:rsidR="00FA1E28">
        <w:rPr>
          <w:rFonts w:ascii="Times New Roman" w:hAnsi="Times New Roman" w:cs="Times New Roman"/>
          <w:sz w:val="24"/>
          <w:szCs w:val="24"/>
          <w:vertAlign w:val="baseline"/>
        </w:rPr>
        <w:t>allowing women to realise their rights</w:t>
      </w:r>
      <w:r w:rsidR="00B7216D">
        <w:rPr>
          <w:rFonts w:ascii="Times New Roman" w:hAnsi="Times New Roman" w:cs="Times New Roman"/>
          <w:sz w:val="24"/>
          <w:szCs w:val="24"/>
          <w:vertAlign w:val="baseline"/>
        </w:rPr>
        <w:t>.</w:t>
      </w:r>
      <w:r w:rsidR="00EF74A4">
        <w:rPr>
          <w:rFonts w:ascii="Times New Roman" w:hAnsi="Times New Roman" w:cs="Times New Roman"/>
          <w:sz w:val="24"/>
          <w:szCs w:val="24"/>
          <w:vertAlign w:val="baseline"/>
        </w:rPr>
        <w:t xml:space="preserve"> H</w:t>
      </w:r>
      <w:r w:rsidR="005763FF">
        <w:rPr>
          <w:rFonts w:ascii="Times New Roman" w:hAnsi="Times New Roman" w:cs="Times New Roman"/>
          <w:sz w:val="24"/>
          <w:szCs w:val="24"/>
          <w:vertAlign w:val="baseline"/>
        </w:rPr>
        <w:t xml:space="preserve">uman rights </w:t>
      </w:r>
      <w:r w:rsidR="00EF4F5F">
        <w:rPr>
          <w:rFonts w:ascii="Times New Roman" w:hAnsi="Times New Roman" w:cs="Times New Roman"/>
          <w:sz w:val="24"/>
          <w:szCs w:val="24"/>
          <w:vertAlign w:val="baseline"/>
        </w:rPr>
        <w:t xml:space="preserve">should be included </w:t>
      </w:r>
      <w:r w:rsidR="005763FF">
        <w:rPr>
          <w:rFonts w:ascii="Times New Roman" w:hAnsi="Times New Roman" w:cs="Times New Roman"/>
          <w:sz w:val="24"/>
          <w:szCs w:val="24"/>
          <w:vertAlign w:val="baseline"/>
        </w:rPr>
        <w:t>within national education curriculum</w:t>
      </w:r>
      <w:r w:rsidR="003A155B">
        <w:rPr>
          <w:rFonts w:ascii="Times New Roman" w:hAnsi="Times New Roman" w:cs="Times New Roman"/>
          <w:sz w:val="24"/>
          <w:szCs w:val="24"/>
          <w:vertAlign w:val="baseline"/>
        </w:rPr>
        <w:t xml:space="preserve">s, which </w:t>
      </w:r>
      <w:r w:rsidR="005763FF">
        <w:rPr>
          <w:rFonts w:ascii="Times New Roman" w:hAnsi="Times New Roman" w:cs="Times New Roman"/>
          <w:sz w:val="24"/>
          <w:szCs w:val="24"/>
          <w:vertAlign w:val="baseline"/>
        </w:rPr>
        <w:t>should be made available to</w:t>
      </w:r>
      <w:r w:rsidR="003A155B">
        <w:rPr>
          <w:rFonts w:ascii="Times New Roman" w:hAnsi="Times New Roman" w:cs="Times New Roman"/>
          <w:sz w:val="24"/>
          <w:szCs w:val="24"/>
          <w:vertAlign w:val="baseline"/>
        </w:rPr>
        <w:t xml:space="preserve"> people, regardless of social class or poverty.</w:t>
      </w:r>
      <w:r w:rsidR="00D20F1E">
        <w:rPr>
          <w:rFonts w:ascii="Times New Roman" w:hAnsi="Times New Roman" w:cs="Times New Roman"/>
          <w:sz w:val="24"/>
          <w:szCs w:val="24"/>
          <w:vertAlign w:val="baseline"/>
        </w:rPr>
        <w:t xml:space="preserve"> </w:t>
      </w:r>
      <w:r w:rsidR="00EF74A4">
        <w:rPr>
          <w:rFonts w:ascii="Times New Roman" w:hAnsi="Times New Roman" w:cs="Times New Roman"/>
          <w:sz w:val="24"/>
          <w:szCs w:val="24"/>
          <w:vertAlign w:val="baseline"/>
        </w:rPr>
        <w:t xml:space="preserve">As should </w:t>
      </w:r>
      <w:r w:rsidR="00B957E7">
        <w:rPr>
          <w:rFonts w:ascii="Times New Roman" w:hAnsi="Times New Roman" w:cs="Times New Roman"/>
          <w:sz w:val="24"/>
          <w:szCs w:val="24"/>
          <w:vertAlign w:val="baseline"/>
        </w:rPr>
        <w:t>education against superstitious belief, where</w:t>
      </w:r>
      <w:r w:rsidR="00EF4F5F">
        <w:rPr>
          <w:rFonts w:ascii="Times New Roman" w:hAnsi="Times New Roman" w:cs="Times New Roman"/>
          <w:sz w:val="24"/>
          <w:szCs w:val="24"/>
          <w:vertAlign w:val="baseline"/>
        </w:rPr>
        <w:t>by</w:t>
      </w:r>
      <w:r w:rsidR="00B957E7">
        <w:rPr>
          <w:rFonts w:ascii="Times New Roman" w:hAnsi="Times New Roman" w:cs="Times New Roman"/>
          <w:sz w:val="24"/>
          <w:szCs w:val="24"/>
          <w:vertAlign w:val="baseline"/>
        </w:rPr>
        <w:t xml:space="preserve"> </w:t>
      </w:r>
      <w:r w:rsidR="00A7531F">
        <w:rPr>
          <w:rFonts w:ascii="Times New Roman" w:hAnsi="Times New Roman" w:cs="Times New Roman"/>
          <w:sz w:val="24"/>
          <w:szCs w:val="24"/>
          <w:vertAlign w:val="baseline"/>
        </w:rPr>
        <w:t>people are</w:t>
      </w:r>
      <w:r w:rsidR="00B957E7">
        <w:rPr>
          <w:rFonts w:ascii="Times New Roman" w:hAnsi="Times New Roman" w:cs="Times New Roman"/>
          <w:sz w:val="24"/>
          <w:szCs w:val="24"/>
          <w:vertAlign w:val="baseline"/>
        </w:rPr>
        <w:t xml:space="preserve"> educated to realise that their misfortune is not ‘unexplainable’ through witchcraft, but explicable in terms of illness, disease and other misfortunes. </w:t>
      </w:r>
      <w:r w:rsidR="00EF74A4">
        <w:rPr>
          <w:rFonts w:ascii="Times New Roman" w:hAnsi="Times New Roman" w:cs="Times New Roman"/>
          <w:sz w:val="24"/>
          <w:szCs w:val="24"/>
          <w:vertAlign w:val="baseline"/>
        </w:rPr>
        <w:t xml:space="preserve">If you explain the unexplainable, the </w:t>
      </w:r>
      <w:r w:rsidR="001A20B1">
        <w:rPr>
          <w:rFonts w:ascii="Times New Roman" w:hAnsi="Times New Roman" w:cs="Times New Roman"/>
          <w:sz w:val="24"/>
          <w:szCs w:val="24"/>
          <w:vertAlign w:val="baseline"/>
        </w:rPr>
        <w:t>mysterious</w:t>
      </w:r>
      <w:r w:rsidR="00EF74A4">
        <w:rPr>
          <w:rFonts w:ascii="Times New Roman" w:hAnsi="Times New Roman" w:cs="Times New Roman"/>
          <w:sz w:val="24"/>
          <w:szCs w:val="24"/>
          <w:vertAlign w:val="baseline"/>
        </w:rPr>
        <w:t xml:space="preserve"> and secretive natur</w:t>
      </w:r>
      <w:r w:rsidR="001A20B1">
        <w:rPr>
          <w:rFonts w:ascii="Times New Roman" w:hAnsi="Times New Roman" w:cs="Times New Roman"/>
          <w:sz w:val="24"/>
          <w:szCs w:val="24"/>
          <w:vertAlign w:val="baseline"/>
        </w:rPr>
        <w:t>e of the witchcraft discourse becomes</w:t>
      </w:r>
      <w:r w:rsidR="00EF74A4">
        <w:rPr>
          <w:rFonts w:ascii="Times New Roman" w:hAnsi="Times New Roman" w:cs="Times New Roman"/>
          <w:sz w:val="24"/>
          <w:szCs w:val="24"/>
          <w:vertAlign w:val="baseline"/>
        </w:rPr>
        <w:t xml:space="preserve"> exposed. </w:t>
      </w:r>
      <w:r w:rsidR="00D51F47">
        <w:rPr>
          <w:rFonts w:ascii="Times New Roman" w:hAnsi="Times New Roman" w:cs="Times New Roman"/>
          <w:sz w:val="24"/>
          <w:szCs w:val="24"/>
          <w:vertAlign w:val="baseline"/>
        </w:rPr>
        <w:t>To generate this, there is the need fo</w:t>
      </w:r>
      <w:r w:rsidR="00B905B5">
        <w:rPr>
          <w:rFonts w:ascii="Times New Roman" w:hAnsi="Times New Roman" w:cs="Times New Roman"/>
          <w:sz w:val="24"/>
          <w:szCs w:val="24"/>
          <w:vertAlign w:val="baseline"/>
        </w:rPr>
        <w:t>r cross-cultural dialogue and the</w:t>
      </w:r>
      <w:r w:rsidR="00D51F47">
        <w:rPr>
          <w:rFonts w:ascii="Times New Roman" w:hAnsi="Times New Roman" w:cs="Times New Roman"/>
          <w:sz w:val="24"/>
          <w:szCs w:val="24"/>
          <w:vertAlign w:val="baseline"/>
        </w:rPr>
        <w:t xml:space="preserve"> engage</w:t>
      </w:r>
      <w:r w:rsidR="00B905B5">
        <w:rPr>
          <w:rFonts w:ascii="Times New Roman" w:hAnsi="Times New Roman" w:cs="Times New Roman"/>
          <w:sz w:val="24"/>
          <w:szCs w:val="24"/>
          <w:vertAlign w:val="baseline"/>
        </w:rPr>
        <w:t>ment of</w:t>
      </w:r>
      <w:r w:rsidR="00D51F47">
        <w:rPr>
          <w:rFonts w:ascii="Times New Roman" w:hAnsi="Times New Roman" w:cs="Times New Roman"/>
          <w:sz w:val="24"/>
          <w:szCs w:val="24"/>
          <w:vertAlign w:val="baseline"/>
        </w:rPr>
        <w:t xml:space="preserve"> </w:t>
      </w:r>
      <w:r w:rsidR="005B0212">
        <w:rPr>
          <w:rFonts w:ascii="Times New Roman" w:hAnsi="Times New Roman" w:cs="Times New Roman"/>
          <w:sz w:val="24"/>
          <w:szCs w:val="24"/>
          <w:vertAlign w:val="baseline"/>
        </w:rPr>
        <w:t>all levels of society.</w:t>
      </w:r>
      <w:r w:rsidR="00B905B5">
        <w:rPr>
          <w:rFonts w:ascii="Times New Roman" w:hAnsi="Times New Roman" w:cs="Times New Roman"/>
          <w:sz w:val="24"/>
          <w:szCs w:val="24"/>
          <w:vertAlign w:val="baseline"/>
        </w:rPr>
        <w:t xml:space="preserve"> </w:t>
      </w:r>
      <w:r w:rsidR="005529EE">
        <w:rPr>
          <w:rFonts w:ascii="Times New Roman" w:hAnsi="Times New Roman" w:cs="Times New Roman"/>
          <w:sz w:val="24"/>
          <w:szCs w:val="24"/>
          <w:vertAlign w:val="baseline"/>
        </w:rPr>
        <w:t xml:space="preserve">Culture did </w:t>
      </w:r>
      <w:r w:rsidR="00086CCC">
        <w:rPr>
          <w:rFonts w:ascii="Times New Roman" w:hAnsi="Times New Roman" w:cs="Times New Roman"/>
          <w:sz w:val="24"/>
          <w:szCs w:val="24"/>
          <w:vertAlign w:val="baseline"/>
        </w:rPr>
        <w:t>not create society, society</w:t>
      </w:r>
      <w:r w:rsidR="00DE1926">
        <w:rPr>
          <w:rFonts w:ascii="Times New Roman" w:hAnsi="Times New Roman" w:cs="Times New Roman"/>
          <w:sz w:val="24"/>
          <w:szCs w:val="24"/>
          <w:vertAlign w:val="baseline"/>
        </w:rPr>
        <w:t xml:space="preserve"> created culture. Culture</w:t>
      </w:r>
      <w:r w:rsidR="005529EE">
        <w:rPr>
          <w:rFonts w:ascii="Times New Roman" w:hAnsi="Times New Roman" w:cs="Times New Roman"/>
          <w:sz w:val="24"/>
          <w:szCs w:val="24"/>
          <w:vertAlign w:val="baseline"/>
        </w:rPr>
        <w:t xml:space="preserve"> is a social </w:t>
      </w:r>
      <w:r w:rsidR="00086CCC">
        <w:rPr>
          <w:rFonts w:ascii="Times New Roman" w:hAnsi="Times New Roman" w:cs="Times New Roman"/>
          <w:sz w:val="24"/>
          <w:szCs w:val="24"/>
          <w:vertAlign w:val="baseline"/>
        </w:rPr>
        <w:t>construction, which</w:t>
      </w:r>
      <w:r w:rsidR="005529EE">
        <w:rPr>
          <w:rFonts w:ascii="Times New Roman" w:hAnsi="Times New Roman" w:cs="Times New Roman"/>
          <w:sz w:val="24"/>
          <w:szCs w:val="24"/>
          <w:vertAlign w:val="baseline"/>
        </w:rPr>
        <w:t xml:space="preserve"> is dynamic </w:t>
      </w:r>
      <w:r w:rsidR="005B0212">
        <w:rPr>
          <w:rFonts w:ascii="Times New Roman" w:hAnsi="Times New Roman" w:cs="Times New Roman"/>
          <w:sz w:val="24"/>
          <w:szCs w:val="24"/>
          <w:vertAlign w:val="baseline"/>
        </w:rPr>
        <w:t>and adaptable to change</w:t>
      </w:r>
      <w:r w:rsidR="00086CCC">
        <w:rPr>
          <w:rFonts w:ascii="Times New Roman" w:hAnsi="Times New Roman" w:cs="Times New Roman"/>
          <w:sz w:val="24"/>
          <w:szCs w:val="24"/>
          <w:vertAlign w:val="baseline"/>
        </w:rPr>
        <w:t>. As observed by Mortenson, ‘if you really want to change a culture … empower women.’</w:t>
      </w:r>
      <w:r w:rsidR="00086CCC">
        <w:rPr>
          <w:rStyle w:val="FootnoteReference"/>
          <w:rFonts w:ascii="Times New Roman" w:hAnsi="Times New Roman" w:cs="Times New Roman"/>
          <w:sz w:val="24"/>
          <w:szCs w:val="24"/>
        </w:rPr>
        <w:footnoteReference w:id="1314"/>
      </w:r>
    </w:p>
    <w:p w14:paraId="65A469F8" w14:textId="77777777" w:rsidR="00905DDD" w:rsidRDefault="00905DDD" w:rsidP="00146D3C">
      <w:pPr>
        <w:spacing w:line="480" w:lineRule="auto"/>
        <w:jc w:val="both"/>
        <w:rPr>
          <w:rFonts w:ascii="Times New Roman" w:hAnsi="Times New Roman" w:cs="Times New Roman"/>
          <w:b/>
          <w:sz w:val="24"/>
          <w:szCs w:val="24"/>
          <w:u w:val="single"/>
          <w:vertAlign w:val="baseline"/>
        </w:rPr>
      </w:pPr>
    </w:p>
    <w:p w14:paraId="4B6F2BA4" w14:textId="77777777" w:rsidR="000A6308" w:rsidRDefault="000A6308" w:rsidP="00146D3C">
      <w:pPr>
        <w:spacing w:line="480" w:lineRule="auto"/>
        <w:jc w:val="both"/>
        <w:rPr>
          <w:rFonts w:ascii="Times New Roman" w:hAnsi="Times New Roman" w:cs="Times New Roman"/>
          <w:b/>
          <w:sz w:val="24"/>
          <w:szCs w:val="24"/>
          <w:u w:val="single"/>
          <w:vertAlign w:val="baseline"/>
        </w:rPr>
      </w:pPr>
    </w:p>
    <w:p w14:paraId="7AC20DCE" w14:textId="429DAE92" w:rsidR="009354F0" w:rsidRPr="006A62F3" w:rsidRDefault="004E1DB5" w:rsidP="00146D3C">
      <w:pPr>
        <w:spacing w:line="480" w:lineRule="auto"/>
        <w:jc w:val="both"/>
        <w:rPr>
          <w:rFonts w:ascii="Times New Roman" w:hAnsi="Times New Roman" w:cs="Times New Roman"/>
          <w:b/>
          <w:sz w:val="24"/>
          <w:szCs w:val="24"/>
          <w:u w:val="single"/>
          <w:vertAlign w:val="baseline"/>
        </w:rPr>
      </w:pPr>
      <w:r>
        <w:rPr>
          <w:rFonts w:ascii="Times New Roman" w:hAnsi="Times New Roman" w:cs="Times New Roman"/>
          <w:b/>
          <w:sz w:val="24"/>
          <w:szCs w:val="24"/>
          <w:u w:val="single"/>
          <w:vertAlign w:val="baseline"/>
        </w:rPr>
        <w:t>7</w:t>
      </w:r>
      <w:r w:rsidR="009354F0">
        <w:rPr>
          <w:rFonts w:ascii="Times New Roman" w:hAnsi="Times New Roman" w:cs="Times New Roman"/>
          <w:b/>
          <w:sz w:val="24"/>
          <w:szCs w:val="24"/>
          <w:u w:val="single"/>
          <w:vertAlign w:val="baseline"/>
        </w:rPr>
        <w:t>.2</w:t>
      </w:r>
      <w:r w:rsidR="00146D3C">
        <w:rPr>
          <w:rFonts w:ascii="Times New Roman" w:hAnsi="Times New Roman" w:cs="Times New Roman"/>
          <w:b/>
          <w:sz w:val="24"/>
          <w:szCs w:val="24"/>
          <w:u w:val="single"/>
          <w:vertAlign w:val="baseline"/>
        </w:rPr>
        <w:t xml:space="preserve"> </w:t>
      </w:r>
      <w:r w:rsidR="006A62F3" w:rsidRPr="006A62F3">
        <w:rPr>
          <w:rFonts w:ascii="Times New Roman" w:hAnsi="Times New Roman" w:cs="Times New Roman"/>
          <w:b/>
          <w:sz w:val="24"/>
          <w:szCs w:val="24"/>
          <w:u w:val="single"/>
          <w:vertAlign w:val="baseline"/>
        </w:rPr>
        <w:t>S</w:t>
      </w:r>
      <w:r w:rsidR="009354F0">
        <w:rPr>
          <w:rFonts w:ascii="Times New Roman" w:hAnsi="Times New Roman" w:cs="Times New Roman"/>
          <w:b/>
          <w:sz w:val="24"/>
          <w:szCs w:val="24"/>
          <w:u w:val="single"/>
          <w:vertAlign w:val="baseline"/>
        </w:rPr>
        <w:t xml:space="preserve">IGNIFICANCE AND ORIGINALITY OF THE RESEARCH </w:t>
      </w:r>
    </w:p>
    <w:p w14:paraId="08C1AE48" w14:textId="24482B3B" w:rsidR="00395DB7" w:rsidRDefault="006A62F3" w:rsidP="00ED402F">
      <w:pPr>
        <w:spacing w:line="480" w:lineRule="auto"/>
        <w:ind w:firstLine="720"/>
        <w:jc w:val="both"/>
        <w:rPr>
          <w:rFonts w:ascii="Times New Roman" w:hAnsi="Times New Roman" w:cs="Times New Roman"/>
          <w:sz w:val="24"/>
          <w:szCs w:val="24"/>
          <w:vertAlign w:val="baseline"/>
        </w:rPr>
      </w:pPr>
      <w:r w:rsidRPr="006A62F3">
        <w:rPr>
          <w:rFonts w:ascii="Times New Roman" w:hAnsi="Times New Roman" w:cs="Times New Roman"/>
          <w:sz w:val="24"/>
          <w:szCs w:val="24"/>
          <w:vertAlign w:val="baseline"/>
        </w:rPr>
        <w:t>Whilst there is plenty of literature available regarding the historical basis of witchcraft, there is very little academic literature concerning the prevalence of witchcraft beliefs in the 21</w:t>
      </w:r>
      <w:r w:rsidRPr="006A62F3">
        <w:rPr>
          <w:rFonts w:ascii="Times New Roman" w:hAnsi="Times New Roman" w:cs="Times New Roman"/>
          <w:sz w:val="24"/>
          <w:szCs w:val="24"/>
        </w:rPr>
        <w:t>st</w:t>
      </w:r>
      <w:r w:rsidR="00F86438">
        <w:rPr>
          <w:rFonts w:ascii="Times New Roman" w:hAnsi="Times New Roman" w:cs="Times New Roman"/>
          <w:sz w:val="24"/>
          <w:szCs w:val="24"/>
          <w:vertAlign w:val="baseline"/>
        </w:rPr>
        <w:t xml:space="preserve"> century. M</w:t>
      </w:r>
      <w:r w:rsidRPr="006A62F3">
        <w:rPr>
          <w:rFonts w:ascii="Times New Roman" w:hAnsi="Times New Roman" w:cs="Times New Roman"/>
          <w:sz w:val="24"/>
          <w:szCs w:val="24"/>
          <w:vertAlign w:val="baseline"/>
        </w:rPr>
        <w:t>y research is original as not only does it tie together the history of witchcraft with a contemporary belief in witchcraft, it provides a comparative study between four ethnically diverse countries in order to ascertain the nature of the witchcraft discourse and the effect such beliefs have on the lives of women. Witchcraft accusations and persecutio</w:t>
      </w:r>
      <w:r w:rsidR="00F86438">
        <w:rPr>
          <w:rFonts w:ascii="Times New Roman" w:hAnsi="Times New Roman" w:cs="Times New Roman"/>
          <w:sz w:val="24"/>
          <w:szCs w:val="24"/>
          <w:vertAlign w:val="baseline"/>
        </w:rPr>
        <w:t xml:space="preserve">n are on the increase. Yet </w:t>
      </w:r>
      <w:r w:rsidRPr="006A62F3">
        <w:rPr>
          <w:rFonts w:ascii="Times New Roman" w:hAnsi="Times New Roman" w:cs="Times New Roman"/>
          <w:sz w:val="24"/>
          <w:szCs w:val="24"/>
          <w:vertAlign w:val="baseline"/>
        </w:rPr>
        <w:t>people</w:t>
      </w:r>
      <w:r w:rsidR="00F86438">
        <w:rPr>
          <w:rFonts w:ascii="Times New Roman" w:hAnsi="Times New Roman" w:cs="Times New Roman"/>
          <w:sz w:val="24"/>
          <w:szCs w:val="24"/>
          <w:vertAlign w:val="baseline"/>
        </w:rPr>
        <w:t xml:space="preserve"> </w:t>
      </w:r>
      <w:r w:rsidRPr="006A62F3">
        <w:rPr>
          <w:rFonts w:ascii="Times New Roman" w:hAnsi="Times New Roman" w:cs="Times New Roman"/>
          <w:sz w:val="24"/>
          <w:szCs w:val="24"/>
          <w:vertAlign w:val="baseline"/>
        </w:rPr>
        <w:t>are often shocked and horrified that there is an actual presence of witchcraft beliefs within the 21</w:t>
      </w:r>
      <w:r w:rsidRPr="006A62F3">
        <w:rPr>
          <w:rFonts w:ascii="Times New Roman" w:hAnsi="Times New Roman" w:cs="Times New Roman"/>
          <w:sz w:val="24"/>
          <w:szCs w:val="24"/>
        </w:rPr>
        <w:t>st</w:t>
      </w:r>
      <w:r w:rsidR="00F0617C">
        <w:rPr>
          <w:rFonts w:ascii="Times New Roman" w:hAnsi="Times New Roman" w:cs="Times New Roman"/>
          <w:sz w:val="24"/>
          <w:szCs w:val="24"/>
          <w:vertAlign w:val="baseline"/>
        </w:rPr>
        <w:t xml:space="preserve"> century and the </w:t>
      </w:r>
      <w:r w:rsidRPr="006A62F3">
        <w:rPr>
          <w:rFonts w:ascii="Times New Roman" w:hAnsi="Times New Roman" w:cs="Times New Roman"/>
          <w:sz w:val="24"/>
          <w:szCs w:val="24"/>
          <w:vertAlign w:val="baseline"/>
        </w:rPr>
        <w:t>phenomenon</w:t>
      </w:r>
      <w:r w:rsidR="00F0617C">
        <w:rPr>
          <w:rFonts w:ascii="Times New Roman" w:hAnsi="Times New Roman" w:cs="Times New Roman"/>
          <w:sz w:val="24"/>
          <w:szCs w:val="24"/>
          <w:vertAlign w:val="baseline"/>
        </w:rPr>
        <w:t xml:space="preserve"> is, as has been demonstrated, under-researched. </w:t>
      </w:r>
      <w:r w:rsidRPr="006A62F3">
        <w:rPr>
          <w:rFonts w:ascii="Times New Roman" w:hAnsi="Times New Roman" w:cs="Times New Roman"/>
          <w:sz w:val="24"/>
          <w:szCs w:val="24"/>
          <w:vertAlign w:val="baseline"/>
        </w:rPr>
        <w:t>For some reason, WAP remains very much und</w:t>
      </w:r>
      <w:r w:rsidR="00F0617C">
        <w:rPr>
          <w:rFonts w:ascii="Times New Roman" w:hAnsi="Times New Roman" w:cs="Times New Roman"/>
          <w:sz w:val="24"/>
          <w:szCs w:val="24"/>
          <w:vertAlign w:val="baseline"/>
        </w:rPr>
        <w:t>er the radar. T</w:t>
      </w:r>
      <w:r w:rsidRPr="006A62F3">
        <w:rPr>
          <w:rFonts w:ascii="Times New Roman" w:hAnsi="Times New Roman" w:cs="Times New Roman"/>
          <w:sz w:val="24"/>
          <w:szCs w:val="24"/>
          <w:vertAlign w:val="baseline"/>
        </w:rPr>
        <w:t xml:space="preserve">his thesis will </w:t>
      </w:r>
      <w:r w:rsidR="00F0617C">
        <w:rPr>
          <w:rFonts w:ascii="Times New Roman" w:hAnsi="Times New Roman" w:cs="Times New Roman"/>
          <w:sz w:val="24"/>
          <w:szCs w:val="24"/>
          <w:vertAlign w:val="baseline"/>
        </w:rPr>
        <w:t xml:space="preserve">contribute to an understanding of </w:t>
      </w:r>
      <w:r w:rsidRPr="006A62F3">
        <w:rPr>
          <w:rFonts w:ascii="Times New Roman" w:hAnsi="Times New Roman" w:cs="Times New Roman"/>
          <w:sz w:val="24"/>
          <w:szCs w:val="24"/>
          <w:vertAlign w:val="baseline"/>
        </w:rPr>
        <w:t>how witchcraft beliefs manifest themselves within society and appreciate the horrific levels of violence associated with WAP.</w:t>
      </w:r>
    </w:p>
    <w:p w14:paraId="02EA2286" w14:textId="77777777" w:rsidR="000A6308" w:rsidRPr="00ED402F" w:rsidRDefault="000A6308" w:rsidP="00ED402F">
      <w:pPr>
        <w:spacing w:line="480" w:lineRule="auto"/>
        <w:ind w:firstLine="720"/>
        <w:jc w:val="both"/>
        <w:rPr>
          <w:rFonts w:ascii="Times New Roman" w:hAnsi="Times New Roman" w:cs="Times New Roman"/>
          <w:sz w:val="24"/>
          <w:szCs w:val="24"/>
          <w:vertAlign w:val="baseline"/>
        </w:rPr>
      </w:pPr>
    </w:p>
    <w:p w14:paraId="1AF1036D" w14:textId="55320BC5" w:rsidR="006A62F3" w:rsidRPr="00285A31" w:rsidRDefault="004E1DB5" w:rsidP="00285A31">
      <w:pPr>
        <w:spacing w:line="480" w:lineRule="auto"/>
        <w:jc w:val="both"/>
        <w:rPr>
          <w:rFonts w:ascii="Times New Roman" w:hAnsi="Times New Roman" w:cs="Times New Roman"/>
          <w:sz w:val="24"/>
          <w:szCs w:val="24"/>
          <w:vertAlign w:val="baseline"/>
        </w:rPr>
      </w:pPr>
      <w:r>
        <w:rPr>
          <w:rFonts w:ascii="Times New Roman" w:hAnsi="Times New Roman" w:cs="Times New Roman"/>
          <w:b/>
          <w:sz w:val="24"/>
          <w:szCs w:val="24"/>
          <w:u w:val="single"/>
          <w:vertAlign w:val="baseline"/>
        </w:rPr>
        <w:t>7</w:t>
      </w:r>
      <w:r w:rsidR="00BA685F">
        <w:rPr>
          <w:rFonts w:ascii="Times New Roman" w:hAnsi="Times New Roman" w:cs="Times New Roman"/>
          <w:b/>
          <w:sz w:val="24"/>
          <w:szCs w:val="24"/>
          <w:u w:val="single"/>
          <w:vertAlign w:val="baseline"/>
        </w:rPr>
        <w:t>.3</w:t>
      </w:r>
      <w:r w:rsidR="00285A31">
        <w:rPr>
          <w:rFonts w:ascii="Times New Roman" w:hAnsi="Times New Roman" w:cs="Times New Roman"/>
          <w:b/>
          <w:sz w:val="24"/>
          <w:szCs w:val="24"/>
          <w:u w:val="single"/>
          <w:vertAlign w:val="baseline"/>
        </w:rPr>
        <w:t xml:space="preserve"> F</w:t>
      </w:r>
      <w:r w:rsidR="00BA685F">
        <w:rPr>
          <w:rFonts w:ascii="Times New Roman" w:hAnsi="Times New Roman" w:cs="Times New Roman"/>
          <w:b/>
          <w:sz w:val="24"/>
          <w:szCs w:val="24"/>
          <w:u w:val="single"/>
          <w:vertAlign w:val="baseline"/>
        </w:rPr>
        <w:t>URTHER STUDY</w:t>
      </w:r>
    </w:p>
    <w:p w14:paraId="7709D7BF" w14:textId="6781E629" w:rsidR="00B2060F" w:rsidRDefault="006A62F3" w:rsidP="00B2060F">
      <w:pPr>
        <w:spacing w:line="480" w:lineRule="auto"/>
        <w:ind w:firstLine="720"/>
        <w:jc w:val="both"/>
        <w:rPr>
          <w:rFonts w:ascii="Times New Roman" w:hAnsi="Times New Roman" w:cs="Times New Roman"/>
          <w:sz w:val="24"/>
          <w:szCs w:val="24"/>
          <w:vertAlign w:val="baseline"/>
        </w:rPr>
      </w:pPr>
      <w:r w:rsidRPr="006A62F3">
        <w:rPr>
          <w:rFonts w:ascii="Times New Roman" w:hAnsi="Times New Roman" w:cs="Times New Roman"/>
          <w:sz w:val="24"/>
          <w:szCs w:val="24"/>
          <w:vertAlign w:val="baseline"/>
        </w:rPr>
        <w:t>This thesis has simply touched the tip of the iceberg as regards witchcraft violence. However there are a few specific areas emanating from this thesis that I think would be suitable for further study. The first would be a more extensive examination into the prevalence of WAP globally. In this thesis, the focus is on India, Nepal, Ghana and PNG, however, there are incidences of WAP all over the world. It would be interesting to see if there are similarities in the way in which witchcraft manifests itself w</w:t>
      </w:r>
      <w:r w:rsidR="0032397A">
        <w:rPr>
          <w:rFonts w:ascii="Times New Roman" w:hAnsi="Times New Roman" w:cs="Times New Roman"/>
          <w:sz w:val="24"/>
          <w:szCs w:val="24"/>
          <w:vertAlign w:val="baseline"/>
        </w:rPr>
        <w:t>ithin other societies not referr</w:t>
      </w:r>
      <w:r w:rsidRPr="006A62F3">
        <w:rPr>
          <w:rFonts w:ascii="Times New Roman" w:hAnsi="Times New Roman" w:cs="Times New Roman"/>
          <w:sz w:val="24"/>
          <w:szCs w:val="24"/>
          <w:vertAlign w:val="baseline"/>
        </w:rPr>
        <w:t xml:space="preserve">ed to in this thesis. </w:t>
      </w:r>
      <w:r w:rsidR="00492060">
        <w:rPr>
          <w:rFonts w:ascii="Times New Roman" w:hAnsi="Times New Roman" w:cs="Times New Roman"/>
          <w:sz w:val="24"/>
          <w:szCs w:val="24"/>
          <w:vertAlign w:val="baseline"/>
        </w:rPr>
        <w:t>Secondly</w:t>
      </w:r>
      <w:r w:rsidR="00492060" w:rsidRPr="006A62F3">
        <w:rPr>
          <w:rFonts w:ascii="Times New Roman" w:hAnsi="Times New Roman" w:cs="Times New Roman"/>
          <w:sz w:val="24"/>
          <w:szCs w:val="24"/>
          <w:vertAlign w:val="baseline"/>
        </w:rPr>
        <w:t>, more empirical research would be welcomed, in order to attempt to assess the true scale of WAP related violence.</w:t>
      </w:r>
      <w:r w:rsidR="00492060">
        <w:rPr>
          <w:rFonts w:ascii="Times New Roman" w:hAnsi="Times New Roman" w:cs="Times New Roman"/>
          <w:sz w:val="24"/>
          <w:szCs w:val="24"/>
          <w:vertAlign w:val="baseline"/>
        </w:rPr>
        <w:t xml:space="preserve"> Finally</w:t>
      </w:r>
      <w:r w:rsidRPr="006A62F3">
        <w:rPr>
          <w:rFonts w:ascii="Times New Roman" w:hAnsi="Times New Roman" w:cs="Times New Roman"/>
          <w:sz w:val="24"/>
          <w:szCs w:val="24"/>
          <w:vertAlign w:val="baseline"/>
        </w:rPr>
        <w:t xml:space="preserve">, there is a need for further investigation of those people that are manipulating and propagating witchcraft beliefs for self-gain. Questions should be asked regarding the regulation and indeed the validity of ‘churches’ and ‘pastors’ who are allegedly qualified to exorcise and deliver evil spirits, and also those that trade in the sale of body parts for ‘magical potions.’ </w:t>
      </w:r>
      <w:r w:rsidR="00DF0057">
        <w:rPr>
          <w:rFonts w:ascii="Times New Roman" w:hAnsi="Times New Roman" w:cs="Times New Roman"/>
          <w:sz w:val="24"/>
          <w:szCs w:val="24"/>
          <w:vertAlign w:val="baseline"/>
        </w:rPr>
        <w:t xml:space="preserve">Such people benefit from the </w:t>
      </w:r>
      <w:r w:rsidR="00D040CD">
        <w:rPr>
          <w:rFonts w:ascii="Times New Roman" w:hAnsi="Times New Roman" w:cs="Times New Roman"/>
          <w:sz w:val="24"/>
          <w:szCs w:val="24"/>
          <w:vertAlign w:val="baseline"/>
        </w:rPr>
        <w:t xml:space="preserve">manipulation of </w:t>
      </w:r>
      <w:r w:rsidR="00C10709">
        <w:rPr>
          <w:rFonts w:ascii="Times New Roman" w:hAnsi="Times New Roman" w:cs="Times New Roman"/>
          <w:sz w:val="24"/>
          <w:szCs w:val="24"/>
          <w:vertAlign w:val="baseline"/>
        </w:rPr>
        <w:t xml:space="preserve">superstitious </w:t>
      </w:r>
      <w:r w:rsidR="00DF0057">
        <w:rPr>
          <w:rFonts w:ascii="Times New Roman" w:hAnsi="Times New Roman" w:cs="Times New Roman"/>
          <w:sz w:val="24"/>
          <w:szCs w:val="24"/>
          <w:vertAlign w:val="baseline"/>
        </w:rPr>
        <w:t xml:space="preserve">fear and </w:t>
      </w:r>
      <w:r w:rsidR="00C10709">
        <w:rPr>
          <w:rFonts w:ascii="Times New Roman" w:hAnsi="Times New Roman" w:cs="Times New Roman"/>
          <w:sz w:val="24"/>
          <w:szCs w:val="24"/>
          <w:vertAlign w:val="baseline"/>
        </w:rPr>
        <w:t xml:space="preserve">the </w:t>
      </w:r>
      <w:r w:rsidR="00DF0057">
        <w:rPr>
          <w:rFonts w:ascii="Times New Roman" w:hAnsi="Times New Roman" w:cs="Times New Roman"/>
          <w:sz w:val="24"/>
          <w:szCs w:val="24"/>
          <w:vertAlign w:val="baseline"/>
        </w:rPr>
        <w:t xml:space="preserve">suffering </w:t>
      </w:r>
      <w:r w:rsidR="00D040CD">
        <w:rPr>
          <w:rFonts w:ascii="Times New Roman" w:hAnsi="Times New Roman" w:cs="Times New Roman"/>
          <w:sz w:val="24"/>
          <w:szCs w:val="24"/>
          <w:vertAlign w:val="baseline"/>
        </w:rPr>
        <w:t>of others.</w:t>
      </w:r>
      <w:r w:rsidR="00D60ED1">
        <w:rPr>
          <w:rFonts w:ascii="Times New Roman" w:hAnsi="Times New Roman" w:cs="Times New Roman"/>
          <w:sz w:val="24"/>
          <w:szCs w:val="24"/>
          <w:vertAlign w:val="baseline"/>
        </w:rPr>
        <w:t xml:space="preserve"> </w:t>
      </w:r>
      <w:r w:rsidR="00295E04">
        <w:rPr>
          <w:rFonts w:ascii="Times New Roman" w:hAnsi="Times New Roman" w:cs="Times New Roman"/>
          <w:sz w:val="24"/>
          <w:szCs w:val="24"/>
          <w:vertAlign w:val="baseline"/>
        </w:rPr>
        <w:t xml:space="preserve">As Russell articulates, </w:t>
      </w:r>
    </w:p>
    <w:p w14:paraId="48D595AC" w14:textId="77777777" w:rsidR="00B2060F" w:rsidRDefault="00B2060F" w:rsidP="00B2060F">
      <w:pPr>
        <w:spacing w:line="480" w:lineRule="auto"/>
        <w:ind w:firstLine="720"/>
        <w:jc w:val="both"/>
        <w:rPr>
          <w:rFonts w:ascii="Times New Roman" w:hAnsi="Times New Roman" w:cs="Times New Roman"/>
          <w:sz w:val="24"/>
          <w:szCs w:val="24"/>
          <w:vertAlign w:val="baseline"/>
        </w:rPr>
      </w:pPr>
    </w:p>
    <w:p w14:paraId="2C6DAEA1" w14:textId="696F1B00" w:rsidR="001300E1" w:rsidRDefault="00B2060F" w:rsidP="00CA1DCB">
      <w:pPr>
        <w:spacing w:line="480" w:lineRule="auto"/>
        <w:ind w:left="720"/>
        <w:jc w:val="both"/>
        <w:rPr>
          <w:rFonts w:ascii="Times New Roman" w:hAnsi="Times New Roman" w:cs="Times New Roman"/>
          <w:sz w:val="24"/>
          <w:szCs w:val="24"/>
          <w:vertAlign w:val="baseline"/>
        </w:rPr>
      </w:pPr>
      <w:r>
        <w:rPr>
          <w:rFonts w:ascii="Times New Roman" w:hAnsi="Times New Roman" w:cs="Times New Roman"/>
          <w:sz w:val="24"/>
          <w:szCs w:val="24"/>
          <w:vertAlign w:val="baseline"/>
        </w:rPr>
        <w:t>Fear has many forms … Until you have admitted your own fears to yourself, and have guarded yourself by a difficult effort of will against their myth-making power, you cannot hope to think about many matters of great importance, especially those with which religious beliefs are concerned. F</w:t>
      </w:r>
      <w:r w:rsidR="00295E04">
        <w:rPr>
          <w:rFonts w:ascii="Times New Roman" w:hAnsi="Times New Roman" w:cs="Times New Roman"/>
          <w:sz w:val="24"/>
          <w:szCs w:val="24"/>
          <w:vertAlign w:val="baseline"/>
        </w:rPr>
        <w:t>ear is the main source of superstition, and one of the main sources of cruelty. To conquer f</w:t>
      </w:r>
      <w:r w:rsidR="00CA1DCB">
        <w:rPr>
          <w:rFonts w:ascii="Times New Roman" w:hAnsi="Times New Roman" w:cs="Times New Roman"/>
          <w:sz w:val="24"/>
          <w:szCs w:val="24"/>
          <w:vertAlign w:val="baseline"/>
        </w:rPr>
        <w:t>ear is the beginning of wisdom.</w:t>
      </w:r>
      <w:r w:rsidR="00CA1DCB">
        <w:rPr>
          <w:rStyle w:val="FootnoteReference"/>
          <w:rFonts w:ascii="Times New Roman" w:hAnsi="Times New Roman" w:cs="Times New Roman"/>
          <w:sz w:val="24"/>
          <w:szCs w:val="24"/>
        </w:rPr>
        <w:footnoteReference w:id="1315"/>
      </w:r>
    </w:p>
    <w:p w14:paraId="0705A8B6" w14:textId="77777777" w:rsidR="001300E1" w:rsidRDefault="001300E1" w:rsidP="003E2C58">
      <w:pPr>
        <w:rPr>
          <w:rFonts w:ascii="Times New Roman" w:hAnsi="Times New Roman" w:cs="Times New Roman"/>
          <w:sz w:val="24"/>
          <w:szCs w:val="24"/>
          <w:vertAlign w:val="baseline"/>
        </w:rPr>
      </w:pPr>
    </w:p>
    <w:p w14:paraId="58BC51A2" w14:textId="4B949495" w:rsidR="001300E1" w:rsidRDefault="000A6308" w:rsidP="003E2C58">
      <w:pPr>
        <w:rPr>
          <w:rFonts w:ascii="Times New Roman" w:hAnsi="Times New Roman" w:cs="Times New Roman"/>
          <w:sz w:val="24"/>
          <w:szCs w:val="24"/>
          <w:vertAlign w:val="baseline"/>
        </w:rPr>
      </w:pPr>
      <w:r>
        <w:rPr>
          <w:rFonts w:ascii="Times New Roman" w:hAnsi="Times New Roman" w:cs="Times New Roman"/>
          <w:sz w:val="24"/>
          <w:szCs w:val="24"/>
          <w:vertAlign w:val="baseline"/>
        </w:rPr>
        <w:br w:type="page"/>
      </w:r>
    </w:p>
    <w:p w14:paraId="3F41A320" w14:textId="77777777" w:rsidR="001300E1" w:rsidRDefault="001300E1" w:rsidP="003E2C58">
      <w:pPr>
        <w:rPr>
          <w:rFonts w:ascii="Times New Roman" w:hAnsi="Times New Roman" w:cs="Times New Roman"/>
          <w:sz w:val="24"/>
          <w:szCs w:val="24"/>
          <w:vertAlign w:val="baseline"/>
        </w:rPr>
      </w:pPr>
    </w:p>
    <w:p w14:paraId="1717E2CB" w14:textId="0E12EC73" w:rsidR="003E2C58" w:rsidRPr="001300E1" w:rsidRDefault="001300E1" w:rsidP="00745275">
      <w:pPr>
        <w:spacing w:line="480" w:lineRule="auto"/>
        <w:jc w:val="center"/>
        <w:rPr>
          <w:rFonts w:ascii="Times New Roman" w:hAnsi="Times New Roman" w:cs="Times New Roman"/>
          <w:sz w:val="24"/>
          <w:szCs w:val="24"/>
          <w:vertAlign w:val="baseline"/>
        </w:rPr>
      </w:pPr>
      <w:r>
        <w:rPr>
          <w:rFonts w:ascii="Times New Roman" w:hAnsi="Times New Roman" w:cs="Times New Roman"/>
          <w:b/>
          <w:sz w:val="24"/>
          <w:szCs w:val="24"/>
          <w:vertAlign w:val="baseline"/>
        </w:rPr>
        <w:t>TABLE</w:t>
      </w:r>
      <w:r w:rsidR="003E2C58">
        <w:rPr>
          <w:rFonts w:ascii="Times New Roman" w:hAnsi="Times New Roman" w:cs="Times New Roman"/>
          <w:b/>
          <w:sz w:val="24"/>
          <w:szCs w:val="24"/>
          <w:vertAlign w:val="baseline"/>
        </w:rPr>
        <w:t xml:space="preserve"> OF CASES</w:t>
      </w:r>
    </w:p>
    <w:p w14:paraId="4205509A" w14:textId="17CE9983" w:rsidR="003E2C58" w:rsidRDefault="003E2C58" w:rsidP="001300E1">
      <w:pPr>
        <w:spacing w:line="480" w:lineRule="auto"/>
        <w:rPr>
          <w:rFonts w:ascii="Times New Roman" w:hAnsi="Times New Roman" w:cs="Times New Roman"/>
          <w:b/>
          <w:sz w:val="24"/>
          <w:szCs w:val="24"/>
          <w:vertAlign w:val="baseline"/>
        </w:rPr>
      </w:pPr>
      <w:r>
        <w:rPr>
          <w:rFonts w:ascii="Times New Roman" w:hAnsi="Times New Roman" w:cs="Times New Roman"/>
          <w:b/>
          <w:sz w:val="24"/>
          <w:szCs w:val="24"/>
          <w:vertAlign w:val="baseline"/>
        </w:rPr>
        <w:t>Ghana</w:t>
      </w:r>
    </w:p>
    <w:p w14:paraId="409BC2EE" w14:textId="77777777" w:rsidR="003E2C58" w:rsidRDefault="003E2C58" w:rsidP="001300E1">
      <w:pPr>
        <w:spacing w:line="480" w:lineRule="auto"/>
        <w:rPr>
          <w:rFonts w:ascii="Times New Roman" w:hAnsi="Times New Roman" w:cs="Times New Roman"/>
          <w:sz w:val="24"/>
          <w:szCs w:val="24"/>
          <w:vertAlign w:val="baseline"/>
        </w:rPr>
      </w:pPr>
      <w:r w:rsidRPr="00071000">
        <w:rPr>
          <w:rFonts w:ascii="Times New Roman" w:hAnsi="Times New Roman" w:cs="Times New Roman"/>
          <w:i/>
          <w:sz w:val="24"/>
          <w:szCs w:val="24"/>
          <w:vertAlign w:val="baseline"/>
        </w:rPr>
        <w:t>Afful v Okyere and Another</w:t>
      </w:r>
      <w:r>
        <w:rPr>
          <w:rFonts w:ascii="Times New Roman" w:hAnsi="Times New Roman" w:cs="Times New Roman"/>
          <w:sz w:val="24"/>
          <w:szCs w:val="24"/>
          <w:vertAlign w:val="baseline"/>
        </w:rPr>
        <w:t xml:space="preserve"> [1997-8] 1 GLR 730</w:t>
      </w:r>
    </w:p>
    <w:p w14:paraId="32920173" w14:textId="77777777" w:rsidR="003E2C58" w:rsidRPr="00672137" w:rsidRDefault="003E2C58" w:rsidP="001300E1">
      <w:pPr>
        <w:spacing w:line="480" w:lineRule="auto"/>
        <w:rPr>
          <w:rFonts w:ascii="Times New Roman" w:hAnsi="Times New Roman" w:cs="Times New Roman"/>
          <w:sz w:val="24"/>
          <w:szCs w:val="24"/>
          <w:vertAlign w:val="baseline"/>
        </w:rPr>
      </w:pPr>
      <w:r w:rsidRPr="00071000">
        <w:rPr>
          <w:rFonts w:ascii="Times New Roman" w:hAnsi="Times New Roman" w:cs="Times New Roman"/>
          <w:i/>
          <w:sz w:val="24"/>
          <w:szCs w:val="24"/>
          <w:vertAlign w:val="baseline"/>
        </w:rPr>
        <w:t>Foli VIII and Others v The Republic</w:t>
      </w:r>
      <w:r w:rsidRPr="00672137">
        <w:rPr>
          <w:rFonts w:ascii="Times New Roman" w:hAnsi="Times New Roman" w:cs="Times New Roman"/>
          <w:sz w:val="24"/>
          <w:szCs w:val="24"/>
          <w:vertAlign w:val="baseline"/>
        </w:rPr>
        <w:t xml:space="preserve"> [1968] GLR 768</w:t>
      </w:r>
    </w:p>
    <w:p w14:paraId="264E5C37" w14:textId="77777777" w:rsidR="003E2C58" w:rsidRDefault="003E2C58" w:rsidP="001300E1">
      <w:pPr>
        <w:spacing w:line="480" w:lineRule="auto"/>
        <w:rPr>
          <w:rFonts w:ascii="Times New Roman" w:hAnsi="Times New Roman" w:cs="Times New Roman"/>
          <w:sz w:val="24"/>
          <w:szCs w:val="24"/>
          <w:vertAlign w:val="baseline"/>
        </w:rPr>
      </w:pPr>
      <w:r w:rsidRPr="00071000">
        <w:rPr>
          <w:rFonts w:ascii="Times New Roman" w:hAnsi="Times New Roman" w:cs="Times New Roman"/>
          <w:i/>
          <w:sz w:val="24"/>
          <w:szCs w:val="24"/>
          <w:vertAlign w:val="baseline"/>
        </w:rPr>
        <w:t>Wankyiwaa v Wereduwaa and Another</w:t>
      </w:r>
      <w:r w:rsidRPr="00672137">
        <w:rPr>
          <w:rFonts w:ascii="Times New Roman" w:hAnsi="Times New Roman" w:cs="Times New Roman"/>
          <w:sz w:val="24"/>
          <w:szCs w:val="24"/>
          <w:vertAlign w:val="baseline"/>
        </w:rPr>
        <w:t xml:space="preserve"> [1963] 1 GLR 332</w:t>
      </w:r>
    </w:p>
    <w:p w14:paraId="21AF839F" w14:textId="3B64335B" w:rsidR="003E2C58" w:rsidRDefault="003E2C58" w:rsidP="001300E1">
      <w:pPr>
        <w:spacing w:line="480" w:lineRule="auto"/>
        <w:rPr>
          <w:rFonts w:ascii="Times New Roman" w:hAnsi="Times New Roman" w:cs="Times New Roman"/>
          <w:b/>
          <w:sz w:val="24"/>
          <w:szCs w:val="24"/>
          <w:vertAlign w:val="baseline"/>
        </w:rPr>
      </w:pPr>
      <w:r>
        <w:rPr>
          <w:rFonts w:ascii="Times New Roman" w:hAnsi="Times New Roman" w:cs="Times New Roman"/>
          <w:b/>
          <w:sz w:val="24"/>
          <w:szCs w:val="24"/>
          <w:vertAlign w:val="baseline"/>
        </w:rPr>
        <w:t>India</w:t>
      </w:r>
    </w:p>
    <w:p w14:paraId="2B61E85D" w14:textId="77777777" w:rsidR="003E2C58" w:rsidRPr="00672137" w:rsidRDefault="003E2C58" w:rsidP="001300E1">
      <w:pPr>
        <w:spacing w:line="480" w:lineRule="auto"/>
        <w:rPr>
          <w:rFonts w:ascii="Times New Roman" w:hAnsi="Times New Roman" w:cs="Times New Roman"/>
          <w:sz w:val="24"/>
          <w:szCs w:val="24"/>
          <w:vertAlign w:val="baseline"/>
        </w:rPr>
      </w:pPr>
      <w:r w:rsidRPr="00071000">
        <w:rPr>
          <w:rFonts w:ascii="Times New Roman" w:hAnsi="Times New Roman" w:cs="Times New Roman"/>
          <w:i/>
          <w:sz w:val="24"/>
          <w:szCs w:val="24"/>
          <w:vertAlign w:val="baseline"/>
        </w:rPr>
        <w:t>Ahmedabad Women Action Group &amp; Ors. v Union of India</w:t>
      </w:r>
      <w:r w:rsidRPr="00672137">
        <w:rPr>
          <w:rFonts w:ascii="Times New Roman" w:hAnsi="Times New Roman" w:cs="Times New Roman"/>
          <w:sz w:val="24"/>
          <w:szCs w:val="24"/>
          <w:vertAlign w:val="baseline"/>
        </w:rPr>
        <w:t xml:space="preserve"> (1997) 3 SCC 573</w:t>
      </w:r>
    </w:p>
    <w:p w14:paraId="661BF440" w14:textId="77777777" w:rsidR="003E2C58" w:rsidRDefault="003E2C58" w:rsidP="001300E1">
      <w:pPr>
        <w:spacing w:line="480" w:lineRule="auto"/>
        <w:rPr>
          <w:rFonts w:ascii="Times New Roman" w:hAnsi="Times New Roman" w:cs="Times New Roman"/>
          <w:sz w:val="24"/>
          <w:szCs w:val="24"/>
          <w:vertAlign w:val="baseline"/>
        </w:rPr>
      </w:pPr>
      <w:r w:rsidRPr="00071000">
        <w:rPr>
          <w:rFonts w:ascii="Times New Roman" w:hAnsi="Times New Roman" w:cs="Times New Roman"/>
          <w:i/>
          <w:sz w:val="24"/>
          <w:szCs w:val="24"/>
          <w:vertAlign w:val="baseline"/>
        </w:rPr>
        <w:t>Anil Kumar Mhasi v Union of India</w:t>
      </w:r>
      <w:r>
        <w:rPr>
          <w:rFonts w:ascii="Times New Roman" w:hAnsi="Times New Roman" w:cs="Times New Roman"/>
          <w:sz w:val="24"/>
          <w:szCs w:val="24"/>
          <w:vertAlign w:val="baseline"/>
        </w:rPr>
        <w:t xml:space="preserve"> (1994) 5 SCC 704</w:t>
      </w:r>
    </w:p>
    <w:p w14:paraId="59762B7E" w14:textId="77777777" w:rsidR="003E2C58" w:rsidRPr="00672137" w:rsidRDefault="003E2C58" w:rsidP="001300E1">
      <w:pPr>
        <w:spacing w:line="480" w:lineRule="auto"/>
        <w:rPr>
          <w:rFonts w:ascii="Times New Roman" w:hAnsi="Times New Roman" w:cs="Times New Roman"/>
          <w:sz w:val="24"/>
          <w:szCs w:val="24"/>
          <w:vertAlign w:val="baseline"/>
        </w:rPr>
      </w:pPr>
      <w:r w:rsidRPr="00984490">
        <w:rPr>
          <w:rFonts w:ascii="Times New Roman" w:hAnsi="Times New Roman" w:cs="Times New Roman"/>
          <w:i/>
          <w:sz w:val="24"/>
          <w:szCs w:val="24"/>
          <w:vertAlign w:val="baseline"/>
        </w:rPr>
        <w:t>Daniel Latifi v Union of India</w:t>
      </w:r>
      <w:r w:rsidRPr="00672137">
        <w:rPr>
          <w:rFonts w:ascii="Times New Roman" w:hAnsi="Times New Roman" w:cs="Times New Roman"/>
          <w:sz w:val="24"/>
          <w:szCs w:val="24"/>
          <w:vertAlign w:val="baseline"/>
        </w:rPr>
        <w:t xml:space="preserve"> (2001) 7 SCC 740</w:t>
      </w:r>
    </w:p>
    <w:p w14:paraId="256F5E5C" w14:textId="77777777" w:rsidR="003E2C58" w:rsidRPr="00071000" w:rsidRDefault="003E2C58" w:rsidP="001300E1">
      <w:pPr>
        <w:spacing w:line="480" w:lineRule="auto"/>
        <w:rPr>
          <w:rFonts w:ascii="Times New Roman" w:eastAsia="Times New Roman" w:hAnsi="Times New Roman" w:cs="Times New Roman"/>
          <w:sz w:val="24"/>
          <w:szCs w:val="24"/>
          <w:vertAlign w:val="baseline"/>
        </w:rPr>
      </w:pPr>
      <w:r w:rsidRPr="00071000">
        <w:rPr>
          <w:rFonts w:ascii="Times New Roman" w:eastAsia="Times New Roman" w:hAnsi="Times New Roman" w:cs="Times New Roman"/>
          <w:bCs/>
          <w:i/>
          <w:color w:val="000000"/>
          <w:sz w:val="24"/>
          <w:szCs w:val="24"/>
          <w:shd w:val="clear" w:color="auto" w:fill="FFFFFF"/>
          <w:vertAlign w:val="baseline"/>
        </w:rPr>
        <w:t>Dr.Surajmani Stella Kujur vs Durga Charan Hansdah &amp; Anr</w:t>
      </w:r>
      <w:r w:rsidRPr="00672137">
        <w:rPr>
          <w:rFonts w:ascii="Times New Roman" w:hAnsi="Times New Roman" w:cs="Times New Roman"/>
          <w:sz w:val="24"/>
          <w:szCs w:val="24"/>
          <w:vertAlign w:val="baseline"/>
        </w:rPr>
        <w:t xml:space="preserve"> [2001] AIR SC 938 </w:t>
      </w:r>
    </w:p>
    <w:p w14:paraId="3C83C43E" w14:textId="77777777" w:rsidR="003E2C58" w:rsidRDefault="003E2C58" w:rsidP="001300E1">
      <w:pPr>
        <w:spacing w:line="480" w:lineRule="auto"/>
        <w:rPr>
          <w:rFonts w:ascii="Times New Roman" w:hAnsi="Times New Roman" w:cs="Times New Roman"/>
          <w:sz w:val="24"/>
          <w:szCs w:val="24"/>
          <w:vertAlign w:val="baseline"/>
        </w:rPr>
      </w:pPr>
      <w:r w:rsidRPr="00984490">
        <w:rPr>
          <w:rFonts w:ascii="Times New Roman" w:hAnsi="Times New Roman" w:cs="Times New Roman"/>
          <w:i/>
          <w:sz w:val="24"/>
          <w:szCs w:val="24"/>
          <w:vertAlign w:val="baseline"/>
        </w:rPr>
        <w:t>Githa Hariharan v Reserve Bank of India</w:t>
      </w:r>
      <w:r>
        <w:rPr>
          <w:rFonts w:ascii="Times New Roman" w:hAnsi="Times New Roman" w:cs="Times New Roman"/>
          <w:sz w:val="24"/>
          <w:szCs w:val="24"/>
          <w:vertAlign w:val="baseline"/>
        </w:rPr>
        <w:t xml:space="preserve"> (1999) 2 SCC 228</w:t>
      </w:r>
    </w:p>
    <w:p w14:paraId="260C49AE" w14:textId="77777777" w:rsidR="003E2C58" w:rsidRDefault="003E2C58" w:rsidP="001300E1">
      <w:pPr>
        <w:spacing w:line="480" w:lineRule="auto"/>
        <w:rPr>
          <w:rFonts w:ascii="Times New Roman" w:hAnsi="Times New Roman" w:cs="Times New Roman"/>
          <w:sz w:val="24"/>
          <w:szCs w:val="24"/>
          <w:vertAlign w:val="baseline"/>
        </w:rPr>
      </w:pPr>
      <w:r w:rsidRPr="00071000">
        <w:rPr>
          <w:rFonts w:ascii="Times New Roman" w:hAnsi="Times New Roman" w:cs="Times New Roman"/>
          <w:i/>
          <w:sz w:val="24"/>
          <w:szCs w:val="24"/>
          <w:vertAlign w:val="baseline"/>
        </w:rPr>
        <w:t>Krishna Singh v Mathura Ahir</w:t>
      </w:r>
      <w:r>
        <w:rPr>
          <w:rFonts w:ascii="Times New Roman" w:hAnsi="Times New Roman" w:cs="Times New Roman"/>
          <w:sz w:val="24"/>
          <w:szCs w:val="24"/>
          <w:vertAlign w:val="baseline"/>
        </w:rPr>
        <w:t xml:space="preserve"> (1980) AIR SC 707</w:t>
      </w:r>
    </w:p>
    <w:p w14:paraId="407352CE" w14:textId="77777777" w:rsidR="003E2C58" w:rsidRDefault="003E2C58" w:rsidP="001300E1">
      <w:pPr>
        <w:spacing w:line="480" w:lineRule="auto"/>
        <w:rPr>
          <w:rFonts w:ascii="Times New Roman" w:hAnsi="Times New Roman" w:cs="Times New Roman"/>
          <w:sz w:val="24"/>
          <w:szCs w:val="24"/>
          <w:vertAlign w:val="baseline"/>
        </w:rPr>
      </w:pPr>
      <w:r w:rsidRPr="00071000">
        <w:rPr>
          <w:rFonts w:ascii="Times New Roman" w:hAnsi="Times New Roman" w:cs="Times New Roman"/>
          <w:i/>
          <w:sz w:val="24"/>
          <w:szCs w:val="24"/>
          <w:vertAlign w:val="baseline"/>
        </w:rPr>
        <w:t>Maharshi Avdhesh v Union of India</w:t>
      </w:r>
      <w:r>
        <w:rPr>
          <w:rFonts w:ascii="Times New Roman" w:hAnsi="Times New Roman" w:cs="Times New Roman"/>
          <w:sz w:val="24"/>
          <w:szCs w:val="24"/>
          <w:vertAlign w:val="baseline"/>
        </w:rPr>
        <w:t xml:space="preserve"> (1994) Supp (1) SCC 713</w:t>
      </w:r>
    </w:p>
    <w:p w14:paraId="233C8453" w14:textId="77777777" w:rsidR="003E2C58" w:rsidRDefault="003E2C58" w:rsidP="001300E1">
      <w:pPr>
        <w:spacing w:line="480" w:lineRule="auto"/>
        <w:rPr>
          <w:rFonts w:ascii="Times New Roman" w:hAnsi="Times New Roman" w:cs="Times New Roman"/>
          <w:sz w:val="24"/>
          <w:szCs w:val="24"/>
          <w:vertAlign w:val="baseline"/>
        </w:rPr>
      </w:pPr>
      <w:r w:rsidRPr="00984490">
        <w:rPr>
          <w:rFonts w:ascii="Times New Roman" w:hAnsi="Times New Roman" w:cs="Times New Roman"/>
          <w:i/>
          <w:sz w:val="24"/>
          <w:szCs w:val="24"/>
          <w:vertAlign w:val="baseline"/>
        </w:rPr>
        <w:t>Madhu Kishwar v State of Bihar</w:t>
      </w:r>
      <w:r>
        <w:rPr>
          <w:rFonts w:ascii="Times New Roman" w:hAnsi="Times New Roman" w:cs="Times New Roman"/>
          <w:sz w:val="24"/>
          <w:szCs w:val="24"/>
          <w:vertAlign w:val="baseline"/>
        </w:rPr>
        <w:t xml:space="preserve"> (1996) 5 SCC 125</w:t>
      </w:r>
    </w:p>
    <w:p w14:paraId="63AD35AC" w14:textId="77777777" w:rsidR="003E2C58" w:rsidRPr="00672137" w:rsidRDefault="003E2C58" w:rsidP="001300E1">
      <w:pPr>
        <w:spacing w:line="480" w:lineRule="auto"/>
        <w:rPr>
          <w:rFonts w:ascii="Times New Roman" w:hAnsi="Times New Roman" w:cs="Times New Roman"/>
          <w:sz w:val="24"/>
          <w:szCs w:val="24"/>
          <w:vertAlign w:val="baseline"/>
        </w:rPr>
      </w:pPr>
      <w:r w:rsidRPr="00984490">
        <w:rPr>
          <w:rFonts w:ascii="Times New Roman" w:hAnsi="Times New Roman" w:cs="Times New Roman"/>
          <w:i/>
          <w:sz w:val="24"/>
          <w:szCs w:val="24"/>
          <w:vertAlign w:val="baseline"/>
        </w:rPr>
        <w:t>Madhu M</w:t>
      </w:r>
      <w:r>
        <w:rPr>
          <w:rFonts w:ascii="Times New Roman" w:hAnsi="Times New Roman" w:cs="Times New Roman"/>
          <w:i/>
          <w:sz w:val="24"/>
          <w:szCs w:val="24"/>
          <w:vertAlign w:val="baseline"/>
        </w:rPr>
        <w:t xml:space="preserve">unda And Ors. vs State Of Bihar </w:t>
      </w:r>
      <w:r w:rsidRPr="00672137">
        <w:rPr>
          <w:rFonts w:ascii="Times New Roman" w:hAnsi="Times New Roman" w:cs="Times New Roman"/>
          <w:sz w:val="24"/>
          <w:szCs w:val="24"/>
          <w:vertAlign w:val="baseline"/>
        </w:rPr>
        <w:t xml:space="preserve">24 April 2003 (3) JCR 156 Jhr </w:t>
      </w:r>
    </w:p>
    <w:p w14:paraId="06F0F94E" w14:textId="77777777" w:rsidR="003E2C58" w:rsidRPr="00984490" w:rsidRDefault="003E2C58" w:rsidP="001300E1">
      <w:pPr>
        <w:pStyle w:val="HTMLPreformatted"/>
        <w:spacing w:line="480" w:lineRule="auto"/>
        <w:jc w:val="both"/>
        <w:rPr>
          <w:color w:val="000000"/>
        </w:rPr>
      </w:pPr>
      <w:r w:rsidRPr="00984490">
        <w:rPr>
          <w:rFonts w:ascii="Times New Roman" w:hAnsi="Times New Roman" w:cs="Times New Roman"/>
          <w:i/>
          <w:sz w:val="24"/>
          <w:szCs w:val="24"/>
        </w:rPr>
        <w:t>Mangla Hansda And Others vs The State Of West Bengal,</w:t>
      </w:r>
      <w:r w:rsidRPr="00672137">
        <w:rPr>
          <w:rFonts w:ascii="Times New Roman" w:hAnsi="Times New Roman" w:cs="Times New Roman"/>
          <w:sz w:val="24"/>
          <w:szCs w:val="24"/>
        </w:rPr>
        <w:t xml:space="preserve"> 8 April 2014,</w:t>
      </w:r>
      <w:r>
        <w:rPr>
          <w:rFonts w:ascii="Times New Roman" w:hAnsi="Times New Roman" w:cs="Times New Roman"/>
          <w:sz w:val="24"/>
          <w:szCs w:val="24"/>
        </w:rPr>
        <w:t xml:space="preserve"> Criminal Appeal No.247 of 2005</w:t>
      </w:r>
      <w:r w:rsidRPr="00984490">
        <w:rPr>
          <w:color w:val="000000"/>
        </w:rPr>
        <w:t xml:space="preserve"> </w:t>
      </w:r>
    </w:p>
    <w:p w14:paraId="6598D570" w14:textId="77777777" w:rsidR="003E2C58" w:rsidRDefault="003E2C58" w:rsidP="001300E1">
      <w:pPr>
        <w:spacing w:line="480" w:lineRule="auto"/>
        <w:rPr>
          <w:rFonts w:ascii="Times New Roman" w:hAnsi="Times New Roman" w:cs="Times New Roman"/>
          <w:b/>
          <w:sz w:val="24"/>
          <w:szCs w:val="24"/>
          <w:vertAlign w:val="baseline"/>
        </w:rPr>
      </w:pPr>
      <w:r w:rsidRPr="00984490">
        <w:rPr>
          <w:rFonts w:ascii="Times New Roman" w:hAnsi="Times New Roman" w:cs="Times New Roman"/>
          <w:i/>
          <w:sz w:val="24"/>
          <w:szCs w:val="24"/>
          <w:vertAlign w:val="baseline"/>
        </w:rPr>
        <w:t>Samtul Dhobi And Anr. vs State Of Bihar</w:t>
      </w:r>
      <w:r>
        <w:rPr>
          <w:rFonts w:ascii="Times New Roman" w:hAnsi="Times New Roman" w:cs="Times New Roman"/>
          <w:sz w:val="24"/>
          <w:szCs w:val="24"/>
          <w:vertAlign w:val="baseline"/>
        </w:rPr>
        <w:t xml:space="preserve"> </w:t>
      </w:r>
      <w:r w:rsidRPr="00672137">
        <w:rPr>
          <w:rFonts w:ascii="Times New Roman" w:hAnsi="Times New Roman" w:cs="Times New Roman"/>
          <w:sz w:val="24"/>
          <w:szCs w:val="24"/>
          <w:vertAlign w:val="baseline"/>
        </w:rPr>
        <w:t xml:space="preserve">30 March 1993 (2) BLJR 1041 </w:t>
      </w:r>
    </w:p>
    <w:p w14:paraId="33411B0E" w14:textId="77777777" w:rsidR="003E2C58" w:rsidRDefault="003E2C58" w:rsidP="001300E1">
      <w:pPr>
        <w:spacing w:line="480" w:lineRule="auto"/>
        <w:rPr>
          <w:rFonts w:ascii="Times New Roman" w:hAnsi="Times New Roman" w:cs="Times New Roman"/>
          <w:sz w:val="24"/>
          <w:szCs w:val="24"/>
          <w:vertAlign w:val="baseline"/>
        </w:rPr>
      </w:pPr>
      <w:r w:rsidRPr="00984490">
        <w:rPr>
          <w:rFonts w:ascii="Times New Roman" w:hAnsi="Times New Roman" w:cs="Times New Roman"/>
          <w:i/>
          <w:sz w:val="24"/>
          <w:szCs w:val="24"/>
          <w:vertAlign w:val="baseline"/>
        </w:rPr>
        <w:t>Saumya Ann Thomas vs. Union of India &amp; Others</w:t>
      </w:r>
      <w:r>
        <w:rPr>
          <w:rFonts w:ascii="Times New Roman" w:hAnsi="Times New Roman" w:cs="Times New Roman"/>
          <w:sz w:val="24"/>
          <w:szCs w:val="24"/>
          <w:vertAlign w:val="baseline"/>
        </w:rPr>
        <w:t xml:space="preserve"> [2010] 1 KLT 869</w:t>
      </w:r>
    </w:p>
    <w:p w14:paraId="63B7BB1B" w14:textId="77777777" w:rsidR="003E2C58" w:rsidRPr="00672137" w:rsidRDefault="003E2C58" w:rsidP="001300E1">
      <w:pPr>
        <w:spacing w:line="480" w:lineRule="auto"/>
        <w:rPr>
          <w:rFonts w:ascii="Times New Roman" w:hAnsi="Times New Roman" w:cs="Times New Roman"/>
          <w:sz w:val="24"/>
          <w:szCs w:val="24"/>
          <w:vertAlign w:val="baseline"/>
        </w:rPr>
      </w:pPr>
      <w:r w:rsidRPr="00984490">
        <w:rPr>
          <w:rFonts w:ascii="Times New Roman" w:hAnsi="Times New Roman" w:cs="Times New Roman"/>
          <w:i/>
          <w:sz w:val="24"/>
          <w:szCs w:val="24"/>
          <w:vertAlign w:val="baseline"/>
        </w:rPr>
        <w:t>Shiv Kumar vs. Union of India</w:t>
      </w:r>
      <w:r w:rsidRPr="00672137">
        <w:rPr>
          <w:rFonts w:ascii="Times New Roman" w:hAnsi="Times New Roman" w:cs="Times New Roman"/>
          <w:sz w:val="24"/>
          <w:szCs w:val="24"/>
          <w:vertAlign w:val="baseline"/>
        </w:rPr>
        <w:t xml:space="preserve"> [2014] Writ Petition No. 13112/2012</w:t>
      </w:r>
    </w:p>
    <w:p w14:paraId="1A91DE8A" w14:textId="1BC13E24" w:rsidR="003E2C58" w:rsidRPr="00672137" w:rsidRDefault="008A6FDA" w:rsidP="001300E1">
      <w:pPr>
        <w:spacing w:line="480" w:lineRule="auto"/>
        <w:rPr>
          <w:rFonts w:ascii="Times New Roman" w:hAnsi="Times New Roman" w:cs="Times New Roman"/>
          <w:sz w:val="24"/>
          <w:szCs w:val="24"/>
          <w:vertAlign w:val="baseline"/>
        </w:rPr>
      </w:pPr>
      <w:r>
        <w:rPr>
          <w:rFonts w:ascii="Times New Roman" w:hAnsi="Times New Roman" w:cs="Times New Roman"/>
          <w:i/>
          <w:sz w:val="24"/>
          <w:szCs w:val="24"/>
          <w:vertAlign w:val="baseline"/>
        </w:rPr>
        <w:t>Tula Devi And Ors</w:t>
      </w:r>
      <w:r w:rsidR="003E2C58" w:rsidRPr="00984490">
        <w:rPr>
          <w:rFonts w:ascii="Times New Roman" w:hAnsi="Times New Roman" w:cs="Times New Roman"/>
          <w:i/>
          <w:sz w:val="24"/>
          <w:szCs w:val="24"/>
          <w:vertAlign w:val="baseline"/>
        </w:rPr>
        <w:t xml:space="preserve"> vs</w:t>
      </w:r>
      <w:r w:rsidR="003E2C58">
        <w:rPr>
          <w:rFonts w:ascii="Times New Roman" w:hAnsi="Times New Roman" w:cs="Times New Roman"/>
          <w:i/>
          <w:sz w:val="24"/>
          <w:szCs w:val="24"/>
          <w:vertAlign w:val="baseline"/>
        </w:rPr>
        <w:t xml:space="preserve"> The State Of Jharkhand And Anr</w:t>
      </w:r>
      <w:r>
        <w:rPr>
          <w:rFonts w:ascii="Times New Roman" w:hAnsi="Times New Roman" w:cs="Times New Roman"/>
          <w:sz w:val="24"/>
          <w:szCs w:val="24"/>
          <w:vertAlign w:val="baseline"/>
        </w:rPr>
        <w:t xml:space="preserve"> 18 April 2006 (3) JCR 222 </w:t>
      </w:r>
      <w:r w:rsidR="003E2C58" w:rsidRPr="00672137">
        <w:rPr>
          <w:rFonts w:ascii="Times New Roman" w:hAnsi="Times New Roman" w:cs="Times New Roman"/>
          <w:sz w:val="24"/>
          <w:szCs w:val="24"/>
          <w:vertAlign w:val="baseline"/>
        </w:rPr>
        <w:t xml:space="preserve">Jhr </w:t>
      </w:r>
    </w:p>
    <w:p w14:paraId="09536D9C" w14:textId="77777777" w:rsidR="003E2C58" w:rsidRDefault="003E2C58" w:rsidP="001300E1">
      <w:pPr>
        <w:spacing w:line="480" w:lineRule="auto"/>
        <w:rPr>
          <w:rFonts w:ascii="Times New Roman" w:hAnsi="Times New Roman" w:cs="Times New Roman"/>
          <w:b/>
          <w:sz w:val="24"/>
          <w:szCs w:val="24"/>
          <w:vertAlign w:val="baseline"/>
        </w:rPr>
      </w:pPr>
      <w:r>
        <w:rPr>
          <w:rFonts w:ascii="Times New Roman" w:hAnsi="Times New Roman" w:cs="Times New Roman"/>
          <w:b/>
          <w:sz w:val="24"/>
          <w:szCs w:val="24"/>
          <w:vertAlign w:val="baseline"/>
        </w:rPr>
        <w:t>Nepal</w:t>
      </w:r>
    </w:p>
    <w:p w14:paraId="12163A56" w14:textId="77777777" w:rsidR="003E2C58" w:rsidRDefault="003E2C58" w:rsidP="001300E1">
      <w:pPr>
        <w:spacing w:line="480" w:lineRule="auto"/>
        <w:rPr>
          <w:rFonts w:ascii="Times New Roman" w:hAnsi="Times New Roman" w:cs="Times New Roman"/>
          <w:b/>
          <w:sz w:val="24"/>
          <w:szCs w:val="24"/>
          <w:vertAlign w:val="baseline"/>
        </w:rPr>
      </w:pPr>
      <w:r w:rsidRPr="00676F57">
        <w:rPr>
          <w:rFonts w:ascii="Times New Roman" w:hAnsi="Times New Roman" w:cs="Times New Roman"/>
          <w:i/>
          <w:sz w:val="24"/>
          <w:szCs w:val="24"/>
          <w:vertAlign w:val="baseline"/>
        </w:rPr>
        <w:t>Reshma Thapa v HMG Nepal</w:t>
      </w:r>
      <w:r w:rsidRPr="00672137">
        <w:rPr>
          <w:rFonts w:ascii="Times New Roman" w:hAnsi="Times New Roman" w:cs="Times New Roman"/>
          <w:sz w:val="24"/>
          <w:szCs w:val="24"/>
          <w:vertAlign w:val="baseline"/>
        </w:rPr>
        <w:t xml:space="preserve"> (10 August 2004) 12 SCB</w:t>
      </w:r>
    </w:p>
    <w:p w14:paraId="259B02E0" w14:textId="5421F67C" w:rsidR="003E2C58" w:rsidRDefault="003E2C58" w:rsidP="001300E1">
      <w:pPr>
        <w:spacing w:line="480" w:lineRule="auto"/>
        <w:rPr>
          <w:rFonts w:ascii="Times New Roman" w:hAnsi="Times New Roman" w:cs="Times New Roman"/>
          <w:b/>
          <w:sz w:val="24"/>
          <w:szCs w:val="24"/>
          <w:vertAlign w:val="baseline"/>
        </w:rPr>
      </w:pPr>
      <w:r>
        <w:rPr>
          <w:rFonts w:ascii="Times New Roman" w:hAnsi="Times New Roman" w:cs="Times New Roman"/>
          <w:b/>
          <w:sz w:val="24"/>
          <w:szCs w:val="24"/>
          <w:vertAlign w:val="baseline"/>
        </w:rPr>
        <w:t>P</w:t>
      </w:r>
      <w:r w:rsidR="00B97F6E">
        <w:rPr>
          <w:rFonts w:ascii="Times New Roman" w:hAnsi="Times New Roman" w:cs="Times New Roman"/>
          <w:b/>
          <w:sz w:val="24"/>
          <w:szCs w:val="24"/>
          <w:vertAlign w:val="baseline"/>
        </w:rPr>
        <w:t xml:space="preserve">apua </w:t>
      </w:r>
      <w:r>
        <w:rPr>
          <w:rFonts w:ascii="Times New Roman" w:hAnsi="Times New Roman" w:cs="Times New Roman"/>
          <w:b/>
          <w:sz w:val="24"/>
          <w:szCs w:val="24"/>
          <w:vertAlign w:val="baseline"/>
        </w:rPr>
        <w:t>N</w:t>
      </w:r>
      <w:r w:rsidR="00B97F6E">
        <w:rPr>
          <w:rFonts w:ascii="Times New Roman" w:hAnsi="Times New Roman" w:cs="Times New Roman"/>
          <w:b/>
          <w:sz w:val="24"/>
          <w:szCs w:val="24"/>
          <w:vertAlign w:val="baseline"/>
        </w:rPr>
        <w:t xml:space="preserve">ew </w:t>
      </w:r>
      <w:r>
        <w:rPr>
          <w:rFonts w:ascii="Times New Roman" w:hAnsi="Times New Roman" w:cs="Times New Roman"/>
          <w:b/>
          <w:sz w:val="24"/>
          <w:szCs w:val="24"/>
          <w:vertAlign w:val="baseline"/>
        </w:rPr>
        <w:t>G</w:t>
      </w:r>
      <w:r w:rsidR="00B97F6E">
        <w:rPr>
          <w:rFonts w:ascii="Times New Roman" w:hAnsi="Times New Roman" w:cs="Times New Roman"/>
          <w:b/>
          <w:sz w:val="24"/>
          <w:szCs w:val="24"/>
          <w:vertAlign w:val="baseline"/>
        </w:rPr>
        <w:t>uinea</w:t>
      </w:r>
    </w:p>
    <w:p w14:paraId="23A547AF" w14:textId="0AFD0013" w:rsidR="001300E1" w:rsidRPr="00485D71" w:rsidRDefault="003E2C58" w:rsidP="00485D71">
      <w:pPr>
        <w:spacing w:line="480" w:lineRule="auto"/>
        <w:rPr>
          <w:rFonts w:ascii="Times New Roman" w:hAnsi="Times New Roman" w:cs="Times New Roman"/>
          <w:sz w:val="24"/>
          <w:szCs w:val="24"/>
          <w:vertAlign w:val="baseline"/>
        </w:rPr>
      </w:pPr>
      <w:r w:rsidRPr="002C4BF5">
        <w:rPr>
          <w:rFonts w:ascii="Times New Roman" w:hAnsi="Times New Roman" w:cs="Times New Roman"/>
          <w:i/>
          <w:sz w:val="24"/>
          <w:szCs w:val="24"/>
          <w:vertAlign w:val="baseline"/>
        </w:rPr>
        <w:t>State v Aiaka Karavea &amp; Anor</w:t>
      </w:r>
      <w:r w:rsidRPr="00672137">
        <w:rPr>
          <w:rFonts w:ascii="Times New Roman" w:hAnsi="Times New Roman" w:cs="Times New Roman"/>
          <w:sz w:val="24"/>
          <w:szCs w:val="24"/>
          <w:vertAlign w:val="baseline"/>
        </w:rPr>
        <w:t xml:space="preserve"> [1983] N452(M) (20 September 1983)</w:t>
      </w:r>
    </w:p>
    <w:p w14:paraId="1C7DB2C3" w14:textId="123202E2" w:rsidR="003E2C58" w:rsidRDefault="001300E1" w:rsidP="00745275">
      <w:pPr>
        <w:spacing w:line="480" w:lineRule="auto"/>
        <w:jc w:val="center"/>
        <w:rPr>
          <w:rFonts w:ascii="Times New Roman" w:hAnsi="Times New Roman" w:cs="Times New Roman"/>
          <w:b/>
          <w:sz w:val="24"/>
          <w:szCs w:val="24"/>
          <w:vertAlign w:val="baseline"/>
        </w:rPr>
      </w:pPr>
      <w:r>
        <w:rPr>
          <w:rFonts w:ascii="Times New Roman" w:hAnsi="Times New Roman" w:cs="Times New Roman"/>
          <w:b/>
          <w:sz w:val="24"/>
          <w:szCs w:val="24"/>
          <w:vertAlign w:val="baseline"/>
        </w:rPr>
        <w:t>TABLE</w:t>
      </w:r>
      <w:r w:rsidR="003E2C58">
        <w:rPr>
          <w:rFonts w:ascii="Times New Roman" w:hAnsi="Times New Roman" w:cs="Times New Roman"/>
          <w:b/>
          <w:sz w:val="24"/>
          <w:szCs w:val="24"/>
          <w:vertAlign w:val="baseline"/>
        </w:rPr>
        <w:t xml:space="preserve"> OF STATUTES</w:t>
      </w:r>
    </w:p>
    <w:p w14:paraId="2D259FB3" w14:textId="77777777" w:rsidR="003E2C58" w:rsidRDefault="003E2C58" w:rsidP="001300E1">
      <w:pPr>
        <w:spacing w:line="480" w:lineRule="auto"/>
        <w:rPr>
          <w:rFonts w:ascii="Times New Roman" w:hAnsi="Times New Roman" w:cs="Times New Roman"/>
          <w:b/>
          <w:sz w:val="24"/>
          <w:szCs w:val="24"/>
          <w:vertAlign w:val="baseline"/>
        </w:rPr>
      </w:pPr>
      <w:r>
        <w:rPr>
          <w:rFonts w:ascii="Times New Roman" w:hAnsi="Times New Roman" w:cs="Times New Roman"/>
          <w:b/>
          <w:sz w:val="24"/>
          <w:szCs w:val="24"/>
          <w:vertAlign w:val="baseline"/>
        </w:rPr>
        <w:t>Ghana</w:t>
      </w:r>
    </w:p>
    <w:p w14:paraId="35547199" w14:textId="16A08EB7" w:rsidR="003E2C58" w:rsidRDefault="002365C9" w:rsidP="001300E1">
      <w:pPr>
        <w:spacing w:line="480" w:lineRule="auto"/>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Chieftaincy</w:t>
      </w:r>
      <w:r w:rsidR="003E2C58" w:rsidRPr="00672137">
        <w:rPr>
          <w:rFonts w:ascii="Times New Roman" w:hAnsi="Times New Roman" w:cs="Times New Roman"/>
          <w:sz w:val="24"/>
          <w:szCs w:val="24"/>
          <w:vertAlign w:val="baseline"/>
        </w:rPr>
        <w:t xml:space="preserve"> Act 1971 (Act 370) </w:t>
      </w:r>
    </w:p>
    <w:p w14:paraId="0396CF2E" w14:textId="77777777" w:rsidR="003E2C58" w:rsidRDefault="003E2C58" w:rsidP="001300E1">
      <w:pPr>
        <w:spacing w:line="480" w:lineRule="auto"/>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Chieftaincy Act 2008 (Act 759, 16 June 2008)</w:t>
      </w:r>
    </w:p>
    <w:p w14:paraId="4B96CDF5" w14:textId="77777777" w:rsidR="003E2C58" w:rsidRDefault="003E2C58" w:rsidP="001300E1">
      <w:pPr>
        <w:spacing w:line="480" w:lineRule="auto"/>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Consti</w:t>
      </w:r>
      <w:r>
        <w:rPr>
          <w:rFonts w:ascii="Times New Roman" w:hAnsi="Times New Roman" w:cs="Times New Roman"/>
          <w:sz w:val="24"/>
          <w:szCs w:val="24"/>
          <w:vertAlign w:val="baseline"/>
        </w:rPr>
        <w:t>tution of the Republic of Ghana 1992</w:t>
      </w:r>
    </w:p>
    <w:p w14:paraId="73681D52" w14:textId="77777777" w:rsidR="003E2C58" w:rsidRDefault="003E2C58" w:rsidP="001300E1">
      <w:pPr>
        <w:spacing w:line="480" w:lineRule="auto"/>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Courts Act of 1993 (Act No. 459/1993)</w:t>
      </w:r>
    </w:p>
    <w:p w14:paraId="51744B30" w14:textId="77777777" w:rsidR="003E2C58" w:rsidRDefault="003E2C58" w:rsidP="001300E1">
      <w:pPr>
        <w:spacing w:line="480" w:lineRule="auto"/>
        <w:rPr>
          <w:rFonts w:ascii="Times New Roman" w:hAnsi="Times New Roman" w:cs="Times New Roman"/>
          <w:b/>
          <w:sz w:val="24"/>
          <w:szCs w:val="24"/>
          <w:vertAlign w:val="baseline"/>
        </w:rPr>
      </w:pPr>
      <w:r>
        <w:rPr>
          <w:rFonts w:ascii="Times New Roman" w:hAnsi="Times New Roman" w:cs="Times New Roman"/>
          <w:b/>
          <w:sz w:val="24"/>
          <w:szCs w:val="24"/>
          <w:vertAlign w:val="baseline"/>
        </w:rPr>
        <w:t>India</w:t>
      </w:r>
    </w:p>
    <w:p w14:paraId="3324AFA2" w14:textId="77777777" w:rsidR="003E2C58" w:rsidRDefault="003E2C58" w:rsidP="001300E1">
      <w:pPr>
        <w:spacing w:line="480" w:lineRule="auto"/>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Chhattisgarh Tonahi Pratadna Nivaran Act 2005 (Act No.17 of 2005)</w:t>
      </w:r>
    </w:p>
    <w:p w14:paraId="2172B019" w14:textId="77777777" w:rsidR="003E2C58" w:rsidRDefault="003E2C58" w:rsidP="001300E1">
      <w:pPr>
        <w:spacing w:line="480" w:lineRule="auto"/>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 xml:space="preserve">Constitution of </w:t>
      </w:r>
      <w:r>
        <w:rPr>
          <w:rFonts w:ascii="Times New Roman" w:hAnsi="Times New Roman" w:cs="Times New Roman"/>
          <w:sz w:val="24"/>
          <w:szCs w:val="24"/>
          <w:vertAlign w:val="baseline"/>
        </w:rPr>
        <w:t>India 1950</w:t>
      </w:r>
    </w:p>
    <w:p w14:paraId="47DA652E" w14:textId="77777777" w:rsidR="003E2C58" w:rsidRDefault="003E2C58" w:rsidP="001300E1">
      <w:pPr>
        <w:spacing w:line="480" w:lineRule="auto"/>
        <w:jc w:val="both"/>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Maharashtra Prevention and Eradication of Human Sacrifice and Other Inhuman, Evil and Aghori Practices and Black Magic Ordinance (Maharashtra Ordinance XIV of 2013)</w:t>
      </w:r>
    </w:p>
    <w:p w14:paraId="6260FC53" w14:textId="61228150" w:rsidR="003E2C58" w:rsidRPr="001300E1" w:rsidRDefault="003E2C58" w:rsidP="001300E1">
      <w:pPr>
        <w:spacing w:line="480" w:lineRule="auto"/>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Prevention of Witchcraft (Daain) Practices Act 1999 (Daain Partha Nishedh Adhiniyam 1999)</w:t>
      </w:r>
    </w:p>
    <w:p w14:paraId="3DBCD77E" w14:textId="77777777" w:rsidR="003E2C58" w:rsidRDefault="003E2C58" w:rsidP="001300E1">
      <w:pPr>
        <w:spacing w:line="480" w:lineRule="auto"/>
        <w:rPr>
          <w:rFonts w:ascii="Times New Roman" w:hAnsi="Times New Roman" w:cs="Times New Roman"/>
          <w:b/>
          <w:sz w:val="24"/>
          <w:szCs w:val="24"/>
          <w:vertAlign w:val="baseline"/>
        </w:rPr>
      </w:pPr>
      <w:r>
        <w:rPr>
          <w:rFonts w:ascii="Times New Roman" w:hAnsi="Times New Roman" w:cs="Times New Roman"/>
          <w:b/>
          <w:sz w:val="24"/>
          <w:szCs w:val="24"/>
          <w:vertAlign w:val="baseline"/>
        </w:rPr>
        <w:t>Nepal</w:t>
      </w:r>
    </w:p>
    <w:p w14:paraId="75175D1D" w14:textId="77777777" w:rsidR="003E2C58" w:rsidRPr="00672137" w:rsidRDefault="003E2C58" w:rsidP="001300E1">
      <w:pPr>
        <w:spacing w:line="480" w:lineRule="auto"/>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Interim Constitution of Nepal 2063 (2007)</w:t>
      </w:r>
    </w:p>
    <w:p w14:paraId="14E90873" w14:textId="376CB9D9" w:rsidR="003E2C58" w:rsidRDefault="003E2C58" w:rsidP="001300E1">
      <w:pPr>
        <w:spacing w:line="480" w:lineRule="auto"/>
        <w:rPr>
          <w:rFonts w:ascii="Times New Roman" w:hAnsi="Times New Roman" w:cs="Times New Roman"/>
          <w:b/>
          <w:sz w:val="24"/>
          <w:szCs w:val="24"/>
          <w:vertAlign w:val="baseline"/>
        </w:rPr>
      </w:pPr>
      <w:r w:rsidRPr="00672137">
        <w:rPr>
          <w:rFonts w:ascii="Times New Roman" w:hAnsi="Times New Roman" w:cs="Times New Roman"/>
          <w:sz w:val="24"/>
          <w:szCs w:val="24"/>
          <w:vertAlign w:val="baseline"/>
        </w:rPr>
        <w:t>Muluki Ain (General Code) 2020</w:t>
      </w:r>
    </w:p>
    <w:p w14:paraId="4AF5D348" w14:textId="1ED0DE07" w:rsidR="003E2C58" w:rsidRDefault="003E2C58" w:rsidP="001300E1">
      <w:pPr>
        <w:spacing w:line="480" w:lineRule="auto"/>
        <w:rPr>
          <w:rFonts w:ascii="Times New Roman" w:hAnsi="Times New Roman" w:cs="Times New Roman"/>
          <w:b/>
          <w:sz w:val="24"/>
          <w:szCs w:val="24"/>
          <w:vertAlign w:val="baseline"/>
        </w:rPr>
      </w:pPr>
      <w:r>
        <w:rPr>
          <w:rFonts w:ascii="Times New Roman" w:hAnsi="Times New Roman" w:cs="Times New Roman"/>
          <w:b/>
          <w:sz w:val="24"/>
          <w:szCs w:val="24"/>
          <w:vertAlign w:val="baseline"/>
        </w:rPr>
        <w:t>P</w:t>
      </w:r>
      <w:r w:rsidR="00B97F6E">
        <w:rPr>
          <w:rFonts w:ascii="Times New Roman" w:hAnsi="Times New Roman" w:cs="Times New Roman"/>
          <w:b/>
          <w:sz w:val="24"/>
          <w:szCs w:val="24"/>
          <w:vertAlign w:val="baseline"/>
        </w:rPr>
        <w:t xml:space="preserve">apua </w:t>
      </w:r>
      <w:r>
        <w:rPr>
          <w:rFonts w:ascii="Times New Roman" w:hAnsi="Times New Roman" w:cs="Times New Roman"/>
          <w:b/>
          <w:sz w:val="24"/>
          <w:szCs w:val="24"/>
          <w:vertAlign w:val="baseline"/>
        </w:rPr>
        <w:t>N</w:t>
      </w:r>
      <w:r w:rsidR="00B97F6E">
        <w:rPr>
          <w:rFonts w:ascii="Times New Roman" w:hAnsi="Times New Roman" w:cs="Times New Roman"/>
          <w:b/>
          <w:sz w:val="24"/>
          <w:szCs w:val="24"/>
          <w:vertAlign w:val="baseline"/>
        </w:rPr>
        <w:t xml:space="preserve">ew </w:t>
      </w:r>
      <w:r>
        <w:rPr>
          <w:rFonts w:ascii="Times New Roman" w:hAnsi="Times New Roman" w:cs="Times New Roman"/>
          <w:b/>
          <w:sz w:val="24"/>
          <w:szCs w:val="24"/>
          <w:vertAlign w:val="baseline"/>
        </w:rPr>
        <w:t>G</w:t>
      </w:r>
      <w:r w:rsidR="00B97F6E">
        <w:rPr>
          <w:rFonts w:ascii="Times New Roman" w:hAnsi="Times New Roman" w:cs="Times New Roman"/>
          <w:b/>
          <w:sz w:val="24"/>
          <w:szCs w:val="24"/>
          <w:vertAlign w:val="baseline"/>
        </w:rPr>
        <w:t>uinea</w:t>
      </w:r>
    </w:p>
    <w:p w14:paraId="3AB09FB4" w14:textId="77777777" w:rsidR="003E2C58" w:rsidRDefault="003E2C58" w:rsidP="001300E1">
      <w:pPr>
        <w:spacing w:line="480" w:lineRule="auto"/>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Constitution of Papua New Guinea 1975</w:t>
      </w:r>
    </w:p>
    <w:p w14:paraId="24EB9D20" w14:textId="77777777" w:rsidR="003E2C58" w:rsidRDefault="003E2C58" w:rsidP="001300E1">
      <w:pPr>
        <w:spacing w:line="480" w:lineRule="auto"/>
        <w:rPr>
          <w:rFonts w:ascii="Times New Roman" w:hAnsi="Times New Roman" w:cs="Times New Roman"/>
          <w:sz w:val="24"/>
          <w:szCs w:val="24"/>
          <w:vertAlign w:val="baseline"/>
        </w:rPr>
      </w:pPr>
      <w:r w:rsidRPr="008C3633">
        <w:rPr>
          <w:rFonts w:ascii="Times New Roman" w:hAnsi="Times New Roman" w:cs="Times New Roman"/>
          <w:sz w:val="24"/>
          <w:szCs w:val="24"/>
          <w:vertAlign w:val="baseline"/>
        </w:rPr>
        <w:t>Criminal Code Act 1974</w:t>
      </w:r>
    </w:p>
    <w:p w14:paraId="7DF79B34" w14:textId="77777777" w:rsidR="003E2C58" w:rsidRPr="00672137" w:rsidRDefault="003E2C58" w:rsidP="001300E1">
      <w:pPr>
        <w:spacing w:line="480" w:lineRule="auto"/>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Cri</w:t>
      </w:r>
      <w:r>
        <w:rPr>
          <w:rFonts w:ascii="Times New Roman" w:hAnsi="Times New Roman" w:cs="Times New Roman"/>
          <w:sz w:val="24"/>
          <w:szCs w:val="24"/>
          <w:vertAlign w:val="baseline"/>
        </w:rPr>
        <w:t>minal Code (Amendment) Act 2013</w:t>
      </w:r>
      <w:r w:rsidRPr="00672137">
        <w:rPr>
          <w:rFonts w:ascii="Times New Roman" w:hAnsi="Times New Roman" w:cs="Times New Roman"/>
          <w:sz w:val="24"/>
          <w:szCs w:val="24"/>
          <w:vertAlign w:val="baseline"/>
        </w:rPr>
        <w:t xml:space="preserve"> </w:t>
      </w:r>
    </w:p>
    <w:p w14:paraId="1F0A1E24" w14:textId="77777777" w:rsidR="003E2C58" w:rsidRDefault="003E2C58" w:rsidP="001300E1">
      <w:pPr>
        <w:spacing w:line="480" w:lineRule="auto"/>
        <w:rPr>
          <w:rFonts w:ascii="Times New Roman" w:hAnsi="Times New Roman" w:cs="Times New Roman"/>
          <w:b/>
          <w:sz w:val="24"/>
          <w:szCs w:val="24"/>
          <w:u w:val="single"/>
          <w:vertAlign w:val="baseline"/>
        </w:rPr>
      </w:pPr>
      <w:r w:rsidRPr="00672137">
        <w:rPr>
          <w:rFonts w:ascii="Times New Roman" w:hAnsi="Times New Roman" w:cs="Times New Roman"/>
          <w:sz w:val="24"/>
          <w:szCs w:val="24"/>
          <w:vertAlign w:val="baseline"/>
        </w:rPr>
        <w:t>Village Courts Act 1989 (no.37 of 1989)</w:t>
      </w:r>
    </w:p>
    <w:p w14:paraId="5CCBF7AF" w14:textId="77777777" w:rsidR="003E2C58" w:rsidRDefault="003E2C58" w:rsidP="001300E1">
      <w:pPr>
        <w:spacing w:line="480" w:lineRule="auto"/>
        <w:rPr>
          <w:rFonts w:ascii="Times New Roman" w:hAnsi="Times New Roman" w:cs="Times New Roman"/>
          <w:b/>
          <w:sz w:val="24"/>
          <w:szCs w:val="24"/>
          <w:vertAlign w:val="baseline"/>
        </w:rPr>
      </w:pPr>
      <w:r w:rsidRPr="00333221">
        <w:rPr>
          <w:rFonts w:ascii="Times New Roman" w:hAnsi="Times New Roman" w:cs="Times New Roman"/>
          <w:b/>
          <w:sz w:val="24"/>
          <w:szCs w:val="24"/>
          <w:vertAlign w:val="baseline"/>
        </w:rPr>
        <w:t>Namibia</w:t>
      </w:r>
    </w:p>
    <w:p w14:paraId="004D026D" w14:textId="77777777" w:rsidR="003E2C58" w:rsidRDefault="003E2C58" w:rsidP="001300E1">
      <w:pPr>
        <w:spacing w:line="480" w:lineRule="auto"/>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Criminal</w:t>
      </w:r>
      <w:r>
        <w:rPr>
          <w:rFonts w:ascii="Times New Roman" w:hAnsi="Times New Roman" w:cs="Times New Roman"/>
          <w:sz w:val="24"/>
          <w:szCs w:val="24"/>
          <w:vertAlign w:val="baseline"/>
        </w:rPr>
        <w:t xml:space="preserve"> Procedure Act 2004 Schedule 3</w:t>
      </w:r>
    </w:p>
    <w:p w14:paraId="2562B18B" w14:textId="77777777" w:rsidR="003E2C58" w:rsidRPr="00672137" w:rsidRDefault="003E2C58" w:rsidP="001300E1">
      <w:pPr>
        <w:spacing w:line="480" w:lineRule="auto"/>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Witchcraft Supp</w:t>
      </w:r>
      <w:r>
        <w:rPr>
          <w:rFonts w:ascii="Times New Roman" w:hAnsi="Times New Roman" w:cs="Times New Roman"/>
          <w:sz w:val="24"/>
          <w:szCs w:val="24"/>
          <w:vertAlign w:val="baseline"/>
        </w:rPr>
        <w:t>ression Proclamation 27 of 1933</w:t>
      </w:r>
    </w:p>
    <w:p w14:paraId="383501C3" w14:textId="77777777" w:rsidR="003E2C58" w:rsidRDefault="003E2C58" w:rsidP="001300E1">
      <w:pPr>
        <w:spacing w:line="480" w:lineRule="auto"/>
        <w:rPr>
          <w:rFonts w:ascii="Times New Roman" w:hAnsi="Times New Roman" w:cs="Times New Roman"/>
          <w:sz w:val="24"/>
          <w:szCs w:val="24"/>
          <w:vertAlign w:val="baseline"/>
        </w:rPr>
      </w:pPr>
      <w:r w:rsidRPr="00333221">
        <w:rPr>
          <w:rFonts w:ascii="Times New Roman" w:hAnsi="Times New Roman" w:cs="Times New Roman"/>
          <w:b/>
          <w:sz w:val="24"/>
          <w:szCs w:val="24"/>
          <w:vertAlign w:val="baseline"/>
        </w:rPr>
        <w:t>South Africa</w:t>
      </w:r>
      <w:r w:rsidRPr="00333221">
        <w:rPr>
          <w:rFonts w:ascii="Times New Roman" w:hAnsi="Times New Roman" w:cs="Times New Roman"/>
          <w:sz w:val="24"/>
          <w:szCs w:val="24"/>
          <w:vertAlign w:val="baseline"/>
        </w:rPr>
        <w:t xml:space="preserve"> </w:t>
      </w:r>
    </w:p>
    <w:p w14:paraId="3C1CC4DF" w14:textId="77777777" w:rsidR="003E2C58" w:rsidRDefault="003E2C58" w:rsidP="001300E1">
      <w:pPr>
        <w:spacing w:line="480" w:lineRule="auto"/>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Witchcra</w:t>
      </w:r>
      <w:r>
        <w:rPr>
          <w:rFonts w:ascii="Times New Roman" w:hAnsi="Times New Roman" w:cs="Times New Roman"/>
          <w:sz w:val="24"/>
          <w:szCs w:val="24"/>
          <w:vertAlign w:val="baseline"/>
        </w:rPr>
        <w:t>ft Suppression Act no.3 (1957)</w:t>
      </w:r>
    </w:p>
    <w:p w14:paraId="058067CF" w14:textId="77777777" w:rsidR="003E2C58" w:rsidRDefault="003E2C58" w:rsidP="001300E1">
      <w:pPr>
        <w:spacing w:line="480" w:lineRule="auto"/>
        <w:rPr>
          <w:rFonts w:ascii="Times New Roman" w:hAnsi="Times New Roman" w:cs="Times New Roman"/>
          <w:b/>
          <w:sz w:val="24"/>
          <w:szCs w:val="24"/>
          <w:vertAlign w:val="baseline"/>
        </w:rPr>
      </w:pPr>
      <w:r w:rsidRPr="00333221">
        <w:rPr>
          <w:rFonts w:ascii="Times New Roman" w:hAnsi="Times New Roman" w:cs="Times New Roman"/>
          <w:b/>
          <w:sz w:val="24"/>
          <w:szCs w:val="24"/>
          <w:vertAlign w:val="baseline"/>
        </w:rPr>
        <w:t>Tanzania</w:t>
      </w:r>
    </w:p>
    <w:p w14:paraId="6F008C56" w14:textId="77777777" w:rsidR="003E2C58" w:rsidRPr="00672137" w:rsidRDefault="003E2C58" w:rsidP="001300E1">
      <w:pPr>
        <w:spacing w:line="480" w:lineRule="auto"/>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Witchcraft Ordinance (1928) (amended in 2001)</w:t>
      </w:r>
    </w:p>
    <w:p w14:paraId="4692C523" w14:textId="77777777" w:rsidR="003E2C58" w:rsidRPr="00333221" w:rsidRDefault="003E2C58" w:rsidP="001300E1">
      <w:pPr>
        <w:spacing w:line="480" w:lineRule="auto"/>
        <w:rPr>
          <w:rFonts w:ascii="Times New Roman" w:hAnsi="Times New Roman" w:cs="Times New Roman"/>
          <w:b/>
          <w:sz w:val="24"/>
          <w:szCs w:val="24"/>
          <w:vertAlign w:val="baseline"/>
        </w:rPr>
      </w:pPr>
      <w:r w:rsidRPr="00333221">
        <w:rPr>
          <w:rFonts w:ascii="Times New Roman" w:hAnsi="Times New Roman" w:cs="Times New Roman"/>
          <w:b/>
          <w:sz w:val="24"/>
          <w:szCs w:val="24"/>
          <w:vertAlign w:val="baseline"/>
        </w:rPr>
        <w:t>Zimbabwe</w:t>
      </w:r>
    </w:p>
    <w:p w14:paraId="07A8AC5D" w14:textId="49499D84" w:rsidR="001300E1" w:rsidRDefault="003E2C58" w:rsidP="001300E1">
      <w:pPr>
        <w:spacing w:line="480" w:lineRule="auto"/>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Witchcraft Suppres</w:t>
      </w:r>
      <w:r>
        <w:rPr>
          <w:rFonts w:ascii="Times New Roman" w:hAnsi="Times New Roman" w:cs="Times New Roman"/>
          <w:sz w:val="24"/>
          <w:szCs w:val="24"/>
          <w:vertAlign w:val="baseline"/>
        </w:rPr>
        <w:t>sion Act 1890 (amended in 2001)</w:t>
      </w:r>
      <w:r w:rsidRPr="00672137">
        <w:rPr>
          <w:rFonts w:ascii="Times New Roman" w:hAnsi="Times New Roman" w:cs="Times New Roman"/>
          <w:sz w:val="24"/>
          <w:szCs w:val="24"/>
          <w:vertAlign w:val="baseline"/>
        </w:rPr>
        <w:t xml:space="preserve"> </w:t>
      </w:r>
    </w:p>
    <w:p w14:paraId="7E889A12" w14:textId="1E150514" w:rsidR="00745275" w:rsidRDefault="00ED402F" w:rsidP="000A6308">
      <w:pPr>
        <w:rPr>
          <w:rFonts w:ascii="Times New Roman" w:hAnsi="Times New Roman" w:cs="Times New Roman"/>
          <w:sz w:val="24"/>
          <w:szCs w:val="24"/>
          <w:vertAlign w:val="baseline"/>
        </w:rPr>
      </w:pPr>
      <w:r>
        <w:rPr>
          <w:rFonts w:ascii="Times New Roman" w:hAnsi="Times New Roman" w:cs="Times New Roman"/>
          <w:sz w:val="24"/>
          <w:szCs w:val="24"/>
          <w:vertAlign w:val="baseline"/>
        </w:rPr>
        <w:br w:type="page"/>
      </w:r>
    </w:p>
    <w:p w14:paraId="30447D86" w14:textId="2EED8B07" w:rsidR="003E2C58" w:rsidRPr="001300E1" w:rsidRDefault="003E2C58" w:rsidP="00ED402F">
      <w:pPr>
        <w:spacing w:line="480" w:lineRule="auto"/>
        <w:rPr>
          <w:rFonts w:ascii="Times New Roman" w:hAnsi="Times New Roman" w:cs="Times New Roman"/>
          <w:sz w:val="24"/>
          <w:szCs w:val="24"/>
          <w:vertAlign w:val="baseline"/>
        </w:rPr>
      </w:pPr>
      <w:r>
        <w:rPr>
          <w:rFonts w:ascii="Times New Roman" w:hAnsi="Times New Roman" w:cs="Times New Roman"/>
          <w:b/>
          <w:sz w:val="24"/>
          <w:szCs w:val="24"/>
          <w:vertAlign w:val="baseline"/>
        </w:rPr>
        <w:t xml:space="preserve">INTERNATIONAL </w:t>
      </w:r>
      <w:r w:rsidR="001300E1">
        <w:rPr>
          <w:rFonts w:ascii="Times New Roman" w:hAnsi="Times New Roman" w:cs="Times New Roman"/>
          <w:b/>
          <w:sz w:val="24"/>
          <w:szCs w:val="24"/>
          <w:vertAlign w:val="baseline"/>
        </w:rPr>
        <w:t xml:space="preserve">AND REGIONAL </w:t>
      </w:r>
      <w:r>
        <w:rPr>
          <w:rFonts w:ascii="Times New Roman" w:hAnsi="Times New Roman" w:cs="Times New Roman"/>
          <w:b/>
          <w:sz w:val="24"/>
          <w:szCs w:val="24"/>
          <w:vertAlign w:val="baseline"/>
        </w:rPr>
        <w:t>HUMAN RIGHTS INSTRUMENTS</w:t>
      </w:r>
    </w:p>
    <w:p w14:paraId="428158AB" w14:textId="77777777" w:rsidR="001300E1" w:rsidRDefault="001300E1" w:rsidP="002365C9">
      <w:pPr>
        <w:spacing w:line="480" w:lineRule="auto"/>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African (Banjul) Charter on Human and People’s Rights</w:t>
      </w:r>
      <w:r>
        <w:rPr>
          <w:rFonts w:ascii="Times New Roman" w:hAnsi="Times New Roman" w:cs="Times New Roman"/>
          <w:sz w:val="24"/>
          <w:szCs w:val="24"/>
          <w:vertAlign w:val="baseline"/>
        </w:rPr>
        <w:t xml:space="preserve"> 1982</w:t>
      </w:r>
    </w:p>
    <w:p w14:paraId="487645AD"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Convention Against Torture and Other Cruel, Inhuman or Degrading Tr</w:t>
      </w:r>
      <w:r>
        <w:rPr>
          <w:rFonts w:ascii="Times New Roman" w:hAnsi="Times New Roman" w:cs="Times New Roman"/>
          <w:sz w:val="24"/>
          <w:szCs w:val="24"/>
          <w:vertAlign w:val="baseline"/>
        </w:rPr>
        <w:t>eatment or Punishment 1984</w:t>
      </w:r>
    </w:p>
    <w:p w14:paraId="7C5BE206" w14:textId="77777777" w:rsidR="003E2C58" w:rsidRDefault="003E2C58" w:rsidP="003E2C58">
      <w:pPr>
        <w:rPr>
          <w:rFonts w:ascii="Times New Roman" w:hAnsi="Times New Roman" w:cs="Times New Roman"/>
          <w:sz w:val="24"/>
          <w:szCs w:val="24"/>
          <w:vertAlign w:val="baseline"/>
        </w:rPr>
      </w:pPr>
    </w:p>
    <w:p w14:paraId="6BFAFAC3"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Convention on D</w:t>
      </w:r>
      <w:r>
        <w:rPr>
          <w:rFonts w:ascii="Times New Roman" w:hAnsi="Times New Roman" w:cs="Times New Roman"/>
          <w:sz w:val="24"/>
          <w:szCs w:val="24"/>
          <w:vertAlign w:val="baseline"/>
        </w:rPr>
        <w:t>iscrimination in Education 1960</w:t>
      </w:r>
    </w:p>
    <w:p w14:paraId="1672EAFA" w14:textId="77777777" w:rsidR="003E2C58" w:rsidRDefault="003E2C58" w:rsidP="003E2C58">
      <w:pPr>
        <w:rPr>
          <w:rFonts w:ascii="Times New Roman" w:hAnsi="Times New Roman" w:cs="Times New Roman"/>
          <w:sz w:val="24"/>
          <w:szCs w:val="24"/>
          <w:vertAlign w:val="baseline"/>
        </w:rPr>
      </w:pPr>
    </w:p>
    <w:p w14:paraId="51AD2E18" w14:textId="77777777" w:rsidR="003E2C58" w:rsidRPr="00A23AEB" w:rsidRDefault="003E2C58" w:rsidP="003E2C58">
      <w:pPr>
        <w:rPr>
          <w:rFonts w:ascii="Times New Roman" w:hAnsi="Times New Roman" w:cs="Times New Roman"/>
          <w:b/>
          <w:sz w:val="24"/>
          <w:szCs w:val="24"/>
          <w:vertAlign w:val="baseline"/>
        </w:rPr>
      </w:pPr>
      <w:r w:rsidRPr="00672137">
        <w:rPr>
          <w:rFonts w:ascii="Times New Roman" w:hAnsi="Times New Roman" w:cs="Times New Roman"/>
          <w:sz w:val="24"/>
          <w:szCs w:val="24"/>
          <w:vertAlign w:val="baseline"/>
        </w:rPr>
        <w:t xml:space="preserve">Convention on the Elimination of Discrimination Against Women </w:t>
      </w:r>
      <w:r>
        <w:rPr>
          <w:rFonts w:ascii="Times New Roman" w:hAnsi="Times New Roman" w:cs="Times New Roman"/>
          <w:sz w:val="24"/>
          <w:szCs w:val="24"/>
          <w:vertAlign w:val="baseline"/>
        </w:rPr>
        <w:t>1979</w:t>
      </w:r>
    </w:p>
    <w:p w14:paraId="7BCE2E2D" w14:textId="77777777" w:rsidR="003E2C58" w:rsidRDefault="003E2C58" w:rsidP="003E2C58">
      <w:pPr>
        <w:rPr>
          <w:rFonts w:ascii="Times New Roman" w:hAnsi="Times New Roman" w:cs="Times New Roman"/>
          <w:sz w:val="24"/>
          <w:szCs w:val="24"/>
          <w:vertAlign w:val="baseline"/>
        </w:rPr>
      </w:pPr>
    </w:p>
    <w:p w14:paraId="2FCE5DEC"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Convention on the Nationality of Married Women</w:t>
      </w:r>
      <w:r>
        <w:rPr>
          <w:rFonts w:ascii="Times New Roman" w:hAnsi="Times New Roman" w:cs="Times New Roman"/>
          <w:sz w:val="24"/>
          <w:szCs w:val="24"/>
          <w:vertAlign w:val="baseline"/>
        </w:rPr>
        <w:t xml:space="preserve"> 1957</w:t>
      </w:r>
    </w:p>
    <w:p w14:paraId="1AF5FE07" w14:textId="77777777" w:rsidR="003E2C58" w:rsidRDefault="003E2C58" w:rsidP="003E2C58">
      <w:pPr>
        <w:rPr>
          <w:rFonts w:ascii="Times New Roman" w:hAnsi="Times New Roman" w:cs="Times New Roman"/>
          <w:sz w:val="24"/>
          <w:szCs w:val="24"/>
          <w:vertAlign w:val="baseline"/>
        </w:rPr>
      </w:pPr>
    </w:p>
    <w:p w14:paraId="6A1F1D78" w14:textId="77777777" w:rsidR="003E2C58" w:rsidRDefault="003E2C58" w:rsidP="003E2C58">
      <w:pPr>
        <w:rPr>
          <w:rFonts w:ascii="Times New Roman" w:hAnsi="Times New Roman" w:cs="Times New Roman"/>
          <w:b/>
          <w:sz w:val="24"/>
          <w:szCs w:val="24"/>
          <w:vertAlign w:val="baseline"/>
        </w:rPr>
      </w:pPr>
      <w:r w:rsidRPr="00672137">
        <w:rPr>
          <w:rFonts w:ascii="Times New Roman" w:hAnsi="Times New Roman" w:cs="Times New Roman"/>
          <w:sz w:val="24"/>
          <w:szCs w:val="24"/>
          <w:vertAlign w:val="baseline"/>
        </w:rPr>
        <w:t>Convention on the Political Rights of Women</w:t>
      </w:r>
      <w:r>
        <w:rPr>
          <w:rFonts w:ascii="Times New Roman" w:hAnsi="Times New Roman" w:cs="Times New Roman"/>
          <w:sz w:val="24"/>
          <w:szCs w:val="24"/>
          <w:vertAlign w:val="baseline"/>
        </w:rPr>
        <w:t xml:space="preserve"> 1953</w:t>
      </w:r>
    </w:p>
    <w:p w14:paraId="46BA7702" w14:textId="77777777" w:rsidR="003E2C58" w:rsidRDefault="003E2C58" w:rsidP="003E2C58">
      <w:pPr>
        <w:rPr>
          <w:rFonts w:ascii="Times New Roman" w:hAnsi="Times New Roman" w:cs="Times New Roman"/>
          <w:sz w:val="24"/>
          <w:szCs w:val="24"/>
          <w:vertAlign w:val="baseline"/>
        </w:rPr>
      </w:pPr>
    </w:p>
    <w:p w14:paraId="7A746F93"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Declaration on the Elimination of Violence Aga</w:t>
      </w:r>
      <w:r>
        <w:rPr>
          <w:rFonts w:ascii="Times New Roman" w:hAnsi="Times New Roman" w:cs="Times New Roman"/>
          <w:sz w:val="24"/>
          <w:szCs w:val="24"/>
          <w:vertAlign w:val="baseline"/>
        </w:rPr>
        <w:t>inst Women 1993</w:t>
      </w:r>
    </w:p>
    <w:p w14:paraId="5FE95129" w14:textId="77777777" w:rsidR="003E2C58" w:rsidRDefault="003E2C58" w:rsidP="003E2C58">
      <w:pPr>
        <w:rPr>
          <w:rFonts w:ascii="Times New Roman" w:hAnsi="Times New Roman" w:cs="Times New Roman"/>
          <w:sz w:val="24"/>
          <w:szCs w:val="24"/>
          <w:vertAlign w:val="baseline"/>
        </w:rPr>
      </w:pPr>
    </w:p>
    <w:p w14:paraId="14DB8E5A" w14:textId="77777777" w:rsidR="003E2C58" w:rsidRDefault="003E2C58" w:rsidP="003E2C58">
      <w:pPr>
        <w:rPr>
          <w:rFonts w:ascii="Times New Roman" w:hAnsi="Times New Roman" w:cs="Times New Roman"/>
          <w:sz w:val="24"/>
          <w:szCs w:val="24"/>
          <w:vertAlign w:val="baseline"/>
        </w:rPr>
      </w:pPr>
      <w:r>
        <w:rPr>
          <w:rFonts w:ascii="Times New Roman" w:hAnsi="Times New Roman" w:cs="Times New Roman"/>
          <w:sz w:val="24"/>
          <w:szCs w:val="24"/>
          <w:vertAlign w:val="baseline"/>
        </w:rPr>
        <w:t>First Optional Protocol to ICCPR 1966</w:t>
      </w:r>
    </w:p>
    <w:p w14:paraId="45F0E138" w14:textId="77777777" w:rsidR="003E2C58" w:rsidRDefault="003E2C58" w:rsidP="003E2C58">
      <w:pPr>
        <w:rPr>
          <w:rFonts w:ascii="Times New Roman" w:hAnsi="Times New Roman" w:cs="Times New Roman"/>
          <w:sz w:val="24"/>
          <w:szCs w:val="24"/>
          <w:vertAlign w:val="baseline"/>
        </w:rPr>
      </w:pPr>
    </w:p>
    <w:p w14:paraId="44FD08F8"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International Covenant on C</w:t>
      </w:r>
      <w:r>
        <w:rPr>
          <w:rFonts w:ascii="Times New Roman" w:hAnsi="Times New Roman" w:cs="Times New Roman"/>
          <w:sz w:val="24"/>
          <w:szCs w:val="24"/>
          <w:vertAlign w:val="baseline"/>
        </w:rPr>
        <w:t>ivil and Political Rights 1966</w:t>
      </w:r>
    </w:p>
    <w:p w14:paraId="3A4DF3F3" w14:textId="77777777" w:rsidR="003E2C58" w:rsidRPr="00672137" w:rsidRDefault="003E2C58" w:rsidP="003E2C58">
      <w:pPr>
        <w:rPr>
          <w:rFonts w:ascii="Times New Roman" w:hAnsi="Times New Roman" w:cs="Times New Roman"/>
          <w:sz w:val="24"/>
          <w:szCs w:val="24"/>
          <w:vertAlign w:val="baseline"/>
        </w:rPr>
      </w:pPr>
    </w:p>
    <w:p w14:paraId="5B9493A8"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International Covenant on Econom</w:t>
      </w:r>
      <w:r>
        <w:rPr>
          <w:rFonts w:ascii="Times New Roman" w:hAnsi="Times New Roman" w:cs="Times New Roman"/>
          <w:sz w:val="24"/>
          <w:szCs w:val="24"/>
          <w:vertAlign w:val="baseline"/>
        </w:rPr>
        <w:t>ic, Social and Cultural Rights 1966</w:t>
      </w:r>
      <w:r w:rsidRPr="00672137">
        <w:rPr>
          <w:rFonts w:ascii="Times New Roman" w:hAnsi="Times New Roman" w:cs="Times New Roman"/>
          <w:sz w:val="24"/>
          <w:szCs w:val="24"/>
          <w:vertAlign w:val="baseline"/>
        </w:rPr>
        <w:t xml:space="preserve"> </w:t>
      </w:r>
    </w:p>
    <w:p w14:paraId="6DF180D3" w14:textId="77777777" w:rsidR="003E2C58" w:rsidRDefault="003E2C58" w:rsidP="003E2C58">
      <w:pPr>
        <w:rPr>
          <w:rFonts w:ascii="Times New Roman" w:hAnsi="Times New Roman" w:cs="Times New Roman"/>
          <w:sz w:val="24"/>
          <w:szCs w:val="24"/>
          <w:vertAlign w:val="baseline"/>
        </w:rPr>
      </w:pPr>
    </w:p>
    <w:p w14:paraId="64E814F6" w14:textId="77777777" w:rsidR="003E2C58" w:rsidRDefault="003E2C58" w:rsidP="003E2C58">
      <w:pPr>
        <w:rPr>
          <w:rFonts w:ascii="Times New Roman" w:hAnsi="Times New Roman" w:cs="Times New Roman"/>
          <w:sz w:val="24"/>
          <w:szCs w:val="24"/>
          <w:vertAlign w:val="baseline"/>
        </w:rPr>
      </w:pPr>
      <w:r>
        <w:rPr>
          <w:rFonts w:ascii="Times New Roman" w:hAnsi="Times New Roman" w:cs="Times New Roman"/>
          <w:sz w:val="24"/>
          <w:szCs w:val="24"/>
          <w:vertAlign w:val="baseline"/>
        </w:rPr>
        <w:t>Optional Protocol to CAT 2002</w:t>
      </w:r>
    </w:p>
    <w:p w14:paraId="36791A61" w14:textId="77777777" w:rsidR="003E2C58" w:rsidRDefault="003E2C58" w:rsidP="003E2C58">
      <w:pPr>
        <w:rPr>
          <w:rFonts w:ascii="Times New Roman" w:hAnsi="Times New Roman" w:cs="Times New Roman"/>
          <w:sz w:val="24"/>
          <w:szCs w:val="24"/>
          <w:vertAlign w:val="baseline"/>
        </w:rPr>
      </w:pPr>
    </w:p>
    <w:p w14:paraId="5EF5BC20" w14:textId="77777777" w:rsidR="003E2C58" w:rsidRDefault="003E2C58" w:rsidP="003E2C58">
      <w:pPr>
        <w:rPr>
          <w:rFonts w:ascii="Times New Roman" w:hAnsi="Times New Roman" w:cs="Times New Roman"/>
          <w:sz w:val="24"/>
          <w:szCs w:val="24"/>
          <w:vertAlign w:val="baseline"/>
        </w:rPr>
      </w:pPr>
      <w:r>
        <w:rPr>
          <w:rFonts w:ascii="Times New Roman" w:hAnsi="Times New Roman" w:cs="Times New Roman"/>
          <w:sz w:val="24"/>
          <w:szCs w:val="24"/>
          <w:vertAlign w:val="baseline"/>
        </w:rPr>
        <w:t>Optional Protocol to CEDAW 1999</w:t>
      </w:r>
    </w:p>
    <w:p w14:paraId="143EFD02" w14:textId="77777777" w:rsidR="003E2C58" w:rsidRDefault="003E2C58" w:rsidP="003E2C58">
      <w:pPr>
        <w:rPr>
          <w:rFonts w:ascii="Times New Roman" w:hAnsi="Times New Roman" w:cs="Times New Roman"/>
          <w:sz w:val="24"/>
          <w:szCs w:val="24"/>
          <w:vertAlign w:val="baseline"/>
        </w:rPr>
      </w:pPr>
    </w:p>
    <w:p w14:paraId="4F7CDFFC" w14:textId="77777777" w:rsidR="003E2C58" w:rsidRDefault="003E2C58" w:rsidP="003E2C58">
      <w:pPr>
        <w:rPr>
          <w:rFonts w:ascii="Times New Roman" w:hAnsi="Times New Roman" w:cs="Times New Roman"/>
          <w:sz w:val="24"/>
          <w:szCs w:val="24"/>
          <w:vertAlign w:val="baseline"/>
        </w:rPr>
      </w:pPr>
      <w:r>
        <w:rPr>
          <w:rFonts w:ascii="Times New Roman" w:hAnsi="Times New Roman" w:cs="Times New Roman"/>
          <w:sz w:val="24"/>
          <w:szCs w:val="24"/>
          <w:vertAlign w:val="baseline"/>
        </w:rPr>
        <w:t>Optional Protocol to ICESCR 2008</w:t>
      </w:r>
    </w:p>
    <w:p w14:paraId="04A9B179" w14:textId="77777777" w:rsidR="003E2C58" w:rsidRDefault="003E2C58" w:rsidP="003E2C58">
      <w:pPr>
        <w:rPr>
          <w:rFonts w:ascii="Times New Roman" w:hAnsi="Times New Roman" w:cs="Times New Roman"/>
          <w:sz w:val="24"/>
          <w:szCs w:val="24"/>
          <w:vertAlign w:val="baseline"/>
        </w:rPr>
      </w:pPr>
    </w:p>
    <w:p w14:paraId="0C79929A" w14:textId="1356821F" w:rsidR="001300E1" w:rsidRDefault="001300E1" w:rsidP="003E2C58">
      <w:pPr>
        <w:rPr>
          <w:rFonts w:ascii="Times New Roman" w:hAnsi="Times New Roman" w:cs="Times New Roman"/>
          <w:sz w:val="24"/>
          <w:szCs w:val="24"/>
          <w:vertAlign w:val="baseline"/>
        </w:rPr>
      </w:pPr>
      <w:r>
        <w:rPr>
          <w:rFonts w:ascii="Times New Roman" w:hAnsi="Times New Roman" w:cs="Times New Roman"/>
          <w:sz w:val="24"/>
          <w:szCs w:val="24"/>
          <w:vertAlign w:val="baseline"/>
        </w:rPr>
        <w:t>Protocol to the ACHPR on the Rights of Women in Africa 2003</w:t>
      </w:r>
    </w:p>
    <w:p w14:paraId="2EF9D71E" w14:textId="77777777" w:rsidR="001300E1" w:rsidRDefault="001300E1" w:rsidP="003E2C58">
      <w:pPr>
        <w:rPr>
          <w:rFonts w:ascii="Times New Roman" w:hAnsi="Times New Roman" w:cs="Times New Roman"/>
          <w:sz w:val="24"/>
          <w:szCs w:val="24"/>
          <w:vertAlign w:val="baseline"/>
        </w:rPr>
      </w:pPr>
    </w:p>
    <w:p w14:paraId="7D0A2A26" w14:textId="77777777" w:rsidR="003E2C58" w:rsidRPr="00672137" w:rsidRDefault="003E2C58" w:rsidP="003E2C58">
      <w:pPr>
        <w:rPr>
          <w:rFonts w:ascii="Times New Roman" w:hAnsi="Times New Roman" w:cs="Times New Roman"/>
          <w:sz w:val="24"/>
          <w:szCs w:val="24"/>
          <w:vertAlign w:val="baseline"/>
        </w:rPr>
      </w:pPr>
      <w:r>
        <w:rPr>
          <w:rFonts w:ascii="Times New Roman" w:hAnsi="Times New Roman" w:cs="Times New Roman"/>
          <w:sz w:val="24"/>
          <w:szCs w:val="24"/>
          <w:vertAlign w:val="baseline"/>
        </w:rPr>
        <w:t>Second Optional Protocol to ICCPR 1989</w:t>
      </w:r>
    </w:p>
    <w:p w14:paraId="09FFE0AE" w14:textId="77777777" w:rsidR="003E2C58" w:rsidRDefault="003E2C58" w:rsidP="003E2C58">
      <w:pPr>
        <w:rPr>
          <w:rFonts w:ascii="Times New Roman" w:hAnsi="Times New Roman" w:cs="Times New Roman"/>
          <w:b/>
          <w:sz w:val="24"/>
          <w:szCs w:val="24"/>
          <w:vertAlign w:val="baseline"/>
        </w:rPr>
      </w:pPr>
    </w:p>
    <w:p w14:paraId="385B23D7"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 xml:space="preserve">Universal Declaration of Human Rights </w:t>
      </w:r>
      <w:r>
        <w:rPr>
          <w:rFonts w:ascii="Times New Roman" w:hAnsi="Times New Roman" w:cs="Times New Roman"/>
          <w:sz w:val="24"/>
          <w:szCs w:val="24"/>
          <w:vertAlign w:val="baseline"/>
        </w:rPr>
        <w:t>1948</w:t>
      </w:r>
    </w:p>
    <w:p w14:paraId="1B7AC487" w14:textId="77777777" w:rsidR="003E2C58" w:rsidRDefault="003E2C58" w:rsidP="003E2C58">
      <w:pPr>
        <w:rPr>
          <w:rFonts w:ascii="Times New Roman" w:hAnsi="Times New Roman" w:cs="Times New Roman"/>
          <w:sz w:val="24"/>
          <w:szCs w:val="24"/>
          <w:vertAlign w:val="baseline"/>
        </w:rPr>
      </w:pPr>
    </w:p>
    <w:p w14:paraId="4BEA9555" w14:textId="2B3D713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 xml:space="preserve">Vienna Convention on the Law of Treaties </w:t>
      </w:r>
      <w:r>
        <w:rPr>
          <w:rFonts w:ascii="Times New Roman" w:hAnsi="Times New Roman" w:cs="Times New Roman"/>
          <w:sz w:val="24"/>
          <w:szCs w:val="24"/>
          <w:vertAlign w:val="baseline"/>
        </w:rPr>
        <w:t>1969</w:t>
      </w:r>
    </w:p>
    <w:p w14:paraId="5D196052" w14:textId="77777777" w:rsidR="00ED402F" w:rsidRDefault="00ED402F">
      <w:pPr>
        <w:rPr>
          <w:rFonts w:ascii="Times New Roman" w:hAnsi="Times New Roman" w:cs="Times New Roman"/>
          <w:b/>
          <w:sz w:val="24"/>
          <w:szCs w:val="24"/>
          <w:vertAlign w:val="baseline"/>
        </w:rPr>
      </w:pPr>
      <w:r>
        <w:rPr>
          <w:rFonts w:ascii="Times New Roman" w:hAnsi="Times New Roman" w:cs="Times New Roman"/>
          <w:b/>
          <w:sz w:val="24"/>
          <w:szCs w:val="24"/>
          <w:vertAlign w:val="baseline"/>
        </w:rPr>
        <w:br w:type="page"/>
      </w:r>
    </w:p>
    <w:p w14:paraId="50844990" w14:textId="598BA3D7" w:rsidR="003E2C58" w:rsidRDefault="002365C9" w:rsidP="00745275">
      <w:pPr>
        <w:jc w:val="center"/>
        <w:rPr>
          <w:rFonts w:ascii="Times New Roman" w:hAnsi="Times New Roman" w:cs="Times New Roman"/>
          <w:b/>
          <w:sz w:val="24"/>
          <w:szCs w:val="24"/>
          <w:vertAlign w:val="baseline"/>
        </w:rPr>
      </w:pPr>
      <w:r>
        <w:rPr>
          <w:rFonts w:ascii="Times New Roman" w:hAnsi="Times New Roman" w:cs="Times New Roman"/>
          <w:b/>
          <w:sz w:val="24"/>
          <w:szCs w:val="24"/>
          <w:vertAlign w:val="baseline"/>
        </w:rPr>
        <w:t>BIBLIOGRAPHY</w:t>
      </w:r>
    </w:p>
    <w:p w14:paraId="7E070A3A" w14:textId="77777777" w:rsidR="003E2C58" w:rsidRDefault="003E2C58" w:rsidP="003E2C58">
      <w:pPr>
        <w:rPr>
          <w:rFonts w:ascii="Times New Roman" w:hAnsi="Times New Roman" w:cs="Times New Roman"/>
          <w:b/>
          <w:sz w:val="24"/>
          <w:szCs w:val="24"/>
          <w:vertAlign w:val="baseline"/>
        </w:rPr>
      </w:pPr>
    </w:p>
    <w:p w14:paraId="5FC53DBD" w14:textId="77777777" w:rsidR="003E2C58" w:rsidRDefault="003E2C58" w:rsidP="003E2C58">
      <w:pPr>
        <w:rPr>
          <w:rFonts w:ascii="Times New Roman" w:hAnsi="Times New Roman" w:cs="Times New Roman"/>
          <w:b/>
          <w:sz w:val="24"/>
          <w:szCs w:val="24"/>
          <w:vertAlign w:val="baseline"/>
        </w:rPr>
      </w:pPr>
    </w:p>
    <w:p w14:paraId="2CDE654F"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Abbott</w:t>
      </w:r>
      <w:r>
        <w:rPr>
          <w:rFonts w:ascii="Times New Roman" w:hAnsi="Times New Roman" w:cs="Times New Roman"/>
          <w:sz w:val="24"/>
          <w:szCs w:val="24"/>
          <w:vertAlign w:val="baseline"/>
        </w:rPr>
        <w:t xml:space="preserve"> KR and </w:t>
      </w:r>
      <w:r w:rsidRPr="00672137">
        <w:rPr>
          <w:rFonts w:ascii="Times New Roman" w:hAnsi="Times New Roman" w:cs="Times New Roman"/>
          <w:sz w:val="24"/>
          <w:szCs w:val="24"/>
          <w:vertAlign w:val="baseline"/>
        </w:rPr>
        <w:t>Sherratt</w:t>
      </w:r>
      <w:r>
        <w:rPr>
          <w:rFonts w:ascii="Times New Roman" w:hAnsi="Times New Roman" w:cs="Times New Roman"/>
          <w:sz w:val="24"/>
          <w:szCs w:val="24"/>
          <w:vertAlign w:val="baseline"/>
        </w:rPr>
        <w:t xml:space="preserve"> TN</w:t>
      </w:r>
      <w:r w:rsidRPr="00672137">
        <w:rPr>
          <w:rFonts w:ascii="Times New Roman" w:hAnsi="Times New Roman" w:cs="Times New Roman"/>
          <w:sz w:val="24"/>
          <w:szCs w:val="24"/>
          <w:vertAlign w:val="baseline"/>
        </w:rPr>
        <w:t>, ‘The evolution of superstition through optimal use of incomplete information</w:t>
      </w:r>
      <w:r>
        <w:rPr>
          <w:rFonts w:ascii="Times New Roman" w:hAnsi="Times New Roman" w:cs="Times New Roman"/>
          <w:sz w:val="24"/>
          <w:szCs w:val="24"/>
          <w:vertAlign w:val="baseline"/>
        </w:rPr>
        <w:t>’ (2011) 82 Animal Behaviour 92</w:t>
      </w:r>
    </w:p>
    <w:p w14:paraId="6AE165E2" w14:textId="77777777" w:rsidR="003E2C58" w:rsidRDefault="003E2C58" w:rsidP="003E2C58">
      <w:pPr>
        <w:rPr>
          <w:rFonts w:ascii="Times New Roman" w:hAnsi="Times New Roman" w:cs="Times New Roman"/>
          <w:sz w:val="24"/>
          <w:szCs w:val="24"/>
          <w:vertAlign w:val="baseline"/>
        </w:rPr>
      </w:pPr>
    </w:p>
    <w:p w14:paraId="640E754D"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 xml:space="preserve">Abusch </w:t>
      </w:r>
      <w:r>
        <w:rPr>
          <w:rFonts w:ascii="Times New Roman" w:hAnsi="Times New Roman" w:cs="Times New Roman"/>
          <w:sz w:val="24"/>
          <w:szCs w:val="24"/>
          <w:vertAlign w:val="baseline"/>
        </w:rPr>
        <w:t xml:space="preserve">T and </w:t>
      </w:r>
      <w:r w:rsidRPr="00672137">
        <w:rPr>
          <w:rFonts w:ascii="Times New Roman" w:hAnsi="Times New Roman" w:cs="Times New Roman"/>
          <w:sz w:val="24"/>
          <w:szCs w:val="24"/>
          <w:vertAlign w:val="baseline"/>
        </w:rPr>
        <w:t>Schwemer</w:t>
      </w:r>
      <w:r>
        <w:rPr>
          <w:rFonts w:ascii="Times New Roman" w:hAnsi="Times New Roman" w:cs="Times New Roman"/>
          <w:sz w:val="24"/>
          <w:szCs w:val="24"/>
          <w:vertAlign w:val="baseline"/>
        </w:rPr>
        <w:t xml:space="preserve"> D</w:t>
      </w:r>
      <w:r w:rsidRPr="00672137">
        <w:rPr>
          <w:rFonts w:ascii="Times New Roman" w:hAnsi="Times New Roman" w:cs="Times New Roman"/>
          <w:sz w:val="24"/>
          <w:szCs w:val="24"/>
          <w:vertAlign w:val="baseline"/>
        </w:rPr>
        <w:t xml:space="preserve">, </w:t>
      </w:r>
      <w:r w:rsidRPr="00F11887">
        <w:rPr>
          <w:rFonts w:ascii="Times New Roman" w:hAnsi="Times New Roman" w:cs="Times New Roman"/>
          <w:i/>
          <w:sz w:val="24"/>
          <w:szCs w:val="24"/>
          <w:vertAlign w:val="baseline"/>
        </w:rPr>
        <w:t>Corpus of Mesopotamian Anti-witchcraft Rituals: Volume One</w:t>
      </w:r>
      <w:r>
        <w:rPr>
          <w:rFonts w:ascii="Times New Roman" w:hAnsi="Times New Roman" w:cs="Times New Roman"/>
          <w:sz w:val="24"/>
          <w:szCs w:val="24"/>
          <w:vertAlign w:val="baseline"/>
        </w:rPr>
        <w:t xml:space="preserve"> (Brill 2010)</w:t>
      </w:r>
    </w:p>
    <w:p w14:paraId="19B701E3" w14:textId="77777777" w:rsidR="003E2C58" w:rsidRDefault="003E2C58" w:rsidP="003E2C58">
      <w:pPr>
        <w:rPr>
          <w:rFonts w:ascii="Times New Roman" w:hAnsi="Times New Roman" w:cs="Times New Roman"/>
          <w:sz w:val="24"/>
          <w:szCs w:val="24"/>
          <w:vertAlign w:val="baseline"/>
        </w:rPr>
      </w:pPr>
    </w:p>
    <w:p w14:paraId="1CD01F0F" w14:textId="1C939CA7" w:rsidR="003E2C58" w:rsidRDefault="00655C14"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ActionAid</w:t>
      </w:r>
      <w:r w:rsidR="003E2C58" w:rsidRPr="00672137">
        <w:rPr>
          <w:rFonts w:ascii="Times New Roman" w:hAnsi="Times New Roman" w:cs="Times New Roman"/>
          <w:sz w:val="24"/>
          <w:szCs w:val="24"/>
          <w:vertAlign w:val="baseline"/>
        </w:rPr>
        <w:t>, ‘Witchcraft in Ghana – the women cursed by superstition’ (ActionAid, 19 October 2010) &lt;</w:t>
      </w:r>
      <w:hyperlink r:id="rId10" w:history="1">
        <w:r w:rsidR="003E2C58" w:rsidRPr="005A199D">
          <w:rPr>
            <w:rStyle w:val="Hyperlink"/>
            <w:rFonts w:ascii="Times New Roman" w:hAnsi="Times New Roman" w:cs="Times New Roman"/>
            <w:sz w:val="24"/>
            <w:szCs w:val="24"/>
            <w:vertAlign w:val="baseline"/>
          </w:rPr>
          <w:t>http://www.actionaid.org.uk/news-and-views/witchcraft-in-ghana-the-women-cursed-by-superstition&gt;</w:t>
        </w:r>
      </w:hyperlink>
      <w:r w:rsidR="003E2C58" w:rsidRPr="00672137">
        <w:rPr>
          <w:rFonts w:ascii="Times New Roman" w:hAnsi="Times New Roman" w:cs="Times New Roman"/>
          <w:sz w:val="24"/>
          <w:szCs w:val="24"/>
          <w:vertAlign w:val="baseline"/>
        </w:rPr>
        <w:t xml:space="preserve"> accessed 16 September 2014.</w:t>
      </w:r>
    </w:p>
    <w:p w14:paraId="774441C3" w14:textId="77777777" w:rsidR="003E2C58" w:rsidRDefault="003E2C58" w:rsidP="003E2C58">
      <w:pPr>
        <w:rPr>
          <w:rFonts w:ascii="Times New Roman" w:hAnsi="Times New Roman" w:cs="Times New Roman"/>
          <w:sz w:val="24"/>
          <w:szCs w:val="24"/>
          <w:vertAlign w:val="baseline"/>
        </w:rPr>
      </w:pPr>
    </w:p>
    <w:p w14:paraId="109BC257"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ActionAid, ‘Condemned without trial: women a</w:t>
      </w:r>
      <w:r>
        <w:rPr>
          <w:rFonts w:ascii="Times New Roman" w:hAnsi="Times New Roman" w:cs="Times New Roman"/>
          <w:sz w:val="24"/>
          <w:szCs w:val="24"/>
          <w:vertAlign w:val="baseline"/>
        </w:rPr>
        <w:t>nd witchcraft in Ghana’ (ActionAid,</w:t>
      </w:r>
      <w:r w:rsidRPr="00672137">
        <w:rPr>
          <w:rFonts w:ascii="Times New Roman" w:hAnsi="Times New Roman" w:cs="Times New Roman"/>
          <w:sz w:val="24"/>
          <w:szCs w:val="24"/>
          <w:vertAlign w:val="baseline"/>
        </w:rPr>
        <w:t xml:space="preserve"> September 2012)</w:t>
      </w:r>
      <w:r w:rsidRPr="00051FEA">
        <w:rPr>
          <w:rFonts w:ascii="Times New Roman" w:hAnsi="Times New Roman" w:cs="Times New Roman"/>
          <w:sz w:val="24"/>
          <w:szCs w:val="24"/>
          <w:vertAlign w:val="baseline"/>
        </w:rPr>
        <w:t xml:space="preserve"> </w:t>
      </w:r>
      <w:r w:rsidRPr="00672137">
        <w:rPr>
          <w:rFonts w:ascii="Times New Roman" w:hAnsi="Times New Roman" w:cs="Times New Roman"/>
          <w:sz w:val="24"/>
          <w:szCs w:val="24"/>
          <w:vertAlign w:val="baseline"/>
        </w:rPr>
        <w:t>&lt;</w:t>
      </w:r>
      <w:hyperlink r:id="rId11" w:history="1">
        <w:r w:rsidRPr="00051FEA">
          <w:rPr>
            <w:rStyle w:val="Hyperlink"/>
            <w:rFonts w:ascii="Times New Roman" w:hAnsi="Times New Roman" w:cs="Times New Roman"/>
            <w:sz w:val="24"/>
            <w:szCs w:val="24"/>
            <w:vertAlign w:val="baseline"/>
          </w:rPr>
          <w:t>http://www.actionaid.org.uk/sites/default/files/doc_lib/ghana_report_single_pages.pdf&gt; a</w:t>
        </w:r>
      </w:hyperlink>
      <w:r w:rsidRPr="00672137">
        <w:rPr>
          <w:rFonts w:ascii="Times New Roman" w:hAnsi="Times New Roman" w:cs="Times New Roman"/>
          <w:sz w:val="24"/>
          <w:szCs w:val="24"/>
          <w:vertAlign w:val="baseline"/>
        </w:rPr>
        <w:t>ccessed 11 June 2014</w:t>
      </w:r>
    </w:p>
    <w:p w14:paraId="427B37AE" w14:textId="77777777" w:rsidR="003E2C58" w:rsidRDefault="003E2C58" w:rsidP="003E2C58">
      <w:pPr>
        <w:rPr>
          <w:rFonts w:ascii="Times New Roman" w:hAnsi="Times New Roman" w:cs="Times New Roman"/>
          <w:sz w:val="24"/>
          <w:szCs w:val="24"/>
          <w:vertAlign w:val="baseline"/>
        </w:rPr>
      </w:pPr>
    </w:p>
    <w:p w14:paraId="0C13F145"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Adigwe</w:t>
      </w:r>
      <w:r>
        <w:rPr>
          <w:rFonts w:ascii="Times New Roman" w:hAnsi="Times New Roman" w:cs="Times New Roman"/>
          <w:sz w:val="24"/>
          <w:szCs w:val="24"/>
          <w:vertAlign w:val="baseline"/>
        </w:rPr>
        <w:t xml:space="preserve"> BI</w:t>
      </w:r>
      <w:r w:rsidRPr="00672137">
        <w:rPr>
          <w:rFonts w:ascii="Times New Roman" w:hAnsi="Times New Roman" w:cs="Times New Roman"/>
          <w:sz w:val="24"/>
          <w:szCs w:val="24"/>
          <w:vertAlign w:val="baseline"/>
        </w:rPr>
        <w:t xml:space="preserve">, </w:t>
      </w:r>
      <w:r w:rsidRPr="008679C6">
        <w:rPr>
          <w:rFonts w:ascii="Times New Roman" w:hAnsi="Times New Roman" w:cs="Times New Roman"/>
          <w:i/>
          <w:sz w:val="24"/>
          <w:szCs w:val="24"/>
          <w:vertAlign w:val="baseline"/>
        </w:rPr>
        <w:t>Peculiar Crimes from Africa</w:t>
      </w:r>
      <w:r w:rsidRPr="00672137">
        <w:rPr>
          <w:rFonts w:ascii="Times New Roman" w:hAnsi="Times New Roman" w:cs="Times New Roman"/>
          <w:sz w:val="24"/>
          <w:szCs w:val="24"/>
          <w:vertAlign w:val="baseline"/>
        </w:rPr>
        <w:t xml:space="preserve"> (Trafford Publishing 2008)</w:t>
      </w:r>
    </w:p>
    <w:p w14:paraId="741B9C7C" w14:textId="77777777" w:rsidR="003E2C58" w:rsidRDefault="003E2C58" w:rsidP="003E2C58">
      <w:pPr>
        <w:rPr>
          <w:rFonts w:ascii="Times New Roman" w:hAnsi="Times New Roman" w:cs="Times New Roman"/>
          <w:sz w:val="24"/>
          <w:szCs w:val="24"/>
          <w:vertAlign w:val="baseline"/>
        </w:rPr>
      </w:pPr>
    </w:p>
    <w:p w14:paraId="624F38A1"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Adinkrah</w:t>
      </w:r>
      <w:r>
        <w:rPr>
          <w:rFonts w:ascii="Times New Roman" w:hAnsi="Times New Roman" w:cs="Times New Roman"/>
          <w:sz w:val="24"/>
          <w:szCs w:val="24"/>
          <w:vertAlign w:val="baseline"/>
        </w:rPr>
        <w:t xml:space="preserve"> M</w:t>
      </w:r>
      <w:r w:rsidRPr="00672137">
        <w:rPr>
          <w:rFonts w:ascii="Times New Roman" w:hAnsi="Times New Roman" w:cs="Times New Roman"/>
          <w:sz w:val="24"/>
          <w:szCs w:val="24"/>
          <w:vertAlign w:val="baseline"/>
        </w:rPr>
        <w:t>, ‘Witchcraft Accusations and Female Homicide Victimization in Contemporary Ghana’ (2004) 10(4) Violence Against Women 329</w:t>
      </w:r>
    </w:p>
    <w:p w14:paraId="143C74CC" w14:textId="77777777" w:rsidR="003E2C58" w:rsidRDefault="003E2C58" w:rsidP="003E2C58">
      <w:pPr>
        <w:rPr>
          <w:rFonts w:ascii="Times New Roman" w:hAnsi="Times New Roman" w:cs="Times New Roman"/>
          <w:sz w:val="24"/>
          <w:szCs w:val="24"/>
          <w:vertAlign w:val="baseline"/>
        </w:rPr>
      </w:pPr>
    </w:p>
    <w:p w14:paraId="6E5976B2"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Adler</w:t>
      </w:r>
      <w:r>
        <w:rPr>
          <w:rFonts w:ascii="Times New Roman" w:hAnsi="Times New Roman" w:cs="Times New Roman"/>
          <w:sz w:val="24"/>
          <w:szCs w:val="24"/>
          <w:vertAlign w:val="baseline"/>
        </w:rPr>
        <w:t xml:space="preserve"> LL</w:t>
      </w:r>
      <w:r w:rsidRPr="00672137">
        <w:rPr>
          <w:rFonts w:ascii="Times New Roman" w:hAnsi="Times New Roman" w:cs="Times New Roman"/>
          <w:sz w:val="24"/>
          <w:szCs w:val="24"/>
          <w:vertAlign w:val="baseline"/>
        </w:rPr>
        <w:t xml:space="preserve"> and Gielen</w:t>
      </w:r>
      <w:r>
        <w:rPr>
          <w:rFonts w:ascii="Times New Roman" w:hAnsi="Times New Roman" w:cs="Times New Roman"/>
          <w:sz w:val="24"/>
          <w:szCs w:val="24"/>
          <w:vertAlign w:val="baseline"/>
        </w:rPr>
        <w:t xml:space="preserve"> UP</w:t>
      </w:r>
      <w:r w:rsidRPr="00672137">
        <w:rPr>
          <w:rFonts w:ascii="Times New Roman" w:hAnsi="Times New Roman" w:cs="Times New Roman"/>
          <w:sz w:val="24"/>
          <w:szCs w:val="24"/>
          <w:vertAlign w:val="baseline"/>
        </w:rPr>
        <w:t xml:space="preserve">, </w:t>
      </w:r>
      <w:r w:rsidRPr="00A05170">
        <w:rPr>
          <w:rFonts w:ascii="Times New Roman" w:hAnsi="Times New Roman" w:cs="Times New Roman"/>
          <w:i/>
          <w:sz w:val="24"/>
          <w:szCs w:val="24"/>
          <w:vertAlign w:val="baseline"/>
        </w:rPr>
        <w:t>Cross-cultural topics in Psychology</w:t>
      </w:r>
      <w:r>
        <w:rPr>
          <w:rFonts w:ascii="Times New Roman" w:hAnsi="Times New Roman" w:cs="Times New Roman"/>
          <w:sz w:val="24"/>
          <w:szCs w:val="24"/>
          <w:vertAlign w:val="baseline"/>
        </w:rPr>
        <w:t xml:space="preserve"> (2nd edn, Praeger Publishers 2001)</w:t>
      </w:r>
    </w:p>
    <w:p w14:paraId="792B7A87" w14:textId="77777777" w:rsidR="003E2C58" w:rsidRDefault="003E2C58" w:rsidP="003E2C58">
      <w:pPr>
        <w:rPr>
          <w:rFonts w:ascii="Times New Roman" w:hAnsi="Times New Roman" w:cs="Times New Roman"/>
          <w:sz w:val="24"/>
          <w:szCs w:val="24"/>
          <w:vertAlign w:val="baseline"/>
        </w:rPr>
      </w:pPr>
    </w:p>
    <w:p w14:paraId="1E1F53CD" w14:textId="77777777" w:rsidR="00FA1702" w:rsidRDefault="00FA1702" w:rsidP="00FA1702">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Advocates for Human Rights, ‘Stop Violence Against Women: DEVAW’ (STOPVAW, 14 September 2007) &lt;</w:t>
      </w:r>
      <w:hyperlink r:id="rId12" w:history="1">
        <w:r w:rsidRPr="00F64D08">
          <w:rPr>
            <w:rStyle w:val="Hyperlink"/>
            <w:rFonts w:ascii="Times New Roman" w:hAnsi="Times New Roman" w:cs="Times New Roman"/>
            <w:sz w:val="24"/>
            <w:szCs w:val="24"/>
            <w:vertAlign w:val="baseline"/>
          </w:rPr>
          <w:t>http://www.stopvaw.org/devaw&gt;</w:t>
        </w:r>
      </w:hyperlink>
      <w:r w:rsidRPr="00672137">
        <w:rPr>
          <w:rFonts w:ascii="Times New Roman" w:hAnsi="Times New Roman" w:cs="Times New Roman"/>
          <w:sz w:val="24"/>
          <w:szCs w:val="24"/>
          <w:vertAlign w:val="baseline"/>
        </w:rPr>
        <w:t xml:space="preserve"> accessed 20 May 2015</w:t>
      </w:r>
    </w:p>
    <w:p w14:paraId="69708EB3" w14:textId="77777777" w:rsidR="00FA1702" w:rsidRDefault="00FA1702" w:rsidP="003E2C58">
      <w:pPr>
        <w:rPr>
          <w:rFonts w:ascii="Times New Roman" w:hAnsi="Times New Roman" w:cs="Times New Roman"/>
          <w:sz w:val="24"/>
          <w:szCs w:val="24"/>
          <w:vertAlign w:val="baseline"/>
        </w:rPr>
      </w:pPr>
    </w:p>
    <w:p w14:paraId="485A0065" w14:textId="77777777" w:rsidR="003A7286" w:rsidRPr="00F97F26" w:rsidRDefault="003A7286" w:rsidP="003A7286">
      <w:pPr>
        <w:rPr>
          <w:rFonts w:ascii="Times New Roman" w:hAnsi="Times New Roman" w:cs="Times New Roman"/>
          <w:sz w:val="24"/>
          <w:szCs w:val="24"/>
          <w:vertAlign w:val="baseline"/>
        </w:rPr>
      </w:pPr>
      <w:r w:rsidRPr="00F97F26">
        <w:rPr>
          <w:rFonts w:ascii="Times New Roman" w:hAnsi="Times New Roman" w:cs="Times New Roman"/>
          <w:sz w:val="24"/>
          <w:szCs w:val="24"/>
          <w:vertAlign w:val="baseline"/>
        </w:rPr>
        <w:t>African Commission on Human and People’s Rights, ‘Ghana: 2</w:t>
      </w:r>
      <w:r w:rsidRPr="00F97F26">
        <w:rPr>
          <w:rFonts w:ascii="Times New Roman" w:hAnsi="Times New Roman" w:cs="Times New Roman"/>
          <w:sz w:val="24"/>
          <w:szCs w:val="24"/>
        </w:rPr>
        <w:t>nd</w:t>
      </w:r>
      <w:r w:rsidRPr="00F97F26">
        <w:rPr>
          <w:rFonts w:ascii="Times New Roman" w:hAnsi="Times New Roman" w:cs="Times New Roman"/>
          <w:sz w:val="24"/>
          <w:szCs w:val="24"/>
          <w:vertAlign w:val="baseline"/>
        </w:rPr>
        <w:t xml:space="preserve"> Periodic Report, 1993-2000’ adopted at 29</w:t>
      </w:r>
      <w:r w:rsidRPr="00F97F26">
        <w:rPr>
          <w:rFonts w:ascii="Times New Roman" w:hAnsi="Times New Roman" w:cs="Times New Roman"/>
          <w:sz w:val="24"/>
          <w:szCs w:val="24"/>
        </w:rPr>
        <w:t>th</w:t>
      </w:r>
      <w:r w:rsidRPr="00F97F26">
        <w:rPr>
          <w:rFonts w:ascii="Times New Roman" w:hAnsi="Times New Roman" w:cs="Times New Roman"/>
          <w:sz w:val="24"/>
          <w:szCs w:val="24"/>
          <w:vertAlign w:val="baseline"/>
        </w:rPr>
        <w:t xml:space="preserve"> Ordinary Session, 23 April-7 May 2001</w:t>
      </w:r>
    </w:p>
    <w:p w14:paraId="09276BAA" w14:textId="77777777" w:rsidR="003A7286" w:rsidRDefault="003A7286" w:rsidP="003E2C58">
      <w:pPr>
        <w:rPr>
          <w:rFonts w:ascii="Times New Roman" w:hAnsi="Times New Roman" w:cs="Times New Roman"/>
          <w:sz w:val="24"/>
          <w:szCs w:val="24"/>
          <w:vertAlign w:val="baseline"/>
        </w:rPr>
      </w:pPr>
    </w:p>
    <w:p w14:paraId="14089497"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AHRC, ‘NEPAL: Dalit woman assaulted, publicly humiliated and forced to eat human excreta’ (Asian Human Rights Commissi</w:t>
      </w:r>
      <w:r>
        <w:rPr>
          <w:rFonts w:ascii="Times New Roman" w:hAnsi="Times New Roman" w:cs="Times New Roman"/>
          <w:sz w:val="24"/>
          <w:szCs w:val="24"/>
          <w:vertAlign w:val="baseline"/>
        </w:rPr>
        <w:t xml:space="preserve">on, </w:t>
      </w:r>
      <w:r w:rsidRPr="00672137">
        <w:rPr>
          <w:rFonts w:ascii="Times New Roman" w:hAnsi="Times New Roman" w:cs="Times New Roman"/>
          <w:sz w:val="24"/>
          <w:szCs w:val="24"/>
          <w:vertAlign w:val="baseline"/>
        </w:rPr>
        <w:t>Urgent Appeals Programme, April 6 2009) &lt;</w:t>
      </w:r>
      <w:hyperlink r:id="rId13" w:history="1">
        <w:r w:rsidRPr="005C6F08">
          <w:rPr>
            <w:rStyle w:val="Hyperlink"/>
            <w:rFonts w:ascii="Times New Roman" w:hAnsi="Times New Roman" w:cs="Times New Roman"/>
            <w:sz w:val="24"/>
            <w:szCs w:val="24"/>
            <w:vertAlign w:val="baseline"/>
          </w:rPr>
          <w:t>http://www.humanrights.asia/opinions/news/urgent-appeals/AHRC-UAC-038-2009&gt; a</w:t>
        </w:r>
      </w:hyperlink>
      <w:r w:rsidRPr="00672137">
        <w:rPr>
          <w:rFonts w:ascii="Times New Roman" w:hAnsi="Times New Roman" w:cs="Times New Roman"/>
          <w:sz w:val="24"/>
          <w:szCs w:val="24"/>
          <w:vertAlign w:val="baseline"/>
        </w:rPr>
        <w:t>ccessed 15 September 2014.</w:t>
      </w:r>
    </w:p>
    <w:p w14:paraId="28392EF6" w14:textId="77777777" w:rsidR="003E2C58" w:rsidRDefault="003E2C58" w:rsidP="003E2C58">
      <w:pPr>
        <w:rPr>
          <w:rFonts w:ascii="Times New Roman" w:hAnsi="Times New Roman" w:cs="Times New Roman"/>
          <w:sz w:val="24"/>
          <w:szCs w:val="24"/>
          <w:vertAlign w:val="baseline"/>
        </w:rPr>
      </w:pPr>
    </w:p>
    <w:p w14:paraId="34CB5F7F"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Akrong</w:t>
      </w:r>
      <w:r>
        <w:rPr>
          <w:rFonts w:ascii="Times New Roman" w:hAnsi="Times New Roman" w:cs="Times New Roman"/>
          <w:sz w:val="24"/>
          <w:szCs w:val="24"/>
          <w:vertAlign w:val="baseline"/>
        </w:rPr>
        <w:t xml:space="preserve"> A</w:t>
      </w:r>
      <w:r w:rsidRPr="00672137">
        <w:rPr>
          <w:rFonts w:ascii="Times New Roman" w:hAnsi="Times New Roman" w:cs="Times New Roman"/>
          <w:sz w:val="24"/>
          <w:szCs w:val="24"/>
          <w:vertAlign w:val="baseline"/>
        </w:rPr>
        <w:t>, ‘A phenomenology of</w:t>
      </w:r>
      <w:r>
        <w:rPr>
          <w:rFonts w:ascii="Times New Roman" w:hAnsi="Times New Roman" w:cs="Times New Roman"/>
          <w:sz w:val="24"/>
          <w:szCs w:val="24"/>
          <w:vertAlign w:val="baseline"/>
        </w:rPr>
        <w:t xml:space="preserve"> witchcraft in Ghana’ in </w:t>
      </w:r>
      <w:r w:rsidRPr="00672137">
        <w:rPr>
          <w:rFonts w:ascii="Times New Roman" w:hAnsi="Times New Roman" w:cs="Times New Roman"/>
          <w:sz w:val="24"/>
          <w:szCs w:val="24"/>
          <w:vertAlign w:val="baseline"/>
        </w:rPr>
        <w:t>Ter Haar</w:t>
      </w:r>
      <w:r>
        <w:rPr>
          <w:rFonts w:ascii="Times New Roman" w:hAnsi="Times New Roman" w:cs="Times New Roman"/>
          <w:sz w:val="24"/>
          <w:szCs w:val="24"/>
          <w:vertAlign w:val="baseline"/>
        </w:rPr>
        <w:t xml:space="preserve"> G</w:t>
      </w:r>
      <w:r w:rsidRPr="00672137">
        <w:rPr>
          <w:rFonts w:ascii="Times New Roman" w:hAnsi="Times New Roman" w:cs="Times New Roman"/>
          <w:sz w:val="24"/>
          <w:szCs w:val="24"/>
          <w:vertAlign w:val="baseline"/>
        </w:rPr>
        <w:t xml:space="preserve">, </w:t>
      </w:r>
      <w:r w:rsidRPr="00436B9E">
        <w:rPr>
          <w:rFonts w:ascii="Times New Roman" w:hAnsi="Times New Roman" w:cs="Times New Roman"/>
          <w:i/>
          <w:sz w:val="24"/>
          <w:szCs w:val="24"/>
          <w:vertAlign w:val="baseline"/>
        </w:rPr>
        <w:t xml:space="preserve">Imagining Evil: Witchcraft Beliefs and Accusations in Contemporary Africa </w:t>
      </w:r>
      <w:r>
        <w:rPr>
          <w:rFonts w:ascii="Times New Roman" w:hAnsi="Times New Roman" w:cs="Times New Roman"/>
          <w:sz w:val="24"/>
          <w:szCs w:val="24"/>
          <w:vertAlign w:val="baseline"/>
        </w:rPr>
        <w:t xml:space="preserve">(Africa 2007) </w:t>
      </w:r>
    </w:p>
    <w:p w14:paraId="791B5397" w14:textId="77777777" w:rsidR="003E2C58" w:rsidRDefault="003E2C58" w:rsidP="003E2C58">
      <w:pPr>
        <w:rPr>
          <w:rFonts w:ascii="Times New Roman" w:hAnsi="Times New Roman" w:cs="Times New Roman"/>
          <w:sz w:val="24"/>
          <w:szCs w:val="24"/>
          <w:vertAlign w:val="baseline"/>
        </w:rPr>
      </w:pPr>
    </w:p>
    <w:p w14:paraId="6D599BD3" w14:textId="77777777" w:rsidR="00374FF1" w:rsidRDefault="00374FF1" w:rsidP="00374FF1">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Ali</w:t>
      </w:r>
      <w:r>
        <w:rPr>
          <w:rFonts w:ascii="Times New Roman" w:hAnsi="Times New Roman" w:cs="Times New Roman"/>
          <w:sz w:val="24"/>
          <w:szCs w:val="24"/>
          <w:vertAlign w:val="baseline"/>
        </w:rPr>
        <w:t xml:space="preserve"> FM</w:t>
      </w:r>
      <w:r w:rsidRPr="00672137">
        <w:rPr>
          <w:rFonts w:ascii="Times New Roman" w:hAnsi="Times New Roman" w:cs="Times New Roman"/>
          <w:sz w:val="24"/>
          <w:szCs w:val="24"/>
          <w:vertAlign w:val="baseline"/>
        </w:rPr>
        <w:t xml:space="preserve">, ‘Indian villages ‘killed witch’ </w:t>
      </w:r>
      <w:r w:rsidRPr="00B31F7D">
        <w:rPr>
          <w:rFonts w:ascii="Times New Roman" w:hAnsi="Times New Roman" w:cs="Times New Roman"/>
          <w:i/>
          <w:sz w:val="24"/>
          <w:szCs w:val="24"/>
          <w:vertAlign w:val="baseline"/>
        </w:rPr>
        <w:t>BBC News</w:t>
      </w:r>
      <w:r w:rsidRPr="00672137">
        <w:rPr>
          <w:rFonts w:ascii="Times New Roman" w:hAnsi="Times New Roman" w:cs="Times New Roman"/>
          <w:sz w:val="24"/>
          <w:szCs w:val="24"/>
          <w:vertAlign w:val="baseline"/>
        </w:rPr>
        <w:t xml:space="preserve"> (London, 27 March 2008) &lt;</w:t>
      </w:r>
      <w:hyperlink r:id="rId14" w:history="1">
        <w:r w:rsidRPr="00B31F7D">
          <w:rPr>
            <w:rStyle w:val="Hyperlink"/>
            <w:rFonts w:ascii="Times New Roman" w:hAnsi="Times New Roman" w:cs="Times New Roman"/>
            <w:sz w:val="24"/>
            <w:szCs w:val="24"/>
            <w:vertAlign w:val="baseline"/>
          </w:rPr>
          <w:t>http://news.bbc.co.uk/1/hi/world/south_asia/7317378.stm&gt;</w:t>
        </w:r>
      </w:hyperlink>
      <w:r>
        <w:rPr>
          <w:rFonts w:ascii="Times New Roman" w:hAnsi="Times New Roman" w:cs="Times New Roman"/>
          <w:sz w:val="24"/>
          <w:szCs w:val="24"/>
          <w:vertAlign w:val="baseline"/>
        </w:rPr>
        <w:t xml:space="preserve"> accessed 21 November 2014</w:t>
      </w:r>
    </w:p>
    <w:p w14:paraId="5D10ECCF" w14:textId="77777777" w:rsidR="00374FF1" w:rsidRDefault="00374FF1" w:rsidP="003E2C58">
      <w:pPr>
        <w:rPr>
          <w:rFonts w:ascii="Times New Roman" w:hAnsi="Times New Roman" w:cs="Times New Roman"/>
          <w:sz w:val="24"/>
          <w:szCs w:val="24"/>
          <w:vertAlign w:val="baseline"/>
        </w:rPr>
      </w:pPr>
    </w:p>
    <w:p w14:paraId="3FD9FE3C" w14:textId="564D0AE6" w:rsidR="00D4649A" w:rsidRPr="00D4649A" w:rsidRDefault="00D4649A" w:rsidP="003E2C58">
      <w:pPr>
        <w:rPr>
          <w:rFonts w:ascii="Times New Roman" w:hAnsi="Times New Roman" w:cs="Times New Roman"/>
          <w:sz w:val="24"/>
          <w:szCs w:val="24"/>
          <w:vertAlign w:val="baseline"/>
        </w:rPr>
      </w:pPr>
      <w:r w:rsidRPr="00D4649A">
        <w:rPr>
          <w:rFonts w:ascii="Times New Roman" w:hAnsi="Times New Roman" w:cs="Times New Roman"/>
          <w:sz w:val="24"/>
          <w:szCs w:val="24"/>
          <w:vertAlign w:val="baseline"/>
        </w:rPr>
        <w:t>Amenga-Etego</w:t>
      </w:r>
      <w:r>
        <w:rPr>
          <w:rFonts w:ascii="Times New Roman" w:hAnsi="Times New Roman" w:cs="Times New Roman"/>
          <w:sz w:val="24"/>
          <w:szCs w:val="24"/>
          <w:vertAlign w:val="baseline"/>
        </w:rPr>
        <w:t xml:space="preserve"> RM</w:t>
      </w:r>
      <w:r w:rsidRPr="00D4649A">
        <w:rPr>
          <w:rFonts w:ascii="Times New Roman" w:hAnsi="Times New Roman" w:cs="Times New Roman"/>
          <w:sz w:val="24"/>
          <w:szCs w:val="24"/>
          <w:vertAlign w:val="baseline"/>
        </w:rPr>
        <w:t>, ‘Categorisation of Women and Human Rights Issues’ (2013) Cross</w:t>
      </w:r>
      <w:r>
        <w:rPr>
          <w:rFonts w:ascii="Times New Roman" w:hAnsi="Times New Roman" w:cs="Times New Roman"/>
          <w:sz w:val="24"/>
          <w:szCs w:val="24"/>
          <w:vertAlign w:val="baseline"/>
        </w:rPr>
        <w:t>Currents 138</w:t>
      </w:r>
    </w:p>
    <w:p w14:paraId="28FB0E6D" w14:textId="77777777" w:rsidR="00D4649A" w:rsidRDefault="00D4649A" w:rsidP="003E2C58">
      <w:pPr>
        <w:rPr>
          <w:rFonts w:ascii="Times New Roman" w:hAnsi="Times New Roman" w:cs="Times New Roman"/>
          <w:sz w:val="24"/>
          <w:szCs w:val="24"/>
          <w:vertAlign w:val="baseline"/>
        </w:rPr>
      </w:pPr>
    </w:p>
    <w:p w14:paraId="2862BA7F"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Amoah</w:t>
      </w:r>
      <w:r>
        <w:rPr>
          <w:rFonts w:ascii="Times New Roman" w:hAnsi="Times New Roman" w:cs="Times New Roman"/>
          <w:sz w:val="24"/>
          <w:szCs w:val="24"/>
          <w:vertAlign w:val="baseline"/>
        </w:rPr>
        <w:t xml:space="preserve"> E</w:t>
      </w:r>
      <w:r w:rsidRPr="00672137">
        <w:rPr>
          <w:rFonts w:ascii="Times New Roman" w:hAnsi="Times New Roman" w:cs="Times New Roman"/>
          <w:sz w:val="24"/>
          <w:szCs w:val="24"/>
          <w:vertAlign w:val="baseline"/>
        </w:rPr>
        <w:t>, ‘Violence and women’s bodies in African perspective’ in Mananzan</w:t>
      </w:r>
      <w:r>
        <w:rPr>
          <w:rFonts w:ascii="Times New Roman" w:hAnsi="Times New Roman" w:cs="Times New Roman"/>
          <w:sz w:val="24"/>
          <w:szCs w:val="24"/>
          <w:vertAlign w:val="baseline"/>
        </w:rPr>
        <w:t xml:space="preserve"> MJ</w:t>
      </w:r>
      <w:r w:rsidRPr="00672137">
        <w:rPr>
          <w:rFonts w:ascii="Times New Roman" w:hAnsi="Times New Roman" w:cs="Times New Roman"/>
          <w:sz w:val="24"/>
          <w:szCs w:val="24"/>
          <w:vertAlign w:val="baseline"/>
        </w:rPr>
        <w:t>, Oduyoye</w:t>
      </w:r>
      <w:r>
        <w:rPr>
          <w:rFonts w:ascii="Times New Roman" w:hAnsi="Times New Roman" w:cs="Times New Roman"/>
          <w:sz w:val="24"/>
          <w:szCs w:val="24"/>
          <w:vertAlign w:val="baseline"/>
        </w:rPr>
        <w:t xml:space="preserve"> MA, </w:t>
      </w:r>
      <w:r w:rsidRPr="00672137">
        <w:rPr>
          <w:rFonts w:ascii="Times New Roman" w:hAnsi="Times New Roman" w:cs="Times New Roman"/>
          <w:sz w:val="24"/>
          <w:szCs w:val="24"/>
          <w:vertAlign w:val="baseline"/>
        </w:rPr>
        <w:t>Tamez</w:t>
      </w:r>
      <w:r>
        <w:rPr>
          <w:rFonts w:ascii="Times New Roman" w:hAnsi="Times New Roman" w:cs="Times New Roman"/>
          <w:sz w:val="24"/>
          <w:szCs w:val="24"/>
          <w:vertAlign w:val="baseline"/>
        </w:rPr>
        <w:t xml:space="preserve"> E, </w:t>
      </w:r>
      <w:r w:rsidRPr="00672137">
        <w:rPr>
          <w:rFonts w:ascii="Times New Roman" w:hAnsi="Times New Roman" w:cs="Times New Roman"/>
          <w:sz w:val="24"/>
          <w:szCs w:val="24"/>
          <w:vertAlign w:val="baseline"/>
        </w:rPr>
        <w:t>Clarkson</w:t>
      </w:r>
      <w:r>
        <w:rPr>
          <w:rFonts w:ascii="Times New Roman" w:hAnsi="Times New Roman" w:cs="Times New Roman"/>
          <w:sz w:val="24"/>
          <w:szCs w:val="24"/>
          <w:vertAlign w:val="baseline"/>
        </w:rPr>
        <w:t xml:space="preserve"> JS, </w:t>
      </w:r>
      <w:r w:rsidRPr="00672137">
        <w:rPr>
          <w:rFonts w:ascii="Times New Roman" w:hAnsi="Times New Roman" w:cs="Times New Roman"/>
          <w:sz w:val="24"/>
          <w:szCs w:val="24"/>
          <w:vertAlign w:val="baseline"/>
        </w:rPr>
        <w:t>Grey</w:t>
      </w:r>
      <w:r>
        <w:rPr>
          <w:rFonts w:ascii="Times New Roman" w:hAnsi="Times New Roman" w:cs="Times New Roman"/>
          <w:sz w:val="24"/>
          <w:szCs w:val="24"/>
          <w:vertAlign w:val="baseline"/>
        </w:rPr>
        <w:t xml:space="preserve"> MC and </w:t>
      </w:r>
      <w:r w:rsidRPr="00672137">
        <w:rPr>
          <w:rFonts w:ascii="Times New Roman" w:hAnsi="Times New Roman" w:cs="Times New Roman"/>
          <w:sz w:val="24"/>
          <w:szCs w:val="24"/>
          <w:vertAlign w:val="baseline"/>
        </w:rPr>
        <w:t xml:space="preserve">Russell </w:t>
      </w:r>
      <w:r>
        <w:rPr>
          <w:rFonts w:ascii="Times New Roman" w:hAnsi="Times New Roman" w:cs="Times New Roman"/>
          <w:sz w:val="24"/>
          <w:szCs w:val="24"/>
          <w:vertAlign w:val="baseline"/>
        </w:rPr>
        <w:t>LM (eds)</w:t>
      </w:r>
      <w:r w:rsidRPr="00672137">
        <w:rPr>
          <w:rFonts w:ascii="Times New Roman" w:hAnsi="Times New Roman" w:cs="Times New Roman"/>
          <w:sz w:val="24"/>
          <w:szCs w:val="24"/>
          <w:vertAlign w:val="baseline"/>
        </w:rPr>
        <w:t xml:space="preserve"> </w:t>
      </w:r>
      <w:r w:rsidRPr="001D6789">
        <w:rPr>
          <w:rFonts w:ascii="Times New Roman" w:hAnsi="Times New Roman" w:cs="Times New Roman"/>
          <w:i/>
          <w:sz w:val="24"/>
          <w:szCs w:val="24"/>
          <w:vertAlign w:val="baseline"/>
        </w:rPr>
        <w:t>Women resisting violence: Spirituality for Life</w:t>
      </w:r>
      <w:r w:rsidRPr="00672137">
        <w:rPr>
          <w:rFonts w:ascii="Times New Roman" w:hAnsi="Times New Roman" w:cs="Times New Roman"/>
          <w:sz w:val="24"/>
          <w:szCs w:val="24"/>
          <w:vertAlign w:val="baseline"/>
        </w:rPr>
        <w:t xml:space="preserve"> (Wipf and Stock 2004)</w:t>
      </w:r>
    </w:p>
    <w:p w14:paraId="6E9970AD" w14:textId="77777777" w:rsidR="003E2C58" w:rsidRDefault="003E2C58" w:rsidP="003E2C58">
      <w:pPr>
        <w:rPr>
          <w:rFonts w:ascii="Times New Roman" w:hAnsi="Times New Roman" w:cs="Times New Roman"/>
          <w:sz w:val="24"/>
          <w:szCs w:val="24"/>
          <w:vertAlign w:val="baseline"/>
        </w:rPr>
      </w:pPr>
    </w:p>
    <w:p w14:paraId="0F849530"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Amnesty International, ‘The bravest women in the world’ (Amnesty International, 7 March 2014) &lt;</w:t>
      </w:r>
      <w:hyperlink r:id="rId15" w:history="1">
        <w:r w:rsidRPr="00E2772B">
          <w:rPr>
            <w:rStyle w:val="Hyperlink"/>
            <w:rFonts w:ascii="Times New Roman" w:hAnsi="Times New Roman" w:cs="Times New Roman"/>
            <w:sz w:val="24"/>
            <w:szCs w:val="24"/>
            <w:vertAlign w:val="baseline"/>
          </w:rPr>
          <w:t>http://www.amnesty.org.au/features/comments/34094/&gt;</w:t>
        </w:r>
      </w:hyperlink>
      <w:r w:rsidRPr="00672137">
        <w:rPr>
          <w:rFonts w:ascii="Times New Roman" w:hAnsi="Times New Roman" w:cs="Times New Roman"/>
          <w:sz w:val="24"/>
          <w:szCs w:val="24"/>
          <w:vertAlign w:val="baseline"/>
        </w:rPr>
        <w:t xml:space="preserve"> accessed 8 September 2015</w:t>
      </w:r>
    </w:p>
    <w:p w14:paraId="6C5BFB1F" w14:textId="77777777" w:rsidR="003E2C58" w:rsidRDefault="003E2C58" w:rsidP="003E2C58">
      <w:pPr>
        <w:rPr>
          <w:rFonts w:ascii="Times New Roman" w:hAnsi="Times New Roman" w:cs="Times New Roman"/>
          <w:sz w:val="24"/>
          <w:szCs w:val="24"/>
          <w:vertAlign w:val="baseline"/>
        </w:rPr>
      </w:pPr>
    </w:p>
    <w:p w14:paraId="1FBDC64E" w14:textId="77777777" w:rsidR="003E2C58" w:rsidRDefault="003E2C58" w:rsidP="003E2C58">
      <w:pPr>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Amnesty International, </w:t>
      </w:r>
      <w:r w:rsidRPr="00672137">
        <w:rPr>
          <w:rFonts w:ascii="Times New Roman" w:hAnsi="Times New Roman" w:cs="Times New Roman"/>
          <w:sz w:val="24"/>
          <w:szCs w:val="24"/>
          <w:vertAlign w:val="baseline"/>
        </w:rPr>
        <w:t>‘Papua New Guinea repeals Sorcery Act whilst moving closer to executions’ (Amnesty International</w:t>
      </w:r>
      <w:r>
        <w:rPr>
          <w:rFonts w:ascii="Times New Roman" w:hAnsi="Times New Roman" w:cs="Times New Roman"/>
          <w:sz w:val="24"/>
          <w:szCs w:val="24"/>
          <w:vertAlign w:val="baseline"/>
        </w:rPr>
        <w:t>,</w:t>
      </w:r>
      <w:r w:rsidRPr="00672137">
        <w:rPr>
          <w:rFonts w:ascii="Times New Roman" w:hAnsi="Times New Roman" w:cs="Times New Roman"/>
          <w:sz w:val="24"/>
          <w:szCs w:val="24"/>
          <w:vertAlign w:val="baseline"/>
        </w:rPr>
        <w:t xml:space="preserve"> 28 May 2013) &lt;</w:t>
      </w:r>
      <w:hyperlink r:id="rId16" w:history="1">
        <w:r w:rsidRPr="00C638CD">
          <w:rPr>
            <w:rStyle w:val="Hyperlink"/>
            <w:rFonts w:ascii="Times New Roman" w:hAnsi="Times New Roman" w:cs="Times New Roman"/>
            <w:sz w:val="24"/>
            <w:szCs w:val="24"/>
            <w:vertAlign w:val="baseline"/>
          </w:rPr>
          <w:t>https://www.amnesty.org/en/articles/news/2013/05/papua-new-guinea-repeals-sorcery-act-while-moving-closer-executions/&gt;</w:t>
        </w:r>
      </w:hyperlink>
      <w:r w:rsidRPr="00672137">
        <w:rPr>
          <w:rFonts w:ascii="Times New Roman" w:hAnsi="Times New Roman" w:cs="Times New Roman"/>
          <w:sz w:val="24"/>
          <w:szCs w:val="24"/>
          <w:vertAlign w:val="baseline"/>
        </w:rPr>
        <w:t xml:space="preserve"> accessed 17 June 2015</w:t>
      </w:r>
    </w:p>
    <w:p w14:paraId="4E6D637F" w14:textId="77777777" w:rsidR="003E2C58" w:rsidRDefault="003E2C58" w:rsidP="003E2C58">
      <w:pPr>
        <w:rPr>
          <w:rFonts w:ascii="Times New Roman" w:hAnsi="Times New Roman" w:cs="Times New Roman"/>
          <w:sz w:val="24"/>
          <w:szCs w:val="24"/>
          <w:vertAlign w:val="baseline"/>
        </w:rPr>
      </w:pPr>
    </w:p>
    <w:p w14:paraId="558ECBB6"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Amnesty International, ‘Papua New Guinea: Help release women held captive, accused of sorcery’ (Amnesty International, 12 April 2013) &lt;</w:t>
      </w:r>
      <w:hyperlink r:id="rId17" w:history="1">
        <w:r w:rsidRPr="00C30F05">
          <w:rPr>
            <w:rStyle w:val="Hyperlink"/>
            <w:rFonts w:ascii="Times New Roman" w:hAnsi="Times New Roman" w:cs="Times New Roman"/>
            <w:sz w:val="24"/>
            <w:szCs w:val="24"/>
            <w:vertAlign w:val="baseline"/>
          </w:rPr>
          <w:t>http://www.amnesty.org.uk/blogs/sms-action-network/papua-new-guinea-women-accused-sorcery-risk-beheading-stop-mob&gt;</w:t>
        </w:r>
      </w:hyperlink>
      <w:r w:rsidRPr="00672137">
        <w:rPr>
          <w:rFonts w:ascii="Times New Roman" w:hAnsi="Times New Roman" w:cs="Times New Roman"/>
          <w:sz w:val="24"/>
          <w:szCs w:val="24"/>
          <w:vertAlign w:val="baseline"/>
        </w:rPr>
        <w:t xml:space="preserve"> accessed 13 October 2015</w:t>
      </w:r>
    </w:p>
    <w:p w14:paraId="6229F762" w14:textId="77777777" w:rsidR="003E2C58" w:rsidRDefault="003E2C58" w:rsidP="003E2C58">
      <w:pPr>
        <w:rPr>
          <w:rFonts w:ascii="Times New Roman" w:hAnsi="Times New Roman" w:cs="Times New Roman"/>
          <w:sz w:val="24"/>
          <w:szCs w:val="24"/>
          <w:vertAlign w:val="baseline"/>
        </w:rPr>
      </w:pPr>
    </w:p>
    <w:p w14:paraId="7F044483"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Amnesty International, ‘Papua New Guinea: Vicious ‘sorcery’ killing leaves two more at risk’ (Amnesty International</w:t>
      </w:r>
      <w:r>
        <w:rPr>
          <w:rFonts w:ascii="Times New Roman" w:hAnsi="Times New Roman" w:cs="Times New Roman"/>
          <w:sz w:val="24"/>
          <w:szCs w:val="24"/>
          <w:vertAlign w:val="baseline"/>
        </w:rPr>
        <w:t>,</w:t>
      </w:r>
      <w:r w:rsidRPr="00672137">
        <w:rPr>
          <w:rFonts w:ascii="Times New Roman" w:hAnsi="Times New Roman" w:cs="Times New Roman"/>
          <w:sz w:val="24"/>
          <w:szCs w:val="24"/>
          <w:vertAlign w:val="baseline"/>
        </w:rPr>
        <w:t xml:space="preserve"> 27 May 2015)</w:t>
      </w:r>
      <w:r>
        <w:rPr>
          <w:rFonts w:ascii="Times New Roman" w:hAnsi="Times New Roman" w:cs="Times New Roman"/>
          <w:sz w:val="24"/>
          <w:szCs w:val="24"/>
          <w:vertAlign w:val="baseline"/>
        </w:rPr>
        <w:t xml:space="preserve"> &lt;</w:t>
      </w:r>
      <w:hyperlink r:id="rId18" w:history="1">
        <w:r w:rsidRPr="0076239C">
          <w:rPr>
            <w:rStyle w:val="Hyperlink"/>
            <w:rFonts w:ascii="Times New Roman" w:hAnsi="Times New Roman" w:cs="Times New Roman"/>
            <w:sz w:val="24"/>
            <w:szCs w:val="24"/>
            <w:vertAlign w:val="baseline"/>
          </w:rPr>
          <w:t>http://www.amnesty.org.au/news/comments/37276/</w:t>
        </w:r>
      </w:hyperlink>
      <w:r>
        <w:rPr>
          <w:rFonts w:ascii="Times New Roman" w:hAnsi="Times New Roman" w:cs="Times New Roman"/>
          <w:sz w:val="24"/>
          <w:szCs w:val="24"/>
          <w:vertAlign w:val="baseline"/>
        </w:rPr>
        <w:t>&gt; accessed 8 September 2015</w:t>
      </w:r>
    </w:p>
    <w:p w14:paraId="61C55497" w14:textId="77777777" w:rsidR="003E2C58" w:rsidRDefault="003E2C58" w:rsidP="003E2C58">
      <w:pPr>
        <w:rPr>
          <w:rFonts w:ascii="Times New Roman" w:hAnsi="Times New Roman" w:cs="Times New Roman"/>
          <w:sz w:val="24"/>
          <w:szCs w:val="24"/>
          <w:vertAlign w:val="baseline"/>
        </w:rPr>
      </w:pPr>
    </w:p>
    <w:p w14:paraId="3F89A830" w14:textId="77777777" w:rsidR="00362BFB" w:rsidRDefault="00362BFB" w:rsidP="00362BFB">
      <w:pPr>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Amnesty International, </w:t>
      </w:r>
      <w:r w:rsidRPr="00672137">
        <w:rPr>
          <w:rFonts w:ascii="Times New Roman" w:hAnsi="Times New Roman" w:cs="Times New Roman"/>
          <w:sz w:val="24"/>
          <w:szCs w:val="24"/>
          <w:vertAlign w:val="baseline"/>
        </w:rPr>
        <w:t>‘Papua New Guinea Update to the Briefing to the UN Committee on the Elimination of Discrimination Against Women: Violence against Women’ (Amnesty International 46th session, 2010) &lt;</w:t>
      </w:r>
      <w:hyperlink r:id="rId19" w:history="1">
        <w:r w:rsidRPr="003F2A84">
          <w:rPr>
            <w:rStyle w:val="Hyperlink"/>
            <w:rFonts w:ascii="Times New Roman" w:hAnsi="Times New Roman" w:cs="Times New Roman"/>
            <w:sz w:val="24"/>
            <w:szCs w:val="24"/>
            <w:vertAlign w:val="baseline"/>
          </w:rPr>
          <w:t>http://www.amnesty.org.au/images/uploads/svaw/Papua_New_Guinea_briefing%2020100907.pdf&gt; a</w:t>
        </w:r>
      </w:hyperlink>
      <w:r w:rsidRPr="00672137">
        <w:rPr>
          <w:rFonts w:ascii="Times New Roman" w:hAnsi="Times New Roman" w:cs="Times New Roman"/>
          <w:sz w:val="24"/>
          <w:szCs w:val="24"/>
          <w:vertAlign w:val="baseline"/>
        </w:rPr>
        <w:t>ccessed 26 August 2015</w:t>
      </w:r>
    </w:p>
    <w:p w14:paraId="4326B8BB" w14:textId="77777777" w:rsidR="00362BFB" w:rsidRDefault="00362BFB" w:rsidP="003E2C58">
      <w:pPr>
        <w:rPr>
          <w:rFonts w:ascii="Times New Roman" w:hAnsi="Times New Roman" w:cs="Times New Roman"/>
          <w:sz w:val="24"/>
          <w:szCs w:val="24"/>
          <w:vertAlign w:val="baseline"/>
        </w:rPr>
      </w:pPr>
    </w:p>
    <w:p w14:paraId="3F88B8A8" w14:textId="77777777" w:rsidR="00374FF1" w:rsidRDefault="00374FF1" w:rsidP="00374FF1">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Anand</w:t>
      </w:r>
      <w:r>
        <w:rPr>
          <w:rFonts w:ascii="Times New Roman" w:hAnsi="Times New Roman" w:cs="Times New Roman"/>
          <w:sz w:val="24"/>
          <w:szCs w:val="24"/>
          <w:vertAlign w:val="baseline"/>
        </w:rPr>
        <w:t xml:space="preserve"> U</w:t>
      </w:r>
      <w:r w:rsidRPr="00672137">
        <w:rPr>
          <w:rFonts w:ascii="Times New Roman" w:hAnsi="Times New Roman" w:cs="Times New Roman"/>
          <w:sz w:val="24"/>
          <w:szCs w:val="24"/>
          <w:vertAlign w:val="baseline"/>
        </w:rPr>
        <w:t xml:space="preserve">, ‘Uniform Civil Code: There’s total confusion, why can’t it be done, SC asks govt’ </w:t>
      </w:r>
      <w:r w:rsidRPr="00471C84">
        <w:rPr>
          <w:rFonts w:ascii="Times New Roman" w:hAnsi="Times New Roman" w:cs="Times New Roman"/>
          <w:i/>
          <w:sz w:val="24"/>
          <w:szCs w:val="24"/>
          <w:vertAlign w:val="baseline"/>
        </w:rPr>
        <w:t>The Indian Express</w:t>
      </w:r>
      <w:r w:rsidRPr="00672137">
        <w:rPr>
          <w:rFonts w:ascii="Times New Roman" w:hAnsi="Times New Roman" w:cs="Times New Roman"/>
          <w:sz w:val="24"/>
          <w:szCs w:val="24"/>
          <w:vertAlign w:val="baseline"/>
        </w:rPr>
        <w:t xml:space="preserve"> (New Delhi, 13 October 2015) &lt;</w:t>
      </w:r>
      <w:hyperlink r:id="rId20" w:history="1">
        <w:r w:rsidRPr="00471C84">
          <w:rPr>
            <w:rStyle w:val="Hyperlink"/>
            <w:rFonts w:ascii="Times New Roman" w:hAnsi="Times New Roman" w:cs="Times New Roman"/>
            <w:sz w:val="24"/>
            <w:szCs w:val="24"/>
            <w:vertAlign w:val="baseline"/>
          </w:rPr>
          <w:t>http://indianexpress.com/article/india/india-news-india/uniform-civil-code-supreme-court-asks-govt-why-cant-it-be-done-tell-us-your-plan/&gt;</w:t>
        </w:r>
      </w:hyperlink>
      <w:r w:rsidRPr="00672137">
        <w:rPr>
          <w:rFonts w:ascii="Times New Roman" w:hAnsi="Times New Roman" w:cs="Times New Roman"/>
          <w:sz w:val="24"/>
          <w:szCs w:val="24"/>
          <w:vertAlign w:val="baseline"/>
        </w:rPr>
        <w:t xml:space="preserve"> accessed 1 February 2016</w:t>
      </w:r>
    </w:p>
    <w:p w14:paraId="4D71C880" w14:textId="77777777" w:rsidR="00374FF1" w:rsidRDefault="00374FF1" w:rsidP="003E2C58">
      <w:pPr>
        <w:rPr>
          <w:rFonts w:ascii="Times New Roman" w:hAnsi="Times New Roman" w:cs="Times New Roman"/>
          <w:sz w:val="24"/>
          <w:szCs w:val="24"/>
          <w:vertAlign w:val="baseline"/>
        </w:rPr>
      </w:pPr>
    </w:p>
    <w:p w14:paraId="6A4B208F"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An-Na’im</w:t>
      </w:r>
      <w:r>
        <w:rPr>
          <w:rFonts w:ascii="Times New Roman" w:hAnsi="Times New Roman" w:cs="Times New Roman"/>
          <w:sz w:val="24"/>
          <w:szCs w:val="24"/>
          <w:vertAlign w:val="baseline"/>
        </w:rPr>
        <w:t xml:space="preserve"> AA</w:t>
      </w:r>
      <w:r w:rsidRPr="00672137">
        <w:rPr>
          <w:rFonts w:ascii="Times New Roman" w:hAnsi="Times New Roman" w:cs="Times New Roman"/>
          <w:sz w:val="24"/>
          <w:szCs w:val="24"/>
          <w:vertAlign w:val="baseline"/>
        </w:rPr>
        <w:t>, ‘State Responsibility to Change Religious and Customary Laws’ in Cook</w:t>
      </w:r>
      <w:r>
        <w:rPr>
          <w:rFonts w:ascii="Times New Roman" w:hAnsi="Times New Roman" w:cs="Times New Roman"/>
          <w:sz w:val="24"/>
          <w:szCs w:val="24"/>
          <w:vertAlign w:val="baseline"/>
        </w:rPr>
        <w:t xml:space="preserve"> RJ</w:t>
      </w:r>
      <w:r w:rsidRPr="00672137">
        <w:rPr>
          <w:rFonts w:ascii="Times New Roman" w:hAnsi="Times New Roman" w:cs="Times New Roman"/>
          <w:sz w:val="24"/>
          <w:szCs w:val="24"/>
          <w:vertAlign w:val="baseline"/>
        </w:rPr>
        <w:t xml:space="preserve"> (ed) </w:t>
      </w:r>
      <w:r w:rsidRPr="00220B77">
        <w:rPr>
          <w:rFonts w:ascii="Times New Roman" w:hAnsi="Times New Roman" w:cs="Times New Roman"/>
          <w:i/>
          <w:sz w:val="24"/>
          <w:szCs w:val="24"/>
          <w:vertAlign w:val="baseline"/>
        </w:rPr>
        <w:t>Human Rights of Women: National and International Perspectives</w:t>
      </w:r>
      <w:r>
        <w:rPr>
          <w:rFonts w:ascii="Times New Roman" w:hAnsi="Times New Roman" w:cs="Times New Roman"/>
          <w:sz w:val="24"/>
          <w:szCs w:val="24"/>
          <w:vertAlign w:val="baseline"/>
        </w:rPr>
        <w:t xml:space="preserve"> (Pennsylvania UP 2007)</w:t>
      </w:r>
    </w:p>
    <w:p w14:paraId="5F2D09E1" w14:textId="77777777" w:rsidR="003E2C58" w:rsidRDefault="003E2C58" w:rsidP="003E2C58">
      <w:pPr>
        <w:rPr>
          <w:rFonts w:ascii="Times New Roman" w:hAnsi="Times New Roman" w:cs="Times New Roman"/>
          <w:sz w:val="24"/>
          <w:szCs w:val="24"/>
          <w:vertAlign w:val="baseline"/>
        </w:rPr>
      </w:pPr>
    </w:p>
    <w:p w14:paraId="5DE0E736"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Antrobus</w:t>
      </w:r>
      <w:r>
        <w:rPr>
          <w:rFonts w:ascii="Times New Roman" w:hAnsi="Times New Roman" w:cs="Times New Roman"/>
          <w:sz w:val="24"/>
          <w:szCs w:val="24"/>
          <w:vertAlign w:val="baseline"/>
        </w:rPr>
        <w:t xml:space="preserve"> P</w:t>
      </w:r>
      <w:r w:rsidRPr="00672137">
        <w:rPr>
          <w:rFonts w:ascii="Times New Roman" w:hAnsi="Times New Roman" w:cs="Times New Roman"/>
          <w:sz w:val="24"/>
          <w:szCs w:val="24"/>
          <w:vertAlign w:val="baseline"/>
        </w:rPr>
        <w:t xml:space="preserve">, </w:t>
      </w:r>
      <w:r w:rsidRPr="003A2ADC">
        <w:rPr>
          <w:rFonts w:ascii="Times New Roman" w:hAnsi="Times New Roman" w:cs="Times New Roman"/>
          <w:i/>
          <w:sz w:val="24"/>
          <w:szCs w:val="24"/>
          <w:vertAlign w:val="baseline"/>
        </w:rPr>
        <w:t>The Global Women’s Movement: Issues and Strategies for the New Century</w:t>
      </w:r>
      <w:r>
        <w:rPr>
          <w:rFonts w:ascii="Times New Roman" w:hAnsi="Times New Roman" w:cs="Times New Roman"/>
          <w:sz w:val="24"/>
          <w:szCs w:val="24"/>
          <w:vertAlign w:val="baseline"/>
        </w:rPr>
        <w:t xml:space="preserve"> (Zed Books 2004)</w:t>
      </w:r>
    </w:p>
    <w:p w14:paraId="1812E0BB" w14:textId="77777777" w:rsidR="003E2C58" w:rsidRDefault="003E2C58" w:rsidP="003E2C58">
      <w:pPr>
        <w:rPr>
          <w:rFonts w:ascii="Times New Roman" w:hAnsi="Times New Roman" w:cs="Times New Roman"/>
          <w:sz w:val="24"/>
          <w:szCs w:val="24"/>
          <w:vertAlign w:val="baseline"/>
        </w:rPr>
      </w:pPr>
    </w:p>
    <w:p w14:paraId="27441ECE" w14:textId="77777777" w:rsidR="003E2C58" w:rsidRPr="004F06E3" w:rsidRDefault="003E2C58" w:rsidP="003E2C58">
      <w:pPr>
        <w:rPr>
          <w:rFonts w:ascii="Times" w:eastAsia="Times New Roman" w:hAnsi="Times" w:cs="Times New Roman"/>
          <w:vertAlign w:val="baseline"/>
        </w:rPr>
      </w:pPr>
      <w:r w:rsidRPr="00672137">
        <w:rPr>
          <w:rFonts w:ascii="Times New Roman" w:hAnsi="Times New Roman" w:cs="Times New Roman"/>
          <w:sz w:val="24"/>
          <w:szCs w:val="24"/>
          <w:vertAlign w:val="baseline"/>
        </w:rPr>
        <w:t>Aquinas</w:t>
      </w:r>
      <w:r>
        <w:rPr>
          <w:rFonts w:ascii="Times New Roman" w:hAnsi="Times New Roman" w:cs="Times New Roman"/>
          <w:sz w:val="24"/>
          <w:szCs w:val="24"/>
          <w:vertAlign w:val="baseline"/>
        </w:rPr>
        <w:t xml:space="preserve"> T</w:t>
      </w:r>
      <w:r w:rsidRPr="00672137">
        <w:rPr>
          <w:rFonts w:ascii="Times New Roman" w:hAnsi="Times New Roman" w:cs="Times New Roman"/>
          <w:sz w:val="24"/>
          <w:szCs w:val="24"/>
          <w:vertAlign w:val="baseline"/>
        </w:rPr>
        <w:t xml:space="preserve">, </w:t>
      </w:r>
      <w:r w:rsidRPr="002324F1">
        <w:rPr>
          <w:rFonts w:ascii="Times New Roman" w:hAnsi="Times New Roman" w:cs="Times New Roman"/>
          <w:i/>
          <w:sz w:val="24"/>
          <w:szCs w:val="24"/>
          <w:vertAlign w:val="baseline"/>
        </w:rPr>
        <w:t>Summa Theologica</w:t>
      </w:r>
      <w:r>
        <w:rPr>
          <w:rFonts w:ascii="Times New Roman" w:hAnsi="Times New Roman" w:cs="Times New Roman"/>
          <w:sz w:val="24"/>
          <w:szCs w:val="24"/>
          <w:vertAlign w:val="baseline"/>
        </w:rPr>
        <w:t xml:space="preserve"> (Benzinger Bros 1485) </w:t>
      </w:r>
    </w:p>
    <w:p w14:paraId="7B5E9980" w14:textId="77777777" w:rsidR="003E2C58" w:rsidRDefault="003E2C58" w:rsidP="003E2C58">
      <w:pPr>
        <w:rPr>
          <w:rFonts w:ascii="Times New Roman" w:hAnsi="Times New Roman" w:cs="Times New Roman"/>
          <w:sz w:val="24"/>
          <w:szCs w:val="24"/>
          <w:vertAlign w:val="baseline"/>
        </w:rPr>
      </w:pPr>
    </w:p>
    <w:p w14:paraId="34A70722" w14:textId="77777777" w:rsidR="00374FF1" w:rsidRPr="00672137" w:rsidRDefault="00374FF1" w:rsidP="00374FF1">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Aryal</w:t>
      </w:r>
      <w:r>
        <w:rPr>
          <w:rFonts w:ascii="Times New Roman" w:hAnsi="Times New Roman" w:cs="Times New Roman"/>
          <w:sz w:val="24"/>
          <w:szCs w:val="24"/>
          <w:vertAlign w:val="baseline"/>
        </w:rPr>
        <w:t xml:space="preserve"> M</w:t>
      </w:r>
      <w:r w:rsidRPr="00672137">
        <w:rPr>
          <w:rFonts w:ascii="Times New Roman" w:hAnsi="Times New Roman" w:cs="Times New Roman"/>
          <w:sz w:val="24"/>
          <w:szCs w:val="24"/>
          <w:vertAlign w:val="baseline"/>
        </w:rPr>
        <w:t>, ‘Nepal: Witch Tag Only on Dalits, Minorities’ (Inter Press Service 23 December 2003) &lt;</w:t>
      </w:r>
      <w:hyperlink r:id="rId21" w:history="1">
        <w:r w:rsidRPr="00A55C00">
          <w:rPr>
            <w:rStyle w:val="Hyperlink"/>
            <w:rFonts w:ascii="Times New Roman" w:hAnsi="Times New Roman" w:cs="Times New Roman"/>
            <w:sz w:val="24"/>
            <w:szCs w:val="24"/>
            <w:vertAlign w:val="baseline"/>
          </w:rPr>
          <w:t>http://www.ipsnews.net/2009/12/nepal-witch-tag-only-on-dalits-minorities/&gt; a</w:t>
        </w:r>
      </w:hyperlink>
      <w:r w:rsidRPr="00672137">
        <w:rPr>
          <w:rFonts w:ascii="Times New Roman" w:hAnsi="Times New Roman" w:cs="Times New Roman"/>
          <w:sz w:val="24"/>
          <w:szCs w:val="24"/>
          <w:vertAlign w:val="baseline"/>
        </w:rPr>
        <w:t>ccessed 6 February 2015</w:t>
      </w:r>
    </w:p>
    <w:p w14:paraId="6667BC13" w14:textId="77777777" w:rsidR="00374FF1" w:rsidRDefault="00374FF1" w:rsidP="003E2C58">
      <w:pPr>
        <w:rPr>
          <w:rFonts w:ascii="Times New Roman" w:hAnsi="Times New Roman" w:cs="Times New Roman"/>
          <w:sz w:val="24"/>
          <w:szCs w:val="24"/>
          <w:vertAlign w:val="baseline"/>
        </w:rPr>
      </w:pPr>
    </w:p>
    <w:p w14:paraId="38F9D450" w14:textId="77777777" w:rsidR="005F407E" w:rsidRDefault="005F407E" w:rsidP="005F407E">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ASMITA Women’s Publishing House, Media and Resource Organisation, ‘ASMITA 2008 and beyond’ (ASMITA, October 2014) &lt;</w:t>
      </w:r>
      <w:hyperlink r:id="rId22" w:history="1">
        <w:r w:rsidRPr="00092C72">
          <w:rPr>
            <w:rStyle w:val="Hyperlink"/>
            <w:rFonts w:ascii="Times New Roman" w:hAnsi="Times New Roman" w:cs="Times New Roman"/>
            <w:sz w:val="24"/>
            <w:szCs w:val="24"/>
            <w:vertAlign w:val="baseline"/>
          </w:rPr>
          <w:t>http://www.asmita.org.np/&gt;</w:t>
        </w:r>
      </w:hyperlink>
      <w:r w:rsidRPr="00672137">
        <w:rPr>
          <w:rFonts w:ascii="Times New Roman" w:hAnsi="Times New Roman" w:cs="Times New Roman"/>
          <w:sz w:val="24"/>
          <w:szCs w:val="24"/>
          <w:vertAlign w:val="baseline"/>
        </w:rPr>
        <w:t xml:space="preserve"> accessed 8 September 2015</w:t>
      </w:r>
    </w:p>
    <w:p w14:paraId="50DC92D5" w14:textId="77777777" w:rsidR="005F407E" w:rsidRDefault="005F407E" w:rsidP="003E2C58">
      <w:pPr>
        <w:rPr>
          <w:rFonts w:ascii="Times New Roman" w:hAnsi="Times New Roman" w:cs="Times New Roman"/>
          <w:sz w:val="24"/>
          <w:szCs w:val="24"/>
          <w:vertAlign w:val="baseline"/>
        </w:rPr>
      </w:pPr>
    </w:p>
    <w:p w14:paraId="7733CD71"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Atiemo</w:t>
      </w:r>
      <w:r>
        <w:rPr>
          <w:rFonts w:ascii="Times New Roman" w:hAnsi="Times New Roman" w:cs="Times New Roman"/>
          <w:sz w:val="24"/>
          <w:szCs w:val="24"/>
          <w:vertAlign w:val="baseline"/>
        </w:rPr>
        <w:t xml:space="preserve"> AO</w:t>
      </w:r>
      <w:r w:rsidRPr="00672137">
        <w:rPr>
          <w:rFonts w:ascii="Times New Roman" w:hAnsi="Times New Roman" w:cs="Times New Roman"/>
          <w:sz w:val="24"/>
          <w:szCs w:val="24"/>
          <w:vertAlign w:val="baseline"/>
        </w:rPr>
        <w:t>, ‘International Human Rights, Religious Pluralism and the Future of Chieftaincy in Ghana’ (2006) 35(4) Exchange 361</w:t>
      </w:r>
    </w:p>
    <w:p w14:paraId="195D5154" w14:textId="77777777" w:rsidR="003E2C58" w:rsidRDefault="003E2C58" w:rsidP="003E2C58">
      <w:pPr>
        <w:rPr>
          <w:rFonts w:ascii="Times New Roman" w:hAnsi="Times New Roman" w:cs="Times New Roman"/>
          <w:sz w:val="24"/>
          <w:szCs w:val="24"/>
          <w:vertAlign w:val="baseline"/>
        </w:rPr>
      </w:pPr>
    </w:p>
    <w:p w14:paraId="2C05BEEF"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Atiemo</w:t>
      </w:r>
      <w:r>
        <w:rPr>
          <w:rFonts w:ascii="Times New Roman" w:hAnsi="Times New Roman" w:cs="Times New Roman"/>
          <w:sz w:val="24"/>
          <w:szCs w:val="24"/>
          <w:vertAlign w:val="baseline"/>
        </w:rPr>
        <w:t xml:space="preserve"> AO</w:t>
      </w:r>
      <w:r w:rsidRPr="00672137">
        <w:rPr>
          <w:rFonts w:ascii="Times New Roman" w:hAnsi="Times New Roman" w:cs="Times New Roman"/>
          <w:sz w:val="24"/>
          <w:szCs w:val="24"/>
          <w:vertAlign w:val="baseline"/>
        </w:rPr>
        <w:t xml:space="preserve">, </w:t>
      </w:r>
      <w:r w:rsidRPr="006858D0">
        <w:rPr>
          <w:rFonts w:ascii="Times New Roman" w:hAnsi="Times New Roman" w:cs="Times New Roman"/>
          <w:i/>
          <w:sz w:val="24"/>
          <w:szCs w:val="24"/>
          <w:vertAlign w:val="baseline"/>
        </w:rPr>
        <w:t>Religion and the Inculturation of Human Rights in Ghana</w:t>
      </w:r>
      <w:r>
        <w:rPr>
          <w:rFonts w:ascii="Times New Roman" w:hAnsi="Times New Roman" w:cs="Times New Roman"/>
          <w:sz w:val="24"/>
          <w:szCs w:val="24"/>
          <w:vertAlign w:val="baseline"/>
        </w:rPr>
        <w:t xml:space="preserve"> (A&amp;C Black, 2013)</w:t>
      </w:r>
    </w:p>
    <w:p w14:paraId="737AB23C" w14:textId="77777777" w:rsidR="003E2C58" w:rsidRDefault="003E2C58" w:rsidP="003E2C58">
      <w:pPr>
        <w:rPr>
          <w:rFonts w:ascii="Times New Roman" w:hAnsi="Times New Roman" w:cs="Times New Roman"/>
          <w:sz w:val="24"/>
          <w:szCs w:val="24"/>
          <w:vertAlign w:val="baseline"/>
        </w:rPr>
      </w:pPr>
    </w:p>
    <w:p w14:paraId="451498B7" w14:textId="47329A36"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Auka</w:t>
      </w:r>
      <w:r>
        <w:rPr>
          <w:rFonts w:ascii="Times New Roman" w:hAnsi="Times New Roman" w:cs="Times New Roman"/>
          <w:sz w:val="24"/>
          <w:szCs w:val="24"/>
          <w:vertAlign w:val="baseline"/>
        </w:rPr>
        <w:t xml:space="preserve"> R, </w:t>
      </w:r>
      <w:r w:rsidRPr="00672137">
        <w:rPr>
          <w:rFonts w:ascii="Times New Roman" w:hAnsi="Times New Roman" w:cs="Times New Roman"/>
          <w:sz w:val="24"/>
          <w:szCs w:val="24"/>
          <w:vertAlign w:val="baseline"/>
        </w:rPr>
        <w:t>Gore</w:t>
      </w:r>
      <w:r>
        <w:rPr>
          <w:rFonts w:ascii="Times New Roman" w:hAnsi="Times New Roman" w:cs="Times New Roman"/>
          <w:sz w:val="24"/>
          <w:szCs w:val="24"/>
          <w:vertAlign w:val="baseline"/>
        </w:rPr>
        <w:t xml:space="preserve"> B and </w:t>
      </w:r>
      <w:r w:rsidRPr="00672137">
        <w:rPr>
          <w:rFonts w:ascii="Times New Roman" w:hAnsi="Times New Roman" w:cs="Times New Roman"/>
          <w:sz w:val="24"/>
          <w:szCs w:val="24"/>
          <w:vertAlign w:val="baseline"/>
        </w:rPr>
        <w:t>Koralyo</w:t>
      </w:r>
      <w:r>
        <w:rPr>
          <w:rFonts w:ascii="Times New Roman" w:hAnsi="Times New Roman" w:cs="Times New Roman"/>
          <w:sz w:val="24"/>
          <w:szCs w:val="24"/>
          <w:vertAlign w:val="baseline"/>
        </w:rPr>
        <w:t xml:space="preserve"> PR</w:t>
      </w:r>
      <w:r w:rsidRPr="00672137">
        <w:rPr>
          <w:rFonts w:ascii="Times New Roman" w:hAnsi="Times New Roman" w:cs="Times New Roman"/>
          <w:sz w:val="24"/>
          <w:szCs w:val="24"/>
          <w:vertAlign w:val="baseline"/>
        </w:rPr>
        <w:t xml:space="preserve">, ‘Sorcery and Witchcraft-Related Killings in Papua New Guinea: The Criminal Justice System </w:t>
      </w:r>
      <w:r w:rsidR="00655C14" w:rsidRPr="00672137">
        <w:rPr>
          <w:rFonts w:ascii="Times New Roman" w:hAnsi="Times New Roman" w:cs="Times New Roman"/>
          <w:sz w:val="24"/>
          <w:szCs w:val="24"/>
          <w:vertAlign w:val="baseline"/>
        </w:rPr>
        <w:t>Response</w:t>
      </w:r>
      <w:r w:rsidRPr="00672137">
        <w:rPr>
          <w:rFonts w:ascii="Times New Roman" w:hAnsi="Times New Roman" w:cs="Times New Roman"/>
          <w:sz w:val="24"/>
          <w:szCs w:val="24"/>
          <w:vertAlign w:val="baseline"/>
        </w:rPr>
        <w:t>’ in Forsyth</w:t>
      </w:r>
      <w:r>
        <w:rPr>
          <w:rFonts w:ascii="Times New Roman" w:hAnsi="Times New Roman" w:cs="Times New Roman"/>
          <w:sz w:val="24"/>
          <w:szCs w:val="24"/>
          <w:vertAlign w:val="baseline"/>
        </w:rPr>
        <w:t xml:space="preserve"> M</w:t>
      </w:r>
      <w:r w:rsidRPr="00672137">
        <w:rPr>
          <w:rFonts w:ascii="Times New Roman" w:hAnsi="Times New Roman" w:cs="Times New Roman"/>
          <w:sz w:val="24"/>
          <w:szCs w:val="24"/>
          <w:vertAlign w:val="baseline"/>
        </w:rPr>
        <w:t xml:space="preserve"> and Eves </w:t>
      </w:r>
      <w:r>
        <w:rPr>
          <w:rFonts w:ascii="Times New Roman" w:hAnsi="Times New Roman" w:cs="Times New Roman"/>
          <w:sz w:val="24"/>
          <w:szCs w:val="24"/>
          <w:vertAlign w:val="baseline"/>
        </w:rPr>
        <w:t xml:space="preserve">R </w:t>
      </w:r>
      <w:r w:rsidRPr="00672137">
        <w:rPr>
          <w:rFonts w:ascii="Times New Roman" w:hAnsi="Times New Roman" w:cs="Times New Roman"/>
          <w:sz w:val="24"/>
          <w:szCs w:val="24"/>
          <w:vertAlign w:val="baseline"/>
        </w:rPr>
        <w:t xml:space="preserve">(eds) </w:t>
      </w:r>
      <w:r w:rsidRPr="006A39AD">
        <w:rPr>
          <w:rFonts w:ascii="Times New Roman" w:hAnsi="Times New Roman" w:cs="Times New Roman"/>
          <w:i/>
          <w:sz w:val="24"/>
          <w:szCs w:val="24"/>
          <w:vertAlign w:val="baseline"/>
        </w:rPr>
        <w:t>Talking it Through: Responses to Sorcery and Witchcraft Beliefs and Practices in Melanesia</w:t>
      </w:r>
      <w:r w:rsidRPr="00672137">
        <w:rPr>
          <w:rFonts w:ascii="Times New Roman" w:hAnsi="Times New Roman" w:cs="Times New Roman"/>
          <w:sz w:val="24"/>
          <w:szCs w:val="24"/>
          <w:vertAlign w:val="baseline"/>
        </w:rPr>
        <w:t xml:space="preserve"> (Australian Nat</w:t>
      </w:r>
      <w:r>
        <w:rPr>
          <w:rFonts w:ascii="Times New Roman" w:hAnsi="Times New Roman" w:cs="Times New Roman"/>
          <w:sz w:val="24"/>
          <w:szCs w:val="24"/>
          <w:vertAlign w:val="baseline"/>
        </w:rPr>
        <w:t>ional UP 2015)</w:t>
      </w:r>
    </w:p>
    <w:p w14:paraId="42337421" w14:textId="77777777" w:rsidR="003E2C58" w:rsidRDefault="003E2C58" w:rsidP="003E2C58">
      <w:pPr>
        <w:rPr>
          <w:rFonts w:ascii="Times New Roman" w:hAnsi="Times New Roman" w:cs="Times New Roman"/>
          <w:sz w:val="24"/>
          <w:szCs w:val="24"/>
          <w:vertAlign w:val="baseline"/>
        </w:rPr>
      </w:pPr>
    </w:p>
    <w:p w14:paraId="4AFAF30D"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Australian Government Department of Foreign Affairs and Trade, ‘Papua New Guinea Country Brief’ &lt;</w:t>
      </w:r>
      <w:hyperlink r:id="rId23" w:history="1">
        <w:r w:rsidRPr="008E6EA9">
          <w:rPr>
            <w:rStyle w:val="Hyperlink"/>
            <w:rFonts w:ascii="Times New Roman" w:hAnsi="Times New Roman" w:cs="Times New Roman"/>
            <w:sz w:val="24"/>
            <w:szCs w:val="24"/>
            <w:vertAlign w:val="baseline"/>
          </w:rPr>
          <w:t>http://dfat.gov.au/geo/papua-new-guinea/pages/papua-new-guinea-country-brief.aspx&gt; a</w:t>
        </w:r>
      </w:hyperlink>
      <w:r w:rsidRPr="00672137">
        <w:rPr>
          <w:rFonts w:ascii="Times New Roman" w:hAnsi="Times New Roman" w:cs="Times New Roman"/>
          <w:sz w:val="24"/>
          <w:szCs w:val="24"/>
          <w:vertAlign w:val="baseline"/>
        </w:rPr>
        <w:t>ccessed 26 August 2015</w:t>
      </w:r>
    </w:p>
    <w:p w14:paraId="184B0421" w14:textId="77777777" w:rsidR="003E2C58" w:rsidRDefault="003E2C58" w:rsidP="003E2C58">
      <w:pPr>
        <w:rPr>
          <w:rFonts w:ascii="Times New Roman" w:hAnsi="Times New Roman" w:cs="Times New Roman"/>
          <w:sz w:val="24"/>
          <w:szCs w:val="24"/>
          <w:vertAlign w:val="baseline"/>
        </w:rPr>
      </w:pPr>
    </w:p>
    <w:p w14:paraId="10EA27A1"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Ayoub</w:t>
      </w:r>
      <w:r>
        <w:rPr>
          <w:rFonts w:ascii="Times New Roman" w:hAnsi="Times New Roman" w:cs="Times New Roman"/>
          <w:sz w:val="24"/>
          <w:szCs w:val="24"/>
          <w:vertAlign w:val="baseline"/>
        </w:rPr>
        <w:t xml:space="preserve"> MM</w:t>
      </w:r>
      <w:r w:rsidRPr="00672137">
        <w:rPr>
          <w:rFonts w:ascii="Times New Roman" w:hAnsi="Times New Roman" w:cs="Times New Roman"/>
          <w:sz w:val="24"/>
          <w:szCs w:val="24"/>
          <w:vertAlign w:val="baseline"/>
        </w:rPr>
        <w:t xml:space="preserve">, </w:t>
      </w:r>
      <w:r>
        <w:rPr>
          <w:rFonts w:ascii="Times New Roman" w:hAnsi="Times New Roman" w:cs="Times New Roman"/>
          <w:i/>
          <w:sz w:val="24"/>
          <w:szCs w:val="24"/>
          <w:vertAlign w:val="baseline"/>
        </w:rPr>
        <w:t>The Qur’an and its I</w:t>
      </w:r>
      <w:r w:rsidRPr="004E7A36">
        <w:rPr>
          <w:rFonts w:ascii="Times New Roman" w:hAnsi="Times New Roman" w:cs="Times New Roman"/>
          <w:i/>
          <w:sz w:val="24"/>
          <w:szCs w:val="24"/>
          <w:vertAlign w:val="baseline"/>
        </w:rPr>
        <w:t>nterpreters</w:t>
      </w:r>
      <w:r w:rsidRPr="00672137">
        <w:rPr>
          <w:rFonts w:ascii="Times New Roman" w:hAnsi="Times New Roman" w:cs="Times New Roman"/>
          <w:sz w:val="24"/>
          <w:szCs w:val="24"/>
          <w:vertAlign w:val="baseline"/>
        </w:rPr>
        <w:t xml:space="preserve"> (</w:t>
      </w:r>
      <w:r>
        <w:rPr>
          <w:rFonts w:ascii="Times New Roman" w:hAnsi="Times New Roman" w:cs="Times New Roman"/>
          <w:sz w:val="24"/>
          <w:szCs w:val="24"/>
          <w:vertAlign w:val="baseline"/>
        </w:rPr>
        <w:t xml:space="preserve">Vol 1, </w:t>
      </w:r>
      <w:r w:rsidRPr="00672137">
        <w:rPr>
          <w:rFonts w:ascii="Times New Roman" w:hAnsi="Times New Roman" w:cs="Times New Roman"/>
          <w:sz w:val="24"/>
          <w:szCs w:val="24"/>
          <w:vertAlign w:val="baseline"/>
        </w:rPr>
        <w:t>New York 1984)</w:t>
      </w:r>
    </w:p>
    <w:p w14:paraId="01FF0377" w14:textId="77777777" w:rsidR="003E2C58" w:rsidRDefault="003E2C58" w:rsidP="003E2C58">
      <w:pPr>
        <w:rPr>
          <w:rFonts w:ascii="Times New Roman" w:hAnsi="Times New Roman" w:cs="Times New Roman"/>
          <w:sz w:val="24"/>
          <w:szCs w:val="24"/>
          <w:vertAlign w:val="baseline"/>
        </w:rPr>
      </w:pPr>
    </w:p>
    <w:p w14:paraId="2F3493A5"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Bacon</w:t>
      </w:r>
      <w:r>
        <w:rPr>
          <w:rFonts w:ascii="Times New Roman" w:hAnsi="Times New Roman" w:cs="Times New Roman"/>
          <w:sz w:val="24"/>
          <w:szCs w:val="24"/>
          <w:vertAlign w:val="baseline"/>
        </w:rPr>
        <w:t xml:space="preserve"> F</w:t>
      </w:r>
      <w:r w:rsidRPr="00672137">
        <w:rPr>
          <w:rFonts w:ascii="Times New Roman" w:hAnsi="Times New Roman" w:cs="Times New Roman"/>
          <w:sz w:val="24"/>
          <w:szCs w:val="24"/>
          <w:vertAlign w:val="baseline"/>
        </w:rPr>
        <w:t xml:space="preserve">, </w:t>
      </w:r>
      <w:r w:rsidRPr="006C691B">
        <w:rPr>
          <w:rFonts w:ascii="Times New Roman" w:hAnsi="Times New Roman" w:cs="Times New Roman"/>
          <w:i/>
          <w:sz w:val="24"/>
          <w:szCs w:val="24"/>
          <w:vertAlign w:val="baseline"/>
        </w:rPr>
        <w:t>Religious meditations of heresies</w:t>
      </w:r>
      <w:r>
        <w:rPr>
          <w:rFonts w:ascii="Times New Roman" w:hAnsi="Times New Roman" w:cs="Times New Roman"/>
          <w:sz w:val="24"/>
          <w:szCs w:val="24"/>
          <w:vertAlign w:val="baseline"/>
        </w:rPr>
        <w:t xml:space="preserve"> (London 1597)</w:t>
      </w:r>
    </w:p>
    <w:p w14:paraId="0F10E941" w14:textId="77777777" w:rsidR="003E2C58" w:rsidRDefault="003E2C58" w:rsidP="003E2C58">
      <w:pPr>
        <w:rPr>
          <w:rFonts w:ascii="Times New Roman" w:hAnsi="Times New Roman" w:cs="Times New Roman"/>
          <w:sz w:val="24"/>
          <w:szCs w:val="24"/>
          <w:vertAlign w:val="baseline"/>
        </w:rPr>
      </w:pPr>
    </w:p>
    <w:p w14:paraId="16D11199"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Badran</w:t>
      </w:r>
      <w:r>
        <w:rPr>
          <w:rFonts w:ascii="Times New Roman" w:hAnsi="Times New Roman" w:cs="Times New Roman"/>
          <w:sz w:val="24"/>
          <w:szCs w:val="24"/>
          <w:vertAlign w:val="baseline"/>
        </w:rPr>
        <w:t xml:space="preserve"> M</w:t>
      </w:r>
      <w:r w:rsidRPr="00672137">
        <w:rPr>
          <w:rFonts w:ascii="Times New Roman" w:hAnsi="Times New Roman" w:cs="Times New Roman"/>
          <w:sz w:val="24"/>
          <w:szCs w:val="24"/>
          <w:vertAlign w:val="baseline"/>
        </w:rPr>
        <w:t>, ‘Islamic feminism: What's in a name?’ (2002) 569 Al-Ahram Weekly Online 1</w:t>
      </w:r>
    </w:p>
    <w:p w14:paraId="6D9CC9C9" w14:textId="77777777" w:rsidR="003E2C58" w:rsidRDefault="003E2C58" w:rsidP="003E2C58">
      <w:pPr>
        <w:rPr>
          <w:rFonts w:ascii="Times New Roman" w:hAnsi="Times New Roman" w:cs="Times New Roman"/>
          <w:sz w:val="24"/>
          <w:szCs w:val="24"/>
          <w:vertAlign w:val="baseline"/>
        </w:rPr>
      </w:pPr>
    </w:p>
    <w:p w14:paraId="75DBFD47" w14:textId="77777777" w:rsidR="00713A46" w:rsidRPr="00672137" w:rsidRDefault="00713A46" w:rsidP="00713A46">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Baleke</w:t>
      </w:r>
      <w:r>
        <w:rPr>
          <w:rFonts w:ascii="Times New Roman" w:hAnsi="Times New Roman" w:cs="Times New Roman"/>
          <w:sz w:val="24"/>
          <w:szCs w:val="24"/>
          <w:vertAlign w:val="baseline"/>
        </w:rPr>
        <w:t xml:space="preserve"> TS</w:t>
      </w:r>
      <w:r w:rsidRPr="00672137">
        <w:rPr>
          <w:rFonts w:ascii="Times New Roman" w:hAnsi="Times New Roman" w:cs="Times New Roman"/>
          <w:sz w:val="24"/>
          <w:szCs w:val="24"/>
          <w:vertAlign w:val="baseline"/>
        </w:rPr>
        <w:t>, ‘Uganda: Busoga Witch-D</w:t>
      </w:r>
      <w:r>
        <w:rPr>
          <w:rFonts w:ascii="Times New Roman" w:hAnsi="Times New Roman" w:cs="Times New Roman"/>
          <w:sz w:val="24"/>
          <w:szCs w:val="24"/>
          <w:vertAlign w:val="baseline"/>
        </w:rPr>
        <w:t xml:space="preserve">octor Knows Origin of Jiggers’ </w:t>
      </w:r>
      <w:r w:rsidRPr="00026E04">
        <w:rPr>
          <w:rFonts w:ascii="Times New Roman" w:hAnsi="Times New Roman" w:cs="Times New Roman"/>
          <w:i/>
          <w:sz w:val="24"/>
          <w:szCs w:val="24"/>
          <w:vertAlign w:val="baseline"/>
        </w:rPr>
        <w:t>The Kampala Observer (</w:t>
      </w:r>
      <w:r>
        <w:rPr>
          <w:rFonts w:ascii="Times New Roman" w:hAnsi="Times New Roman" w:cs="Times New Roman"/>
          <w:sz w:val="24"/>
          <w:szCs w:val="24"/>
          <w:vertAlign w:val="baseline"/>
        </w:rPr>
        <w:t xml:space="preserve">Kampala, </w:t>
      </w:r>
      <w:r w:rsidRPr="00672137">
        <w:rPr>
          <w:rFonts w:ascii="Times New Roman" w:hAnsi="Times New Roman" w:cs="Times New Roman"/>
          <w:sz w:val="24"/>
          <w:szCs w:val="24"/>
          <w:vertAlign w:val="baseline"/>
        </w:rPr>
        <w:t>7 July 2013) &lt;</w:t>
      </w:r>
      <w:hyperlink r:id="rId24" w:history="1">
        <w:r w:rsidRPr="00026E04">
          <w:rPr>
            <w:rStyle w:val="Hyperlink"/>
            <w:rFonts w:ascii="Times New Roman" w:hAnsi="Times New Roman" w:cs="Times New Roman"/>
            <w:sz w:val="24"/>
            <w:szCs w:val="24"/>
            <w:vertAlign w:val="baseline"/>
          </w:rPr>
          <w:t>http://allafrica.com/stories/201307080071.html&gt;</w:t>
        </w:r>
      </w:hyperlink>
      <w:r w:rsidRPr="00672137">
        <w:rPr>
          <w:rFonts w:ascii="Times New Roman" w:hAnsi="Times New Roman" w:cs="Times New Roman"/>
          <w:sz w:val="24"/>
          <w:szCs w:val="24"/>
          <w:vertAlign w:val="baseline"/>
        </w:rPr>
        <w:t xml:space="preserve"> accessed 16 September 2014.</w:t>
      </w:r>
    </w:p>
    <w:p w14:paraId="30180027" w14:textId="77777777" w:rsidR="008A7759" w:rsidRDefault="008A7759" w:rsidP="003E2C58">
      <w:pPr>
        <w:rPr>
          <w:rFonts w:ascii="Times New Roman" w:hAnsi="Times New Roman" w:cs="Times New Roman"/>
          <w:sz w:val="24"/>
          <w:szCs w:val="24"/>
          <w:vertAlign w:val="baseline"/>
        </w:rPr>
      </w:pPr>
    </w:p>
    <w:p w14:paraId="32F60E7E"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Barstow</w:t>
      </w:r>
      <w:r>
        <w:rPr>
          <w:rFonts w:ascii="Times New Roman" w:hAnsi="Times New Roman" w:cs="Times New Roman"/>
          <w:sz w:val="24"/>
          <w:szCs w:val="24"/>
          <w:vertAlign w:val="baseline"/>
        </w:rPr>
        <w:t xml:space="preserve"> AL</w:t>
      </w:r>
      <w:r w:rsidRPr="00672137">
        <w:rPr>
          <w:rFonts w:ascii="Times New Roman" w:hAnsi="Times New Roman" w:cs="Times New Roman"/>
          <w:sz w:val="24"/>
          <w:szCs w:val="24"/>
          <w:vertAlign w:val="baseline"/>
        </w:rPr>
        <w:t xml:space="preserve">, </w:t>
      </w:r>
      <w:r w:rsidRPr="00D0597E">
        <w:rPr>
          <w:rFonts w:ascii="Times New Roman" w:hAnsi="Times New Roman" w:cs="Times New Roman"/>
          <w:i/>
          <w:sz w:val="24"/>
          <w:szCs w:val="24"/>
          <w:vertAlign w:val="baseline"/>
        </w:rPr>
        <w:t>Witchcraze: A New History of the European Witch Hunts</w:t>
      </w:r>
      <w:r>
        <w:rPr>
          <w:rFonts w:ascii="Times New Roman" w:hAnsi="Times New Roman" w:cs="Times New Roman"/>
          <w:sz w:val="24"/>
          <w:szCs w:val="24"/>
          <w:vertAlign w:val="baseline"/>
        </w:rPr>
        <w:t xml:space="preserve"> (HarperCollins 1995)</w:t>
      </w:r>
    </w:p>
    <w:p w14:paraId="2496D5F6" w14:textId="77777777" w:rsidR="003E2C58" w:rsidRDefault="003E2C58" w:rsidP="003E2C58">
      <w:pPr>
        <w:rPr>
          <w:rFonts w:ascii="Times New Roman" w:hAnsi="Times New Roman" w:cs="Times New Roman"/>
          <w:sz w:val="24"/>
          <w:szCs w:val="24"/>
          <w:vertAlign w:val="baseline"/>
        </w:rPr>
      </w:pPr>
    </w:p>
    <w:p w14:paraId="499AFE35"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Bayefsky</w:t>
      </w:r>
      <w:r>
        <w:rPr>
          <w:rFonts w:ascii="Times New Roman" w:hAnsi="Times New Roman" w:cs="Times New Roman"/>
          <w:sz w:val="24"/>
          <w:szCs w:val="24"/>
          <w:vertAlign w:val="baseline"/>
        </w:rPr>
        <w:t xml:space="preserve"> AF, ‘</w:t>
      </w:r>
      <w:r w:rsidRPr="00672137">
        <w:rPr>
          <w:rFonts w:ascii="Times New Roman" w:hAnsi="Times New Roman" w:cs="Times New Roman"/>
          <w:sz w:val="24"/>
          <w:szCs w:val="24"/>
          <w:vertAlign w:val="baseline"/>
        </w:rPr>
        <w:t>General Approaches to Domestic Application of International Law’ in Cook</w:t>
      </w:r>
      <w:r>
        <w:rPr>
          <w:rFonts w:ascii="Times New Roman" w:hAnsi="Times New Roman" w:cs="Times New Roman"/>
          <w:sz w:val="24"/>
          <w:szCs w:val="24"/>
          <w:vertAlign w:val="baseline"/>
        </w:rPr>
        <w:t xml:space="preserve"> RJ</w:t>
      </w:r>
      <w:r w:rsidRPr="00672137">
        <w:rPr>
          <w:rFonts w:ascii="Times New Roman" w:hAnsi="Times New Roman" w:cs="Times New Roman"/>
          <w:sz w:val="24"/>
          <w:szCs w:val="24"/>
          <w:vertAlign w:val="baseline"/>
        </w:rPr>
        <w:t xml:space="preserve"> (ed) </w:t>
      </w:r>
      <w:r w:rsidRPr="007979B7">
        <w:rPr>
          <w:rFonts w:ascii="Times New Roman" w:hAnsi="Times New Roman" w:cs="Times New Roman"/>
          <w:i/>
          <w:sz w:val="24"/>
          <w:szCs w:val="24"/>
          <w:vertAlign w:val="baseline"/>
        </w:rPr>
        <w:t>Human Rights of Women: National and International Perspectives</w:t>
      </w:r>
      <w:r>
        <w:rPr>
          <w:rFonts w:ascii="Times New Roman" w:hAnsi="Times New Roman" w:cs="Times New Roman"/>
          <w:sz w:val="24"/>
          <w:szCs w:val="24"/>
          <w:vertAlign w:val="baseline"/>
        </w:rPr>
        <w:t xml:space="preserve"> (Pennsylvania UP 1994)</w:t>
      </w:r>
    </w:p>
    <w:p w14:paraId="5A1707CD" w14:textId="77777777" w:rsidR="003E2C58" w:rsidRDefault="003E2C58" w:rsidP="003E2C58">
      <w:pPr>
        <w:rPr>
          <w:rFonts w:ascii="Times New Roman" w:hAnsi="Times New Roman" w:cs="Times New Roman"/>
          <w:sz w:val="24"/>
          <w:szCs w:val="24"/>
          <w:vertAlign w:val="baseline"/>
        </w:rPr>
      </w:pPr>
    </w:p>
    <w:p w14:paraId="218A63C6" w14:textId="22EC1359" w:rsidR="005E2C5E" w:rsidRDefault="005E2C5E" w:rsidP="005E2C5E">
      <w:pPr>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BBC, </w:t>
      </w:r>
      <w:r w:rsidRPr="00672137">
        <w:rPr>
          <w:rFonts w:ascii="Times New Roman" w:hAnsi="Times New Roman" w:cs="Times New Roman"/>
          <w:sz w:val="24"/>
          <w:szCs w:val="24"/>
          <w:vertAlign w:val="baseline"/>
        </w:rPr>
        <w:t>‘Hinduism’ (BBC Religion 2009) &lt;</w:t>
      </w:r>
      <w:hyperlink r:id="rId25" w:history="1">
        <w:r w:rsidRPr="001E6820">
          <w:rPr>
            <w:rStyle w:val="Hyperlink"/>
            <w:rFonts w:ascii="Times New Roman" w:hAnsi="Times New Roman" w:cs="Times New Roman"/>
            <w:sz w:val="24"/>
            <w:szCs w:val="24"/>
            <w:vertAlign w:val="baseline"/>
          </w:rPr>
          <w:t>http://www.bbc.co.uk/religion/religions/hinduism/ataglance/glance.shtml&gt; a</w:t>
        </w:r>
      </w:hyperlink>
      <w:r w:rsidRPr="00672137">
        <w:rPr>
          <w:rFonts w:ascii="Times New Roman" w:hAnsi="Times New Roman" w:cs="Times New Roman"/>
          <w:sz w:val="24"/>
          <w:szCs w:val="24"/>
          <w:vertAlign w:val="baseline"/>
        </w:rPr>
        <w:t>ccessed 17 Ju</w:t>
      </w:r>
      <w:r>
        <w:rPr>
          <w:rFonts w:ascii="Times New Roman" w:hAnsi="Times New Roman" w:cs="Times New Roman"/>
          <w:sz w:val="24"/>
          <w:szCs w:val="24"/>
          <w:vertAlign w:val="baseline"/>
        </w:rPr>
        <w:t>ly 2014</w:t>
      </w:r>
    </w:p>
    <w:p w14:paraId="2E30CF38" w14:textId="77777777" w:rsidR="005E2C5E" w:rsidRDefault="005E2C5E" w:rsidP="00713A46">
      <w:pPr>
        <w:rPr>
          <w:rFonts w:ascii="Times New Roman" w:hAnsi="Times New Roman" w:cs="Times New Roman"/>
          <w:sz w:val="24"/>
          <w:szCs w:val="24"/>
          <w:vertAlign w:val="baseline"/>
        </w:rPr>
      </w:pPr>
    </w:p>
    <w:p w14:paraId="26F63C77" w14:textId="77777777" w:rsidR="00713A46" w:rsidRDefault="00713A46" w:rsidP="00713A46">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‘Belief in Witchcraft and the Effect</w:t>
      </w:r>
      <w:r>
        <w:rPr>
          <w:rFonts w:ascii="Times New Roman" w:hAnsi="Times New Roman" w:cs="Times New Roman"/>
          <w:sz w:val="24"/>
          <w:szCs w:val="24"/>
          <w:vertAlign w:val="baseline"/>
        </w:rPr>
        <w:t xml:space="preserve">s on Human Rights’ </w:t>
      </w:r>
      <w:r w:rsidRPr="00AE2E25">
        <w:rPr>
          <w:rFonts w:ascii="Times New Roman" w:hAnsi="Times New Roman" w:cs="Times New Roman"/>
          <w:i/>
          <w:sz w:val="24"/>
          <w:szCs w:val="24"/>
          <w:vertAlign w:val="baseline"/>
        </w:rPr>
        <w:t>Modern Ghana</w:t>
      </w:r>
      <w:r>
        <w:rPr>
          <w:rFonts w:ascii="Times New Roman" w:hAnsi="Times New Roman" w:cs="Times New Roman"/>
          <w:sz w:val="24"/>
          <w:szCs w:val="24"/>
          <w:vertAlign w:val="baseline"/>
        </w:rPr>
        <w:t xml:space="preserve"> (Ghana,</w:t>
      </w:r>
      <w:r w:rsidRPr="00672137">
        <w:rPr>
          <w:rFonts w:ascii="Times New Roman" w:hAnsi="Times New Roman" w:cs="Times New Roman"/>
          <w:sz w:val="24"/>
          <w:szCs w:val="24"/>
          <w:vertAlign w:val="baseline"/>
        </w:rPr>
        <w:t xml:space="preserve"> 2 December 2010) &lt;</w:t>
      </w:r>
      <w:hyperlink r:id="rId26" w:history="1">
        <w:r w:rsidRPr="00AE2E25">
          <w:rPr>
            <w:rStyle w:val="Hyperlink"/>
            <w:rFonts w:ascii="Times New Roman" w:hAnsi="Times New Roman" w:cs="Times New Roman"/>
            <w:sz w:val="24"/>
            <w:szCs w:val="24"/>
            <w:vertAlign w:val="baseline"/>
          </w:rPr>
          <w:t>http://www.modernghana.com/lifestyle/1744/16/belief-in-witchcraft-and-the-effects-on-human-righ.html&gt;</w:t>
        </w:r>
      </w:hyperlink>
      <w:r w:rsidRPr="00672137">
        <w:rPr>
          <w:rFonts w:ascii="Times New Roman" w:hAnsi="Times New Roman" w:cs="Times New Roman"/>
          <w:sz w:val="24"/>
          <w:szCs w:val="24"/>
          <w:vertAlign w:val="baseline"/>
        </w:rPr>
        <w:t xml:space="preserve"> accessed 23 September 2015</w:t>
      </w:r>
    </w:p>
    <w:p w14:paraId="4F7A5E26" w14:textId="77777777" w:rsidR="00713A46" w:rsidRDefault="00713A46" w:rsidP="00713A46">
      <w:pPr>
        <w:rPr>
          <w:rFonts w:ascii="Times New Roman" w:hAnsi="Times New Roman" w:cs="Times New Roman"/>
          <w:sz w:val="24"/>
          <w:szCs w:val="24"/>
          <w:vertAlign w:val="baseline"/>
        </w:rPr>
      </w:pPr>
    </w:p>
    <w:p w14:paraId="247AA522" w14:textId="77777777" w:rsidR="00713A46" w:rsidRPr="00672137" w:rsidRDefault="00713A46" w:rsidP="00713A46">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Bell</w:t>
      </w:r>
      <w:r>
        <w:rPr>
          <w:rFonts w:ascii="Times New Roman" w:hAnsi="Times New Roman" w:cs="Times New Roman"/>
          <w:sz w:val="24"/>
          <w:szCs w:val="24"/>
          <w:vertAlign w:val="baseline"/>
        </w:rPr>
        <w:t xml:space="preserve"> S</w:t>
      </w:r>
      <w:r w:rsidRPr="00672137">
        <w:rPr>
          <w:rFonts w:ascii="Times New Roman" w:hAnsi="Times New Roman" w:cs="Times New Roman"/>
          <w:sz w:val="24"/>
          <w:szCs w:val="24"/>
          <w:vertAlign w:val="baseline"/>
        </w:rPr>
        <w:t>, ‘Trafficked girls con</w:t>
      </w:r>
      <w:r>
        <w:rPr>
          <w:rFonts w:ascii="Times New Roman" w:hAnsi="Times New Roman" w:cs="Times New Roman"/>
          <w:sz w:val="24"/>
          <w:szCs w:val="24"/>
          <w:vertAlign w:val="baseline"/>
        </w:rPr>
        <w:t xml:space="preserve">trolled by Juju magic rituals’ </w:t>
      </w:r>
      <w:r w:rsidRPr="000E2C9F">
        <w:rPr>
          <w:rFonts w:ascii="Times New Roman" w:hAnsi="Times New Roman" w:cs="Times New Roman"/>
          <w:i/>
          <w:sz w:val="24"/>
          <w:szCs w:val="24"/>
          <w:vertAlign w:val="baseline"/>
        </w:rPr>
        <w:t>BBC News</w:t>
      </w:r>
      <w:r>
        <w:rPr>
          <w:rFonts w:ascii="Times New Roman" w:hAnsi="Times New Roman" w:cs="Times New Roman"/>
          <w:sz w:val="24"/>
          <w:szCs w:val="24"/>
          <w:vertAlign w:val="baseline"/>
        </w:rPr>
        <w:t xml:space="preserve"> (London, </w:t>
      </w:r>
      <w:r w:rsidRPr="00672137">
        <w:rPr>
          <w:rFonts w:ascii="Times New Roman" w:hAnsi="Times New Roman" w:cs="Times New Roman"/>
          <w:sz w:val="24"/>
          <w:szCs w:val="24"/>
          <w:vertAlign w:val="baseline"/>
        </w:rPr>
        <w:t>7 July 2011) &lt;</w:t>
      </w:r>
      <w:hyperlink r:id="rId27" w:history="1">
        <w:r w:rsidRPr="000E2C9F">
          <w:rPr>
            <w:rStyle w:val="Hyperlink"/>
            <w:rFonts w:ascii="Times New Roman" w:hAnsi="Times New Roman" w:cs="Times New Roman"/>
            <w:sz w:val="24"/>
            <w:szCs w:val="24"/>
            <w:vertAlign w:val="baseline"/>
          </w:rPr>
          <w:t xml:space="preserve">http://www.bbc.co.uk/news/uk-14044205&gt; </w:t>
        </w:r>
        <w:r w:rsidRPr="00366F42">
          <w:rPr>
            <w:rStyle w:val="Hyperlink"/>
            <w:rFonts w:ascii="Times New Roman" w:hAnsi="Times New Roman" w:cs="Times New Roman"/>
            <w:sz w:val="24"/>
            <w:szCs w:val="24"/>
            <w:vertAlign w:val="baseline"/>
          </w:rPr>
          <w:t>a</w:t>
        </w:r>
      </w:hyperlink>
      <w:r w:rsidRPr="00672137">
        <w:rPr>
          <w:rFonts w:ascii="Times New Roman" w:hAnsi="Times New Roman" w:cs="Times New Roman"/>
          <w:sz w:val="24"/>
          <w:szCs w:val="24"/>
          <w:vertAlign w:val="baseline"/>
        </w:rPr>
        <w:t>ccessed 16 June 2014.</w:t>
      </w:r>
    </w:p>
    <w:p w14:paraId="62BDD08A" w14:textId="77777777" w:rsidR="00713A46" w:rsidRDefault="00713A46" w:rsidP="003E2C58">
      <w:pPr>
        <w:rPr>
          <w:rFonts w:ascii="Times New Roman" w:hAnsi="Times New Roman" w:cs="Times New Roman"/>
          <w:sz w:val="24"/>
          <w:szCs w:val="24"/>
          <w:vertAlign w:val="baseline"/>
        </w:rPr>
      </w:pPr>
    </w:p>
    <w:p w14:paraId="4093276D"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Berman</w:t>
      </w:r>
      <w:r>
        <w:rPr>
          <w:rFonts w:ascii="Times New Roman" w:hAnsi="Times New Roman" w:cs="Times New Roman"/>
          <w:sz w:val="24"/>
          <w:szCs w:val="24"/>
          <w:vertAlign w:val="baseline"/>
        </w:rPr>
        <w:t xml:space="preserve"> PS</w:t>
      </w:r>
      <w:r w:rsidRPr="00672137">
        <w:rPr>
          <w:rFonts w:ascii="Times New Roman" w:hAnsi="Times New Roman" w:cs="Times New Roman"/>
          <w:sz w:val="24"/>
          <w:szCs w:val="24"/>
          <w:vertAlign w:val="baseline"/>
        </w:rPr>
        <w:t>, ‘Global Legal Pluralism’ (2007) 80 Unive</w:t>
      </w:r>
      <w:r>
        <w:rPr>
          <w:rFonts w:ascii="Times New Roman" w:hAnsi="Times New Roman" w:cs="Times New Roman"/>
          <w:sz w:val="24"/>
          <w:szCs w:val="24"/>
          <w:vertAlign w:val="baseline"/>
        </w:rPr>
        <w:t>rsity of Southern California L Rev 1155</w:t>
      </w:r>
    </w:p>
    <w:p w14:paraId="685C6646" w14:textId="77777777" w:rsidR="003E2C58" w:rsidRDefault="003E2C58" w:rsidP="003E2C58">
      <w:pPr>
        <w:rPr>
          <w:rFonts w:ascii="Times New Roman" w:hAnsi="Times New Roman" w:cs="Times New Roman"/>
          <w:sz w:val="24"/>
          <w:szCs w:val="24"/>
          <w:vertAlign w:val="baseline"/>
        </w:rPr>
      </w:pPr>
    </w:p>
    <w:p w14:paraId="722C3AC8" w14:textId="3191153D" w:rsidR="00713A46" w:rsidRDefault="00713A46"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‘Bihar horror: Woman forced to eat human</w:t>
      </w:r>
      <w:r>
        <w:rPr>
          <w:rFonts w:ascii="Times New Roman" w:hAnsi="Times New Roman" w:cs="Times New Roman"/>
          <w:sz w:val="24"/>
          <w:szCs w:val="24"/>
          <w:vertAlign w:val="baseline"/>
        </w:rPr>
        <w:t xml:space="preserve"> excreta on witchcraft charge’</w:t>
      </w:r>
      <w:r w:rsidRPr="00051FEA">
        <w:rPr>
          <w:rFonts w:ascii="Times New Roman" w:hAnsi="Times New Roman" w:cs="Times New Roman"/>
          <w:i/>
          <w:sz w:val="24"/>
          <w:szCs w:val="24"/>
          <w:vertAlign w:val="baseline"/>
        </w:rPr>
        <w:t xml:space="preserve"> One India News </w:t>
      </w:r>
      <w:r>
        <w:rPr>
          <w:rFonts w:ascii="Times New Roman" w:hAnsi="Times New Roman" w:cs="Times New Roman"/>
          <w:sz w:val="24"/>
          <w:szCs w:val="24"/>
          <w:vertAlign w:val="baseline"/>
        </w:rPr>
        <w:t xml:space="preserve">(Bihar, </w:t>
      </w:r>
      <w:r w:rsidRPr="00672137">
        <w:rPr>
          <w:rFonts w:ascii="Times New Roman" w:hAnsi="Times New Roman" w:cs="Times New Roman"/>
          <w:sz w:val="24"/>
          <w:szCs w:val="24"/>
          <w:vertAlign w:val="baseline"/>
        </w:rPr>
        <w:t>13 August 2014) &lt;</w:t>
      </w:r>
      <w:hyperlink r:id="rId28" w:history="1">
        <w:r w:rsidRPr="00051FEA">
          <w:rPr>
            <w:rStyle w:val="Hyperlink"/>
            <w:rFonts w:ascii="Times New Roman" w:hAnsi="Times New Roman" w:cs="Times New Roman"/>
            <w:sz w:val="24"/>
            <w:szCs w:val="24"/>
            <w:vertAlign w:val="baseline"/>
          </w:rPr>
          <w:t>http://news.oneindia.in/india/woman-forced-to-eat-human-excreta-on-witchcraft-charge-1501754.html&gt;</w:t>
        </w:r>
      </w:hyperlink>
      <w:r>
        <w:rPr>
          <w:rFonts w:ascii="Times New Roman" w:hAnsi="Times New Roman" w:cs="Times New Roman"/>
          <w:sz w:val="24"/>
          <w:szCs w:val="24"/>
          <w:vertAlign w:val="baseline"/>
        </w:rPr>
        <w:t xml:space="preserve"> accessed 15 September 2014</w:t>
      </w:r>
    </w:p>
    <w:p w14:paraId="3BCC77ED" w14:textId="77777777" w:rsidR="003E2C58" w:rsidRPr="00182F40"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Bleier</w:t>
      </w:r>
      <w:r>
        <w:rPr>
          <w:rFonts w:ascii="Times New Roman" w:hAnsi="Times New Roman" w:cs="Times New Roman"/>
          <w:sz w:val="24"/>
          <w:szCs w:val="24"/>
          <w:vertAlign w:val="baseline"/>
        </w:rPr>
        <w:t xml:space="preserve"> R</w:t>
      </w:r>
      <w:r w:rsidRPr="00672137">
        <w:rPr>
          <w:rFonts w:ascii="Times New Roman" w:hAnsi="Times New Roman" w:cs="Times New Roman"/>
          <w:sz w:val="24"/>
          <w:szCs w:val="24"/>
          <w:vertAlign w:val="baseline"/>
        </w:rPr>
        <w:t xml:space="preserve">, </w:t>
      </w:r>
      <w:r w:rsidRPr="00182F40">
        <w:rPr>
          <w:rFonts w:ascii="Times New Roman" w:hAnsi="Times New Roman" w:cs="Times New Roman"/>
          <w:i/>
          <w:sz w:val="24"/>
          <w:szCs w:val="24"/>
          <w:vertAlign w:val="baseline"/>
        </w:rPr>
        <w:t>Science and Gender: a critique of biology and its theories on women</w:t>
      </w:r>
      <w:r>
        <w:rPr>
          <w:rFonts w:ascii="Times New Roman" w:hAnsi="Times New Roman" w:cs="Times New Roman"/>
          <w:sz w:val="24"/>
          <w:szCs w:val="24"/>
          <w:vertAlign w:val="baseline"/>
        </w:rPr>
        <w:t xml:space="preserve"> (Pergamon Press 1984)</w:t>
      </w:r>
    </w:p>
    <w:p w14:paraId="2E21998A" w14:textId="77777777" w:rsidR="003E2C58" w:rsidRDefault="003E2C58" w:rsidP="003E2C58">
      <w:pPr>
        <w:rPr>
          <w:rFonts w:ascii="Times New Roman" w:hAnsi="Times New Roman" w:cs="Times New Roman"/>
          <w:sz w:val="24"/>
          <w:szCs w:val="24"/>
          <w:vertAlign w:val="baseline"/>
        </w:rPr>
      </w:pPr>
    </w:p>
    <w:p w14:paraId="5A0BFFD3"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Broedel</w:t>
      </w:r>
      <w:r>
        <w:rPr>
          <w:rFonts w:ascii="Times New Roman" w:hAnsi="Times New Roman" w:cs="Times New Roman"/>
          <w:sz w:val="24"/>
          <w:szCs w:val="24"/>
          <w:vertAlign w:val="baseline"/>
        </w:rPr>
        <w:t xml:space="preserve"> HP</w:t>
      </w:r>
      <w:r w:rsidRPr="00672137">
        <w:rPr>
          <w:rFonts w:ascii="Times New Roman" w:hAnsi="Times New Roman" w:cs="Times New Roman"/>
          <w:sz w:val="24"/>
          <w:szCs w:val="24"/>
          <w:vertAlign w:val="baseline"/>
        </w:rPr>
        <w:t xml:space="preserve">, </w:t>
      </w:r>
      <w:r w:rsidRPr="005C18D1">
        <w:rPr>
          <w:rFonts w:ascii="Times New Roman" w:hAnsi="Times New Roman" w:cs="Times New Roman"/>
          <w:i/>
          <w:sz w:val="24"/>
          <w:szCs w:val="24"/>
          <w:vertAlign w:val="baseline"/>
        </w:rPr>
        <w:t>The Malleus Maleficarum and the construction of witchcraft: Theology and popular belief</w:t>
      </w:r>
      <w:r w:rsidRPr="00672137">
        <w:rPr>
          <w:rFonts w:ascii="Times New Roman" w:hAnsi="Times New Roman" w:cs="Times New Roman"/>
          <w:sz w:val="24"/>
          <w:szCs w:val="24"/>
          <w:vertAlign w:val="baseline"/>
        </w:rPr>
        <w:t xml:space="preserve"> (Manchester 2003)</w:t>
      </w:r>
    </w:p>
    <w:p w14:paraId="19622070" w14:textId="77777777" w:rsidR="003E2C58" w:rsidRDefault="003E2C58" w:rsidP="003E2C58">
      <w:pPr>
        <w:rPr>
          <w:rFonts w:ascii="Times New Roman" w:hAnsi="Times New Roman" w:cs="Times New Roman"/>
          <w:sz w:val="24"/>
          <w:szCs w:val="24"/>
          <w:vertAlign w:val="baseline"/>
        </w:rPr>
      </w:pPr>
    </w:p>
    <w:p w14:paraId="648339E8"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Brouwer</w:t>
      </w:r>
      <w:r>
        <w:rPr>
          <w:rFonts w:ascii="Times New Roman" w:hAnsi="Times New Roman" w:cs="Times New Roman"/>
          <w:sz w:val="24"/>
          <w:szCs w:val="24"/>
          <w:vertAlign w:val="baseline"/>
        </w:rPr>
        <w:t xml:space="preserve"> EC</w:t>
      </w:r>
      <w:r w:rsidRPr="00672137">
        <w:rPr>
          <w:rFonts w:ascii="Times New Roman" w:hAnsi="Times New Roman" w:cs="Times New Roman"/>
          <w:sz w:val="24"/>
          <w:szCs w:val="24"/>
          <w:vertAlign w:val="baseline"/>
        </w:rPr>
        <w:t>, Harris</w:t>
      </w:r>
      <w:r>
        <w:rPr>
          <w:rFonts w:ascii="Times New Roman" w:hAnsi="Times New Roman" w:cs="Times New Roman"/>
          <w:sz w:val="24"/>
          <w:szCs w:val="24"/>
          <w:vertAlign w:val="baseline"/>
        </w:rPr>
        <w:t xml:space="preserve"> BM and </w:t>
      </w:r>
      <w:r w:rsidRPr="00672137">
        <w:rPr>
          <w:rFonts w:ascii="Times New Roman" w:hAnsi="Times New Roman" w:cs="Times New Roman"/>
          <w:sz w:val="24"/>
          <w:szCs w:val="24"/>
          <w:vertAlign w:val="baseline"/>
        </w:rPr>
        <w:t>Tanaka</w:t>
      </w:r>
      <w:r>
        <w:rPr>
          <w:rFonts w:ascii="Times New Roman" w:hAnsi="Times New Roman" w:cs="Times New Roman"/>
          <w:sz w:val="24"/>
          <w:szCs w:val="24"/>
          <w:vertAlign w:val="baseline"/>
        </w:rPr>
        <w:t xml:space="preserve"> S</w:t>
      </w:r>
      <w:r w:rsidRPr="00672137">
        <w:rPr>
          <w:rFonts w:ascii="Times New Roman" w:hAnsi="Times New Roman" w:cs="Times New Roman"/>
          <w:sz w:val="24"/>
          <w:szCs w:val="24"/>
          <w:vertAlign w:val="baseline"/>
        </w:rPr>
        <w:t xml:space="preserve">, </w:t>
      </w:r>
      <w:r w:rsidRPr="00586D7F">
        <w:rPr>
          <w:rFonts w:ascii="Times New Roman" w:hAnsi="Times New Roman" w:cs="Times New Roman"/>
          <w:i/>
          <w:sz w:val="24"/>
          <w:szCs w:val="24"/>
          <w:vertAlign w:val="baseline"/>
        </w:rPr>
        <w:t>Gender Analysis in Papua New Guinea</w:t>
      </w:r>
      <w:r w:rsidRPr="00672137">
        <w:rPr>
          <w:rFonts w:ascii="Times New Roman" w:hAnsi="Times New Roman" w:cs="Times New Roman"/>
          <w:sz w:val="24"/>
          <w:szCs w:val="24"/>
          <w:vertAlign w:val="baseline"/>
        </w:rPr>
        <w:t xml:space="preserve"> (</w:t>
      </w:r>
      <w:r>
        <w:rPr>
          <w:rFonts w:ascii="Times New Roman" w:hAnsi="Times New Roman" w:cs="Times New Roman"/>
          <w:sz w:val="24"/>
          <w:szCs w:val="24"/>
          <w:vertAlign w:val="baseline"/>
        </w:rPr>
        <w:t>World Bank Publications 1998)</w:t>
      </w:r>
    </w:p>
    <w:p w14:paraId="19517597" w14:textId="77777777" w:rsidR="003E2C58" w:rsidRDefault="003E2C58" w:rsidP="003E2C58">
      <w:pPr>
        <w:rPr>
          <w:rFonts w:ascii="Times New Roman" w:hAnsi="Times New Roman" w:cs="Times New Roman"/>
          <w:sz w:val="24"/>
          <w:szCs w:val="24"/>
          <w:vertAlign w:val="baseline"/>
        </w:rPr>
      </w:pPr>
    </w:p>
    <w:p w14:paraId="64BA436E" w14:textId="77777777" w:rsidR="00A849EE" w:rsidRPr="00672137" w:rsidRDefault="00A849EE" w:rsidP="00A849EE">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Brown</w:t>
      </w:r>
      <w:r>
        <w:rPr>
          <w:rFonts w:ascii="Times New Roman" w:hAnsi="Times New Roman" w:cs="Times New Roman"/>
          <w:sz w:val="24"/>
          <w:szCs w:val="24"/>
          <w:vertAlign w:val="baseline"/>
        </w:rPr>
        <w:t xml:space="preserve"> D</w:t>
      </w:r>
      <w:r w:rsidRPr="00672137">
        <w:rPr>
          <w:rFonts w:ascii="Times New Roman" w:hAnsi="Times New Roman" w:cs="Times New Roman"/>
          <w:sz w:val="24"/>
          <w:szCs w:val="24"/>
          <w:vertAlign w:val="baseline"/>
        </w:rPr>
        <w:t>, ‘Miracles for Sale’ screened 25 April 2011 &lt;</w:t>
      </w:r>
      <w:hyperlink r:id="rId29" w:history="1">
        <w:r w:rsidRPr="00FA22D7">
          <w:rPr>
            <w:rStyle w:val="Hyperlink"/>
            <w:rFonts w:ascii="Times New Roman" w:hAnsi="Times New Roman" w:cs="Times New Roman"/>
            <w:sz w:val="24"/>
            <w:szCs w:val="24"/>
            <w:vertAlign w:val="baseline"/>
          </w:rPr>
          <w:t>http://derrenbrown.co.uk/derren-brown-miracles-sale-tonight-9pm/&gt;</w:t>
        </w:r>
      </w:hyperlink>
      <w:r>
        <w:rPr>
          <w:rFonts w:ascii="Times New Roman" w:hAnsi="Times New Roman" w:cs="Times New Roman"/>
          <w:sz w:val="24"/>
          <w:szCs w:val="24"/>
          <w:vertAlign w:val="baseline"/>
        </w:rPr>
        <w:t xml:space="preserve"> accessed 8 September 2015</w:t>
      </w:r>
    </w:p>
    <w:p w14:paraId="647E84D1" w14:textId="77777777" w:rsidR="00A849EE" w:rsidRDefault="00A849EE" w:rsidP="003E2C58">
      <w:pPr>
        <w:rPr>
          <w:rFonts w:ascii="Times New Roman" w:hAnsi="Times New Roman" w:cs="Times New Roman"/>
          <w:sz w:val="24"/>
          <w:szCs w:val="24"/>
          <w:vertAlign w:val="baseline"/>
        </w:rPr>
      </w:pPr>
    </w:p>
    <w:p w14:paraId="6518E271"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Buckland</w:t>
      </w:r>
      <w:r>
        <w:rPr>
          <w:rFonts w:ascii="Times New Roman" w:hAnsi="Times New Roman" w:cs="Times New Roman"/>
          <w:sz w:val="24"/>
          <w:szCs w:val="24"/>
          <w:vertAlign w:val="baseline"/>
        </w:rPr>
        <w:t xml:space="preserve"> R</w:t>
      </w:r>
      <w:r w:rsidRPr="00672137">
        <w:rPr>
          <w:rFonts w:ascii="Times New Roman" w:hAnsi="Times New Roman" w:cs="Times New Roman"/>
          <w:sz w:val="24"/>
          <w:szCs w:val="24"/>
          <w:vertAlign w:val="baseline"/>
        </w:rPr>
        <w:t xml:space="preserve">, </w:t>
      </w:r>
      <w:r w:rsidRPr="006016FC">
        <w:rPr>
          <w:rFonts w:ascii="Times New Roman" w:hAnsi="Times New Roman" w:cs="Times New Roman"/>
          <w:i/>
          <w:sz w:val="24"/>
          <w:szCs w:val="24"/>
          <w:vertAlign w:val="baseline"/>
        </w:rPr>
        <w:t>Buckland’s Complete History of Witchcraft</w:t>
      </w:r>
      <w:r w:rsidRPr="00672137">
        <w:rPr>
          <w:rFonts w:ascii="Times New Roman" w:hAnsi="Times New Roman" w:cs="Times New Roman"/>
          <w:sz w:val="24"/>
          <w:szCs w:val="24"/>
          <w:vertAlign w:val="baseline"/>
        </w:rPr>
        <w:t xml:space="preserve"> (Minnesota 1986)</w:t>
      </w:r>
    </w:p>
    <w:p w14:paraId="06B3F8EC" w14:textId="77777777" w:rsidR="003E2C58" w:rsidRDefault="003E2C58" w:rsidP="003E2C58">
      <w:pPr>
        <w:rPr>
          <w:rFonts w:ascii="Times New Roman" w:hAnsi="Times New Roman" w:cs="Times New Roman"/>
          <w:sz w:val="24"/>
          <w:szCs w:val="24"/>
          <w:vertAlign w:val="baseline"/>
        </w:rPr>
      </w:pPr>
    </w:p>
    <w:p w14:paraId="4161307A"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Bunch</w:t>
      </w:r>
      <w:r>
        <w:rPr>
          <w:rFonts w:ascii="Times New Roman" w:hAnsi="Times New Roman" w:cs="Times New Roman"/>
          <w:sz w:val="24"/>
          <w:szCs w:val="24"/>
          <w:vertAlign w:val="baseline"/>
        </w:rPr>
        <w:t xml:space="preserve"> C</w:t>
      </w:r>
      <w:r w:rsidRPr="00672137">
        <w:rPr>
          <w:rFonts w:ascii="Times New Roman" w:hAnsi="Times New Roman" w:cs="Times New Roman"/>
          <w:sz w:val="24"/>
          <w:szCs w:val="24"/>
          <w:vertAlign w:val="baseline"/>
        </w:rPr>
        <w:t>, ‘Transforming Human Rights from a</w:t>
      </w:r>
      <w:r>
        <w:rPr>
          <w:rFonts w:ascii="Times New Roman" w:hAnsi="Times New Roman" w:cs="Times New Roman"/>
          <w:sz w:val="24"/>
          <w:szCs w:val="24"/>
          <w:vertAlign w:val="baseline"/>
        </w:rPr>
        <w:t xml:space="preserve"> Feminist Perspective’ in Peters J and </w:t>
      </w:r>
      <w:r w:rsidRPr="00672137">
        <w:rPr>
          <w:rFonts w:ascii="Times New Roman" w:hAnsi="Times New Roman" w:cs="Times New Roman"/>
          <w:sz w:val="24"/>
          <w:szCs w:val="24"/>
          <w:vertAlign w:val="baseline"/>
        </w:rPr>
        <w:t>Wolper</w:t>
      </w:r>
      <w:r>
        <w:rPr>
          <w:rFonts w:ascii="Times New Roman" w:hAnsi="Times New Roman" w:cs="Times New Roman"/>
          <w:sz w:val="24"/>
          <w:szCs w:val="24"/>
          <w:vertAlign w:val="baseline"/>
        </w:rPr>
        <w:t xml:space="preserve"> A</w:t>
      </w:r>
      <w:r w:rsidRPr="00672137">
        <w:rPr>
          <w:rFonts w:ascii="Times New Roman" w:hAnsi="Times New Roman" w:cs="Times New Roman"/>
          <w:sz w:val="24"/>
          <w:szCs w:val="24"/>
          <w:vertAlign w:val="baseline"/>
        </w:rPr>
        <w:t xml:space="preserve"> (eds) </w:t>
      </w:r>
      <w:r w:rsidRPr="00CB015A">
        <w:rPr>
          <w:rFonts w:ascii="Times New Roman" w:hAnsi="Times New Roman" w:cs="Times New Roman"/>
          <w:i/>
          <w:sz w:val="24"/>
          <w:szCs w:val="24"/>
          <w:vertAlign w:val="baseline"/>
        </w:rPr>
        <w:t>Women’s Rights</w:t>
      </w:r>
      <w:r>
        <w:rPr>
          <w:rFonts w:ascii="Times New Roman" w:hAnsi="Times New Roman" w:cs="Times New Roman"/>
          <w:i/>
          <w:sz w:val="24"/>
          <w:szCs w:val="24"/>
          <w:vertAlign w:val="baseline"/>
        </w:rPr>
        <w:t>,</w:t>
      </w:r>
      <w:r w:rsidRPr="00CB015A">
        <w:rPr>
          <w:rFonts w:ascii="Times New Roman" w:hAnsi="Times New Roman" w:cs="Times New Roman"/>
          <w:i/>
          <w:sz w:val="24"/>
          <w:szCs w:val="24"/>
          <w:vertAlign w:val="baseline"/>
        </w:rPr>
        <w:t xml:space="preserve"> Human Rights</w:t>
      </w:r>
      <w:r w:rsidRPr="0055196A">
        <w:rPr>
          <w:rFonts w:ascii="Times New Roman" w:hAnsi="Times New Roman" w:cs="Times New Roman"/>
          <w:i/>
          <w:sz w:val="24"/>
          <w:szCs w:val="24"/>
          <w:vertAlign w:val="baseline"/>
        </w:rPr>
        <w:t>: International Feminist Perspectives</w:t>
      </w:r>
      <w:r>
        <w:rPr>
          <w:rFonts w:ascii="Times New Roman" w:hAnsi="Times New Roman" w:cs="Times New Roman"/>
          <w:sz w:val="24"/>
          <w:szCs w:val="24"/>
          <w:vertAlign w:val="baseline"/>
        </w:rPr>
        <w:t xml:space="preserve"> (Routledge 1995)</w:t>
      </w:r>
    </w:p>
    <w:p w14:paraId="488DA1BF" w14:textId="77777777" w:rsidR="003E2C58" w:rsidRDefault="003E2C58" w:rsidP="003E2C58">
      <w:pPr>
        <w:rPr>
          <w:rFonts w:ascii="Times New Roman" w:hAnsi="Times New Roman" w:cs="Times New Roman"/>
          <w:sz w:val="24"/>
          <w:szCs w:val="24"/>
          <w:vertAlign w:val="baseline"/>
        </w:rPr>
      </w:pPr>
    </w:p>
    <w:p w14:paraId="7C82E5AA" w14:textId="77777777" w:rsidR="003E2C58" w:rsidRPr="00672137" w:rsidRDefault="003E2C58" w:rsidP="003E2C58">
      <w:pPr>
        <w:rPr>
          <w:rFonts w:ascii="Times New Roman" w:hAnsi="Times New Roman" w:cs="Times New Roman"/>
          <w:sz w:val="24"/>
          <w:szCs w:val="24"/>
          <w:vertAlign w:val="baseline"/>
        </w:rPr>
      </w:pPr>
      <w:r>
        <w:rPr>
          <w:rFonts w:ascii="Times New Roman" w:hAnsi="Times New Roman" w:cs="Times New Roman"/>
          <w:sz w:val="24"/>
          <w:szCs w:val="24"/>
          <w:vertAlign w:val="baseline"/>
        </w:rPr>
        <w:t>Bunch</w:t>
      </w:r>
      <w:r w:rsidRPr="00672137">
        <w:rPr>
          <w:rFonts w:ascii="Times New Roman" w:hAnsi="Times New Roman" w:cs="Times New Roman"/>
          <w:sz w:val="24"/>
          <w:szCs w:val="24"/>
          <w:vertAlign w:val="baseline"/>
        </w:rPr>
        <w:t xml:space="preserve"> </w:t>
      </w:r>
      <w:r>
        <w:rPr>
          <w:rFonts w:ascii="Times New Roman" w:hAnsi="Times New Roman" w:cs="Times New Roman"/>
          <w:sz w:val="24"/>
          <w:szCs w:val="24"/>
          <w:vertAlign w:val="baseline"/>
        </w:rPr>
        <w:t xml:space="preserve">C, </w:t>
      </w:r>
      <w:r w:rsidRPr="00672137">
        <w:rPr>
          <w:rFonts w:ascii="Times New Roman" w:hAnsi="Times New Roman" w:cs="Times New Roman"/>
          <w:sz w:val="24"/>
          <w:szCs w:val="24"/>
          <w:vertAlign w:val="baseline"/>
        </w:rPr>
        <w:t xml:space="preserve">‘Women’s rights as human rights: Toward a re-vision of human rights’, </w:t>
      </w:r>
      <w:r>
        <w:rPr>
          <w:rFonts w:ascii="Times New Roman" w:hAnsi="Times New Roman" w:cs="Times New Roman"/>
          <w:sz w:val="24"/>
          <w:szCs w:val="24"/>
          <w:vertAlign w:val="baseline"/>
        </w:rPr>
        <w:t>(1990) 12 Hum Rts Q 486</w:t>
      </w:r>
    </w:p>
    <w:p w14:paraId="44B19D53" w14:textId="77777777" w:rsidR="003E2C58" w:rsidRDefault="003E2C58" w:rsidP="003E2C58">
      <w:pPr>
        <w:rPr>
          <w:rFonts w:ascii="Times New Roman" w:hAnsi="Times New Roman" w:cs="Times New Roman"/>
          <w:sz w:val="24"/>
          <w:szCs w:val="24"/>
          <w:vertAlign w:val="baseline"/>
        </w:rPr>
      </w:pPr>
    </w:p>
    <w:p w14:paraId="2C3B9A63" w14:textId="77777777" w:rsidR="00A071C4" w:rsidRDefault="00A071C4" w:rsidP="00A071C4">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Bureau of Democracy, Human Rights and Labour, ‘Papua New Guinea International Religious Freedom Report’ (2012) US Department of State &lt;</w:t>
      </w:r>
      <w:hyperlink r:id="rId30" w:history="1">
        <w:r w:rsidRPr="00EB6FBD">
          <w:rPr>
            <w:rStyle w:val="Hyperlink"/>
            <w:rFonts w:ascii="Times New Roman" w:hAnsi="Times New Roman" w:cs="Times New Roman"/>
            <w:sz w:val="24"/>
            <w:szCs w:val="24"/>
            <w:vertAlign w:val="baseline"/>
          </w:rPr>
          <w:t xml:space="preserve">http://www.state.gov/documents/organization/208470.pdf&gt; </w:t>
        </w:r>
        <w:r w:rsidRPr="005520AE">
          <w:rPr>
            <w:rStyle w:val="Hyperlink"/>
            <w:rFonts w:ascii="Times New Roman" w:hAnsi="Times New Roman" w:cs="Times New Roman"/>
            <w:sz w:val="24"/>
            <w:szCs w:val="24"/>
            <w:vertAlign w:val="baseline"/>
          </w:rPr>
          <w:t>a</w:t>
        </w:r>
      </w:hyperlink>
      <w:r w:rsidRPr="00672137">
        <w:rPr>
          <w:rFonts w:ascii="Times New Roman" w:hAnsi="Times New Roman" w:cs="Times New Roman"/>
          <w:sz w:val="24"/>
          <w:szCs w:val="24"/>
          <w:vertAlign w:val="baseline"/>
        </w:rPr>
        <w:t>ccessed 26 August 2015</w:t>
      </w:r>
    </w:p>
    <w:p w14:paraId="0698BA9C" w14:textId="77777777" w:rsidR="00A071C4" w:rsidRDefault="00A071C4" w:rsidP="003E2C58">
      <w:pPr>
        <w:rPr>
          <w:rFonts w:ascii="Times New Roman" w:hAnsi="Times New Roman" w:cs="Times New Roman"/>
          <w:sz w:val="24"/>
          <w:szCs w:val="24"/>
          <w:vertAlign w:val="baseline"/>
        </w:rPr>
      </w:pPr>
    </w:p>
    <w:p w14:paraId="6CED48A6"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Burrows</w:t>
      </w:r>
      <w:r>
        <w:rPr>
          <w:rFonts w:ascii="Times New Roman" w:hAnsi="Times New Roman" w:cs="Times New Roman"/>
          <w:sz w:val="24"/>
          <w:szCs w:val="24"/>
          <w:vertAlign w:val="baseline"/>
        </w:rPr>
        <w:t xml:space="preserve"> N</w:t>
      </w:r>
      <w:r w:rsidRPr="00672137">
        <w:rPr>
          <w:rFonts w:ascii="Times New Roman" w:hAnsi="Times New Roman" w:cs="Times New Roman"/>
          <w:sz w:val="24"/>
          <w:szCs w:val="24"/>
          <w:vertAlign w:val="baseline"/>
        </w:rPr>
        <w:t>, ‘International Law and Human Rights: The Case of Women’s Rights’ in Campbell</w:t>
      </w:r>
      <w:r>
        <w:rPr>
          <w:rFonts w:ascii="Times New Roman" w:hAnsi="Times New Roman" w:cs="Times New Roman"/>
          <w:sz w:val="24"/>
          <w:szCs w:val="24"/>
          <w:vertAlign w:val="baseline"/>
        </w:rPr>
        <w:t xml:space="preserve"> T, </w:t>
      </w:r>
      <w:r w:rsidRPr="00672137">
        <w:rPr>
          <w:rFonts w:ascii="Times New Roman" w:hAnsi="Times New Roman" w:cs="Times New Roman"/>
          <w:sz w:val="24"/>
          <w:szCs w:val="24"/>
          <w:vertAlign w:val="baseline"/>
        </w:rPr>
        <w:t>Goldberg</w:t>
      </w:r>
      <w:r>
        <w:rPr>
          <w:rFonts w:ascii="Times New Roman" w:hAnsi="Times New Roman" w:cs="Times New Roman"/>
          <w:sz w:val="24"/>
          <w:szCs w:val="24"/>
          <w:vertAlign w:val="baseline"/>
        </w:rPr>
        <w:t xml:space="preserve"> D, </w:t>
      </w:r>
      <w:r w:rsidRPr="00672137">
        <w:rPr>
          <w:rFonts w:ascii="Times New Roman" w:hAnsi="Times New Roman" w:cs="Times New Roman"/>
          <w:sz w:val="24"/>
          <w:szCs w:val="24"/>
          <w:vertAlign w:val="baseline"/>
        </w:rPr>
        <w:t xml:space="preserve">McLean </w:t>
      </w:r>
      <w:r>
        <w:rPr>
          <w:rFonts w:ascii="Times New Roman" w:hAnsi="Times New Roman" w:cs="Times New Roman"/>
          <w:sz w:val="24"/>
          <w:szCs w:val="24"/>
          <w:vertAlign w:val="baseline"/>
        </w:rPr>
        <w:t xml:space="preserve">S and </w:t>
      </w:r>
      <w:r w:rsidRPr="00672137">
        <w:rPr>
          <w:rFonts w:ascii="Times New Roman" w:hAnsi="Times New Roman" w:cs="Times New Roman"/>
          <w:sz w:val="24"/>
          <w:szCs w:val="24"/>
          <w:vertAlign w:val="baseline"/>
        </w:rPr>
        <w:t>Muller</w:t>
      </w:r>
      <w:r>
        <w:rPr>
          <w:rFonts w:ascii="Times New Roman" w:hAnsi="Times New Roman" w:cs="Times New Roman"/>
          <w:sz w:val="24"/>
          <w:szCs w:val="24"/>
          <w:vertAlign w:val="baseline"/>
        </w:rPr>
        <w:t xml:space="preserve"> T</w:t>
      </w:r>
      <w:r w:rsidRPr="00672137">
        <w:rPr>
          <w:rFonts w:ascii="Times New Roman" w:hAnsi="Times New Roman" w:cs="Times New Roman"/>
          <w:sz w:val="24"/>
          <w:szCs w:val="24"/>
          <w:vertAlign w:val="baseline"/>
        </w:rPr>
        <w:t xml:space="preserve"> (eds) </w:t>
      </w:r>
      <w:r w:rsidRPr="00A21E1A">
        <w:rPr>
          <w:rFonts w:ascii="Times New Roman" w:hAnsi="Times New Roman" w:cs="Times New Roman"/>
          <w:i/>
          <w:sz w:val="24"/>
          <w:szCs w:val="24"/>
          <w:vertAlign w:val="baseline"/>
        </w:rPr>
        <w:t>Human Rights: From Rhetoric to Reality</w:t>
      </w:r>
      <w:r>
        <w:rPr>
          <w:rFonts w:ascii="Times New Roman" w:hAnsi="Times New Roman" w:cs="Times New Roman"/>
          <w:sz w:val="24"/>
          <w:szCs w:val="24"/>
          <w:vertAlign w:val="baseline"/>
        </w:rPr>
        <w:t xml:space="preserve"> (Basil Blackwell 1986)</w:t>
      </w:r>
    </w:p>
    <w:p w14:paraId="6608FDCA" w14:textId="77777777" w:rsidR="003E2C58" w:rsidRDefault="003E2C58" w:rsidP="003E2C58">
      <w:pPr>
        <w:rPr>
          <w:rFonts w:ascii="Times New Roman" w:hAnsi="Times New Roman" w:cs="Times New Roman"/>
          <w:sz w:val="24"/>
          <w:szCs w:val="24"/>
          <w:vertAlign w:val="baseline"/>
        </w:rPr>
      </w:pPr>
    </w:p>
    <w:p w14:paraId="01FD2765"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Burton Russell</w:t>
      </w:r>
      <w:r>
        <w:rPr>
          <w:rFonts w:ascii="Times New Roman" w:hAnsi="Times New Roman" w:cs="Times New Roman"/>
          <w:sz w:val="24"/>
          <w:szCs w:val="24"/>
          <w:vertAlign w:val="baseline"/>
        </w:rPr>
        <w:t xml:space="preserve"> J</w:t>
      </w:r>
      <w:r w:rsidRPr="00672137">
        <w:rPr>
          <w:rFonts w:ascii="Times New Roman" w:hAnsi="Times New Roman" w:cs="Times New Roman"/>
          <w:sz w:val="24"/>
          <w:szCs w:val="24"/>
          <w:vertAlign w:val="baseline"/>
        </w:rPr>
        <w:t xml:space="preserve">, </w:t>
      </w:r>
      <w:r w:rsidRPr="0031688E">
        <w:rPr>
          <w:rFonts w:ascii="Times New Roman" w:hAnsi="Times New Roman" w:cs="Times New Roman"/>
          <w:i/>
          <w:sz w:val="24"/>
          <w:szCs w:val="24"/>
          <w:vertAlign w:val="baseline"/>
        </w:rPr>
        <w:t xml:space="preserve">The Devil: Perceptions of Evil from Antiquity to Primitive Christianity </w:t>
      </w:r>
      <w:r w:rsidRPr="00672137">
        <w:rPr>
          <w:rFonts w:ascii="Times New Roman" w:hAnsi="Times New Roman" w:cs="Times New Roman"/>
          <w:sz w:val="24"/>
          <w:szCs w:val="24"/>
          <w:vertAlign w:val="baseline"/>
        </w:rPr>
        <w:t>(Cornell Un</w:t>
      </w:r>
      <w:r>
        <w:rPr>
          <w:rFonts w:ascii="Times New Roman" w:hAnsi="Times New Roman" w:cs="Times New Roman"/>
          <w:sz w:val="24"/>
          <w:szCs w:val="24"/>
          <w:vertAlign w:val="baseline"/>
        </w:rPr>
        <w:t>iversity 1977)</w:t>
      </w:r>
    </w:p>
    <w:p w14:paraId="67DD0E94" w14:textId="77777777" w:rsidR="003E2C58" w:rsidRDefault="003E2C58" w:rsidP="003E2C58">
      <w:pPr>
        <w:rPr>
          <w:rFonts w:ascii="Times New Roman" w:hAnsi="Times New Roman" w:cs="Times New Roman"/>
          <w:sz w:val="24"/>
          <w:szCs w:val="24"/>
          <w:vertAlign w:val="baseline"/>
        </w:rPr>
      </w:pPr>
    </w:p>
    <w:p w14:paraId="26852926"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Buss</w:t>
      </w:r>
      <w:r>
        <w:rPr>
          <w:rFonts w:ascii="Times New Roman" w:hAnsi="Times New Roman" w:cs="Times New Roman"/>
          <w:sz w:val="24"/>
          <w:szCs w:val="24"/>
          <w:vertAlign w:val="baseline"/>
        </w:rPr>
        <w:t xml:space="preserve"> D</w:t>
      </w:r>
      <w:r w:rsidRPr="00672137">
        <w:rPr>
          <w:rFonts w:ascii="Times New Roman" w:hAnsi="Times New Roman" w:cs="Times New Roman"/>
          <w:sz w:val="24"/>
          <w:szCs w:val="24"/>
          <w:vertAlign w:val="baseline"/>
        </w:rPr>
        <w:t xml:space="preserve"> and Manji</w:t>
      </w:r>
      <w:r>
        <w:rPr>
          <w:rFonts w:ascii="Times New Roman" w:hAnsi="Times New Roman" w:cs="Times New Roman"/>
          <w:sz w:val="24"/>
          <w:szCs w:val="24"/>
          <w:vertAlign w:val="baseline"/>
        </w:rPr>
        <w:t xml:space="preserve"> A</w:t>
      </w:r>
      <w:r w:rsidRPr="00672137">
        <w:rPr>
          <w:rFonts w:ascii="Times New Roman" w:hAnsi="Times New Roman" w:cs="Times New Roman"/>
          <w:sz w:val="24"/>
          <w:szCs w:val="24"/>
          <w:vertAlign w:val="baseline"/>
        </w:rPr>
        <w:t xml:space="preserve">, </w:t>
      </w:r>
      <w:r w:rsidRPr="005A6B51">
        <w:rPr>
          <w:rFonts w:ascii="Times New Roman" w:hAnsi="Times New Roman" w:cs="Times New Roman"/>
          <w:i/>
          <w:sz w:val="24"/>
          <w:szCs w:val="24"/>
          <w:vertAlign w:val="baseline"/>
        </w:rPr>
        <w:t>International Law: Modern Feminist Approaches</w:t>
      </w:r>
      <w:r>
        <w:rPr>
          <w:rFonts w:ascii="Times New Roman" w:hAnsi="Times New Roman" w:cs="Times New Roman"/>
          <w:sz w:val="24"/>
          <w:szCs w:val="24"/>
          <w:vertAlign w:val="baseline"/>
        </w:rPr>
        <w:t xml:space="preserve"> (Hart Publishing 2005)</w:t>
      </w:r>
    </w:p>
    <w:p w14:paraId="5D885811" w14:textId="77777777" w:rsidR="003E2C58" w:rsidRDefault="003E2C58" w:rsidP="003E2C58">
      <w:pPr>
        <w:rPr>
          <w:rFonts w:ascii="Times New Roman" w:hAnsi="Times New Roman" w:cs="Times New Roman"/>
          <w:sz w:val="24"/>
          <w:szCs w:val="24"/>
          <w:vertAlign w:val="baseline"/>
        </w:rPr>
      </w:pPr>
    </w:p>
    <w:p w14:paraId="52A76608"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Byrnes</w:t>
      </w:r>
      <w:r>
        <w:rPr>
          <w:rFonts w:ascii="Times New Roman" w:hAnsi="Times New Roman" w:cs="Times New Roman"/>
          <w:sz w:val="24"/>
          <w:szCs w:val="24"/>
          <w:vertAlign w:val="baseline"/>
        </w:rPr>
        <w:t xml:space="preserve"> A</w:t>
      </w:r>
      <w:r w:rsidRPr="00672137">
        <w:rPr>
          <w:rFonts w:ascii="Times New Roman" w:hAnsi="Times New Roman" w:cs="Times New Roman"/>
          <w:sz w:val="24"/>
          <w:szCs w:val="24"/>
          <w:vertAlign w:val="baseline"/>
        </w:rPr>
        <w:t>, ‘Women, Feminism and International Human Rights Law-Methodological Myopia, Fundamental Flaws or Meaningful Marginalization’ (1992) 12 Aus Year Book Int</w:t>
      </w:r>
      <w:r>
        <w:rPr>
          <w:rFonts w:ascii="Times New Roman" w:hAnsi="Times New Roman" w:cs="Times New Roman"/>
          <w:sz w:val="24"/>
          <w:szCs w:val="24"/>
          <w:vertAlign w:val="baseline"/>
        </w:rPr>
        <w:t>l L 205</w:t>
      </w:r>
    </w:p>
    <w:p w14:paraId="7B022349" w14:textId="77777777" w:rsidR="003E2C58" w:rsidRDefault="003E2C58" w:rsidP="003E2C58">
      <w:pPr>
        <w:rPr>
          <w:rFonts w:ascii="Times New Roman" w:hAnsi="Times New Roman" w:cs="Times New Roman"/>
          <w:sz w:val="24"/>
          <w:szCs w:val="24"/>
          <w:vertAlign w:val="baseline"/>
        </w:rPr>
      </w:pPr>
    </w:p>
    <w:p w14:paraId="1C109451"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Byrnes</w:t>
      </w:r>
      <w:r>
        <w:rPr>
          <w:rFonts w:ascii="Times New Roman" w:hAnsi="Times New Roman" w:cs="Times New Roman"/>
          <w:sz w:val="24"/>
          <w:szCs w:val="24"/>
          <w:vertAlign w:val="baseline"/>
        </w:rPr>
        <w:t xml:space="preserve"> A</w:t>
      </w:r>
      <w:r w:rsidRPr="00672137">
        <w:rPr>
          <w:rFonts w:ascii="Times New Roman" w:hAnsi="Times New Roman" w:cs="Times New Roman"/>
          <w:sz w:val="24"/>
          <w:szCs w:val="24"/>
          <w:vertAlign w:val="baseline"/>
        </w:rPr>
        <w:t>, ‘Enforcement Through International La</w:t>
      </w:r>
      <w:r>
        <w:rPr>
          <w:rFonts w:ascii="Times New Roman" w:hAnsi="Times New Roman" w:cs="Times New Roman"/>
          <w:sz w:val="24"/>
          <w:szCs w:val="24"/>
          <w:vertAlign w:val="baseline"/>
        </w:rPr>
        <w:t xml:space="preserve">w and Procedures’ in </w:t>
      </w:r>
      <w:r w:rsidRPr="00672137">
        <w:rPr>
          <w:rFonts w:ascii="Times New Roman" w:hAnsi="Times New Roman" w:cs="Times New Roman"/>
          <w:sz w:val="24"/>
          <w:szCs w:val="24"/>
          <w:vertAlign w:val="baseline"/>
        </w:rPr>
        <w:t xml:space="preserve">Cook </w:t>
      </w:r>
      <w:r>
        <w:rPr>
          <w:rFonts w:ascii="Times New Roman" w:hAnsi="Times New Roman" w:cs="Times New Roman"/>
          <w:sz w:val="24"/>
          <w:szCs w:val="24"/>
          <w:vertAlign w:val="baseline"/>
        </w:rPr>
        <w:t>RJ (ed</w:t>
      </w:r>
      <w:r w:rsidRPr="00672137">
        <w:rPr>
          <w:rFonts w:ascii="Times New Roman" w:hAnsi="Times New Roman" w:cs="Times New Roman"/>
          <w:sz w:val="24"/>
          <w:szCs w:val="24"/>
          <w:vertAlign w:val="baseline"/>
        </w:rPr>
        <w:t xml:space="preserve">) </w:t>
      </w:r>
      <w:r w:rsidRPr="00BD7AF5">
        <w:rPr>
          <w:rFonts w:ascii="Times New Roman" w:hAnsi="Times New Roman" w:cs="Times New Roman"/>
          <w:i/>
          <w:sz w:val="24"/>
          <w:szCs w:val="24"/>
          <w:vertAlign w:val="baseline"/>
        </w:rPr>
        <w:t>Human Rights of Women: National and International Perspectives</w:t>
      </w:r>
      <w:r>
        <w:rPr>
          <w:rFonts w:ascii="Times New Roman" w:hAnsi="Times New Roman" w:cs="Times New Roman"/>
          <w:sz w:val="24"/>
          <w:szCs w:val="24"/>
          <w:vertAlign w:val="baseline"/>
        </w:rPr>
        <w:t xml:space="preserve"> (Pennsylvania UP 1994)</w:t>
      </w:r>
    </w:p>
    <w:p w14:paraId="4316B760" w14:textId="77777777" w:rsidR="003E2C58" w:rsidRDefault="003E2C58" w:rsidP="003E2C58">
      <w:pPr>
        <w:rPr>
          <w:rFonts w:ascii="Times New Roman" w:hAnsi="Times New Roman" w:cs="Times New Roman"/>
          <w:sz w:val="24"/>
          <w:szCs w:val="24"/>
          <w:vertAlign w:val="baseline"/>
        </w:rPr>
      </w:pPr>
    </w:p>
    <w:p w14:paraId="426EC00A" w14:textId="5B4528B3" w:rsidR="00F17591" w:rsidRPr="00F97F26" w:rsidRDefault="00F17591" w:rsidP="00F17591">
      <w:pPr>
        <w:rPr>
          <w:rFonts w:ascii="Times New Roman" w:hAnsi="Times New Roman" w:cs="Times New Roman"/>
          <w:sz w:val="24"/>
          <w:szCs w:val="24"/>
          <w:vertAlign w:val="baseline"/>
        </w:rPr>
      </w:pPr>
      <w:r>
        <w:rPr>
          <w:rFonts w:ascii="Times New Roman" w:hAnsi="Times New Roman" w:cs="Times New Roman"/>
          <w:sz w:val="24"/>
          <w:szCs w:val="24"/>
          <w:vertAlign w:val="baseline"/>
        </w:rPr>
        <w:t>B</w:t>
      </w:r>
      <w:r w:rsidRPr="00F97F26">
        <w:rPr>
          <w:rFonts w:ascii="Times New Roman" w:hAnsi="Times New Roman" w:cs="Times New Roman"/>
          <w:sz w:val="24"/>
          <w:szCs w:val="24"/>
          <w:vertAlign w:val="baseline"/>
        </w:rPr>
        <w:t>yrnes</w:t>
      </w:r>
      <w:r>
        <w:rPr>
          <w:rFonts w:ascii="Times New Roman" w:hAnsi="Times New Roman" w:cs="Times New Roman"/>
          <w:sz w:val="24"/>
          <w:szCs w:val="24"/>
          <w:vertAlign w:val="baseline"/>
        </w:rPr>
        <w:t xml:space="preserve"> A</w:t>
      </w:r>
      <w:r w:rsidRPr="00F97F26">
        <w:rPr>
          <w:rFonts w:ascii="Times New Roman" w:hAnsi="Times New Roman" w:cs="Times New Roman"/>
          <w:sz w:val="24"/>
          <w:szCs w:val="24"/>
          <w:vertAlign w:val="baseline"/>
        </w:rPr>
        <w:t>, ‘The Committee on the Elimination of Discri</w:t>
      </w:r>
      <w:r>
        <w:rPr>
          <w:rFonts w:ascii="Times New Roman" w:hAnsi="Times New Roman" w:cs="Times New Roman"/>
          <w:sz w:val="24"/>
          <w:szCs w:val="24"/>
          <w:vertAlign w:val="baseline"/>
        </w:rPr>
        <w:t xml:space="preserve">mination against Women’ in </w:t>
      </w:r>
      <w:r w:rsidRPr="00F97F26">
        <w:rPr>
          <w:rFonts w:ascii="Times New Roman" w:hAnsi="Times New Roman" w:cs="Times New Roman"/>
          <w:sz w:val="24"/>
          <w:szCs w:val="24"/>
          <w:vertAlign w:val="baseline"/>
        </w:rPr>
        <w:t xml:space="preserve">Hellum </w:t>
      </w:r>
      <w:r>
        <w:rPr>
          <w:rFonts w:ascii="Times New Roman" w:hAnsi="Times New Roman" w:cs="Times New Roman"/>
          <w:sz w:val="24"/>
          <w:szCs w:val="24"/>
          <w:vertAlign w:val="baseline"/>
        </w:rPr>
        <w:t xml:space="preserve">A and </w:t>
      </w:r>
      <w:r w:rsidRPr="00F97F26">
        <w:rPr>
          <w:rFonts w:ascii="Times New Roman" w:hAnsi="Times New Roman" w:cs="Times New Roman"/>
          <w:sz w:val="24"/>
          <w:szCs w:val="24"/>
          <w:vertAlign w:val="baseline"/>
        </w:rPr>
        <w:t>Sinding Aasen</w:t>
      </w:r>
      <w:r>
        <w:rPr>
          <w:rFonts w:ascii="Times New Roman" w:hAnsi="Times New Roman" w:cs="Times New Roman"/>
          <w:sz w:val="24"/>
          <w:szCs w:val="24"/>
          <w:vertAlign w:val="baseline"/>
        </w:rPr>
        <w:t xml:space="preserve"> H</w:t>
      </w:r>
      <w:r w:rsidRPr="00F97F26">
        <w:rPr>
          <w:rFonts w:ascii="Times New Roman" w:hAnsi="Times New Roman" w:cs="Times New Roman"/>
          <w:sz w:val="24"/>
          <w:szCs w:val="24"/>
          <w:vertAlign w:val="baseline"/>
        </w:rPr>
        <w:t xml:space="preserve">, </w:t>
      </w:r>
      <w:r w:rsidRPr="00F97F26">
        <w:rPr>
          <w:rFonts w:ascii="Times New Roman" w:hAnsi="Times New Roman" w:cs="Times New Roman"/>
          <w:i/>
          <w:sz w:val="24"/>
          <w:szCs w:val="24"/>
          <w:vertAlign w:val="baseline"/>
        </w:rPr>
        <w:t>Women’s Human Rights: CEDAW in International, Regional and National Law</w:t>
      </w:r>
      <w:r>
        <w:rPr>
          <w:rFonts w:ascii="Times New Roman" w:hAnsi="Times New Roman" w:cs="Times New Roman"/>
          <w:sz w:val="24"/>
          <w:szCs w:val="24"/>
          <w:vertAlign w:val="baseline"/>
        </w:rPr>
        <w:t xml:space="preserve"> (CUP 2013)</w:t>
      </w:r>
    </w:p>
    <w:p w14:paraId="00C937CF" w14:textId="77777777" w:rsidR="00F17591" w:rsidRDefault="00F17591" w:rsidP="003E2C58">
      <w:pPr>
        <w:rPr>
          <w:rFonts w:ascii="Times New Roman" w:hAnsi="Times New Roman" w:cs="Times New Roman"/>
          <w:sz w:val="24"/>
          <w:szCs w:val="24"/>
          <w:vertAlign w:val="baseline"/>
        </w:rPr>
      </w:pPr>
    </w:p>
    <w:p w14:paraId="5985B072"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Byrnes</w:t>
      </w:r>
      <w:r>
        <w:rPr>
          <w:rFonts w:ascii="Times New Roman" w:hAnsi="Times New Roman" w:cs="Times New Roman"/>
          <w:sz w:val="24"/>
          <w:szCs w:val="24"/>
          <w:vertAlign w:val="baseline"/>
        </w:rPr>
        <w:t xml:space="preserve"> A</w:t>
      </w:r>
      <w:r w:rsidRPr="00672137">
        <w:rPr>
          <w:rFonts w:ascii="Times New Roman" w:hAnsi="Times New Roman" w:cs="Times New Roman"/>
          <w:sz w:val="24"/>
          <w:szCs w:val="24"/>
          <w:vertAlign w:val="baseline"/>
        </w:rPr>
        <w:t xml:space="preserve"> and Bath</w:t>
      </w:r>
      <w:r>
        <w:rPr>
          <w:rFonts w:ascii="Times New Roman" w:hAnsi="Times New Roman" w:cs="Times New Roman"/>
          <w:sz w:val="24"/>
          <w:szCs w:val="24"/>
          <w:vertAlign w:val="baseline"/>
        </w:rPr>
        <w:t xml:space="preserve"> E</w:t>
      </w:r>
      <w:r w:rsidRPr="00672137">
        <w:rPr>
          <w:rFonts w:ascii="Times New Roman" w:hAnsi="Times New Roman" w:cs="Times New Roman"/>
          <w:sz w:val="24"/>
          <w:szCs w:val="24"/>
          <w:vertAlign w:val="baseline"/>
        </w:rPr>
        <w:t>, ‘Violence against women, the obligation of due diligence, and the Optional Protocol to the Convention on the Elimination of all Forms of Discrimination against Women</w:t>
      </w:r>
      <w:r>
        <w:rPr>
          <w:rFonts w:ascii="Times New Roman" w:hAnsi="Times New Roman" w:cs="Times New Roman"/>
          <w:sz w:val="24"/>
          <w:szCs w:val="24"/>
          <w:vertAlign w:val="baseline"/>
        </w:rPr>
        <w:t xml:space="preserve"> </w:t>
      </w:r>
      <w:r w:rsidRPr="00672137">
        <w:rPr>
          <w:rFonts w:ascii="Times New Roman" w:hAnsi="Times New Roman" w:cs="Times New Roman"/>
          <w:sz w:val="24"/>
          <w:szCs w:val="24"/>
          <w:vertAlign w:val="baseline"/>
        </w:rPr>
        <w:t>- recen</w:t>
      </w:r>
      <w:r>
        <w:rPr>
          <w:rFonts w:ascii="Times New Roman" w:hAnsi="Times New Roman" w:cs="Times New Roman"/>
          <w:sz w:val="24"/>
          <w:szCs w:val="24"/>
          <w:vertAlign w:val="baseline"/>
        </w:rPr>
        <w:t>t’ (2008) 8(3) HRL Rev</w:t>
      </w:r>
      <w:r w:rsidRPr="00672137">
        <w:rPr>
          <w:rFonts w:ascii="Times New Roman" w:hAnsi="Times New Roman" w:cs="Times New Roman"/>
          <w:sz w:val="24"/>
          <w:szCs w:val="24"/>
          <w:vertAlign w:val="baseline"/>
        </w:rPr>
        <w:t xml:space="preserve"> 517</w:t>
      </w:r>
    </w:p>
    <w:p w14:paraId="78CEE5B2" w14:textId="77777777" w:rsidR="003E2C58" w:rsidRDefault="003E2C58" w:rsidP="003E2C58">
      <w:pPr>
        <w:rPr>
          <w:rFonts w:ascii="Times New Roman" w:hAnsi="Times New Roman" w:cs="Times New Roman"/>
          <w:sz w:val="24"/>
          <w:szCs w:val="24"/>
          <w:vertAlign w:val="baseline"/>
        </w:rPr>
      </w:pPr>
    </w:p>
    <w:p w14:paraId="344EC72A"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Caluag</w:t>
      </w:r>
      <w:r>
        <w:rPr>
          <w:rFonts w:ascii="Times New Roman" w:hAnsi="Times New Roman" w:cs="Times New Roman"/>
          <w:sz w:val="24"/>
          <w:szCs w:val="24"/>
          <w:vertAlign w:val="baseline"/>
        </w:rPr>
        <w:t xml:space="preserve"> M</w:t>
      </w:r>
      <w:r w:rsidRPr="00672137">
        <w:rPr>
          <w:rFonts w:ascii="Times New Roman" w:hAnsi="Times New Roman" w:cs="Times New Roman"/>
          <w:sz w:val="24"/>
          <w:szCs w:val="24"/>
          <w:vertAlign w:val="baseline"/>
        </w:rPr>
        <w:t>, ‘Poverty in Ghana’ (The Borgen Project</w:t>
      </w:r>
      <w:r>
        <w:rPr>
          <w:rFonts w:ascii="Times New Roman" w:hAnsi="Times New Roman" w:cs="Times New Roman"/>
          <w:sz w:val="24"/>
          <w:szCs w:val="24"/>
          <w:vertAlign w:val="baseline"/>
        </w:rPr>
        <w:t>,</w:t>
      </w:r>
      <w:r w:rsidRPr="00672137">
        <w:rPr>
          <w:rFonts w:ascii="Times New Roman" w:hAnsi="Times New Roman" w:cs="Times New Roman"/>
          <w:sz w:val="24"/>
          <w:szCs w:val="24"/>
          <w:vertAlign w:val="baseline"/>
        </w:rPr>
        <w:t xml:space="preserve"> July 2013) &lt;</w:t>
      </w:r>
      <w:hyperlink r:id="rId31" w:history="1">
        <w:r w:rsidRPr="00702F67">
          <w:rPr>
            <w:rStyle w:val="Hyperlink"/>
            <w:rFonts w:ascii="Times New Roman" w:hAnsi="Times New Roman" w:cs="Times New Roman"/>
            <w:sz w:val="24"/>
            <w:szCs w:val="24"/>
            <w:vertAlign w:val="baseline"/>
          </w:rPr>
          <w:t>http://borgenproject.org/poverty-in-ghana/&gt; a</w:t>
        </w:r>
      </w:hyperlink>
      <w:r w:rsidRPr="00672137">
        <w:rPr>
          <w:rFonts w:ascii="Times New Roman" w:hAnsi="Times New Roman" w:cs="Times New Roman"/>
          <w:sz w:val="24"/>
          <w:szCs w:val="24"/>
          <w:vertAlign w:val="baseline"/>
        </w:rPr>
        <w:t>ccessed 6 February 2015.</w:t>
      </w:r>
    </w:p>
    <w:p w14:paraId="4D3B6681" w14:textId="77777777" w:rsidR="003E2C58" w:rsidRDefault="003E2C58" w:rsidP="003E2C58">
      <w:pPr>
        <w:rPr>
          <w:rFonts w:ascii="Times New Roman" w:hAnsi="Times New Roman" w:cs="Times New Roman"/>
          <w:sz w:val="24"/>
          <w:szCs w:val="24"/>
          <w:vertAlign w:val="baseline"/>
        </w:rPr>
      </w:pPr>
    </w:p>
    <w:p w14:paraId="7AD8514E"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Cambridge Network, ‘Meningococcal meningitis outbreaks spreading from Ghana’ (Cambridge Network, 26 March 2014) &lt;</w:t>
      </w:r>
      <w:hyperlink r:id="rId32" w:history="1">
        <w:r w:rsidRPr="00E52674">
          <w:rPr>
            <w:rStyle w:val="Hyperlink"/>
            <w:rFonts w:ascii="Times New Roman" w:hAnsi="Times New Roman" w:cs="Times New Roman"/>
            <w:sz w:val="24"/>
            <w:szCs w:val="24"/>
            <w:vertAlign w:val="baseline"/>
          </w:rPr>
          <w:t>https://www.cambridgenetwork.co.uk/news/meningococcal-meningitis-outbreaks-spreading-from-ghana-news1704/&gt;</w:t>
        </w:r>
      </w:hyperlink>
      <w:r w:rsidRPr="00672137">
        <w:rPr>
          <w:rFonts w:ascii="Times New Roman" w:hAnsi="Times New Roman" w:cs="Times New Roman"/>
          <w:sz w:val="24"/>
          <w:szCs w:val="24"/>
          <w:vertAlign w:val="baseline"/>
        </w:rPr>
        <w:t xml:space="preserve"> accessed 5 November 2014</w:t>
      </w:r>
    </w:p>
    <w:p w14:paraId="57B4137F" w14:textId="77777777" w:rsidR="003E2C58" w:rsidRDefault="003E2C58" w:rsidP="003E2C58">
      <w:pPr>
        <w:rPr>
          <w:rFonts w:ascii="Times New Roman" w:hAnsi="Times New Roman" w:cs="Times New Roman"/>
          <w:sz w:val="24"/>
          <w:szCs w:val="24"/>
          <w:vertAlign w:val="baseline"/>
        </w:rPr>
      </w:pPr>
    </w:p>
    <w:p w14:paraId="325CDA36"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Campbell</w:t>
      </w:r>
      <w:r>
        <w:rPr>
          <w:rFonts w:ascii="Times New Roman" w:hAnsi="Times New Roman" w:cs="Times New Roman"/>
          <w:sz w:val="24"/>
          <w:szCs w:val="24"/>
          <w:vertAlign w:val="baseline"/>
        </w:rPr>
        <w:t xml:space="preserve"> T, </w:t>
      </w:r>
      <w:r w:rsidRPr="00672137">
        <w:rPr>
          <w:rFonts w:ascii="Times New Roman" w:hAnsi="Times New Roman" w:cs="Times New Roman"/>
          <w:sz w:val="24"/>
          <w:szCs w:val="24"/>
          <w:vertAlign w:val="baseline"/>
        </w:rPr>
        <w:t>Goldberg</w:t>
      </w:r>
      <w:r>
        <w:rPr>
          <w:rFonts w:ascii="Times New Roman" w:hAnsi="Times New Roman" w:cs="Times New Roman"/>
          <w:sz w:val="24"/>
          <w:szCs w:val="24"/>
          <w:vertAlign w:val="baseline"/>
        </w:rPr>
        <w:t xml:space="preserve"> D, </w:t>
      </w:r>
      <w:r w:rsidRPr="00672137">
        <w:rPr>
          <w:rFonts w:ascii="Times New Roman" w:hAnsi="Times New Roman" w:cs="Times New Roman"/>
          <w:sz w:val="24"/>
          <w:szCs w:val="24"/>
          <w:vertAlign w:val="baseline"/>
        </w:rPr>
        <w:t xml:space="preserve">McLean </w:t>
      </w:r>
      <w:r>
        <w:rPr>
          <w:rFonts w:ascii="Times New Roman" w:hAnsi="Times New Roman" w:cs="Times New Roman"/>
          <w:sz w:val="24"/>
          <w:szCs w:val="24"/>
          <w:vertAlign w:val="baseline"/>
        </w:rPr>
        <w:t xml:space="preserve">S and </w:t>
      </w:r>
      <w:r w:rsidRPr="00672137">
        <w:rPr>
          <w:rFonts w:ascii="Times New Roman" w:hAnsi="Times New Roman" w:cs="Times New Roman"/>
          <w:sz w:val="24"/>
          <w:szCs w:val="24"/>
          <w:vertAlign w:val="baseline"/>
        </w:rPr>
        <w:t>Muller</w:t>
      </w:r>
      <w:r>
        <w:rPr>
          <w:rFonts w:ascii="Times New Roman" w:hAnsi="Times New Roman" w:cs="Times New Roman"/>
          <w:sz w:val="24"/>
          <w:szCs w:val="24"/>
          <w:vertAlign w:val="baseline"/>
        </w:rPr>
        <w:t xml:space="preserve"> T</w:t>
      </w:r>
      <w:r w:rsidRPr="00672137">
        <w:rPr>
          <w:rFonts w:ascii="Times New Roman" w:hAnsi="Times New Roman" w:cs="Times New Roman"/>
          <w:sz w:val="24"/>
          <w:szCs w:val="24"/>
          <w:vertAlign w:val="baseline"/>
        </w:rPr>
        <w:t xml:space="preserve"> (eds) </w:t>
      </w:r>
      <w:r w:rsidRPr="00A21E1A">
        <w:rPr>
          <w:rFonts w:ascii="Times New Roman" w:hAnsi="Times New Roman" w:cs="Times New Roman"/>
          <w:i/>
          <w:sz w:val="24"/>
          <w:szCs w:val="24"/>
          <w:vertAlign w:val="baseline"/>
        </w:rPr>
        <w:t>Human Rights: From Rhetoric to Reality</w:t>
      </w:r>
      <w:r>
        <w:rPr>
          <w:rFonts w:ascii="Times New Roman" w:hAnsi="Times New Roman" w:cs="Times New Roman"/>
          <w:sz w:val="24"/>
          <w:szCs w:val="24"/>
          <w:vertAlign w:val="baseline"/>
        </w:rPr>
        <w:t xml:space="preserve"> (Basil Blackwell 1986)</w:t>
      </w:r>
    </w:p>
    <w:p w14:paraId="2F2C12C0" w14:textId="77777777" w:rsidR="003E2C58" w:rsidRDefault="003E2C58" w:rsidP="003E2C58">
      <w:pPr>
        <w:rPr>
          <w:rFonts w:ascii="Times New Roman" w:hAnsi="Times New Roman" w:cs="Times New Roman"/>
          <w:sz w:val="24"/>
          <w:szCs w:val="24"/>
          <w:vertAlign w:val="baseline"/>
        </w:rPr>
      </w:pPr>
    </w:p>
    <w:p w14:paraId="48D80E04"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Calaguas</w:t>
      </w:r>
      <w:r>
        <w:rPr>
          <w:rFonts w:ascii="Times New Roman" w:hAnsi="Times New Roman" w:cs="Times New Roman"/>
          <w:sz w:val="24"/>
          <w:szCs w:val="24"/>
          <w:vertAlign w:val="baseline"/>
        </w:rPr>
        <w:t xml:space="preserve"> MJ, </w:t>
      </w:r>
      <w:r w:rsidRPr="00672137">
        <w:rPr>
          <w:rFonts w:ascii="Times New Roman" w:hAnsi="Times New Roman" w:cs="Times New Roman"/>
          <w:sz w:val="24"/>
          <w:szCs w:val="24"/>
          <w:vertAlign w:val="baseline"/>
        </w:rPr>
        <w:t>Drost</w:t>
      </w:r>
      <w:r>
        <w:rPr>
          <w:rFonts w:ascii="Times New Roman" w:hAnsi="Times New Roman" w:cs="Times New Roman"/>
          <w:sz w:val="24"/>
          <w:szCs w:val="24"/>
          <w:vertAlign w:val="baseline"/>
        </w:rPr>
        <w:t xml:space="preserve"> CM, </w:t>
      </w:r>
      <w:r w:rsidRPr="00672137">
        <w:rPr>
          <w:rFonts w:ascii="Times New Roman" w:hAnsi="Times New Roman" w:cs="Times New Roman"/>
          <w:sz w:val="24"/>
          <w:szCs w:val="24"/>
          <w:vertAlign w:val="baseline"/>
        </w:rPr>
        <w:t>Fluet</w:t>
      </w:r>
      <w:r>
        <w:rPr>
          <w:rFonts w:ascii="Times New Roman" w:hAnsi="Times New Roman" w:cs="Times New Roman"/>
          <w:sz w:val="24"/>
          <w:szCs w:val="24"/>
          <w:vertAlign w:val="baseline"/>
        </w:rPr>
        <w:t xml:space="preserve"> ER</w:t>
      </w:r>
      <w:r w:rsidRPr="00672137">
        <w:rPr>
          <w:rFonts w:ascii="Times New Roman" w:hAnsi="Times New Roman" w:cs="Times New Roman"/>
          <w:sz w:val="24"/>
          <w:szCs w:val="24"/>
          <w:vertAlign w:val="baseline"/>
        </w:rPr>
        <w:t>, ‘Legal Pluralism &amp; Women’s Rights: A Study in Post-Colonial Tanzania’ (2006) Social Science Research Network</w:t>
      </w:r>
      <w:r>
        <w:rPr>
          <w:rFonts w:ascii="Times New Roman" w:hAnsi="Times New Roman" w:cs="Times New Roman"/>
          <w:sz w:val="24"/>
          <w:szCs w:val="24"/>
          <w:vertAlign w:val="baseline"/>
        </w:rPr>
        <w:t xml:space="preserve"> 1</w:t>
      </w:r>
    </w:p>
    <w:p w14:paraId="239E871F" w14:textId="77777777" w:rsidR="003E2C58" w:rsidRDefault="003E2C58" w:rsidP="003E2C58">
      <w:pPr>
        <w:rPr>
          <w:rFonts w:ascii="Times New Roman" w:hAnsi="Times New Roman" w:cs="Times New Roman"/>
          <w:sz w:val="24"/>
          <w:szCs w:val="24"/>
          <w:vertAlign w:val="baseline"/>
        </w:rPr>
      </w:pPr>
    </w:p>
    <w:p w14:paraId="13B277AC"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Cane</w:t>
      </w:r>
      <w:r>
        <w:rPr>
          <w:rFonts w:ascii="Times New Roman" w:hAnsi="Times New Roman" w:cs="Times New Roman"/>
          <w:sz w:val="24"/>
          <w:szCs w:val="24"/>
          <w:vertAlign w:val="baseline"/>
        </w:rPr>
        <w:t xml:space="preserve"> P</w:t>
      </w:r>
      <w:r w:rsidRPr="00672137">
        <w:rPr>
          <w:rFonts w:ascii="Times New Roman" w:hAnsi="Times New Roman" w:cs="Times New Roman"/>
          <w:sz w:val="24"/>
          <w:szCs w:val="24"/>
          <w:vertAlign w:val="baseline"/>
        </w:rPr>
        <w:t xml:space="preserve"> and Kritzer </w:t>
      </w:r>
      <w:r>
        <w:rPr>
          <w:rFonts w:ascii="Times New Roman" w:hAnsi="Times New Roman" w:cs="Times New Roman"/>
          <w:sz w:val="24"/>
          <w:szCs w:val="24"/>
          <w:vertAlign w:val="baseline"/>
        </w:rPr>
        <w:t xml:space="preserve">HM (eds) </w:t>
      </w:r>
      <w:r w:rsidRPr="007E32E4">
        <w:rPr>
          <w:rFonts w:ascii="Times New Roman" w:hAnsi="Times New Roman" w:cs="Times New Roman"/>
          <w:i/>
          <w:sz w:val="24"/>
          <w:szCs w:val="24"/>
          <w:vertAlign w:val="baseline"/>
        </w:rPr>
        <w:t>The Oxford Handbook of Empirical Legal Research</w:t>
      </w:r>
      <w:r>
        <w:rPr>
          <w:rFonts w:ascii="Times New Roman" w:hAnsi="Times New Roman" w:cs="Times New Roman"/>
          <w:sz w:val="24"/>
          <w:szCs w:val="24"/>
          <w:vertAlign w:val="baseline"/>
        </w:rPr>
        <w:t xml:space="preserve"> (OUP 2010)</w:t>
      </w:r>
    </w:p>
    <w:p w14:paraId="40A5B8EE" w14:textId="77777777" w:rsidR="003E2C58" w:rsidRDefault="003E2C58" w:rsidP="003E2C58">
      <w:pPr>
        <w:rPr>
          <w:rFonts w:ascii="Times New Roman" w:hAnsi="Times New Roman" w:cs="Times New Roman"/>
          <w:sz w:val="24"/>
          <w:szCs w:val="24"/>
          <w:vertAlign w:val="baseline"/>
        </w:rPr>
      </w:pPr>
    </w:p>
    <w:p w14:paraId="30B46C30"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Carter</w:t>
      </w:r>
      <w:r>
        <w:rPr>
          <w:rFonts w:ascii="Times New Roman" w:hAnsi="Times New Roman" w:cs="Times New Roman"/>
          <w:sz w:val="24"/>
          <w:szCs w:val="24"/>
          <w:vertAlign w:val="baseline"/>
        </w:rPr>
        <w:t xml:space="preserve"> C</w:t>
      </w:r>
      <w:r w:rsidRPr="00672137">
        <w:rPr>
          <w:rFonts w:ascii="Times New Roman" w:hAnsi="Times New Roman" w:cs="Times New Roman"/>
          <w:sz w:val="24"/>
          <w:szCs w:val="24"/>
          <w:vertAlign w:val="baseline"/>
        </w:rPr>
        <w:t xml:space="preserve">, </w:t>
      </w:r>
      <w:r w:rsidRPr="00FB233B">
        <w:rPr>
          <w:rFonts w:ascii="Times New Roman" w:hAnsi="Times New Roman" w:cs="Times New Roman"/>
          <w:i/>
          <w:sz w:val="24"/>
          <w:szCs w:val="24"/>
          <w:vertAlign w:val="baseline"/>
        </w:rPr>
        <w:t>Science and Psychic Phenomena: The Fall of the House of Skeptics</w:t>
      </w:r>
      <w:r w:rsidRPr="00672137">
        <w:rPr>
          <w:rFonts w:ascii="Times New Roman" w:hAnsi="Times New Roman" w:cs="Times New Roman"/>
          <w:sz w:val="24"/>
          <w:szCs w:val="24"/>
          <w:vertAlign w:val="baseline"/>
        </w:rPr>
        <w:t xml:space="preserve"> (Inner Traditions 2012</w:t>
      </w:r>
      <w:r>
        <w:rPr>
          <w:rFonts w:ascii="Times New Roman" w:hAnsi="Times New Roman" w:cs="Times New Roman"/>
          <w:sz w:val="24"/>
          <w:szCs w:val="24"/>
          <w:vertAlign w:val="baseline"/>
        </w:rPr>
        <w:t>)</w:t>
      </w:r>
    </w:p>
    <w:p w14:paraId="14A72C3B" w14:textId="77777777" w:rsidR="003E2C58" w:rsidRDefault="003E2C58" w:rsidP="003E2C58">
      <w:pPr>
        <w:rPr>
          <w:rFonts w:ascii="Times New Roman" w:hAnsi="Times New Roman" w:cs="Times New Roman"/>
          <w:sz w:val="24"/>
          <w:szCs w:val="24"/>
          <w:vertAlign w:val="baseline"/>
        </w:rPr>
      </w:pPr>
    </w:p>
    <w:p w14:paraId="586B3D98" w14:textId="77777777" w:rsidR="00A913FC" w:rsidRPr="00672137" w:rsidRDefault="00A913FC" w:rsidP="00A913FC">
      <w:pPr>
        <w:rPr>
          <w:rFonts w:ascii="Times New Roman" w:hAnsi="Times New Roman" w:cs="Times New Roman"/>
          <w:sz w:val="24"/>
          <w:szCs w:val="24"/>
          <w:vertAlign w:val="baseline"/>
        </w:rPr>
      </w:pPr>
      <w:r>
        <w:rPr>
          <w:rFonts w:ascii="Times New Roman" w:hAnsi="Times New Roman" w:cs="Times New Roman"/>
          <w:sz w:val="24"/>
          <w:szCs w:val="24"/>
          <w:vertAlign w:val="baseline"/>
        </w:rPr>
        <w:t>CCPR</w:t>
      </w:r>
      <w:r w:rsidRPr="00672137">
        <w:rPr>
          <w:rFonts w:ascii="Times New Roman" w:hAnsi="Times New Roman" w:cs="Times New Roman"/>
          <w:sz w:val="24"/>
          <w:szCs w:val="24"/>
          <w:vertAlign w:val="baseline"/>
        </w:rPr>
        <w:t>, ‘Concluding Observations on the second periodic report of Nepal’ 15 April 2014 CCPR/C/NPL/CO/2</w:t>
      </w:r>
    </w:p>
    <w:p w14:paraId="2526C916" w14:textId="77777777" w:rsidR="00A913FC" w:rsidRDefault="00A913FC" w:rsidP="00A913FC">
      <w:pPr>
        <w:rPr>
          <w:rFonts w:ascii="Times New Roman" w:hAnsi="Times New Roman" w:cs="Times New Roman"/>
          <w:sz w:val="24"/>
          <w:szCs w:val="24"/>
          <w:vertAlign w:val="baseline"/>
        </w:rPr>
      </w:pPr>
    </w:p>
    <w:p w14:paraId="5BFD14CD" w14:textId="77777777" w:rsidR="00A913FC" w:rsidRDefault="00A913FC" w:rsidP="00A913FC">
      <w:pPr>
        <w:rPr>
          <w:rFonts w:ascii="Times New Roman" w:hAnsi="Times New Roman" w:cs="Times New Roman"/>
          <w:sz w:val="24"/>
          <w:szCs w:val="24"/>
          <w:vertAlign w:val="baseline"/>
        </w:rPr>
      </w:pPr>
      <w:r>
        <w:rPr>
          <w:rFonts w:ascii="Times New Roman" w:hAnsi="Times New Roman" w:cs="Times New Roman"/>
          <w:sz w:val="24"/>
          <w:szCs w:val="24"/>
          <w:vertAlign w:val="baseline"/>
        </w:rPr>
        <w:t>CCPR,</w:t>
      </w:r>
      <w:r w:rsidRPr="00672137">
        <w:rPr>
          <w:rFonts w:ascii="Times New Roman" w:hAnsi="Times New Roman" w:cs="Times New Roman"/>
          <w:sz w:val="24"/>
          <w:szCs w:val="24"/>
          <w:vertAlign w:val="baseline"/>
        </w:rPr>
        <w:t xml:space="preserve"> ‘Consideration of reports submitted by States parties under article 40 of the Covenant: Initial reports of States parties due in 2001: Ghana’ 30 Janu</w:t>
      </w:r>
      <w:r>
        <w:rPr>
          <w:rFonts w:ascii="Times New Roman" w:hAnsi="Times New Roman" w:cs="Times New Roman"/>
          <w:sz w:val="24"/>
          <w:szCs w:val="24"/>
          <w:vertAlign w:val="baseline"/>
        </w:rPr>
        <w:t>ary 2015, CCPR/C/GHA/1</w:t>
      </w:r>
    </w:p>
    <w:p w14:paraId="1713E513" w14:textId="77777777" w:rsidR="00A913FC" w:rsidRDefault="00A913FC" w:rsidP="00A913FC">
      <w:pPr>
        <w:rPr>
          <w:rFonts w:ascii="Times New Roman" w:hAnsi="Times New Roman" w:cs="Times New Roman"/>
          <w:sz w:val="24"/>
          <w:szCs w:val="24"/>
          <w:vertAlign w:val="baseline"/>
        </w:rPr>
      </w:pPr>
    </w:p>
    <w:p w14:paraId="7147D341" w14:textId="77777777" w:rsidR="00A913FC" w:rsidRPr="00672137" w:rsidRDefault="00A913FC" w:rsidP="00A913FC">
      <w:pPr>
        <w:rPr>
          <w:rFonts w:ascii="Times New Roman" w:hAnsi="Times New Roman" w:cs="Times New Roman"/>
          <w:sz w:val="24"/>
          <w:szCs w:val="24"/>
          <w:vertAlign w:val="baseline"/>
        </w:rPr>
      </w:pPr>
      <w:r>
        <w:rPr>
          <w:rFonts w:ascii="Times New Roman" w:hAnsi="Times New Roman" w:cs="Times New Roman"/>
          <w:sz w:val="24"/>
          <w:szCs w:val="24"/>
          <w:vertAlign w:val="baseline"/>
        </w:rPr>
        <w:t>CCPR</w:t>
      </w:r>
      <w:r w:rsidRPr="00672137">
        <w:rPr>
          <w:rFonts w:ascii="Times New Roman" w:hAnsi="Times New Roman" w:cs="Times New Roman"/>
          <w:sz w:val="24"/>
          <w:szCs w:val="24"/>
          <w:vertAlign w:val="baseline"/>
        </w:rPr>
        <w:t>, ‘Consideration of reports submitted by States parties under article 40 of the Covenant: Second periodic reports of States parties: Nepal’ 8 June 2012 CCPR/C/NPL/2</w:t>
      </w:r>
    </w:p>
    <w:p w14:paraId="6B805E25" w14:textId="77777777" w:rsidR="00A913FC" w:rsidRDefault="00A913FC" w:rsidP="00A913FC">
      <w:pPr>
        <w:rPr>
          <w:rFonts w:ascii="Times New Roman" w:hAnsi="Times New Roman" w:cs="Times New Roman"/>
          <w:sz w:val="24"/>
          <w:szCs w:val="24"/>
          <w:vertAlign w:val="baseline"/>
        </w:rPr>
      </w:pPr>
    </w:p>
    <w:p w14:paraId="36A8A342" w14:textId="77777777" w:rsidR="00A913FC" w:rsidRDefault="00A913FC" w:rsidP="00A913FC">
      <w:pPr>
        <w:rPr>
          <w:rFonts w:ascii="Times New Roman" w:hAnsi="Times New Roman" w:cs="Times New Roman"/>
          <w:sz w:val="24"/>
          <w:szCs w:val="24"/>
          <w:vertAlign w:val="baseline"/>
        </w:rPr>
      </w:pPr>
      <w:r>
        <w:rPr>
          <w:rFonts w:ascii="Times New Roman" w:hAnsi="Times New Roman" w:cs="Times New Roman"/>
          <w:sz w:val="24"/>
          <w:szCs w:val="24"/>
          <w:vertAlign w:val="baseline"/>
        </w:rPr>
        <w:t>CCPR</w:t>
      </w:r>
      <w:r w:rsidRPr="00672137">
        <w:rPr>
          <w:rFonts w:ascii="Times New Roman" w:hAnsi="Times New Roman" w:cs="Times New Roman"/>
          <w:sz w:val="24"/>
          <w:szCs w:val="24"/>
          <w:vertAlign w:val="baseline"/>
        </w:rPr>
        <w:t xml:space="preserve">, General Comment No. 20: Article 7 (Prohibition of torture, or other cruel, inhuman or degrading treatment or punishment) (1992) </w:t>
      </w:r>
      <w:r>
        <w:rPr>
          <w:rFonts w:ascii="Times New Roman" w:hAnsi="Times New Roman" w:cs="Times New Roman"/>
          <w:sz w:val="24"/>
          <w:szCs w:val="24"/>
          <w:vertAlign w:val="baseline"/>
        </w:rPr>
        <w:t>HRI/GEN/1/Rev.9 (Vol. I)</w:t>
      </w:r>
      <w:r w:rsidRPr="00672137">
        <w:rPr>
          <w:rFonts w:ascii="Times New Roman" w:hAnsi="Times New Roman" w:cs="Times New Roman"/>
          <w:sz w:val="24"/>
          <w:szCs w:val="24"/>
          <w:vertAlign w:val="baseline"/>
        </w:rPr>
        <w:t xml:space="preserve">     </w:t>
      </w:r>
    </w:p>
    <w:p w14:paraId="7E8BF184" w14:textId="77777777" w:rsidR="00A913FC" w:rsidRDefault="00A913FC" w:rsidP="00A913FC">
      <w:pPr>
        <w:rPr>
          <w:rFonts w:ascii="Times New Roman" w:hAnsi="Times New Roman" w:cs="Times New Roman"/>
          <w:sz w:val="24"/>
          <w:szCs w:val="24"/>
          <w:vertAlign w:val="baseline"/>
        </w:rPr>
      </w:pPr>
    </w:p>
    <w:p w14:paraId="59BD4D49" w14:textId="77777777" w:rsidR="00A913FC" w:rsidRDefault="00A913FC" w:rsidP="00A913FC">
      <w:pPr>
        <w:rPr>
          <w:rFonts w:ascii="Times New Roman" w:hAnsi="Times New Roman" w:cs="Times New Roman"/>
          <w:sz w:val="24"/>
          <w:szCs w:val="24"/>
          <w:vertAlign w:val="baseline"/>
        </w:rPr>
      </w:pPr>
      <w:r>
        <w:rPr>
          <w:rFonts w:ascii="Times New Roman" w:hAnsi="Times New Roman" w:cs="Times New Roman"/>
          <w:sz w:val="24"/>
          <w:szCs w:val="24"/>
          <w:vertAlign w:val="baseline"/>
        </w:rPr>
        <w:t>CCPR</w:t>
      </w:r>
      <w:r w:rsidRPr="00672137">
        <w:rPr>
          <w:rFonts w:ascii="Times New Roman" w:hAnsi="Times New Roman" w:cs="Times New Roman"/>
          <w:sz w:val="24"/>
          <w:szCs w:val="24"/>
          <w:vertAlign w:val="baseline"/>
        </w:rPr>
        <w:t xml:space="preserve">, General Comment No. 31: The Nature of the General Legal Obligation Imposed on States Parties to the Covenant (2004) </w:t>
      </w:r>
      <w:r>
        <w:rPr>
          <w:rFonts w:ascii="Times New Roman" w:hAnsi="Times New Roman" w:cs="Times New Roman"/>
          <w:sz w:val="24"/>
          <w:szCs w:val="24"/>
          <w:vertAlign w:val="baseline"/>
        </w:rPr>
        <w:t>CCPR/C/21/Rev.1/Add.13</w:t>
      </w:r>
    </w:p>
    <w:p w14:paraId="4E4ADEEE" w14:textId="77777777" w:rsidR="00A913FC" w:rsidRDefault="00A913FC" w:rsidP="00A913FC">
      <w:pPr>
        <w:rPr>
          <w:rFonts w:ascii="Times New Roman" w:hAnsi="Times New Roman" w:cs="Times New Roman"/>
          <w:sz w:val="24"/>
          <w:szCs w:val="24"/>
          <w:vertAlign w:val="baseline"/>
        </w:rPr>
      </w:pPr>
    </w:p>
    <w:p w14:paraId="29574281" w14:textId="77777777" w:rsidR="00A913FC" w:rsidRDefault="00A913FC" w:rsidP="00A913FC">
      <w:pPr>
        <w:rPr>
          <w:rFonts w:ascii="Times New Roman" w:hAnsi="Times New Roman" w:cs="Times New Roman"/>
          <w:sz w:val="24"/>
          <w:szCs w:val="24"/>
          <w:vertAlign w:val="baseline"/>
        </w:rPr>
      </w:pPr>
      <w:r>
        <w:rPr>
          <w:rFonts w:ascii="Times New Roman" w:hAnsi="Times New Roman" w:cs="Times New Roman"/>
          <w:sz w:val="24"/>
          <w:szCs w:val="24"/>
          <w:vertAlign w:val="baseline"/>
        </w:rPr>
        <w:t>CCPR</w:t>
      </w:r>
      <w:r w:rsidRPr="00672137">
        <w:rPr>
          <w:rFonts w:ascii="Times New Roman" w:hAnsi="Times New Roman" w:cs="Times New Roman"/>
          <w:sz w:val="24"/>
          <w:szCs w:val="24"/>
          <w:vertAlign w:val="baseline"/>
        </w:rPr>
        <w:t>, ‘List of issues in relation to the initial report of Ghana’ 4 December 2015 CCPR/C/GHA/Q/1</w:t>
      </w:r>
    </w:p>
    <w:p w14:paraId="139F13E0" w14:textId="77777777" w:rsidR="00A913FC" w:rsidRDefault="00A913FC" w:rsidP="00A913FC">
      <w:pPr>
        <w:rPr>
          <w:rFonts w:ascii="Times New Roman" w:hAnsi="Times New Roman" w:cs="Times New Roman"/>
          <w:sz w:val="24"/>
          <w:szCs w:val="24"/>
          <w:vertAlign w:val="baseline"/>
        </w:rPr>
      </w:pPr>
    </w:p>
    <w:p w14:paraId="58CA3704" w14:textId="77777777" w:rsidR="00A913FC" w:rsidRDefault="00A913FC" w:rsidP="00A913FC">
      <w:pPr>
        <w:rPr>
          <w:rFonts w:ascii="Times New Roman" w:hAnsi="Times New Roman" w:cs="Times New Roman"/>
          <w:sz w:val="24"/>
          <w:szCs w:val="24"/>
          <w:vertAlign w:val="baseline"/>
        </w:rPr>
      </w:pPr>
      <w:r>
        <w:rPr>
          <w:rFonts w:ascii="Times New Roman" w:hAnsi="Times New Roman" w:cs="Times New Roman"/>
          <w:sz w:val="24"/>
          <w:szCs w:val="24"/>
          <w:vertAlign w:val="baseline"/>
        </w:rPr>
        <w:t>CCPR</w:t>
      </w:r>
      <w:r w:rsidRPr="00672137">
        <w:rPr>
          <w:rFonts w:ascii="Times New Roman" w:hAnsi="Times New Roman" w:cs="Times New Roman"/>
          <w:sz w:val="24"/>
          <w:szCs w:val="24"/>
          <w:vertAlign w:val="baseline"/>
        </w:rPr>
        <w:t>, ‘List of issues in relation to the second periodic report of Nepal’ 21 August 2013 CCPR/C/NPL/Q/2</w:t>
      </w:r>
    </w:p>
    <w:p w14:paraId="60AD6899" w14:textId="77777777" w:rsidR="00A913FC" w:rsidRDefault="00A913FC" w:rsidP="00A913FC">
      <w:pPr>
        <w:rPr>
          <w:rFonts w:ascii="Times New Roman" w:hAnsi="Times New Roman" w:cs="Times New Roman"/>
          <w:sz w:val="24"/>
          <w:szCs w:val="24"/>
          <w:vertAlign w:val="baseline"/>
        </w:rPr>
      </w:pPr>
    </w:p>
    <w:p w14:paraId="77928EBE" w14:textId="77777777" w:rsidR="00A913FC" w:rsidRDefault="00A913FC" w:rsidP="00A913FC">
      <w:pPr>
        <w:rPr>
          <w:rFonts w:ascii="Times New Roman" w:hAnsi="Times New Roman" w:cs="Times New Roman"/>
          <w:sz w:val="24"/>
          <w:szCs w:val="24"/>
          <w:vertAlign w:val="baseline"/>
        </w:rPr>
      </w:pPr>
      <w:r>
        <w:rPr>
          <w:rFonts w:ascii="Times New Roman" w:hAnsi="Times New Roman" w:cs="Times New Roman"/>
          <w:sz w:val="24"/>
          <w:szCs w:val="24"/>
          <w:vertAlign w:val="baseline"/>
        </w:rPr>
        <w:t>CCPR</w:t>
      </w:r>
      <w:r w:rsidRPr="00672137">
        <w:rPr>
          <w:rFonts w:ascii="Times New Roman" w:hAnsi="Times New Roman" w:cs="Times New Roman"/>
          <w:sz w:val="24"/>
          <w:szCs w:val="24"/>
          <w:vertAlign w:val="baseline"/>
        </w:rPr>
        <w:t xml:space="preserve">, ‘Replies of Nepal to the </w:t>
      </w:r>
      <w:r>
        <w:rPr>
          <w:rFonts w:ascii="Times New Roman" w:hAnsi="Times New Roman" w:cs="Times New Roman"/>
          <w:sz w:val="24"/>
          <w:szCs w:val="24"/>
          <w:vertAlign w:val="baseline"/>
        </w:rPr>
        <w:t xml:space="preserve">list of issues’ 24 January 2014 </w:t>
      </w:r>
      <w:r w:rsidRPr="00672137">
        <w:rPr>
          <w:rFonts w:ascii="Times New Roman" w:hAnsi="Times New Roman" w:cs="Times New Roman"/>
          <w:sz w:val="24"/>
          <w:szCs w:val="24"/>
          <w:vertAlign w:val="baseline"/>
        </w:rPr>
        <w:t>CCPR/C/NPL/Q/2/Add.1</w:t>
      </w:r>
    </w:p>
    <w:p w14:paraId="26CE6E53" w14:textId="77777777" w:rsidR="00A913FC" w:rsidRDefault="00A913FC" w:rsidP="003E2C58">
      <w:pPr>
        <w:rPr>
          <w:rFonts w:ascii="Times New Roman" w:hAnsi="Times New Roman" w:cs="Times New Roman"/>
          <w:sz w:val="24"/>
          <w:szCs w:val="24"/>
          <w:vertAlign w:val="baseline"/>
        </w:rPr>
      </w:pPr>
    </w:p>
    <w:p w14:paraId="091BBD23" w14:textId="77777777" w:rsidR="006D2CCE" w:rsidRDefault="006D2CCE" w:rsidP="006D2CCE">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CEDAW Committee, ‘CEDAW General Recommendation No. 12: Violence against women’ (1989) General Asse</w:t>
      </w:r>
      <w:r>
        <w:rPr>
          <w:rFonts w:ascii="Times New Roman" w:hAnsi="Times New Roman" w:cs="Times New Roman"/>
          <w:sz w:val="24"/>
          <w:szCs w:val="24"/>
          <w:vertAlign w:val="baseline"/>
        </w:rPr>
        <w:t>mbly 8th session, A/44/38</w:t>
      </w:r>
    </w:p>
    <w:p w14:paraId="0833A7A2" w14:textId="77777777" w:rsidR="006D2CCE" w:rsidRDefault="006D2CCE" w:rsidP="006D2CCE">
      <w:pPr>
        <w:rPr>
          <w:rFonts w:ascii="Times New Roman" w:hAnsi="Times New Roman" w:cs="Times New Roman"/>
          <w:sz w:val="24"/>
          <w:szCs w:val="24"/>
          <w:vertAlign w:val="baseline"/>
        </w:rPr>
      </w:pPr>
    </w:p>
    <w:p w14:paraId="40B2A301" w14:textId="77777777" w:rsidR="006D2CCE" w:rsidRPr="00672137" w:rsidRDefault="006D2CCE" w:rsidP="006D2CCE">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CEDAW Committee, ‘CEDAW General Recommendation No. 19: Violence against women’ (1993) General Asse</w:t>
      </w:r>
      <w:r>
        <w:rPr>
          <w:rFonts w:ascii="Times New Roman" w:hAnsi="Times New Roman" w:cs="Times New Roman"/>
          <w:sz w:val="24"/>
          <w:szCs w:val="24"/>
          <w:vertAlign w:val="baseline"/>
        </w:rPr>
        <w:t>mbly 11th session, A/47/38</w:t>
      </w:r>
    </w:p>
    <w:p w14:paraId="20243D33" w14:textId="77777777" w:rsidR="006D2CCE" w:rsidRDefault="006D2CCE" w:rsidP="006D2CCE">
      <w:pPr>
        <w:rPr>
          <w:rFonts w:ascii="Times New Roman" w:hAnsi="Times New Roman" w:cs="Times New Roman"/>
          <w:sz w:val="24"/>
          <w:szCs w:val="24"/>
          <w:vertAlign w:val="baseline"/>
        </w:rPr>
      </w:pPr>
    </w:p>
    <w:p w14:paraId="294C8D38" w14:textId="77777777" w:rsidR="006D2CCE" w:rsidRDefault="006D2CCE" w:rsidP="006D2CCE">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CEDAW Committee, ‘</w:t>
      </w:r>
      <w:r>
        <w:rPr>
          <w:rFonts w:ascii="Times New Roman" w:hAnsi="Times New Roman" w:cs="Times New Roman"/>
          <w:sz w:val="24"/>
          <w:szCs w:val="24"/>
          <w:vertAlign w:val="baseline"/>
        </w:rPr>
        <w:t xml:space="preserve">CEDAW </w:t>
      </w:r>
      <w:r w:rsidRPr="00672137">
        <w:rPr>
          <w:rFonts w:ascii="Times New Roman" w:hAnsi="Times New Roman" w:cs="Times New Roman"/>
          <w:sz w:val="24"/>
          <w:szCs w:val="24"/>
          <w:vertAlign w:val="baseline"/>
        </w:rPr>
        <w:t>General Recommendation No. 20: Reservations to the Convention adopted at the 11th Session of the Committee on the Elimination of Discrimination again</w:t>
      </w:r>
      <w:r>
        <w:rPr>
          <w:rFonts w:ascii="Times New Roman" w:hAnsi="Times New Roman" w:cs="Times New Roman"/>
          <w:sz w:val="24"/>
          <w:szCs w:val="24"/>
          <w:vertAlign w:val="baseline"/>
        </w:rPr>
        <w:t>st Women’ (1992) A/47/38</w:t>
      </w:r>
    </w:p>
    <w:p w14:paraId="78D25FF4" w14:textId="77777777" w:rsidR="006D2CCE" w:rsidRPr="00672137" w:rsidRDefault="006D2CCE" w:rsidP="006D2CCE">
      <w:pPr>
        <w:rPr>
          <w:rFonts w:ascii="Times New Roman" w:hAnsi="Times New Roman" w:cs="Times New Roman"/>
          <w:sz w:val="24"/>
          <w:szCs w:val="24"/>
          <w:vertAlign w:val="baseline"/>
        </w:rPr>
      </w:pPr>
    </w:p>
    <w:p w14:paraId="39B7FFD6" w14:textId="77777777" w:rsidR="006D2CCE" w:rsidRPr="00672137" w:rsidRDefault="006D2CCE" w:rsidP="006D2CCE">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CEDAW Committee, ‘</w:t>
      </w:r>
      <w:r>
        <w:rPr>
          <w:rFonts w:ascii="Times New Roman" w:hAnsi="Times New Roman" w:cs="Times New Roman"/>
          <w:sz w:val="24"/>
          <w:szCs w:val="24"/>
          <w:vertAlign w:val="baseline"/>
        </w:rPr>
        <w:t xml:space="preserve">CEDAW </w:t>
      </w:r>
      <w:r w:rsidRPr="00672137">
        <w:rPr>
          <w:rFonts w:ascii="Times New Roman" w:hAnsi="Times New Roman" w:cs="Times New Roman"/>
          <w:sz w:val="24"/>
          <w:szCs w:val="24"/>
          <w:vertAlign w:val="baseline"/>
        </w:rPr>
        <w:t>General Recommendation No. 21: Equality in Marriage and Family Relations adopted at the 13th Session of the Committee on the Elimination of Discrimination agains</w:t>
      </w:r>
      <w:r>
        <w:rPr>
          <w:rFonts w:ascii="Times New Roman" w:hAnsi="Times New Roman" w:cs="Times New Roman"/>
          <w:sz w:val="24"/>
          <w:szCs w:val="24"/>
          <w:vertAlign w:val="baseline"/>
        </w:rPr>
        <w:t>t Women’ (1994) A/49/38</w:t>
      </w:r>
    </w:p>
    <w:p w14:paraId="62DE99AB" w14:textId="77777777" w:rsidR="006D2CCE" w:rsidRDefault="006D2CCE" w:rsidP="006D2CCE">
      <w:pPr>
        <w:rPr>
          <w:rFonts w:ascii="Times New Roman" w:hAnsi="Times New Roman" w:cs="Times New Roman"/>
          <w:sz w:val="24"/>
          <w:szCs w:val="24"/>
          <w:vertAlign w:val="baseline"/>
        </w:rPr>
      </w:pPr>
    </w:p>
    <w:p w14:paraId="10BA28AA" w14:textId="77777777" w:rsidR="006D2CCE" w:rsidRDefault="006D2CCE" w:rsidP="006D2CCE">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CEDAW Committee, Concluding comments of the Committee on the Elimination of Discrimination against Women: India’ 2 February 2007 CEDAW/C/IND/CO/3</w:t>
      </w:r>
    </w:p>
    <w:p w14:paraId="50B6B8AE" w14:textId="77777777" w:rsidR="006D2CCE" w:rsidRDefault="006D2CCE" w:rsidP="006D2CCE">
      <w:pPr>
        <w:rPr>
          <w:rFonts w:ascii="Times New Roman" w:hAnsi="Times New Roman" w:cs="Times New Roman"/>
          <w:sz w:val="24"/>
          <w:szCs w:val="24"/>
          <w:vertAlign w:val="baseline"/>
        </w:rPr>
      </w:pPr>
    </w:p>
    <w:p w14:paraId="0CD7CA86" w14:textId="77777777" w:rsidR="006D2CCE" w:rsidRPr="00672137" w:rsidRDefault="006D2CCE" w:rsidP="006D2CCE">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 xml:space="preserve">CEDAW Committee, ‘Concluding Observations of the Committee on the Elimination of Discrimination against Women: Nepal’ 11 August </w:t>
      </w:r>
      <w:r>
        <w:rPr>
          <w:rFonts w:ascii="Times New Roman" w:hAnsi="Times New Roman" w:cs="Times New Roman"/>
          <w:sz w:val="24"/>
          <w:szCs w:val="24"/>
          <w:vertAlign w:val="baseline"/>
        </w:rPr>
        <w:t>2011 CEDAW/C/NPL/CO/4-5</w:t>
      </w:r>
    </w:p>
    <w:p w14:paraId="4D812BF4" w14:textId="77777777" w:rsidR="006D2CCE" w:rsidRDefault="006D2CCE" w:rsidP="006D2CCE">
      <w:pPr>
        <w:rPr>
          <w:rFonts w:ascii="Times New Roman" w:hAnsi="Times New Roman" w:cs="Times New Roman"/>
          <w:sz w:val="24"/>
          <w:szCs w:val="24"/>
          <w:vertAlign w:val="baseline"/>
        </w:rPr>
      </w:pPr>
    </w:p>
    <w:p w14:paraId="6F800F19" w14:textId="77777777" w:rsidR="006D2CCE" w:rsidRDefault="006D2CCE" w:rsidP="006D2CCE">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 xml:space="preserve">CEDAW Committee, ‘Concluding observations on the combined fourth and fifth periodic reports of India’ 24 July </w:t>
      </w:r>
      <w:r>
        <w:rPr>
          <w:rFonts w:ascii="Times New Roman" w:hAnsi="Times New Roman" w:cs="Times New Roman"/>
          <w:sz w:val="24"/>
          <w:szCs w:val="24"/>
          <w:vertAlign w:val="baseline"/>
        </w:rPr>
        <w:t>2014 CEDAW/C/IND/CO/4-5</w:t>
      </w:r>
    </w:p>
    <w:p w14:paraId="1ED01BA9" w14:textId="77777777" w:rsidR="006D2CCE" w:rsidRPr="00672137" w:rsidRDefault="006D2CCE" w:rsidP="006D2CCE">
      <w:pPr>
        <w:rPr>
          <w:rFonts w:ascii="Times New Roman" w:hAnsi="Times New Roman" w:cs="Times New Roman"/>
          <w:sz w:val="24"/>
          <w:szCs w:val="24"/>
          <w:vertAlign w:val="baseline"/>
        </w:rPr>
      </w:pPr>
    </w:p>
    <w:p w14:paraId="30C1D353" w14:textId="77777777" w:rsidR="006D2CCE" w:rsidRPr="00672137" w:rsidRDefault="006D2CCE" w:rsidP="006D2CCE">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CEDAW Committee, ‘Concluding observations of the Committee on the Elimination of Discrimination against Women</w:t>
      </w:r>
      <w:r>
        <w:rPr>
          <w:rFonts w:ascii="Times New Roman" w:hAnsi="Times New Roman" w:cs="Times New Roman"/>
          <w:sz w:val="24"/>
          <w:szCs w:val="24"/>
          <w:vertAlign w:val="baseline"/>
        </w:rPr>
        <w:t>: Papua New Guinea</w:t>
      </w:r>
      <w:r w:rsidRPr="00672137">
        <w:rPr>
          <w:rFonts w:ascii="Times New Roman" w:hAnsi="Times New Roman" w:cs="Times New Roman"/>
          <w:sz w:val="24"/>
          <w:szCs w:val="24"/>
          <w:vertAlign w:val="baseline"/>
        </w:rPr>
        <w:t>’ 30 July 2010 CEDAW/C/PNG/CO/3</w:t>
      </w:r>
    </w:p>
    <w:p w14:paraId="16D4E215" w14:textId="77777777" w:rsidR="006D2CCE" w:rsidRDefault="006D2CCE" w:rsidP="006D2CCE">
      <w:pPr>
        <w:rPr>
          <w:rFonts w:ascii="Times New Roman" w:hAnsi="Times New Roman" w:cs="Times New Roman"/>
          <w:sz w:val="24"/>
          <w:szCs w:val="24"/>
          <w:vertAlign w:val="baseline"/>
        </w:rPr>
      </w:pPr>
    </w:p>
    <w:p w14:paraId="7FF20BAD" w14:textId="77777777" w:rsidR="006D2CCE" w:rsidRDefault="006D2CCE" w:rsidP="006D2CCE">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CEDAW Committee, ‘Concluding observations on the combined sixth and seventh periodic reports of Ghana’ 14 November 2014 CEDAW/C/GHA/CO/6-7</w:t>
      </w:r>
    </w:p>
    <w:p w14:paraId="03B6FA11" w14:textId="77777777" w:rsidR="006D2CCE" w:rsidRDefault="006D2CCE" w:rsidP="006D2CCE">
      <w:pPr>
        <w:rPr>
          <w:rFonts w:ascii="Times New Roman" w:hAnsi="Times New Roman" w:cs="Times New Roman"/>
          <w:sz w:val="24"/>
          <w:szCs w:val="24"/>
          <w:vertAlign w:val="baseline"/>
        </w:rPr>
      </w:pPr>
    </w:p>
    <w:p w14:paraId="1DA4085D" w14:textId="77777777" w:rsidR="006D2CCE" w:rsidRDefault="006D2CCE" w:rsidP="006D2CCE">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CEDAW Committee, ‘Consideration of reports submitted by States parties under article 18 of the Convention on the Elimination of All Forms of Discrimination against Women: Combined sixth and seventh periodic reports of States parties: Ghana’ 5 February 2013 CEDAW/C/GHA/6-7</w:t>
      </w:r>
    </w:p>
    <w:p w14:paraId="38E19561" w14:textId="77777777" w:rsidR="006D2CCE" w:rsidRDefault="006D2CCE" w:rsidP="006D2CCE">
      <w:pPr>
        <w:rPr>
          <w:rFonts w:ascii="Times New Roman" w:hAnsi="Times New Roman" w:cs="Times New Roman"/>
          <w:sz w:val="24"/>
          <w:szCs w:val="24"/>
          <w:vertAlign w:val="baseline"/>
        </w:rPr>
      </w:pPr>
    </w:p>
    <w:p w14:paraId="412C698E" w14:textId="77777777" w:rsidR="006D2CCE" w:rsidRDefault="006D2CCE" w:rsidP="006D2CCE">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CEDAW Committee, ‘Consideration of reports submitted by States parties under Article 18 of the Convention: Combined fourth and fifth periodic reports of States Parties: India’ 4 November 2013 CEDAW/C/IND/4-5/Add.1</w:t>
      </w:r>
    </w:p>
    <w:p w14:paraId="5FDA32B8" w14:textId="77777777" w:rsidR="006D2CCE" w:rsidRDefault="006D2CCE" w:rsidP="006D2CCE">
      <w:pPr>
        <w:rPr>
          <w:rFonts w:ascii="Times New Roman" w:hAnsi="Times New Roman" w:cs="Times New Roman"/>
          <w:sz w:val="24"/>
          <w:szCs w:val="24"/>
          <w:vertAlign w:val="baseline"/>
        </w:rPr>
      </w:pPr>
    </w:p>
    <w:p w14:paraId="50D89748" w14:textId="77777777" w:rsidR="006D2CCE" w:rsidRDefault="006D2CCE" w:rsidP="006D2CCE">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CEDAW Committee, ‘Consideration of reports submitted by States parties under article 18 of CEDAW: Combined fourth and fifth periodic reports of States parties: Nepal’ 9 November 2010 CEDAW/C/NPL/4-5</w:t>
      </w:r>
    </w:p>
    <w:p w14:paraId="20308837" w14:textId="77777777" w:rsidR="006D2CCE" w:rsidRDefault="006D2CCE" w:rsidP="006D2CCE">
      <w:pPr>
        <w:rPr>
          <w:rFonts w:ascii="Times New Roman" w:hAnsi="Times New Roman" w:cs="Times New Roman"/>
          <w:sz w:val="24"/>
          <w:szCs w:val="24"/>
          <w:vertAlign w:val="baseline"/>
        </w:rPr>
      </w:pPr>
    </w:p>
    <w:p w14:paraId="00E65E68" w14:textId="77777777" w:rsidR="006D2CCE" w:rsidRPr="00672137" w:rsidRDefault="006D2CCE" w:rsidP="006D2CCE">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 xml:space="preserve">CEDAW Committee, ‘Consideration of reports submitted by States parties under article 18 of the Convention on the Elimination of All Forms of Discrimination against Women: Combined initial, second and third periodic report of Papua New Guinea,’ 22 </w:t>
      </w:r>
      <w:r>
        <w:rPr>
          <w:rFonts w:ascii="Times New Roman" w:hAnsi="Times New Roman" w:cs="Times New Roman"/>
          <w:sz w:val="24"/>
          <w:szCs w:val="24"/>
          <w:vertAlign w:val="baseline"/>
        </w:rPr>
        <w:t>May 2009 CEDAW/C/PNG/3</w:t>
      </w:r>
    </w:p>
    <w:p w14:paraId="20C066A4" w14:textId="77777777" w:rsidR="006D2CCE" w:rsidRDefault="006D2CCE" w:rsidP="006D2CCE">
      <w:pPr>
        <w:rPr>
          <w:rFonts w:ascii="Times New Roman" w:hAnsi="Times New Roman" w:cs="Times New Roman"/>
          <w:sz w:val="24"/>
          <w:szCs w:val="24"/>
          <w:vertAlign w:val="baseline"/>
        </w:rPr>
      </w:pPr>
    </w:p>
    <w:p w14:paraId="102E7786" w14:textId="77777777" w:rsidR="006D2CCE" w:rsidRDefault="006D2CCE" w:rsidP="006D2CCE">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CEDAW Committee, ‘List of issues and questions in relation to the combined sixth and seventh periodic reports of Ghana’ 10 March 2014 CEDAW/C/GHA/Q/6-7</w:t>
      </w:r>
    </w:p>
    <w:p w14:paraId="22B22CB9" w14:textId="77777777" w:rsidR="006D2CCE" w:rsidRDefault="006D2CCE" w:rsidP="006D2CCE">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CEDAW Committee, ‘List of issues and questions in relation to the combined sixth and seventh periodic reports of Ghana: Replies of Ghana’ 22 September 2014 CEDAW/C/GHA/Q/6-7/Add.1</w:t>
      </w:r>
    </w:p>
    <w:p w14:paraId="286A7067" w14:textId="77777777" w:rsidR="006D2CCE" w:rsidRDefault="006D2CCE" w:rsidP="006D2CCE">
      <w:pPr>
        <w:rPr>
          <w:rFonts w:ascii="Times New Roman" w:hAnsi="Times New Roman" w:cs="Times New Roman"/>
          <w:sz w:val="24"/>
          <w:szCs w:val="24"/>
          <w:vertAlign w:val="baseline"/>
        </w:rPr>
      </w:pPr>
    </w:p>
    <w:p w14:paraId="1666E5EE" w14:textId="77777777" w:rsidR="006D2CCE" w:rsidRDefault="006D2CCE" w:rsidP="006D2CCE">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CEDAW Committee, ‘List of issues and questions in relation to the combined fourth and fifth periodic reports of India’ 28 October 2013 CEDAW/C/IND/Q/4-5</w:t>
      </w:r>
    </w:p>
    <w:p w14:paraId="048F8C05" w14:textId="77777777" w:rsidR="006D2CCE" w:rsidRDefault="006D2CCE" w:rsidP="006D2CCE">
      <w:pPr>
        <w:rPr>
          <w:rFonts w:ascii="Times New Roman" w:hAnsi="Times New Roman" w:cs="Times New Roman"/>
          <w:sz w:val="24"/>
          <w:szCs w:val="24"/>
          <w:vertAlign w:val="baseline"/>
        </w:rPr>
      </w:pPr>
    </w:p>
    <w:p w14:paraId="11FB43E8" w14:textId="77777777" w:rsidR="006D2CCE" w:rsidRPr="00672137" w:rsidRDefault="006D2CCE" w:rsidP="006D2CCE">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CEDAW Committee, ‘List of issues and questions with regard to the consideration of periodic reports: Papua New Guinea’ 15 September 2009 CE</w:t>
      </w:r>
      <w:r>
        <w:rPr>
          <w:rFonts w:ascii="Times New Roman" w:hAnsi="Times New Roman" w:cs="Times New Roman"/>
          <w:sz w:val="24"/>
          <w:szCs w:val="24"/>
          <w:vertAlign w:val="baseline"/>
        </w:rPr>
        <w:t>DAW/C/PNG/Q/3</w:t>
      </w:r>
    </w:p>
    <w:p w14:paraId="6F68D593" w14:textId="77777777" w:rsidR="006D2CCE" w:rsidRDefault="006D2CCE" w:rsidP="006D2CCE">
      <w:pPr>
        <w:rPr>
          <w:rFonts w:ascii="Times New Roman" w:hAnsi="Times New Roman" w:cs="Times New Roman"/>
          <w:sz w:val="24"/>
          <w:szCs w:val="24"/>
          <w:vertAlign w:val="baseline"/>
        </w:rPr>
      </w:pPr>
    </w:p>
    <w:p w14:paraId="23D64E62" w14:textId="77777777" w:rsidR="006D2CCE" w:rsidRDefault="006D2CCE" w:rsidP="006D2CCE">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CEDAW Committee, ‘Report of the Committee on the Elimination of Discrimination against Women: 18th and 19th Sessions’ (1998) General Assembly 53rd session, A/53/38/Rev.1</w:t>
      </w:r>
    </w:p>
    <w:p w14:paraId="6F89C151" w14:textId="77777777" w:rsidR="006D2CCE" w:rsidRDefault="006D2CCE" w:rsidP="006D2CCE">
      <w:pPr>
        <w:rPr>
          <w:rFonts w:ascii="Times New Roman" w:hAnsi="Times New Roman" w:cs="Times New Roman"/>
          <w:sz w:val="24"/>
          <w:szCs w:val="24"/>
          <w:vertAlign w:val="baseline"/>
        </w:rPr>
      </w:pPr>
    </w:p>
    <w:p w14:paraId="12CA37B7" w14:textId="77777777" w:rsidR="006D2CCE" w:rsidRPr="00672137" w:rsidRDefault="006D2CCE" w:rsidP="006D2CCE">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CEDAW Committee, ‘Responses to the list of issues and questions with regard to the consideration of the combined initial, second and third periodic reports: Papua New Guinea’ 19 Marc</w:t>
      </w:r>
      <w:r>
        <w:rPr>
          <w:rFonts w:ascii="Times New Roman" w:hAnsi="Times New Roman" w:cs="Times New Roman"/>
          <w:sz w:val="24"/>
          <w:szCs w:val="24"/>
          <w:vertAlign w:val="baseline"/>
        </w:rPr>
        <w:t>h 2010 CEDAW/C/PNG/Q/3/Add.1</w:t>
      </w:r>
    </w:p>
    <w:p w14:paraId="0A70167F" w14:textId="77777777" w:rsidR="006D2CCE" w:rsidRDefault="006D2CCE" w:rsidP="003E2C58">
      <w:pPr>
        <w:rPr>
          <w:rFonts w:ascii="Times New Roman" w:hAnsi="Times New Roman" w:cs="Times New Roman"/>
          <w:sz w:val="24"/>
          <w:szCs w:val="24"/>
          <w:vertAlign w:val="baseline"/>
        </w:rPr>
      </w:pPr>
    </w:p>
    <w:p w14:paraId="66808786" w14:textId="77777777" w:rsidR="00152036" w:rsidRDefault="00152036" w:rsidP="00152036">
      <w:pPr>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Census of India: Religion </w:t>
      </w:r>
      <w:r w:rsidRPr="00672137">
        <w:rPr>
          <w:rFonts w:ascii="Times New Roman" w:hAnsi="Times New Roman" w:cs="Times New Roman"/>
          <w:sz w:val="24"/>
          <w:szCs w:val="24"/>
          <w:vertAlign w:val="baseline"/>
        </w:rPr>
        <w:t>&lt;</w:t>
      </w:r>
      <w:hyperlink r:id="rId33" w:history="1">
        <w:r w:rsidRPr="00F23227">
          <w:rPr>
            <w:rStyle w:val="Hyperlink"/>
            <w:rFonts w:ascii="Times New Roman" w:hAnsi="Times New Roman" w:cs="Times New Roman"/>
            <w:sz w:val="24"/>
            <w:szCs w:val="24"/>
            <w:vertAlign w:val="baseline"/>
          </w:rPr>
          <w:t>http://www.censusindia.gov.in/Census_And_You/religion.aspx&gt;</w:t>
        </w:r>
      </w:hyperlink>
      <w:r w:rsidRPr="00672137">
        <w:rPr>
          <w:rFonts w:ascii="Times New Roman" w:hAnsi="Times New Roman" w:cs="Times New Roman"/>
          <w:sz w:val="24"/>
          <w:szCs w:val="24"/>
          <w:vertAlign w:val="baseline"/>
        </w:rPr>
        <w:t xml:space="preserve"> accessed 25 August 2015</w:t>
      </w:r>
    </w:p>
    <w:p w14:paraId="56FDED2C" w14:textId="77777777" w:rsidR="00152036" w:rsidRDefault="00152036" w:rsidP="003E2C58">
      <w:pPr>
        <w:rPr>
          <w:rFonts w:ascii="Times New Roman" w:hAnsi="Times New Roman" w:cs="Times New Roman"/>
          <w:sz w:val="24"/>
          <w:szCs w:val="24"/>
          <w:vertAlign w:val="baseline"/>
        </w:rPr>
      </w:pPr>
    </w:p>
    <w:p w14:paraId="6C588F26"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Chandler</w:t>
      </w:r>
      <w:r>
        <w:rPr>
          <w:rFonts w:ascii="Times New Roman" w:hAnsi="Times New Roman" w:cs="Times New Roman"/>
          <w:sz w:val="24"/>
          <w:szCs w:val="24"/>
          <w:vertAlign w:val="baseline"/>
        </w:rPr>
        <w:t xml:space="preserve"> J</w:t>
      </w:r>
      <w:r w:rsidRPr="00672137">
        <w:rPr>
          <w:rFonts w:ascii="Times New Roman" w:hAnsi="Times New Roman" w:cs="Times New Roman"/>
          <w:sz w:val="24"/>
          <w:szCs w:val="24"/>
          <w:vertAlign w:val="baseline"/>
        </w:rPr>
        <w:t>, ‘Violence against women in PNG: How men are getting away with murder’ (Lowry Institute for International Policy, 29 August 2014) &lt;</w:t>
      </w:r>
      <w:hyperlink r:id="rId34" w:history="1">
        <w:r w:rsidRPr="00A258C8">
          <w:rPr>
            <w:rStyle w:val="Hyperlink"/>
            <w:rFonts w:ascii="Times New Roman" w:hAnsi="Times New Roman" w:cs="Times New Roman"/>
            <w:sz w:val="24"/>
            <w:szCs w:val="24"/>
            <w:vertAlign w:val="baseline"/>
          </w:rPr>
          <w:t>http://www.lowyinstitute.org/publications/violence-against-women-png-how-men-are-getting-away-murder&gt; a</w:t>
        </w:r>
      </w:hyperlink>
      <w:r w:rsidRPr="00672137">
        <w:rPr>
          <w:rFonts w:ascii="Times New Roman" w:hAnsi="Times New Roman" w:cs="Times New Roman"/>
          <w:sz w:val="24"/>
          <w:szCs w:val="24"/>
          <w:vertAlign w:val="baseline"/>
        </w:rPr>
        <w:t>ccessed 26 August 2015</w:t>
      </w:r>
    </w:p>
    <w:p w14:paraId="1C789C18" w14:textId="77777777" w:rsidR="003E2C58" w:rsidRDefault="003E2C58" w:rsidP="003E2C58">
      <w:pPr>
        <w:rPr>
          <w:rFonts w:ascii="Times New Roman" w:hAnsi="Times New Roman" w:cs="Times New Roman"/>
          <w:sz w:val="24"/>
          <w:szCs w:val="24"/>
          <w:vertAlign w:val="baseline"/>
        </w:rPr>
      </w:pPr>
    </w:p>
    <w:p w14:paraId="5A08FEC9" w14:textId="77777777" w:rsidR="003E2C58" w:rsidRDefault="003E2C58" w:rsidP="003E2C58">
      <w:pPr>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Charlesworth H, Chinkin C and </w:t>
      </w:r>
      <w:r w:rsidRPr="00672137">
        <w:rPr>
          <w:rFonts w:ascii="Times New Roman" w:hAnsi="Times New Roman" w:cs="Times New Roman"/>
          <w:sz w:val="24"/>
          <w:szCs w:val="24"/>
          <w:vertAlign w:val="baseline"/>
        </w:rPr>
        <w:t>Wright</w:t>
      </w:r>
      <w:r>
        <w:rPr>
          <w:rFonts w:ascii="Times New Roman" w:hAnsi="Times New Roman" w:cs="Times New Roman"/>
          <w:sz w:val="24"/>
          <w:szCs w:val="24"/>
          <w:vertAlign w:val="baseline"/>
        </w:rPr>
        <w:t xml:space="preserve"> S</w:t>
      </w:r>
      <w:r w:rsidRPr="00672137">
        <w:rPr>
          <w:rFonts w:ascii="Times New Roman" w:hAnsi="Times New Roman" w:cs="Times New Roman"/>
          <w:sz w:val="24"/>
          <w:szCs w:val="24"/>
          <w:vertAlign w:val="baseline"/>
        </w:rPr>
        <w:t>, ‘Feminist Ap</w:t>
      </w:r>
      <w:r>
        <w:rPr>
          <w:rFonts w:ascii="Times New Roman" w:hAnsi="Times New Roman" w:cs="Times New Roman"/>
          <w:sz w:val="24"/>
          <w:szCs w:val="24"/>
          <w:vertAlign w:val="baseline"/>
        </w:rPr>
        <w:t>proaches to International Law’ (1991) 85 Am J Int Law 613</w:t>
      </w:r>
    </w:p>
    <w:p w14:paraId="26235C75" w14:textId="77777777" w:rsidR="003E2C58" w:rsidRDefault="003E2C58" w:rsidP="003E2C58">
      <w:pPr>
        <w:rPr>
          <w:rFonts w:ascii="Times New Roman" w:hAnsi="Times New Roman" w:cs="Times New Roman"/>
          <w:sz w:val="24"/>
          <w:szCs w:val="24"/>
          <w:vertAlign w:val="baseline"/>
        </w:rPr>
      </w:pPr>
    </w:p>
    <w:p w14:paraId="359EBC83"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Charlesworth</w:t>
      </w:r>
      <w:r>
        <w:rPr>
          <w:rFonts w:ascii="Times New Roman" w:hAnsi="Times New Roman" w:cs="Times New Roman"/>
          <w:sz w:val="24"/>
          <w:szCs w:val="24"/>
          <w:vertAlign w:val="baseline"/>
        </w:rPr>
        <w:t xml:space="preserve"> H and Chinkin</w:t>
      </w:r>
      <w:r w:rsidRPr="00672137">
        <w:rPr>
          <w:rFonts w:ascii="Times New Roman" w:hAnsi="Times New Roman" w:cs="Times New Roman"/>
          <w:sz w:val="24"/>
          <w:szCs w:val="24"/>
          <w:vertAlign w:val="baseline"/>
        </w:rPr>
        <w:t xml:space="preserve"> </w:t>
      </w:r>
      <w:r>
        <w:rPr>
          <w:rFonts w:ascii="Times New Roman" w:hAnsi="Times New Roman" w:cs="Times New Roman"/>
          <w:sz w:val="24"/>
          <w:szCs w:val="24"/>
          <w:vertAlign w:val="baseline"/>
        </w:rPr>
        <w:t xml:space="preserve">C, </w:t>
      </w:r>
      <w:r w:rsidRPr="00804E99">
        <w:rPr>
          <w:rFonts w:ascii="Times New Roman" w:hAnsi="Times New Roman" w:cs="Times New Roman"/>
          <w:i/>
          <w:sz w:val="24"/>
          <w:szCs w:val="24"/>
          <w:vertAlign w:val="baseline"/>
        </w:rPr>
        <w:t>The boundaries of International Law</w:t>
      </w:r>
      <w:r w:rsidRPr="00672137">
        <w:rPr>
          <w:rFonts w:ascii="Times New Roman" w:hAnsi="Times New Roman" w:cs="Times New Roman"/>
          <w:sz w:val="24"/>
          <w:szCs w:val="24"/>
          <w:vertAlign w:val="baseline"/>
        </w:rPr>
        <w:t xml:space="preserve"> (Juris Publishing 2000)</w:t>
      </w:r>
    </w:p>
    <w:p w14:paraId="25B2B66C" w14:textId="77777777" w:rsidR="003E2C58" w:rsidRDefault="003E2C58" w:rsidP="003E2C58">
      <w:pPr>
        <w:rPr>
          <w:rFonts w:ascii="Times New Roman" w:hAnsi="Times New Roman" w:cs="Times New Roman"/>
          <w:sz w:val="24"/>
          <w:szCs w:val="24"/>
          <w:vertAlign w:val="baseline"/>
        </w:rPr>
      </w:pPr>
    </w:p>
    <w:p w14:paraId="540D15FD"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Charlesworth</w:t>
      </w:r>
      <w:r>
        <w:rPr>
          <w:rFonts w:ascii="Times New Roman" w:hAnsi="Times New Roman" w:cs="Times New Roman"/>
          <w:sz w:val="24"/>
          <w:szCs w:val="24"/>
          <w:vertAlign w:val="baseline"/>
        </w:rPr>
        <w:t xml:space="preserve"> H</w:t>
      </w:r>
      <w:r w:rsidRPr="00672137">
        <w:rPr>
          <w:rFonts w:ascii="Times New Roman" w:hAnsi="Times New Roman" w:cs="Times New Roman"/>
          <w:sz w:val="24"/>
          <w:szCs w:val="24"/>
          <w:vertAlign w:val="baseline"/>
        </w:rPr>
        <w:t>, ‘The Public/Private Distinction and the Right to Development in International Law’ (1992) 12 Aus Year Book Int</w:t>
      </w:r>
      <w:r>
        <w:rPr>
          <w:rFonts w:ascii="Times New Roman" w:hAnsi="Times New Roman" w:cs="Times New Roman"/>
          <w:sz w:val="24"/>
          <w:szCs w:val="24"/>
          <w:vertAlign w:val="baseline"/>
        </w:rPr>
        <w:t>l L190</w:t>
      </w:r>
    </w:p>
    <w:p w14:paraId="15117310" w14:textId="77777777" w:rsidR="003E2C58" w:rsidRDefault="003E2C58" w:rsidP="003E2C58">
      <w:pPr>
        <w:ind w:left="720" w:hanging="720"/>
        <w:rPr>
          <w:rFonts w:ascii="Times New Roman" w:hAnsi="Times New Roman" w:cs="Times New Roman"/>
          <w:sz w:val="24"/>
          <w:szCs w:val="24"/>
          <w:vertAlign w:val="baseline"/>
        </w:rPr>
      </w:pPr>
    </w:p>
    <w:p w14:paraId="5977F2B8"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Charlesworth</w:t>
      </w:r>
      <w:r>
        <w:rPr>
          <w:rFonts w:ascii="Times New Roman" w:hAnsi="Times New Roman" w:cs="Times New Roman"/>
          <w:sz w:val="24"/>
          <w:szCs w:val="24"/>
          <w:vertAlign w:val="baseline"/>
        </w:rPr>
        <w:t xml:space="preserve"> H</w:t>
      </w:r>
      <w:r w:rsidRPr="00672137">
        <w:rPr>
          <w:rFonts w:ascii="Times New Roman" w:hAnsi="Times New Roman" w:cs="Times New Roman"/>
          <w:sz w:val="24"/>
          <w:szCs w:val="24"/>
          <w:vertAlign w:val="baseline"/>
        </w:rPr>
        <w:t>, ‘Alienating Oscar? Feminist Analysis of International Law’ (1993) 25</w:t>
      </w:r>
      <w:r>
        <w:rPr>
          <w:rFonts w:ascii="Times New Roman" w:hAnsi="Times New Roman" w:cs="Times New Roman"/>
          <w:sz w:val="24"/>
          <w:szCs w:val="24"/>
          <w:vertAlign w:val="baseline"/>
        </w:rPr>
        <w:t xml:space="preserve"> Stud Transnat’l Legal Policy 5</w:t>
      </w:r>
    </w:p>
    <w:p w14:paraId="69A768BD" w14:textId="77777777" w:rsidR="003E2C58" w:rsidRDefault="003E2C58" w:rsidP="003E2C58">
      <w:pPr>
        <w:ind w:left="720" w:hanging="720"/>
        <w:rPr>
          <w:rFonts w:ascii="Times New Roman" w:hAnsi="Times New Roman" w:cs="Times New Roman"/>
          <w:sz w:val="24"/>
          <w:szCs w:val="24"/>
          <w:vertAlign w:val="baseline"/>
        </w:rPr>
      </w:pPr>
    </w:p>
    <w:p w14:paraId="566A0A14"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Charlesworth</w:t>
      </w:r>
      <w:r>
        <w:rPr>
          <w:rFonts w:ascii="Times New Roman" w:hAnsi="Times New Roman" w:cs="Times New Roman"/>
          <w:sz w:val="24"/>
          <w:szCs w:val="24"/>
          <w:vertAlign w:val="baseline"/>
        </w:rPr>
        <w:t xml:space="preserve"> H</w:t>
      </w:r>
      <w:r w:rsidRPr="00672137">
        <w:rPr>
          <w:rFonts w:ascii="Times New Roman" w:hAnsi="Times New Roman" w:cs="Times New Roman"/>
          <w:sz w:val="24"/>
          <w:szCs w:val="24"/>
          <w:vertAlign w:val="baseline"/>
        </w:rPr>
        <w:t>, ‘What are ‘Women</w:t>
      </w:r>
      <w:r>
        <w:rPr>
          <w:rFonts w:ascii="Times New Roman" w:hAnsi="Times New Roman" w:cs="Times New Roman"/>
          <w:sz w:val="24"/>
          <w:szCs w:val="24"/>
          <w:vertAlign w:val="baseline"/>
        </w:rPr>
        <w:t xml:space="preserve">’s International Human Rights’” in </w:t>
      </w:r>
      <w:r w:rsidRPr="00672137">
        <w:rPr>
          <w:rFonts w:ascii="Times New Roman" w:hAnsi="Times New Roman" w:cs="Times New Roman"/>
          <w:sz w:val="24"/>
          <w:szCs w:val="24"/>
          <w:vertAlign w:val="baseline"/>
        </w:rPr>
        <w:t xml:space="preserve">Cook </w:t>
      </w:r>
      <w:r>
        <w:rPr>
          <w:rFonts w:ascii="Times New Roman" w:hAnsi="Times New Roman" w:cs="Times New Roman"/>
          <w:sz w:val="24"/>
          <w:szCs w:val="24"/>
          <w:vertAlign w:val="baseline"/>
        </w:rPr>
        <w:t xml:space="preserve">RJ </w:t>
      </w:r>
      <w:r w:rsidRPr="00672137">
        <w:rPr>
          <w:rFonts w:ascii="Times New Roman" w:hAnsi="Times New Roman" w:cs="Times New Roman"/>
          <w:sz w:val="24"/>
          <w:szCs w:val="24"/>
          <w:vertAlign w:val="baseline"/>
        </w:rPr>
        <w:t xml:space="preserve">(ed) </w:t>
      </w:r>
      <w:r w:rsidRPr="009055B6">
        <w:rPr>
          <w:rFonts w:ascii="Times New Roman" w:hAnsi="Times New Roman" w:cs="Times New Roman"/>
          <w:i/>
          <w:sz w:val="24"/>
          <w:szCs w:val="24"/>
          <w:vertAlign w:val="baseline"/>
        </w:rPr>
        <w:t xml:space="preserve">Human Rights Women: National and International Perspectives </w:t>
      </w:r>
      <w:r w:rsidRPr="009055B6">
        <w:rPr>
          <w:rFonts w:ascii="Times New Roman" w:hAnsi="Times New Roman" w:cs="Times New Roman"/>
          <w:sz w:val="24"/>
          <w:szCs w:val="24"/>
          <w:vertAlign w:val="baseline"/>
        </w:rPr>
        <w:t>(</w:t>
      </w:r>
      <w:r>
        <w:rPr>
          <w:rFonts w:ascii="Times New Roman" w:hAnsi="Times New Roman" w:cs="Times New Roman"/>
          <w:sz w:val="24"/>
          <w:szCs w:val="24"/>
          <w:vertAlign w:val="baseline"/>
        </w:rPr>
        <w:t>Pennsylvania UP 1994)</w:t>
      </w:r>
    </w:p>
    <w:p w14:paraId="3D117EED" w14:textId="77777777" w:rsidR="003E2C58" w:rsidRDefault="003E2C58" w:rsidP="003E2C58">
      <w:pPr>
        <w:rPr>
          <w:rFonts w:ascii="Times New Roman" w:hAnsi="Times New Roman" w:cs="Times New Roman"/>
          <w:sz w:val="24"/>
          <w:szCs w:val="24"/>
          <w:vertAlign w:val="baseline"/>
        </w:rPr>
      </w:pPr>
    </w:p>
    <w:p w14:paraId="1437B97C" w14:textId="77777777" w:rsidR="00201141" w:rsidRPr="00672137" w:rsidRDefault="00201141" w:rsidP="00201141">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Charlton</w:t>
      </w:r>
      <w:r>
        <w:rPr>
          <w:rFonts w:ascii="Times New Roman" w:hAnsi="Times New Roman" w:cs="Times New Roman"/>
          <w:sz w:val="24"/>
          <w:szCs w:val="24"/>
          <w:vertAlign w:val="baseline"/>
        </w:rPr>
        <w:t xml:space="preserve"> C</w:t>
      </w:r>
      <w:r w:rsidRPr="00672137">
        <w:rPr>
          <w:rFonts w:ascii="Times New Roman" w:hAnsi="Times New Roman" w:cs="Times New Roman"/>
          <w:sz w:val="24"/>
          <w:szCs w:val="24"/>
          <w:vertAlign w:val="baseline"/>
        </w:rPr>
        <w:t>, ‘One police officer is burned alive and six others are hacked to death with axes and scythes by protestors in Nepal a</w:t>
      </w:r>
      <w:r>
        <w:rPr>
          <w:rFonts w:ascii="Times New Roman" w:hAnsi="Times New Roman" w:cs="Times New Roman"/>
          <w:sz w:val="24"/>
          <w:szCs w:val="24"/>
          <w:vertAlign w:val="baseline"/>
        </w:rPr>
        <w:t>s thousands demonstrate against</w:t>
      </w:r>
      <w:r w:rsidRPr="00672137">
        <w:rPr>
          <w:rFonts w:ascii="Times New Roman" w:hAnsi="Times New Roman" w:cs="Times New Roman"/>
          <w:sz w:val="24"/>
          <w:szCs w:val="24"/>
          <w:vertAlign w:val="baseline"/>
        </w:rPr>
        <w:t xml:space="preserve"> country’s new constitution’ </w:t>
      </w:r>
      <w:r w:rsidRPr="003935D1">
        <w:rPr>
          <w:rFonts w:ascii="Times New Roman" w:hAnsi="Times New Roman" w:cs="Times New Roman"/>
          <w:i/>
          <w:sz w:val="24"/>
          <w:szCs w:val="24"/>
          <w:vertAlign w:val="baseline"/>
        </w:rPr>
        <w:t xml:space="preserve">MailOnline </w:t>
      </w:r>
      <w:r w:rsidRPr="00672137">
        <w:rPr>
          <w:rFonts w:ascii="Times New Roman" w:hAnsi="Times New Roman" w:cs="Times New Roman"/>
          <w:sz w:val="24"/>
          <w:szCs w:val="24"/>
          <w:vertAlign w:val="baseline"/>
        </w:rPr>
        <w:t>(London, 25 August 2015) &lt;</w:t>
      </w:r>
      <w:hyperlink r:id="rId35" w:history="1">
        <w:r w:rsidRPr="003935D1">
          <w:rPr>
            <w:rStyle w:val="Hyperlink"/>
            <w:rFonts w:ascii="Times New Roman" w:hAnsi="Times New Roman" w:cs="Times New Roman"/>
            <w:sz w:val="24"/>
            <w:szCs w:val="24"/>
            <w:vertAlign w:val="baseline"/>
          </w:rPr>
          <w:t>http://www.dailymail.co.uk/news/article-3210376/One-police-officer-burned-alive-six-hacked-death-axes-scythes-protesters-Nepal-thousands-demonstrate-against-country-s-new-constitution.html&gt;</w:t>
        </w:r>
      </w:hyperlink>
      <w:r w:rsidRPr="00672137">
        <w:rPr>
          <w:rFonts w:ascii="Times New Roman" w:hAnsi="Times New Roman" w:cs="Times New Roman"/>
          <w:sz w:val="24"/>
          <w:szCs w:val="24"/>
          <w:vertAlign w:val="baseline"/>
        </w:rPr>
        <w:t xml:space="preserve"> accessed 26 August 2015</w:t>
      </w:r>
    </w:p>
    <w:p w14:paraId="38D376EE" w14:textId="77777777" w:rsidR="00201141" w:rsidRDefault="00201141" w:rsidP="00201141">
      <w:pPr>
        <w:rPr>
          <w:rFonts w:ascii="Times New Roman" w:hAnsi="Times New Roman" w:cs="Times New Roman"/>
          <w:sz w:val="24"/>
          <w:szCs w:val="24"/>
          <w:vertAlign w:val="baseline"/>
        </w:rPr>
      </w:pPr>
    </w:p>
    <w:p w14:paraId="23865ABC" w14:textId="77777777" w:rsidR="00201141" w:rsidRDefault="00201141" w:rsidP="00201141">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Chasmar</w:t>
      </w:r>
      <w:r>
        <w:rPr>
          <w:rFonts w:ascii="Times New Roman" w:hAnsi="Times New Roman" w:cs="Times New Roman"/>
          <w:sz w:val="24"/>
          <w:szCs w:val="24"/>
          <w:vertAlign w:val="baseline"/>
        </w:rPr>
        <w:t xml:space="preserve"> J</w:t>
      </w:r>
      <w:r w:rsidRPr="00672137">
        <w:rPr>
          <w:rFonts w:ascii="Times New Roman" w:hAnsi="Times New Roman" w:cs="Times New Roman"/>
          <w:sz w:val="24"/>
          <w:szCs w:val="24"/>
          <w:vertAlign w:val="baseline"/>
        </w:rPr>
        <w:t xml:space="preserve">, ‘Teacher publicly tortured, beheaded for witchcraft in Papua New Guinea’ </w:t>
      </w:r>
      <w:r w:rsidRPr="00CA2B1E">
        <w:rPr>
          <w:rFonts w:ascii="Times New Roman" w:hAnsi="Times New Roman" w:cs="Times New Roman"/>
          <w:i/>
          <w:sz w:val="24"/>
          <w:szCs w:val="24"/>
          <w:vertAlign w:val="baseline"/>
        </w:rPr>
        <w:t>The Washington Times</w:t>
      </w:r>
      <w:r w:rsidRPr="00672137">
        <w:rPr>
          <w:rFonts w:ascii="Times New Roman" w:hAnsi="Times New Roman" w:cs="Times New Roman"/>
          <w:sz w:val="24"/>
          <w:szCs w:val="24"/>
          <w:vertAlign w:val="baseline"/>
        </w:rPr>
        <w:t xml:space="preserve"> (Washington 10 June 2013) &lt;</w:t>
      </w:r>
      <w:hyperlink r:id="rId36" w:history="1">
        <w:r w:rsidRPr="00CA2B1E">
          <w:rPr>
            <w:rStyle w:val="Hyperlink"/>
            <w:rFonts w:ascii="Times New Roman" w:hAnsi="Times New Roman" w:cs="Times New Roman"/>
            <w:sz w:val="24"/>
            <w:szCs w:val="24"/>
            <w:vertAlign w:val="baseline"/>
          </w:rPr>
          <w:t>http://www.washingtontimes.com/news/2013/jun/10/teacher-publicly-tortured-beheaded-witchcraft-papu/&gt;</w:t>
        </w:r>
      </w:hyperlink>
      <w:r w:rsidRPr="00672137">
        <w:rPr>
          <w:rFonts w:ascii="Times New Roman" w:hAnsi="Times New Roman" w:cs="Times New Roman"/>
          <w:sz w:val="24"/>
          <w:szCs w:val="24"/>
          <w:vertAlign w:val="baseline"/>
        </w:rPr>
        <w:t xml:space="preserve"> accessed 6 November 2014</w:t>
      </w:r>
    </w:p>
    <w:p w14:paraId="7453A2B4" w14:textId="77777777" w:rsidR="00201141" w:rsidRDefault="00201141" w:rsidP="00201141">
      <w:pPr>
        <w:rPr>
          <w:rFonts w:ascii="Times New Roman" w:hAnsi="Times New Roman" w:cs="Times New Roman"/>
          <w:sz w:val="24"/>
          <w:szCs w:val="24"/>
          <w:vertAlign w:val="baseline"/>
        </w:rPr>
      </w:pPr>
    </w:p>
    <w:p w14:paraId="4795CD60" w14:textId="77777777" w:rsidR="00201141" w:rsidRPr="00672137" w:rsidRDefault="00201141" w:rsidP="00201141">
      <w:pPr>
        <w:rPr>
          <w:rFonts w:ascii="Times New Roman" w:hAnsi="Times New Roman" w:cs="Times New Roman"/>
          <w:sz w:val="24"/>
          <w:szCs w:val="24"/>
          <w:vertAlign w:val="baseline"/>
        </w:rPr>
      </w:pPr>
      <w:r>
        <w:rPr>
          <w:rFonts w:ascii="Times New Roman" w:hAnsi="Times New Roman" w:cs="Times New Roman"/>
          <w:sz w:val="24"/>
          <w:szCs w:val="24"/>
          <w:vertAlign w:val="baseline"/>
        </w:rPr>
        <w:t>‘</w:t>
      </w:r>
      <w:r w:rsidRPr="00672137">
        <w:rPr>
          <w:rFonts w:ascii="Times New Roman" w:hAnsi="Times New Roman" w:cs="Times New Roman"/>
          <w:sz w:val="24"/>
          <w:szCs w:val="24"/>
          <w:vertAlign w:val="baseline"/>
        </w:rPr>
        <w:t>CHRAJ, Oth</w:t>
      </w:r>
      <w:r>
        <w:rPr>
          <w:rFonts w:ascii="Times New Roman" w:hAnsi="Times New Roman" w:cs="Times New Roman"/>
          <w:sz w:val="24"/>
          <w:szCs w:val="24"/>
          <w:vertAlign w:val="baseline"/>
        </w:rPr>
        <w:t xml:space="preserve">ers Condemn Burning Of Woman’ </w:t>
      </w:r>
      <w:r w:rsidRPr="0086357B">
        <w:rPr>
          <w:rFonts w:ascii="Times New Roman" w:hAnsi="Times New Roman" w:cs="Times New Roman"/>
          <w:i/>
          <w:sz w:val="24"/>
          <w:szCs w:val="24"/>
          <w:vertAlign w:val="baseline"/>
        </w:rPr>
        <w:t>Modern Ghana</w:t>
      </w:r>
      <w:r w:rsidRPr="00672137">
        <w:rPr>
          <w:rFonts w:ascii="Times New Roman" w:hAnsi="Times New Roman" w:cs="Times New Roman"/>
          <w:sz w:val="24"/>
          <w:szCs w:val="24"/>
          <w:vertAlign w:val="baseline"/>
        </w:rPr>
        <w:t xml:space="preserve"> </w:t>
      </w:r>
      <w:r>
        <w:rPr>
          <w:rFonts w:ascii="Times New Roman" w:hAnsi="Times New Roman" w:cs="Times New Roman"/>
          <w:sz w:val="24"/>
          <w:szCs w:val="24"/>
          <w:vertAlign w:val="baseline"/>
        </w:rPr>
        <w:t xml:space="preserve">(Ghana, </w:t>
      </w:r>
      <w:r w:rsidRPr="00672137">
        <w:rPr>
          <w:rFonts w:ascii="Times New Roman" w:hAnsi="Times New Roman" w:cs="Times New Roman"/>
          <w:sz w:val="24"/>
          <w:szCs w:val="24"/>
          <w:vertAlign w:val="baseline"/>
        </w:rPr>
        <w:t>29 November 2010) &lt;</w:t>
      </w:r>
      <w:hyperlink r:id="rId37" w:history="1">
        <w:r w:rsidRPr="0086357B">
          <w:rPr>
            <w:rStyle w:val="Hyperlink"/>
            <w:rFonts w:ascii="Times New Roman" w:hAnsi="Times New Roman" w:cs="Times New Roman"/>
            <w:sz w:val="24"/>
            <w:szCs w:val="24"/>
            <w:vertAlign w:val="baseline"/>
          </w:rPr>
          <w:t>http://www.modernghana.com/news/306261/1/chraj-others-condemn-burning-of-woman.html&gt; a</w:t>
        </w:r>
      </w:hyperlink>
      <w:r w:rsidRPr="00672137">
        <w:rPr>
          <w:rFonts w:ascii="Times New Roman" w:hAnsi="Times New Roman" w:cs="Times New Roman"/>
          <w:sz w:val="24"/>
          <w:szCs w:val="24"/>
          <w:vertAlign w:val="baseline"/>
        </w:rPr>
        <w:t>ccessed 27 October 2014</w:t>
      </w:r>
    </w:p>
    <w:p w14:paraId="50CAFF34" w14:textId="77777777" w:rsidR="00201141" w:rsidRDefault="00201141" w:rsidP="003E2C58">
      <w:pPr>
        <w:rPr>
          <w:rFonts w:ascii="Times New Roman" w:hAnsi="Times New Roman" w:cs="Times New Roman"/>
          <w:sz w:val="24"/>
          <w:szCs w:val="24"/>
          <w:vertAlign w:val="baseline"/>
        </w:rPr>
      </w:pPr>
    </w:p>
    <w:p w14:paraId="633F25E2" w14:textId="77777777" w:rsidR="003E2C58" w:rsidRDefault="003E2C58" w:rsidP="003E2C58">
      <w:pPr>
        <w:rPr>
          <w:rFonts w:ascii="Times New Roman" w:hAnsi="Times New Roman" w:cs="Times New Roman"/>
          <w:sz w:val="24"/>
          <w:szCs w:val="24"/>
          <w:vertAlign w:val="baseline"/>
        </w:rPr>
      </w:pPr>
      <w:r>
        <w:rPr>
          <w:rFonts w:ascii="Times New Roman" w:hAnsi="Times New Roman" w:cs="Times New Roman"/>
          <w:sz w:val="24"/>
          <w:szCs w:val="24"/>
          <w:vertAlign w:val="baseline"/>
        </w:rPr>
        <w:t>Cimpric A,</w:t>
      </w:r>
      <w:r w:rsidRPr="00672137">
        <w:rPr>
          <w:rFonts w:ascii="Times New Roman" w:hAnsi="Times New Roman" w:cs="Times New Roman"/>
          <w:sz w:val="24"/>
          <w:szCs w:val="24"/>
          <w:vertAlign w:val="baseline"/>
        </w:rPr>
        <w:t xml:space="preserve"> ‘Children Accused of Witchcraft: An anthropological study of contemporary practices in Africa’ (</w:t>
      </w:r>
      <w:r>
        <w:rPr>
          <w:rFonts w:ascii="Times New Roman" w:hAnsi="Times New Roman" w:cs="Times New Roman"/>
          <w:sz w:val="24"/>
          <w:szCs w:val="24"/>
          <w:vertAlign w:val="baseline"/>
        </w:rPr>
        <w:t>UNICEF, April 2010)</w:t>
      </w:r>
    </w:p>
    <w:p w14:paraId="089D3C80" w14:textId="77777777" w:rsidR="003E2C58" w:rsidRPr="00672137" w:rsidRDefault="003E2C58" w:rsidP="003E2C58">
      <w:pPr>
        <w:rPr>
          <w:rFonts w:ascii="Times New Roman" w:hAnsi="Times New Roman" w:cs="Times New Roman"/>
          <w:sz w:val="24"/>
          <w:szCs w:val="24"/>
          <w:vertAlign w:val="baseline"/>
        </w:rPr>
      </w:pPr>
    </w:p>
    <w:p w14:paraId="1326B579"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Clark</w:t>
      </w:r>
      <w:r>
        <w:rPr>
          <w:rFonts w:ascii="Times New Roman" w:hAnsi="Times New Roman" w:cs="Times New Roman"/>
          <w:sz w:val="24"/>
          <w:szCs w:val="24"/>
          <w:vertAlign w:val="baseline"/>
        </w:rPr>
        <w:t xml:space="preserve"> B</w:t>
      </w:r>
      <w:r w:rsidRPr="00672137">
        <w:rPr>
          <w:rFonts w:ascii="Times New Roman" w:hAnsi="Times New Roman" w:cs="Times New Roman"/>
          <w:sz w:val="24"/>
          <w:szCs w:val="24"/>
          <w:vertAlign w:val="baseline"/>
        </w:rPr>
        <w:t>, ‘The Vienna Convention, Reservations, Regime and the Convention on Discrimination against W</w:t>
      </w:r>
      <w:r>
        <w:rPr>
          <w:rFonts w:ascii="Times New Roman" w:hAnsi="Times New Roman" w:cs="Times New Roman"/>
          <w:sz w:val="24"/>
          <w:szCs w:val="24"/>
          <w:vertAlign w:val="baseline"/>
        </w:rPr>
        <w:t>omen’ (1991) 85 Am J Intl L</w:t>
      </w:r>
      <w:r w:rsidRPr="00672137">
        <w:rPr>
          <w:rFonts w:ascii="Times New Roman" w:hAnsi="Times New Roman" w:cs="Times New Roman"/>
          <w:sz w:val="24"/>
          <w:szCs w:val="24"/>
          <w:vertAlign w:val="baseline"/>
        </w:rPr>
        <w:t xml:space="preserve"> 218</w:t>
      </w:r>
    </w:p>
    <w:p w14:paraId="4F0C948F" w14:textId="77777777" w:rsidR="003E2C58" w:rsidRDefault="003E2C58" w:rsidP="003E2C58">
      <w:pPr>
        <w:rPr>
          <w:rFonts w:ascii="Times New Roman" w:hAnsi="Times New Roman" w:cs="Times New Roman"/>
          <w:sz w:val="24"/>
          <w:szCs w:val="24"/>
          <w:vertAlign w:val="baseline"/>
        </w:rPr>
      </w:pPr>
    </w:p>
    <w:p w14:paraId="30AC153B"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Clark</w:t>
      </w:r>
      <w:r>
        <w:rPr>
          <w:rFonts w:ascii="Times New Roman" w:hAnsi="Times New Roman" w:cs="Times New Roman"/>
          <w:sz w:val="24"/>
          <w:szCs w:val="24"/>
          <w:vertAlign w:val="baseline"/>
        </w:rPr>
        <w:t xml:space="preserve"> S</w:t>
      </w:r>
      <w:r w:rsidRPr="00672137">
        <w:rPr>
          <w:rFonts w:ascii="Times New Roman" w:hAnsi="Times New Roman" w:cs="Times New Roman"/>
          <w:sz w:val="24"/>
          <w:szCs w:val="24"/>
          <w:vertAlign w:val="baseline"/>
        </w:rPr>
        <w:t>, ‘The “Gendering” of Witchcraft’ in Levack</w:t>
      </w:r>
      <w:r>
        <w:rPr>
          <w:rFonts w:ascii="Times New Roman" w:hAnsi="Times New Roman" w:cs="Times New Roman"/>
          <w:sz w:val="24"/>
          <w:szCs w:val="24"/>
          <w:vertAlign w:val="baseline"/>
        </w:rPr>
        <w:t xml:space="preserve"> B</w:t>
      </w:r>
      <w:r w:rsidRPr="00672137">
        <w:rPr>
          <w:rFonts w:ascii="Times New Roman" w:hAnsi="Times New Roman" w:cs="Times New Roman"/>
          <w:sz w:val="24"/>
          <w:szCs w:val="24"/>
          <w:vertAlign w:val="baseline"/>
        </w:rPr>
        <w:t xml:space="preserve">, </w:t>
      </w:r>
      <w:r w:rsidRPr="00E115B5">
        <w:rPr>
          <w:rFonts w:ascii="Times New Roman" w:hAnsi="Times New Roman" w:cs="Times New Roman"/>
          <w:i/>
          <w:sz w:val="24"/>
          <w:szCs w:val="24"/>
          <w:vertAlign w:val="baseline"/>
        </w:rPr>
        <w:t>New Perspectives on Witchcraft, Magic and Demonology: Gender and Witchcraft</w:t>
      </w:r>
      <w:r>
        <w:rPr>
          <w:rFonts w:ascii="Times New Roman" w:hAnsi="Times New Roman" w:cs="Times New Roman"/>
          <w:sz w:val="24"/>
          <w:szCs w:val="24"/>
          <w:vertAlign w:val="baseline"/>
        </w:rPr>
        <w:t xml:space="preserve"> (Vol 4, Routledge 2001)</w:t>
      </w:r>
    </w:p>
    <w:p w14:paraId="54B745C2" w14:textId="77777777" w:rsidR="003E2C58" w:rsidRDefault="003E2C58" w:rsidP="003E2C58">
      <w:pPr>
        <w:rPr>
          <w:rFonts w:ascii="Times New Roman" w:hAnsi="Times New Roman" w:cs="Times New Roman"/>
          <w:sz w:val="24"/>
          <w:szCs w:val="24"/>
          <w:vertAlign w:val="baseline"/>
        </w:rPr>
      </w:pPr>
    </w:p>
    <w:p w14:paraId="15FC0EB4"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Code</w:t>
      </w:r>
      <w:r>
        <w:rPr>
          <w:rFonts w:ascii="Times New Roman" w:hAnsi="Times New Roman" w:cs="Times New Roman"/>
          <w:sz w:val="24"/>
          <w:szCs w:val="24"/>
          <w:vertAlign w:val="baseline"/>
        </w:rPr>
        <w:t xml:space="preserve"> L</w:t>
      </w:r>
      <w:r w:rsidRPr="00672137">
        <w:rPr>
          <w:rFonts w:ascii="Times New Roman" w:hAnsi="Times New Roman" w:cs="Times New Roman"/>
          <w:sz w:val="24"/>
          <w:szCs w:val="24"/>
          <w:vertAlign w:val="baseline"/>
        </w:rPr>
        <w:t xml:space="preserve">, </w:t>
      </w:r>
      <w:r w:rsidRPr="00D036CB">
        <w:rPr>
          <w:rFonts w:ascii="Times New Roman" w:hAnsi="Times New Roman" w:cs="Times New Roman"/>
          <w:i/>
          <w:sz w:val="24"/>
          <w:szCs w:val="24"/>
          <w:vertAlign w:val="baseline"/>
        </w:rPr>
        <w:t>Encyclopaedia of Feminist Theories</w:t>
      </w:r>
      <w:r>
        <w:rPr>
          <w:rFonts w:ascii="Times New Roman" w:hAnsi="Times New Roman" w:cs="Times New Roman"/>
          <w:sz w:val="24"/>
          <w:szCs w:val="24"/>
          <w:vertAlign w:val="baseline"/>
        </w:rPr>
        <w:t xml:space="preserve"> (Routledge 2003)</w:t>
      </w:r>
    </w:p>
    <w:p w14:paraId="01CCC019" w14:textId="77777777" w:rsidR="003E2C58" w:rsidRDefault="003E2C58" w:rsidP="003E2C58">
      <w:pPr>
        <w:rPr>
          <w:rFonts w:ascii="Times New Roman" w:hAnsi="Times New Roman" w:cs="Times New Roman"/>
          <w:sz w:val="24"/>
          <w:szCs w:val="24"/>
          <w:vertAlign w:val="baseline"/>
        </w:rPr>
      </w:pPr>
    </w:p>
    <w:p w14:paraId="26F2351B"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Cohn</w:t>
      </w:r>
      <w:r>
        <w:rPr>
          <w:rFonts w:ascii="Times New Roman" w:hAnsi="Times New Roman" w:cs="Times New Roman"/>
          <w:sz w:val="24"/>
          <w:szCs w:val="24"/>
          <w:vertAlign w:val="baseline"/>
        </w:rPr>
        <w:t xml:space="preserve"> N</w:t>
      </w:r>
      <w:r w:rsidRPr="00672137">
        <w:rPr>
          <w:rFonts w:ascii="Times New Roman" w:hAnsi="Times New Roman" w:cs="Times New Roman"/>
          <w:sz w:val="24"/>
          <w:szCs w:val="24"/>
          <w:vertAlign w:val="baseline"/>
        </w:rPr>
        <w:t xml:space="preserve">, </w:t>
      </w:r>
      <w:r w:rsidRPr="00D12DCA">
        <w:rPr>
          <w:rFonts w:ascii="Times New Roman" w:hAnsi="Times New Roman" w:cs="Times New Roman"/>
          <w:i/>
          <w:sz w:val="24"/>
          <w:szCs w:val="24"/>
          <w:vertAlign w:val="baseline"/>
        </w:rPr>
        <w:t>Europe’s Inner Demons: The Demonization of Christians In Medieval Christendom</w:t>
      </w:r>
      <w:r>
        <w:rPr>
          <w:rFonts w:ascii="Times New Roman" w:hAnsi="Times New Roman" w:cs="Times New Roman"/>
          <w:sz w:val="24"/>
          <w:szCs w:val="24"/>
          <w:vertAlign w:val="baseline"/>
        </w:rPr>
        <w:t xml:space="preserve"> (Pimlico 1993)</w:t>
      </w:r>
    </w:p>
    <w:p w14:paraId="34EC253A" w14:textId="77777777" w:rsidR="003E2C58" w:rsidRDefault="003E2C58" w:rsidP="003E2C58">
      <w:pPr>
        <w:rPr>
          <w:rFonts w:ascii="Times New Roman" w:hAnsi="Times New Roman" w:cs="Times New Roman"/>
          <w:sz w:val="24"/>
          <w:szCs w:val="24"/>
          <w:vertAlign w:val="baseline"/>
        </w:rPr>
      </w:pPr>
    </w:p>
    <w:p w14:paraId="1AE7013D" w14:textId="77777777" w:rsidR="00D73F54" w:rsidRDefault="00D73F54" w:rsidP="00D73F54">
      <w:pPr>
        <w:rPr>
          <w:rFonts w:ascii="Times New Roman" w:eastAsia="Times New Roman" w:hAnsi="Times New Roman" w:cs="Times New Roman"/>
          <w:color w:val="000000"/>
          <w:sz w:val="24"/>
          <w:szCs w:val="24"/>
          <w:shd w:val="clear" w:color="auto" w:fill="FFFFFF"/>
          <w:vertAlign w:val="baseline"/>
        </w:rPr>
      </w:pPr>
      <w:r w:rsidRPr="001D6458">
        <w:rPr>
          <w:rFonts w:ascii="Times New Roman" w:eastAsia="Times New Roman" w:hAnsi="Times New Roman" w:cs="Times New Roman"/>
          <w:color w:val="000000"/>
          <w:sz w:val="24"/>
          <w:szCs w:val="24"/>
          <w:shd w:val="clear" w:color="auto" w:fill="FFFFFF"/>
          <w:vertAlign w:val="baseline"/>
        </w:rPr>
        <w:t>Committee Against Torture, General Comment 2, Implementation</w:t>
      </w:r>
      <w:r>
        <w:rPr>
          <w:rFonts w:ascii="Times New Roman" w:eastAsia="Times New Roman" w:hAnsi="Times New Roman" w:cs="Times New Roman"/>
          <w:color w:val="000000"/>
          <w:sz w:val="24"/>
          <w:szCs w:val="24"/>
          <w:shd w:val="clear" w:color="auto" w:fill="FFFFFF"/>
          <w:vertAlign w:val="baseline"/>
        </w:rPr>
        <w:t xml:space="preserve"> of article 2 by States Parties</w:t>
      </w:r>
      <w:r w:rsidRPr="001D6458">
        <w:rPr>
          <w:rFonts w:ascii="Times New Roman" w:eastAsia="Times New Roman" w:hAnsi="Times New Roman" w:cs="Times New Roman"/>
          <w:color w:val="000000"/>
          <w:sz w:val="24"/>
          <w:szCs w:val="24"/>
          <w:shd w:val="clear" w:color="auto" w:fill="FFFFFF"/>
          <w:vertAlign w:val="baseline"/>
        </w:rPr>
        <w:t xml:space="preserve"> (2007) U.N. Doc. CAT/C/GC/2/CRP. 1/Rev.4</w:t>
      </w:r>
    </w:p>
    <w:p w14:paraId="2B2732EA" w14:textId="77777777" w:rsidR="00D73F54" w:rsidRPr="001D6458" w:rsidRDefault="00D73F54" w:rsidP="00D73F54">
      <w:pPr>
        <w:rPr>
          <w:rFonts w:ascii="Times New Roman" w:hAnsi="Times New Roman" w:cs="Times New Roman"/>
          <w:sz w:val="24"/>
          <w:szCs w:val="24"/>
          <w:vertAlign w:val="baseline"/>
        </w:rPr>
      </w:pPr>
    </w:p>
    <w:p w14:paraId="19D905DD" w14:textId="77777777" w:rsidR="00D73F54" w:rsidRDefault="00D73F54" w:rsidP="00D73F54">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Committee Against Torture, ‘Concluding Observations on the initial report of Burkina Faso’ 2 Janu</w:t>
      </w:r>
      <w:r>
        <w:rPr>
          <w:rFonts w:ascii="Times New Roman" w:hAnsi="Times New Roman" w:cs="Times New Roman"/>
          <w:sz w:val="24"/>
          <w:szCs w:val="24"/>
          <w:vertAlign w:val="baseline"/>
        </w:rPr>
        <w:t>ary 2014 CAT/C/BFA/CO/1</w:t>
      </w:r>
    </w:p>
    <w:p w14:paraId="35C2B45F" w14:textId="77777777" w:rsidR="00D73F54" w:rsidRPr="00672137" w:rsidRDefault="00D73F54" w:rsidP="00D73F54">
      <w:pPr>
        <w:rPr>
          <w:rFonts w:ascii="Times New Roman" w:hAnsi="Times New Roman" w:cs="Times New Roman"/>
          <w:sz w:val="24"/>
          <w:szCs w:val="24"/>
          <w:vertAlign w:val="baseline"/>
        </w:rPr>
      </w:pPr>
    </w:p>
    <w:p w14:paraId="098E6620" w14:textId="77777777" w:rsidR="00D73F54" w:rsidRPr="00672137" w:rsidRDefault="00D73F54" w:rsidP="00D73F54">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Committee Against Torture, ‘Concluding Observations on the initial report of Sierra Leon</w:t>
      </w:r>
      <w:r>
        <w:rPr>
          <w:rFonts w:ascii="Times New Roman" w:hAnsi="Times New Roman" w:cs="Times New Roman"/>
          <w:sz w:val="24"/>
          <w:szCs w:val="24"/>
          <w:vertAlign w:val="baseline"/>
        </w:rPr>
        <w:t>e’ 20 June 2014 CAT/C/SLE/CO/1</w:t>
      </w:r>
    </w:p>
    <w:p w14:paraId="36F08349" w14:textId="77777777" w:rsidR="00D73F54" w:rsidRDefault="00D73F54" w:rsidP="00D73F54">
      <w:pPr>
        <w:rPr>
          <w:rFonts w:ascii="Times New Roman" w:hAnsi="Times New Roman" w:cs="Times New Roman"/>
          <w:sz w:val="24"/>
          <w:szCs w:val="24"/>
          <w:vertAlign w:val="baseline"/>
        </w:rPr>
      </w:pPr>
    </w:p>
    <w:p w14:paraId="43E9610F" w14:textId="77777777" w:rsidR="00D73F54" w:rsidRPr="00672137" w:rsidRDefault="00D73F54" w:rsidP="00D73F54">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Committee against Torture, ‘Concluding observations of the Committee against Torture: Ghana’ 15 J</w:t>
      </w:r>
      <w:r>
        <w:rPr>
          <w:rFonts w:ascii="Times New Roman" w:hAnsi="Times New Roman" w:cs="Times New Roman"/>
          <w:sz w:val="24"/>
          <w:szCs w:val="24"/>
          <w:vertAlign w:val="baseline"/>
        </w:rPr>
        <w:t>une 2011, CAT/C/GHA/CO/1</w:t>
      </w:r>
    </w:p>
    <w:p w14:paraId="6B3D589C" w14:textId="77777777" w:rsidR="00D73F54" w:rsidRDefault="00D73F54" w:rsidP="00D73F54">
      <w:pPr>
        <w:rPr>
          <w:rFonts w:ascii="Times New Roman" w:hAnsi="Times New Roman" w:cs="Times New Roman"/>
          <w:sz w:val="24"/>
          <w:szCs w:val="24"/>
          <w:vertAlign w:val="baseline"/>
        </w:rPr>
      </w:pPr>
    </w:p>
    <w:p w14:paraId="2B7D428C" w14:textId="77777777" w:rsidR="00D73F54" w:rsidRPr="00672137" w:rsidRDefault="00D73F54" w:rsidP="00D73F54">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Committee against Torture, ‘Conclusions and recommendations of the Committee against Torture: Nepal’ 13 April 2006 CAT/C/NPL/CO/2</w:t>
      </w:r>
    </w:p>
    <w:p w14:paraId="7F6EC1A8" w14:textId="77777777" w:rsidR="00D73F54" w:rsidRDefault="00D73F54" w:rsidP="00D73F54">
      <w:pPr>
        <w:rPr>
          <w:rFonts w:ascii="Times New Roman" w:hAnsi="Times New Roman" w:cs="Times New Roman"/>
          <w:sz w:val="24"/>
          <w:szCs w:val="24"/>
          <w:vertAlign w:val="baseline"/>
        </w:rPr>
      </w:pPr>
    </w:p>
    <w:p w14:paraId="57085133" w14:textId="77777777" w:rsidR="00D73F54" w:rsidRDefault="00D73F54" w:rsidP="00D73F54">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Committee against Torture, ‘Consideration of reports submitted by States parties under article 19 of the Convention: Ghana’ 7 July 2010, CAT/C/GHA/1</w:t>
      </w:r>
    </w:p>
    <w:p w14:paraId="75200570" w14:textId="77777777" w:rsidR="00D73F54" w:rsidRPr="00672137" w:rsidRDefault="00D73F54" w:rsidP="00D73F54">
      <w:pPr>
        <w:rPr>
          <w:rFonts w:ascii="Times New Roman" w:hAnsi="Times New Roman" w:cs="Times New Roman"/>
          <w:sz w:val="24"/>
          <w:szCs w:val="24"/>
          <w:vertAlign w:val="baseline"/>
        </w:rPr>
      </w:pPr>
    </w:p>
    <w:p w14:paraId="687D99D0" w14:textId="77777777" w:rsidR="00D73F54" w:rsidRPr="00672137" w:rsidRDefault="00D73F54" w:rsidP="00D73F54">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Committee against Torture, ‘Consideration of reports submitted by States parties under article 19 of the Convention: Nepal’ 14 January 2005 CAT/C/33/Add.6</w:t>
      </w:r>
    </w:p>
    <w:p w14:paraId="5EA5D4F1" w14:textId="77777777" w:rsidR="00D73F54" w:rsidRDefault="00D73F54" w:rsidP="003E2C58">
      <w:pPr>
        <w:rPr>
          <w:rFonts w:ascii="Times New Roman" w:hAnsi="Times New Roman" w:cs="Times New Roman"/>
          <w:sz w:val="24"/>
          <w:szCs w:val="24"/>
          <w:vertAlign w:val="baseline"/>
        </w:rPr>
      </w:pPr>
    </w:p>
    <w:p w14:paraId="625CF96F" w14:textId="77777777" w:rsidR="003E2C58" w:rsidRPr="00672137" w:rsidRDefault="003E2C58" w:rsidP="003E2C58">
      <w:pPr>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Cook RJ, </w:t>
      </w:r>
      <w:r w:rsidRPr="00881E28">
        <w:rPr>
          <w:rFonts w:ascii="Times New Roman" w:hAnsi="Times New Roman" w:cs="Times New Roman"/>
          <w:i/>
          <w:sz w:val="24"/>
          <w:szCs w:val="24"/>
          <w:vertAlign w:val="baseline"/>
        </w:rPr>
        <w:t>Human Rights of Women: National and International Perspectives</w:t>
      </w:r>
      <w:r w:rsidRPr="00672137">
        <w:rPr>
          <w:rFonts w:ascii="Times New Roman" w:hAnsi="Times New Roman" w:cs="Times New Roman"/>
          <w:sz w:val="24"/>
          <w:szCs w:val="24"/>
          <w:vertAlign w:val="baseline"/>
        </w:rPr>
        <w:t>, (</w:t>
      </w:r>
      <w:r>
        <w:rPr>
          <w:rFonts w:ascii="Times New Roman" w:hAnsi="Times New Roman" w:cs="Times New Roman"/>
          <w:sz w:val="24"/>
          <w:szCs w:val="24"/>
          <w:vertAlign w:val="baseline"/>
        </w:rPr>
        <w:t>Philadelphia UP 1994)</w:t>
      </w:r>
    </w:p>
    <w:p w14:paraId="23DA0F96" w14:textId="77777777" w:rsidR="003E2C58" w:rsidRDefault="003E2C58" w:rsidP="003E2C58">
      <w:pPr>
        <w:rPr>
          <w:rFonts w:ascii="Times New Roman" w:hAnsi="Times New Roman" w:cs="Times New Roman"/>
          <w:b/>
          <w:sz w:val="24"/>
          <w:szCs w:val="24"/>
          <w:vertAlign w:val="baseline"/>
        </w:rPr>
      </w:pPr>
    </w:p>
    <w:p w14:paraId="7F94B56B"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Coomaraswamy</w:t>
      </w:r>
      <w:r>
        <w:rPr>
          <w:rFonts w:ascii="Times New Roman" w:hAnsi="Times New Roman" w:cs="Times New Roman"/>
          <w:sz w:val="24"/>
          <w:szCs w:val="24"/>
          <w:vertAlign w:val="baseline"/>
        </w:rPr>
        <w:t xml:space="preserve"> R</w:t>
      </w:r>
      <w:r w:rsidRPr="00672137">
        <w:rPr>
          <w:rFonts w:ascii="Times New Roman" w:hAnsi="Times New Roman" w:cs="Times New Roman"/>
          <w:sz w:val="24"/>
          <w:szCs w:val="24"/>
          <w:vertAlign w:val="baseline"/>
        </w:rPr>
        <w:t>, ‘To Bellow Like a Cow: Women, Ethnicity and the Discourse of Rights’, in Cook</w:t>
      </w:r>
      <w:r>
        <w:rPr>
          <w:rFonts w:ascii="Times New Roman" w:hAnsi="Times New Roman" w:cs="Times New Roman"/>
          <w:sz w:val="24"/>
          <w:szCs w:val="24"/>
          <w:vertAlign w:val="baseline"/>
        </w:rPr>
        <w:t xml:space="preserve"> RJ</w:t>
      </w:r>
      <w:r w:rsidRPr="00672137">
        <w:rPr>
          <w:rFonts w:ascii="Times New Roman" w:hAnsi="Times New Roman" w:cs="Times New Roman"/>
          <w:sz w:val="24"/>
          <w:szCs w:val="24"/>
          <w:vertAlign w:val="baseline"/>
        </w:rPr>
        <w:t xml:space="preserve">, </w:t>
      </w:r>
      <w:r w:rsidRPr="001103F0">
        <w:rPr>
          <w:rFonts w:ascii="Times New Roman" w:hAnsi="Times New Roman" w:cs="Times New Roman"/>
          <w:i/>
          <w:sz w:val="24"/>
          <w:szCs w:val="24"/>
          <w:vertAlign w:val="baseline"/>
        </w:rPr>
        <w:t>Human Rights Women: National and International Perspectives</w:t>
      </w:r>
      <w:r w:rsidRPr="00672137">
        <w:rPr>
          <w:rFonts w:ascii="Times New Roman" w:hAnsi="Times New Roman" w:cs="Times New Roman"/>
          <w:sz w:val="24"/>
          <w:szCs w:val="24"/>
          <w:vertAlign w:val="baseline"/>
        </w:rPr>
        <w:t xml:space="preserve"> (</w:t>
      </w:r>
      <w:r>
        <w:rPr>
          <w:rFonts w:ascii="Times New Roman" w:hAnsi="Times New Roman" w:cs="Times New Roman"/>
          <w:sz w:val="24"/>
          <w:szCs w:val="24"/>
          <w:vertAlign w:val="baseline"/>
        </w:rPr>
        <w:t>Pennsylvania UP 1994)</w:t>
      </w:r>
    </w:p>
    <w:p w14:paraId="0700D877" w14:textId="77777777" w:rsidR="003E2C58" w:rsidRDefault="003E2C58" w:rsidP="003E2C58">
      <w:pPr>
        <w:rPr>
          <w:rFonts w:ascii="Times New Roman" w:hAnsi="Times New Roman" w:cs="Times New Roman"/>
          <w:sz w:val="24"/>
          <w:szCs w:val="24"/>
          <w:vertAlign w:val="baseline"/>
        </w:rPr>
      </w:pPr>
    </w:p>
    <w:p w14:paraId="467CF3D2" w14:textId="77777777" w:rsidR="003E2C58" w:rsidRPr="00672137" w:rsidRDefault="003E2C58" w:rsidP="003E2C58">
      <w:pPr>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Coomaraswamy R, </w:t>
      </w:r>
      <w:r w:rsidRPr="00672137">
        <w:rPr>
          <w:rFonts w:ascii="Times New Roman" w:hAnsi="Times New Roman" w:cs="Times New Roman"/>
          <w:sz w:val="24"/>
          <w:szCs w:val="24"/>
          <w:vertAlign w:val="baseline"/>
        </w:rPr>
        <w:t>‘Reinventing International Law: Women’s Rights as Human Rights in the Int</w:t>
      </w:r>
      <w:r>
        <w:rPr>
          <w:rFonts w:ascii="Times New Roman" w:hAnsi="Times New Roman" w:cs="Times New Roman"/>
          <w:sz w:val="24"/>
          <w:szCs w:val="24"/>
          <w:vertAlign w:val="baseline"/>
        </w:rPr>
        <w:t xml:space="preserve">ernational Community’, in </w:t>
      </w:r>
      <w:r w:rsidRPr="00672137">
        <w:rPr>
          <w:rFonts w:ascii="Times New Roman" w:hAnsi="Times New Roman" w:cs="Times New Roman"/>
          <w:sz w:val="24"/>
          <w:szCs w:val="24"/>
          <w:vertAlign w:val="baseline"/>
        </w:rPr>
        <w:t>Van Ness</w:t>
      </w:r>
      <w:r>
        <w:rPr>
          <w:rFonts w:ascii="Times New Roman" w:hAnsi="Times New Roman" w:cs="Times New Roman"/>
          <w:sz w:val="24"/>
          <w:szCs w:val="24"/>
          <w:vertAlign w:val="baseline"/>
        </w:rPr>
        <w:t xml:space="preserve"> P</w:t>
      </w:r>
      <w:r w:rsidRPr="00672137">
        <w:rPr>
          <w:rFonts w:ascii="Times New Roman" w:hAnsi="Times New Roman" w:cs="Times New Roman"/>
          <w:sz w:val="24"/>
          <w:szCs w:val="24"/>
          <w:vertAlign w:val="baseline"/>
        </w:rPr>
        <w:t xml:space="preserve">, </w:t>
      </w:r>
      <w:r w:rsidRPr="00303CBF">
        <w:rPr>
          <w:rFonts w:ascii="Times New Roman" w:hAnsi="Times New Roman" w:cs="Times New Roman"/>
          <w:i/>
          <w:sz w:val="24"/>
          <w:szCs w:val="24"/>
          <w:vertAlign w:val="baseline"/>
        </w:rPr>
        <w:t>Debating Human Rights: Critical Essays from the United States and Asia</w:t>
      </w:r>
      <w:r>
        <w:rPr>
          <w:rFonts w:ascii="Times New Roman" w:hAnsi="Times New Roman" w:cs="Times New Roman"/>
          <w:sz w:val="24"/>
          <w:szCs w:val="24"/>
          <w:vertAlign w:val="baseline"/>
        </w:rPr>
        <w:t xml:space="preserve"> (Routledge 1998)</w:t>
      </w:r>
    </w:p>
    <w:p w14:paraId="42A287AC" w14:textId="77777777" w:rsidR="003E2C58" w:rsidRDefault="003E2C58" w:rsidP="003E2C58">
      <w:pPr>
        <w:rPr>
          <w:rFonts w:ascii="Times New Roman" w:hAnsi="Times New Roman" w:cs="Times New Roman"/>
          <w:b/>
          <w:sz w:val="24"/>
          <w:szCs w:val="24"/>
          <w:vertAlign w:val="baseline"/>
        </w:rPr>
      </w:pPr>
    </w:p>
    <w:p w14:paraId="703B96CA"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Coomaraswamy</w:t>
      </w:r>
      <w:r>
        <w:rPr>
          <w:rFonts w:ascii="Times New Roman" w:hAnsi="Times New Roman" w:cs="Times New Roman"/>
          <w:sz w:val="24"/>
          <w:szCs w:val="24"/>
          <w:vertAlign w:val="baseline"/>
        </w:rPr>
        <w:t xml:space="preserve"> R</w:t>
      </w:r>
      <w:r w:rsidRPr="00672137">
        <w:rPr>
          <w:rFonts w:ascii="Times New Roman" w:hAnsi="Times New Roman" w:cs="Times New Roman"/>
          <w:sz w:val="24"/>
          <w:szCs w:val="24"/>
          <w:vertAlign w:val="baseline"/>
        </w:rPr>
        <w:t xml:space="preserve">, ‘Women, Ethnicity and the </w:t>
      </w:r>
      <w:r>
        <w:rPr>
          <w:rFonts w:ascii="Times New Roman" w:hAnsi="Times New Roman" w:cs="Times New Roman"/>
          <w:sz w:val="24"/>
          <w:szCs w:val="24"/>
          <w:vertAlign w:val="baseline"/>
        </w:rPr>
        <w:t xml:space="preserve">Discourse of Rights’ in </w:t>
      </w:r>
      <w:r w:rsidRPr="00672137">
        <w:rPr>
          <w:rFonts w:ascii="Times New Roman" w:hAnsi="Times New Roman" w:cs="Times New Roman"/>
          <w:sz w:val="24"/>
          <w:szCs w:val="24"/>
          <w:vertAlign w:val="baseline"/>
        </w:rPr>
        <w:t xml:space="preserve">Cook </w:t>
      </w:r>
      <w:r>
        <w:rPr>
          <w:rFonts w:ascii="Times New Roman" w:hAnsi="Times New Roman" w:cs="Times New Roman"/>
          <w:sz w:val="24"/>
          <w:szCs w:val="24"/>
          <w:vertAlign w:val="baseline"/>
        </w:rPr>
        <w:t xml:space="preserve">RJ </w:t>
      </w:r>
      <w:r w:rsidRPr="00672137">
        <w:rPr>
          <w:rFonts w:ascii="Times New Roman" w:hAnsi="Times New Roman" w:cs="Times New Roman"/>
          <w:sz w:val="24"/>
          <w:szCs w:val="24"/>
          <w:vertAlign w:val="baseline"/>
        </w:rPr>
        <w:t>(ed)</w:t>
      </w:r>
      <w:r w:rsidRPr="00BE31AA">
        <w:rPr>
          <w:rFonts w:ascii="Times New Roman" w:hAnsi="Times New Roman" w:cs="Times New Roman"/>
          <w:i/>
          <w:sz w:val="24"/>
          <w:szCs w:val="24"/>
          <w:vertAlign w:val="baseline"/>
        </w:rPr>
        <w:t xml:space="preserve"> Human Rights of Women: National and International Perspectives </w:t>
      </w:r>
      <w:r>
        <w:rPr>
          <w:rFonts w:ascii="Times New Roman" w:hAnsi="Times New Roman" w:cs="Times New Roman"/>
          <w:sz w:val="24"/>
          <w:szCs w:val="24"/>
          <w:vertAlign w:val="baseline"/>
        </w:rPr>
        <w:t>(Pennsylvania UP 1994)</w:t>
      </w:r>
    </w:p>
    <w:p w14:paraId="3914C443" w14:textId="77777777" w:rsidR="003E2C58" w:rsidRDefault="003E2C58" w:rsidP="003E2C58">
      <w:pPr>
        <w:rPr>
          <w:rFonts w:ascii="Times New Roman" w:hAnsi="Times New Roman" w:cs="Times New Roman"/>
          <w:sz w:val="24"/>
          <w:szCs w:val="24"/>
          <w:vertAlign w:val="baseline"/>
        </w:rPr>
      </w:pPr>
    </w:p>
    <w:p w14:paraId="2F24C24D" w14:textId="77777777" w:rsidR="00EF6F5D" w:rsidRPr="00672137" w:rsidRDefault="00EF6F5D" w:rsidP="00EF6F5D">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Country Women’s Association</w:t>
      </w:r>
      <w:r>
        <w:rPr>
          <w:rFonts w:ascii="Times New Roman" w:hAnsi="Times New Roman" w:cs="Times New Roman"/>
          <w:sz w:val="24"/>
          <w:szCs w:val="24"/>
          <w:vertAlign w:val="baseline"/>
        </w:rPr>
        <w:t xml:space="preserve"> </w:t>
      </w:r>
      <w:r w:rsidRPr="00672137">
        <w:rPr>
          <w:rFonts w:ascii="Times New Roman" w:hAnsi="Times New Roman" w:cs="Times New Roman"/>
          <w:sz w:val="24"/>
          <w:szCs w:val="24"/>
          <w:vertAlign w:val="baseline"/>
        </w:rPr>
        <w:t>&lt;</w:t>
      </w:r>
      <w:hyperlink r:id="rId38" w:history="1">
        <w:r w:rsidRPr="00C215AA">
          <w:rPr>
            <w:rStyle w:val="Hyperlink"/>
            <w:rFonts w:ascii="Times New Roman" w:hAnsi="Times New Roman" w:cs="Times New Roman"/>
            <w:sz w:val="24"/>
            <w:szCs w:val="24"/>
            <w:vertAlign w:val="baseline"/>
          </w:rPr>
          <w:t>http://madangcwapng.weebly.com/&gt;</w:t>
        </w:r>
      </w:hyperlink>
      <w:r w:rsidRPr="00672137">
        <w:rPr>
          <w:rFonts w:ascii="Times New Roman" w:hAnsi="Times New Roman" w:cs="Times New Roman"/>
          <w:sz w:val="24"/>
          <w:szCs w:val="24"/>
          <w:vertAlign w:val="baseline"/>
        </w:rPr>
        <w:t xml:space="preserve"> accessed 8 September 2015</w:t>
      </w:r>
    </w:p>
    <w:p w14:paraId="303EC2D7" w14:textId="77777777" w:rsidR="00EF6F5D" w:rsidRDefault="00EF6F5D" w:rsidP="00EF6F5D">
      <w:pPr>
        <w:rPr>
          <w:rFonts w:ascii="Times New Roman" w:hAnsi="Times New Roman" w:cs="Times New Roman"/>
          <w:sz w:val="24"/>
          <w:szCs w:val="24"/>
          <w:vertAlign w:val="baseline"/>
        </w:rPr>
      </w:pPr>
    </w:p>
    <w:p w14:paraId="72C574CA" w14:textId="77777777" w:rsidR="00EF6F5D" w:rsidRDefault="00EF6F5D" w:rsidP="00EF6F5D">
      <w:pPr>
        <w:rPr>
          <w:rFonts w:ascii="Times New Roman" w:hAnsi="Times New Roman" w:cs="Times New Roman"/>
          <w:sz w:val="24"/>
          <w:szCs w:val="24"/>
          <w:vertAlign w:val="baseline"/>
        </w:rPr>
      </w:pPr>
      <w:r>
        <w:rPr>
          <w:rFonts w:ascii="Times New Roman" w:hAnsi="Times New Roman" w:cs="Times New Roman"/>
          <w:sz w:val="24"/>
          <w:szCs w:val="24"/>
          <w:vertAlign w:val="baseline"/>
        </w:rPr>
        <w:t>‘</w:t>
      </w:r>
      <w:r w:rsidRPr="00672137">
        <w:rPr>
          <w:rFonts w:ascii="Times New Roman" w:hAnsi="Times New Roman" w:cs="Times New Roman"/>
          <w:sz w:val="24"/>
          <w:szCs w:val="24"/>
          <w:vertAlign w:val="baseline"/>
        </w:rPr>
        <w:t>Courts and Cases Papua New Guinea’ (Lexadin, 24 October 2009) &lt;</w:t>
      </w:r>
      <w:hyperlink r:id="rId39" w:history="1">
        <w:r w:rsidRPr="00BA23A4">
          <w:rPr>
            <w:rStyle w:val="Hyperlink"/>
            <w:rFonts w:ascii="Times New Roman" w:hAnsi="Times New Roman" w:cs="Times New Roman"/>
            <w:sz w:val="24"/>
            <w:szCs w:val="24"/>
            <w:vertAlign w:val="baseline"/>
          </w:rPr>
          <w:t>http://www.lexadin.nl/wlg/courts/nofr/oeur/lxctpng.htm&gt;</w:t>
        </w:r>
      </w:hyperlink>
      <w:r w:rsidRPr="00672137">
        <w:rPr>
          <w:rFonts w:ascii="Times New Roman" w:hAnsi="Times New Roman" w:cs="Times New Roman"/>
          <w:sz w:val="24"/>
          <w:szCs w:val="24"/>
          <w:vertAlign w:val="baseline"/>
        </w:rPr>
        <w:t xml:space="preserve"> accessed 2 September 2015</w:t>
      </w:r>
    </w:p>
    <w:p w14:paraId="76261C9E" w14:textId="77777777" w:rsidR="00EF6F5D" w:rsidRDefault="00EF6F5D" w:rsidP="003E2C58">
      <w:pPr>
        <w:rPr>
          <w:rFonts w:ascii="Times New Roman" w:hAnsi="Times New Roman" w:cs="Times New Roman"/>
          <w:sz w:val="24"/>
          <w:szCs w:val="24"/>
          <w:vertAlign w:val="baseline"/>
        </w:rPr>
      </w:pPr>
    </w:p>
    <w:p w14:paraId="6CBA01FF"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Crick</w:t>
      </w:r>
      <w:r>
        <w:rPr>
          <w:rFonts w:ascii="Times New Roman" w:hAnsi="Times New Roman" w:cs="Times New Roman"/>
          <w:sz w:val="24"/>
          <w:szCs w:val="24"/>
          <w:vertAlign w:val="baseline"/>
        </w:rPr>
        <w:t xml:space="preserve"> M</w:t>
      </w:r>
      <w:r w:rsidRPr="00672137">
        <w:rPr>
          <w:rFonts w:ascii="Times New Roman" w:hAnsi="Times New Roman" w:cs="Times New Roman"/>
          <w:sz w:val="24"/>
          <w:szCs w:val="24"/>
          <w:vertAlign w:val="baseline"/>
        </w:rPr>
        <w:t>, ‘Anthropologists’ witchcraft: Symbolically defined or analytically u</w:t>
      </w:r>
      <w:r>
        <w:rPr>
          <w:rFonts w:ascii="Times New Roman" w:hAnsi="Times New Roman" w:cs="Times New Roman"/>
          <w:sz w:val="24"/>
          <w:szCs w:val="24"/>
          <w:vertAlign w:val="baseline"/>
        </w:rPr>
        <w:t>ndone?’ (1979) 10(3) J Anthr Soc Oxford 139</w:t>
      </w:r>
    </w:p>
    <w:p w14:paraId="36EB94AA" w14:textId="77777777" w:rsidR="003E2C58" w:rsidRDefault="003E2C58" w:rsidP="003E2C58">
      <w:pPr>
        <w:rPr>
          <w:rFonts w:ascii="Times New Roman" w:hAnsi="Times New Roman" w:cs="Times New Roman"/>
          <w:sz w:val="24"/>
          <w:szCs w:val="24"/>
          <w:vertAlign w:val="baseline"/>
        </w:rPr>
      </w:pPr>
    </w:p>
    <w:p w14:paraId="06B30F82"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Curo</w:t>
      </w:r>
      <w:r>
        <w:rPr>
          <w:rFonts w:ascii="Times New Roman" w:hAnsi="Times New Roman" w:cs="Times New Roman"/>
          <w:sz w:val="24"/>
          <w:szCs w:val="24"/>
          <w:vertAlign w:val="baseline"/>
        </w:rPr>
        <w:t xml:space="preserve"> KM</w:t>
      </w:r>
      <w:r w:rsidRPr="00672137">
        <w:rPr>
          <w:rFonts w:ascii="Times New Roman" w:hAnsi="Times New Roman" w:cs="Times New Roman"/>
          <w:sz w:val="24"/>
          <w:szCs w:val="24"/>
          <w:vertAlign w:val="baseline"/>
        </w:rPr>
        <w:t xml:space="preserve"> (ed) </w:t>
      </w:r>
      <w:r w:rsidRPr="00F44D0A">
        <w:rPr>
          <w:rFonts w:ascii="Times New Roman" w:hAnsi="Times New Roman" w:cs="Times New Roman"/>
          <w:i/>
          <w:sz w:val="24"/>
          <w:szCs w:val="24"/>
          <w:vertAlign w:val="baseline"/>
        </w:rPr>
        <w:t xml:space="preserve">Family, Gender and Law in a Globalizing Middle East and South Asia </w:t>
      </w:r>
      <w:r w:rsidRPr="00672137">
        <w:rPr>
          <w:rFonts w:ascii="Times New Roman" w:hAnsi="Times New Roman" w:cs="Times New Roman"/>
          <w:sz w:val="24"/>
          <w:szCs w:val="24"/>
          <w:vertAlign w:val="baseline"/>
        </w:rPr>
        <w:t>(Syr</w:t>
      </w:r>
      <w:r>
        <w:rPr>
          <w:rFonts w:ascii="Times New Roman" w:hAnsi="Times New Roman" w:cs="Times New Roman"/>
          <w:sz w:val="24"/>
          <w:szCs w:val="24"/>
          <w:vertAlign w:val="baseline"/>
        </w:rPr>
        <w:t>acuse UP 2009)</w:t>
      </w:r>
    </w:p>
    <w:p w14:paraId="1E66A839" w14:textId="77777777" w:rsidR="003E2C58" w:rsidRDefault="003E2C58" w:rsidP="003E2C58">
      <w:pPr>
        <w:rPr>
          <w:rFonts w:ascii="Times New Roman" w:hAnsi="Times New Roman" w:cs="Times New Roman"/>
          <w:sz w:val="24"/>
          <w:szCs w:val="24"/>
          <w:vertAlign w:val="baseline"/>
        </w:rPr>
      </w:pPr>
    </w:p>
    <w:p w14:paraId="63505CCF"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Currie</w:t>
      </w:r>
      <w:r>
        <w:rPr>
          <w:rFonts w:ascii="Times New Roman" w:hAnsi="Times New Roman" w:cs="Times New Roman"/>
          <w:sz w:val="24"/>
          <w:szCs w:val="24"/>
          <w:vertAlign w:val="baseline"/>
        </w:rPr>
        <w:t xml:space="preserve"> EP</w:t>
      </w:r>
      <w:r w:rsidRPr="00672137">
        <w:rPr>
          <w:rFonts w:ascii="Times New Roman" w:hAnsi="Times New Roman" w:cs="Times New Roman"/>
          <w:sz w:val="24"/>
          <w:szCs w:val="24"/>
          <w:vertAlign w:val="baseline"/>
        </w:rPr>
        <w:t>, ‘Crimes without Criminals: Witchcraft and its Control in Renaissa</w:t>
      </w:r>
      <w:r>
        <w:rPr>
          <w:rFonts w:ascii="Times New Roman" w:hAnsi="Times New Roman" w:cs="Times New Roman"/>
          <w:sz w:val="24"/>
          <w:szCs w:val="24"/>
          <w:vertAlign w:val="baseline"/>
        </w:rPr>
        <w:t>nce Europe’ (1968) 3(1) L Soc Rev 7</w:t>
      </w:r>
    </w:p>
    <w:p w14:paraId="1D0563B1" w14:textId="77777777" w:rsidR="003E2C58" w:rsidRDefault="003E2C58" w:rsidP="003E2C58">
      <w:pPr>
        <w:rPr>
          <w:rFonts w:ascii="Times New Roman" w:hAnsi="Times New Roman" w:cs="Times New Roman"/>
          <w:sz w:val="24"/>
          <w:szCs w:val="24"/>
          <w:vertAlign w:val="baseline"/>
        </w:rPr>
      </w:pPr>
    </w:p>
    <w:p w14:paraId="18D28AE3" w14:textId="77777777" w:rsidR="00E246AA" w:rsidRPr="00F97F26" w:rsidRDefault="00E246AA" w:rsidP="00E246AA">
      <w:pPr>
        <w:rPr>
          <w:rFonts w:ascii="Times New Roman" w:eastAsia="Times New Roman" w:hAnsi="Times New Roman" w:cs="Times New Roman"/>
          <w:sz w:val="24"/>
          <w:szCs w:val="24"/>
          <w:shd w:val="clear" w:color="auto" w:fill="FFFFFF"/>
          <w:vertAlign w:val="baseline"/>
        </w:rPr>
      </w:pPr>
      <w:r w:rsidRPr="00F97F26">
        <w:rPr>
          <w:rFonts w:ascii="Times New Roman" w:eastAsia="Times New Roman" w:hAnsi="Times New Roman" w:cs="Times New Roman"/>
          <w:sz w:val="24"/>
          <w:szCs w:val="24"/>
          <w:shd w:val="clear" w:color="auto" w:fill="FFFFFF"/>
          <w:vertAlign w:val="baseline"/>
        </w:rPr>
        <w:t>Cusack</w:t>
      </w:r>
      <w:r>
        <w:rPr>
          <w:rFonts w:ascii="Times New Roman" w:eastAsia="Times New Roman" w:hAnsi="Times New Roman" w:cs="Times New Roman"/>
          <w:sz w:val="24"/>
          <w:szCs w:val="24"/>
          <w:shd w:val="clear" w:color="auto" w:fill="FFFFFF"/>
          <w:vertAlign w:val="baseline"/>
        </w:rPr>
        <w:t xml:space="preserve"> S</w:t>
      </w:r>
      <w:r w:rsidRPr="00F97F26">
        <w:rPr>
          <w:rFonts w:ascii="Times New Roman" w:eastAsia="Times New Roman" w:hAnsi="Times New Roman" w:cs="Times New Roman"/>
          <w:sz w:val="24"/>
          <w:szCs w:val="24"/>
          <w:shd w:val="clear" w:color="auto" w:fill="FFFFFF"/>
          <w:vertAlign w:val="baseline"/>
        </w:rPr>
        <w:t xml:space="preserve"> and Pusey</w:t>
      </w:r>
      <w:r>
        <w:rPr>
          <w:rFonts w:ascii="Times New Roman" w:eastAsia="Times New Roman" w:hAnsi="Times New Roman" w:cs="Times New Roman"/>
          <w:sz w:val="24"/>
          <w:szCs w:val="24"/>
          <w:shd w:val="clear" w:color="auto" w:fill="FFFFFF"/>
          <w:vertAlign w:val="baseline"/>
        </w:rPr>
        <w:t xml:space="preserve"> L</w:t>
      </w:r>
      <w:r w:rsidRPr="00F97F26">
        <w:rPr>
          <w:rFonts w:ascii="Times New Roman" w:eastAsia="Times New Roman" w:hAnsi="Times New Roman" w:cs="Times New Roman"/>
          <w:sz w:val="24"/>
          <w:szCs w:val="24"/>
          <w:shd w:val="clear" w:color="auto" w:fill="FFFFFF"/>
          <w:vertAlign w:val="baseline"/>
        </w:rPr>
        <w:t>, ‘</w:t>
      </w:r>
      <w:r w:rsidRPr="00F97F26">
        <w:rPr>
          <w:rFonts w:ascii="Times New Roman" w:eastAsia="Times New Roman" w:hAnsi="Times New Roman" w:cs="Times New Roman"/>
          <w:iCs/>
          <w:sz w:val="24"/>
          <w:szCs w:val="24"/>
          <w:shd w:val="clear" w:color="auto" w:fill="FFFFFF"/>
          <w:vertAlign w:val="baseline"/>
        </w:rPr>
        <w:t>CEDAW and the Rights to Non-Discrimination and Equality’ (2013)</w:t>
      </w:r>
      <w:r w:rsidRPr="00F97F26">
        <w:rPr>
          <w:rFonts w:ascii="Times New Roman" w:eastAsia="Times New Roman" w:hAnsi="Times New Roman" w:cs="Times New Roman"/>
          <w:sz w:val="24"/>
          <w:szCs w:val="24"/>
          <w:shd w:val="clear" w:color="auto" w:fill="FFFFFF"/>
          <w:vertAlign w:val="baseline"/>
        </w:rPr>
        <w:t xml:space="preserve"> 14(1) Melb. J. Int'l L. 54</w:t>
      </w:r>
    </w:p>
    <w:p w14:paraId="7B4B74F3" w14:textId="77777777" w:rsidR="00E246AA" w:rsidRPr="000A675B" w:rsidRDefault="00E246AA" w:rsidP="003E2C58">
      <w:pPr>
        <w:rPr>
          <w:rFonts w:ascii="Times New Roman" w:hAnsi="Times New Roman" w:cs="Times New Roman"/>
          <w:sz w:val="24"/>
          <w:szCs w:val="24"/>
          <w:vertAlign w:val="baseline"/>
        </w:rPr>
      </w:pPr>
    </w:p>
    <w:p w14:paraId="7DFD207C" w14:textId="5FDF8A88" w:rsidR="000A675B" w:rsidRDefault="000A675B" w:rsidP="003E2C58">
      <w:pPr>
        <w:rPr>
          <w:rFonts w:ascii="Times New Roman" w:hAnsi="Times New Roman" w:cs="Times New Roman"/>
          <w:sz w:val="24"/>
          <w:szCs w:val="24"/>
          <w:vertAlign w:val="baseline"/>
        </w:rPr>
      </w:pPr>
      <w:r w:rsidRPr="000A675B">
        <w:rPr>
          <w:rFonts w:ascii="Times New Roman" w:hAnsi="Times New Roman" w:cs="Times New Roman"/>
          <w:sz w:val="24"/>
          <w:szCs w:val="24"/>
          <w:vertAlign w:val="baseline"/>
        </w:rPr>
        <w:t>Cusack</w:t>
      </w:r>
      <w:r>
        <w:rPr>
          <w:rFonts w:ascii="Times New Roman" w:hAnsi="Times New Roman" w:cs="Times New Roman"/>
          <w:sz w:val="24"/>
          <w:szCs w:val="24"/>
          <w:vertAlign w:val="baseline"/>
        </w:rPr>
        <w:t xml:space="preserve"> S</w:t>
      </w:r>
      <w:r w:rsidRPr="000A675B">
        <w:rPr>
          <w:rFonts w:ascii="Times New Roman" w:hAnsi="Times New Roman" w:cs="Times New Roman"/>
          <w:sz w:val="24"/>
          <w:szCs w:val="24"/>
          <w:vertAlign w:val="baseline"/>
        </w:rPr>
        <w:t>, ‘The CEDAW as a legal framework for transnational discourses on gender stereot</w:t>
      </w:r>
      <w:r>
        <w:rPr>
          <w:rFonts w:ascii="Times New Roman" w:hAnsi="Times New Roman" w:cs="Times New Roman"/>
          <w:sz w:val="24"/>
          <w:szCs w:val="24"/>
          <w:vertAlign w:val="baseline"/>
        </w:rPr>
        <w:t xml:space="preserve">yping’ in </w:t>
      </w:r>
      <w:r w:rsidRPr="000A675B">
        <w:rPr>
          <w:rFonts w:ascii="Times New Roman" w:hAnsi="Times New Roman" w:cs="Times New Roman"/>
          <w:sz w:val="24"/>
          <w:szCs w:val="24"/>
          <w:vertAlign w:val="baseline"/>
        </w:rPr>
        <w:t xml:space="preserve">Hellum </w:t>
      </w:r>
      <w:r>
        <w:rPr>
          <w:rFonts w:ascii="Times New Roman" w:hAnsi="Times New Roman" w:cs="Times New Roman"/>
          <w:sz w:val="24"/>
          <w:szCs w:val="24"/>
          <w:vertAlign w:val="baseline"/>
        </w:rPr>
        <w:t xml:space="preserve">A and </w:t>
      </w:r>
      <w:r w:rsidRPr="000A675B">
        <w:rPr>
          <w:rFonts w:ascii="Times New Roman" w:hAnsi="Times New Roman" w:cs="Times New Roman"/>
          <w:sz w:val="24"/>
          <w:szCs w:val="24"/>
          <w:vertAlign w:val="baseline"/>
        </w:rPr>
        <w:t>Sinding Aasen</w:t>
      </w:r>
      <w:r>
        <w:rPr>
          <w:rFonts w:ascii="Times New Roman" w:hAnsi="Times New Roman" w:cs="Times New Roman"/>
          <w:sz w:val="24"/>
          <w:szCs w:val="24"/>
          <w:vertAlign w:val="baseline"/>
        </w:rPr>
        <w:t xml:space="preserve"> H</w:t>
      </w:r>
      <w:r w:rsidRPr="000A675B">
        <w:rPr>
          <w:rFonts w:ascii="Times New Roman" w:hAnsi="Times New Roman" w:cs="Times New Roman"/>
          <w:sz w:val="24"/>
          <w:szCs w:val="24"/>
          <w:vertAlign w:val="baseline"/>
        </w:rPr>
        <w:t xml:space="preserve">, </w:t>
      </w:r>
      <w:r w:rsidRPr="000A675B">
        <w:rPr>
          <w:rFonts w:ascii="Times New Roman" w:hAnsi="Times New Roman" w:cs="Times New Roman"/>
          <w:i/>
          <w:sz w:val="24"/>
          <w:szCs w:val="24"/>
          <w:vertAlign w:val="baseline"/>
        </w:rPr>
        <w:t>Women’s Human Rights: CEDAW in International, Regional and National Law</w:t>
      </w:r>
      <w:r w:rsidRPr="000A675B">
        <w:rPr>
          <w:rFonts w:ascii="Times New Roman" w:hAnsi="Times New Roman" w:cs="Times New Roman"/>
          <w:sz w:val="24"/>
          <w:szCs w:val="24"/>
          <w:vertAlign w:val="baseline"/>
        </w:rPr>
        <w:t xml:space="preserve"> (CUP 2013)</w:t>
      </w:r>
    </w:p>
    <w:p w14:paraId="1DD26172" w14:textId="77777777" w:rsidR="000A675B" w:rsidRPr="000A675B" w:rsidRDefault="000A675B" w:rsidP="003E2C58">
      <w:pPr>
        <w:rPr>
          <w:rFonts w:ascii="Times New Roman" w:hAnsi="Times New Roman" w:cs="Times New Roman"/>
          <w:sz w:val="24"/>
          <w:szCs w:val="24"/>
          <w:vertAlign w:val="baseline"/>
        </w:rPr>
      </w:pPr>
    </w:p>
    <w:p w14:paraId="72CE45C1"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Daly</w:t>
      </w:r>
      <w:r>
        <w:rPr>
          <w:rFonts w:ascii="Times New Roman" w:hAnsi="Times New Roman" w:cs="Times New Roman"/>
          <w:sz w:val="24"/>
          <w:szCs w:val="24"/>
          <w:vertAlign w:val="baseline"/>
        </w:rPr>
        <w:t xml:space="preserve"> M</w:t>
      </w:r>
      <w:r w:rsidRPr="00672137">
        <w:rPr>
          <w:rFonts w:ascii="Times New Roman" w:hAnsi="Times New Roman" w:cs="Times New Roman"/>
          <w:sz w:val="24"/>
          <w:szCs w:val="24"/>
          <w:vertAlign w:val="baseline"/>
        </w:rPr>
        <w:t xml:space="preserve">, </w:t>
      </w:r>
      <w:r w:rsidRPr="00E15BDA">
        <w:rPr>
          <w:rFonts w:ascii="Times New Roman" w:hAnsi="Times New Roman" w:cs="Times New Roman"/>
          <w:i/>
          <w:sz w:val="24"/>
          <w:szCs w:val="24"/>
          <w:vertAlign w:val="baseline"/>
        </w:rPr>
        <w:t>Gyn/Ecology: The Metaethics of Radical Feminism</w:t>
      </w:r>
      <w:r w:rsidRPr="00672137">
        <w:rPr>
          <w:rFonts w:ascii="Times New Roman" w:hAnsi="Times New Roman" w:cs="Times New Roman"/>
          <w:sz w:val="24"/>
          <w:szCs w:val="24"/>
          <w:vertAlign w:val="baseline"/>
        </w:rPr>
        <w:t xml:space="preserve"> (Beacon Press 1978)</w:t>
      </w:r>
    </w:p>
    <w:p w14:paraId="6E56EFC0" w14:textId="77777777" w:rsidR="003E2C58" w:rsidRDefault="003E2C58" w:rsidP="003E2C58">
      <w:pPr>
        <w:rPr>
          <w:rFonts w:ascii="Times New Roman" w:hAnsi="Times New Roman" w:cs="Times New Roman"/>
          <w:sz w:val="24"/>
          <w:szCs w:val="24"/>
          <w:vertAlign w:val="baseline"/>
        </w:rPr>
      </w:pPr>
    </w:p>
    <w:p w14:paraId="183895A9"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Davies</w:t>
      </w:r>
      <w:r>
        <w:rPr>
          <w:rFonts w:ascii="Times New Roman" w:hAnsi="Times New Roman" w:cs="Times New Roman"/>
          <w:sz w:val="24"/>
          <w:szCs w:val="24"/>
          <w:vertAlign w:val="baseline"/>
        </w:rPr>
        <w:t xml:space="preserve"> M</w:t>
      </w:r>
      <w:r w:rsidRPr="00672137">
        <w:rPr>
          <w:rFonts w:ascii="Times New Roman" w:hAnsi="Times New Roman" w:cs="Times New Roman"/>
          <w:sz w:val="24"/>
          <w:szCs w:val="24"/>
          <w:vertAlign w:val="baseline"/>
        </w:rPr>
        <w:t>, ‘Legal Pluralism’ in Cane</w:t>
      </w:r>
      <w:r>
        <w:rPr>
          <w:rFonts w:ascii="Times New Roman" w:hAnsi="Times New Roman" w:cs="Times New Roman"/>
          <w:sz w:val="24"/>
          <w:szCs w:val="24"/>
          <w:vertAlign w:val="baseline"/>
        </w:rPr>
        <w:t xml:space="preserve"> P</w:t>
      </w:r>
      <w:r w:rsidRPr="00672137">
        <w:rPr>
          <w:rFonts w:ascii="Times New Roman" w:hAnsi="Times New Roman" w:cs="Times New Roman"/>
          <w:sz w:val="24"/>
          <w:szCs w:val="24"/>
          <w:vertAlign w:val="baseline"/>
        </w:rPr>
        <w:t xml:space="preserve"> and Kritzer </w:t>
      </w:r>
      <w:r>
        <w:rPr>
          <w:rFonts w:ascii="Times New Roman" w:hAnsi="Times New Roman" w:cs="Times New Roman"/>
          <w:sz w:val="24"/>
          <w:szCs w:val="24"/>
          <w:vertAlign w:val="baseline"/>
        </w:rPr>
        <w:t xml:space="preserve">HM (eds) </w:t>
      </w:r>
      <w:r w:rsidRPr="007E32E4">
        <w:rPr>
          <w:rFonts w:ascii="Times New Roman" w:hAnsi="Times New Roman" w:cs="Times New Roman"/>
          <w:i/>
          <w:sz w:val="24"/>
          <w:szCs w:val="24"/>
          <w:vertAlign w:val="baseline"/>
        </w:rPr>
        <w:t>The Oxford Handbook of Empirical Legal Research</w:t>
      </w:r>
      <w:r>
        <w:rPr>
          <w:rFonts w:ascii="Times New Roman" w:hAnsi="Times New Roman" w:cs="Times New Roman"/>
          <w:sz w:val="24"/>
          <w:szCs w:val="24"/>
          <w:vertAlign w:val="baseline"/>
        </w:rPr>
        <w:t xml:space="preserve"> (OUP 2010)</w:t>
      </w:r>
    </w:p>
    <w:p w14:paraId="4DD22014" w14:textId="77777777" w:rsidR="003E2C58" w:rsidRDefault="003E2C58" w:rsidP="003E2C58">
      <w:pPr>
        <w:rPr>
          <w:rFonts w:ascii="Times New Roman" w:hAnsi="Times New Roman" w:cs="Times New Roman"/>
          <w:sz w:val="24"/>
          <w:szCs w:val="24"/>
          <w:vertAlign w:val="baseline"/>
        </w:rPr>
      </w:pPr>
    </w:p>
    <w:p w14:paraId="11257523" w14:textId="77777777" w:rsidR="003E2C58" w:rsidRDefault="003E2C58" w:rsidP="003E2C58">
      <w:pPr>
        <w:rPr>
          <w:rFonts w:ascii="Times New Roman" w:hAnsi="Times New Roman" w:cs="Times New Roman"/>
          <w:sz w:val="24"/>
          <w:szCs w:val="24"/>
          <w:vertAlign w:val="baseline"/>
        </w:rPr>
      </w:pPr>
      <w:r>
        <w:rPr>
          <w:rFonts w:ascii="Times New Roman" w:hAnsi="Times New Roman" w:cs="Times New Roman"/>
          <w:sz w:val="24"/>
          <w:szCs w:val="24"/>
          <w:vertAlign w:val="baseline"/>
        </w:rPr>
        <w:t>D</w:t>
      </w:r>
      <w:r w:rsidRPr="00672137">
        <w:rPr>
          <w:rFonts w:ascii="Times New Roman" w:hAnsi="Times New Roman" w:cs="Times New Roman"/>
          <w:sz w:val="24"/>
          <w:szCs w:val="24"/>
          <w:vertAlign w:val="baseline"/>
        </w:rPr>
        <w:t>e Blecourt</w:t>
      </w:r>
      <w:r>
        <w:rPr>
          <w:rFonts w:ascii="Times New Roman" w:hAnsi="Times New Roman" w:cs="Times New Roman"/>
          <w:sz w:val="24"/>
          <w:szCs w:val="24"/>
          <w:vertAlign w:val="baseline"/>
        </w:rPr>
        <w:t xml:space="preserve"> W</w:t>
      </w:r>
      <w:r w:rsidRPr="00672137">
        <w:rPr>
          <w:rFonts w:ascii="Times New Roman" w:hAnsi="Times New Roman" w:cs="Times New Roman"/>
          <w:sz w:val="24"/>
          <w:szCs w:val="24"/>
          <w:vertAlign w:val="baseline"/>
        </w:rPr>
        <w:t>, ‘The Witch, her Victim, the Unwitcher and the Researcher: The Continued Existence of Tra</w:t>
      </w:r>
      <w:r>
        <w:rPr>
          <w:rFonts w:ascii="Times New Roman" w:hAnsi="Times New Roman" w:cs="Times New Roman"/>
          <w:sz w:val="24"/>
          <w:szCs w:val="24"/>
          <w:vertAlign w:val="baseline"/>
        </w:rPr>
        <w:t>ditional Witchcraft’ in D</w:t>
      </w:r>
      <w:r w:rsidRPr="00672137">
        <w:rPr>
          <w:rFonts w:ascii="Times New Roman" w:hAnsi="Times New Roman" w:cs="Times New Roman"/>
          <w:sz w:val="24"/>
          <w:szCs w:val="24"/>
          <w:vertAlign w:val="baseline"/>
        </w:rPr>
        <w:t>e Blecourt</w:t>
      </w:r>
      <w:r>
        <w:rPr>
          <w:rFonts w:ascii="Times New Roman" w:hAnsi="Times New Roman" w:cs="Times New Roman"/>
          <w:sz w:val="24"/>
          <w:szCs w:val="24"/>
          <w:vertAlign w:val="baseline"/>
        </w:rPr>
        <w:t xml:space="preserve"> W, </w:t>
      </w:r>
      <w:r w:rsidRPr="00672137">
        <w:rPr>
          <w:rFonts w:ascii="Times New Roman" w:hAnsi="Times New Roman" w:cs="Times New Roman"/>
          <w:sz w:val="24"/>
          <w:szCs w:val="24"/>
          <w:vertAlign w:val="baseline"/>
        </w:rPr>
        <w:t>Hutton</w:t>
      </w:r>
      <w:r>
        <w:rPr>
          <w:rFonts w:ascii="Times New Roman" w:hAnsi="Times New Roman" w:cs="Times New Roman"/>
          <w:sz w:val="24"/>
          <w:szCs w:val="24"/>
          <w:vertAlign w:val="baseline"/>
        </w:rPr>
        <w:t xml:space="preserve"> R</w:t>
      </w:r>
      <w:r w:rsidRPr="00672137">
        <w:rPr>
          <w:rFonts w:ascii="Times New Roman" w:hAnsi="Times New Roman" w:cs="Times New Roman"/>
          <w:sz w:val="24"/>
          <w:szCs w:val="24"/>
          <w:vertAlign w:val="baseline"/>
        </w:rPr>
        <w:t xml:space="preserve"> </w:t>
      </w:r>
      <w:r>
        <w:rPr>
          <w:rFonts w:ascii="Times New Roman" w:hAnsi="Times New Roman" w:cs="Times New Roman"/>
          <w:sz w:val="24"/>
          <w:szCs w:val="24"/>
          <w:vertAlign w:val="baseline"/>
        </w:rPr>
        <w:t xml:space="preserve">and </w:t>
      </w:r>
      <w:r w:rsidRPr="00672137">
        <w:rPr>
          <w:rFonts w:ascii="Times New Roman" w:hAnsi="Times New Roman" w:cs="Times New Roman"/>
          <w:sz w:val="24"/>
          <w:szCs w:val="24"/>
          <w:vertAlign w:val="baseline"/>
        </w:rPr>
        <w:t>La Fontaine</w:t>
      </w:r>
      <w:r>
        <w:rPr>
          <w:rFonts w:ascii="Times New Roman" w:hAnsi="Times New Roman" w:cs="Times New Roman"/>
          <w:sz w:val="24"/>
          <w:szCs w:val="24"/>
          <w:vertAlign w:val="baseline"/>
        </w:rPr>
        <w:t xml:space="preserve"> J</w:t>
      </w:r>
      <w:r w:rsidRPr="00672137">
        <w:rPr>
          <w:rFonts w:ascii="Times New Roman" w:hAnsi="Times New Roman" w:cs="Times New Roman"/>
          <w:sz w:val="24"/>
          <w:szCs w:val="24"/>
          <w:vertAlign w:val="baseline"/>
        </w:rPr>
        <w:t xml:space="preserve">, </w:t>
      </w:r>
      <w:r w:rsidRPr="003A2ADC">
        <w:rPr>
          <w:rFonts w:ascii="Times New Roman" w:hAnsi="Times New Roman" w:cs="Times New Roman"/>
          <w:i/>
          <w:sz w:val="24"/>
          <w:szCs w:val="24"/>
          <w:vertAlign w:val="baseline"/>
        </w:rPr>
        <w:t>Witchcraft and Magic in Europe: The Twentieth Century</w:t>
      </w:r>
      <w:r>
        <w:rPr>
          <w:rFonts w:ascii="Times New Roman" w:hAnsi="Times New Roman" w:cs="Times New Roman"/>
          <w:sz w:val="24"/>
          <w:szCs w:val="24"/>
          <w:vertAlign w:val="baseline"/>
        </w:rPr>
        <w:t xml:space="preserve"> (Vol 6, London 1999)</w:t>
      </w:r>
    </w:p>
    <w:p w14:paraId="650B7955" w14:textId="77777777" w:rsidR="003E2C58" w:rsidRDefault="003E2C58" w:rsidP="003E2C58">
      <w:pPr>
        <w:rPr>
          <w:rFonts w:ascii="Times New Roman" w:hAnsi="Times New Roman" w:cs="Times New Roman"/>
          <w:sz w:val="24"/>
          <w:szCs w:val="24"/>
          <w:vertAlign w:val="baseline"/>
        </w:rPr>
      </w:pPr>
    </w:p>
    <w:p w14:paraId="55079AAF" w14:textId="77777777" w:rsidR="00F232A1" w:rsidRDefault="00F232A1" w:rsidP="00F232A1">
      <w:pPr>
        <w:rPr>
          <w:rFonts w:ascii="Times New Roman" w:hAnsi="Times New Roman" w:cs="Times New Roman"/>
          <w:sz w:val="24"/>
          <w:szCs w:val="24"/>
          <w:vertAlign w:val="baseline"/>
        </w:rPr>
      </w:pPr>
      <w:r>
        <w:rPr>
          <w:rFonts w:ascii="Times New Roman" w:hAnsi="Times New Roman" w:cs="Times New Roman"/>
          <w:sz w:val="24"/>
          <w:szCs w:val="24"/>
          <w:vertAlign w:val="baseline"/>
        </w:rPr>
        <w:t>‘</w:t>
      </w:r>
      <w:r w:rsidRPr="00672137">
        <w:rPr>
          <w:rFonts w:ascii="Times New Roman" w:hAnsi="Times New Roman" w:cs="Times New Roman"/>
          <w:sz w:val="24"/>
          <w:szCs w:val="24"/>
          <w:vertAlign w:val="baseline"/>
        </w:rPr>
        <w:t xml:space="preserve">Dabholkar murder: Maharashtra first state to ban black magic’ </w:t>
      </w:r>
      <w:r w:rsidRPr="000864EC">
        <w:rPr>
          <w:rFonts w:ascii="Times New Roman" w:hAnsi="Times New Roman" w:cs="Times New Roman"/>
          <w:i/>
          <w:sz w:val="24"/>
          <w:szCs w:val="24"/>
          <w:vertAlign w:val="baseline"/>
        </w:rPr>
        <w:t>Hindustan Times</w:t>
      </w:r>
      <w:r w:rsidRPr="00672137">
        <w:rPr>
          <w:rFonts w:ascii="Times New Roman" w:hAnsi="Times New Roman" w:cs="Times New Roman"/>
          <w:sz w:val="24"/>
          <w:szCs w:val="24"/>
          <w:vertAlign w:val="baseline"/>
        </w:rPr>
        <w:t xml:space="preserve"> (Mumbai, 25 August 2013) &lt;</w:t>
      </w:r>
      <w:hyperlink r:id="rId40" w:history="1">
        <w:r w:rsidRPr="000864EC">
          <w:rPr>
            <w:rStyle w:val="Hyperlink"/>
            <w:rFonts w:ascii="Times New Roman" w:hAnsi="Times New Roman" w:cs="Times New Roman"/>
            <w:sz w:val="24"/>
            <w:szCs w:val="24"/>
            <w:vertAlign w:val="baseline"/>
          </w:rPr>
          <w:t>http://www.hindustantimes.com/mumbai/dabholkar-murder-maharashtra-first-state-to-ban-black-magic/article1-1112686.aspx&gt;</w:t>
        </w:r>
      </w:hyperlink>
      <w:r w:rsidRPr="00672137">
        <w:rPr>
          <w:rFonts w:ascii="Times New Roman" w:hAnsi="Times New Roman" w:cs="Times New Roman"/>
          <w:sz w:val="24"/>
          <w:szCs w:val="24"/>
          <w:vertAlign w:val="baseline"/>
        </w:rPr>
        <w:t xml:space="preserve"> accessed 25 August 2015</w:t>
      </w:r>
    </w:p>
    <w:p w14:paraId="1FC610A8" w14:textId="77777777" w:rsidR="00F232A1" w:rsidRDefault="00F232A1" w:rsidP="00F232A1">
      <w:pPr>
        <w:rPr>
          <w:rFonts w:ascii="Times New Roman" w:hAnsi="Times New Roman" w:cs="Times New Roman"/>
          <w:sz w:val="24"/>
          <w:szCs w:val="24"/>
          <w:vertAlign w:val="baseline"/>
        </w:rPr>
      </w:pPr>
    </w:p>
    <w:p w14:paraId="0C79B1C9" w14:textId="77777777" w:rsidR="00F232A1" w:rsidRDefault="00F232A1" w:rsidP="00F232A1">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Dahal</w:t>
      </w:r>
      <w:r>
        <w:rPr>
          <w:rFonts w:ascii="Times New Roman" w:hAnsi="Times New Roman" w:cs="Times New Roman"/>
          <w:sz w:val="24"/>
          <w:szCs w:val="24"/>
          <w:vertAlign w:val="baseline"/>
        </w:rPr>
        <w:t xml:space="preserve"> R</w:t>
      </w:r>
      <w:r w:rsidRPr="00672137">
        <w:rPr>
          <w:rFonts w:ascii="Times New Roman" w:hAnsi="Times New Roman" w:cs="Times New Roman"/>
          <w:sz w:val="24"/>
          <w:szCs w:val="24"/>
          <w:vertAlign w:val="baseline"/>
        </w:rPr>
        <w:t xml:space="preserve">, ‘Widow branded as witch‚ fed human excreta’ </w:t>
      </w:r>
      <w:r w:rsidRPr="002F1844">
        <w:rPr>
          <w:rFonts w:ascii="Times New Roman" w:hAnsi="Times New Roman" w:cs="Times New Roman"/>
          <w:i/>
          <w:sz w:val="24"/>
          <w:szCs w:val="24"/>
          <w:vertAlign w:val="baseline"/>
        </w:rPr>
        <w:t>Himalayan Times</w:t>
      </w:r>
      <w:r w:rsidRPr="00672137">
        <w:rPr>
          <w:rFonts w:ascii="Times New Roman" w:hAnsi="Times New Roman" w:cs="Times New Roman"/>
          <w:sz w:val="24"/>
          <w:szCs w:val="24"/>
          <w:vertAlign w:val="baseline"/>
        </w:rPr>
        <w:t xml:space="preserve"> (London 7 August 2013) &lt;</w:t>
      </w:r>
      <w:hyperlink r:id="rId41" w:history="1">
        <w:r w:rsidRPr="002F1844">
          <w:rPr>
            <w:rStyle w:val="Hyperlink"/>
            <w:rFonts w:ascii="Times New Roman" w:hAnsi="Times New Roman" w:cs="Times New Roman"/>
            <w:sz w:val="24"/>
            <w:szCs w:val="24"/>
            <w:vertAlign w:val="baseline"/>
          </w:rPr>
          <w:t>http://www.thehimalayantimes.com/fullNews.php?headline=Widow+branded+as+witch%26sbquo%3B+fed+human+excreta&amp;NewsID=386502&gt; a</w:t>
        </w:r>
      </w:hyperlink>
      <w:r w:rsidRPr="00672137">
        <w:rPr>
          <w:rFonts w:ascii="Times New Roman" w:hAnsi="Times New Roman" w:cs="Times New Roman"/>
          <w:sz w:val="24"/>
          <w:szCs w:val="24"/>
          <w:vertAlign w:val="baseline"/>
        </w:rPr>
        <w:t>ccessed 21 November 2014;</w:t>
      </w:r>
    </w:p>
    <w:p w14:paraId="0EBBC880" w14:textId="77777777" w:rsidR="00F232A1" w:rsidRDefault="00F232A1" w:rsidP="003E2C58">
      <w:pPr>
        <w:rPr>
          <w:rFonts w:ascii="Times New Roman" w:hAnsi="Times New Roman" w:cs="Times New Roman"/>
          <w:sz w:val="24"/>
          <w:szCs w:val="24"/>
          <w:vertAlign w:val="baseline"/>
        </w:rPr>
      </w:pPr>
    </w:p>
    <w:p w14:paraId="043AA5DF" w14:textId="77777777" w:rsidR="003E2C58" w:rsidRDefault="003E2C58" w:rsidP="003E2C58">
      <w:pPr>
        <w:rPr>
          <w:rFonts w:ascii="Times New Roman" w:hAnsi="Times New Roman" w:cs="Times New Roman"/>
          <w:sz w:val="24"/>
          <w:szCs w:val="24"/>
          <w:vertAlign w:val="baseline"/>
        </w:rPr>
      </w:pPr>
      <w:r>
        <w:rPr>
          <w:rFonts w:ascii="Times New Roman" w:hAnsi="Times New Roman" w:cs="Times New Roman"/>
          <w:sz w:val="24"/>
          <w:szCs w:val="24"/>
          <w:vertAlign w:val="baseline"/>
        </w:rPr>
        <w:t>De</w:t>
      </w:r>
      <w:r w:rsidRPr="00672137">
        <w:rPr>
          <w:rFonts w:ascii="Times New Roman" w:hAnsi="Times New Roman" w:cs="Times New Roman"/>
          <w:sz w:val="24"/>
          <w:szCs w:val="24"/>
          <w:vertAlign w:val="baseline"/>
        </w:rPr>
        <w:t xml:space="preserve"> Beauvoir</w:t>
      </w:r>
      <w:r>
        <w:rPr>
          <w:rFonts w:ascii="Times New Roman" w:hAnsi="Times New Roman" w:cs="Times New Roman"/>
          <w:sz w:val="24"/>
          <w:szCs w:val="24"/>
          <w:vertAlign w:val="baseline"/>
        </w:rPr>
        <w:t xml:space="preserve"> S</w:t>
      </w:r>
      <w:r w:rsidRPr="00672137">
        <w:rPr>
          <w:rFonts w:ascii="Times New Roman" w:hAnsi="Times New Roman" w:cs="Times New Roman"/>
          <w:sz w:val="24"/>
          <w:szCs w:val="24"/>
          <w:vertAlign w:val="baseline"/>
        </w:rPr>
        <w:t xml:space="preserve">, </w:t>
      </w:r>
      <w:r w:rsidRPr="001A2A1E">
        <w:rPr>
          <w:rFonts w:ascii="Times New Roman" w:hAnsi="Times New Roman" w:cs="Times New Roman"/>
          <w:i/>
          <w:sz w:val="24"/>
          <w:szCs w:val="24"/>
          <w:vertAlign w:val="baseline"/>
        </w:rPr>
        <w:t>The Second Sex</w:t>
      </w:r>
      <w:r w:rsidRPr="00672137">
        <w:rPr>
          <w:rFonts w:ascii="Times New Roman" w:hAnsi="Times New Roman" w:cs="Times New Roman"/>
          <w:sz w:val="24"/>
          <w:szCs w:val="24"/>
          <w:vertAlign w:val="baseline"/>
        </w:rPr>
        <w:t xml:space="preserve"> (Vintage Publishing 1997)</w:t>
      </w:r>
    </w:p>
    <w:p w14:paraId="58FA1661" w14:textId="77777777" w:rsidR="003E2C58" w:rsidRDefault="003E2C58" w:rsidP="003E2C58">
      <w:pPr>
        <w:rPr>
          <w:rFonts w:ascii="Times New Roman" w:hAnsi="Times New Roman" w:cs="Times New Roman"/>
          <w:sz w:val="24"/>
          <w:szCs w:val="24"/>
          <w:vertAlign w:val="baseline"/>
        </w:rPr>
      </w:pPr>
    </w:p>
    <w:p w14:paraId="0D397430" w14:textId="77777777" w:rsidR="003E2C58" w:rsidRPr="00672137" w:rsidRDefault="003E2C58" w:rsidP="003E2C58">
      <w:pPr>
        <w:rPr>
          <w:rFonts w:ascii="Times New Roman" w:hAnsi="Times New Roman" w:cs="Times New Roman"/>
          <w:sz w:val="24"/>
          <w:szCs w:val="24"/>
          <w:vertAlign w:val="baseline"/>
        </w:rPr>
      </w:pPr>
      <w:r>
        <w:rPr>
          <w:rFonts w:ascii="Times New Roman" w:hAnsi="Times New Roman" w:cs="Times New Roman"/>
          <w:sz w:val="24"/>
          <w:szCs w:val="24"/>
          <w:vertAlign w:val="baseline"/>
        </w:rPr>
        <w:t>D</w:t>
      </w:r>
      <w:r w:rsidRPr="00672137">
        <w:rPr>
          <w:rFonts w:ascii="Times New Roman" w:hAnsi="Times New Roman" w:cs="Times New Roman"/>
          <w:sz w:val="24"/>
          <w:szCs w:val="24"/>
          <w:vertAlign w:val="baseline"/>
        </w:rPr>
        <w:t>e Blecourt</w:t>
      </w:r>
      <w:r>
        <w:rPr>
          <w:rFonts w:ascii="Times New Roman" w:hAnsi="Times New Roman" w:cs="Times New Roman"/>
          <w:sz w:val="24"/>
          <w:szCs w:val="24"/>
          <w:vertAlign w:val="baseline"/>
        </w:rPr>
        <w:t xml:space="preserve"> W, </w:t>
      </w:r>
      <w:r w:rsidRPr="00672137">
        <w:rPr>
          <w:rFonts w:ascii="Times New Roman" w:hAnsi="Times New Roman" w:cs="Times New Roman"/>
          <w:sz w:val="24"/>
          <w:szCs w:val="24"/>
          <w:vertAlign w:val="baseline"/>
        </w:rPr>
        <w:t>Hutton</w:t>
      </w:r>
      <w:r>
        <w:rPr>
          <w:rFonts w:ascii="Times New Roman" w:hAnsi="Times New Roman" w:cs="Times New Roman"/>
          <w:sz w:val="24"/>
          <w:szCs w:val="24"/>
          <w:vertAlign w:val="baseline"/>
        </w:rPr>
        <w:t xml:space="preserve"> R</w:t>
      </w:r>
      <w:r w:rsidRPr="00672137">
        <w:rPr>
          <w:rFonts w:ascii="Times New Roman" w:hAnsi="Times New Roman" w:cs="Times New Roman"/>
          <w:sz w:val="24"/>
          <w:szCs w:val="24"/>
          <w:vertAlign w:val="baseline"/>
        </w:rPr>
        <w:t xml:space="preserve"> </w:t>
      </w:r>
      <w:r>
        <w:rPr>
          <w:rFonts w:ascii="Times New Roman" w:hAnsi="Times New Roman" w:cs="Times New Roman"/>
          <w:sz w:val="24"/>
          <w:szCs w:val="24"/>
          <w:vertAlign w:val="baseline"/>
        </w:rPr>
        <w:t xml:space="preserve">and </w:t>
      </w:r>
      <w:r w:rsidRPr="00672137">
        <w:rPr>
          <w:rFonts w:ascii="Times New Roman" w:hAnsi="Times New Roman" w:cs="Times New Roman"/>
          <w:sz w:val="24"/>
          <w:szCs w:val="24"/>
          <w:vertAlign w:val="baseline"/>
        </w:rPr>
        <w:t>La Fontaine</w:t>
      </w:r>
      <w:r>
        <w:rPr>
          <w:rFonts w:ascii="Times New Roman" w:hAnsi="Times New Roman" w:cs="Times New Roman"/>
          <w:sz w:val="24"/>
          <w:szCs w:val="24"/>
          <w:vertAlign w:val="baseline"/>
        </w:rPr>
        <w:t xml:space="preserve"> J</w:t>
      </w:r>
      <w:r w:rsidRPr="00672137">
        <w:rPr>
          <w:rFonts w:ascii="Times New Roman" w:hAnsi="Times New Roman" w:cs="Times New Roman"/>
          <w:sz w:val="24"/>
          <w:szCs w:val="24"/>
          <w:vertAlign w:val="baseline"/>
        </w:rPr>
        <w:t xml:space="preserve">, </w:t>
      </w:r>
      <w:r w:rsidRPr="003A2ADC">
        <w:rPr>
          <w:rFonts w:ascii="Times New Roman" w:hAnsi="Times New Roman" w:cs="Times New Roman"/>
          <w:i/>
          <w:sz w:val="24"/>
          <w:szCs w:val="24"/>
          <w:vertAlign w:val="baseline"/>
        </w:rPr>
        <w:t>Witchcraft and Magic in Europe: The Twentieth Century</w:t>
      </w:r>
      <w:r>
        <w:rPr>
          <w:rFonts w:ascii="Times New Roman" w:hAnsi="Times New Roman" w:cs="Times New Roman"/>
          <w:sz w:val="24"/>
          <w:szCs w:val="24"/>
          <w:vertAlign w:val="baseline"/>
        </w:rPr>
        <w:t xml:space="preserve"> (Vol.6, London 1999)</w:t>
      </w:r>
    </w:p>
    <w:p w14:paraId="702B0CF5" w14:textId="77777777" w:rsidR="003E2C58" w:rsidRDefault="003E2C58" w:rsidP="003E2C58">
      <w:pPr>
        <w:rPr>
          <w:rFonts w:ascii="Times New Roman" w:hAnsi="Times New Roman" w:cs="Times New Roman"/>
          <w:sz w:val="24"/>
          <w:szCs w:val="24"/>
          <w:vertAlign w:val="baseline"/>
        </w:rPr>
      </w:pPr>
    </w:p>
    <w:p w14:paraId="3E9D03B2"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Dennis</w:t>
      </w:r>
      <w:r>
        <w:rPr>
          <w:rFonts w:ascii="Times New Roman" w:hAnsi="Times New Roman" w:cs="Times New Roman"/>
          <w:sz w:val="24"/>
          <w:szCs w:val="24"/>
          <w:vertAlign w:val="baseline"/>
        </w:rPr>
        <w:t xml:space="preserve"> MJ and </w:t>
      </w:r>
      <w:r w:rsidRPr="00672137">
        <w:rPr>
          <w:rFonts w:ascii="Times New Roman" w:hAnsi="Times New Roman" w:cs="Times New Roman"/>
          <w:sz w:val="24"/>
          <w:szCs w:val="24"/>
          <w:vertAlign w:val="baseline"/>
        </w:rPr>
        <w:t>Stewart</w:t>
      </w:r>
      <w:r>
        <w:rPr>
          <w:rFonts w:ascii="Times New Roman" w:hAnsi="Times New Roman" w:cs="Times New Roman"/>
          <w:sz w:val="24"/>
          <w:szCs w:val="24"/>
          <w:vertAlign w:val="baseline"/>
        </w:rPr>
        <w:t xml:space="preserve"> DP</w:t>
      </w:r>
      <w:r w:rsidRPr="00672137">
        <w:rPr>
          <w:rFonts w:ascii="Times New Roman" w:hAnsi="Times New Roman" w:cs="Times New Roman"/>
          <w:sz w:val="24"/>
          <w:szCs w:val="24"/>
          <w:vertAlign w:val="baseline"/>
        </w:rPr>
        <w:t>, ‘Justiciability of Economic, Social and Cultural Rights: Should There Be an International Complaints Mechanism to Adjudicate the Rights to Food, Water, Housin</w:t>
      </w:r>
      <w:r>
        <w:rPr>
          <w:rFonts w:ascii="Times New Roman" w:hAnsi="Times New Roman" w:cs="Times New Roman"/>
          <w:sz w:val="24"/>
          <w:szCs w:val="24"/>
          <w:vertAlign w:val="baseline"/>
        </w:rPr>
        <w:t xml:space="preserve">g and Health?’ (2004) 98(3) AJIL </w:t>
      </w:r>
      <w:r w:rsidRPr="00672137">
        <w:rPr>
          <w:rFonts w:ascii="Times New Roman" w:hAnsi="Times New Roman" w:cs="Times New Roman"/>
          <w:sz w:val="24"/>
          <w:szCs w:val="24"/>
          <w:vertAlign w:val="baseline"/>
        </w:rPr>
        <w:t>462</w:t>
      </w:r>
    </w:p>
    <w:p w14:paraId="28A3A4B3" w14:textId="77777777" w:rsidR="003E2C58" w:rsidRDefault="003E2C58" w:rsidP="003E2C58">
      <w:pPr>
        <w:rPr>
          <w:rFonts w:ascii="Times New Roman" w:hAnsi="Times New Roman" w:cs="Times New Roman"/>
          <w:sz w:val="24"/>
          <w:szCs w:val="24"/>
          <w:vertAlign w:val="baseline"/>
        </w:rPr>
      </w:pPr>
    </w:p>
    <w:p w14:paraId="28F2231F"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Desai</w:t>
      </w:r>
      <w:r>
        <w:rPr>
          <w:rFonts w:ascii="Times New Roman" w:hAnsi="Times New Roman" w:cs="Times New Roman"/>
          <w:sz w:val="24"/>
          <w:szCs w:val="24"/>
          <w:vertAlign w:val="baseline"/>
        </w:rPr>
        <w:t xml:space="preserve"> M</w:t>
      </w:r>
      <w:r w:rsidRPr="00672137">
        <w:rPr>
          <w:rFonts w:ascii="Times New Roman" w:hAnsi="Times New Roman" w:cs="Times New Roman"/>
          <w:sz w:val="24"/>
          <w:szCs w:val="24"/>
          <w:vertAlign w:val="baseline"/>
        </w:rPr>
        <w:t>, ‘Legal Pluralism Versus a Uniform Civil Code: The Continuing Debates in India’ in Curo</w:t>
      </w:r>
      <w:r>
        <w:rPr>
          <w:rFonts w:ascii="Times New Roman" w:hAnsi="Times New Roman" w:cs="Times New Roman"/>
          <w:sz w:val="24"/>
          <w:szCs w:val="24"/>
          <w:vertAlign w:val="baseline"/>
        </w:rPr>
        <w:t xml:space="preserve"> KM</w:t>
      </w:r>
      <w:r w:rsidRPr="00672137">
        <w:rPr>
          <w:rFonts w:ascii="Times New Roman" w:hAnsi="Times New Roman" w:cs="Times New Roman"/>
          <w:sz w:val="24"/>
          <w:szCs w:val="24"/>
          <w:vertAlign w:val="baseline"/>
        </w:rPr>
        <w:t xml:space="preserve"> (ed) </w:t>
      </w:r>
      <w:r w:rsidRPr="00F44D0A">
        <w:rPr>
          <w:rFonts w:ascii="Times New Roman" w:hAnsi="Times New Roman" w:cs="Times New Roman"/>
          <w:i/>
          <w:sz w:val="24"/>
          <w:szCs w:val="24"/>
          <w:vertAlign w:val="baseline"/>
        </w:rPr>
        <w:t xml:space="preserve">Family, Gender and Law in a Globalizing Middle East and South Asia </w:t>
      </w:r>
      <w:r w:rsidRPr="00672137">
        <w:rPr>
          <w:rFonts w:ascii="Times New Roman" w:hAnsi="Times New Roman" w:cs="Times New Roman"/>
          <w:sz w:val="24"/>
          <w:szCs w:val="24"/>
          <w:vertAlign w:val="baseline"/>
        </w:rPr>
        <w:t>(Syr</w:t>
      </w:r>
      <w:r>
        <w:rPr>
          <w:rFonts w:ascii="Times New Roman" w:hAnsi="Times New Roman" w:cs="Times New Roman"/>
          <w:sz w:val="24"/>
          <w:szCs w:val="24"/>
          <w:vertAlign w:val="baseline"/>
        </w:rPr>
        <w:t>acuse UP 2009)</w:t>
      </w:r>
    </w:p>
    <w:p w14:paraId="6C3A29A9" w14:textId="77777777" w:rsidR="003E2C58" w:rsidRDefault="003E2C58" w:rsidP="003E2C58">
      <w:pPr>
        <w:rPr>
          <w:rFonts w:ascii="Times New Roman" w:hAnsi="Times New Roman" w:cs="Times New Roman"/>
          <w:sz w:val="24"/>
          <w:szCs w:val="24"/>
          <w:vertAlign w:val="baseline"/>
        </w:rPr>
      </w:pPr>
    </w:p>
    <w:p w14:paraId="0E5D2A97"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Desai</w:t>
      </w:r>
      <w:r>
        <w:rPr>
          <w:rFonts w:ascii="Times New Roman" w:hAnsi="Times New Roman" w:cs="Times New Roman"/>
          <w:sz w:val="24"/>
          <w:szCs w:val="24"/>
          <w:vertAlign w:val="baseline"/>
        </w:rPr>
        <w:t xml:space="preserve"> M</w:t>
      </w:r>
      <w:r w:rsidRPr="00672137">
        <w:rPr>
          <w:rFonts w:ascii="Times New Roman" w:hAnsi="Times New Roman" w:cs="Times New Roman"/>
          <w:sz w:val="24"/>
          <w:szCs w:val="24"/>
          <w:vertAlign w:val="baseline"/>
        </w:rPr>
        <w:t>, ‘Flip-flop on personal laws’ (2004) 3(4) Combat Law &lt;</w:t>
      </w:r>
      <w:hyperlink r:id="rId42" w:history="1">
        <w:r w:rsidRPr="00CC2EE2">
          <w:rPr>
            <w:rStyle w:val="Hyperlink"/>
            <w:rFonts w:ascii="Times New Roman" w:hAnsi="Times New Roman" w:cs="Times New Roman"/>
            <w:sz w:val="24"/>
            <w:szCs w:val="24"/>
            <w:vertAlign w:val="baseline"/>
          </w:rPr>
          <w:t>http://indiatogether.org/combatlaw/vol3/issue4/flipflop.htm&gt;</w:t>
        </w:r>
      </w:hyperlink>
      <w:r w:rsidRPr="00672137">
        <w:rPr>
          <w:rFonts w:ascii="Times New Roman" w:hAnsi="Times New Roman" w:cs="Times New Roman"/>
          <w:sz w:val="24"/>
          <w:szCs w:val="24"/>
          <w:vertAlign w:val="baseline"/>
        </w:rPr>
        <w:t xml:space="preserve"> accessed 30 September 2015</w:t>
      </w:r>
    </w:p>
    <w:p w14:paraId="27378F71" w14:textId="77777777" w:rsidR="003E2C58" w:rsidRDefault="003E2C58" w:rsidP="003E2C58">
      <w:pPr>
        <w:rPr>
          <w:rFonts w:ascii="Times New Roman" w:hAnsi="Times New Roman" w:cs="Times New Roman"/>
          <w:sz w:val="24"/>
          <w:szCs w:val="24"/>
          <w:vertAlign w:val="baseline"/>
        </w:rPr>
      </w:pPr>
    </w:p>
    <w:p w14:paraId="19869874"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Dey</w:t>
      </w:r>
      <w:r>
        <w:rPr>
          <w:rFonts w:ascii="Times New Roman" w:hAnsi="Times New Roman" w:cs="Times New Roman"/>
          <w:sz w:val="24"/>
          <w:szCs w:val="24"/>
          <w:vertAlign w:val="baseline"/>
        </w:rPr>
        <w:t xml:space="preserve"> D</w:t>
      </w:r>
      <w:r w:rsidRPr="00672137">
        <w:rPr>
          <w:rFonts w:ascii="Times New Roman" w:hAnsi="Times New Roman" w:cs="Times New Roman"/>
          <w:sz w:val="24"/>
          <w:szCs w:val="24"/>
          <w:vertAlign w:val="baseline"/>
        </w:rPr>
        <w:t xml:space="preserve">, </w:t>
      </w:r>
      <w:r w:rsidRPr="00DD1265">
        <w:rPr>
          <w:rFonts w:ascii="Times New Roman" w:hAnsi="Times New Roman" w:cs="Times New Roman"/>
          <w:i/>
          <w:sz w:val="24"/>
          <w:szCs w:val="24"/>
          <w:vertAlign w:val="baseline"/>
        </w:rPr>
        <w:t>Hinduism – A Critical Review</w:t>
      </w:r>
      <w:r>
        <w:rPr>
          <w:rFonts w:ascii="Times New Roman" w:hAnsi="Times New Roman" w:cs="Times New Roman"/>
          <w:sz w:val="24"/>
          <w:szCs w:val="24"/>
          <w:vertAlign w:val="baseline"/>
        </w:rPr>
        <w:t xml:space="preserve"> (Lulu.com 2013)</w:t>
      </w:r>
    </w:p>
    <w:p w14:paraId="5B9348AB" w14:textId="77777777" w:rsidR="003E2C58" w:rsidRPr="00672137" w:rsidRDefault="003E2C58" w:rsidP="003E2C58">
      <w:pPr>
        <w:rPr>
          <w:rFonts w:ascii="Times New Roman" w:hAnsi="Times New Roman" w:cs="Times New Roman"/>
          <w:sz w:val="24"/>
          <w:szCs w:val="24"/>
          <w:vertAlign w:val="baseline"/>
        </w:rPr>
      </w:pPr>
    </w:p>
    <w:p w14:paraId="023500C6" w14:textId="77777777" w:rsidR="00F232A1" w:rsidRPr="00672137" w:rsidRDefault="00F232A1" w:rsidP="00F232A1">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Dhungana</w:t>
      </w:r>
      <w:r>
        <w:rPr>
          <w:rFonts w:ascii="Times New Roman" w:hAnsi="Times New Roman" w:cs="Times New Roman"/>
          <w:sz w:val="24"/>
          <w:szCs w:val="24"/>
          <w:vertAlign w:val="baseline"/>
        </w:rPr>
        <w:t xml:space="preserve"> N, ‘Then they set her ablaze’ </w:t>
      </w:r>
      <w:r w:rsidRPr="003E6CFF">
        <w:rPr>
          <w:rFonts w:ascii="Times New Roman" w:hAnsi="Times New Roman" w:cs="Times New Roman"/>
          <w:i/>
          <w:sz w:val="24"/>
          <w:szCs w:val="24"/>
          <w:vertAlign w:val="baseline"/>
        </w:rPr>
        <w:t>Nepali Times</w:t>
      </w:r>
      <w:r>
        <w:rPr>
          <w:rFonts w:ascii="Times New Roman" w:hAnsi="Times New Roman" w:cs="Times New Roman"/>
          <w:sz w:val="24"/>
          <w:szCs w:val="24"/>
          <w:vertAlign w:val="baseline"/>
        </w:rPr>
        <w:t xml:space="preserve"> (Nepal, </w:t>
      </w:r>
      <w:r w:rsidRPr="00672137">
        <w:rPr>
          <w:rFonts w:ascii="Times New Roman" w:hAnsi="Times New Roman" w:cs="Times New Roman"/>
          <w:sz w:val="24"/>
          <w:szCs w:val="24"/>
          <w:vertAlign w:val="baseline"/>
        </w:rPr>
        <w:t>24 February 2012) &lt;</w:t>
      </w:r>
      <w:hyperlink r:id="rId43" w:history="1">
        <w:r w:rsidRPr="003E6CFF">
          <w:rPr>
            <w:rStyle w:val="Hyperlink"/>
            <w:rFonts w:ascii="Times New Roman" w:hAnsi="Times New Roman" w:cs="Times New Roman"/>
            <w:sz w:val="24"/>
            <w:szCs w:val="24"/>
            <w:vertAlign w:val="baseline"/>
          </w:rPr>
          <w:t>http://nepalitimes.com/news.php?id=19040&gt;</w:t>
        </w:r>
      </w:hyperlink>
      <w:r w:rsidRPr="00672137">
        <w:rPr>
          <w:rFonts w:ascii="Times New Roman" w:hAnsi="Times New Roman" w:cs="Times New Roman"/>
          <w:sz w:val="24"/>
          <w:szCs w:val="24"/>
          <w:vertAlign w:val="baseline"/>
        </w:rPr>
        <w:t xml:space="preserve"> accessed 11 June 2014.</w:t>
      </w:r>
    </w:p>
    <w:p w14:paraId="466B62ED" w14:textId="77777777" w:rsidR="00F232A1" w:rsidRDefault="00F232A1" w:rsidP="00F232A1">
      <w:pPr>
        <w:rPr>
          <w:rFonts w:ascii="Times New Roman" w:hAnsi="Times New Roman" w:cs="Times New Roman"/>
          <w:sz w:val="24"/>
          <w:szCs w:val="24"/>
          <w:vertAlign w:val="baseline"/>
        </w:rPr>
      </w:pPr>
    </w:p>
    <w:p w14:paraId="20BF0461" w14:textId="77777777" w:rsidR="00F232A1" w:rsidRPr="00672137" w:rsidRDefault="00F232A1" w:rsidP="00F232A1">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Dominguez</w:t>
      </w:r>
      <w:r>
        <w:rPr>
          <w:rFonts w:ascii="Times New Roman" w:hAnsi="Times New Roman" w:cs="Times New Roman"/>
          <w:sz w:val="24"/>
          <w:szCs w:val="24"/>
          <w:vertAlign w:val="baseline"/>
        </w:rPr>
        <w:t xml:space="preserve"> G</w:t>
      </w:r>
      <w:r w:rsidRPr="00672137">
        <w:rPr>
          <w:rFonts w:ascii="Times New Roman" w:hAnsi="Times New Roman" w:cs="Times New Roman"/>
          <w:sz w:val="24"/>
          <w:szCs w:val="24"/>
          <w:vertAlign w:val="baseline"/>
        </w:rPr>
        <w:t>, ‘UN urges Papua New Guinea to halt ‘witch hunting’ (Deutsche Welle 16 June 2014) &lt;</w:t>
      </w:r>
      <w:hyperlink r:id="rId44" w:history="1">
        <w:r w:rsidRPr="00DD15EC">
          <w:rPr>
            <w:rStyle w:val="Hyperlink"/>
            <w:rFonts w:ascii="Times New Roman" w:hAnsi="Times New Roman" w:cs="Times New Roman"/>
            <w:sz w:val="24"/>
            <w:szCs w:val="24"/>
            <w:vertAlign w:val="baseline"/>
          </w:rPr>
          <w:t>http://www.dw.de/un-urges-papua-new-guinea-to-halt-witch-hunting/a-17709745&gt; a</w:t>
        </w:r>
      </w:hyperlink>
      <w:r w:rsidRPr="00672137">
        <w:rPr>
          <w:rFonts w:ascii="Times New Roman" w:hAnsi="Times New Roman" w:cs="Times New Roman"/>
          <w:sz w:val="24"/>
          <w:szCs w:val="24"/>
          <w:vertAlign w:val="baseline"/>
        </w:rPr>
        <w:t>ccessed 6 November 2014</w:t>
      </w:r>
    </w:p>
    <w:p w14:paraId="31C58967" w14:textId="77777777" w:rsidR="00F232A1" w:rsidRDefault="00F232A1" w:rsidP="003E2C58">
      <w:pPr>
        <w:rPr>
          <w:rFonts w:ascii="Times New Roman" w:hAnsi="Times New Roman" w:cs="Times New Roman"/>
          <w:sz w:val="24"/>
          <w:szCs w:val="24"/>
          <w:vertAlign w:val="baseline"/>
        </w:rPr>
      </w:pPr>
    </w:p>
    <w:p w14:paraId="3C57C09B" w14:textId="1F285ABE"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Dovlo</w:t>
      </w:r>
      <w:r>
        <w:rPr>
          <w:rFonts w:ascii="Times New Roman" w:hAnsi="Times New Roman" w:cs="Times New Roman"/>
          <w:sz w:val="24"/>
          <w:szCs w:val="24"/>
          <w:vertAlign w:val="baseline"/>
        </w:rPr>
        <w:t xml:space="preserve"> E</w:t>
      </w:r>
      <w:r w:rsidRPr="00672137">
        <w:rPr>
          <w:rFonts w:ascii="Times New Roman" w:hAnsi="Times New Roman" w:cs="Times New Roman"/>
          <w:sz w:val="24"/>
          <w:szCs w:val="24"/>
          <w:vertAlign w:val="baseline"/>
        </w:rPr>
        <w:t>, ‘Witchcraft i</w:t>
      </w:r>
      <w:r>
        <w:rPr>
          <w:rFonts w:ascii="Times New Roman" w:hAnsi="Times New Roman" w:cs="Times New Roman"/>
          <w:sz w:val="24"/>
          <w:szCs w:val="24"/>
          <w:vertAlign w:val="baseline"/>
        </w:rPr>
        <w:t xml:space="preserve">n Contemporary Ghana’ in </w:t>
      </w:r>
      <w:r w:rsidRPr="00672137">
        <w:rPr>
          <w:rFonts w:ascii="Times New Roman" w:hAnsi="Times New Roman" w:cs="Times New Roman"/>
          <w:sz w:val="24"/>
          <w:szCs w:val="24"/>
          <w:vertAlign w:val="baseline"/>
        </w:rPr>
        <w:t>Ter H</w:t>
      </w:r>
      <w:r w:rsidR="00D335B6">
        <w:rPr>
          <w:rFonts w:ascii="Times New Roman" w:hAnsi="Times New Roman" w:cs="Times New Roman"/>
          <w:sz w:val="24"/>
          <w:szCs w:val="24"/>
          <w:vertAlign w:val="baseline"/>
        </w:rPr>
        <w:t>a</w:t>
      </w:r>
      <w:r w:rsidRPr="00672137">
        <w:rPr>
          <w:rFonts w:ascii="Times New Roman" w:hAnsi="Times New Roman" w:cs="Times New Roman"/>
          <w:sz w:val="24"/>
          <w:szCs w:val="24"/>
          <w:vertAlign w:val="baseline"/>
        </w:rPr>
        <w:t>ar</w:t>
      </w:r>
      <w:r>
        <w:rPr>
          <w:rFonts w:ascii="Times New Roman" w:hAnsi="Times New Roman" w:cs="Times New Roman"/>
          <w:sz w:val="24"/>
          <w:szCs w:val="24"/>
          <w:vertAlign w:val="baseline"/>
        </w:rPr>
        <w:t xml:space="preserve"> G</w:t>
      </w:r>
      <w:r w:rsidRPr="00672137">
        <w:rPr>
          <w:rFonts w:ascii="Times New Roman" w:hAnsi="Times New Roman" w:cs="Times New Roman"/>
          <w:sz w:val="24"/>
          <w:szCs w:val="24"/>
          <w:vertAlign w:val="baseline"/>
        </w:rPr>
        <w:t xml:space="preserve">, </w:t>
      </w:r>
      <w:r w:rsidRPr="00916CA7">
        <w:rPr>
          <w:rFonts w:ascii="Times New Roman" w:hAnsi="Times New Roman" w:cs="Times New Roman"/>
          <w:i/>
          <w:sz w:val="24"/>
          <w:szCs w:val="24"/>
          <w:vertAlign w:val="baseline"/>
        </w:rPr>
        <w:t xml:space="preserve">Imagining Evil: Witchcraft Beliefs and Accusations in Contemporary Africa </w:t>
      </w:r>
      <w:r>
        <w:rPr>
          <w:rFonts w:ascii="Times New Roman" w:hAnsi="Times New Roman" w:cs="Times New Roman"/>
          <w:sz w:val="24"/>
          <w:szCs w:val="24"/>
          <w:vertAlign w:val="baseline"/>
        </w:rPr>
        <w:t>(Africa World Press 2007)</w:t>
      </w:r>
    </w:p>
    <w:p w14:paraId="0D84D726" w14:textId="77777777" w:rsidR="003E2C58" w:rsidRDefault="003E2C58" w:rsidP="003E2C58">
      <w:pPr>
        <w:rPr>
          <w:rFonts w:ascii="Times New Roman" w:hAnsi="Times New Roman" w:cs="Times New Roman"/>
          <w:sz w:val="24"/>
          <w:szCs w:val="24"/>
          <w:vertAlign w:val="baseline"/>
        </w:rPr>
      </w:pPr>
    </w:p>
    <w:p w14:paraId="468D66F1" w14:textId="77777777" w:rsidR="00F232A1" w:rsidRDefault="00F232A1" w:rsidP="00F232A1">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Drolia</w:t>
      </w:r>
      <w:r>
        <w:rPr>
          <w:rFonts w:ascii="Times New Roman" w:hAnsi="Times New Roman" w:cs="Times New Roman"/>
          <w:sz w:val="24"/>
          <w:szCs w:val="24"/>
          <w:vertAlign w:val="baseline"/>
        </w:rPr>
        <w:t xml:space="preserve"> R</w:t>
      </w:r>
      <w:r w:rsidRPr="00672137">
        <w:rPr>
          <w:rFonts w:ascii="Times New Roman" w:hAnsi="Times New Roman" w:cs="Times New Roman"/>
          <w:sz w:val="24"/>
          <w:szCs w:val="24"/>
          <w:vertAlign w:val="baseline"/>
        </w:rPr>
        <w:t xml:space="preserve">, ‘210 women tortured to death for ‘witchcraft’ in Chhattisgargh, many await justice’ </w:t>
      </w:r>
      <w:r w:rsidRPr="002939FD">
        <w:rPr>
          <w:rFonts w:ascii="Times New Roman" w:hAnsi="Times New Roman" w:cs="Times New Roman"/>
          <w:i/>
          <w:sz w:val="24"/>
          <w:szCs w:val="24"/>
          <w:vertAlign w:val="baseline"/>
        </w:rPr>
        <w:t>Times of India</w:t>
      </w:r>
      <w:r w:rsidRPr="00672137">
        <w:rPr>
          <w:rFonts w:ascii="Times New Roman" w:hAnsi="Times New Roman" w:cs="Times New Roman"/>
          <w:sz w:val="24"/>
          <w:szCs w:val="24"/>
          <w:vertAlign w:val="baseline"/>
        </w:rPr>
        <w:t xml:space="preserve"> (India, 6 December 2014) &lt;</w:t>
      </w:r>
      <w:hyperlink r:id="rId45" w:history="1">
        <w:r w:rsidRPr="002939FD">
          <w:rPr>
            <w:rStyle w:val="Hyperlink"/>
            <w:rFonts w:ascii="Times New Roman" w:hAnsi="Times New Roman" w:cs="Times New Roman"/>
            <w:sz w:val="24"/>
            <w:szCs w:val="24"/>
            <w:vertAlign w:val="baseline"/>
          </w:rPr>
          <w:t>http://timesofindia.indiatimes.com/india/210-women-tortured-to-death-for-witchcraft-in-Chhattisgarh-many-await-justice/articleshow/45397113.cms&gt;</w:t>
        </w:r>
      </w:hyperlink>
      <w:r w:rsidRPr="00672137">
        <w:rPr>
          <w:rFonts w:ascii="Times New Roman" w:hAnsi="Times New Roman" w:cs="Times New Roman"/>
          <w:sz w:val="24"/>
          <w:szCs w:val="24"/>
          <w:vertAlign w:val="baseline"/>
        </w:rPr>
        <w:t xml:space="preserve"> accessed 29 June 2015</w:t>
      </w:r>
    </w:p>
    <w:p w14:paraId="68CE1F23" w14:textId="77777777" w:rsidR="00F232A1" w:rsidRDefault="00F232A1" w:rsidP="003E2C58">
      <w:pPr>
        <w:rPr>
          <w:rFonts w:ascii="Times New Roman" w:hAnsi="Times New Roman" w:cs="Times New Roman"/>
          <w:sz w:val="24"/>
          <w:szCs w:val="24"/>
          <w:vertAlign w:val="baseline"/>
        </w:rPr>
      </w:pPr>
    </w:p>
    <w:p w14:paraId="08F19C43" w14:textId="7546D3DC" w:rsidR="004A4072" w:rsidRPr="00F97F26" w:rsidRDefault="004A4072" w:rsidP="004A4072">
      <w:pPr>
        <w:rPr>
          <w:rFonts w:ascii="Times New Roman" w:hAnsi="Times New Roman" w:cs="Times New Roman"/>
          <w:sz w:val="24"/>
          <w:szCs w:val="24"/>
          <w:vertAlign w:val="baseline"/>
        </w:rPr>
      </w:pPr>
      <w:r w:rsidRPr="00F97F26">
        <w:rPr>
          <w:rFonts w:ascii="Times New Roman" w:hAnsi="Times New Roman" w:cs="Times New Roman"/>
          <w:sz w:val="24"/>
          <w:szCs w:val="24"/>
          <w:vertAlign w:val="baseline"/>
        </w:rPr>
        <w:t>Dueck</w:t>
      </w:r>
      <w:r>
        <w:rPr>
          <w:rFonts w:ascii="Times New Roman" w:hAnsi="Times New Roman" w:cs="Times New Roman"/>
          <w:sz w:val="24"/>
          <w:szCs w:val="24"/>
          <w:vertAlign w:val="baseline"/>
        </w:rPr>
        <w:t xml:space="preserve"> J</w:t>
      </w:r>
      <w:r w:rsidRPr="00F97F26">
        <w:rPr>
          <w:rFonts w:ascii="Times New Roman" w:hAnsi="Times New Roman" w:cs="Times New Roman"/>
          <w:sz w:val="24"/>
          <w:szCs w:val="24"/>
          <w:vertAlign w:val="baseline"/>
        </w:rPr>
        <w:t xml:space="preserve">, Guzman </w:t>
      </w:r>
      <w:r>
        <w:rPr>
          <w:rFonts w:ascii="Times New Roman" w:hAnsi="Times New Roman" w:cs="Times New Roman"/>
          <w:sz w:val="24"/>
          <w:szCs w:val="24"/>
          <w:vertAlign w:val="baseline"/>
        </w:rPr>
        <w:t xml:space="preserve">M </w:t>
      </w:r>
      <w:r w:rsidRPr="00F97F26">
        <w:rPr>
          <w:rFonts w:ascii="Times New Roman" w:hAnsi="Times New Roman" w:cs="Times New Roman"/>
          <w:sz w:val="24"/>
          <w:szCs w:val="24"/>
          <w:vertAlign w:val="baseline"/>
        </w:rPr>
        <w:t>and Versappen</w:t>
      </w:r>
      <w:r>
        <w:rPr>
          <w:rFonts w:ascii="Times New Roman" w:hAnsi="Times New Roman" w:cs="Times New Roman"/>
          <w:sz w:val="24"/>
          <w:szCs w:val="24"/>
          <w:vertAlign w:val="baseline"/>
        </w:rPr>
        <w:t xml:space="preserve"> B</w:t>
      </w:r>
      <w:r w:rsidRPr="00F97F26">
        <w:rPr>
          <w:rFonts w:ascii="Times New Roman" w:hAnsi="Times New Roman" w:cs="Times New Roman"/>
          <w:sz w:val="24"/>
          <w:szCs w:val="24"/>
          <w:vertAlign w:val="baseline"/>
        </w:rPr>
        <w:t xml:space="preserve">, </w:t>
      </w:r>
      <w:r w:rsidRPr="00F97F26">
        <w:rPr>
          <w:rFonts w:ascii="Times New Roman" w:hAnsi="Times New Roman" w:cs="Times New Roman"/>
          <w:i/>
          <w:sz w:val="24"/>
          <w:szCs w:val="24"/>
          <w:vertAlign w:val="baseline"/>
        </w:rPr>
        <w:t>A Tool for Documenting Human Rights Violations</w:t>
      </w:r>
      <w:r w:rsidRPr="00F97F26">
        <w:rPr>
          <w:rFonts w:ascii="Times New Roman" w:hAnsi="Times New Roman" w:cs="Times New Roman"/>
          <w:sz w:val="24"/>
          <w:szCs w:val="24"/>
          <w:vertAlign w:val="baseline"/>
        </w:rPr>
        <w:t xml:space="preserve"> (HURIDOCS 2001)</w:t>
      </w:r>
    </w:p>
    <w:p w14:paraId="414ED942" w14:textId="77777777" w:rsidR="004A4072" w:rsidRDefault="004A4072" w:rsidP="003E2C58">
      <w:pPr>
        <w:rPr>
          <w:rFonts w:ascii="Times New Roman" w:hAnsi="Times New Roman" w:cs="Times New Roman"/>
          <w:sz w:val="24"/>
          <w:szCs w:val="24"/>
          <w:vertAlign w:val="baseline"/>
        </w:rPr>
      </w:pPr>
    </w:p>
    <w:p w14:paraId="375C6A06" w14:textId="534E9FDF" w:rsidR="00965A65" w:rsidRPr="00965A65" w:rsidRDefault="00965A65" w:rsidP="003E2C58">
      <w:pPr>
        <w:rPr>
          <w:rFonts w:ascii="Times New Roman" w:hAnsi="Times New Roman" w:cs="Times New Roman"/>
          <w:sz w:val="24"/>
          <w:szCs w:val="24"/>
          <w:vertAlign w:val="baseline"/>
        </w:rPr>
      </w:pPr>
      <w:r w:rsidRPr="00C0008A">
        <w:rPr>
          <w:rFonts w:ascii="Times New Roman" w:hAnsi="Times New Roman" w:cs="Times New Roman"/>
          <w:sz w:val="24"/>
          <w:szCs w:val="24"/>
          <w:vertAlign w:val="baseline"/>
        </w:rPr>
        <w:t>Dunn</w:t>
      </w:r>
      <w:r>
        <w:rPr>
          <w:rFonts w:ascii="Times New Roman" w:hAnsi="Times New Roman" w:cs="Times New Roman"/>
          <w:sz w:val="24"/>
          <w:szCs w:val="24"/>
          <w:vertAlign w:val="baseline"/>
        </w:rPr>
        <w:t xml:space="preserve"> C</w:t>
      </w:r>
      <w:r w:rsidRPr="00C0008A">
        <w:rPr>
          <w:rFonts w:ascii="Times New Roman" w:hAnsi="Times New Roman" w:cs="Times New Roman"/>
          <w:sz w:val="24"/>
          <w:szCs w:val="24"/>
          <w:vertAlign w:val="baseline"/>
        </w:rPr>
        <w:t>, ‘Ghana witch camps shutting down, leaving accused in limbo’ (CBC News 7 March 2015)</w:t>
      </w:r>
      <w:r w:rsidRPr="00C0008A">
        <w:rPr>
          <w:rFonts w:ascii="Times New Roman" w:hAnsi="Times New Roman" w:cs="Times New Roman"/>
          <w:sz w:val="24"/>
          <w:szCs w:val="24"/>
        </w:rPr>
        <w:t xml:space="preserve"> </w:t>
      </w:r>
      <w:r w:rsidRPr="00C0008A">
        <w:rPr>
          <w:rFonts w:ascii="Times New Roman" w:hAnsi="Times New Roman" w:cs="Times New Roman"/>
          <w:sz w:val="24"/>
          <w:szCs w:val="24"/>
          <w:vertAlign w:val="baseline"/>
        </w:rPr>
        <w:t>&lt;</w:t>
      </w:r>
      <w:hyperlink r:id="rId46" w:history="1">
        <w:r w:rsidRPr="00C0008A">
          <w:rPr>
            <w:rStyle w:val="Hyperlink"/>
            <w:rFonts w:ascii="Times New Roman" w:hAnsi="Times New Roman" w:cs="Times New Roman"/>
            <w:sz w:val="24"/>
            <w:szCs w:val="24"/>
            <w:vertAlign w:val="baseline"/>
          </w:rPr>
          <w:t>http://www.cbc.ca/news/world/ghana-witch-camps-shutting-down-leaving-accused-in-limbo-1.2979863</w:t>
        </w:r>
      </w:hyperlink>
      <w:r w:rsidRPr="00C0008A">
        <w:rPr>
          <w:rFonts w:ascii="Times New Roman" w:hAnsi="Times New Roman" w:cs="Times New Roman"/>
          <w:sz w:val="24"/>
          <w:szCs w:val="24"/>
          <w:vertAlign w:val="baseline"/>
        </w:rPr>
        <w:t>&gt; accessed 3 May 2016</w:t>
      </w:r>
    </w:p>
    <w:p w14:paraId="6F5C3115" w14:textId="77777777" w:rsidR="00965A65" w:rsidRDefault="00965A65" w:rsidP="003E2C58">
      <w:pPr>
        <w:rPr>
          <w:rFonts w:ascii="Times New Roman" w:hAnsi="Times New Roman" w:cs="Times New Roman"/>
          <w:sz w:val="24"/>
          <w:szCs w:val="24"/>
          <w:vertAlign w:val="baseline"/>
        </w:rPr>
      </w:pPr>
    </w:p>
    <w:p w14:paraId="3C3E824E"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Dutt</w:t>
      </w:r>
      <w:r>
        <w:rPr>
          <w:rFonts w:ascii="Times New Roman" w:hAnsi="Times New Roman" w:cs="Times New Roman"/>
          <w:sz w:val="24"/>
          <w:szCs w:val="24"/>
          <w:vertAlign w:val="baseline"/>
        </w:rPr>
        <w:t xml:space="preserve"> RC</w:t>
      </w:r>
      <w:r w:rsidRPr="00672137">
        <w:rPr>
          <w:rFonts w:ascii="Times New Roman" w:hAnsi="Times New Roman" w:cs="Times New Roman"/>
          <w:sz w:val="24"/>
          <w:szCs w:val="24"/>
          <w:vertAlign w:val="baseline"/>
        </w:rPr>
        <w:t xml:space="preserve">, </w:t>
      </w:r>
      <w:r w:rsidRPr="00DD1265">
        <w:rPr>
          <w:rFonts w:ascii="Times New Roman" w:hAnsi="Times New Roman" w:cs="Times New Roman"/>
          <w:i/>
          <w:sz w:val="24"/>
          <w:szCs w:val="24"/>
          <w:vertAlign w:val="baseline"/>
        </w:rPr>
        <w:t>The Civilization of India</w:t>
      </w:r>
      <w:r>
        <w:rPr>
          <w:rFonts w:ascii="Times New Roman" w:hAnsi="Times New Roman" w:cs="Times New Roman"/>
          <w:sz w:val="24"/>
          <w:szCs w:val="24"/>
          <w:vertAlign w:val="baseline"/>
        </w:rPr>
        <w:t xml:space="preserve"> (J.M. Dent 1900)</w:t>
      </w:r>
    </w:p>
    <w:p w14:paraId="4519B856" w14:textId="77777777" w:rsidR="003E2C58" w:rsidRDefault="003E2C58" w:rsidP="003E2C58">
      <w:pPr>
        <w:rPr>
          <w:rFonts w:ascii="Times New Roman" w:hAnsi="Times New Roman" w:cs="Times New Roman"/>
          <w:sz w:val="24"/>
          <w:szCs w:val="24"/>
          <w:vertAlign w:val="baseline"/>
        </w:rPr>
      </w:pPr>
    </w:p>
    <w:p w14:paraId="23CEDFED" w14:textId="77777777" w:rsidR="00B9644B" w:rsidRPr="00672137" w:rsidRDefault="00B9644B" w:rsidP="00B9644B">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East Sepik Council of Women (ESCOW) &lt;</w:t>
      </w:r>
      <w:hyperlink r:id="rId47" w:history="1">
        <w:r w:rsidRPr="008D7BB9">
          <w:rPr>
            <w:rStyle w:val="Hyperlink"/>
            <w:rFonts w:ascii="Times New Roman" w:hAnsi="Times New Roman" w:cs="Times New Roman"/>
            <w:sz w:val="24"/>
            <w:szCs w:val="24"/>
            <w:vertAlign w:val="baseline"/>
          </w:rPr>
          <w:t>http://www.dgtp.org.pg/old_site/partner_ESCOW.htm&gt;</w:t>
        </w:r>
      </w:hyperlink>
      <w:r w:rsidRPr="00672137">
        <w:rPr>
          <w:rFonts w:ascii="Times New Roman" w:hAnsi="Times New Roman" w:cs="Times New Roman"/>
          <w:sz w:val="24"/>
          <w:szCs w:val="24"/>
          <w:vertAlign w:val="baseline"/>
        </w:rPr>
        <w:t xml:space="preserve"> accessed 8 September 2015</w:t>
      </w:r>
    </w:p>
    <w:p w14:paraId="66213A85" w14:textId="77777777" w:rsidR="00B9644B" w:rsidRDefault="00B9644B" w:rsidP="00070641">
      <w:pPr>
        <w:rPr>
          <w:rFonts w:ascii="Times New Roman" w:hAnsi="Times New Roman" w:cs="Times New Roman"/>
          <w:sz w:val="24"/>
          <w:szCs w:val="24"/>
          <w:vertAlign w:val="baseline"/>
        </w:rPr>
      </w:pPr>
    </w:p>
    <w:p w14:paraId="60406D4C" w14:textId="77777777" w:rsidR="00070641" w:rsidRPr="00672137" w:rsidRDefault="00070641" w:rsidP="00070641">
      <w:pPr>
        <w:rPr>
          <w:rFonts w:ascii="Times New Roman" w:hAnsi="Times New Roman" w:cs="Times New Roman"/>
          <w:sz w:val="24"/>
          <w:szCs w:val="24"/>
          <w:vertAlign w:val="baseline"/>
        </w:rPr>
      </w:pPr>
      <w:r>
        <w:rPr>
          <w:rFonts w:ascii="Times New Roman" w:hAnsi="Times New Roman" w:cs="Times New Roman"/>
          <w:sz w:val="24"/>
          <w:szCs w:val="24"/>
          <w:vertAlign w:val="baseline"/>
        </w:rPr>
        <w:t>ECOSOC</w:t>
      </w:r>
      <w:r w:rsidRPr="00672137">
        <w:rPr>
          <w:rFonts w:ascii="Times New Roman" w:hAnsi="Times New Roman" w:cs="Times New Roman"/>
          <w:sz w:val="24"/>
          <w:szCs w:val="24"/>
          <w:vertAlign w:val="baseline"/>
        </w:rPr>
        <w:t>, ‘Concluding Observations of the Committee on Economic, Social and Cultural Rights: India’ 40th session 28 April – 16 May 2008, E/C.12/IND/CO/5</w:t>
      </w:r>
    </w:p>
    <w:p w14:paraId="22ADE3A3" w14:textId="77777777" w:rsidR="00070641" w:rsidRDefault="00070641" w:rsidP="00070641">
      <w:pPr>
        <w:rPr>
          <w:rFonts w:ascii="Times New Roman" w:hAnsi="Times New Roman" w:cs="Times New Roman"/>
          <w:sz w:val="24"/>
          <w:szCs w:val="24"/>
          <w:vertAlign w:val="baseline"/>
        </w:rPr>
      </w:pPr>
    </w:p>
    <w:p w14:paraId="0402B4B1" w14:textId="77777777" w:rsidR="00070641" w:rsidRPr="00672137" w:rsidRDefault="00070641" w:rsidP="00070641">
      <w:pPr>
        <w:rPr>
          <w:rFonts w:ascii="Times New Roman" w:hAnsi="Times New Roman" w:cs="Times New Roman"/>
          <w:sz w:val="24"/>
          <w:szCs w:val="24"/>
          <w:vertAlign w:val="baseline"/>
        </w:rPr>
      </w:pPr>
      <w:r>
        <w:rPr>
          <w:rFonts w:ascii="Times New Roman" w:hAnsi="Times New Roman" w:cs="Times New Roman"/>
          <w:sz w:val="24"/>
          <w:szCs w:val="24"/>
          <w:vertAlign w:val="baseline"/>
        </w:rPr>
        <w:t>ECOSOC</w:t>
      </w:r>
      <w:r w:rsidRPr="00672137">
        <w:rPr>
          <w:rFonts w:ascii="Times New Roman" w:hAnsi="Times New Roman" w:cs="Times New Roman"/>
          <w:sz w:val="24"/>
          <w:szCs w:val="24"/>
          <w:vertAlign w:val="baseline"/>
        </w:rPr>
        <w:t xml:space="preserve">, ‘Concluding Observations of the Committee on Economic, Social and Cultural Rights: Nepal’ 38th session 30 April – 18 May, E/C.12/NPL/CO/2 </w:t>
      </w:r>
    </w:p>
    <w:p w14:paraId="76DAA0EC" w14:textId="77777777" w:rsidR="00070641" w:rsidRDefault="00070641" w:rsidP="00070641">
      <w:pPr>
        <w:rPr>
          <w:rFonts w:ascii="Times New Roman" w:hAnsi="Times New Roman" w:cs="Times New Roman"/>
          <w:sz w:val="24"/>
          <w:szCs w:val="24"/>
          <w:vertAlign w:val="baseline"/>
        </w:rPr>
      </w:pPr>
    </w:p>
    <w:p w14:paraId="3C5C6789" w14:textId="77777777" w:rsidR="00070641" w:rsidRDefault="00070641" w:rsidP="00070641">
      <w:pPr>
        <w:rPr>
          <w:rFonts w:ascii="Times New Roman" w:hAnsi="Times New Roman" w:cs="Times New Roman"/>
          <w:sz w:val="24"/>
          <w:szCs w:val="24"/>
          <w:vertAlign w:val="baseline"/>
        </w:rPr>
      </w:pPr>
      <w:r>
        <w:rPr>
          <w:rFonts w:ascii="Times New Roman" w:hAnsi="Times New Roman" w:cs="Times New Roman"/>
          <w:sz w:val="24"/>
          <w:szCs w:val="24"/>
          <w:vertAlign w:val="baseline"/>
        </w:rPr>
        <w:t>ECOSOC</w:t>
      </w:r>
      <w:r w:rsidRPr="00672137">
        <w:rPr>
          <w:rFonts w:ascii="Times New Roman" w:hAnsi="Times New Roman" w:cs="Times New Roman"/>
          <w:sz w:val="24"/>
          <w:szCs w:val="24"/>
          <w:vertAlign w:val="baseline"/>
        </w:rPr>
        <w:t>, General Comment No.21, 43rd sessi</w:t>
      </w:r>
      <w:r>
        <w:rPr>
          <w:rFonts w:ascii="Times New Roman" w:hAnsi="Times New Roman" w:cs="Times New Roman"/>
          <w:sz w:val="24"/>
          <w:szCs w:val="24"/>
          <w:vertAlign w:val="baseline"/>
        </w:rPr>
        <w:t>on 2-20 November, E/C.12/GC/21</w:t>
      </w:r>
    </w:p>
    <w:p w14:paraId="3FFCB887" w14:textId="77777777" w:rsidR="00070641" w:rsidRDefault="00070641" w:rsidP="00070641">
      <w:pPr>
        <w:rPr>
          <w:rFonts w:ascii="Times New Roman" w:hAnsi="Times New Roman" w:cs="Times New Roman"/>
          <w:sz w:val="24"/>
          <w:szCs w:val="24"/>
          <w:vertAlign w:val="baseline"/>
        </w:rPr>
      </w:pPr>
    </w:p>
    <w:p w14:paraId="5D3FF100" w14:textId="77777777" w:rsidR="00070641" w:rsidRDefault="00070641" w:rsidP="00070641">
      <w:pPr>
        <w:rPr>
          <w:rFonts w:ascii="Times New Roman" w:hAnsi="Times New Roman" w:cs="Times New Roman"/>
          <w:sz w:val="24"/>
          <w:szCs w:val="24"/>
          <w:vertAlign w:val="baseline"/>
        </w:rPr>
      </w:pPr>
      <w:r>
        <w:rPr>
          <w:rFonts w:ascii="Times New Roman" w:hAnsi="Times New Roman" w:cs="Times New Roman"/>
          <w:sz w:val="24"/>
          <w:szCs w:val="24"/>
          <w:vertAlign w:val="baseline"/>
        </w:rPr>
        <w:t>ECOSOC</w:t>
      </w:r>
      <w:r w:rsidRPr="00672137">
        <w:rPr>
          <w:rFonts w:ascii="Times New Roman" w:hAnsi="Times New Roman" w:cs="Times New Roman"/>
          <w:sz w:val="24"/>
          <w:szCs w:val="24"/>
          <w:vertAlign w:val="baseline"/>
        </w:rPr>
        <w:t>, ‘Third periodic report submitted by State parties under articles 16 and 17 of the Covenant: Nepal’ 12 July 2011 E/C.12/NPL/3</w:t>
      </w:r>
    </w:p>
    <w:p w14:paraId="6F2E5A05" w14:textId="77777777" w:rsidR="00070641" w:rsidRDefault="00070641" w:rsidP="003E2C58">
      <w:pPr>
        <w:rPr>
          <w:rFonts w:ascii="Times New Roman" w:hAnsi="Times New Roman" w:cs="Times New Roman"/>
          <w:sz w:val="24"/>
          <w:szCs w:val="24"/>
          <w:vertAlign w:val="baseline"/>
        </w:rPr>
      </w:pPr>
    </w:p>
    <w:p w14:paraId="06C19875"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Edwards</w:t>
      </w:r>
      <w:r>
        <w:rPr>
          <w:rFonts w:ascii="Times New Roman" w:hAnsi="Times New Roman" w:cs="Times New Roman"/>
          <w:sz w:val="24"/>
          <w:szCs w:val="24"/>
          <w:vertAlign w:val="baseline"/>
        </w:rPr>
        <w:t xml:space="preserve"> A</w:t>
      </w:r>
      <w:r w:rsidRPr="00672137">
        <w:rPr>
          <w:rFonts w:ascii="Times New Roman" w:hAnsi="Times New Roman" w:cs="Times New Roman"/>
          <w:sz w:val="24"/>
          <w:szCs w:val="24"/>
          <w:vertAlign w:val="baseline"/>
        </w:rPr>
        <w:t xml:space="preserve">, Violence against Women under International </w:t>
      </w:r>
      <w:r>
        <w:rPr>
          <w:rFonts w:ascii="Times New Roman" w:hAnsi="Times New Roman" w:cs="Times New Roman"/>
          <w:sz w:val="24"/>
          <w:szCs w:val="24"/>
          <w:vertAlign w:val="baseline"/>
        </w:rPr>
        <w:t>Human Rights Law (CUP 2011)</w:t>
      </w:r>
    </w:p>
    <w:p w14:paraId="4C02727B" w14:textId="77777777" w:rsidR="003E2C58" w:rsidRDefault="003E2C58" w:rsidP="003E2C58">
      <w:pPr>
        <w:rPr>
          <w:rFonts w:ascii="Times New Roman" w:hAnsi="Times New Roman" w:cs="Times New Roman"/>
          <w:sz w:val="24"/>
          <w:szCs w:val="24"/>
          <w:vertAlign w:val="baseline"/>
        </w:rPr>
      </w:pPr>
    </w:p>
    <w:p w14:paraId="27806D92" w14:textId="7ACFE36E" w:rsidR="00D911F7" w:rsidRPr="00151415" w:rsidRDefault="00D911F7" w:rsidP="00D911F7">
      <w:pPr>
        <w:pStyle w:val="FootnoteText"/>
        <w:rPr>
          <w:rFonts w:ascii="Times New Roman" w:hAnsi="Times New Roman" w:cs="Times New Roman"/>
          <w:vertAlign w:val="baseline"/>
          <w:lang w:val="en-US"/>
        </w:rPr>
      </w:pPr>
      <w:r w:rsidRPr="00151415">
        <w:rPr>
          <w:rFonts w:ascii="Times New Roman" w:hAnsi="Times New Roman" w:cs="Times New Roman"/>
          <w:vertAlign w:val="baseline"/>
        </w:rPr>
        <w:t xml:space="preserve">E.J.Kent, </w:t>
      </w:r>
      <w:r w:rsidRPr="00151415">
        <w:rPr>
          <w:rFonts w:ascii="Times New Roman" w:hAnsi="Times New Roman" w:cs="Times New Roman"/>
          <w:i/>
          <w:vertAlign w:val="baseline"/>
        </w:rPr>
        <w:t>Cases of Male Witchcraft in Old and New England, 1592-1692</w:t>
      </w:r>
      <w:r w:rsidRPr="00151415">
        <w:rPr>
          <w:rFonts w:ascii="Times New Roman" w:hAnsi="Times New Roman" w:cs="Times New Roman"/>
          <w:vertAlign w:val="baseline"/>
        </w:rPr>
        <w:t xml:space="preserve"> (Brepols 2013)</w:t>
      </w:r>
    </w:p>
    <w:p w14:paraId="72E3ABAD" w14:textId="77777777" w:rsidR="00D911F7" w:rsidRDefault="00D911F7" w:rsidP="00D911F7"/>
    <w:p w14:paraId="32033D8C" w14:textId="668F929B" w:rsidR="00D911F7" w:rsidRPr="00D911F7" w:rsidRDefault="00D911F7" w:rsidP="00D911F7">
      <w:pPr>
        <w:rPr>
          <w:rFonts w:ascii="Times New Roman" w:hAnsi="Times New Roman" w:cs="Times New Roman"/>
          <w:sz w:val="24"/>
          <w:szCs w:val="24"/>
          <w:vertAlign w:val="baseline"/>
        </w:rPr>
      </w:pPr>
      <w:r w:rsidRPr="00151415">
        <w:rPr>
          <w:rFonts w:ascii="Times New Roman" w:hAnsi="Times New Roman" w:cs="Times New Roman"/>
          <w:sz w:val="24"/>
          <w:szCs w:val="24"/>
          <w:vertAlign w:val="baseline"/>
        </w:rPr>
        <w:t>E.J. Kent, ‘Raiding the Patriarch’s Toolbox: Reading Masculine Governance in Cases of Male Witch</w:t>
      </w:r>
      <w:r w:rsidR="00BD7696" w:rsidRPr="00BD7696">
        <w:rPr>
          <w:rFonts w:ascii="Times New Roman" w:hAnsi="Times New Roman" w:cs="Times New Roman"/>
          <w:sz w:val="24"/>
          <w:szCs w:val="24"/>
          <w:vertAlign w:val="baseline"/>
        </w:rPr>
        <w:t xml:space="preserve">craft, 1592-1692’ in </w:t>
      </w:r>
      <w:r w:rsidRPr="00151415">
        <w:rPr>
          <w:rFonts w:ascii="Times New Roman" w:hAnsi="Times New Roman" w:cs="Times New Roman"/>
          <w:sz w:val="24"/>
          <w:szCs w:val="24"/>
          <w:vertAlign w:val="baseline"/>
        </w:rPr>
        <w:t xml:space="preserve">Van Gent </w:t>
      </w:r>
      <w:r w:rsidR="00BD7696">
        <w:rPr>
          <w:rFonts w:ascii="Times New Roman" w:hAnsi="Times New Roman" w:cs="Times New Roman"/>
          <w:sz w:val="24"/>
          <w:szCs w:val="24"/>
          <w:vertAlign w:val="baseline"/>
        </w:rPr>
        <w:t xml:space="preserve">J </w:t>
      </w:r>
      <w:r w:rsidR="00BD7696" w:rsidRPr="00BD7696">
        <w:rPr>
          <w:rFonts w:ascii="Times New Roman" w:hAnsi="Times New Roman" w:cs="Times New Roman"/>
          <w:sz w:val="24"/>
          <w:szCs w:val="24"/>
          <w:vertAlign w:val="baseline"/>
        </w:rPr>
        <w:t xml:space="preserve">and </w:t>
      </w:r>
      <w:r w:rsidRPr="00151415">
        <w:rPr>
          <w:rFonts w:ascii="Times New Roman" w:hAnsi="Times New Roman" w:cs="Times New Roman"/>
          <w:sz w:val="24"/>
          <w:szCs w:val="24"/>
          <w:vertAlign w:val="baseline"/>
        </w:rPr>
        <w:t>Broomhall</w:t>
      </w:r>
      <w:r w:rsidR="00BD7696">
        <w:rPr>
          <w:rFonts w:ascii="Times New Roman" w:hAnsi="Times New Roman" w:cs="Times New Roman"/>
          <w:sz w:val="24"/>
          <w:szCs w:val="24"/>
          <w:vertAlign w:val="baseline"/>
        </w:rPr>
        <w:t xml:space="preserve"> S</w:t>
      </w:r>
      <w:r w:rsidRPr="00151415">
        <w:rPr>
          <w:rFonts w:ascii="Times New Roman" w:hAnsi="Times New Roman" w:cs="Times New Roman"/>
          <w:sz w:val="24"/>
          <w:szCs w:val="24"/>
          <w:vertAlign w:val="baseline"/>
        </w:rPr>
        <w:t>, Governing Masculinities in the Early Modern Period’ (Ashgate 2011)</w:t>
      </w:r>
    </w:p>
    <w:p w14:paraId="415CFDC6" w14:textId="77777777" w:rsidR="00D911F7" w:rsidRDefault="00D911F7" w:rsidP="003E2C58">
      <w:pPr>
        <w:rPr>
          <w:rFonts w:ascii="Times New Roman" w:hAnsi="Times New Roman" w:cs="Times New Roman"/>
          <w:sz w:val="24"/>
          <w:szCs w:val="24"/>
          <w:vertAlign w:val="baseline"/>
        </w:rPr>
      </w:pPr>
    </w:p>
    <w:p w14:paraId="14EEB872" w14:textId="6A2DE2C5"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Ellis</w:t>
      </w:r>
      <w:r>
        <w:rPr>
          <w:rFonts w:ascii="Times New Roman" w:hAnsi="Times New Roman" w:cs="Times New Roman"/>
          <w:sz w:val="24"/>
          <w:szCs w:val="24"/>
          <w:vertAlign w:val="baseline"/>
        </w:rPr>
        <w:t xml:space="preserve"> S</w:t>
      </w:r>
      <w:r w:rsidRPr="00672137">
        <w:rPr>
          <w:rFonts w:ascii="Times New Roman" w:hAnsi="Times New Roman" w:cs="Times New Roman"/>
          <w:sz w:val="24"/>
          <w:szCs w:val="24"/>
          <w:vertAlign w:val="baseline"/>
        </w:rPr>
        <w:t xml:space="preserve">, ‘Witching-times: A theme in the histories </w:t>
      </w:r>
      <w:r>
        <w:rPr>
          <w:rFonts w:ascii="Times New Roman" w:hAnsi="Times New Roman" w:cs="Times New Roman"/>
          <w:sz w:val="24"/>
          <w:szCs w:val="24"/>
          <w:vertAlign w:val="baseline"/>
        </w:rPr>
        <w:t xml:space="preserve">of Africa and Europe’ in </w:t>
      </w:r>
      <w:r w:rsidRPr="00672137">
        <w:rPr>
          <w:rFonts w:ascii="Times New Roman" w:hAnsi="Times New Roman" w:cs="Times New Roman"/>
          <w:sz w:val="24"/>
          <w:szCs w:val="24"/>
          <w:vertAlign w:val="baseline"/>
        </w:rPr>
        <w:t>Ter Ha</w:t>
      </w:r>
      <w:r w:rsidR="00D335B6">
        <w:rPr>
          <w:rFonts w:ascii="Times New Roman" w:hAnsi="Times New Roman" w:cs="Times New Roman"/>
          <w:sz w:val="24"/>
          <w:szCs w:val="24"/>
          <w:vertAlign w:val="baseline"/>
        </w:rPr>
        <w:t>a</w:t>
      </w:r>
      <w:r w:rsidRPr="00672137">
        <w:rPr>
          <w:rFonts w:ascii="Times New Roman" w:hAnsi="Times New Roman" w:cs="Times New Roman"/>
          <w:sz w:val="24"/>
          <w:szCs w:val="24"/>
          <w:vertAlign w:val="baseline"/>
        </w:rPr>
        <w:t>r</w:t>
      </w:r>
      <w:r>
        <w:rPr>
          <w:rFonts w:ascii="Times New Roman" w:hAnsi="Times New Roman" w:cs="Times New Roman"/>
          <w:sz w:val="24"/>
          <w:szCs w:val="24"/>
          <w:vertAlign w:val="baseline"/>
        </w:rPr>
        <w:t xml:space="preserve"> G</w:t>
      </w:r>
      <w:r w:rsidRPr="00672137">
        <w:rPr>
          <w:rFonts w:ascii="Times New Roman" w:hAnsi="Times New Roman" w:cs="Times New Roman"/>
          <w:sz w:val="24"/>
          <w:szCs w:val="24"/>
          <w:vertAlign w:val="baseline"/>
        </w:rPr>
        <w:t xml:space="preserve">, </w:t>
      </w:r>
      <w:r w:rsidRPr="00702C30">
        <w:rPr>
          <w:rFonts w:ascii="Times New Roman" w:hAnsi="Times New Roman" w:cs="Times New Roman"/>
          <w:i/>
          <w:sz w:val="24"/>
          <w:szCs w:val="24"/>
          <w:vertAlign w:val="baseline"/>
        </w:rPr>
        <w:t>Imagining Evil: Witchcraft Beliefs and Accusations in Contemporary Africa</w:t>
      </w:r>
      <w:r w:rsidRPr="00672137">
        <w:rPr>
          <w:rFonts w:ascii="Times New Roman" w:hAnsi="Times New Roman" w:cs="Times New Roman"/>
          <w:sz w:val="24"/>
          <w:szCs w:val="24"/>
          <w:vertAlign w:val="baseline"/>
        </w:rPr>
        <w:t xml:space="preserve"> (Africa World Press 2007)</w:t>
      </w:r>
    </w:p>
    <w:p w14:paraId="2526A623" w14:textId="77777777" w:rsidR="003E2C58" w:rsidRDefault="003E2C58" w:rsidP="003E2C58">
      <w:pPr>
        <w:rPr>
          <w:rFonts w:ascii="Times New Roman" w:hAnsi="Times New Roman" w:cs="Times New Roman"/>
          <w:sz w:val="24"/>
          <w:szCs w:val="24"/>
          <w:vertAlign w:val="baseline"/>
        </w:rPr>
      </w:pPr>
    </w:p>
    <w:p w14:paraId="56C05372"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Elwes</w:t>
      </w:r>
      <w:r>
        <w:rPr>
          <w:rFonts w:ascii="Times New Roman" w:hAnsi="Times New Roman" w:cs="Times New Roman"/>
          <w:sz w:val="24"/>
          <w:szCs w:val="24"/>
          <w:vertAlign w:val="baseline"/>
        </w:rPr>
        <w:t xml:space="preserve"> J</w:t>
      </w:r>
      <w:r w:rsidRPr="00672137">
        <w:rPr>
          <w:rFonts w:ascii="Times New Roman" w:hAnsi="Times New Roman" w:cs="Times New Roman"/>
          <w:sz w:val="24"/>
          <w:szCs w:val="24"/>
          <w:vertAlign w:val="baseline"/>
        </w:rPr>
        <w:t>, ‘How does India’s caste system work’ (Prospect, 13 November 2014) &lt;</w:t>
      </w:r>
      <w:hyperlink r:id="rId48" w:history="1">
        <w:r w:rsidRPr="00AF3186">
          <w:rPr>
            <w:rStyle w:val="Hyperlink"/>
            <w:rFonts w:ascii="Times New Roman" w:hAnsi="Times New Roman" w:cs="Times New Roman"/>
            <w:sz w:val="24"/>
            <w:szCs w:val="24"/>
            <w:vertAlign w:val="baseline"/>
          </w:rPr>
          <w:t xml:space="preserve">http://www.prospectmagazine.co.uk/features/how-does-indias-caste-system-work&gt; </w:t>
        </w:r>
        <w:r w:rsidRPr="00852750">
          <w:rPr>
            <w:rStyle w:val="Hyperlink"/>
            <w:rFonts w:ascii="Times New Roman" w:hAnsi="Times New Roman" w:cs="Times New Roman"/>
            <w:sz w:val="24"/>
            <w:szCs w:val="24"/>
            <w:vertAlign w:val="baseline"/>
          </w:rPr>
          <w:t>a</w:t>
        </w:r>
      </w:hyperlink>
      <w:r w:rsidRPr="00672137">
        <w:rPr>
          <w:rFonts w:ascii="Times New Roman" w:hAnsi="Times New Roman" w:cs="Times New Roman"/>
          <w:sz w:val="24"/>
          <w:szCs w:val="24"/>
          <w:vertAlign w:val="baseline"/>
        </w:rPr>
        <w:t>ccessed 25 August 2015</w:t>
      </w:r>
    </w:p>
    <w:p w14:paraId="2B4E283D" w14:textId="77777777" w:rsidR="003E2C58" w:rsidRDefault="003E2C58" w:rsidP="003E2C58">
      <w:pPr>
        <w:rPr>
          <w:rFonts w:ascii="Times New Roman" w:hAnsi="Times New Roman" w:cs="Times New Roman"/>
          <w:sz w:val="24"/>
          <w:szCs w:val="24"/>
          <w:vertAlign w:val="baseline"/>
        </w:rPr>
      </w:pPr>
    </w:p>
    <w:p w14:paraId="706A6E3F"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Engle</w:t>
      </w:r>
      <w:r>
        <w:rPr>
          <w:rFonts w:ascii="Times New Roman" w:hAnsi="Times New Roman" w:cs="Times New Roman"/>
          <w:sz w:val="24"/>
          <w:szCs w:val="24"/>
          <w:vertAlign w:val="baseline"/>
        </w:rPr>
        <w:t xml:space="preserve"> K</w:t>
      </w:r>
      <w:r w:rsidRPr="00672137">
        <w:rPr>
          <w:rFonts w:ascii="Times New Roman" w:hAnsi="Times New Roman" w:cs="Times New Roman"/>
          <w:sz w:val="24"/>
          <w:szCs w:val="24"/>
          <w:vertAlign w:val="baseline"/>
        </w:rPr>
        <w:t>, ‘International Human Rights and Feminisms:</w:t>
      </w:r>
      <w:r>
        <w:rPr>
          <w:rFonts w:ascii="Times New Roman" w:hAnsi="Times New Roman" w:cs="Times New Roman"/>
          <w:sz w:val="24"/>
          <w:szCs w:val="24"/>
          <w:vertAlign w:val="baseline"/>
        </w:rPr>
        <w:t xml:space="preserve"> When Discourses Keep Meeting’ in </w:t>
      </w:r>
      <w:r w:rsidRPr="00672137">
        <w:rPr>
          <w:rFonts w:ascii="Times New Roman" w:hAnsi="Times New Roman" w:cs="Times New Roman"/>
          <w:sz w:val="24"/>
          <w:szCs w:val="24"/>
          <w:vertAlign w:val="baseline"/>
        </w:rPr>
        <w:t>Buss</w:t>
      </w:r>
      <w:r>
        <w:rPr>
          <w:rFonts w:ascii="Times New Roman" w:hAnsi="Times New Roman" w:cs="Times New Roman"/>
          <w:sz w:val="24"/>
          <w:szCs w:val="24"/>
          <w:vertAlign w:val="baseline"/>
        </w:rPr>
        <w:t xml:space="preserve"> D</w:t>
      </w:r>
      <w:r w:rsidRPr="00672137">
        <w:rPr>
          <w:rFonts w:ascii="Times New Roman" w:hAnsi="Times New Roman" w:cs="Times New Roman"/>
          <w:sz w:val="24"/>
          <w:szCs w:val="24"/>
          <w:vertAlign w:val="baseline"/>
        </w:rPr>
        <w:t xml:space="preserve"> and Manji</w:t>
      </w:r>
      <w:r>
        <w:rPr>
          <w:rFonts w:ascii="Times New Roman" w:hAnsi="Times New Roman" w:cs="Times New Roman"/>
          <w:sz w:val="24"/>
          <w:szCs w:val="24"/>
          <w:vertAlign w:val="baseline"/>
        </w:rPr>
        <w:t xml:space="preserve"> A</w:t>
      </w:r>
      <w:r w:rsidRPr="00672137">
        <w:rPr>
          <w:rFonts w:ascii="Times New Roman" w:hAnsi="Times New Roman" w:cs="Times New Roman"/>
          <w:sz w:val="24"/>
          <w:szCs w:val="24"/>
          <w:vertAlign w:val="baseline"/>
        </w:rPr>
        <w:t xml:space="preserve">, </w:t>
      </w:r>
      <w:r w:rsidRPr="005A6B51">
        <w:rPr>
          <w:rFonts w:ascii="Times New Roman" w:hAnsi="Times New Roman" w:cs="Times New Roman"/>
          <w:i/>
          <w:sz w:val="24"/>
          <w:szCs w:val="24"/>
          <w:vertAlign w:val="baseline"/>
        </w:rPr>
        <w:t>International Law: Modern Feminist Approaches</w:t>
      </w:r>
      <w:r>
        <w:rPr>
          <w:rFonts w:ascii="Times New Roman" w:hAnsi="Times New Roman" w:cs="Times New Roman"/>
          <w:sz w:val="24"/>
          <w:szCs w:val="24"/>
          <w:vertAlign w:val="baseline"/>
        </w:rPr>
        <w:t xml:space="preserve"> (Hart Publishing 2005)</w:t>
      </w:r>
    </w:p>
    <w:p w14:paraId="3E1448AB" w14:textId="77777777" w:rsidR="003E2C58" w:rsidRDefault="003E2C58" w:rsidP="003E2C58">
      <w:pPr>
        <w:rPr>
          <w:rFonts w:ascii="Times New Roman" w:hAnsi="Times New Roman" w:cs="Times New Roman"/>
          <w:sz w:val="24"/>
          <w:szCs w:val="24"/>
          <w:vertAlign w:val="baseline"/>
        </w:rPr>
      </w:pPr>
    </w:p>
    <w:p w14:paraId="2B34A39C"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Engle Merry</w:t>
      </w:r>
      <w:r>
        <w:rPr>
          <w:rFonts w:ascii="Times New Roman" w:hAnsi="Times New Roman" w:cs="Times New Roman"/>
          <w:sz w:val="24"/>
          <w:szCs w:val="24"/>
          <w:vertAlign w:val="baseline"/>
        </w:rPr>
        <w:t xml:space="preserve"> S</w:t>
      </w:r>
      <w:r w:rsidRPr="00672137">
        <w:rPr>
          <w:rFonts w:ascii="Times New Roman" w:hAnsi="Times New Roman" w:cs="Times New Roman"/>
          <w:sz w:val="24"/>
          <w:szCs w:val="24"/>
          <w:vertAlign w:val="baseline"/>
        </w:rPr>
        <w:t>, ‘Legal Pluralism’ (</w:t>
      </w:r>
      <w:r>
        <w:rPr>
          <w:rFonts w:ascii="Times New Roman" w:hAnsi="Times New Roman" w:cs="Times New Roman"/>
          <w:sz w:val="24"/>
          <w:szCs w:val="24"/>
          <w:vertAlign w:val="baseline"/>
        </w:rPr>
        <w:t>1998) 22(5) L Soc Rev</w:t>
      </w:r>
      <w:r w:rsidRPr="00672137">
        <w:rPr>
          <w:rFonts w:ascii="Times New Roman" w:hAnsi="Times New Roman" w:cs="Times New Roman"/>
          <w:sz w:val="24"/>
          <w:szCs w:val="24"/>
          <w:vertAlign w:val="baseline"/>
        </w:rPr>
        <w:t xml:space="preserve"> 870</w:t>
      </w:r>
    </w:p>
    <w:p w14:paraId="1D756932" w14:textId="77777777" w:rsidR="003E2C58" w:rsidRDefault="003E2C58" w:rsidP="003E2C58">
      <w:pPr>
        <w:rPr>
          <w:rFonts w:ascii="Times New Roman" w:hAnsi="Times New Roman" w:cs="Times New Roman"/>
          <w:sz w:val="24"/>
          <w:szCs w:val="24"/>
          <w:vertAlign w:val="baseline"/>
        </w:rPr>
      </w:pPr>
    </w:p>
    <w:p w14:paraId="3C516E9E"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Emerton</w:t>
      </w:r>
      <w:r>
        <w:rPr>
          <w:rFonts w:ascii="Times New Roman" w:hAnsi="Times New Roman" w:cs="Times New Roman"/>
          <w:sz w:val="24"/>
          <w:szCs w:val="24"/>
          <w:vertAlign w:val="baseline"/>
        </w:rPr>
        <w:t xml:space="preserve"> R</w:t>
      </w:r>
      <w:r w:rsidRPr="00672137">
        <w:rPr>
          <w:rFonts w:ascii="Times New Roman" w:hAnsi="Times New Roman" w:cs="Times New Roman"/>
          <w:sz w:val="24"/>
          <w:szCs w:val="24"/>
          <w:vertAlign w:val="baseline"/>
        </w:rPr>
        <w:t>, Adams</w:t>
      </w:r>
      <w:r>
        <w:rPr>
          <w:rFonts w:ascii="Times New Roman" w:hAnsi="Times New Roman" w:cs="Times New Roman"/>
          <w:sz w:val="24"/>
          <w:szCs w:val="24"/>
          <w:vertAlign w:val="baseline"/>
        </w:rPr>
        <w:t xml:space="preserve"> K</w:t>
      </w:r>
      <w:r w:rsidRPr="00672137">
        <w:rPr>
          <w:rFonts w:ascii="Times New Roman" w:hAnsi="Times New Roman" w:cs="Times New Roman"/>
          <w:sz w:val="24"/>
          <w:szCs w:val="24"/>
          <w:vertAlign w:val="baseline"/>
        </w:rPr>
        <w:t>, Byrnes</w:t>
      </w:r>
      <w:r>
        <w:rPr>
          <w:rFonts w:ascii="Times New Roman" w:hAnsi="Times New Roman" w:cs="Times New Roman"/>
          <w:sz w:val="24"/>
          <w:szCs w:val="24"/>
          <w:vertAlign w:val="baseline"/>
        </w:rPr>
        <w:t xml:space="preserve"> A</w:t>
      </w:r>
      <w:r w:rsidRPr="00672137">
        <w:rPr>
          <w:rFonts w:ascii="Times New Roman" w:hAnsi="Times New Roman" w:cs="Times New Roman"/>
          <w:sz w:val="24"/>
          <w:szCs w:val="24"/>
          <w:vertAlign w:val="baseline"/>
        </w:rPr>
        <w:t xml:space="preserve"> and Connors</w:t>
      </w:r>
      <w:r>
        <w:rPr>
          <w:rFonts w:ascii="Times New Roman" w:hAnsi="Times New Roman" w:cs="Times New Roman"/>
          <w:sz w:val="24"/>
          <w:szCs w:val="24"/>
          <w:vertAlign w:val="baseline"/>
        </w:rPr>
        <w:t xml:space="preserve"> J</w:t>
      </w:r>
      <w:r w:rsidRPr="00672137">
        <w:rPr>
          <w:rFonts w:ascii="Times New Roman" w:hAnsi="Times New Roman" w:cs="Times New Roman"/>
          <w:sz w:val="24"/>
          <w:szCs w:val="24"/>
          <w:vertAlign w:val="baseline"/>
        </w:rPr>
        <w:t xml:space="preserve"> (eds) </w:t>
      </w:r>
      <w:r w:rsidRPr="00852750">
        <w:rPr>
          <w:rFonts w:ascii="Times New Roman" w:hAnsi="Times New Roman" w:cs="Times New Roman"/>
          <w:i/>
          <w:sz w:val="24"/>
          <w:szCs w:val="24"/>
          <w:vertAlign w:val="baseline"/>
        </w:rPr>
        <w:t>International Women’s Human Rights Cases</w:t>
      </w:r>
      <w:r>
        <w:rPr>
          <w:rFonts w:ascii="Times New Roman" w:hAnsi="Times New Roman" w:cs="Times New Roman"/>
          <w:sz w:val="24"/>
          <w:szCs w:val="24"/>
          <w:vertAlign w:val="baseline"/>
        </w:rPr>
        <w:t xml:space="preserve"> (Cavendish 2005)</w:t>
      </w:r>
    </w:p>
    <w:p w14:paraId="1B0D79DE" w14:textId="77777777" w:rsidR="003E2C58" w:rsidRDefault="003E2C58" w:rsidP="003E2C58">
      <w:pPr>
        <w:rPr>
          <w:rFonts w:ascii="Times New Roman" w:hAnsi="Times New Roman" w:cs="Times New Roman"/>
          <w:sz w:val="24"/>
          <w:szCs w:val="24"/>
          <w:vertAlign w:val="baseline"/>
        </w:rPr>
      </w:pPr>
    </w:p>
    <w:p w14:paraId="6F0904A6"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Equality Now, ‘A Guide to Using the Protocol on the Rights of Women in Africa for Legal Action’ (Equality Now, 2011)</w:t>
      </w:r>
    </w:p>
    <w:p w14:paraId="48044DB0" w14:textId="77777777" w:rsidR="003E2C58" w:rsidRDefault="003E2C58" w:rsidP="003E2C58">
      <w:pPr>
        <w:rPr>
          <w:rFonts w:ascii="Times New Roman" w:hAnsi="Times New Roman" w:cs="Times New Roman"/>
          <w:sz w:val="24"/>
          <w:szCs w:val="24"/>
          <w:vertAlign w:val="baseline"/>
        </w:rPr>
      </w:pPr>
    </w:p>
    <w:p w14:paraId="68253CAA"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Evans Pritchard</w:t>
      </w:r>
      <w:r>
        <w:rPr>
          <w:rFonts w:ascii="Times New Roman" w:hAnsi="Times New Roman" w:cs="Times New Roman"/>
          <w:sz w:val="24"/>
          <w:szCs w:val="24"/>
          <w:vertAlign w:val="baseline"/>
        </w:rPr>
        <w:t xml:space="preserve"> EE</w:t>
      </w:r>
      <w:r w:rsidRPr="00672137">
        <w:rPr>
          <w:rFonts w:ascii="Times New Roman" w:hAnsi="Times New Roman" w:cs="Times New Roman"/>
          <w:sz w:val="24"/>
          <w:szCs w:val="24"/>
          <w:vertAlign w:val="baseline"/>
        </w:rPr>
        <w:t>, ‘Oracle Magic of the Azande’ (192</w:t>
      </w:r>
      <w:r>
        <w:rPr>
          <w:rFonts w:ascii="Times New Roman" w:hAnsi="Times New Roman" w:cs="Times New Roman"/>
          <w:sz w:val="24"/>
          <w:szCs w:val="24"/>
          <w:vertAlign w:val="baseline"/>
        </w:rPr>
        <w:t>8) XI Sudan Notes and Records</w:t>
      </w:r>
    </w:p>
    <w:p w14:paraId="77953CE4" w14:textId="77777777" w:rsidR="003E2C58" w:rsidRDefault="003E2C58" w:rsidP="003E2C58">
      <w:pPr>
        <w:rPr>
          <w:rFonts w:ascii="Times New Roman" w:hAnsi="Times New Roman" w:cs="Times New Roman"/>
          <w:sz w:val="24"/>
          <w:szCs w:val="24"/>
          <w:vertAlign w:val="baseline"/>
        </w:rPr>
      </w:pPr>
    </w:p>
    <w:p w14:paraId="334DEFB0"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Evans-Pritchard</w:t>
      </w:r>
      <w:r>
        <w:rPr>
          <w:rFonts w:ascii="Times New Roman" w:hAnsi="Times New Roman" w:cs="Times New Roman"/>
          <w:sz w:val="24"/>
          <w:szCs w:val="24"/>
          <w:vertAlign w:val="baseline"/>
        </w:rPr>
        <w:t xml:space="preserve"> EE, ‘Witchcraft’ 8(4) J Intl African Inst (1935) 417</w:t>
      </w:r>
    </w:p>
    <w:p w14:paraId="4FF10C54" w14:textId="77777777" w:rsidR="003E2C58" w:rsidRDefault="003E2C58" w:rsidP="003E2C58">
      <w:pPr>
        <w:rPr>
          <w:rFonts w:ascii="Times New Roman" w:hAnsi="Times New Roman" w:cs="Times New Roman"/>
          <w:sz w:val="24"/>
          <w:szCs w:val="24"/>
          <w:vertAlign w:val="baseline"/>
        </w:rPr>
      </w:pPr>
    </w:p>
    <w:p w14:paraId="6D72C0BD"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Evans-Pritchard</w:t>
      </w:r>
      <w:r>
        <w:rPr>
          <w:rFonts w:ascii="Times New Roman" w:hAnsi="Times New Roman" w:cs="Times New Roman"/>
          <w:sz w:val="24"/>
          <w:szCs w:val="24"/>
          <w:vertAlign w:val="baseline"/>
        </w:rPr>
        <w:t xml:space="preserve"> EE</w:t>
      </w:r>
      <w:r w:rsidRPr="00672137">
        <w:rPr>
          <w:rFonts w:ascii="Times New Roman" w:hAnsi="Times New Roman" w:cs="Times New Roman"/>
          <w:sz w:val="24"/>
          <w:szCs w:val="24"/>
          <w:vertAlign w:val="baseline"/>
        </w:rPr>
        <w:t xml:space="preserve">, </w:t>
      </w:r>
      <w:r w:rsidRPr="00D1672D">
        <w:rPr>
          <w:rFonts w:ascii="Times New Roman" w:hAnsi="Times New Roman" w:cs="Times New Roman"/>
          <w:i/>
          <w:sz w:val="24"/>
          <w:szCs w:val="24"/>
          <w:vertAlign w:val="baseline"/>
        </w:rPr>
        <w:t>Witchcraft, oracles and magic among the Azande</w:t>
      </w:r>
      <w:r>
        <w:rPr>
          <w:rFonts w:ascii="Times New Roman" w:hAnsi="Times New Roman" w:cs="Times New Roman"/>
          <w:sz w:val="24"/>
          <w:szCs w:val="24"/>
          <w:vertAlign w:val="baseline"/>
        </w:rPr>
        <w:t xml:space="preserve"> (Oxford 1937) </w:t>
      </w:r>
    </w:p>
    <w:p w14:paraId="665904C6" w14:textId="77777777" w:rsidR="003E2C58" w:rsidRDefault="003E2C58" w:rsidP="003E2C58">
      <w:pPr>
        <w:rPr>
          <w:rFonts w:ascii="Times New Roman" w:hAnsi="Times New Roman" w:cs="Times New Roman"/>
          <w:sz w:val="24"/>
          <w:szCs w:val="24"/>
          <w:vertAlign w:val="baseline"/>
        </w:rPr>
      </w:pPr>
    </w:p>
    <w:p w14:paraId="00191259"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Eves</w:t>
      </w:r>
      <w:r>
        <w:rPr>
          <w:rFonts w:ascii="Times New Roman" w:hAnsi="Times New Roman" w:cs="Times New Roman"/>
          <w:sz w:val="24"/>
          <w:szCs w:val="24"/>
          <w:vertAlign w:val="baseline"/>
        </w:rPr>
        <w:t xml:space="preserve"> R and </w:t>
      </w:r>
      <w:r w:rsidRPr="00672137">
        <w:rPr>
          <w:rFonts w:ascii="Times New Roman" w:hAnsi="Times New Roman" w:cs="Times New Roman"/>
          <w:sz w:val="24"/>
          <w:szCs w:val="24"/>
          <w:vertAlign w:val="baseline"/>
        </w:rPr>
        <w:t>Kelly-Hanku</w:t>
      </w:r>
      <w:r>
        <w:rPr>
          <w:rFonts w:ascii="Times New Roman" w:hAnsi="Times New Roman" w:cs="Times New Roman"/>
          <w:sz w:val="24"/>
          <w:szCs w:val="24"/>
          <w:vertAlign w:val="baseline"/>
        </w:rPr>
        <w:t xml:space="preserve"> A</w:t>
      </w:r>
      <w:r w:rsidRPr="00672137">
        <w:rPr>
          <w:rFonts w:ascii="Times New Roman" w:hAnsi="Times New Roman" w:cs="Times New Roman"/>
          <w:sz w:val="24"/>
          <w:szCs w:val="24"/>
          <w:vertAlign w:val="baseline"/>
        </w:rPr>
        <w:t>, ‘Witch-Hunts in Papua New Guinea’s Eastern Highlands Province: A Fi</w:t>
      </w:r>
      <w:r>
        <w:rPr>
          <w:rFonts w:ascii="Times New Roman" w:hAnsi="Times New Roman" w:cs="Times New Roman"/>
          <w:sz w:val="24"/>
          <w:szCs w:val="24"/>
          <w:vertAlign w:val="baseline"/>
        </w:rPr>
        <w:t xml:space="preserve">eldwork Report’ (2014) 4 State </w:t>
      </w:r>
      <w:r w:rsidRPr="00672137">
        <w:rPr>
          <w:rFonts w:ascii="Times New Roman" w:hAnsi="Times New Roman" w:cs="Times New Roman"/>
          <w:sz w:val="24"/>
          <w:szCs w:val="24"/>
          <w:vertAlign w:val="baseline"/>
        </w:rPr>
        <w:t xml:space="preserve">Society and Governance in Melanesia 1 </w:t>
      </w:r>
    </w:p>
    <w:p w14:paraId="5CE1A1D1" w14:textId="77777777" w:rsidR="003E2C58" w:rsidRDefault="003E2C58" w:rsidP="003E2C58">
      <w:pPr>
        <w:rPr>
          <w:rFonts w:ascii="Times New Roman" w:hAnsi="Times New Roman" w:cs="Times New Roman"/>
          <w:sz w:val="24"/>
          <w:szCs w:val="24"/>
          <w:vertAlign w:val="baseline"/>
        </w:rPr>
      </w:pPr>
    </w:p>
    <w:p w14:paraId="42DD7186" w14:textId="5F538199" w:rsidR="00CB6A06" w:rsidRPr="00CB6A06" w:rsidRDefault="00CB6A06" w:rsidP="003E2C58">
      <w:pPr>
        <w:rPr>
          <w:rFonts w:ascii="Times New Roman" w:hAnsi="Times New Roman" w:cs="Times New Roman"/>
          <w:sz w:val="24"/>
          <w:szCs w:val="24"/>
          <w:vertAlign w:val="baseline"/>
        </w:rPr>
      </w:pPr>
      <w:r w:rsidRPr="00151415">
        <w:rPr>
          <w:rFonts w:ascii="Times New Roman" w:hAnsi="Times New Roman" w:cs="Times New Roman"/>
          <w:sz w:val="24"/>
          <w:szCs w:val="24"/>
          <w:vertAlign w:val="baseline"/>
        </w:rPr>
        <w:t>Fagge</w:t>
      </w:r>
      <w:r>
        <w:rPr>
          <w:rFonts w:ascii="Times New Roman" w:hAnsi="Times New Roman" w:cs="Times New Roman"/>
          <w:sz w:val="24"/>
          <w:szCs w:val="24"/>
          <w:vertAlign w:val="baseline"/>
        </w:rPr>
        <w:t xml:space="preserve"> N</w:t>
      </w:r>
      <w:r w:rsidRPr="00151415">
        <w:rPr>
          <w:rFonts w:ascii="Times New Roman" w:hAnsi="Times New Roman" w:cs="Times New Roman"/>
          <w:sz w:val="24"/>
          <w:szCs w:val="24"/>
          <w:vertAlign w:val="baseline"/>
        </w:rPr>
        <w:t xml:space="preserve">, ‘They accused me of killing and eating my grandmother’: Agony of the Congo’s 50,000 “child witches” who are brutally exorcised to “beat the devil out of them” </w:t>
      </w:r>
      <w:r w:rsidRPr="00151415">
        <w:rPr>
          <w:rFonts w:ascii="Times New Roman" w:hAnsi="Times New Roman" w:cs="Times New Roman"/>
          <w:i/>
          <w:sz w:val="24"/>
          <w:szCs w:val="24"/>
          <w:vertAlign w:val="baseline"/>
        </w:rPr>
        <w:t xml:space="preserve">Daily Mail Online </w:t>
      </w:r>
      <w:r w:rsidRPr="00151415">
        <w:rPr>
          <w:rFonts w:ascii="Times New Roman" w:hAnsi="Times New Roman" w:cs="Times New Roman"/>
          <w:sz w:val="24"/>
          <w:szCs w:val="24"/>
          <w:vertAlign w:val="baseline"/>
        </w:rPr>
        <w:t>(Democratic Republic of Congo, 19 October 2015) &lt;</w:t>
      </w:r>
      <w:hyperlink r:id="rId49" w:history="1">
        <w:r w:rsidRPr="00151415">
          <w:rPr>
            <w:rStyle w:val="Hyperlink"/>
            <w:rFonts w:ascii="Times New Roman" w:hAnsi="Times New Roman" w:cs="Times New Roman"/>
            <w:sz w:val="24"/>
            <w:szCs w:val="24"/>
            <w:vertAlign w:val="baseline"/>
          </w:rPr>
          <w:t>http://www.dailymail.co.uk/news/article-3276057/My-grandmother-died-said-witch-drink-salt-water-stuck-fingers-throat-pieces-said-d-eaten-Congo-s-child-witches-exorcised-devil-beaten-them.html</w:t>
        </w:r>
      </w:hyperlink>
      <w:r w:rsidRPr="00151415">
        <w:rPr>
          <w:rFonts w:ascii="Times New Roman" w:hAnsi="Times New Roman" w:cs="Times New Roman"/>
          <w:sz w:val="24"/>
          <w:szCs w:val="24"/>
          <w:vertAlign w:val="baseline"/>
        </w:rPr>
        <w:t>&gt; accessed 29 April 2016</w:t>
      </w:r>
    </w:p>
    <w:p w14:paraId="4458FF91" w14:textId="77777777" w:rsidR="00CB6A06" w:rsidRDefault="00CB6A06" w:rsidP="003E2C58">
      <w:pPr>
        <w:rPr>
          <w:rFonts w:ascii="Times New Roman" w:hAnsi="Times New Roman" w:cs="Times New Roman"/>
          <w:sz w:val="24"/>
          <w:szCs w:val="24"/>
          <w:vertAlign w:val="baseline"/>
        </w:rPr>
      </w:pPr>
    </w:p>
    <w:p w14:paraId="5709C5B0"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Favret-Saada</w:t>
      </w:r>
      <w:r>
        <w:rPr>
          <w:rFonts w:ascii="Times New Roman" w:hAnsi="Times New Roman" w:cs="Times New Roman"/>
          <w:sz w:val="24"/>
          <w:szCs w:val="24"/>
          <w:vertAlign w:val="baseline"/>
        </w:rPr>
        <w:t xml:space="preserve"> J</w:t>
      </w:r>
      <w:r w:rsidRPr="00672137">
        <w:rPr>
          <w:rFonts w:ascii="Times New Roman" w:hAnsi="Times New Roman" w:cs="Times New Roman"/>
          <w:sz w:val="24"/>
          <w:szCs w:val="24"/>
          <w:vertAlign w:val="baseline"/>
        </w:rPr>
        <w:t xml:space="preserve">, </w:t>
      </w:r>
      <w:r w:rsidRPr="00506759">
        <w:rPr>
          <w:rFonts w:ascii="Times New Roman" w:hAnsi="Times New Roman" w:cs="Times New Roman"/>
          <w:i/>
          <w:sz w:val="24"/>
          <w:szCs w:val="24"/>
          <w:vertAlign w:val="baseline"/>
        </w:rPr>
        <w:t>Deadly Words: Witchcraft in the Bocage</w:t>
      </w:r>
      <w:r>
        <w:rPr>
          <w:rFonts w:ascii="Times New Roman" w:hAnsi="Times New Roman" w:cs="Times New Roman"/>
          <w:sz w:val="24"/>
          <w:szCs w:val="24"/>
          <w:vertAlign w:val="baseline"/>
        </w:rPr>
        <w:t xml:space="preserve"> (Cambridge 1977)</w:t>
      </w:r>
    </w:p>
    <w:p w14:paraId="2CF1D498" w14:textId="77777777" w:rsidR="003E2C58" w:rsidRDefault="003E2C58" w:rsidP="003E2C58">
      <w:pPr>
        <w:rPr>
          <w:rFonts w:ascii="Times New Roman" w:hAnsi="Times New Roman" w:cs="Times New Roman"/>
          <w:sz w:val="24"/>
          <w:szCs w:val="24"/>
          <w:vertAlign w:val="baseline"/>
        </w:rPr>
      </w:pPr>
    </w:p>
    <w:p w14:paraId="54759506"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Fenrich</w:t>
      </w:r>
      <w:r>
        <w:rPr>
          <w:rFonts w:ascii="Times New Roman" w:hAnsi="Times New Roman" w:cs="Times New Roman"/>
          <w:sz w:val="24"/>
          <w:szCs w:val="24"/>
          <w:vertAlign w:val="baseline"/>
        </w:rPr>
        <w:t xml:space="preserve"> J, </w:t>
      </w:r>
      <w:r w:rsidRPr="00672137">
        <w:rPr>
          <w:rFonts w:ascii="Times New Roman" w:hAnsi="Times New Roman" w:cs="Times New Roman"/>
          <w:sz w:val="24"/>
          <w:szCs w:val="24"/>
          <w:vertAlign w:val="baseline"/>
        </w:rPr>
        <w:t xml:space="preserve">Galizzi </w:t>
      </w:r>
      <w:r>
        <w:rPr>
          <w:rFonts w:ascii="Times New Roman" w:hAnsi="Times New Roman" w:cs="Times New Roman"/>
          <w:sz w:val="24"/>
          <w:szCs w:val="24"/>
          <w:vertAlign w:val="baseline"/>
        </w:rPr>
        <w:t xml:space="preserve">P and </w:t>
      </w:r>
      <w:r w:rsidRPr="00672137">
        <w:rPr>
          <w:rFonts w:ascii="Times New Roman" w:hAnsi="Times New Roman" w:cs="Times New Roman"/>
          <w:sz w:val="24"/>
          <w:szCs w:val="24"/>
          <w:vertAlign w:val="baseline"/>
        </w:rPr>
        <w:t>Higgins</w:t>
      </w:r>
      <w:r>
        <w:rPr>
          <w:rFonts w:ascii="Times New Roman" w:hAnsi="Times New Roman" w:cs="Times New Roman"/>
          <w:sz w:val="24"/>
          <w:szCs w:val="24"/>
          <w:vertAlign w:val="baseline"/>
        </w:rPr>
        <w:t xml:space="preserve"> TE</w:t>
      </w:r>
      <w:r w:rsidRPr="00672137">
        <w:rPr>
          <w:rFonts w:ascii="Times New Roman" w:hAnsi="Times New Roman" w:cs="Times New Roman"/>
          <w:sz w:val="24"/>
          <w:szCs w:val="24"/>
          <w:vertAlign w:val="baseline"/>
        </w:rPr>
        <w:t xml:space="preserve">, </w:t>
      </w:r>
      <w:r w:rsidRPr="0017648B">
        <w:rPr>
          <w:rFonts w:ascii="Times New Roman" w:hAnsi="Times New Roman" w:cs="Times New Roman"/>
          <w:i/>
          <w:sz w:val="24"/>
          <w:szCs w:val="24"/>
          <w:vertAlign w:val="baseline"/>
        </w:rPr>
        <w:t>The Future of African Customary Law</w:t>
      </w:r>
      <w:r>
        <w:rPr>
          <w:rFonts w:ascii="Times New Roman" w:hAnsi="Times New Roman" w:cs="Times New Roman"/>
          <w:sz w:val="24"/>
          <w:szCs w:val="24"/>
          <w:vertAlign w:val="baseline"/>
        </w:rPr>
        <w:t xml:space="preserve"> (CUP 2011)</w:t>
      </w:r>
    </w:p>
    <w:p w14:paraId="3DE2DDCC" w14:textId="77777777" w:rsidR="003E2C58" w:rsidRDefault="003E2C58" w:rsidP="003E2C58">
      <w:pPr>
        <w:rPr>
          <w:rFonts w:ascii="Times New Roman" w:hAnsi="Times New Roman" w:cs="Times New Roman"/>
          <w:sz w:val="24"/>
          <w:szCs w:val="24"/>
          <w:vertAlign w:val="baseline"/>
        </w:rPr>
      </w:pPr>
    </w:p>
    <w:p w14:paraId="4363B40D"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Forsyth</w:t>
      </w:r>
      <w:r>
        <w:rPr>
          <w:rFonts w:ascii="Times New Roman" w:hAnsi="Times New Roman" w:cs="Times New Roman"/>
          <w:sz w:val="24"/>
          <w:szCs w:val="24"/>
          <w:vertAlign w:val="baseline"/>
        </w:rPr>
        <w:t xml:space="preserve"> M</w:t>
      </w:r>
      <w:r w:rsidRPr="00672137">
        <w:rPr>
          <w:rFonts w:ascii="Times New Roman" w:hAnsi="Times New Roman" w:cs="Times New Roman"/>
          <w:sz w:val="24"/>
          <w:szCs w:val="24"/>
          <w:vertAlign w:val="baseline"/>
        </w:rPr>
        <w:t>, ‘A Pluralist Response to the Regulation of Sorcery and Witchcraft in Melanesia’ in Forsyth</w:t>
      </w:r>
      <w:r>
        <w:rPr>
          <w:rFonts w:ascii="Times New Roman" w:hAnsi="Times New Roman" w:cs="Times New Roman"/>
          <w:sz w:val="24"/>
          <w:szCs w:val="24"/>
          <w:vertAlign w:val="baseline"/>
        </w:rPr>
        <w:t xml:space="preserve"> M</w:t>
      </w:r>
      <w:r w:rsidRPr="00672137">
        <w:rPr>
          <w:rFonts w:ascii="Times New Roman" w:hAnsi="Times New Roman" w:cs="Times New Roman"/>
          <w:sz w:val="24"/>
          <w:szCs w:val="24"/>
          <w:vertAlign w:val="baseline"/>
        </w:rPr>
        <w:t xml:space="preserve"> and Eves </w:t>
      </w:r>
      <w:r>
        <w:rPr>
          <w:rFonts w:ascii="Times New Roman" w:hAnsi="Times New Roman" w:cs="Times New Roman"/>
          <w:sz w:val="24"/>
          <w:szCs w:val="24"/>
          <w:vertAlign w:val="baseline"/>
        </w:rPr>
        <w:t xml:space="preserve">R </w:t>
      </w:r>
      <w:r w:rsidRPr="00672137">
        <w:rPr>
          <w:rFonts w:ascii="Times New Roman" w:hAnsi="Times New Roman" w:cs="Times New Roman"/>
          <w:sz w:val="24"/>
          <w:szCs w:val="24"/>
          <w:vertAlign w:val="baseline"/>
        </w:rPr>
        <w:t xml:space="preserve">(eds) </w:t>
      </w:r>
      <w:r w:rsidRPr="006A39AD">
        <w:rPr>
          <w:rFonts w:ascii="Times New Roman" w:hAnsi="Times New Roman" w:cs="Times New Roman"/>
          <w:i/>
          <w:sz w:val="24"/>
          <w:szCs w:val="24"/>
          <w:vertAlign w:val="baseline"/>
        </w:rPr>
        <w:t>Talking it Through: Responses to Sorcery and Witchcraft Beliefs and Practices in Melanesia</w:t>
      </w:r>
      <w:r w:rsidRPr="00672137">
        <w:rPr>
          <w:rFonts w:ascii="Times New Roman" w:hAnsi="Times New Roman" w:cs="Times New Roman"/>
          <w:sz w:val="24"/>
          <w:szCs w:val="24"/>
          <w:vertAlign w:val="baseline"/>
        </w:rPr>
        <w:t xml:space="preserve"> (Australian Nat</w:t>
      </w:r>
      <w:r>
        <w:rPr>
          <w:rFonts w:ascii="Times New Roman" w:hAnsi="Times New Roman" w:cs="Times New Roman"/>
          <w:sz w:val="24"/>
          <w:szCs w:val="24"/>
          <w:vertAlign w:val="baseline"/>
        </w:rPr>
        <w:t>ional UP 2015)</w:t>
      </w:r>
    </w:p>
    <w:p w14:paraId="62FF2180" w14:textId="77777777" w:rsidR="003E2C58" w:rsidRPr="00672137" w:rsidRDefault="003E2C58" w:rsidP="003E2C58">
      <w:pPr>
        <w:rPr>
          <w:rFonts w:ascii="Times New Roman" w:hAnsi="Times New Roman" w:cs="Times New Roman"/>
          <w:sz w:val="24"/>
          <w:szCs w:val="24"/>
          <w:vertAlign w:val="baseline"/>
        </w:rPr>
      </w:pPr>
    </w:p>
    <w:p w14:paraId="4BC0D12F" w14:textId="2C2F6F91" w:rsidR="000A675B" w:rsidRDefault="000A675B" w:rsidP="003E2C58">
      <w:pPr>
        <w:rPr>
          <w:rFonts w:ascii="Times New Roman" w:hAnsi="Times New Roman" w:cs="Times New Roman"/>
          <w:sz w:val="24"/>
          <w:szCs w:val="24"/>
          <w:vertAlign w:val="baseline"/>
        </w:rPr>
      </w:pPr>
      <w:r w:rsidRPr="000A675B">
        <w:rPr>
          <w:rFonts w:ascii="Times New Roman" w:hAnsi="Times New Roman" w:cs="Times New Roman"/>
          <w:sz w:val="24"/>
          <w:szCs w:val="24"/>
          <w:vertAlign w:val="baseline"/>
        </w:rPr>
        <w:t>Fredman</w:t>
      </w:r>
      <w:r>
        <w:rPr>
          <w:rFonts w:ascii="Times New Roman" w:hAnsi="Times New Roman" w:cs="Times New Roman"/>
          <w:sz w:val="24"/>
          <w:szCs w:val="24"/>
          <w:vertAlign w:val="baseline"/>
        </w:rPr>
        <w:t xml:space="preserve"> S</w:t>
      </w:r>
      <w:r w:rsidRPr="000A675B">
        <w:rPr>
          <w:rFonts w:ascii="Times New Roman" w:hAnsi="Times New Roman" w:cs="Times New Roman"/>
          <w:sz w:val="24"/>
          <w:szCs w:val="24"/>
          <w:vertAlign w:val="baseline"/>
        </w:rPr>
        <w:t xml:space="preserve">, ‘Engendering socio-economic rights’ in in Hellum </w:t>
      </w:r>
      <w:r>
        <w:rPr>
          <w:rFonts w:ascii="Times New Roman" w:hAnsi="Times New Roman" w:cs="Times New Roman"/>
          <w:sz w:val="24"/>
          <w:szCs w:val="24"/>
          <w:vertAlign w:val="baseline"/>
        </w:rPr>
        <w:t>A and Sinding Aasen H,</w:t>
      </w:r>
      <w:r w:rsidRPr="000A675B">
        <w:rPr>
          <w:rFonts w:ascii="Times New Roman" w:hAnsi="Times New Roman" w:cs="Times New Roman"/>
          <w:sz w:val="24"/>
          <w:szCs w:val="24"/>
          <w:vertAlign w:val="baseline"/>
        </w:rPr>
        <w:t xml:space="preserve"> </w:t>
      </w:r>
      <w:r w:rsidRPr="000A675B">
        <w:rPr>
          <w:rFonts w:ascii="Times New Roman" w:hAnsi="Times New Roman" w:cs="Times New Roman"/>
          <w:i/>
          <w:sz w:val="24"/>
          <w:szCs w:val="24"/>
          <w:vertAlign w:val="baseline"/>
        </w:rPr>
        <w:t>Women’s Human Rights: CEDAW in International, Regional and National Law</w:t>
      </w:r>
      <w:r w:rsidRPr="000A675B">
        <w:rPr>
          <w:rFonts w:ascii="Times New Roman" w:hAnsi="Times New Roman" w:cs="Times New Roman"/>
          <w:sz w:val="24"/>
          <w:szCs w:val="24"/>
          <w:vertAlign w:val="baseline"/>
        </w:rPr>
        <w:t xml:space="preserve"> (CUP 2013)</w:t>
      </w:r>
    </w:p>
    <w:p w14:paraId="2BC72F17" w14:textId="77777777" w:rsidR="000A675B" w:rsidRPr="000A675B" w:rsidRDefault="000A675B" w:rsidP="003E2C58">
      <w:pPr>
        <w:rPr>
          <w:rFonts w:ascii="Times New Roman" w:hAnsi="Times New Roman" w:cs="Times New Roman"/>
          <w:sz w:val="24"/>
          <w:szCs w:val="24"/>
          <w:vertAlign w:val="baseline"/>
        </w:rPr>
      </w:pPr>
    </w:p>
    <w:p w14:paraId="70B50FFA"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Freeman</w:t>
      </w:r>
      <w:r>
        <w:rPr>
          <w:rFonts w:ascii="Times New Roman" w:hAnsi="Times New Roman" w:cs="Times New Roman"/>
          <w:sz w:val="24"/>
          <w:szCs w:val="24"/>
          <w:vertAlign w:val="baseline"/>
        </w:rPr>
        <w:t xml:space="preserve"> MA</w:t>
      </w:r>
      <w:r w:rsidRPr="00672137">
        <w:rPr>
          <w:rFonts w:ascii="Times New Roman" w:hAnsi="Times New Roman" w:cs="Times New Roman"/>
          <w:sz w:val="24"/>
          <w:szCs w:val="24"/>
          <w:vertAlign w:val="baseline"/>
        </w:rPr>
        <w:t>, ‘Reservations to CEDAW: An Analysis for UNICE</w:t>
      </w:r>
      <w:r>
        <w:rPr>
          <w:rFonts w:ascii="Times New Roman" w:hAnsi="Times New Roman" w:cs="Times New Roman"/>
          <w:sz w:val="24"/>
          <w:szCs w:val="24"/>
          <w:vertAlign w:val="baseline"/>
        </w:rPr>
        <w:t>F’ (UNICEF, December 2009)</w:t>
      </w:r>
    </w:p>
    <w:p w14:paraId="6D32D9E9" w14:textId="77777777" w:rsidR="003E2C58" w:rsidRDefault="003E2C58" w:rsidP="003E2C58">
      <w:pPr>
        <w:rPr>
          <w:rFonts w:ascii="Times New Roman" w:hAnsi="Times New Roman" w:cs="Times New Roman"/>
          <w:sz w:val="24"/>
          <w:szCs w:val="24"/>
          <w:vertAlign w:val="baseline"/>
        </w:rPr>
      </w:pPr>
    </w:p>
    <w:p w14:paraId="52DEB5A8"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French</w:t>
      </w:r>
      <w:r>
        <w:rPr>
          <w:rFonts w:ascii="Times New Roman" w:hAnsi="Times New Roman" w:cs="Times New Roman"/>
          <w:sz w:val="24"/>
          <w:szCs w:val="24"/>
          <w:vertAlign w:val="baseline"/>
        </w:rPr>
        <w:t xml:space="preserve"> J and </w:t>
      </w:r>
      <w:r w:rsidRPr="00672137">
        <w:rPr>
          <w:rFonts w:ascii="Times New Roman" w:hAnsi="Times New Roman" w:cs="Times New Roman"/>
          <w:sz w:val="24"/>
          <w:szCs w:val="24"/>
          <w:vertAlign w:val="baseline"/>
        </w:rPr>
        <w:t>McEvoy</w:t>
      </w:r>
      <w:r>
        <w:rPr>
          <w:rFonts w:ascii="Times New Roman" w:hAnsi="Times New Roman" w:cs="Times New Roman"/>
          <w:sz w:val="24"/>
          <w:szCs w:val="24"/>
          <w:vertAlign w:val="baseline"/>
        </w:rPr>
        <w:t xml:space="preserve"> M</w:t>
      </w:r>
      <w:r w:rsidRPr="00672137">
        <w:rPr>
          <w:rFonts w:ascii="Times New Roman" w:hAnsi="Times New Roman" w:cs="Times New Roman"/>
          <w:sz w:val="24"/>
          <w:szCs w:val="24"/>
          <w:vertAlign w:val="baseline"/>
        </w:rPr>
        <w:t xml:space="preserve">, ‘Promoting Rule of Law in Customary Tribunals in Ghana’ (2014) Harvard </w:t>
      </w:r>
      <w:r>
        <w:rPr>
          <w:rFonts w:ascii="Times New Roman" w:hAnsi="Times New Roman" w:cs="Times New Roman"/>
          <w:sz w:val="24"/>
          <w:szCs w:val="24"/>
          <w:vertAlign w:val="baseline"/>
        </w:rPr>
        <w:t>HRJ</w:t>
      </w:r>
      <w:r w:rsidRPr="00672137">
        <w:rPr>
          <w:rFonts w:ascii="Times New Roman" w:hAnsi="Times New Roman" w:cs="Times New Roman"/>
          <w:sz w:val="24"/>
          <w:szCs w:val="24"/>
          <w:vertAlign w:val="baseline"/>
        </w:rPr>
        <w:t xml:space="preserve"> &lt;</w:t>
      </w:r>
      <w:hyperlink r:id="rId50" w:anchor="_ftn20" w:history="1">
        <w:r w:rsidRPr="00377570">
          <w:rPr>
            <w:rStyle w:val="Hyperlink"/>
            <w:rFonts w:ascii="Times New Roman" w:hAnsi="Times New Roman" w:cs="Times New Roman"/>
            <w:sz w:val="24"/>
            <w:szCs w:val="24"/>
            <w:vertAlign w:val="baseline"/>
          </w:rPr>
          <w:t>http://harvardhrj.com/2014/11/promoting-rule-of-law-in-customary-tribunals-in-ghana/ - _ftn20</w:t>
        </w:r>
      </w:hyperlink>
      <w:r>
        <w:rPr>
          <w:rFonts w:ascii="Times New Roman" w:hAnsi="Times New Roman" w:cs="Times New Roman"/>
          <w:sz w:val="24"/>
          <w:szCs w:val="24"/>
          <w:vertAlign w:val="baseline"/>
        </w:rPr>
        <w:t xml:space="preserve">&gt; </w:t>
      </w:r>
      <w:r w:rsidRPr="00672137">
        <w:rPr>
          <w:rFonts w:ascii="Times New Roman" w:hAnsi="Times New Roman" w:cs="Times New Roman"/>
          <w:sz w:val="24"/>
          <w:szCs w:val="24"/>
          <w:vertAlign w:val="baseline"/>
        </w:rPr>
        <w:t>accessed 6 August 2015</w:t>
      </w:r>
    </w:p>
    <w:p w14:paraId="44EBCB2B" w14:textId="77777777" w:rsidR="003E2C58" w:rsidRDefault="003E2C58" w:rsidP="003E2C58">
      <w:pPr>
        <w:rPr>
          <w:rFonts w:ascii="Times New Roman" w:hAnsi="Times New Roman" w:cs="Times New Roman"/>
          <w:sz w:val="24"/>
          <w:szCs w:val="24"/>
          <w:vertAlign w:val="baseline"/>
        </w:rPr>
      </w:pPr>
    </w:p>
    <w:p w14:paraId="24DE01FF"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Freud</w:t>
      </w:r>
      <w:r>
        <w:rPr>
          <w:rFonts w:ascii="Times New Roman" w:hAnsi="Times New Roman" w:cs="Times New Roman"/>
          <w:sz w:val="24"/>
          <w:szCs w:val="24"/>
          <w:vertAlign w:val="baseline"/>
        </w:rPr>
        <w:t xml:space="preserve"> S</w:t>
      </w:r>
      <w:r w:rsidRPr="00672137">
        <w:rPr>
          <w:rFonts w:ascii="Times New Roman" w:hAnsi="Times New Roman" w:cs="Times New Roman"/>
          <w:sz w:val="24"/>
          <w:szCs w:val="24"/>
          <w:vertAlign w:val="baseline"/>
        </w:rPr>
        <w:t xml:space="preserve">, </w:t>
      </w:r>
      <w:r w:rsidRPr="00CB3440">
        <w:rPr>
          <w:rFonts w:ascii="Times New Roman" w:hAnsi="Times New Roman" w:cs="Times New Roman"/>
          <w:i/>
          <w:sz w:val="24"/>
          <w:szCs w:val="24"/>
          <w:vertAlign w:val="baseline"/>
        </w:rPr>
        <w:t>The Ego and the ID</w:t>
      </w:r>
      <w:r w:rsidRPr="00672137">
        <w:rPr>
          <w:rFonts w:ascii="Times New Roman" w:hAnsi="Times New Roman" w:cs="Times New Roman"/>
          <w:sz w:val="24"/>
          <w:szCs w:val="24"/>
          <w:vertAlign w:val="baseline"/>
        </w:rPr>
        <w:t xml:space="preserve"> (First published 19</w:t>
      </w:r>
      <w:r>
        <w:rPr>
          <w:rFonts w:ascii="Times New Roman" w:hAnsi="Times New Roman" w:cs="Times New Roman"/>
          <w:sz w:val="24"/>
          <w:szCs w:val="24"/>
          <w:vertAlign w:val="baseline"/>
        </w:rPr>
        <w:t>23, James Strachey (ed)</w:t>
      </w:r>
      <w:r w:rsidRPr="00672137">
        <w:rPr>
          <w:rFonts w:ascii="Times New Roman" w:hAnsi="Times New Roman" w:cs="Times New Roman"/>
          <w:sz w:val="24"/>
          <w:szCs w:val="24"/>
          <w:vertAlign w:val="baseline"/>
        </w:rPr>
        <w:t xml:space="preserve"> Norton Library 1962) </w:t>
      </w:r>
    </w:p>
    <w:p w14:paraId="73FF5126" w14:textId="77777777" w:rsidR="003E2C58" w:rsidRDefault="003E2C58" w:rsidP="003E2C58">
      <w:pPr>
        <w:rPr>
          <w:rFonts w:ascii="Times New Roman" w:hAnsi="Times New Roman" w:cs="Times New Roman"/>
          <w:sz w:val="24"/>
          <w:szCs w:val="24"/>
          <w:vertAlign w:val="baseline"/>
        </w:rPr>
      </w:pPr>
    </w:p>
    <w:p w14:paraId="24D923E1"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Gachter</w:t>
      </w:r>
      <w:r>
        <w:rPr>
          <w:rFonts w:ascii="Times New Roman" w:hAnsi="Times New Roman" w:cs="Times New Roman"/>
          <w:sz w:val="24"/>
          <w:szCs w:val="24"/>
          <w:vertAlign w:val="baseline"/>
        </w:rPr>
        <w:t xml:space="preserve"> O</w:t>
      </w:r>
      <w:r w:rsidRPr="00672137">
        <w:rPr>
          <w:rFonts w:ascii="Times New Roman" w:hAnsi="Times New Roman" w:cs="Times New Roman"/>
          <w:sz w:val="24"/>
          <w:szCs w:val="24"/>
          <w:vertAlign w:val="baseline"/>
        </w:rPr>
        <w:t>, ‘Evil and Suffering in Hinduism’ (1998)</w:t>
      </w:r>
      <w:r>
        <w:rPr>
          <w:rFonts w:ascii="Times New Roman" w:hAnsi="Times New Roman" w:cs="Times New Roman"/>
          <w:sz w:val="24"/>
          <w:szCs w:val="24"/>
          <w:vertAlign w:val="baseline"/>
        </w:rPr>
        <w:t xml:space="preserve"> 93 Anthropos 395</w:t>
      </w:r>
    </w:p>
    <w:p w14:paraId="394238FE" w14:textId="77777777" w:rsidR="003E2C58" w:rsidRDefault="003E2C58" w:rsidP="003E2C58">
      <w:pPr>
        <w:rPr>
          <w:rFonts w:ascii="Times New Roman" w:hAnsi="Times New Roman" w:cs="Times New Roman"/>
          <w:sz w:val="24"/>
          <w:szCs w:val="24"/>
          <w:vertAlign w:val="baseline"/>
        </w:rPr>
      </w:pPr>
    </w:p>
    <w:p w14:paraId="3C914256" w14:textId="77777777" w:rsidR="003E2C58" w:rsidRDefault="003E2C58" w:rsidP="003E2C58">
      <w:pPr>
        <w:rPr>
          <w:rFonts w:ascii="Times New Roman" w:hAnsi="Times New Roman" w:cs="Times New Roman"/>
          <w:sz w:val="24"/>
          <w:szCs w:val="24"/>
          <w:vertAlign w:val="baseline"/>
        </w:rPr>
      </w:pPr>
      <w:r>
        <w:rPr>
          <w:rFonts w:ascii="Times New Roman" w:hAnsi="Times New Roman" w:cs="Times New Roman"/>
          <w:sz w:val="24"/>
          <w:szCs w:val="24"/>
          <w:vertAlign w:val="baseline"/>
        </w:rPr>
        <w:t>Gango G,</w:t>
      </w:r>
      <w:r w:rsidRPr="00672137">
        <w:rPr>
          <w:rFonts w:ascii="Times New Roman" w:hAnsi="Times New Roman" w:cs="Times New Roman"/>
          <w:sz w:val="24"/>
          <w:szCs w:val="24"/>
          <w:vertAlign w:val="baseline"/>
        </w:rPr>
        <w:t xml:space="preserve"> </w:t>
      </w:r>
      <w:r w:rsidRPr="006E093F">
        <w:rPr>
          <w:rFonts w:ascii="Times New Roman" w:hAnsi="Times New Roman" w:cs="Times New Roman"/>
          <w:i/>
          <w:sz w:val="24"/>
          <w:szCs w:val="24"/>
          <w:vertAlign w:val="baseline"/>
        </w:rPr>
        <w:t>Indian Feminisms: Law, Patriarchies and Violence in India</w:t>
      </w:r>
      <w:r>
        <w:rPr>
          <w:rFonts w:ascii="Times New Roman" w:hAnsi="Times New Roman" w:cs="Times New Roman"/>
          <w:sz w:val="24"/>
          <w:szCs w:val="24"/>
          <w:vertAlign w:val="baseline"/>
        </w:rPr>
        <w:t xml:space="preserve"> (Ashgate Publishing 2002)</w:t>
      </w:r>
    </w:p>
    <w:p w14:paraId="2BAAC3D2" w14:textId="77777777" w:rsidR="003E2C58" w:rsidRDefault="003E2C58" w:rsidP="003E2C58">
      <w:pPr>
        <w:rPr>
          <w:rFonts w:ascii="Times New Roman" w:hAnsi="Times New Roman" w:cs="Times New Roman"/>
          <w:sz w:val="24"/>
          <w:szCs w:val="24"/>
          <w:vertAlign w:val="baseline"/>
        </w:rPr>
      </w:pPr>
    </w:p>
    <w:p w14:paraId="51271C51"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Gardner</w:t>
      </w:r>
      <w:r>
        <w:rPr>
          <w:rFonts w:ascii="Times New Roman" w:hAnsi="Times New Roman" w:cs="Times New Roman"/>
          <w:sz w:val="24"/>
          <w:szCs w:val="24"/>
          <w:vertAlign w:val="baseline"/>
        </w:rPr>
        <w:t xml:space="preserve"> M,</w:t>
      </w:r>
      <w:r w:rsidRPr="00672137">
        <w:rPr>
          <w:rFonts w:ascii="Times New Roman" w:hAnsi="Times New Roman" w:cs="Times New Roman"/>
          <w:sz w:val="24"/>
          <w:szCs w:val="24"/>
          <w:vertAlign w:val="baseline"/>
        </w:rPr>
        <w:t xml:space="preserve"> </w:t>
      </w:r>
      <w:r w:rsidRPr="00F678E5">
        <w:rPr>
          <w:rFonts w:ascii="Times New Roman" w:hAnsi="Times New Roman" w:cs="Times New Roman"/>
          <w:i/>
          <w:sz w:val="24"/>
          <w:szCs w:val="24"/>
          <w:vertAlign w:val="baseline"/>
        </w:rPr>
        <w:t>The Whys of a Philosophical Scrivener</w:t>
      </w:r>
      <w:r w:rsidRPr="00672137">
        <w:rPr>
          <w:rFonts w:ascii="Times New Roman" w:hAnsi="Times New Roman" w:cs="Times New Roman"/>
          <w:sz w:val="24"/>
          <w:szCs w:val="24"/>
          <w:vertAlign w:val="baseline"/>
        </w:rPr>
        <w:t xml:space="preserve"> (New York </w:t>
      </w:r>
      <w:r>
        <w:rPr>
          <w:rFonts w:ascii="Times New Roman" w:hAnsi="Times New Roman" w:cs="Times New Roman"/>
          <w:sz w:val="24"/>
          <w:szCs w:val="24"/>
          <w:vertAlign w:val="baseline"/>
        </w:rPr>
        <w:t>1983)</w:t>
      </w:r>
    </w:p>
    <w:p w14:paraId="64761EC6" w14:textId="77777777" w:rsidR="003E2C58" w:rsidRDefault="003E2C58" w:rsidP="003E2C58">
      <w:pPr>
        <w:rPr>
          <w:rFonts w:ascii="Times New Roman" w:hAnsi="Times New Roman" w:cs="Times New Roman"/>
          <w:sz w:val="24"/>
          <w:szCs w:val="24"/>
          <w:vertAlign w:val="baseline"/>
        </w:rPr>
      </w:pPr>
    </w:p>
    <w:p w14:paraId="2287797C"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Geneva Academy, ‘The Optional Protocol to the International Covenant on Economic, Soci</w:t>
      </w:r>
      <w:r>
        <w:rPr>
          <w:rFonts w:ascii="Times New Roman" w:hAnsi="Times New Roman" w:cs="Times New Roman"/>
          <w:sz w:val="24"/>
          <w:szCs w:val="24"/>
          <w:vertAlign w:val="baseline"/>
        </w:rPr>
        <w:t>al and Cultural Rights’ (2013)</w:t>
      </w:r>
      <w:r w:rsidRPr="00672137">
        <w:rPr>
          <w:rFonts w:ascii="Times New Roman" w:hAnsi="Times New Roman" w:cs="Times New Roman"/>
          <w:sz w:val="24"/>
          <w:szCs w:val="24"/>
          <w:vertAlign w:val="baseline"/>
        </w:rPr>
        <w:t xml:space="preserve"> Geneva Academy of International Humanitarian Law and Human Rights</w:t>
      </w:r>
    </w:p>
    <w:p w14:paraId="424C3E92" w14:textId="77777777" w:rsidR="003E2C58" w:rsidRDefault="003E2C58" w:rsidP="003E2C58">
      <w:pPr>
        <w:rPr>
          <w:rFonts w:ascii="Times New Roman" w:hAnsi="Times New Roman" w:cs="Times New Roman"/>
          <w:sz w:val="24"/>
          <w:szCs w:val="24"/>
          <w:vertAlign w:val="baseline"/>
        </w:rPr>
      </w:pPr>
    </w:p>
    <w:p w14:paraId="02094D8C" w14:textId="77777777" w:rsidR="003E2C58" w:rsidRPr="00D031D8" w:rsidRDefault="003E2C58" w:rsidP="003E2C58">
      <w:pPr>
        <w:rPr>
          <w:rFonts w:ascii="Times New Roman" w:hAnsi="Times New Roman" w:cs="Times New Roman"/>
          <w:i/>
          <w:sz w:val="24"/>
          <w:szCs w:val="24"/>
          <w:vertAlign w:val="baseline"/>
        </w:rPr>
      </w:pPr>
      <w:r w:rsidRPr="00672137">
        <w:rPr>
          <w:rFonts w:ascii="Times New Roman" w:hAnsi="Times New Roman" w:cs="Times New Roman"/>
          <w:sz w:val="24"/>
          <w:szCs w:val="24"/>
          <w:vertAlign w:val="baseline"/>
        </w:rPr>
        <w:t>Geschiere</w:t>
      </w:r>
      <w:r>
        <w:rPr>
          <w:rFonts w:ascii="Times New Roman" w:hAnsi="Times New Roman" w:cs="Times New Roman"/>
          <w:sz w:val="24"/>
          <w:szCs w:val="24"/>
          <w:vertAlign w:val="baseline"/>
        </w:rPr>
        <w:t xml:space="preserve"> P</w:t>
      </w:r>
      <w:r w:rsidRPr="00672137">
        <w:rPr>
          <w:rFonts w:ascii="Times New Roman" w:hAnsi="Times New Roman" w:cs="Times New Roman"/>
          <w:sz w:val="24"/>
          <w:szCs w:val="24"/>
          <w:vertAlign w:val="baseline"/>
        </w:rPr>
        <w:t xml:space="preserve">, </w:t>
      </w:r>
      <w:r w:rsidRPr="00D031D8">
        <w:rPr>
          <w:rFonts w:ascii="Times New Roman" w:hAnsi="Times New Roman" w:cs="Times New Roman"/>
          <w:i/>
          <w:sz w:val="24"/>
          <w:szCs w:val="24"/>
          <w:vertAlign w:val="baseline"/>
        </w:rPr>
        <w:t xml:space="preserve">The Modernity of Witchcraft, Politics and the Occult in </w:t>
      </w:r>
    </w:p>
    <w:p w14:paraId="39F0938E" w14:textId="77777777" w:rsidR="003E2C58" w:rsidRPr="00672137" w:rsidRDefault="003E2C58" w:rsidP="003E2C58">
      <w:pPr>
        <w:rPr>
          <w:rFonts w:ascii="Times New Roman" w:hAnsi="Times New Roman" w:cs="Times New Roman"/>
          <w:sz w:val="24"/>
          <w:szCs w:val="24"/>
          <w:vertAlign w:val="baseline"/>
        </w:rPr>
      </w:pPr>
      <w:r w:rsidRPr="00D031D8">
        <w:rPr>
          <w:rFonts w:ascii="Times New Roman" w:hAnsi="Times New Roman" w:cs="Times New Roman"/>
          <w:i/>
          <w:sz w:val="24"/>
          <w:szCs w:val="24"/>
          <w:vertAlign w:val="baseline"/>
        </w:rPr>
        <w:t>Postcolonial Africa</w:t>
      </w:r>
      <w:r>
        <w:rPr>
          <w:rFonts w:ascii="Times New Roman" w:hAnsi="Times New Roman" w:cs="Times New Roman"/>
          <w:sz w:val="24"/>
          <w:szCs w:val="24"/>
          <w:vertAlign w:val="baseline"/>
        </w:rPr>
        <w:t xml:space="preserve"> (London 1997)</w:t>
      </w:r>
    </w:p>
    <w:p w14:paraId="5D59820F" w14:textId="77777777" w:rsidR="003E2C58" w:rsidRDefault="003E2C58" w:rsidP="003E2C58">
      <w:pPr>
        <w:rPr>
          <w:rFonts w:ascii="Times New Roman" w:hAnsi="Times New Roman" w:cs="Times New Roman"/>
          <w:sz w:val="24"/>
          <w:szCs w:val="24"/>
          <w:vertAlign w:val="baseline"/>
        </w:rPr>
      </w:pPr>
    </w:p>
    <w:p w14:paraId="4DDF5144"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Ghadially</w:t>
      </w:r>
      <w:r>
        <w:rPr>
          <w:rFonts w:ascii="Times New Roman" w:hAnsi="Times New Roman" w:cs="Times New Roman"/>
          <w:sz w:val="24"/>
          <w:szCs w:val="24"/>
          <w:vertAlign w:val="baseline"/>
        </w:rPr>
        <w:t xml:space="preserve"> R</w:t>
      </w:r>
      <w:r w:rsidRPr="00672137">
        <w:rPr>
          <w:rFonts w:ascii="Times New Roman" w:hAnsi="Times New Roman" w:cs="Times New Roman"/>
          <w:sz w:val="24"/>
          <w:szCs w:val="24"/>
          <w:vertAlign w:val="baseline"/>
        </w:rPr>
        <w:t xml:space="preserve">, </w:t>
      </w:r>
      <w:r w:rsidRPr="00BF5242">
        <w:rPr>
          <w:rFonts w:ascii="Times New Roman" w:hAnsi="Times New Roman" w:cs="Times New Roman"/>
          <w:i/>
          <w:sz w:val="24"/>
          <w:szCs w:val="24"/>
          <w:vertAlign w:val="baseline"/>
        </w:rPr>
        <w:t>Urban Women in Contemporary India: A Reader</w:t>
      </w:r>
      <w:r>
        <w:rPr>
          <w:rFonts w:ascii="Times New Roman" w:hAnsi="Times New Roman" w:cs="Times New Roman"/>
          <w:sz w:val="24"/>
          <w:szCs w:val="24"/>
          <w:vertAlign w:val="baseline"/>
        </w:rPr>
        <w:t xml:space="preserve"> (Sage Publications 2007)</w:t>
      </w:r>
    </w:p>
    <w:p w14:paraId="0B3D730D" w14:textId="77777777" w:rsidR="003E2C58" w:rsidRDefault="003E2C58" w:rsidP="003E2C58">
      <w:pPr>
        <w:rPr>
          <w:rFonts w:ascii="Times New Roman" w:hAnsi="Times New Roman" w:cs="Times New Roman"/>
          <w:sz w:val="24"/>
          <w:szCs w:val="24"/>
          <w:vertAlign w:val="baseline"/>
        </w:rPr>
      </w:pPr>
    </w:p>
    <w:p w14:paraId="4F7368ED"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GhanaWeb, ‘Ethnic Groups’ &lt;</w:t>
      </w:r>
      <w:hyperlink r:id="rId51" w:history="1">
        <w:r w:rsidRPr="002438D5">
          <w:rPr>
            <w:rStyle w:val="Hyperlink"/>
            <w:rFonts w:ascii="Times New Roman" w:hAnsi="Times New Roman" w:cs="Times New Roman"/>
            <w:sz w:val="24"/>
            <w:szCs w:val="24"/>
            <w:vertAlign w:val="baseline"/>
          </w:rPr>
          <w:t>http://www.ghanaweb.com/GhanaHomePage/tribes/&gt;</w:t>
        </w:r>
      </w:hyperlink>
      <w:r w:rsidRPr="00672137">
        <w:rPr>
          <w:rFonts w:ascii="Times New Roman" w:hAnsi="Times New Roman" w:cs="Times New Roman"/>
          <w:sz w:val="24"/>
          <w:szCs w:val="24"/>
          <w:vertAlign w:val="baseline"/>
        </w:rPr>
        <w:t xml:space="preserve"> accessed 13 August 2015</w:t>
      </w:r>
    </w:p>
    <w:p w14:paraId="198D3693" w14:textId="77777777" w:rsidR="003E2C58" w:rsidRDefault="003E2C58" w:rsidP="003E2C58">
      <w:pPr>
        <w:rPr>
          <w:rFonts w:ascii="Times New Roman" w:hAnsi="Times New Roman" w:cs="Times New Roman"/>
          <w:sz w:val="24"/>
          <w:szCs w:val="24"/>
          <w:vertAlign w:val="baseline"/>
        </w:rPr>
      </w:pPr>
    </w:p>
    <w:p w14:paraId="59735D26"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Ghosh</w:t>
      </w:r>
      <w:r>
        <w:rPr>
          <w:rFonts w:ascii="Times New Roman" w:hAnsi="Times New Roman" w:cs="Times New Roman"/>
          <w:sz w:val="24"/>
          <w:szCs w:val="24"/>
          <w:vertAlign w:val="baseline"/>
        </w:rPr>
        <w:t xml:space="preserve"> P</w:t>
      </w:r>
      <w:r w:rsidRPr="00672137">
        <w:rPr>
          <w:rFonts w:ascii="Times New Roman" w:hAnsi="Times New Roman" w:cs="Times New Roman"/>
          <w:sz w:val="24"/>
          <w:szCs w:val="24"/>
          <w:vertAlign w:val="baseline"/>
        </w:rPr>
        <w:t xml:space="preserve">, </w:t>
      </w:r>
      <w:r w:rsidRPr="00D73F03">
        <w:rPr>
          <w:rFonts w:ascii="Times New Roman" w:hAnsi="Times New Roman" w:cs="Times New Roman"/>
          <w:i/>
          <w:sz w:val="24"/>
          <w:szCs w:val="24"/>
          <w:vertAlign w:val="baseline"/>
        </w:rPr>
        <w:t>Indian Government and Politics</w:t>
      </w:r>
      <w:r w:rsidRPr="00672137">
        <w:rPr>
          <w:rFonts w:ascii="Times New Roman" w:hAnsi="Times New Roman" w:cs="Times New Roman"/>
          <w:sz w:val="24"/>
          <w:szCs w:val="24"/>
          <w:vertAlign w:val="baseline"/>
        </w:rPr>
        <w:t xml:space="preserve"> (PHI L</w:t>
      </w:r>
      <w:r>
        <w:rPr>
          <w:rFonts w:ascii="Times New Roman" w:hAnsi="Times New Roman" w:cs="Times New Roman"/>
          <w:sz w:val="24"/>
          <w:szCs w:val="24"/>
          <w:vertAlign w:val="baseline"/>
        </w:rPr>
        <w:t>earning Private Delhi, 2012)</w:t>
      </w:r>
    </w:p>
    <w:p w14:paraId="39C95A0A" w14:textId="77777777" w:rsidR="003E2C58" w:rsidRDefault="003E2C58" w:rsidP="003E2C58">
      <w:pPr>
        <w:rPr>
          <w:rFonts w:ascii="Times New Roman" w:hAnsi="Times New Roman" w:cs="Times New Roman"/>
          <w:sz w:val="24"/>
          <w:szCs w:val="24"/>
          <w:vertAlign w:val="baseline"/>
        </w:rPr>
      </w:pPr>
    </w:p>
    <w:p w14:paraId="7C90064C"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Ghosh</w:t>
      </w:r>
      <w:r>
        <w:rPr>
          <w:rFonts w:ascii="Times New Roman" w:hAnsi="Times New Roman" w:cs="Times New Roman"/>
          <w:sz w:val="24"/>
          <w:szCs w:val="24"/>
          <w:vertAlign w:val="baseline"/>
        </w:rPr>
        <w:t xml:space="preserve"> PS</w:t>
      </w:r>
      <w:r w:rsidRPr="00672137">
        <w:rPr>
          <w:rFonts w:ascii="Times New Roman" w:hAnsi="Times New Roman" w:cs="Times New Roman"/>
          <w:sz w:val="24"/>
          <w:szCs w:val="24"/>
          <w:vertAlign w:val="baseline"/>
        </w:rPr>
        <w:t xml:space="preserve">, </w:t>
      </w:r>
      <w:r w:rsidRPr="000E4002">
        <w:rPr>
          <w:rFonts w:ascii="Times New Roman" w:hAnsi="Times New Roman" w:cs="Times New Roman"/>
          <w:i/>
          <w:sz w:val="24"/>
          <w:szCs w:val="24"/>
          <w:vertAlign w:val="baseline"/>
        </w:rPr>
        <w:t>The Politics of Personal Law in South Asia: Identity, Nationalism and the Uniform Civil Code</w:t>
      </w:r>
      <w:r>
        <w:rPr>
          <w:rFonts w:ascii="Times New Roman" w:hAnsi="Times New Roman" w:cs="Times New Roman"/>
          <w:sz w:val="24"/>
          <w:szCs w:val="24"/>
          <w:vertAlign w:val="baseline"/>
        </w:rPr>
        <w:t xml:space="preserve"> (Routledge 2007)</w:t>
      </w:r>
    </w:p>
    <w:p w14:paraId="3C4E9B8E" w14:textId="77777777" w:rsidR="003E2C58" w:rsidRDefault="003E2C58" w:rsidP="003E2C58">
      <w:pPr>
        <w:rPr>
          <w:rFonts w:ascii="Times New Roman" w:hAnsi="Times New Roman" w:cs="Times New Roman"/>
          <w:sz w:val="24"/>
          <w:szCs w:val="24"/>
          <w:vertAlign w:val="baseline"/>
        </w:rPr>
      </w:pPr>
    </w:p>
    <w:p w14:paraId="2EB25980"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Gilchrist</w:t>
      </w:r>
      <w:r>
        <w:rPr>
          <w:rFonts w:ascii="Times New Roman" w:hAnsi="Times New Roman" w:cs="Times New Roman"/>
          <w:sz w:val="24"/>
          <w:szCs w:val="24"/>
          <w:vertAlign w:val="baseline"/>
        </w:rPr>
        <w:t xml:space="preserve"> J</w:t>
      </w:r>
      <w:r w:rsidRPr="00672137">
        <w:rPr>
          <w:rFonts w:ascii="Times New Roman" w:hAnsi="Times New Roman" w:cs="Times New Roman"/>
          <w:sz w:val="24"/>
          <w:szCs w:val="24"/>
          <w:vertAlign w:val="baseline"/>
        </w:rPr>
        <w:t>, ‘The Papacy and War against the “Sa</w:t>
      </w:r>
      <w:r>
        <w:rPr>
          <w:rFonts w:ascii="Times New Roman" w:hAnsi="Times New Roman" w:cs="Times New Roman"/>
          <w:sz w:val="24"/>
          <w:szCs w:val="24"/>
          <w:vertAlign w:val="baseline"/>
        </w:rPr>
        <w:t>racens” 795 -1216’ (1988) 10 Intl Hist Rev 174</w:t>
      </w:r>
    </w:p>
    <w:p w14:paraId="0B203ED9" w14:textId="77777777" w:rsidR="003E2C58" w:rsidRPr="00672137" w:rsidRDefault="003E2C58" w:rsidP="003E2C58">
      <w:pPr>
        <w:rPr>
          <w:rFonts w:ascii="Times New Roman" w:hAnsi="Times New Roman" w:cs="Times New Roman"/>
          <w:sz w:val="24"/>
          <w:szCs w:val="24"/>
          <w:vertAlign w:val="baseline"/>
        </w:rPr>
      </w:pPr>
    </w:p>
    <w:p w14:paraId="6F17B8E9"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Gillian</w:t>
      </w:r>
      <w:r>
        <w:rPr>
          <w:rFonts w:ascii="Times New Roman" w:hAnsi="Times New Roman" w:cs="Times New Roman"/>
          <w:sz w:val="24"/>
          <w:szCs w:val="24"/>
          <w:vertAlign w:val="baseline"/>
        </w:rPr>
        <w:t xml:space="preserve"> C</w:t>
      </w:r>
      <w:r w:rsidRPr="00672137">
        <w:rPr>
          <w:rFonts w:ascii="Times New Roman" w:hAnsi="Times New Roman" w:cs="Times New Roman"/>
          <w:sz w:val="24"/>
          <w:szCs w:val="24"/>
          <w:vertAlign w:val="baseline"/>
        </w:rPr>
        <w:t xml:space="preserve">, </w:t>
      </w:r>
      <w:r w:rsidRPr="0050334C">
        <w:rPr>
          <w:rFonts w:ascii="Times New Roman" w:hAnsi="Times New Roman" w:cs="Times New Roman"/>
          <w:i/>
          <w:sz w:val="24"/>
          <w:szCs w:val="24"/>
          <w:vertAlign w:val="baseline"/>
        </w:rPr>
        <w:t>A Different Voice</w:t>
      </w:r>
      <w:r>
        <w:rPr>
          <w:rFonts w:ascii="Times New Roman" w:hAnsi="Times New Roman" w:cs="Times New Roman"/>
          <w:sz w:val="24"/>
          <w:szCs w:val="24"/>
          <w:vertAlign w:val="baseline"/>
        </w:rPr>
        <w:t xml:space="preserve"> (OUP 1982)</w:t>
      </w:r>
    </w:p>
    <w:p w14:paraId="7C1DB7AE" w14:textId="77777777" w:rsidR="003E2C58" w:rsidRDefault="003E2C58" w:rsidP="003E2C58">
      <w:pPr>
        <w:rPr>
          <w:rFonts w:ascii="Times New Roman" w:hAnsi="Times New Roman" w:cs="Times New Roman"/>
          <w:sz w:val="24"/>
          <w:szCs w:val="24"/>
          <w:vertAlign w:val="baseline"/>
        </w:rPr>
      </w:pPr>
    </w:p>
    <w:p w14:paraId="1B1C83ED"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Ginzburg</w:t>
      </w:r>
      <w:r>
        <w:rPr>
          <w:rFonts w:ascii="Times New Roman" w:hAnsi="Times New Roman" w:cs="Times New Roman"/>
          <w:sz w:val="24"/>
          <w:szCs w:val="24"/>
          <w:vertAlign w:val="baseline"/>
        </w:rPr>
        <w:t xml:space="preserve"> C</w:t>
      </w:r>
      <w:r w:rsidRPr="00672137">
        <w:rPr>
          <w:rFonts w:ascii="Times New Roman" w:hAnsi="Times New Roman" w:cs="Times New Roman"/>
          <w:sz w:val="24"/>
          <w:szCs w:val="24"/>
          <w:vertAlign w:val="baseline"/>
        </w:rPr>
        <w:t xml:space="preserve">, </w:t>
      </w:r>
      <w:r w:rsidRPr="00420653">
        <w:rPr>
          <w:rFonts w:ascii="Times New Roman" w:hAnsi="Times New Roman" w:cs="Times New Roman"/>
          <w:i/>
          <w:sz w:val="24"/>
          <w:szCs w:val="24"/>
          <w:vertAlign w:val="baseline"/>
        </w:rPr>
        <w:t>The Night Battles: Witchcraft and Agrarian Cults in the Sixteenth and Seventeenth Centuries</w:t>
      </w:r>
      <w:r w:rsidRPr="00672137">
        <w:rPr>
          <w:rFonts w:ascii="Times New Roman" w:hAnsi="Times New Roman" w:cs="Times New Roman"/>
          <w:sz w:val="24"/>
          <w:szCs w:val="24"/>
          <w:vertAlign w:val="baseline"/>
        </w:rPr>
        <w:t xml:space="preserve"> (John &amp; A</w:t>
      </w:r>
      <w:r>
        <w:rPr>
          <w:rFonts w:ascii="Times New Roman" w:hAnsi="Times New Roman" w:cs="Times New Roman"/>
          <w:sz w:val="24"/>
          <w:szCs w:val="24"/>
          <w:vertAlign w:val="baseline"/>
        </w:rPr>
        <w:t>nn Tedeschi Tr, Routledge 2011)</w:t>
      </w:r>
    </w:p>
    <w:p w14:paraId="2FFDDC5D" w14:textId="77777777" w:rsidR="003E2C58" w:rsidRDefault="003E2C58" w:rsidP="003E2C58">
      <w:pPr>
        <w:rPr>
          <w:rFonts w:ascii="Times New Roman" w:hAnsi="Times New Roman" w:cs="Times New Roman"/>
          <w:sz w:val="24"/>
          <w:szCs w:val="24"/>
          <w:vertAlign w:val="baseline"/>
        </w:rPr>
      </w:pPr>
    </w:p>
    <w:p w14:paraId="2EF16DC4" w14:textId="77777777" w:rsidR="00922D5A" w:rsidRDefault="00922D5A" w:rsidP="00922D5A">
      <w:pPr>
        <w:rPr>
          <w:rFonts w:ascii="Times New Roman" w:hAnsi="Times New Roman" w:cs="Times New Roman"/>
          <w:sz w:val="24"/>
          <w:szCs w:val="24"/>
          <w:vertAlign w:val="baseline"/>
        </w:rPr>
      </w:pPr>
      <w:r>
        <w:rPr>
          <w:rFonts w:ascii="Times New Roman" w:hAnsi="Times New Roman" w:cs="Times New Roman"/>
          <w:sz w:val="24"/>
          <w:szCs w:val="24"/>
          <w:vertAlign w:val="baseline"/>
        </w:rPr>
        <w:t>Girls Not Brides &lt;</w:t>
      </w:r>
      <w:hyperlink r:id="rId52" w:history="1">
        <w:r w:rsidRPr="00FD5461">
          <w:rPr>
            <w:rStyle w:val="Hyperlink"/>
            <w:rFonts w:ascii="Times New Roman" w:hAnsi="Times New Roman" w:cs="Times New Roman"/>
            <w:sz w:val="24"/>
            <w:szCs w:val="24"/>
            <w:vertAlign w:val="baseline"/>
          </w:rPr>
          <w:t>http://www.girlsnotbrides.org/</w:t>
        </w:r>
      </w:hyperlink>
      <w:r>
        <w:rPr>
          <w:rFonts w:ascii="Times New Roman" w:hAnsi="Times New Roman" w:cs="Times New Roman"/>
          <w:sz w:val="24"/>
          <w:szCs w:val="24"/>
          <w:vertAlign w:val="baseline"/>
        </w:rPr>
        <w:t>&gt; accessed 5 November 2015</w:t>
      </w:r>
    </w:p>
    <w:p w14:paraId="784CA20B" w14:textId="77777777" w:rsidR="00922D5A" w:rsidRDefault="00922D5A" w:rsidP="003E2C58">
      <w:pPr>
        <w:rPr>
          <w:rFonts w:ascii="Times New Roman" w:hAnsi="Times New Roman" w:cs="Times New Roman"/>
          <w:sz w:val="24"/>
          <w:szCs w:val="24"/>
          <w:vertAlign w:val="baseline"/>
        </w:rPr>
      </w:pPr>
    </w:p>
    <w:p w14:paraId="38FB9747"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Girls Not Brides, ‘Child marriage: India’ &lt;</w:t>
      </w:r>
      <w:hyperlink r:id="rId53" w:history="1">
        <w:r w:rsidRPr="00F372FF">
          <w:rPr>
            <w:rStyle w:val="Hyperlink"/>
            <w:rFonts w:ascii="Times New Roman" w:hAnsi="Times New Roman" w:cs="Times New Roman"/>
            <w:sz w:val="24"/>
            <w:szCs w:val="24"/>
            <w:vertAlign w:val="baseline"/>
          </w:rPr>
          <w:t>http://www.girlsnotbrides.org/child-marriage/india/&gt;</w:t>
        </w:r>
      </w:hyperlink>
      <w:r w:rsidRPr="00672137">
        <w:rPr>
          <w:rFonts w:ascii="Times New Roman" w:hAnsi="Times New Roman" w:cs="Times New Roman"/>
          <w:sz w:val="24"/>
          <w:szCs w:val="24"/>
          <w:vertAlign w:val="baseline"/>
        </w:rPr>
        <w:t xml:space="preserve"> accessed 26 August 2015</w:t>
      </w:r>
    </w:p>
    <w:p w14:paraId="26E7612D" w14:textId="77777777" w:rsidR="003E2C58" w:rsidRDefault="003E2C58" w:rsidP="003E2C58">
      <w:pPr>
        <w:rPr>
          <w:rFonts w:ascii="Times New Roman" w:hAnsi="Times New Roman" w:cs="Times New Roman"/>
          <w:sz w:val="24"/>
          <w:szCs w:val="24"/>
          <w:vertAlign w:val="baseline"/>
        </w:rPr>
      </w:pPr>
    </w:p>
    <w:p w14:paraId="1587C1C8"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Gjersoe</w:t>
      </w:r>
      <w:r>
        <w:rPr>
          <w:rFonts w:ascii="Times New Roman" w:hAnsi="Times New Roman" w:cs="Times New Roman"/>
          <w:sz w:val="24"/>
          <w:szCs w:val="24"/>
          <w:vertAlign w:val="baseline"/>
        </w:rPr>
        <w:t xml:space="preserve"> NL</w:t>
      </w:r>
      <w:r w:rsidRPr="00672137">
        <w:rPr>
          <w:rFonts w:ascii="Times New Roman" w:hAnsi="Times New Roman" w:cs="Times New Roman"/>
          <w:sz w:val="24"/>
          <w:szCs w:val="24"/>
          <w:vertAlign w:val="baseline"/>
        </w:rPr>
        <w:t xml:space="preserve"> and Hood</w:t>
      </w:r>
      <w:r>
        <w:rPr>
          <w:rFonts w:ascii="Times New Roman" w:hAnsi="Times New Roman" w:cs="Times New Roman"/>
          <w:sz w:val="24"/>
          <w:szCs w:val="24"/>
          <w:vertAlign w:val="baseline"/>
        </w:rPr>
        <w:t xml:space="preserve"> BM</w:t>
      </w:r>
      <w:r w:rsidRPr="00672137">
        <w:rPr>
          <w:rFonts w:ascii="Times New Roman" w:hAnsi="Times New Roman" w:cs="Times New Roman"/>
          <w:sz w:val="24"/>
          <w:szCs w:val="24"/>
          <w:vertAlign w:val="baseline"/>
        </w:rPr>
        <w:t xml:space="preserve"> ‘The supernatural guilt trip does not take us far enough’ (2006) 29 Behavi</w:t>
      </w:r>
      <w:r>
        <w:rPr>
          <w:rFonts w:ascii="Times New Roman" w:hAnsi="Times New Roman" w:cs="Times New Roman"/>
          <w:sz w:val="24"/>
          <w:szCs w:val="24"/>
          <w:vertAlign w:val="baseline"/>
        </w:rPr>
        <w:t>oural and Brain Sciences 473</w:t>
      </w:r>
    </w:p>
    <w:p w14:paraId="1421E59C" w14:textId="77777777" w:rsidR="003E2C58" w:rsidRDefault="003E2C58" w:rsidP="003E2C58">
      <w:pPr>
        <w:rPr>
          <w:rFonts w:ascii="Times New Roman" w:hAnsi="Times New Roman" w:cs="Times New Roman"/>
          <w:sz w:val="24"/>
          <w:szCs w:val="24"/>
          <w:vertAlign w:val="baseline"/>
        </w:rPr>
      </w:pPr>
    </w:p>
    <w:p w14:paraId="3E06EC9B" w14:textId="77777777" w:rsidR="00922D5A" w:rsidRDefault="00922D5A" w:rsidP="00922D5A">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Government of Ghana, ‘About Ghana’ (Government of Ghana Official Portal, 2014) &lt;</w:t>
      </w:r>
      <w:hyperlink r:id="rId54" w:history="1">
        <w:r w:rsidRPr="00AA343C">
          <w:rPr>
            <w:rStyle w:val="Hyperlink"/>
            <w:rFonts w:ascii="Times New Roman" w:hAnsi="Times New Roman" w:cs="Times New Roman"/>
            <w:sz w:val="24"/>
            <w:szCs w:val="24"/>
            <w:vertAlign w:val="baseline"/>
          </w:rPr>
          <w:t>http://www.ghana.gov.gh/index.php/about-ghana/regions/northern&gt;</w:t>
        </w:r>
      </w:hyperlink>
      <w:r w:rsidRPr="00672137">
        <w:rPr>
          <w:rFonts w:ascii="Times New Roman" w:hAnsi="Times New Roman" w:cs="Times New Roman"/>
          <w:sz w:val="24"/>
          <w:szCs w:val="24"/>
          <w:vertAlign w:val="baseline"/>
        </w:rPr>
        <w:t xml:space="preserve"> accessed 5 November 2014</w:t>
      </w:r>
    </w:p>
    <w:p w14:paraId="2A7DFAB0" w14:textId="77777777" w:rsidR="00922D5A" w:rsidRDefault="00922D5A" w:rsidP="002823A1">
      <w:pPr>
        <w:rPr>
          <w:rFonts w:ascii="Times New Roman" w:hAnsi="Times New Roman" w:cs="Times New Roman"/>
          <w:sz w:val="24"/>
          <w:szCs w:val="24"/>
          <w:vertAlign w:val="baseline"/>
        </w:rPr>
      </w:pPr>
    </w:p>
    <w:p w14:paraId="086A1D54" w14:textId="77777777" w:rsidR="002823A1" w:rsidRPr="00672137" w:rsidRDefault="002823A1" w:rsidP="002823A1">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 xml:space="preserve">Government of Nepal, </w:t>
      </w:r>
      <w:r>
        <w:rPr>
          <w:rFonts w:ascii="Times New Roman" w:hAnsi="Times New Roman" w:cs="Times New Roman"/>
          <w:sz w:val="24"/>
          <w:szCs w:val="24"/>
          <w:vertAlign w:val="baseline"/>
        </w:rPr>
        <w:t>‘</w:t>
      </w:r>
      <w:r w:rsidRPr="00672137">
        <w:rPr>
          <w:rFonts w:ascii="Times New Roman" w:hAnsi="Times New Roman" w:cs="Times New Roman"/>
          <w:sz w:val="24"/>
          <w:szCs w:val="24"/>
          <w:vertAlign w:val="baseline"/>
        </w:rPr>
        <w:t>National Population and Housing Census 2011</w:t>
      </w:r>
      <w:r>
        <w:rPr>
          <w:rFonts w:ascii="Times New Roman" w:hAnsi="Times New Roman" w:cs="Times New Roman"/>
          <w:sz w:val="24"/>
          <w:szCs w:val="24"/>
          <w:vertAlign w:val="baseline"/>
        </w:rPr>
        <w:t>’</w:t>
      </w:r>
      <w:r w:rsidRPr="00672137">
        <w:rPr>
          <w:rFonts w:ascii="Times New Roman" w:hAnsi="Times New Roman" w:cs="Times New Roman"/>
          <w:sz w:val="24"/>
          <w:szCs w:val="24"/>
          <w:vertAlign w:val="baseline"/>
        </w:rPr>
        <w:t xml:space="preserve"> (Central Bureau of Statistics, November 2012) &lt;</w:t>
      </w:r>
      <w:hyperlink r:id="rId55" w:history="1">
        <w:r w:rsidRPr="00CB19BC">
          <w:rPr>
            <w:rStyle w:val="Hyperlink"/>
            <w:rFonts w:ascii="Times New Roman" w:hAnsi="Times New Roman" w:cs="Times New Roman"/>
            <w:sz w:val="24"/>
            <w:szCs w:val="24"/>
            <w:vertAlign w:val="baseline"/>
          </w:rPr>
          <w:t>http://cbs.gov.np/wp-content/uploads/2012/11/National%20Report.pdf&gt; a</w:t>
        </w:r>
      </w:hyperlink>
      <w:r w:rsidRPr="00672137">
        <w:rPr>
          <w:rFonts w:ascii="Times New Roman" w:hAnsi="Times New Roman" w:cs="Times New Roman"/>
          <w:sz w:val="24"/>
          <w:szCs w:val="24"/>
          <w:vertAlign w:val="baseline"/>
        </w:rPr>
        <w:t>ccessed 26 August 2015</w:t>
      </w:r>
    </w:p>
    <w:p w14:paraId="77A4CD6F" w14:textId="77777777" w:rsidR="002823A1" w:rsidRDefault="002823A1" w:rsidP="003E2C58">
      <w:pPr>
        <w:rPr>
          <w:rFonts w:ascii="Times New Roman" w:hAnsi="Times New Roman" w:cs="Times New Roman"/>
          <w:sz w:val="24"/>
          <w:szCs w:val="24"/>
          <w:vertAlign w:val="baseline"/>
        </w:rPr>
      </w:pPr>
    </w:p>
    <w:p w14:paraId="73723DE0"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Griffiths</w:t>
      </w:r>
      <w:r>
        <w:rPr>
          <w:rFonts w:ascii="Times New Roman" w:hAnsi="Times New Roman" w:cs="Times New Roman"/>
          <w:sz w:val="24"/>
          <w:szCs w:val="24"/>
          <w:vertAlign w:val="baseline"/>
        </w:rPr>
        <w:t xml:space="preserve"> J</w:t>
      </w:r>
      <w:r w:rsidRPr="00672137">
        <w:rPr>
          <w:rFonts w:ascii="Times New Roman" w:hAnsi="Times New Roman" w:cs="Times New Roman"/>
          <w:sz w:val="24"/>
          <w:szCs w:val="24"/>
          <w:vertAlign w:val="baseline"/>
        </w:rPr>
        <w:t xml:space="preserve">, ‘What is Legal Pluralism’ (1986) 24 </w:t>
      </w:r>
      <w:r>
        <w:rPr>
          <w:rFonts w:ascii="Times New Roman" w:hAnsi="Times New Roman" w:cs="Times New Roman"/>
          <w:sz w:val="24"/>
          <w:szCs w:val="24"/>
          <w:vertAlign w:val="baseline"/>
        </w:rPr>
        <w:t>J Legal Plur 1</w:t>
      </w:r>
    </w:p>
    <w:p w14:paraId="00BCC106" w14:textId="77777777" w:rsidR="003E2C58" w:rsidRDefault="003E2C58" w:rsidP="003E2C58">
      <w:pPr>
        <w:rPr>
          <w:rFonts w:ascii="Times New Roman" w:hAnsi="Times New Roman" w:cs="Times New Roman"/>
          <w:sz w:val="24"/>
          <w:szCs w:val="24"/>
          <w:vertAlign w:val="baseline"/>
        </w:rPr>
      </w:pPr>
    </w:p>
    <w:p w14:paraId="6445C663"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Hannam</w:t>
      </w:r>
      <w:r>
        <w:rPr>
          <w:rFonts w:ascii="Times New Roman" w:hAnsi="Times New Roman" w:cs="Times New Roman"/>
          <w:sz w:val="24"/>
          <w:szCs w:val="24"/>
          <w:vertAlign w:val="baseline"/>
        </w:rPr>
        <w:t xml:space="preserve"> J</w:t>
      </w:r>
      <w:r w:rsidRPr="00672137">
        <w:rPr>
          <w:rFonts w:ascii="Times New Roman" w:hAnsi="Times New Roman" w:cs="Times New Roman"/>
          <w:sz w:val="24"/>
          <w:szCs w:val="24"/>
          <w:vertAlign w:val="baseline"/>
        </w:rPr>
        <w:t>, ‘The Decline and End of Witch Trials in Europe’ (2003) Bede’s Library &lt;</w:t>
      </w:r>
      <w:hyperlink r:id="rId56" w:history="1">
        <w:r w:rsidRPr="00ED272A">
          <w:rPr>
            <w:rStyle w:val="Hyperlink"/>
            <w:rFonts w:ascii="Times New Roman" w:hAnsi="Times New Roman" w:cs="Times New Roman"/>
            <w:sz w:val="24"/>
            <w:szCs w:val="24"/>
            <w:vertAlign w:val="baseline"/>
          </w:rPr>
          <w:t>http://www.bede.org.uk/decline.htm&gt;</w:t>
        </w:r>
      </w:hyperlink>
      <w:r w:rsidRPr="00672137">
        <w:rPr>
          <w:rFonts w:ascii="Times New Roman" w:hAnsi="Times New Roman" w:cs="Times New Roman"/>
          <w:sz w:val="24"/>
          <w:szCs w:val="24"/>
          <w:vertAlign w:val="baseline"/>
        </w:rPr>
        <w:t xml:space="preserve"> accessed 22 September 2014.</w:t>
      </w:r>
    </w:p>
    <w:p w14:paraId="63D8C18B" w14:textId="77777777" w:rsidR="003E2C58" w:rsidRDefault="003E2C58" w:rsidP="003E2C58">
      <w:pPr>
        <w:rPr>
          <w:rFonts w:ascii="Times New Roman" w:hAnsi="Times New Roman" w:cs="Times New Roman"/>
          <w:sz w:val="24"/>
          <w:szCs w:val="24"/>
          <w:vertAlign w:val="baseline"/>
        </w:rPr>
      </w:pPr>
    </w:p>
    <w:p w14:paraId="0D85E749" w14:textId="30300ECA" w:rsidR="003E2C58" w:rsidRDefault="002823A1" w:rsidP="003E2C58">
      <w:pPr>
        <w:rPr>
          <w:rFonts w:ascii="Times New Roman" w:hAnsi="Times New Roman" w:cs="Times New Roman"/>
          <w:sz w:val="24"/>
          <w:szCs w:val="24"/>
          <w:vertAlign w:val="baseline"/>
        </w:rPr>
      </w:pPr>
      <w:r>
        <w:rPr>
          <w:rFonts w:ascii="Times New Roman" w:hAnsi="Times New Roman" w:cs="Times New Roman"/>
          <w:sz w:val="24"/>
          <w:szCs w:val="24"/>
          <w:vertAlign w:val="baseline"/>
        </w:rPr>
        <w:t>Hannam</w:t>
      </w:r>
      <w:r w:rsidR="003E2C58">
        <w:rPr>
          <w:rFonts w:ascii="Times New Roman" w:hAnsi="Times New Roman" w:cs="Times New Roman"/>
          <w:sz w:val="24"/>
          <w:szCs w:val="24"/>
          <w:vertAlign w:val="baseline"/>
        </w:rPr>
        <w:t xml:space="preserve"> J</w:t>
      </w:r>
      <w:r w:rsidR="003E2C58" w:rsidRPr="00672137">
        <w:rPr>
          <w:rFonts w:ascii="Times New Roman" w:hAnsi="Times New Roman" w:cs="Times New Roman"/>
          <w:sz w:val="24"/>
          <w:szCs w:val="24"/>
          <w:vertAlign w:val="baseline"/>
        </w:rPr>
        <w:t xml:space="preserve">, </w:t>
      </w:r>
      <w:r w:rsidR="003E2C58" w:rsidRPr="00F35EBF">
        <w:rPr>
          <w:rFonts w:ascii="Times New Roman" w:hAnsi="Times New Roman" w:cs="Times New Roman"/>
          <w:i/>
          <w:sz w:val="24"/>
          <w:szCs w:val="24"/>
          <w:vertAlign w:val="baseline"/>
        </w:rPr>
        <w:t>God’s Philosophers: How the Medieval World Laid the Foundations of Modern Science</w:t>
      </w:r>
      <w:r w:rsidR="003E2C58" w:rsidRPr="00672137">
        <w:rPr>
          <w:rFonts w:ascii="Times New Roman" w:hAnsi="Times New Roman" w:cs="Times New Roman"/>
          <w:sz w:val="24"/>
          <w:szCs w:val="24"/>
          <w:vertAlign w:val="baseline"/>
        </w:rPr>
        <w:t xml:space="preserve"> (Icon Books 2009)</w:t>
      </w:r>
    </w:p>
    <w:p w14:paraId="6506A3AC" w14:textId="77777777" w:rsidR="003E2C58" w:rsidRDefault="003E2C58" w:rsidP="003E2C58">
      <w:pPr>
        <w:rPr>
          <w:rFonts w:ascii="Times New Roman" w:hAnsi="Times New Roman" w:cs="Times New Roman"/>
          <w:sz w:val="24"/>
          <w:szCs w:val="24"/>
          <w:vertAlign w:val="baseline"/>
        </w:rPr>
      </w:pPr>
    </w:p>
    <w:p w14:paraId="4AC1FA9D"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Hannam</w:t>
      </w:r>
      <w:r>
        <w:rPr>
          <w:rFonts w:ascii="Times New Roman" w:hAnsi="Times New Roman" w:cs="Times New Roman"/>
          <w:sz w:val="24"/>
          <w:szCs w:val="24"/>
          <w:vertAlign w:val="baseline"/>
        </w:rPr>
        <w:t xml:space="preserve"> J</w:t>
      </w:r>
      <w:r w:rsidRPr="00672137">
        <w:rPr>
          <w:rFonts w:ascii="Times New Roman" w:hAnsi="Times New Roman" w:cs="Times New Roman"/>
          <w:sz w:val="24"/>
          <w:szCs w:val="24"/>
          <w:vertAlign w:val="baseline"/>
        </w:rPr>
        <w:t xml:space="preserve">, </w:t>
      </w:r>
      <w:r w:rsidRPr="00F35EBF">
        <w:rPr>
          <w:rFonts w:ascii="Times New Roman" w:hAnsi="Times New Roman" w:cs="Times New Roman"/>
          <w:i/>
          <w:sz w:val="24"/>
          <w:szCs w:val="24"/>
          <w:vertAlign w:val="baseline"/>
        </w:rPr>
        <w:t>The Genesis of Science: How the Christian Ages Launches the Scientific Revolution</w:t>
      </w:r>
      <w:r>
        <w:rPr>
          <w:rFonts w:ascii="Times New Roman" w:hAnsi="Times New Roman" w:cs="Times New Roman"/>
          <w:sz w:val="24"/>
          <w:szCs w:val="24"/>
          <w:vertAlign w:val="baseline"/>
        </w:rPr>
        <w:t xml:space="preserve"> (Regnery Publishing 2011)</w:t>
      </w:r>
    </w:p>
    <w:p w14:paraId="0EB83FEA" w14:textId="77777777" w:rsidR="003E2C58" w:rsidRDefault="003E2C58" w:rsidP="003E2C58">
      <w:pPr>
        <w:rPr>
          <w:rFonts w:ascii="Times New Roman" w:hAnsi="Times New Roman" w:cs="Times New Roman"/>
          <w:sz w:val="24"/>
          <w:szCs w:val="24"/>
          <w:vertAlign w:val="baseline"/>
        </w:rPr>
      </w:pPr>
    </w:p>
    <w:p w14:paraId="224AFECE" w14:textId="77777777" w:rsidR="002823A1" w:rsidRPr="00672137" w:rsidRDefault="002823A1" w:rsidP="002823A1">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Hanson</w:t>
      </w:r>
      <w:r>
        <w:rPr>
          <w:rFonts w:ascii="Times New Roman" w:hAnsi="Times New Roman" w:cs="Times New Roman"/>
          <w:sz w:val="24"/>
          <w:szCs w:val="24"/>
          <w:vertAlign w:val="baseline"/>
        </w:rPr>
        <w:t xml:space="preserve"> K and Ruggiero</w:t>
      </w:r>
      <w:r w:rsidRPr="00672137">
        <w:rPr>
          <w:rFonts w:ascii="Times New Roman" w:hAnsi="Times New Roman" w:cs="Times New Roman"/>
          <w:sz w:val="24"/>
          <w:szCs w:val="24"/>
          <w:vertAlign w:val="baseline"/>
        </w:rPr>
        <w:t xml:space="preserve"> </w:t>
      </w:r>
      <w:r>
        <w:rPr>
          <w:rFonts w:ascii="Times New Roman" w:hAnsi="Times New Roman" w:cs="Times New Roman"/>
          <w:sz w:val="24"/>
          <w:szCs w:val="24"/>
          <w:vertAlign w:val="baseline"/>
        </w:rPr>
        <w:t xml:space="preserve">R, </w:t>
      </w:r>
      <w:r w:rsidRPr="00672137">
        <w:rPr>
          <w:rFonts w:ascii="Times New Roman" w:hAnsi="Times New Roman" w:cs="Times New Roman"/>
          <w:sz w:val="24"/>
          <w:szCs w:val="24"/>
          <w:vertAlign w:val="baseline"/>
        </w:rPr>
        <w:t xml:space="preserve">‘Briefing Paper Child Witchcraft Allegations and Human Rights’ </w:t>
      </w:r>
      <w:r>
        <w:rPr>
          <w:rFonts w:ascii="Times New Roman" w:hAnsi="Times New Roman" w:cs="Times New Roman"/>
          <w:sz w:val="24"/>
          <w:szCs w:val="24"/>
          <w:vertAlign w:val="baseline"/>
        </w:rPr>
        <w:t>(</w:t>
      </w:r>
      <w:r w:rsidRPr="00672137">
        <w:rPr>
          <w:rFonts w:ascii="Times New Roman" w:hAnsi="Times New Roman" w:cs="Times New Roman"/>
          <w:sz w:val="24"/>
          <w:szCs w:val="24"/>
          <w:vertAlign w:val="baseline"/>
        </w:rPr>
        <w:t xml:space="preserve">Directorate-General for External Policies of the Union </w:t>
      </w:r>
      <w:r>
        <w:rPr>
          <w:rFonts w:ascii="Times New Roman" w:hAnsi="Times New Roman" w:cs="Times New Roman"/>
          <w:sz w:val="24"/>
          <w:szCs w:val="24"/>
          <w:vertAlign w:val="baseline"/>
        </w:rPr>
        <w:t xml:space="preserve">Directorate B Policy Department, 2013) </w:t>
      </w:r>
      <w:r w:rsidRPr="00672137">
        <w:rPr>
          <w:rFonts w:ascii="Times New Roman" w:hAnsi="Times New Roman" w:cs="Times New Roman"/>
          <w:sz w:val="24"/>
          <w:szCs w:val="24"/>
          <w:vertAlign w:val="baseline"/>
        </w:rPr>
        <w:t>&lt;</w:t>
      </w:r>
      <w:hyperlink r:id="rId57" w:history="1">
        <w:r w:rsidRPr="0075146F">
          <w:rPr>
            <w:rStyle w:val="Hyperlink"/>
            <w:rFonts w:ascii="Times New Roman" w:hAnsi="Times New Roman" w:cs="Times New Roman"/>
            <w:sz w:val="24"/>
            <w:szCs w:val="24"/>
            <w:vertAlign w:val="baseline"/>
          </w:rPr>
          <w:t>http://www.europarl.europa.eu/RegData/etudes/note/join/2013/433714/EXPO-DROI_NT(2013)433714_EN.pdf&gt;</w:t>
        </w:r>
      </w:hyperlink>
      <w:r>
        <w:rPr>
          <w:rFonts w:ascii="Times New Roman" w:hAnsi="Times New Roman" w:cs="Times New Roman"/>
          <w:sz w:val="24"/>
          <w:szCs w:val="24"/>
          <w:vertAlign w:val="baseline"/>
        </w:rPr>
        <w:t xml:space="preserve"> accessed 28</w:t>
      </w:r>
      <w:r w:rsidRPr="0075146F">
        <w:rPr>
          <w:rFonts w:ascii="Times New Roman" w:hAnsi="Times New Roman" w:cs="Times New Roman"/>
          <w:sz w:val="24"/>
          <w:szCs w:val="24"/>
        </w:rPr>
        <w:t>th</w:t>
      </w:r>
      <w:r>
        <w:rPr>
          <w:rFonts w:ascii="Times New Roman" w:hAnsi="Times New Roman" w:cs="Times New Roman"/>
          <w:sz w:val="24"/>
          <w:szCs w:val="24"/>
          <w:vertAlign w:val="baseline"/>
        </w:rPr>
        <w:t xml:space="preserve"> April 2014</w:t>
      </w:r>
    </w:p>
    <w:p w14:paraId="3EB43466" w14:textId="77777777" w:rsidR="002823A1" w:rsidRDefault="002823A1" w:rsidP="003E2C58">
      <w:pPr>
        <w:rPr>
          <w:rFonts w:ascii="Times New Roman" w:hAnsi="Times New Roman" w:cs="Times New Roman"/>
          <w:sz w:val="24"/>
          <w:szCs w:val="24"/>
          <w:vertAlign w:val="baseline"/>
        </w:rPr>
      </w:pPr>
    </w:p>
    <w:p w14:paraId="4D78B68B"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Hasan</w:t>
      </w:r>
      <w:r>
        <w:rPr>
          <w:rFonts w:ascii="Times New Roman" w:hAnsi="Times New Roman" w:cs="Times New Roman"/>
          <w:sz w:val="24"/>
          <w:szCs w:val="24"/>
          <w:vertAlign w:val="baseline"/>
        </w:rPr>
        <w:t xml:space="preserve"> Z</w:t>
      </w:r>
      <w:r w:rsidRPr="00672137">
        <w:rPr>
          <w:rFonts w:ascii="Times New Roman" w:hAnsi="Times New Roman" w:cs="Times New Roman"/>
          <w:sz w:val="24"/>
          <w:szCs w:val="24"/>
          <w:vertAlign w:val="baseline"/>
        </w:rPr>
        <w:t xml:space="preserve">, ‘Diversity and Democracy in India’ (Discussion paper, 9th EU-India Round Table, European Economic and Social </w:t>
      </w:r>
      <w:r>
        <w:rPr>
          <w:rFonts w:ascii="Times New Roman" w:hAnsi="Times New Roman" w:cs="Times New Roman"/>
          <w:sz w:val="24"/>
          <w:szCs w:val="24"/>
          <w:vertAlign w:val="baseline"/>
        </w:rPr>
        <w:t xml:space="preserve">Committee, 18 September 2005) </w:t>
      </w:r>
      <w:r w:rsidRPr="00672137">
        <w:rPr>
          <w:rFonts w:ascii="Times New Roman" w:hAnsi="Times New Roman" w:cs="Times New Roman"/>
          <w:sz w:val="24"/>
          <w:szCs w:val="24"/>
          <w:vertAlign w:val="baseline"/>
        </w:rPr>
        <w:t>&lt;</w:t>
      </w:r>
      <w:hyperlink r:id="rId58" w:history="1">
        <w:r w:rsidRPr="00A427E4">
          <w:rPr>
            <w:rStyle w:val="Hyperlink"/>
            <w:rFonts w:ascii="Times New Roman" w:hAnsi="Times New Roman" w:cs="Times New Roman"/>
            <w:sz w:val="24"/>
            <w:szCs w:val="24"/>
            <w:vertAlign w:val="baseline"/>
          </w:rPr>
          <w:t>http://www.eesc.europa.eu/?i=portal.en.eu-india-ninth-round-table-reports.5148&gt;</w:t>
        </w:r>
      </w:hyperlink>
      <w:r w:rsidRPr="00672137">
        <w:rPr>
          <w:rFonts w:ascii="Times New Roman" w:hAnsi="Times New Roman" w:cs="Times New Roman"/>
          <w:sz w:val="24"/>
          <w:szCs w:val="24"/>
          <w:vertAlign w:val="baseline"/>
        </w:rPr>
        <w:t xml:space="preserve"> accessed 25 August 2015</w:t>
      </w:r>
    </w:p>
    <w:p w14:paraId="2AFFD7BA" w14:textId="77777777" w:rsidR="003E2C58" w:rsidRDefault="003E2C58" w:rsidP="003E2C58">
      <w:pPr>
        <w:rPr>
          <w:rFonts w:ascii="Times New Roman" w:hAnsi="Times New Roman" w:cs="Times New Roman"/>
          <w:sz w:val="24"/>
          <w:szCs w:val="24"/>
          <w:vertAlign w:val="baseline"/>
        </w:rPr>
      </w:pPr>
    </w:p>
    <w:p w14:paraId="3403BD42"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Hellum</w:t>
      </w:r>
      <w:r>
        <w:rPr>
          <w:rFonts w:ascii="Times New Roman" w:hAnsi="Times New Roman" w:cs="Times New Roman"/>
          <w:sz w:val="24"/>
          <w:szCs w:val="24"/>
          <w:vertAlign w:val="baseline"/>
        </w:rPr>
        <w:t xml:space="preserve"> A, </w:t>
      </w:r>
      <w:r w:rsidRPr="00672137">
        <w:rPr>
          <w:rFonts w:ascii="Times New Roman" w:hAnsi="Times New Roman" w:cs="Times New Roman"/>
          <w:sz w:val="24"/>
          <w:szCs w:val="24"/>
          <w:vertAlign w:val="baseline"/>
        </w:rPr>
        <w:t>Sinding Aasen</w:t>
      </w:r>
      <w:r>
        <w:rPr>
          <w:rFonts w:ascii="Times New Roman" w:hAnsi="Times New Roman" w:cs="Times New Roman"/>
          <w:sz w:val="24"/>
          <w:szCs w:val="24"/>
          <w:vertAlign w:val="baseline"/>
        </w:rPr>
        <w:t xml:space="preserve"> H</w:t>
      </w:r>
      <w:r w:rsidRPr="00672137">
        <w:rPr>
          <w:rFonts w:ascii="Times New Roman" w:hAnsi="Times New Roman" w:cs="Times New Roman"/>
          <w:sz w:val="24"/>
          <w:szCs w:val="24"/>
          <w:vertAlign w:val="baseline"/>
        </w:rPr>
        <w:t xml:space="preserve">, </w:t>
      </w:r>
      <w:r w:rsidRPr="00C2707E">
        <w:rPr>
          <w:rFonts w:ascii="Times New Roman" w:hAnsi="Times New Roman" w:cs="Times New Roman"/>
          <w:i/>
          <w:sz w:val="24"/>
          <w:szCs w:val="24"/>
          <w:vertAlign w:val="baseline"/>
        </w:rPr>
        <w:t>Women’s Human Rights: CEDAW in International, Regional and National Law</w:t>
      </w:r>
      <w:r>
        <w:rPr>
          <w:rFonts w:ascii="Times New Roman" w:hAnsi="Times New Roman" w:cs="Times New Roman"/>
          <w:sz w:val="24"/>
          <w:szCs w:val="24"/>
          <w:vertAlign w:val="baseline"/>
        </w:rPr>
        <w:t xml:space="preserve"> (CUP 2013)</w:t>
      </w:r>
    </w:p>
    <w:p w14:paraId="2998B565" w14:textId="77777777" w:rsidR="00E8651F" w:rsidRDefault="00E8651F" w:rsidP="003E2C58">
      <w:pPr>
        <w:rPr>
          <w:rFonts w:ascii="Times New Roman" w:hAnsi="Times New Roman" w:cs="Times New Roman"/>
          <w:sz w:val="24"/>
          <w:szCs w:val="24"/>
          <w:vertAlign w:val="baseline"/>
        </w:rPr>
      </w:pPr>
    </w:p>
    <w:p w14:paraId="6D010819"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Hester</w:t>
      </w:r>
      <w:r>
        <w:rPr>
          <w:rFonts w:ascii="Times New Roman" w:hAnsi="Times New Roman" w:cs="Times New Roman"/>
          <w:sz w:val="24"/>
          <w:szCs w:val="24"/>
          <w:vertAlign w:val="baseline"/>
        </w:rPr>
        <w:t xml:space="preserve"> M</w:t>
      </w:r>
      <w:r w:rsidRPr="00672137">
        <w:rPr>
          <w:rFonts w:ascii="Times New Roman" w:hAnsi="Times New Roman" w:cs="Times New Roman"/>
          <w:sz w:val="24"/>
          <w:szCs w:val="24"/>
          <w:vertAlign w:val="baseline"/>
        </w:rPr>
        <w:t xml:space="preserve">, </w:t>
      </w:r>
      <w:r w:rsidRPr="007229C9">
        <w:rPr>
          <w:rFonts w:ascii="Times New Roman" w:hAnsi="Times New Roman" w:cs="Times New Roman"/>
          <w:i/>
          <w:sz w:val="24"/>
          <w:szCs w:val="24"/>
          <w:vertAlign w:val="baseline"/>
        </w:rPr>
        <w:t>Lewd Women and Wicked Witches: A Study of the Dynamics of Male Domination</w:t>
      </w:r>
      <w:r>
        <w:rPr>
          <w:rFonts w:ascii="Times New Roman" w:hAnsi="Times New Roman" w:cs="Times New Roman"/>
          <w:sz w:val="24"/>
          <w:szCs w:val="24"/>
          <w:vertAlign w:val="baseline"/>
        </w:rPr>
        <w:t xml:space="preserve"> (Routledge 1992)</w:t>
      </w:r>
    </w:p>
    <w:p w14:paraId="5BA09AFF" w14:textId="77777777" w:rsidR="003E2C58" w:rsidRDefault="003E2C58" w:rsidP="003E2C58">
      <w:pPr>
        <w:rPr>
          <w:rFonts w:ascii="Times New Roman" w:hAnsi="Times New Roman" w:cs="Times New Roman"/>
          <w:sz w:val="24"/>
          <w:szCs w:val="24"/>
          <w:vertAlign w:val="baseline"/>
        </w:rPr>
      </w:pPr>
    </w:p>
    <w:p w14:paraId="662D8DB8" w14:textId="77777777" w:rsidR="008658D3" w:rsidRPr="00672137" w:rsidRDefault="008658D3" w:rsidP="008658D3">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Highlands Women’s Human Rights Defenders Network &lt;</w:t>
      </w:r>
      <w:hyperlink r:id="rId59" w:anchor="!about_us/csgz" w:history="1">
        <w:r w:rsidRPr="004877C8">
          <w:rPr>
            <w:rStyle w:val="Hyperlink"/>
            <w:rFonts w:ascii="Times New Roman" w:hAnsi="Times New Roman" w:cs="Times New Roman"/>
            <w:sz w:val="24"/>
            <w:szCs w:val="24"/>
            <w:vertAlign w:val="baseline"/>
          </w:rPr>
          <w:t>http://womenrightsdefenders.wix.com/papuanewguinea - !about_us/csgz</w:t>
        </w:r>
      </w:hyperlink>
      <w:r>
        <w:rPr>
          <w:rFonts w:ascii="Times New Roman" w:hAnsi="Times New Roman" w:cs="Times New Roman"/>
          <w:sz w:val="24"/>
          <w:szCs w:val="24"/>
          <w:vertAlign w:val="baseline"/>
        </w:rPr>
        <w:t xml:space="preserve">&gt; </w:t>
      </w:r>
      <w:r w:rsidRPr="00672137">
        <w:rPr>
          <w:rFonts w:ascii="Times New Roman" w:hAnsi="Times New Roman" w:cs="Times New Roman"/>
          <w:sz w:val="24"/>
          <w:szCs w:val="24"/>
          <w:vertAlign w:val="baseline"/>
        </w:rPr>
        <w:t>accessed 8 September 2015</w:t>
      </w:r>
    </w:p>
    <w:p w14:paraId="24BF9E6D" w14:textId="77777777" w:rsidR="008658D3" w:rsidRDefault="008658D3" w:rsidP="00D011D1">
      <w:pPr>
        <w:rPr>
          <w:rFonts w:ascii="Times New Roman" w:hAnsi="Times New Roman" w:cs="Times New Roman"/>
          <w:sz w:val="24"/>
          <w:szCs w:val="24"/>
          <w:vertAlign w:val="baseline"/>
        </w:rPr>
      </w:pPr>
    </w:p>
    <w:p w14:paraId="59182E5D" w14:textId="77777777" w:rsidR="00D011D1" w:rsidRDefault="00D011D1" w:rsidP="00D011D1">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Hill</w:t>
      </w:r>
      <w:r>
        <w:rPr>
          <w:rFonts w:ascii="Times New Roman" w:hAnsi="Times New Roman" w:cs="Times New Roman"/>
          <w:sz w:val="24"/>
          <w:szCs w:val="24"/>
          <w:vertAlign w:val="baseline"/>
        </w:rPr>
        <w:t xml:space="preserve"> B</w:t>
      </w:r>
      <w:r w:rsidRPr="00672137">
        <w:rPr>
          <w:rFonts w:ascii="Times New Roman" w:hAnsi="Times New Roman" w:cs="Times New Roman"/>
          <w:sz w:val="24"/>
          <w:szCs w:val="24"/>
          <w:vertAlign w:val="baseline"/>
        </w:rPr>
        <w:t xml:space="preserve">, ‘PNG police lack manpower to fight escalating tribal violence in Hela province, commander says’ </w:t>
      </w:r>
      <w:r w:rsidRPr="00DA7C82">
        <w:rPr>
          <w:rFonts w:ascii="Times New Roman" w:hAnsi="Times New Roman" w:cs="Times New Roman"/>
          <w:i/>
          <w:sz w:val="24"/>
          <w:szCs w:val="24"/>
          <w:vertAlign w:val="baseline"/>
        </w:rPr>
        <w:t>ABC News</w:t>
      </w:r>
      <w:r w:rsidRPr="00672137">
        <w:rPr>
          <w:rFonts w:ascii="Times New Roman" w:hAnsi="Times New Roman" w:cs="Times New Roman"/>
          <w:sz w:val="24"/>
          <w:szCs w:val="24"/>
          <w:vertAlign w:val="baseline"/>
        </w:rPr>
        <w:t xml:space="preserve"> (PNG, 13 November 2014) &lt;</w:t>
      </w:r>
      <w:hyperlink r:id="rId60" w:history="1">
        <w:r w:rsidRPr="00DA7C82">
          <w:rPr>
            <w:rStyle w:val="Hyperlink"/>
            <w:rFonts w:ascii="Times New Roman" w:hAnsi="Times New Roman" w:cs="Times New Roman"/>
            <w:sz w:val="24"/>
            <w:szCs w:val="24"/>
            <w:vertAlign w:val="baseline"/>
          </w:rPr>
          <w:t>http://www.abc.net.au/news/2014-11-13/png-police-lack-manpower-to-halt-escalating-tribal-war/5889886&gt;</w:t>
        </w:r>
      </w:hyperlink>
      <w:r w:rsidRPr="00672137">
        <w:rPr>
          <w:rFonts w:ascii="Times New Roman" w:hAnsi="Times New Roman" w:cs="Times New Roman"/>
          <w:sz w:val="24"/>
          <w:szCs w:val="24"/>
          <w:vertAlign w:val="baseline"/>
        </w:rPr>
        <w:t xml:space="preserve"> accessed 26 August 2015</w:t>
      </w:r>
    </w:p>
    <w:p w14:paraId="371C7097" w14:textId="77777777" w:rsidR="00D011D1" w:rsidRDefault="00D011D1" w:rsidP="003E2C58">
      <w:pPr>
        <w:rPr>
          <w:rFonts w:ascii="Times New Roman" w:hAnsi="Times New Roman" w:cs="Times New Roman"/>
          <w:sz w:val="24"/>
          <w:szCs w:val="24"/>
          <w:vertAlign w:val="baseline"/>
        </w:rPr>
      </w:pPr>
    </w:p>
    <w:p w14:paraId="1C54029C" w14:textId="77777777" w:rsidR="008416B0" w:rsidRDefault="008416B0" w:rsidP="008416B0">
      <w:pPr>
        <w:rPr>
          <w:rFonts w:ascii="Times New Roman" w:hAnsi="Times New Roman" w:cs="Times New Roman"/>
          <w:sz w:val="24"/>
          <w:szCs w:val="24"/>
          <w:vertAlign w:val="baseline"/>
        </w:rPr>
      </w:pPr>
      <w:r w:rsidRPr="00F97F26">
        <w:rPr>
          <w:rFonts w:ascii="Times New Roman" w:hAnsi="Times New Roman" w:cs="Times New Roman"/>
          <w:sz w:val="24"/>
          <w:szCs w:val="24"/>
          <w:vertAlign w:val="baseline"/>
        </w:rPr>
        <w:t>Hollis</w:t>
      </w:r>
      <w:r>
        <w:rPr>
          <w:rFonts w:ascii="Times New Roman" w:hAnsi="Times New Roman" w:cs="Times New Roman"/>
          <w:sz w:val="24"/>
          <w:szCs w:val="24"/>
          <w:vertAlign w:val="baseline"/>
        </w:rPr>
        <w:t xml:space="preserve"> DB</w:t>
      </w:r>
      <w:r w:rsidRPr="00F97F26">
        <w:rPr>
          <w:rFonts w:ascii="Times New Roman" w:hAnsi="Times New Roman" w:cs="Times New Roman"/>
          <w:sz w:val="24"/>
          <w:szCs w:val="24"/>
          <w:vertAlign w:val="baseline"/>
        </w:rPr>
        <w:t xml:space="preserve">, </w:t>
      </w:r>
      <w:r w:rsidRPr="00F97F26">
        <w:rPr>
          <w:rFonts w:ascii="Times New Roman" w:hAnsi="Times New Roman" w:cs="Times New Roman"/>
          <w:i/>
          <w:sz w:val="24"/>
          <w:szCs w:val="24"/>
          <w:vertAlign w:val="baseline"/>
        </w:rPr>
        <w:t xml:space="preserve">The Oxford Guide to </w:t>
      </w:r>
      <w:r w:rsidRPr="00F97F26">
        <w:rPr>
          <w:rFonts w:ascii="Times New Roman" w:hAnsi="Times New Roman" w:cs="Times New Roman"/>
          <w:sz w:val="24"/>
          <w:szCs w:val="24"/>
          <w:vertAlign w:val="baseline"/>
        </w:rPr>
        <w:t>Treaties (OUP 2012)</w:t>
      </w:r>
    </w:p>
    <w:p w14:paraId="795DBE21" w14:textId="77777777" w:rsidR="008416B0" w:rsidRDefault="008416B0" w:rsidP="003E2C58">
      <w:pPr>
        <w:rPr>
          <w:rFonts w:ascii="Times New Roman" w:hAnsi="Times New Roman" w:cs="Times New Roman"/>
          <w:sz w:val="24"/>
          <w:szCs w:val="24"/>
          <w:vertAlign w:val="baseline"/>
        </w:rPr>
      </w:pPr>
    </w:p>
    <w:p w14:paraId="3B67027A"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Hood</w:t>
      </w:r>
      <w:r>
        <w:rPr>
          <w:rFonts w:ascii="Times New Roman" w:hAnsi="Times New Roman" w:cs="Times New Roman"/>
          <w:sz w:val="24"/>
          <w:szCs w:val="24"/>
          <w:vertAlign w:val="baseline"/>
        </w:rPr>
        <w:t xml:space="preserve"> B</w:t>
      </w:r>
      <w:r w:rsidRPr="00672137">
        <w:rPr>
          <w:rFonts w:ascii="Times New Roman" w:hAnsi="Times New Roman" w:cs="Times New Roman"/>
          <w:sz w:val="24"/>
          <w:szCs w:val="24"/>
          <w:vertAlign w:val="baseline"/>
        </w:rPr>
        <w:t xml:space="preserve">, </w:t>
      </w:r>
      <w:r w:rsidRPr="00900F8E">
        <w:rPr>
          <w:rFonts w:ascii="Times New Roman" w:hAnsi="Times New Roman" w:cs="Times New Roman"/>
          <w:i/>
          <w:sz w:val="24"/>
          <w:szCs w:val="24"/>
          <w:vertAlign w:val="baseline"/>
        </w:rPr>
        <w:t>Supersense: From Superstition to Religion – the Brain Science of Belief</w:t>
      </w:r>
      <w:r w:rsidRPr="00672137">
        <w:rPr>
          <w:rFonts w:ascii="Times New Roman" w:hAnsi="Times New Roman" w:cs="Times New Roman"/>
          <w:sz w:val="24"/>
          <w:szCs w:val="24"/>
          <w:vertAlign w:val="baseline"/>
        </w:rPr>
        <w:t xml:space="preserve"> (HarperCollins 2009)</w:t>
      </w:r>
    </w:p>
    <w:p w14:paraId="79D6D3FD" w14:textId="77777777" w:rsidR="003E2C58" w:rsidRDefault="003E2C58" w:rsidP="003E2C58">
      <w:pPr>
        <w:rPr>
          <w:rFonts w:ascii="Times New Roman" w:hAnsi="Times New Roman" w:cs="Times New Roman"/>
          <w:sz w:val="24"/>
          <w:szCs w:val="24"/>
          <w:vertAlign w:val="baseline"/>
        </w:rPr>
      </w:pPr>
    </w:p>
    <w:p w14:paraId="5BE31468" w14:textId="49900653" w:rsidR="000A675B" w:rsidRPr="000A675B" w:rsidRDefault="000A675B" w:rsidP="003E2C58">
      <w:pPr>
        <w:rPr>
          <w:rFonts w:ascii="Times New Roman" w:hAnsi="Times New Roman" w:cs="Times New Roman"/>
          <w:sz w:val="24"/>
          <w:szCs w:val="24"/>
          <w:vertAlign w:val="baseline"/>
        </w:rPr>
      </w:pPr>
      <w:r w:rsidRPr="000A675B">
        <w:rPr>
          <w:rFonts w:ascii="Times New Roman" w:hAnsi="Times New Roman" w:cs="Times New Roman"/>
          <w:sz w:val="24"/>
          <w:szCs w:val="24"/>
          <w:vertAlign w:val="baseline"/>
          <w:lang w:val="en-US"/>
        </w:rPr>
        <w:t>Holtmaat</w:t>
      </w:r>
      <w:r w:rsidRPr="000A675B">
        <w:rPr>
          <w:rFonts w:ascii="Times New Roman" w:hAnsi="Times New Roman" w:cs="Times New Roman"/>
          <w:sz w:val="24"/>
          <w:szCs w:val="24"/>
          <w:vertAlign w:val="baseline"/>
          <w:lang w:val="en-US"/>
        </w:rPr>
        <w:t xml:space="preserve"> R</w:t>
      </w:r>
      <w:r w:rsidRPr="000A675B">
        <w:rPr>
          <w:rFonts w:ascii="Times New Roman" w:hAnsi="Times New Roman" w:cs="Times New Roman"/>
          <w:sz w:val="24"/>
          <w:szCs w:val="24"/>
          <w:vertAlign w:val="baseline"/>
          <w:lang w:val="en-US"/>
        </w:rPr>
        <w:t xml:space="preserve">, ‘The CEDAW: a holistic approach to women’s equality and freedom’ in </w:t>
      </w:r>
      <w:r w:rsidRPr="000A675B">
        <w:rPr>
          <w:rFonts w:ascii="Times New Roman" w:hAnsi="Times New Roman" w:cs="Times New Roman"/>
          <w:sz w:val="24"/>
          <w:szCs w:val="24"/>
          <w:vertAlign w:val="baseline"/>
        </w:rPr>
        <w:t>Hellum</w:t>
      </w:r>
      <w:r w:rsidRPr="000A675B">
        <w:rPr>
          <w:rFonts w:ascii="Times New Roman" w:hAnsi="Times New Roman" w:cs="Times New Roman"/>
          <w:sz w:val="24"/>
          <w:szCs w:val="24"/>
          <w:vertAlign w:val="baseline"/>
        </w:rPr>
        <w:t xml:space="preserve"> A</w:t>
      </w:r>
      <w:r w:rsidRPr="000A675B">
        <w:rPr>
          <w:rFonts w:ascii="Times New Roman" w:hAnsi="Times New Roman" w:cs="Times New Roman"/>
          <w:sz w:val="24"/>
          <w:szCs w:val="24"/>
          <w:vertAlign w:val="baseline"/>
        </w:rPr>
        <w:t xml:space="preserve"> and  Sinding Aasen</w:t>
      </w:r>
      <w:r w:rsidRPr="000A675B">
        <w:rPr>
          <w:rFonts w:ascii="Times New Roman" w:hAnsi="Times New Roman" w:cs="Times New Roman"/>
          <w:sz w:val="24"/>
          <w:szCs w:val="24"/>
          <w:vertAlign w:val="baseline"/>
        </w:rPr>
        <w:t xml:space="preserve"> H</w:t>
      </w:r>
      <w:r w:rsidRPr="000A675B">
        <w:rPr>
          <w:rFonts w:ascii="Times New Roman" w:hAnsi="Times New Roman" w:cs="Times New Roman"/>
          <w:sz w:val="24"/>
          <w:szCs w:val="24"/>
          <w:vertAlign w:val="baseline"/>
        </w:rPr>
        <w:t xml:space="preserve">, </w:t>
      </w:r>
      <w:r w:rsidRPr="000A675B">
        <w:rPr>
          <w:rFonts w:ascii="Times New Roman" w:hAnsi="Times New Roman" w:cs="Times New Roman"/>
          <w:i/>
          <w:sz w:val="24"/>
          <w:szCs w:val="24"/>
          <w:vertAlign w:val="baseline"/>
        </w:rPr>
        <w:t>Women’s Human Rights: CEDAW in International, Regional and National Law</w:t>
      </w:r>
      <w:r w:rsidRPr="000A675B">
        <w:rPr>
          <w:rFonts w:ascii="Times New Roman" w:hAnsi="Times New Roman" w:cs="Times New Roman"/>
          <w:sz w:val="24"/>
          <w:szCs w:val="24"/>
          <w:vertAlign w:val="baseline"/>
        </w:rPr>
        <w:t xml:space="preserve"> (CUP 2013)</w:t>
      </w:r>
    </w:p>
    <w:p w14:paraId="354F83AE" w14:textId="77777777" w:rsidR="000A675B" w:rsidRDefault="000A675B" w:rsidP="003E2C58">
      <w:pPr>
        <w:rPr>
          <w:rFonts w:ascii="Times New Roman" w:hAnsi="Times New Roman" w:cs="Times New Roman"/>
          <w:sz w:val="24"/>
          <w:szCs w:val="24"/>
          <w:vertAlign w:val="baseline"/>
        </w:rPr>
      </w:pPr>
    </w:p>
    <w:p w14:paraId="418F90AA"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Hossain</w:t>
      </w:r>
      <w:r>
        <w:rPr>
          <w:rFonts w:ascii="Times New Roman" w:hAnsi="Times New Roman" w:cs="Times New Roman"/>
          <w:sz w:val="24"/>
          <w:szCs w:val="24"/>
          <w:vertAlign w:val="baseline"/>
        </w:rPr>
        <w:t xml:space="preserve"> S</w:t>
      </w:r>
      <w:r w:rsidRPr="00672137">
        <w:rPr>
          <w:rFonts w:ascii="Times New Roman" w:hAnsi="Times New Roman" w:cs="Times New Roman"/>
          <w:sz w:val="24"/>
          <w:szCs w:val="24"/>
          <w:vertAlign w:val="baseline"/>
        </w:rPr>
        <w:t>, ‘Women’s Rights and Personal L</w:t>
      </w:r>
      <w:r>
        <w:rPr>
          <w:rFonts w:ascii="Times New Roman" w:hAnsi="Times New Roman" w:cs="Times New Roman"/>
          <w:sz w:val="24"/>
          <w:szCs w:val="24"/>
          <w:vertAlign w:val="baseline"/>
        </w:rPr>
        <w:t xml:space="preserve">aws in South Asia’ in </w:t>
      </w:r>
      <w:r w:rsidRPr="00672137">
        <w:rPr>
          <w:rFonts w:ascii="Times New Roman" w:hAnsi="Times New Roman" w:cs="Times New Roman"/>
          <w:sz w:val="24"/>
          <w:szCs w:val="24"/>
          <w:vertAlign w:val="baseline"/>
        </w:rPr>
        <w:t xml:space="preserve">Cook </w:t>
      </w:r>
      <w:r>
        <w:rPr>
          <w:rFonts w:ascii="Times New Roman" w:hAnsi="Times New Roman" w:cs="Times New Roman"/>
          <w:sz w:val="24"/>
          <w:szCs w:val="24"/>
          <w:vertAlign w:val="baseline"/>
        </w:rPr>
        <w:t xml:space="preserve">RJ </w:t>
      </w:r>
      <w:r w:rsidRPr="00672137">
        <w:rPr>
          <w:rFonts w:ascii="Times New Roman" w:hAnsi="Times New Roman" w:cs="Times New Roman"/>
          <w:sz w:val="24"/>
          <w:szCs w:val="24"/>
          <w:vertAlign w:val="baseline"/>
        </w:rPr>
        <w:t xml:space="preserve">(ed) </w:t>
      </w:r>
      <w:r w:rsidRPr="002436E4">
        <w:rPr>
          <w:rFonts w:ascii="Times New Roman" w:hAnsi="Times New Roman" w:cs="Times New Roman"/>
          <w:i/>
          <w:sz w:val="24"/>
          <w:szCs w:val="24"/>
          <w:vertAlign w:val="baseline"/>
        </w:rPr>
        <w:t>Human Rights of Women: National and International Perspectives</w:t>
      </w:r>
      <w:r>
        <w:rPr>
          <w:rFonts w:ascii="Times New Roman" w:hAnsi="Times New Roman" w:cs="Times New Roman"/>
          <w:sz w:val="24"/>
          <w:szCs w:val="24"/>
          <w:vertAlign w:val="baseline"/>
        </w:rPr>
        <w:t xml:space="preserve"> (Pennsylvania UP 2007)</w:t>
      </w:r>
    </w:p>
    <w:p w14:paraId="56FD5AD2" w14:textId="77777777" w:rsidR="00944A9F" w:rsidRDefault="00944A9F" w:rsidP="00944A9F">
      <w:pPr>
        <w:rPr>
          <w:rFonts w:ascii="Times New Roman" w:hAnsi="Times New Roman" w:cs="Times New Roman"/>
          <w:sz w:val="24"/>
          <w:szCs w:val="24"/>
          <w:vertAlign w:val="baseline"/>
        </w:rPr>
      </w:pPr>
    </w:p>
    <w:p w14:paraId="64508102" w14:textId="77777777" w:rsidR="00944A9F" w:rsidRDefault="00944A9F" w:rsidP="00944A9F">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HRC, ‘Initiatives taken to raise awareness and promote the protection of the rights of persons with albinism’ 29th session HRC, 12 June 2015 A/HRC/29/CRP.2</w:t>
      </w:r>
    </w:p>
    <w:p w14:paraId="7F72085C" w14:textId="77777777" w:rsidR="00944A9F" w:rsidRDefault="00944A9F" w:rsidP="00944A9F">
      <w:pPr>
        <w:rPr>
          <w:rFonts w:ascii="Times New Roman" w:hAnsi="Times New Roman" w:cs="Times New Roman"/>
          <w:sz w:val="24"/>
          <w:szCs w:val="24"/>
          <w:vertAlign w:val="baseline"/>
        </w:rPr>
      </w:pPr>
    </w:p>
    <w:p w14:paraId="54B79B12" w14:textId="77777777" w:rsidR="00944A9F" w:rsidRPr="00672137" w:rsidRDefault="00944A9F" w:rsidP="00944A9F">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HRC ‘Institution-building of the United Nations Human Rights Council’ HRC Resolution 5/1 18 June 2007.</w:t>
      </w:r>
    </w:p>
    <w:p w14:paraId="22C4DFE0" w14:textId="77777777" w:rsidR="00944A9F" w:rsidRDefault="00944A9F" w:rsidP="00944A9F">
      <w:pPr>
        <w:rPr>
          <w:rFonts w:ascii="Times New Roman" w:hAnsi="Times New Roman" w:cs="Times New Roman"/>
          <w:sz w:val="24"/>
          <w:szCs w:val="24"/>
          <w:vertAlign w:val="baseline"/>
        </w:rPr>
      </w:pPr>
    </w:p>
    <w:p w14:paraId="75CD6226" w14:textId="77777777" w:rsidR="00944A9F" w:rsidRDefault="00944A9F" w:rsidP="00944A9F">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HRC, ‘Report of the Human Rights Council Advisory Committee on the study on the situation of human rights of persons living with albinism’ 28th Session HRC, 10 February 2015 A/HRC/28/75</w:t>
      </w:r>
    </w:p>
    <w:p w14:paraId="633B3A79" w14:textId="77777777" w:rsidR="00944A9F" w:rsidRDefault="00944A9F" w:rsidP="00944A9F">
      <w:pPr>
        <w:rPr>
          <w:rFonts w:ascii="Times New Roman" w:hAnsi="Times New Roman" w:cs="Times New Roman"/>
          <w:sz w:val="24"/>
          <w:szCs w:val="24"/>
          <w:vertAlign w:val="baseline"/>
        </w:rPr>
      </w:pPr>
    </w:p>
    <w:p w14:paraId="5BB151CA" w14:textId="3C9B9165" w:rsidR="00F17591" w:rsidRDefault="00F17591" w:rsidP="00944A9F">
      <w:pPr>
        <w:rPr>
          <w:rFonts w:ascii="Times New Roman" w:hAnsi="Times New Roman" w:cs="Times New Roman"/>
          <w:sz w:val="24"/>
          <w:szCs w:val="24"/>
          <w:vertAlign w:val="baseline"/>
        </w:rPr>
      </w:pPr>
      <w:r w:rsidRPr="00F97F26">
        <w:rPr>
          <w:rFonts w:ascii="Times New Roman" w:hAnsi="Times New Roman" w:cs="Times New Roman"/>
          <w:sz w:val="24"/>
          <w:szCs w:val="24"/>
          <w:vertAlign w:val="baseline"/>
        </w:rPr>
        <w:t>HRC, ‘Report of the Human Rights Council on its eighteenth session’ 22 October 2012 A/HRC/18/2</w:t>
      </w:r>
    </w:p>
    <w:p w14:paraId="3725A676" w14:textId="77777777" w:rsidR="00F17591" w:rsidRDefault="00F17591" w:rsidP="00944A9F">
      <w:pPr>
        <w:rPr>
          <w:rFonts w:ascii="Times New Roman" w:hAnsi="Times New Roman" w:cs="Times New Roman"/>
          <w:sz w:val="24"/>
          <w:szCs w:val="24"/>
          <w:vertAlign w:val="baseline"/>
        </w:rPr>
      </w:pPr>
    </w:p>
    <w:p w14:paraId="723F18BC" w14:textId="77777777" w:rsidR="00944A9F" w:rsidRPr="00672137" w:rsidRDefault="00944A9F" w:rsidP="00944A9F">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HRC, ‘Report of the Special Rapporteur on extrajudicial, summary or arbitrary executions, Philip Alston: Promotion and Protection of All Human Rights, Civil Political, Economic, Social and Cultural Rights, including the Right to Development’ 27 May 2009, A/HRC/11/2</w:t>
      </w:r>
    </w:p>
    <w:p w14:paraId="79A4C9E5" w14:textId="77777777" w:rsidR="00944A9F" w:rsidRDefault="00944A9F" w:rsidP="00944A9F">
      <w:pPr>
        <w:rPr>
          <w:rFonts w:ascii="Times New Roman" w:hAnsi="Times New Roman" w:cs="Times New Roman"/>
          <w:sz w:val="24"/>
          <w:szCs w:val="24"/>
          <w:vertAlign w:val="baseline"/>
        </w:rPr>
      </w:pPr>
    </w:p>
    <w:p w14:paraId="41E26215" w14:textId="77777777" w:rsidR="00944A9F" w:rsidRDefault="00944A9F" w:rsidP="00944A9F">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HRC, ‘Report of the Special Rapporteur on extrajudicial, summary or arbitrary executions, Ms. Asma Jahangir, submitted pursuant to Commission on Human Rights resolution 2000/31: Mission to Nepal’ 9 August 2001, E/CN.4/2001/9/Add.2</w:t>
      </w:r>
    </w:p>
    <w:p w14:paraId="24D99E44" w14:textId="77777777" w:rsidR="00944A9F" w:rsidRDefault="00944A9F" w:rsidP="00944A9F">
      <w:pPr>
        <w:rPr>
          <w:rFonts w:ascii="Times New Roman" w:hAnsi="Times New Roman" w:cs="Times New Roman"/>
          <w:sz w:val="24"/>
          <w:szCs w:val="24"/>
          <w:vertAlign w:val="baseline"/>
        </w:rPr>
      </w:pPr>
    </w:p>
    <w:p w14:paraId="4B9959FD" w14:textId="77777777" w:rsidR="00944A9F" w:rsidRDefault="00944A9F" w:rsidP="00944A9F">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HRC, ‘Report of the Special Rapporteur on extrajudicial, summary or arbitrary executions, Christof Heyns: Mission to Papua New Guinea (3 to 14 March 2014)’ 30 March 2015, A/HRC/29/37/Add.1</w:t>
      </w:r>
    </w:p>
    <w:p w14:paraId="551E1D18" w14:textId="77777777" w:rsidR="00944A9F" w:rsidRDefault="00944A9F" w:rsidP="00944A9F">
      <w:pPr>
        <w:rPr>
          <w:rFonts w:ascii="Times New Roman" w:hAnsi="Times New Roman" w:cs="Times New Roman"/>
          <w:sz w:val="24"/>
          <w:szCs w:val="24"/>
          <w:vertAlign w:val="baseline"/>
        </w:rPr>
      </w:pPr>
    </w:p>
    <w:p w14:paraId="7F4F07EB" w14:textId="77777777" w:rsidR="00944A9F" w:rsidRDefault="00944A9F" w:rsidP="00944A9F">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HRC, ‘Report of the Special Rapporteur on extrajudicial, summary or arbitrary executions, Christof Heyns: Mission to India’ 26 April 2013, A/HRC/23/47/Add.1</w:t>
      </w:r>
    </w:p>
    <w:p w14:paraId="15EFB949" w14:textId="77777777" w:rsidR="00944A9F" w:rsidRDefault="00944A9F" w:rsidP="00944A9F">
      <w:pPr>
        <w:rPr>
          <w:rFonts w:ascii="Times New Roman" w:hAnsi="Times New Roman" w:cs="Times New Roman"/>
          <w:sz w:val="24"/>
          <w:szCs w:val="24"/>
          <w:vertAlign w:val="baseline"/>
        </w:rPr>
      </w:pPr>
    </w:p>
    <w:p w14:paraId="28A3E330" w14:textId="77777777" w:rsidR="00944A9F" w:rsidRDefault="00944A9F" w:rsidP="00944A9F">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HRC, ‘Report of the Special Rapporteur on extrajudicial, summary or arbitrary executions, Christof Heyns: Follow-up to country recommendations: India’ 6 May 2015, A/HRC/29/37/Add.3</w:t>
      </w:r>
    </w:p>
    <w:p w14:paraId="324F6EB9" w14:textId="77777777" w:rsidR="00944A9F" w:rsidRDefault="00944A9F" w:rsidP="00944A9F">
      <w:pPr>
        <w:rPr>
          <w:rFonts w:ascii="Times New Roman" w:hAnsi="Times New Roman" w:cs="Times New Roman"/>
          <w:sz w:val="24"/>
          <w:szCs w:val="24"/>
          <w:vertAlign w:val="baseline"/>
        </w:rPr>
      </w:pPr>
    </w:p>
    <w:p w14:paraId="2C577138" w14:textId="77777777" w:rsidR="00944A9F" w:rsidRDefault="00944A9F" w:rsidP="00944A9F">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 xml:space="preserve">HRC, ‘Report of the Special Rapporteur on extrajudicial, summary or arbitrary executions, Philip Alston: Promotion and Protection of All Human Rights, Civil Political, Economic, Social and Cultural Rights, including the Right to Development’ </w:t>
      </w:r>
      <w:r>
        <w:rPr>
          <w:rFonts w:ascii="Times New Roman" w:hAnsi="Times New Roman" w:cs="Times New Roman"/>
          <w:sz w:val="24"/>
          <w:szCs w:val="24"/>
          <w:vertAlign w:val="baseline"/>
        </w:rPr>
        <w:t>27 May 2009, A/HRC/11/2</w:t>
      </w:r>
    </w:p>
    <w:p w14:paraId="319F4C28" w14:textId="77777777" w:rsidR="00944A9F" w:rsidRDefault="00944A9F" w:rsidP="00944A9F">
      <w:pPr>
        <w:rPr>
          <w:rFonts w:ascii="Times New Roman" w:hAnsi="Times New Roman" w:cs="Times New Roman"/>
          <w:sz w:val="24"/>
          <w:szCs w:val="24"/>
          <w:vertAlign w:val="baseline"/>
        </w:rPr>
      </w:pPr>
    </w:p>
    <w:p w14:paraId="47397A11" w14:textId="77777777" w:rsidR="00944A9F" w:rsidRDefault="00944A9F" w:rsidP="00944A9F">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HRC, ‘Report by the Special Rapporteur on torture and other cruel, inhuman or degrading treatment or punishment, Manfred Nowak: Mission to Nepal’ 9 January 2006, E/CN.4/2006/6/Add.5</w:t>
      </w:r>
    </w:p>
    <w:p w14:paraId="030CA85C" w14:textId="77777777" w:rsidR="00944A9F" w:rsidRDefault="00944A9F" w:rsidP="00944A9F">
      <w:pPr>
        <w:rPr>
          <w:rFonts w:ascii="Times New Roman" w:hAnsi="Times New Roman" w:cs="Times New Roman"/>
          <w:sz w:val="24"/>
          <w:szCs w:val="24"/>
          <w:vertAlign w:val="baseline"/>
        </w:rPr>
      </w:pPr>
    </w:p>
    <w:p w14:paraId="17A37E28" w14:textId="77777777" w:rsidR="00944A9F" w:rsidRPr="00672137" w:rsidRDefault="00944A9F" w:rsidP="00944A9F">
      <w:pPr>
        <w:rPr>
          <w:rFonts w:ascii="Times New Roman" w:hAnsi="Times New Roman" w:cs="Times New Roman"/>
          <w:sz w:val="24"/>
          <w:szCs w:val="24"/>
          <w:vertAlign w:val="baseline"/>
        </w:rPr>
      </w:pPr>
      <w:r>
        <w:rPr>
          <w:rFonts w:ascii="Times New Roman" w:hAnsi="Times New Roman" w:cs="Times New Roman"/>
          <w:sz w:val="24"/>
          <w:szCs w:val="24"/>
          <w:vertAlign w:val="baseline"/>
        </w:rPr>
        <w:t>HRC</w:t>
      </w:r>
      <w:r w:rsidRPr="00672137">
        <w:rPr>
          <w:rFonts w:ascii="Times New Roman" w:hAnsi="Times New Roman" w:cs="Times New Roman"/>
          <w:sz w:val="24"/>
          <w:szCs w:val="24"/>
          <w:vertAlign w:val="baseline"/>
        </w:rPr>
        <w:t xml:space="preserve">, Report of the Special Rapporteur on torture and other cruel, </w:t>
      </w:r>
    </w:p>
    <w:p w14:paraId="762B88DD" w14:textId="77777777" w:rsidR="00944A9F" w:rsidRDefault="00944A9F" w:rsidP="00944A9F">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inhuman or degrading treatment or punishmen</w:t>
      </w:r>
      <w:r>
        <w:rPr>
          <w:rFonts w:ascii="Times New Roman" w:hAnsi="Times New Roman" w:cs="Times New Roman"/>
          <w:sz w:val="24"/>
          <w:szCs w:val="24"/>
          <w:vertAlign w:val="baseline"/>
        </w:rPr>
        <w:t xml:space="preserve">t: Mission to Papua New Guinea’ </w:t>
      </w:r>
      <w:r w:rsidRPr="00672137">
        <w:rPr>
          <w:rFonts w:ascii="Times New Roman" w:hAnsi="Times New Roman" w:cs="Times New Roman"/>
          <w:sz w:val="24"/>
          <w:szCs w:val="24"/>
          <w:vertAlign w:val="baseline"/>
        </w:rPr>
        <w:t>7 February 2011</w:t>
      </w:r>
      <w:r>
        <w:rPr>
          <w:rFonts w:ascii="Times New Roman" w:hAnsi="Times New Roman" w:cs="Times New Roman"/>
          <w:sz w:val="24"/>
          <w:szCs w:val="24"/>
          <w:vertAlign w:val="baseline"/>
        </w:rPr>
        <w:t>, A/HRC/16/52/Add 5</w:t>
      </w:r>
    </w:p>
    <w:p w14:paraId="7F2E904D" w14:textId="77777777" w:rsidR="00944A9F" w:rsidRDefault="00944A9F" w:rsidP="00944A9F">
      <w:pPr>
        <w:rPr>
          <w:rFonts w:ascii="Times New Roman" w:hAnsi="Times New Roman" w:cs="Times New Roman"/>
          <w:sz w:val="24"/>
          <w:szCs w:val="24"/>
          <w:vertAlign w:val="baseline"/>
        </w:rPr>
      </w:pPr>
    </w:p>
    <w:p w14:paraId="3862CA4A" w14:textId="77777777" w:rsidR="00944A9F" w:rsidRDefault="00944A9F" w:rsidP="00944A9F">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HRC, ‘Report by the Special Rapporteur on torture and other cruel, inhuman or degrading treatment or punishment, Juan E. Mendez: Mission to Ghana’ 5 March 2014, A/HRC/25/60/Add.1</w:t>
      </w:r>
    </w:p>
    <w:p w14:paraId="40F75D83" w14:textId="77777777" w:rsidR="00944A9F" w:rsidRDefault="00944A9F" w:rsidP="00944A9F">
      <w:pPr>
        <w:rPr>
          <w:rFonts w:ascii="Times New Roman" w:hAnsi="Times New Roman" w:cs="Times New Roman"/>
          <w:sz w:val="24"/>
          <w:szCs w:val="24"/>
          <w:vertAlign w:val="baseline"/>
        </w:rPr>
      </w:pPr>
    </w:p>
    <w:p w14:paraId="6CCB4241" w14:textId="77777777" w:rsidR="00944A9F" w:rsidRPr="00672137" w:rsidRDefault="00944A9F" w:rsidP="00944A9F">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 xml:space="preserve">HRC, ‘Report of the Special Rapporteur on violence against women, its causes and consequences, Ms. Radhika Coomaraswamy, in accordance with Commission on Human Rights resolution 2000/45: </w:t>
      </w:r>
    </w:p>
    <w:p w14:paraId="4CB9A562" w14:textId="77777777" w:rsidR="00944A9F" w:rsidRPr="00672137" w:rsidRDefault="00944A9F" w:rsidP="00944A9F">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Mission to Bangladesh, Nepal and India on the issue of trafficking of women and girls (28 October-15 November 2000)’ 6 February 2001, E/CN.4/2001/73/Add.2</w:t>
      </w:r>
    </w:p>
    <w:p w14:paraId="090A7E7E" w14:textId="77777777" w:rsidR="00944A9F" w:rsidRDefault="00944A9F" w:rsidP="00944A9F">
      <w:pPr>
        <w:rPr>
          <w:rFonts w:ascii="Times New Roman" w:hAnsi="Times New Roman" w:cs="Times New Roman"/>
          <w:sz w:val="24"/>
          <w:szCs w:val="24"/>
          <w:vertAlign w:val="baseline"/>
        </w:rPr>
      </w:pPr>
    </w:p>
    <w:p w14:paraId="72A34BBC" w14:textId="77777777" w:rsidR="00944A9F" w:rsidRDefault="00944A9F" w:rsidP="00944A9F">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HRC, ‘Report of the Special Rapporteur on violence against women, its causes and consequences, Yakin Erturk: Mission to Ghana’ 21 February 2008, A/HRC/7/6/Add.</w:t>
      </w:r>
      <w:r>
        <w:rPr>
          <w:rFonts w:ascii="Times New Roman" w:hAnsi="Times New Roman" w:cs="Times New Roman"/>
          <w:sz w:val="24"/>
          <w:szCs w:val="24"/>
          <w:vertAlign w:val="baseline"/>
        </w:rPr>
        <w:t>3</w:t>
      </w:r>
    </w:p>
    <w:p w14:paraId="7D9D72B0" w14:textId="77777777" w:rsidR="00944A9F" w:rsidRDefault="00944A9F" w:rsidP="00944A9F">
      <w:pPr>
        <w:rPr>
          <w:rFonts w:ascii="Times New Roman" w:hAnsi="Times New Roman" w:cs="Times New Roman"/>
          <w:sz w:val="24"/>
          <w:szCs w:val="24"/>
          <w:vertAlign w:val="baseline"/>
        </w:rPr>
      </w:pPr>
    </w:p>
    <w:p w14:paraId="1C45D2D6" w14:textId="77777777" w:rsidR="00944A9F" w:rsidRPr="00672137" w:rsidRDefault="00944A9F" w:rsidP="00944A9F">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 xml:space="preserve">HRC, ‘Report of the Special Rapporteur on violence against women, its causes and consequences, Rashida Manjoo’ 18 March 2013, A/HRC/23/49/Add.2 </w:t>
      </w:r>
    </w:p>
    <w:p w14:paraId="3DB609D3" w14:textId="77777777" w:rsidR="00944A9F" w:rsidRDefault="00944A9F" w:rsidP="00944A9F">
      <w:pPr>
        <w:rPr>
          <w:rFonts w:ascii="Times New Roman" w:hAnsi="Times New Roman" w:cs="Times New Roman"/>
          <w:sz w:val="24"/>
          <w:szCs w:val="24"/>
          <w:vertAlign w:val="baseline"/>
        </w:rPr>
      </w:pPr>
    </w:p>
    <w:p w14:paraId="0BA3B255" w14:textId="77777777" w:rsidR="00944A9F" w:rsidRDefault="00944A9F" w:rsidP="00944A9F">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HRC, ‘Report of the Special Rapporteur on violence against women, its causes and consequences, Rashida Manjoo: Mission to India’ 1 April 2014, A/HRC/26/38/Add.1</w:t>
      </w:r>
    </w:p>
    <w:p w14:paraId="21FD0FB8" w14:textId="77777777" w:rsidR="00944A9F" w:rsidRDefault="00944A9F" w:rsidP="00944A9F">
      <w:pPr>
        <w:rPr>
          <w:rFonts w:ascii="Times New Roman" w:hAnsi="Times New Roman" w:cs="Times New Roman"/>
          <w:sz w:val="24"/>
          <w:szCs w:val="24"/>
          <w:vertAlign w:val="baseline"/>
        </w:rPr>
      </w:pPr>
    </w:p>
    <w:p w14:paraId="0450B919" w14:textId="77777777" w:rsidR="00944A9F" w:rsidRDefault="00944A9F" w:rsidP="00944A9F">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HRC, ‘Report of the Special Rapporteur on violence against women, its causes and consequences, Rashida Manjoo: Mission to India: comments by the State on the report of the Special Rapporteur’ 6 June 2014, A/HRC/26/38/Add.4</w:t>
      </w:r>
    </w:p>
    <w:p w14:paraId="27D9B0DA" w14:textId="77777777" w:rsidR="00944A9F" w:rsidRDefault="00944A9F" w:rsidP="00944A9F">
      <w:pPr>
        <w:rPr>
          <w:rFonts w:ascii="Times New Roman" w:hAnsi="Times New Roman" w:cs="Times New Roman"/>
          <w:sz w:val="24"/>
          <w:szCs w:val="24"/>
          <w:vertAlign w:val="baseline"/>
        </w:rPr>
      </w:pPr>
    </w:p>
    <w:p w14:paraId="65625A95" w14:textId="77777777" w:rsidR="00944A9F" w:rsidRDefault="00944A9F" w:rsidP="00944A9F">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HRC, ‘Report of the Working Group on the Universal Periodic Review: Ghana’ 13 December 2012 A/HRC/22/6, para 66</w:t>
      </w:r>
    </w:p>
    <w:p w14:paraId="0939F999" w14:textId="77777777" w:rsidR="00944A9F" w:rsidRDefault="00944A9F" w:rsidP="00944A9F">
      <w:pPr>
        <w:rPr>
          <w:rFonts w:ascii="Times New Roman" w:hAnsi="Times New Roman" w:cs="Times New Roman"/>
          <w:sz w:val="24"/>
          <w:szCs w:val="24"/>
          <w:vertAlign w:val="baseline"/>
        </w:rPr>
      </w:pPr>
    </w:p>
    <w:p w14:paraId="1029128A" w14:textId="77777777" w:rsidR="00944A9F" w:rsidRPr="00672137" w:rsidRDefault="00944A9F" w:rsidP="00944A9F">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HRC, ‘Report of the Working Group on the Universal Periodic Review: India’ 9 July 2012 A/HRC/21/10</w:t>
      </w:r>
    </w:p>
    <w:p w14:paraId="12B8F534" w14:textId="77777777" w:rsidR="00944A9F" w:rsidRDefault="00944A9F" w:rsidP="00944A9F">
      <w:pPr>
        <w:rPr>
          <w:rFonts w:ascii="Times New Roman" w:hAnsi="Times New Roman" w:cs="Times New Roman"/>
          <w:sz w:val="24"/>
          <w:szCs w:val="24"/>
          <w:vertAlign w:val="baseline"/>
        </w:rPr>
      </w:pPr>
    </w:p>
    <w:p w14:paraId="5CA380CA" w14:textId="77777777" w:rsidR="00944A9F" w:rsidRPr="00672137" w:rsidRDefault="00944A9F" w:rsidP="00944A9F">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HRC, ‘Report of the Working Group on the Universal Periodic Review: Nepal’ 8 March 2011 A/HRC/17/5</w:t>
      </w:r>
    </w:p>
    <w:p w14:paraId="0790A85E" w14:textId="77777777" w:rsidR="00944A9F" w:rsidRPr="00672137" w:rsidRDefault="00944A9F" w:rsidP="00944A9F">
      <w:pPr>
        <w:rPr>
          <w:rFonts w:ascii="Times New Roman" w:hAnsi="Times New Roman" w:cs="Times New Roman"/>
          <w:sz w:val="24"/>
          <w:szCs w:val="24"/>
          <w:vertAlign w:val="baseline"/>
        </w:rPr>
      </w:pPr>
    </w:p>
    <w:p w14:paraId="5397CF9A" w14:textId="77777777" w:rsidR="00944A9F" w:rsidRPr="00672137" w:rsidRDefault="00944A9F" w:rsidP="00944A9F">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HRC, ‘Report of the Working Group on the Universal Periodic Review: Papua New Guinea’ 11 July 2011 A/HRC/18/18</w:t>
      </w:r>
    </w:p>
    <w:p w14:paraId="02041C4B" w14:textId="77777777" w:rsidR="00944A9F" w:rsidRDefault="00944A9F" w:rsidP="00944A9F">
      <w:pPr>
        <w:rPr>
          <w:rFonts w:ascii="Times New Roman" w:hAnsi="Times New Roman" w:cs="Times New Roman"/>
          <w:sz w:val="24"/>
          <w:szCs w:val="24"/>
          <w:vertAlign w:val="baseline"/>
        </w:rPr>
      </w:pPr>
    </w:p>
    <w:p w14:paraId="72BE1873" w14:textId="77777777" w:rsidR="00944A9F" w:rsidRDefault="00944A9F" w:rsidP="00944A9F">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HRC Resolution 23/13 ‘Attacks and discrimination against persons with Albinism’ ado</w:t>
      </w:r>
      <w:r>
        <w:rPr>
          <w:rFonts w:ascii="Times New Roman" w:hAnsi="Times New Roman" w:cs="Times New Roman"/>
          <w:sz w:val="24"/>
          <w:szCs w:val="24"/>
          <w:vertAlign w:val="baseline"/>
        </w:rPr>
        <w:t>pted June 2013 A/HRC/RES/23/13</w:t>
      </w:r>
    </w:p>
    <w:p w14:paraId="01BCDE42" w14:textId="77777777" w:rsidR="00944A9F" w:rsidRDefault="00944A9F" w:rsidP="00944A9F">
      <w:pPr>
        <w:rPr>
          <w:rFonts w:ascii="Times New Roman" w:hAnsi="Times New Roman" w:cs="Times New Roman"/>
          <w:sz w:val="24"/>
          <w:szCs w:val="24"/>
          <w:vertAlign w:val="baseline"/>
        </w:rPr>
      </w:pPr>
    </w:p>
    <w:p w14:paraId="45A7325D" w14:textId="77777777" w:rsidR="00944A9F" w:rsidRDefault="00944A9F" w:rsidP="00944A9F">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HRC Resolution 24/33 ‘Technical cooperation for the prevention of attacks against persons with albinism’ adopted 27</w:t>
      </w:r>
      <w:r>
        <w:rPr>
          <w:rFonts w:ascii="Times New Roman" w:hAnsi="Times New Roman" w:cs="Times New Roman"/>
          <w:sz w:val="24"/>
          <w:szCs w:val="24"/>
          <w:vertAlign w:val="baseline"/>
        </w:rPr>
        <w:t xml:space="preserve"> September 2013 A/HRC/RES/24/33</w:t>
      </w:r>
    </w:p>
    <w:p w14:paraId="3A43EFF5" w14:textId="77777777" w:rsidR="00944A9F" w:rsidRDefault="00944A9F" w:rsidP="00944A9F">
      <w:pPr>
        <w:rPr>
          <w:rFonts w:ascii="Times New Roman" w:hAnsi="Times New Roman" w:cs="Times New Roman"/>
          <w:sz w:val="24"/>
          <w:szCs w:val="24"/>
          <w:vertAlign w:val="baseline"/>
        </w:rPr>
      </w:pPr>
    </w:p>
    <w:p w14:paraId="5B595023" w14:textId="77777777" w:rsidR="00944A9F" w:rsidRDefault="00944A9F" w:rsidP="00944A9F">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HRC Resolution 26/10 ‘International Albinism Awareness Day’ adopte</w:t>
      </w:r>
      <w:r>
        <w:rPr>
          <w:rFonts w:ascii="Times New Roman" w:hAnsi="Times New Roman" w:cs="Times New Roman"/>
          <w:sz w:val="24"/>
          <w:szCs w:val="24"/>
          <w:vertAlign w:val="baseline"/>
        </w:rPr>
        <w:t>d 26 June 2014 A/HRC/RES/26/10</w:t>
      </w:r>
    </w:p>
    <w:p w14:paraId="0C642928" w14:textId="77777777" w:rsidR="00944A9F" w:rsidRDefault="00944A9F" w:rsidP="00944A9F">
      <w:pPr>
        <w:rPr>
          <w:rFonts w:ascii="Times New Roman" w:hAnsi="Times New Roman" w:cs="Times New Roman"/>
          <w:sz w:val="24"/>
          <w:szCs w:val="24"/>
          <w:vertAlign w:val="baseline"/>
        </w:rPr>
      </w:pPr>
    </w:p>
    <w:p w14:paraId="798BA038" w14:textId="77777777" w:rsidR="00944A9F" w:rsidRDefault="00944A9F" w:rsidP="00944A9F">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HRC Resolution 28/6 ‘Independent Expert on the enjoyment of human rights by persons with Albinism’ adopted 26 March 2015 A/HRC/RES/28/6</w:t>
      </w:r>
    </w:p>
    <w:p w14:paraId="7C8E897D" w14:textId="77777777" w:rsidR="00944A9F" w:rsidRDefault="00944A9F" w:rsidP="00944A9F">
      <w:pPr>
        <w:rPr>
          <w:rFonts w:ascii="Times New Roman" w:hAnsi="Times New Roman" w:cs="Times New Roman"/>
          <w:sz w:val="24"/>
          <w:szCs w:val="24"/>
          <w:vertAlign w:val="baseline"/>
        </w:rPr>
      </w:pPr>
    </w:p>
    <w:p w14:paraId="033D7813" w14:textId="77777777" w:rsidR="00944A9F" w:rsidRPr="00672137" w:rsidRDefault="00944A9F" w:rsidP="00944A9F">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HRC, ‘Summary prepared by the OHCHR in accordance with paragraph 5 of the annex to HRC resolution 16/21: India’ 12 March 2012 A/HRC/WG</w:t>
      </w:r>
      <w:r>
        <w:rPr>
          <w:rFonts w:ascii="Times New Roman" w:hAnsi="Times New Roman" w:cs="Times New Roman"/>
          <w:sz w:val="24"/>
          <w:szCs w:val="24"/>
          <w:vertAlign w:val="baseline"/>
        </w:rPr>
        <w:t>.6/13/IND/3</w:t>
      </w:r>
    </w:p>
    <w:p w14:paraId="68342786" w14:textId="77777777" w:rsidR="00944A9F" w:rsidRDefault="00944A9F" w:rsidP="00944A9F">
      <w:pPr>
        <w:rPr>
          <w:rFonts w:ascii="Times New Roman" w:hAnsi="Times New Roman" w:cs="Times New Roman"/>
          <w:sz w:val="24"/>
          <w:szCs w:val="24"/>
          <w:vertAlign w:val="baseline"/>
        </w:rPr>
      </w:pPr>
    </w:p>
    <w:p w14:paraId="5A25B369" w14:textId="77777777" w:rsidR="00944A9F" w:rsidRDefault="00944A9F" w:rsidP="00944A9F">
      <w:pPr>
        <w:rPr>
          <w:rFonts w:ascii="Times New Roman" w:hAnsi="Times New Roman" w:cs="Times New Roman"/>
          <w:sz w:val="24"/>
          <w:szCs w:val="24"/>
          <w:vertAlign w:val="baseline"/>
        </w:rPr>
      </w:pPr>
      <w:r>
        <w:rPr>
          <w:rFonts w:ascii="Times New Roman" w:hAnsi="Times New Roman" w:cs="Times New Roman"/>
          <w:sz w:val="24"/>
          <w:szCs w:val="24"/>
          <w:vertAlign w:val="baseline"/>
        </w:rPr>
        <w:t>Human Rights Watch, ‘Hidden Apartheid: Caste Discrimination against India’s “Untouchables”’ (HRW, 12 February 2007) &lt;</w:t>
      </w:r>
      <w:hyperlink r:id="rId61" w:history="1">
        <w:r w:rsidRPr="0076239C">
          <w:rPr>
            <w:rStyle w:val="Hyperlink"/>
            <w:rFonts w:ascii="Times New Roman" w:hAnsi="Times New Roman" w:cs="Times New Roman"/>
            <w:sz w:val="24"/>
            <w:szCs w:val="24"/>
            <w:vertAlign w:val="baseline"/>
          </w:rPr>
          <w:t>https://www.hrw.org/report/2007/02/12/hidden-apartheid/caste-discrimination-against-indias-untouchables</w:t>
        </w:r>
      </w:hyperlink>
      <w:r>
        <w:rPr>
          <w:rFonts w:ascii="Times New Roman" w:hAnsi="Times New Roman" w:cs="Times New Roman"/>
          <w:sz w:val="24"/>
          <w:szCs w:val="24"/>
          <w:vertAlign w:val="baseline"/>
        </w:rPr>
        <w:t>&gt; accessed 8 February 2015</w:t>
      </w:r>
    </w:p>
    <w:p w14:paraId="0D28327E" w14:textId="77777777" w:rsidR="00944A9F" w:rsidRDefault="00944A9F" w:rsidP="00944A9F">
      <w:pPr>
        <w:rPr>
          <w:rFonts w:ascii="Times New Roman" w:hAnsi="Times New Roman" w:cs="Times New Roman"/>
          <w:sz w:val="24"/>
          <w:szCs w:val="24"/>
          <w:vertAlign w:val="baseline"/>
        </w:rPr>
      </w:pPr>
    </w:p>
    <w:p w14:paraId="33DD297B" w14:textId="2EFA77E4" w:rsidR="00944A9F" w:rsidRPr="00672137" w:rsidRDefault="00944A9F" w:rsidP="00944A9F">
      <w:pPr>
        <w:rPr>
          <w:rFonts w:ascii="Times New Roman" w:hAnsi="Times New Roman" w:cs="Times New Roman"/>
          <w:sz w:val="24"/>
          <w:szCs w:val="24"/>
          <w:vertAlign w:val="baseline"/>
        </w:rPr>
      </w:pPr>
      <w:r>
        <w:rPr>
          <w:rFonts w:ascii="Times New Roman" w:hAnsi="Times New Roman" w:cs="Times New Roman"/>
          <w:sz w:val="24"/>
          <w:szCs w:val="24"/>
          <w:vertAlign w:val="baseline"/>
        </w:rPr>
        <w:t>Human Rights Watch</w:t>
      </w:r>
      <w:r w:rsidRPr="00672137">
        <w:rPr>
          <w:rFonts w:ascii="Times New Roman" w:hAnsi="Times New Roman" w:cs="Times New Roman"/>
          <w:sz w:val="24"/>
          <w:szCs w:val="24"/>
          <w:vertAlign w:val="baseline"/>
        </w:rPr>
        <w:t>, ‘</w:t>
      </w:r>
      <w:r>
        <w:rPr>
          <w:rFonts w:ascii="Times New Roman" w:hAnsi="Times New Roman" w:cs="Times New Roman"/>
          <w:sz w:val="24"/>
          <w:szCs w:val="24"/>
          <w:vertAlign w:val="baseline"/>
        </w:rPr>
        <w:t>World Report 2015: India’ (2</w:t>
      </w:r>
      <w:r w:rsidRPr="00672137">
        <w:rPr>
          <w:rFonts w:ascii="Times New Roman" w:hAnsi="Times New Roman" w:cs="Times New Roman"/>
          <w:sz w:val="24"/>
          <w:szCs w:val="24"/>
          <w:vertAlign w:val="baseline"/>
        </w:rPr>
        <w:t>015) &lt;</w:t>
      </w:r>
      <w:hyperlink r:id="rId62" w:history="1">
        <w:r w:rsidRPr="00E11E14">
          <w:rPr>
            <w:rStyle w:val="Hyperlink"/>
            <w:rFonts w:ascii="Times New Roman" w:hAnsi="Times New Roman" w:cs="Times New Roman"/>
            <w:sz w:val="24"/>
            <w:szCs w:val="24"/>
            <w:vertAlign w:val="baseline"/>
          </w:rPr>
          <w:t>https://www.hrw.org/world-report/2015/country-chapters/india&gt;</w:t>
        </w:r>
      </w:hyperlink>
      <w:r w:rsidRPr="00672137">
        <w:rPr>
          <w:rFonts w:ascii="Times New Roman" w:hAnsi="Times New Roman" w:cs="Times New Roman"/>
          <w:sz w:val="24"/>
          <w:szCs w:val="24"/>
          <w:vertAlign w:val="baseline"/>
        </w:rPr>
        <w:t xml:space="preserve"> accessed 22 January 2016</w:t>
      </w:r>
    </w:p>
    <w:p w14:paraId="468D3072" w14:textId="77777777" w:rsidR="00944A9F" w:rsidRDefault="00944A9F" w:rsidP="00944A9F">
      <w:pPr>
        <w:rPr>
          <w:rFonts w:ascii="Times New Roman" w:hAnsi="Times New Roman" w:cs="Times New Roman"/>
          <w:sz w:val="24"/>
          <w:szCs w:val="24"/>
          <w:vertAlign w:val="baseline"/>
        </w:rPr>
      </w:pPr>
    </w:p>
    <w:p w14:paraId="31885A4F" w14:textId="0DA46D4C" w:rsidR="00944A9F" w:rsidRDefault="00944A9F" w:rsidP="00944A9F">
      <w:pPr>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Human Rights Watch, </w:t>
      </w:r>
      <w:r w:rsidRPr="00672137">
        <w:rPr>
          <w:rFonts w:ascii="Times New Roman" w:hAnsi="Times New Roman" w:cs="Times New Roman"/>
          <w:sz w:val="24"/>
          <w:szCs w:val="24"/>
          <w:vertAlign w:val="baseline"/>
        </w:rPr>
        <w:t>‘World Report 201</w:t>
      </w:r>
      <w:r>
        <w:rPr>
          <w:rFonts w:ascii="Times New Roman" w:hAnsi="Times New Roman" w:cs="Times New Roman"/>
          <w:sz w:val="24"/>
          <w:szCs w:val="24"/>
          <w:vertAlign w:val="baseline"/>
        </w:rPr>
        <w:t xml:space="preserve">5: Papua New Guinea’ (2015) </w:t>
      </w:r>
      <w:r w:rsidRPr="00672137">
        <w:rPr>
          <w:rFonts w:ascii="Times New Roman" w:hAnsi="Times New Roman" w:cs="Times New Roman"/>
          <w:sz w:val="24"/>
          <w:szCs w:val="24"/>
          <w:vertAlign w:val="baseline"/>
        </w:rPr>
        <w:t>&lt;</w:t>
      </w:r>
      <w:hyperlink r:id="rId63" w:history="1">
        <w:r w:rsidRPr="00102BD9">
          <w:rPr>
            <w:rStyle w:val="Hyperlink"/>
            <w:rFonts w:ascii="Times New Roman" w:hAnsi="Times New Roman" w:cs="Times New Roman"/>
            <w:sz w:val="24"/>
            <w:szCs w:val="24"/>
            <w:vertAlign w:val="baseline"/>
          </w:rPr>
          <w:t>https://www.hrw.org/world-report/2015/country-chapters/papua-new-guinea&gt; a</w:t>
        </w:r>
        <w:r w:rsidRPr="00E11E14">
          <w:rPr>
            <w:rStyle w:val="Hyperlink"/>
            <w:rFonts w:ascii="Times New Roman" w:hAnsi="Times New Roman" w:cs="Times New Roman"/>
            <w:sz w:val="24"/>
            <w:szCs w:val="24"/>
            <w:vertAlign w:val="baseline"/>
          </w:rPr>
          <w:t>c</w:t>
        </w:r>
      </w:hyperlink>
      <w:r w:rsidRPr="00672137">
        <w:rPr>
          <w:rFonts w:ascii="Times New Roman" w:hAnsi="Times New Roman" w:cs="Times New Roman"/>
          <w:sz w:val="24"/>
          <w:szCs w:val="24"/>
          <w:vertAlign w:val="baseline"/>
        </w:rPr>
        <w:t>cessed 26 August 2015</w:t>
      </w:r>
    </w:p>
    <w:p w14:paraId="18BD41D8" w14:textId="77777777" w:rsidR="003E2C58" w:rsidRDefault="003E2C58" w:rsidP="003E2C58">
      <w:pPr>
        <w:rPr>
          <w:rFonts w:ascii="Times New Roman" w:hAnsi="Times New Roman" w:cs="Times New Roman"/>
          <w:sz w:val="24"/>
          <w:szCs w:val="24"/>
          <w:vertAlign w:val="baseline"/>
        </w:rPr>
      </w:pPr>
    </w:p>
    <w:p w14:paraId="2F93B65D"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Hutton</w:t>
      </w:r>
      <w:r>
        <w:rPr>
          <w:rFonts w:ascii="Times New Roman" w:hAnsi="Times New Roman" w:cs="Times New Roman"/>
          <w:sz w:val="24"/>
          <w:szCs w:val="24"/>
          <w:vertAlign w:val="baseline"/>
        </w:rPr>
        <w:t xml:space="preserve"> R</w:t>
      </w:r>
      <w:r w:rsidRPr="00672137">
        <w:rPr>
          <w:rFonts w:ascii="Times New Roman" w:hAnsi="Times New Roman" w:cs="Times New Roman"/>
          <w:sz w:val="24"/>
          <w:szCs w:val="24"/>
          <w:vertAlign w:val="baseline"/>
        </w:rPr>
        <w:t>, ‘Anthropological and Historical App-roaches to Witchcraft: Potential for a New Collaboration’ (20</w:t>
      </w:r>
      <w:r>
        <w:rPr>
          <w:rFonts w:ascii="Times New Roman" w:hAnsi="Times New Roman" w:cs="Times New Roman"/>
          <w:sz w:val="24"/>
          <w:szCs w:val="24"/>
          <w:vertAlign w:val="baseline"/>
        </w:rPr>
        <w:t>04) 47(2) Hist J</w:t>
      </w:r>
      <w:r w:rsidRPr="00672137">
        <w:rPr>
          <w:rFonts w:ascii="Times New Roman" w:hAnsi="Times New Roman" w:cs="Times New Roman"/>
          <w:sz w:val="24"/>
          <w:szCs w:val="24"/>
          <w:vertAlign w:val="baseline"/>
        </w:rPr>
        <w:t xml:space="preserve"> 420</w:t>
      </w:r>
    </w:p>
    <w:p w14:paraId="50C7DEC8" w14:textId="77777777" w:rsidR="003E2C58" w:rsidRDefault="003E2C58" w:rsidP="003E2C58">
      <w:pPr>
        <w:rPr>
          <w:rFonts w:ascii="Times New Roman" w:hAnsi="Times New Roman" w:cs="Times New Roman"/>
          <w:sz w:val="24"/>
          <w:szCs w:val="24"/>
          <w:vertAlign w:val="baseline"/>
        </w:rPr>
      </w:pPr>
    </w:p>
    <w:p w14:paraId="1B398FA7" w14:textId="77777777" w:rsidR="00D9492D" w:rsidRDefault="00D9492D" w:rsidP="00D9492D">
      <w:pPr>
        <w:rPr>
          <w:rFonts w:ascii="Times New Roman" w:hAnsi="Times New Roman" w:cs="Times New Roman"/>
          <w:sz w:val="24"/>
          <w:szCs w:val="24"/>
          <w:vertAlign w:val="baseline"/>
        </w:rPr>
      </w:pPr>
      <w:r>
        <w:rPr>
          <w:rFonts w:ascii="Times New Roman" w:hAnsi="Times New Roman" w:cs="Times New Roman"/>
          <w:sz w:val="24"/>
          <w:szCs w:val="24"/>
          <w:vertAlign w:val="baseline"/>
        </w:rPr>
        <w:t>ICESCR</w:t>
      </w:r>
      <w:r w:rsidRPr="00672137">
        <w:rPr>
          <w:rFonts w:ascii="Times New Roman" w:hAnsi="Times New Roman" w:cs="Times New Roman"/>
          <w:sz w:val="24"/>
          <w:szCs w:val="24"/>
          <w:vertAlign w:val="baseline"/>
        </w:rPr>
        <w:t>, ‘Third Periodic Report of the Government of Nepal on Measures Taken to Give Effect to the International Covenant on Economic, Social and Cultural Rights’ (ICESCR 2011) &lt;</w:t>
      </w:r>
      <w:hyperlink r:id="rId64" w:history="1">
        <w:r w:rsidRPr="008D630C">
          <w:rPr>
            <w:rStyle w:val="Hyperlink"/>
            <w:rFonts w:ascii="Times New Roman" w:hAnsi="Times New Roman" w:cs="Times New Roman"/>
            <w:sz w:val="24"/>
            <w:szCs w:val="24"/>
            <w:vertAlign w:val="baseline"/>
          </w:rPr>
          <w:t>http://www.opmcm.gov.np/uploads/resources/file/ICESCRThirdPeriodicReportsubmittedtoGeneva_20120626120615.pdf&gt;</w:t>
        </w:r>
      </w:hyperlink>
      <w:r w:rsidRPr="00672137">
        <w:rPr>
          <w:rFonts w:ascii="Times New Roman" w:hAnsi="Times New Roman" w:cs="Times New Roman"/>
          <w:sz w:val="24"/>
          <w:szCs w:val="24"/>
          <w:vertAlign w:val="baseline"/>
        </w:rPr>
        <w:t xml:space="preserve"> accessed 13 Oc</w:t>
      </w:r>
      <w:r>
        <w:rPr>
          <w:rFonts w:ascii="Times New Roman" w:hAnsi="Times New Roman" w:cs="Times New Roman"/>
          <w:sz w:val="24"/>
          <w:szCs w:val="24"/>
          <w:vertAlign w:val="baseline"/>
        </w:rPr>
        <w:t>tober 2015</w:t>
      </w:r>
    </w:p>
    <w:p w14:paraId="0997AFA2" w14:textId="77777777" w:rsidR="00D9492D" w:rsidRDefault="00D9492D" w:rsidP="003E2C58">
      <w:pPr>
        <w:rPr>
          <w:rFonts w:ascii="Times New Roman" w:hAnsi="Times New Roman" w:cs="Times New Roman"/>
          <w:sz w:val="24"/>
          <w:szCs w:val="24"/>
          <w:vertAlign w:val="baseline"/>
        </w:rPr>
      </w:pPr>
    </w:p>
    <w:p w14:paraId="4EBE1B40" w14:textId="77777777" w:rsidR="006C1DFA" w:rsidRDefault="006C1DFA" w:rsidP="006C1DFA">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ICRAF (Individual and Community Rights Advocacy Forum) &lt;</w:t>
      </w:r>
      <w:hyperlink r:id="rId65" w:history="1">
        <w:r w:rsidRPr="008D7BB9">
          <w:rPr>
            <w:rStyle w:val="Hyperlink"/>
            <w:rFonts w:ascii="Times New Roman" w:hAnsi="Times New Roman" w:cs="Times New Roman"/>
            <w:sz w:val="24"/>
            <w:szCs w:val="24"/>
            <w:vertAlign w:val="baseline"/>
          </w:rPr>
          <w:t>http://www.commonwealthofnations.org/organisations/individual_and_community_rights__advocacy_forum_icraf/&gt;</w:t>
        </w:r>
      </w:hyperlink>
      <w:r>
        <w:rPr>
          <w:rFonts w:ascii="Times New Roman" w:hAnsi="Times New Roman" w:cs="Times New Roman"/>
          <w:sz w:val="24"/>
          <w:szCs w:val="24"/>
          <w:vertAlign w:val="baseline"/>
        </w:rPr>
        <w:t xml:space="preserve"> accessed 8 September 2015,</w:t>
      </w:r>
    </w:p>
    <w:p w14:paraId="1420F0AF" w14:textId="77777777" w:rsidR="006C1DFA" w:rsidRDefault="006C1DFA" w:rsidP="003E2C58">
      <w:pPr>
        <w:rPr>
          <w:rFonts w:ascii="Times New Roman" w:hAnsi="Times New Roman" w:cs="Times New Roman"/>
          <w:sz w:val="24"/>
          <w:szCs w:val="24"/>
          <w:vertAlign w:val="baseline"/>
        </w:rPr>
      </w:pPr>
    </w:p>
    <w:p w14:paraId="132833B1" w14:textId="77777777" w:rsidR="00252848" w:rsidRPr="00672137" w:rsidRDefault="00252848" w:rsidP="0025284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IFAD, ‘Rural Poverty in Nepal’ (Rural Poverty Portal 2013) &lt;</w:t>
      </w:r>
      <w:hyperlink r:id="rId66" w:history="1">
        <w:r w:rsidRPr="00F9700C">
          <w:rPr>
            <w:rStyle w:val="Hyperlink"/>
            <w:rFonts w:ascii="Times New Roman" w:hAnsi="Times New Roman" w:cs="Times New Roman"/>
            <w:sz w:val="24"/>
            <w:szCs w:val="24"/>
            <w:vertAlign w:val="baseline"/>
          </w:rPr>
          <w:t>http://www.ruralpovertyportal.org/country/home/tags/nepal&gt;</w:t>
        </w:r>
      </w:hyperlink>
      <w:r w:rsidRPr="00672137">
        <w:rPr>
          <w:rFonts w:ascii="Times New Roman" w:hAnsi="Times New Roman" w:cs="Times New Roman"/>
          <w:sz w:val="24"/>
          <w:szCs w:val="24"/>
          <w:vertAlign w:val="baseline"/>
        </w:rPr>
        <w:t xml:space="preserve"> accessed 9 February 2015</w:t>
      </w:r>
    </w:p>
    <w:p w14:paraId="4119BB03" w14:textId="77777777" w:rsidR="00252848" w:rsidRDefault="00252848" w:rsidP="003E2C58">
      <w:pPr>
        <w:rPr>
          <w:rFonts w:ascii="Times New Roman" w:hAnsi="Times New Roman" w:cs="Times New Roman"/>
          <w:sz w:val="24"/>
          <w:szCs w:val="24"/>
          <w:vertAlign w:val="baseline"/>
        </w:rPr>
      </w:pPr>
    </w:p>
    <w:p w14:paraId="1EBA860F"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IHEU, ‘IHEU calls for better education and policing to eliminate witchcraft and witch “cures” in Africa’ (IHEU</w:t>
      </w:r>
      <w:r>
        <w:rPr>
          <w:rFonts w:ascii="Times New Roman" w:hAnsi="Times New Roman" w:cs="Times New Roman"/>
          <w:sz w:val="24"/>
          <w:szCs w:val="24"/>
          <w:vertAlign w:val="baseline"/>
        </w:rPr>
        <w:t>,</w:t>
      </w:r>
      <w:r w:rsidRPr="00672137">
        <w:rPr>
          <w:rFonts w:ascii="Times New Roman" w:hAnsi="Times New Roman" w:cs="Times New Roman"/>
          <w:sz w:val="24"/>
          <w:szCs w:val="24"/>
          <w:vertAlign w:val="baseline"/>
        </w:rPr>
        <w:t xml:space="preserve"> 22 September 2009) &lt;</w:t>
      </w:r>
      <w:hyperlink r:id="rId67" w:history="1">
        <w:r w:rsidRPr="002328FE">
          <w:rPr>
            <w:rStyle w:val="Hyperlink"/>
            <w:rFonts w:ascii="Times New Roman" w:hAnsi="Times New Roman" w:cs="Times New Roman"/>
            <w:sz w:val="24"/>
            <w:szCs w:val="24"/>
            <w:vertAlign w:val="baseline"/>
          </w:rPr>
          <w:t>http://iheu.org/iheu-calls-better-education-and-policing-eliminate-witchcraft-and-witch-cures-africa/&gt;</w:t>
        </w:r>
      </w:hyperlink>
      <w:r w:rsidRPr="00672137">
        <w:rPr>
          <w:rFonts w:ascii="Times New Roman" w:hAnsi="Times New Roman" w:cs="Times New Roman"/>
          <w:sz w:val="24"/>
          <w:szCs w:val="24"/>
          <w:vertAlign w:val="baseline"/>
        </w:rPr>
        <w:t xml:space="preserve"> accessed 17 June 2015</w:t>
      </w:r>
    </w:p>
    <w:p w14:paraId="74B5BA66" w14:textId="77777777" w:rsidR="003E2C58" w:rsidRDefault="003E2C58" w:rsidP="003E2C58">
      <w:pPr>
        <w:rPr>
          <w:rFonts w:ascii="Times New Roman" w:hAnsi="Times New Roman" w:cs="Times New Roman"/>
          <w:sz w:val="24"/>
          <w:szCs w:val="24"/>
          <w:vertAlign w:val="baseline"/>
        </w:rPr>
      </w:pPr>
    </w:p>
    <w:p w14:paraId="7ABCC9CC"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 xml:space="preserve">IWRAW Asia Pacific, ‘Reservations’ </w:t>
      </w:r>
      <w:hyperlink r:id="rId68" w:history="1">
        <w:r w:rsidRPr="007C6619">
          <w:rPr>
            <w:rStyle w:val="Hyperlink"/>
            <w:rFonts w:ascii="Times New Roman" w:hAnsi="Times New Roman" w:cs="Times New Roman"/>
            <w:sz w:val="24"/>
            <w:szCs w:val="24"/>
            <w:vertAlign w:val="baseline"/>
          </w:rPr>
          <w:t>&lt;http://www.iwraw-ap.org/cedaw/what-is-cedaw/reservations/&gt;</w:t>
        </w:r>
      </w:hyperlink>
      <w:r>
        <w:rPr>
          <w:rFonts w:ascii="Times New Roman" w:hAnsi="Times New Roman" w:cs="Times New Roman"/>
          <w:sz w:val="24"/>
          <w:szCs w:val="24"/>
          <w:vertAlign w:val="baseline"/>
        </w:rPr>
        <w:t xml:space="preserve"> a</w:t>
      </w:r>
      <w:r w:rsidRPr="00672137">
        <w:rPr>
          <w:rFonts w:ascii="Times New Roman" w:hAnsi="Times New Roman" w:cs="Times New Roman"/>
          <w:sz w:val="24"/>
          <w:szCs w:val="24"/>
          <w:vertAlign w:val="baseline"/>
        </w:rPr>
        <w:t>ccessed 11 January 2016</w:t>
      </w:r>
    </w:p>
    <w:p w14:paraId="379682EF" w14:textId="77777777" w:rsidR="003E2C58" w:rsidRDefault="003E2C58" w:rsidP="003E2C58">
      <w:pPr>
        <w:rPr>
          <w:rFonts w:ascii="Times New Roman" w:hAnsi="Times New Roman" w:cs="Times New Roman"/>
          <w:sz w:val="24"/>
          <w:szCs w:val="24"/>
          <w:vertAlign w:val="baseline"/>
        </w:rPr>
      </w:pPr>
    </w:p>
    <w:p w14:paraId="2429CCFD"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Igwe</w:t>
      </w:r>
      <w:r>
        <w:rPr>
          <w:rFonts w:ascii="Times New Roman" w:hAnsi="Times New Roman" w:cs="Times New Roman"/>
          <w:sz w:val="24"/>
          <w:szCs w:val="24"/>
          <w:vertAlign w:val="baseline"/>
        </w:rPr>
        <w:t xml:space="preserve"> L</w:t>
      </w:r>
      <w:r w:rsidRPr="00672137">
        <w:rPr>
          <w:rFonts w:ascii="Times New Roman" w:hAnsi="Times New Roman" w:cs="Times New Roman"/>
          <w:sz w:val="24"/>
          <w:szCs w:val="24"/>
          <w:vertAlign w:val="baseline"/>
        </w:rPr>
        <w:t>, ‘Ritual Killing and Pseudoscience in Nigeria’ (2004) 14(2) The Committee for Skeptical Enquiry &lt;</w:t>
      </w:r>
      <w:hyperlink r:id="rId69" w:history="1">
        <w:r w:rsidRPr="002F0244">
          <w:rPr>
            <w:rStyle w:val="Hyperlink"/>
            <w:rFonts w:ascii="Times New Roman" w:hAnsi="Times New Roman" w:cs="Times New Roman"/>
            <w:sz w:val="24"/>
            <w:szCs w:val="24"/>
            <w:vertAlign w:val="baseline"/>
          </w:rPr>
          <w:t>http://www.csicop.org/sb/show/ritual_killing_and_pseudoscience_in_nigeria/&gt; a</w:t>
        </w:r>
      </w:hyperlink>
      <w:r w:rsidRPr="00672137">
        <w:rPr>
          <w:rFonts w:ascii="Times New Roman" w:hAnsi="Times New Roman" w:cs="Times New Roman"/>
          <w:sz w:val="24"/>
          <w:szCs w:val="24"/>
          <w:vertAlign w:val="baseline"/>
        </w:rPr>
        <w:t>ccessed 16 June 2014</w:t>
      </w:r>
    </w:p>
    <w:p w14:paraId="72A9C84B" w14:textId="77777777" w:rsidR="003E2C58" w:rsidRDefault="003E2C58" w:rsidP="003E2C58">
      <w:pPr>
        <w:rPr>
          <w:rFonts w:ascii="Times New Roman" w:hAnsi="Times New Roman" w:cs="Times New Roman"/>
          <w:sz w:val="24"/>
          <w:szCs w:val="24"/>
          <w:vertAlign w:val="baseline"/>
        </w:rPr>
      </w:pPr>
    </w:p>
    <w:p w14:paraId="7675E2E6"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Igwe</w:t>
      </w:r>
      <w:r>
        <w:rPr>
          <w:rFonts w:ascii="Times New Roman" w:hAnsi="Times New Roman" w:cs="Times New Roman"/>
          <w:sz w:val="24"/>
          <w:szCs w:val="24"/>
          <w:vertAlign w:val="baseline"/>
        </w:rPr>
        <w:t xml:space="preserve"> L</w:t>
      </w:r>
      <w:r w:rsidRPr="00672137">
        <w:rPr>
          <w:rFonts w:ascii="Times New Roman" w:hAnsi="Times New Roman" w:cs="Times New Roman"/>
          <w:sz w:val="24"/>
          <w:szCs w:val="24"/>
          <w:vertAlign w:val="baseline"/>
        </w:rPr>
        <w:t>, ‘A Big Blow to Campaign against Witch Hunting in Africa’ (Ghana Web, 6 July 2014) at &lt;</w:t>
      </w:r>
      <w:hyperlink r:id="rId70" w:history="1">
        <w:r w:rsidRPr="008018DF">
          <w:rPr>
            <w:rStyle w:val="Hyperlink"/>
            <w:rFonts w:ascii="Times New Roman" w:hAnsi="Times New Roman" w:cs="Times New Roman"/>
            <w:sz w:val="24"/>
            <w:szCs w:val="24"/>
            <w:vertAlign w:val="baseline"/>
          </w:rPr>
          <w:t xml:space="preserve">http://www.ghanaweb.com/GhanaHomePage/NewsArchive/artikel.php?ID=315659&gt; </w:t>
        </w:r>
        <w:r w:rsidRPr="002F0244">
          <w:rPr>
            <w:rStyle w:val="Hyperlink"/>
            <w:rFonts w:ascii="Times New Roman" w:hAnsi="Times New Roman" w:cs="Times New Roman"/>
            <w:sz w:val="24"/>
            <w:szCs w:val="24"/>
            <w:vertAlign w:val="baseline"/>
          </w:rPr>
          <w:t>a</w:t>
        </w:r>
      </w:hyperlink>
      <w:r>
        <w:rPr>
          <w:rFonts w:ascii="Times New Roman" w:hAnsi="Times New Roman" w:cs="Times New Roman"/>
          <w:sz w:val="24"/>
          <w:szCs w:val="24"/>
          <w:vertAlign w:val="baseline"/>
        </w:rPr>
        <w:t>ccessed 8 July 2014</w:t>
      </w:r>
    </w:p>
    <w:p w14:paraId="238E82EC" w14:textId="77777777" w:rsidR="003E2C58" w:rsidRDefault="003E2C58" w:rsidP="003E2C58">
      <w:pPr>
        <w:rPr>
          <w:rFonts w:ascii="Times New Roman" w:hAnsi="Times New Roman" w:cs="Times New Roman"/>
          <w:sz w:val="24"/>
          <w:szCs w:val="24"/>
          <w:vertAlign w:val="baseline"/>
        </w:rPr>
      </w:pPr>
    </w:p>
    <w:p w14:paraId="486BAB02" w14:textId="10EA8099" w:rsidR="000B2305" w:rsidRPr="000B2305" w:rsidRDefault="000B2305" w:rsidP="003E2C58">
      <w:pPr>
        <w:rPr>
          <w:rFonts w:ascii="Times New Roman" w:hAnsi="Times New Roman" w:cs="Times New Roman"/>
          <w:sz w:val="24"/>
          <w:szCs w:val="24"/>
          <w:vertAlign w:val="baseline"/>
        </w:rPr>
      </w:pPr>
      <w:r w:rsidRPr="000B2305">
        <w:rPr>
          <w:rFonts w:ascii="Times New Roman" w:hAnsi="Times New Roman" w:cs="Times New Roman"/>
          <w:sz w:val="24"/>
          <w:szCs w:val="24"/>
          <w:vertAlign w:val="baseline"/>
        </w:rPr>
        <w:t>Igwe</w:t>
      </w:r>
      <w:r>
        <w:rPr>
          <w:rFonts w:ascii="Times New Roman" w:hAnsi="Times New Roman" w:cs="Times New Roman"/>
          <w:sz w:val="24"/>
          <w:szCs w:val="24"/>
          <w:vertAlign w:val="baseline"/>
        </w:rPr>
        <w:t xml:space="preserve"> L</w:t>
      </w:r>
      <w:r w:rsidRPr="000B2305">
        <w:rPr>
          <w:rFonts w:ascii="Times New Roman" w:hAnsi="Times New Roman" w:cs="Times New Roman"/>
          <w:sz w:val="24"/>
          <w:szCs w:val="24"/>
          <w:vertAlign w:val="baseline"/>
        </w:rPr>
        <w:t>, ‘Witchcraft Accusation in Ghana: Is Disbanding ‘Witch Camps’ the Solution?’ (GhanaWeb 16 November 2015) &lt;</w:t>
      </w:r>
      <w:hyperlink r:id="rId71" w:history="1">
        <w:r w:rsidRPr="000B2305">
          <w:rPr>
            <w:rStyle w:val="Hyperlink"/>
            <w:rFonts w:ascii="Times New Roman" w:hAnsi="Times New Roman" w:cs="Times New Roman"/>
            <w:sz w:val="24"/>
            <w:szCs w:val="24"/>
            <w:vertAlign w:val="baseline"/>
          </w:rPr>
          <w:t>http://www.ghanaweb.com/GhanaHomePage/features/Witchcraft-Accusation-in-Ghana-Is-Disbanding-Witch-Camps-the-Solution-394167</w:t>
        </w:r>
      </w:hyperlink>
      <w:r w:rsidRPr="000B2305">
        <w:rPr>
          <w:rFonts w:ascii="Times New Roman" w:hAnsi="Times New Roman" w:cs="Times New Roman"/>
          <w:sz w:val="24"/>
          <w:szCs w:val="24"/>
          <w:vertAlign w:val="baseline"/>
        </w:rPr>
        <w:t>&gt; accessed 3 May 2016</w:t>
      </w:r>
    </w:p>
    <w:p w14:paraId="658C3441" w14:textId="77777777" w:rsidR="000B2305" w:rsidRDefault="000B2305" w:rsidP="003E2C58">
      <w:pPr>
        <w:rPr>
          <w:rFonts w:ascii="Times New Roman" w:hAnsi="Times New Roman" w:cs="Times New Roman"/>
          <w:sz w:val="24"/>
          <w:szCs w:val="24"/>
          <w:vertAlign w:val="baseline"/>
        </w:rPr>
      </w:pPr>
    </w:p>
    <w:p w14:paraId="2D416AD5" w14:textId="1A724E2B"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Igwe</w:t>
      </w:r>
      <w:r>
        <w:rPr>
          <w:rFonts w:ascii="Times New Roman" w:hAnsi="Times New Roman" w:cs="Times New Roman"/>
          <w:sz w:val="24"/>
          <w:szCs w:val="24"/>
          <w:vertAlign w:val="baseline"/>
        </w:rPr>
        <w:t xml:space="preserve"> L</w:t>
      </w:r>
      <w:r w:rsidRPr="00672137">
        <w:rPr>
          <w:rFonts w:ascii="Times New Roman" w:hAnsi="Times New Roman" w:cs="Times New Roman"/>
          <w:sz w:val="24"/>
          <w:szCs w:val="24"/>
          <w:vertAlign w:val="baseline"/>
        </w:rPr>
        <w:t>, ‘</w:t>
      </w:r>
      <w:r w:rsidR="00655C14" w:rsidRPr="00672137">
        <w:rPr>
          <w:rFonts w:ascii="Times New Roman" w:hAnsi="Times New Roman" w:cs="Times New Roman"/>
          <w:sz w:val="24"/>
          <w:szCs w:val="24"/>
          <w:vertAlign w:val="baseline"/>
        </w:rPr>
        <w:t>Witch-hunts</w:t>
      </w:r>
      <w:r w:rsidRPr="00672137">
        <w:rPr>
          <w:rFonts w:ascii="Times New Roman" w:hAnsi="Times New Roman" w:cs="Times New Roman"/>
          <w:sz w:val="24"/>
          <w:szCs w:val="24"/>
          <w:vertAlign w:val="baseline"/>
        </w:rPr>
        <w:t xml:space="preserve"> in Black communities’ GhanaWeb (Ghana 17 August 2014) &lt;</w:t>
      </w:r>
      <w:hyperlink r:id="rId72" w:history="1">
        <w:r w:rsidRPr="00C4565B">
          <w:rPr>
            <w:rStyle w:val="Hyperlink"/>
            <w:rFonts w:ascii="Times New Roman" w:hAnsi="Times New Roman" w:cs="Times New Roman"/>
            <w:sz w:val="24"/>
            <w:szCs w:val="24"/>
            <w:vertAlign w:val="baseline"/>
          </w:rPr>
          <w:t>http://www.ghanaweb.com/GhanaHomePage/features/artikel.php?ID=321575&gt;</w:t>
        </w:r>
      </w:hyperlink>
      <w:r w:rsidRPr="00672137">
        <w:rPr>
          <w:rFonts w:ascii="Times New Roman" w:hAnsi="Times New Roman" w:cs="Times New Roman"/>
          <w:sz w:val="24"/>
          <w:szCs w:val="24"/>
          <w:vertAlign w:val="baseline"/>
        </w:rPr>
        <w:t xml:space="preserve"> accessed 5 November 2014</w:t>
      </w:r>
    </w:p>
    <w:p w14:paraId="41AC31B7" w14:textId="77777777" w:rsidR="003E2C58" w:rsidRDefault="003E2C58" w:rsidP="003E2C58">
      <w:pPr>
        <w:rPr>
          <w:rFonts w:ascii="Times New Roman" w:hAnsi="Times New Roman" w:cs="Times New Roman"/>
          <w:sz w:val="24"/>
          <w:szCs w:val="24"/>
          <w:vertAlign w:val="baseline"/>
        </w:rPr>
      </w:pPr>
    </w:p>
    <w:p w14:paraId="1DDAA490" w14:textId="77777777" w:rsidR="00523A45" w:rsidRDefault="00523A45" w:rsidP="00523A45">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 xml:space="preserve">‘In 18 mths, 150 cases filed under anti-superstition Act; most victims women’ The </w:t>
      </w:r>
      <w:r w:rsidRPr="00007FA8">
        <w:rPr>
          <w:rFonts w:ascii="Times New Roman" w:hAnsi="Times New Roman" w:cs="Times New Roman"/>
          <w:i/>
          <w:sz w:val="24"/>
          <w:szCs w:val="24"/>
          <w:vertAlign w:val="baseline"/>
        </w:rPr>
        <w:t>Times of India</w:t>
      </w:r>
      <w:r w:rsidRPr="00672137">
        <w:rPr>
          <w:rFonts w:ascii="Times New Roman" w:hAnsi="Times New Roman" w:cs="Times New Roman"/>
          <w:sz w:val="24"/>
          <w:szCs w:val="24"/>
          <w:vertAlign w:val="baseline"/>
        </w:rPr>
        <w:t xml:space="preserve"> (Pune, 21 August 2015) &lt;</w:t>
      </w:r>
      <w:hyperlink r:id="rId73" w:history="1">
        <w:r w:rsidRPr="00007FA8">
          <w:rPr>
            <w:rStyle w:val="Hyperlink"/>
            <w:rFonts w:ascii="Times New Roman" w:hAnsi="Times New Roman" w:cs="Times New Roman"/>
            <w:sz w:val="24"/>
            <w:szCs w:val="24"/>
            <w:vertAlign w:val="baseline"/>
          </w:rPr>
          <w:t>http://timesofindia.indiatimes.com/city/pune/In-18-mths-150-cases-filed-under-anti-superstition-Act-most-victims-women/articleshow/48566329.cms&gt;</w:t>
        </w:r>
      </w:hyperlink>
      <w:r w:rsidRPr="00672137">
        <w:rPr>
          <w:rFonts w:ascii="Times New Roman" w:hAnsi="Times New Roman" w:cs="Times New Roman"/>
          <w:sz w:val="24"/>
          <w:szCs w:val="24"/>
          <w:vertAlign w:val="baseline"/>
        </w:rPr>
        <w:t xml:space="preserve"> accessed 1 February 2016</w:t>
      </w:r>
    </w:p>
    <w:p w14:paraId="67E7F0C4" w14:textId="77777777" w:rsidR="00523A45" w:rsidRDefault="00523A45" w:rsidP="00523A45">
      <w:pPr>
        <w:rPr>
          <w:rFonts w:ascii="Times New Roman" w:hAnsi="Times New Roman" w:cs="Times New Roman"/>
          <w:sz w:val="24"/>
          <w:szCs w:val="24"/>
          <w:vertAlign w:val="baseline"/>
        </w:rPr>
      </w:pPr>
    </w:p>
    <w:p w14:paraId="480C81D8" w14:textId="77777777" w:rsidR="00523A45" w:rsidRPr="00672137" w:rsidRDefault="00523A45" w:rsidP="00523A45">
      <w:pPr>
        <w:rPr>
          <w:rFonts w:ascii="Times New Roman" w:hAnsi="Times New Roman" w:cs="Times New Roman"/>
          <w:sz w:val="24"/>
          <w:szCs w:val="24"/>
          <w:vertAlign w:val="baseline"/>
        </w:rPr>
      </w:pPr>
      <w:r>
        <w:rPr>
          <w:rFonts w:ascii="Times New Roman" w:hAnsi="Times New Roman" w:cs="Times New Roman"/>
          <w:sz w:val="24"/>
          <w:szCs w:val="24"/>
          <w:vertAlign w:val="baseline"/>
        </w:rPr>
        <w:t>‘</w:t>
      </w:r>
      <w:r w:rsidRPr="00672137">
        <w:rPr>
          <w:rFonts w:ascii="Times New Roman" w:hAnsi="Times New Roman" w:cs="Times New Roman"/>
          <w:sz w:val="24"/>
          <w:szCs w:val="24"/>
          <w:vertAlign w:val="baseline"/>
        </w:rPr>
        <w:t xml:space="preserve">India villagers kill two for 'witchcraft' </w:t>
      </w:r>
      <w:r w:rsidRPr="00C156B8">
        <w:rPr>
          <w:rFonts w:ascii="Times New Roman" w:hAnsi="Times New Roman" w:cs="Times New Roman"/>
          <w:i/>
          <w:sz w:val="24"/>
          <w:szCs w:val="24"/>
          <w:vertAlign w:val="baseline"/>
        </w:rPr>
        <w:t>The Telegraph</w:t>
      </w:r>
      <w:r w:rsidRPr="00672137">
        <w:rPr>
          <w:rFonts w:ascii="Times New Roman" w:hAnsi="Times New Roman" w:cs="Times New Roman"/>
          <w:sz w:val="24"/>
          <w:szCs w:val="24"/>
          <w:vertAlign w:val="baseline"/>
        </w:rPr>
        <w:t xml:space="preserve"> (London 14 June 2014) &lt;</w:t>
      </w:r>
      <w:hyperlink r:id="rId74" w:history="1">
        <w:r w:rsidRPr="00C156B8">
          <w:rPr>
            <w:rStyle w:val="Hyperlink"/>
            <w:rFonts w:ascii="Times New Roman" w:hAnsi="Times New Roman" w:cs="Times New Roman"/>
            <w:sz w:val="24"/>
            <w:szCs w:val="24"/>
            <w:vertAlign w:val="baseline"/>
          </w:rPr>
          <w:t>http://www.telegraph.co.uk/news/worldnews/asia/india/10120682/India-villagers-kill-two-for-witchcraft.html&gt;</w:t>
        </w:r>
      </w:hyperlink>
      <w:r w:rsidRPr="00672137">
        <w:rPr>
          <w:rFonts w:ascii="Times New Roman" w:hAnsi="Times New Roman" w:cs="Times New Roman"/>
          <w:sz w:val="24"/>
          <w:szCs w:val="24"/>
          <w:vertAlign w:val="baseline"/>
        </w:rPr>
        <w:t xml:space="preserve"> accessed 6 November 2014</w:t>
      </w:r>
    </w:p>
    <w:p w14:paraId="22DE11DD" w14:textId="77777777" w:rsidR="00523A45" w:rsidRDefault="00523A45" w:rsidP="00523A45">
      <w:pPr>
        <w:rPr>
          <w:rFonts w:ascii="Times New Roman" w:hAnsi="Times New Roman" w:cs="Times New Roman"/>
          <w:sz w:val="24"/>
          <w:szCs w:val="24"/>
          <w:vertAlign w:val="baseline"/>
        </w:rPr>
      </w:pPr>
    </w:p>
    <w:p w14:paraId="3C600F52" w14:textId="77777777" w:rsidR="00523A45" w:rsidRPr="00672137" w:rsidRDefault="00523A45" w:rsidP="00523A45">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 xml:space="preserve"> ‘India women killed in witch-hunt’ </w:t>
      </w:r>
      <w:r w:rsidRPr="00C156B8">
        <w:rPr>
          <w:rFonts w:ascii="Times New Roman" w:hAnsi="Times New Roman" w:cs="Times New Roman"/>
          <w:i/>
          <w:sz w:val="24"/>
          <w:szCs w:val="24"/>
          <w:vertAlign w:val="baseline"/>
        </w:rPr>
        <w:t>BBC News</w:t>
      </w:r>
      <w:r w:rsidRPr="00672137">
        <w:rPr>
          <w:rFonts w:ascii="Times New Roman" w:hAnsi="Times New Roman" w:cs="Times New Roman"/>
          <w:sz w:val="24"/>
          <w:szCs w:val="24"/>
          <w:vertAlign w:val="baseline"/>
        </w:rPr>
        <w:t xml:space="preserve"> (London 27 October 2014) &lt;</w:t>
      </w:r>
      <w:hyperlink r:id="rId75" w:history="1">
        <w:r w:rsidRPr="00C156B8">
          <w:rPr>
            <w:rStyle w:val="Hyperlink"/>
            <w:rFonts w:ascii="Times New Roman" w:hAnsi="Times New Roman" w:cs="Times New Roman"/>
            <w:sz w:val="24"/>
            <w:szCs w:val="24"/>
            <w:vertAlign w:val="baseline"/>
          </w:rPr>
          <w:t>http://www.bbc.co.uk/news/world-asia-india-29782808&gt;</w:t>
        </w:r>
      </w:hyperlink>
      <w:r w:rsidRPr="00672137">
        <w:rPr>
          <w:rFonts w:ascii="Times New Roman" w:hAnsi="Times New Roman" w:cs="Times New Roman"/>
          <w:sz w:val="24"/>
          <w:szCs w:val="24"/>
          <w:vertAlign w:val="baseline"/>
        </w:rPr>
        <w:t xml:space="preserve"> accessed 6 November 2014</w:t>
      </w:r>
    </w:p>
    <w:p w14:paraId="1966F53B" w14:textId="77777777" w:rsidR="00523A45" w:rsidRDefault="00523A45" w:rsidP="003E2C58">
      <w:pPr>
        <w:rPr>
          <w:rFonts w:ascii="Times New Roman" w:hAnsi="Times New Roman" w:cs="Times New Roman"/>
          <w:sz w:val="24"/>
          <w:szCs w:val="24"/>
          <w:vertAlign w:val="baseline"/>
        </w:rPr>
      </w:pPr>
    </w:p>
    <w:p w14:paraId="05FC0623" w14:textId="77777777" w:rsidR="003E2C58" w:rsidRPr="00672137" w:rsidRDefault="003E2C58" w:rsidP="003E2C58">
      <w:pPr>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Index Mundi </w:t>
      </w:r>
      <w:r w:rsidRPr="00672137">
        <w:rPr>
          <w:rFonts w:ascii="Times New Roman" w:hAnsi="Times New Roman" w:cs="Times New Roman"/>
          <w:sz w:val="24"/>
          <w:szCs w:val="24"/>
          <w:vertAlign w:val="baseline"/>
        </w:rPr>
        <w:t>‘India demographics profile 2014’ (index mundi, 30 June 2015) &lt;</w:t>
      </w:r>
      <w:hyperlink r:id="rId76" w:history="1">
        <w:r w:rsidRPr="00D15661">
          <w:rPr>
            <w:rStyle w:val="Hyperlink"/>
            <w:rFonts w:ascii="Times New Roman" w:hAnsi="Times New Roman" w:cs="Times New Roman"/>
            <w:sz w:val="24"/>
            <w:szCs w:val="24"/>
            <w:vertAlign w:val="baseline"/>
          </w:rPr>
          <w:t>http://www.indexmundi.com/india/demographics_profile.html&gt;</w:t>
        </w:r>
      </w:hyperlink>
      <w:r w:rsidRPr="00672137">
        <w:rPr>
          <w:rFonts w:ascii="Times New Roman" w:hAnsi="Times New Roman" w:cs="Times New Roman"/>
          <w:sz w:val="24"/>
          <w:szCs w:val="24"/>
          <w:vertAlign w:val="baseline"/>
        </w:rPr>
        <w:t xml:space="preserve"> accessed 25 August 2015</w:t>
      </w:r>
    </w:p>
    <w:p w14:paraId="30841939" w14:textId="77777777" w:rsidR="003E2C58" w:rsidRDefault="003E2C58" w:rsidP="003E2C58">
      <w:pPr>
        <w:rPr>
          <w:rFonts w:ascii="Times New Roman" w:hAnsi="Times New Roman" w:cs="Times New Roman"/>
          <w:sz w:val="24"/>
          <w:szCs w:val="24"/>
          <w:vertAlign w:val="baseline"/>
        </w:rPr>
      </w:pPr>
    </w:p>
    <w:p w14:paraId="56C87580"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 xml:space="preserve">Inglehart </w:t>
      </w:r>
      <w:r>
        <w:rPr>
          <w:rFonts w:ascii="Times New Roman" w:hAnsi="Times New Roman" w:cs="Times New Roman"/>
          <w:sz w:val="24"/>
          <w:szCs w:val="24"/>
          <w:vertAlign w:val="baseline"/>
        </w:rPr>
        <w:t xml:space="preserve">R and </w:t>
      </w:r>
      <w:r w:rsidRPr="00672137">
        <w:rPr>
          <w:rFonts w:ascii="Times New Roman" w:hAnsi="Times New Roman" w:cs="Times New Roman"/>
          <w:sz w:val="24"/>
          <w:szCs w:val="24"/>
          <w:vertAlign w:val="baseline"/>
        </w:rPr>
        <w:t>Norris</w:t>
      </w:r>
      <w:r>
        <w:rPr>
          <w:rFonts w:ascii="Times New Roman" w:hAnsi="Times New Roman" w:cs="Times New Roman"/>
          <w:sz w:val="24"/>
          <w:szCs w:val="24"/>
          <w:vertAlign w:val="baseline"/>
        </w:rPr>
        <w:t xml:space="preserve"> P</w:t>
      </w:r>
      <w:r w:rsidRPr="00672137">
        <w:rPr>
          <w:rFonts w:ascii="Times New Roman" w:hAnsi="Times New Roman" w:cs="Times New Roman"/>
          <w:sz w:val="24"/>
          <w:szCs w:val="24"/>
          <w:vertAlign w:val="baseline"/>
        </w:rPr>
        <w:t xml:space="preserve">, </w:t>
      </w:r>
      <w:r w:rsidRPr="00A6615A">
        <w:rPr>
          <w:rFonts w:ascii="Times New Roman" w:hAnsi="Times New Roman" w:cs="Times New Roman"/>
          <w:i/>
          <w:sz w:val="24"/>
          <w:szCs w:val="24"/>
          <w:vertAlign w:val="baseline"/>
        </w:rPr>
        <w:t>Rising Tide: Gender Equality and Cultural Change Around the World</w:t>
      </w:r>
      <w:r>
        <w:rPr>
          <w:rFonts w:ascii="Times New Roman" w:hAnsi="Times New Roman" w:cs="Times New Roman"/>
          <w:sz w:val="24"/>
          <w:szCs w:val="24"/>
          <w:vertAlign w:val="baseline"/>
        </w:rPr>
        <w:t xml:space="preserve"> (CUP 2003)</w:t>
      </w:r>
    </w:p>
    <w:p w14:paraId="63508883" w14:textId="77777777" w:rsidR="003E2C58" w:rsidRDefault="003E2C58" w:rsidP="003E2C58">
      <w:pPr>
        <w:rPr>
          <w:rFonts w:ascii="Times New Roman" w:hAnsi="Times New Roman" w:cs="Times New Roman"/>
          <w:sz w:val="24"/>
          <w:szCs w:val="24"/>
          <w:vertAlign w:val="baseline"/>
        </w:rPr>
      </w:pPr>
    </w:p>
    <w:p w14:paraId="239201B4"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 xml:space="preserve">International Council on Human Rights, </w:t>
      </w:r>
      <w:r>
        <w:rPr>
          <w:rFonts w:ascii="Times New Roman" w:hAnsi="Times New Roman" w:cs="Times New Roman"/>
          <w:sz w:val="24"/>
          <w:szCs w:val="24"/>
          <w:vertAlign w:val="baseline"/>
        </w:rPr>
        <w:t>‘</w:t>
      </w:r>
      <w:r w:rsidRPr="00672137">
        <w:rPr>
          <w:rFonts w:ascii="Times New Roman" w:hAnsi="Times New Roman" w:cs="Times New Roman"/>
          <w:sz w:val="24"/>
          <w:szCs w:val="24"/>
          <w:vertAlign w:val="baseline"/>
        </w:rPr>
        <w:t>When Legal Worlds Overlap: Human Rights, State and Non-State Law</w:t>
      </w:r>
      <w:r>
        <w:rPr>
          <w:rFonts w:ascii="Times New Roman" w:hAnsi="Times New Roman" w:cs="Times New Roman"/>
          <w:sz w:val="24"/>
          <w:szCs w:val="24"/>
          <w:vertAlign w:val="baseline"/>
        </w:rPr>
        <w:t>’</w:t>
      </w:r>
      <w:r w:rsidRPr="00672137">
        <w:rPr>
          <w:rFonts w:ascii="Times New Roman" w:hAnsi="Times New Roman" w:cs="Times New Roman"/>
          <w:sz w:val="24"/>
          <w:szCs w:val="24"/>
          <w:vertAlign w:val="baseline"/>
        </w:rPr>
        <w:t xml:space="preserve"> </w:t>
      </w:r>
      <w:r>
        <w:rPr>
          <w:rFonts w:ascii="Times New Roman" w:hAnsi="Times New Roman" w:cs="Times New Roman"/>
          <w:sz w:val="24"/>
          <w:szCs w:val="24"/>
          <w:vertAlign w:val="baseline"/>
        </w:rPr>
        <w:t>(</w:t>
      </w:r>
      <w:r w:rsidRPr="00672137">
        <w:rPr>
          <w:rFonts w:ascii="Times New Roman" w:hAnsi="Times New Roman" w:cs="Times New Roman"/>
          <w:sz w:val="24"/>
          <w:szCs w:val="24"/>
          <w:vertAlign w:val="baseline"/>
        </w:rPr>
        <w:t>International Council on Human Rights Policy</w:t>
      </w:r>
      <w:r>
        <w:rPr>
          <w:rFonts w:ascii="Times New Roman" w:hAnsi="Times New Roman" w:cs="Times New Roman"/>
          <w:sz w:val="24"/>
          <w:szCs w:val="24"/>
          <w:vertAlign w:val="baseline"/>
        </w:rPr>
        <w:t xml:space="preserve"> 2009</w:t>
      </w:r>
      <w:r w:rsidRPr="00672137">
        <w:rPr>
          <w:rFonts w:ascii="Times New Roman" w:hAnsi="Times New Roman" w:cs="Times New Roman"/>
          <w:sz w:val="24"/>
          <w:szCs w:val="24"/>
          <w:vertAlign w:val="baseline"/>
        </w:rPr>
        <w:t>)</w:t>
      </w:r>
    </w:p>
    <w:p w14:paraId="33581063" w14:textId="77777777" w:rsidR="003E2C58" w:rsidRDefault="003E2C58" w:rsidP="003E2C58">
      <w:pPr>
        <w:rPr>
          <w:rFonts w:ascii="Times New Roman" w:hAnsi="Times New Roman" w:cs="Times New Roman"/>
          <w:sz w:val="24"/>
          <w:szCs w:val="24"/>
          <w:vertAlign w:val="baseline"/>
        </w:rPr>
      </w:pPr>
    </w:p>
    <w:p w14:paraId="54797011"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 xml:space="preserve">International Women’s Rights Action Watch Asia Pacific, ‘The Validity of the Reservations and Declarations to CEDAW: The Indian Experience’ </w:t>
      </w:r>
      <w:r>
        <w:rPr>
          <w:rFonts w:ascii="Times New Roman" w:hAnsi="Times New Roman" w:cs="Times New Roman"/>
          <w:sz w:val="24"/>
          <w:szCs w:val="24"/>
          <w:vertAlign w:val="baseline"/>
        </w:rPr>
        <w:t xml:space="preserve">(2013) </w:t>
      </w:r>
      <w:r w:rsidRPr="00672137">
        <w:rPr>
          <w:rFonts w:ascii="Times New Roman" w:hAnsi="Times New Roman" w:cs="Times New Roman"/>
          <w:sz w:val="24"/>
          <w:szCs w:val="24"/>
          <w:vertAlign w:val="baseline"/>
        </w:rPr>
        <w:t>IWRAW Asia Pacific Occasional Pap</w:t>
      </w:r>
      <w:r>
        <w:rPr>
          <w:rFonts w:ascii="Times New Roman" w:hAnsi="Times New Roman" w:cs="Times New Roman"/>
          <w:sz w:val="24"/>
          <w:szCs w:val="24"/>
          <w:vertAlign w:val="baseline"/>
        </w:rPr>
        <w:t>ers Series 5</w:t>
      </w:r>
    </w:p>
    <w:p w14:paraId="51CD2EAA" w14:textId="77777777" w:rsidR="003E2C58" w:rsidRDefault="003E2C58" w:rsidP="003E2C58">
      <w:pPr>
        <w:rPr>
          <w:rFonts w:ascii="Times New Roman" w:hAnsi="Times New Roman" w:cs="Times New Roman"/>
          <w:sz w:val="24"/>
          <w:szCs w:val="24"/>
          <w:vertAlign w:val="baseline"/>
        </w:rPr>
      </w:pPr>
    </w:p>
    <w:p w14:paraId="47841E94"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Ishaq</w:t>
      </w:r>
      <w:r>
        <w:rPr>
          <w:rFonts w:ascii="Times New Roman" w:hAnsi="Times New Roman" w:cs="Times New Roman"/>
          <w:sz w:val="24"/>
          <w:szCs w:val="24"/>
          <w:vertAlign w:val="baseline"/>
        </w:rPr>
        <w:t xml:space="preserve"> G</w:t>
      </w:r>
      <w:r w:rsidRPr="00672137">
        <w:rPr>
          <w:rFonts w:ascii="Times New Roman" w:hAnsi="Times New Roman" w:cs="Times New Roman"/>
          <w:sz w:val="24"/>
          <w:szCs w:val="24"/>
          <w:vertAlign w:val="baseline"/>
        </w:rPr>
        <w:t>, ‘The Curse of the Evil Eye’ (Hijab Education, 2014) &lt;</w:t>
      </w:r>
      <w:hyperlink r:id="rId77" w:history="1">
        <w:r w:rsidRPr="002438B4">
          <w:rPr>
            <w:rStyle w:val="Hyperlink"/>
            <w:rFonts w:ascii="Times New Roman" w:hAnsi="Times New Roman" w:cs="Times New Roman"/>
            <w:sz w:val="24"/>
            <w:szCs w:val="24"/>
            <w:vertAlign w:val="baseline"/>
          </w:rPr>
          <w:t>http://www.stunninghijab.com/pages/The-Curse-of-the-Evil-Eye.html&gt; a</w:t>
        </w:r>
      </w:hyperlink>
      <w:r w:rsidRPr="00672137">
        <w:rPr>
          <w:rFonts w:ascii="Times New Roman" w:hAnsi="Times New Roman" w:cs="Times New Roman"/>
          <w:sz w:val="24"/>
          <w:szCs w:val="24"/>
          <w:vertAlign w:val="baseline"/>
        </w:rPr>
        <w:t>ccessed 15 September 2014.</w:t>
      </w:r>
    </w:p>
    <w:p w14:paraId="3295E00B" w14:textId="77777777" w:rsidR="003E2C58" w:rsidRDefault="003E2C58" w:rsidP="003E2C58">
      <w:pPr>
        <w:rPr>
          <w:rFonts w:ascii="Times New Roman" w:hAnsi="Times New Roman" w:cs="Times New Roman"/>
          <w:sz w:val="24"/>
          <w:szCs w:val="24"/>
          <w:vertAlign w:val="baseline"/>
        </w:rPr>
      </w:pPr>
    </w:p>
    <w:p w14:paraId="6D23C5DA" w14:textId="77777777" w:rsidR="00523A45" w:rsidRDefault="00523A45" w:rsidP="00523A45">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Iyengar</w:t>
      </w:r>
      <w:r>
        <w:rPr>
          <w:rFonts w:ascii="Times New Roman" w:hAnsi="Times New Roman" w:cs="Times New Roman"/>
          <w:sz w:val="24"/>
          <w:szCs w:val="24"/>
          <w:vertAlign w:val="baseline"/>
        </w:rPr>
        <w:t xml:space="preserve"> R</w:t>
      </w:r>
      <w:r w:rsidRPr="00672137">
        <w:rPr>
          <w:rFonts w:ascii="Times New Roman" w:hAnsi="Times New Roman" w:cs="Times New Roman"/>
          <w:sz w:val="24"/>
          <w:szCs w:val="24"/>
          <w:vertAlign w:val="baseline"/>
        </w:rPr>
        <w:t>, ‘A State in India just outlawed Witch Hunting but many fear that won’t stop th</w:t>
      </w:r>
      <w:r>
        <w:rPr>
          <w:rFonts w:ascii="Times New Roman" w:hAnsi="Times New Roman" w:cs="Times New Roman"/>
          <w:sz w:val="24"/>
          <w:szCs w:val="24"/>
          <w:vertAlign w:val="baseline"/>
        </w:rPr>
        <w:t>e practice’ (</w:t>
      </w:r>
      <w:r w:rsidRPr="00672137">
        <w:rPr>
          <w:rFonts w:ascii="Times New Roman" w:hAnsi="Times New Roman" w:cs="Times New Roman"/>
          <w:sz w:val="24"/>
          <w:szCs w:val="24"/>
          <w:vertAlign w:val="baseline"/>
        </w:rPr>
        <w:t>Time, 17 August 2015) &lt;</w:t>
      </w:r>
      <w:hyperlink r:id="rId78" w:history="1">
        <w:r w:rsidRPr="00A45BB2">
          <w:rPr>
            <w:rStyle w:val="Hyperlink"/>
            <w:rFonts w:ascii="Times New Roman" w:hAnsi="Times New Roman" w:cs="Times New Roman"/>
            <w:sz w:val="24"/>
            <w:szCs w:val="24"/>
            <w:vertAlign w:val="baseline"/>
          </w:rPr>
          <w:t>http://time.com/4000006/assam-witch-hunting-bill-passed-jharkhand-india/&gt;</w:t>
        </w:r>
      </w:hyperlink>
      <w:r w:rsidRPr="00672137">
        <w:rPr>
          <w:rFonts w:ascii="Times New Roman" w:hAnsi="Times New Roman" w:cs="Times New Roman"/>
          <w:sz w:val="24"/>
          <w:szCs w:val="24"/>
          <w:vertAlign w:val="baseline"/>
        </w:rPr>
        <w:t xml:space="preserve"> accessed 25 August 2015</w:t>
      </w:r>
    </w:p>
    <w:p w14:paraId="44EDAD72" w14:textId="77777777" w:rsidR="00523A45" w:rsidRDefault="00523A45" w:rsidP="003E2C58">
      <w:pPr>
        <w:rPr>
          <w:rFonts w:ascii="Times New Roman" w:hAnsi="Times New Roman" w:cs="Times New Roman"/>
          <w:sz w:val="24"/>
          <w:szCs w:val="24"/>
          <w:vertAlign w:val="baseline"/>
        </w:rPr>
      </w:pPr>
    </w:p>
    <w:p w14:paraId="3AC0DC64"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Jackson</w:t>
      </w:r>
      <w:r>
        <w:rPr>
          <w:rFonts w:ascii="Times New Roman" w:hAnsi="Times New Roman" w:cs="Times New Roman"/>
          <w:sz w:val="24"/>
          <w:szCs w:val="24"/>
          <w:vertAlign w:val="baseline"/>
        </w:rPr>
        <w:t xml:space="preserve"> L</w:t>
      </w:r>
      <w:r w:rsidRPr="00672137">
        <w:rPr>
          <w:rFonts w:ascii="Times New Roman" w:hAnsi="Times New Roman" w:cs="Times New Roman"/>
          <w:sz w:val="24"/>
          <w:szCs w:val="24"/>
          <w:vertAlign w:val="baseline"/>
        </w:rPr>
        <w:t>, ‘Witches, Wives and Mothers: witchcraft persecution and women’s confessions in seventeenth-century England’ (19</w:t>
      </w:r>
      <w:r>
        <w:rPr>
          <w:rFonts w:ascii="Times New Roman" w:hAnsi="Times New Roman" w:cs="Times New Roman"/>
          <w:sz w:val="24"/>
          <w:szCs w:val="24"/>
          <w:vertAlign w:val="baseline"/>
        </w:rPr>
        <w:t>95) 4 (1) Women’s Hist Rev 63</w:t>
      </w:r>
    </w:p>
    <w:p w14:paraId="13D3AC5E" w14:textId="77777777" w:rsidR="003E2C58" w:rsidRDefault="003E2C58" w:rsidP="003E2C58">
      <w:pPr>
        <w:rPr>
          <w:rFonts w:ascii="Times New Roman" w:hAnsi="Times New Roman" w:cs="Times New Roman"/>
          <w:sz w:val="24"/>
          <w:szCs w:val="24"/>
          <w:vertAlign w:val="baseline"/>
        </w:rPr>
      </w:pPr>
    </w:p>
    <w:p w14:paraId="3A8842ED"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Jacobs</w:t>
      </w:r>
      <w:r>
        <w:rPr>
          <w:rFonts w:ascii="Times New Roman" w:hAnsi="Times New Roman" w:cs="Times New Roman"/>
          <w:sz w:val="24"/>
          <w:szCs w:val="24"/>
          <w:vertAlign w:val="baseline"/>
        </w:rPr>
        <w:t xml:space="preserve"> L</w:t>
      </w:r>
      <w:r w:rsidRPr="00672137">
        <w:rPr>
          <w:rFonts w:ascii="Times New Roman" w:hAnsi="Times New Roman" w:cs="Times New Roman"/>
          <w:sz w:val="24"/>
          <w:szCs w:val="24"/>
          <w:vertAlign w:val="baseline"/>
        </w:rPr>
        <w:t xml:space="preserve">, ‘Sin’ in </w:t>
      </w:r>
      <w:r w:rsidRPr="00343C6D">
        <w:rPr>
          <w:rFonts w:ascii="Times New Roman" w:hAnsi="Times New Roman" w:cs="Times New Roman"/>
          <w:i/>
          <w:sz w:val="24"/>
          <w:szCs w:val="24"/>
          <w:vertAlign w:val="baseline"/>
        </w:rPr>
        <w:t>Encyclopaedia Judaica</w:t>
      </w:r>
      <w:r w:rsidRPr="00672137">
        <w:rPr>
          <w:rFonts w:ascii="Times New Roman" w:hAnsi="Times New Roman" w:cs="Times New Roman"/>
          <w:sz w:val="24"/>
          <w:szCs w:val="24"/>
          <w:vertAlign w:val="baseline"/>
        </w:rPr>
        <w:t xml:space="preserve"> (</w:t>
      </w:r>
      <w:r>
        <w:rPr>
          <w:rFonts w:ascii="Times New Roman" w:hAnsi="Times New Roman" w:cs="Times New Roman"/>
          <w:sz w:val="24"/>
          <w:szCs w:val="24"/>
          <w:vertAlign w:val="baseline"/>
        </w:rPr>
        <w:t xml:space="preserve">Vol 14, </w:t>
      </w:r>
      <w:r w:rsidRPr="00672137">
        <w:rPr>
          <w:rFonts w:ascii="Times New Roman" w:hAnsi="Times New Roman" w:cs="Times New Roman"/>
          <w:sz w:val="24"/>
          <w:szCs w:val="24"/>
          <w:vertAlign w:val="baseline"/>
        </w:rPr>
        <w:t>J</w:t>
      </w:r>
      <w:r>
        <w:rPr>
          <w:rFonts w:ascii="Times New Roman" w:hAnsi="Times New Roman" w:cs="Times New Roman"/>
          <w:sz w:val="24"/>
          <w:szCs w:val="24"/>
          <w:vertAlign w:val="baseline"/>
        </w:rPr>
        <w:t xml:space="preserve">erusalem 1972) </w:t>
      </w:r>
    </w:p>
    <w:p w14:paraId="187C6175" w14:textId="77777777" w:rsidR="003E2C58" w:rsidRDefault="003E2C58" w:rsidP="003E2C58">
      <w:pPr>
        <w:rPr>
          <w:rFonts w:ascii="Times New Roman" w:hAnsi="Times New Roman" w:cs="Times New Roman"/>
          <w:sz w:val="24"/>
          <w:szCs w:val="24"/>
          <w:vertAlign w:val="baseline"/>
        </w:rPr>
      </w:pPr>
    </w:p>
    <w:p w14:paraId="76B3736F"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Jacobs</w:t>
      </w:r>
      <w:r>
        <w:rPr>
          <w:rFonts w:ascii="Times New Roman" w:hAnsi="Times New Roman" w:cs="Times New Roman"/>
          <w:sz w:val="24"/>
          <w:szCs w:val="24"/>
          <w:vertAlign w:val="baseline"/>
        </w:rPr>
        <w:t xml:space="preserve"> L</w:t>
      </w:r>
      <w:r w:rsidRPr="00672137">
        <w:rPr>
          <w:rFonts w:ascii="Times New Roman" w:hAnsi="Times New Roman" w:cs="Times New Roman"/>
          <w:sz w:val="24"/>
          <w:szCs w:val="24"/>
          <w:vertAlign w:val="baseline"/>
        </w:rPr>
        <w:t xml:space="preserve">, ‘Satan, the Adversary’ (My Jewish Learning) </w:t>
      </w:r>
      <w:hyperlink r:id="rId79" w:history="1">
        <w:r w:rsidRPr="003D3BB3">
          <w:rPr>
            <w:rStyle w:val="Hyperlink"/>
            <w:rFonts w:ascii="Times New Roman" w:hAnsi="Times New Roman" w:cs="Times New Roman"/>
            <w:sz w:val="24"/>
            <w:szCs w:val="24"/>
            <w:vertAlign w:val="baseline"/>
          </w:rPr>
          <w:t>file://localhost/&lt;http/::www.myjewishlearning.com:beliefs:Theology:Suffering_and_Evil:satan.shtml&gt;</w:t>
        </w:r>
      </w:hyperlink>
      <w:r w:rsidRPr="003D3BB3">
        <w:rPr>
          <w:rFonts w:ascii="Times New Roman" w:hAnsi="Times New Roman" w:cs="Times New Roman"/>
          <w:sz w:val="24"/>
          <w:szCs w:val="24"/>
          <w:vertAlign w:val="baseline"/>
        </w:rPr>
        <w:t>a</w:t>
      </w:r>
      <w:r w:rsidRPr="00672137">
        <w:rPr>
          <w:rFonts w:ascii="Times New Roman" w:hAnsi="Times New Roman" w:cs="Times New Roman"/>
          <w:sz w:val="24"/>
          <w:szCs w:val="24"/>
          <w:vertAlign w:val="baseline"/>
        </w:rPr>
        <w:t>ccessed 10 July 2014.</w:t>
      </w:r>
    </w:p>
    <w:p w14:paraId="5D60506D" w14:textId="77777777" w:rsidR="003E2C58" w:rsidRDefault="003E2C58" w:rsidP="003E2C58">
      <w:pPr>
        <w:rPr>
          <w:rFonts w:ascii="Times New Roman" w:hAnsi="Times New Roman" w:cs="Times New Roman"/>
          <w:sz w:val="24"/>
          <w:szCs w:val="24"/>
          <w:vertAlign w:val="baseline"/>
        </w:rPr>
      </w:pPr>
    </w:p>
    <w:p w14:paraId="52FA3D0A"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Jaiswal</w:t>
      </w:r>
      <w:r>
        <w:rPr>
          <w:rFonts w:ascii="Times New Roman" w:hAnsi="Times New Roman" w:cs="Times New Roman"/>
          <w:sz w:val="24"/>
          <w:szCs w:val="24"/>
          <w:vertAlign w:val="baseline"/>
        </w:rPr>
        <w:t xml:space="preserve"> V</w:t>
      </w:r>
      <w:r w:rsidRPr="00672137">
        <w:rPr>
          <w:rFonts w:ascii="Times New Roman" w:hAnsi="Times New Roman" w:cs="Times New Roman"/>
          <w:sz w:val="24"/>
          <w:szCs w:val="24"/>
          <w:vertAlign w:val="baseline"/>
        </w:rPr>
        <w:t>, ‘Main Features of Indian Constitution’ (Important India, 24 August 2013) &lt;</w:t>
      </w:r>
      <w:hyperlink r:id="rId80" w:history="1">
        <w:r w:rsidRPr="006F10B6">
          <w:rPr>
            <w:rStyle w:val="Hyperlink"/>
            <w:rFonts w:ascii="Times New Roman" w:hAnsi="Times New Roman" w:cs="Times New Roman"/>
            <w:sz w:val="24"/>
            <w:szCs w:val="24"/>
            <w:vertAlign w:val="baseline"/>
          </w:rPr>
          <w:t>http://www.importantindia.com/1986/main-features-of-indian-constitution/&gt;</w:t>
        </w:r>
      </w:hyperlink>
      <w:r w:rsidRPr="00672137">
        <w:rPr>
          <w:rFonts w:ascii="Times New Roman" w:hAnsi="Times New Roman" w:cs="Times New Roman"/>
          <w:sz w:val="24"/>
          <w:szCs w:val="24"/>
          <w:vertAlign w:val="baseline"/>
        </w:rPr>
        <w:t xml:space="preserve"> accessed 25 August 2015</w:t>
      </w:r>
    </w:p>
    <w:p w14:paraId="6504817F" w14:textId="77777777" w:rsidR="003E2C58" w:rsidRDefault="003E2C58" w:rsidP="003E2C58">
      <w:pPr>
        <w:rPr>
          <w:rFonts w:ascii="Times New Roman" w:hAnsi="Times New Roman" w:cs="Times New Roman"/>
          <w:sz w:val="24"/>
          <w:szCs w:val="24"/>
          <w:vertAlign w:val="baseline"/>
        </w:rPr>
      </w:pPr>
    </w:p>
    <w:p w14:paraId="78E8CF4F"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Joseph</w:t>
      </w:r>
      <w:r>
        <w:rPr>
          <w:rFonts w:ascii="Times New Roman" w:hAnsi="Times New Roman" w:cs="Times New Roman"/>
          <w:sz w:val="24"/>
          <w:szCs w:val="24"/>
          <w:vertAlign w:val="baseline"/>
        </w:rPr>
        <w:t xml:space="preserve"> S and </w:t>
      </w:r>
      <w:r w:rsidRPr="00672137">
        <w:rPr>
          <w:rFonts w:ascii="Times New Roman" w:hAnsi="Times New Roman" w:cs="Times New Roman"/>
          <w:sz w:val="24"/>
          <w:szCs w:val="24"/>
          <w:vertAlign w:val="baseline"/>
        </w:rPr>
        <w:t>Castan</w:t>
      </w:r>
      <w:r>
        <w:rPr>
          <w:rFonts w:ascii="Times New Roman" w:hAnsi="Times New Roman" w:cs="Times New Roman"/>
          <w:sz w:val="24"/>
          <w:szCs w:val="24"/>
          <w:vertAlign w:val="baseline"/>
        </w:rPr>
        <w:t xml:space="preserve"> M</w:t>
      </w:r>
      <w:r w:rsidRPr="00672137">
        <w:rPr>
          <w:rFonts w:ascii="Times New Roman" w:hAnsi="Times New Roman" w:cs="Times New Roman"/>
          <w:sz w:val="24"/>
          <w:szCs w:val="24"/>
          <w:vertAlign w:val="baseline"/>
        </w:rPr>
        <w:t xml:space="preserve">, </w:t>
      </w:r>
      <w:r w:rsidRPr="00EB2FDE">
        <w:rPr>
          <w:rFonts w:ascii="Times New Roman" w:hAnsi="Times New Roman" w:cs="Times New Roman"/>
          <w:i/>
          <w:sz w:val="24"/>
          <w:szCs w:val="24"/>
          <w:vertAlign w:val="baseline"/>
        </w:rPr>
        <w:t>The International Covenant on Civil and Political Rights: Cases Materials and Commentary</w:t>
      </w:r>
      <w:r>
        <w:rPr>
          <w:rFonts w:ascii="Times New Roman" w:hAnsi="Times New Roman" w:cs="Times New Roman"/>
          <w:sz w:val="24"/>
          <w:szCs w:val="24"/>
          <w:vertAlign w:val="baseline"/>
        </w:rPr>
        <w:t xml:space="preserve"> (OUP 2013)</w:t>
      </w:r>
    </w:p>
    <w:p w14:paraId="1665F24D" w14:textId="77777777" w:rsidR="003E2C58" w:rsidRDefault="003E2C58" w:rsidP="003E2C58">
      <w:pPr>
        <w:rPr>
          <w:rFonts w:ascii="Times New Roman" w:hAnsi="Times New Roman" w:cs="Times New Roman"/>
          <w:sz w:val="24"/>
          <w:szCs w:val="24"/>
          <w:vertAlign w:val="baseline"/>
        </w:rPr>
      </w:pPr>
    </w:p>
    <w:p w14:paraId="600D3D53"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Joshi SK, ‘Violence against women in Nepal: Role of health care workers’ (2009) 89 Kathmandu University Medical Jou</w:t>
      </w:r>
      <w:r>
        <w:rPr>
          <w:rFonts w:ascii="Times New Roman" w:hAnsi="Times New Roman" w:cs="Times New Roman"/>
          <w:sz w:val="24"/>
          <w:szCs w:val="24"/>
          <w:vertAlign w:val="baseline"/>
        </w:rPr>
        <w:t>rnal 7(2) Issue 26, 89</w:t>
      </w:r>
    </w:p>
    <w:p w14:paraId="76F692AF" w14:textId="77777777" w:rsidR="003E2C58" w:rsidRDefault="003E2C58" w:rsidP="003E2C58">
      <w:pPr>
        <w:rPr>
          <w:rFonts w:ascii="Times New Roman" w:hAnsi="Times New Roman" w:cs="Times New Roman"/>
          <w:sz w:val="24"/>
          <w:szCs w:val="24"/>
          <w:vertAlign w:val="baseline"/>
        </w:rPr>
      </w:pPr>
    </w:p>
    <w:p w14:paraId="6C66353D"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Jung</w:t>
      </w:r>
      <w:r>
        <w:rPr>
          <w:rFonts w:ascii="Times New Roman" w:hAnsi="Times New Roman" w:cs="Times New Roman"/>
          <w:sz w:val="24"/>
          <w:szCs w:val="24"/>
          <w:vertAlign w:val="baseline"/>
        </w:rPr>
        <w:t xml:space="preserve"> CG</w:t>
      </w:r>
      <w:r w:rsidRPr="00672137">
        <w:rPr>
          <w:rFonts w:ascii="Times New Roman" w:hAnsi="Times New Roman" w:cs="Times New Roman"/>
          <w:sz w:val="24"/>
          <w:szCs w:val="24"/>
          <w:vertAlign w:val="baseline"/>
        </w:rPr>
        <w:t xml:space="preserve">, ‘Good and Evil in Analytical Psychology’ in </w:t>
      </w:r>
      <w:r w:rsidRPr="00A33F0E">
        <w:rPr>
          <w:rFonts w:ascii="Times New Roman" w:hAnsi="Times New Roman" w:cs="Times New Roman"/>
          <w:i/>
          <w:sz w:val="24"/>
          <w:szCs w:val="24"/>
          <w:vertAlign w:val="baseline"/>
        </w:rPr>
        <w:t>Civilisation in Transition</w:t>
      </w:r>
      <w:r w:rsidRPr="00672137">
        <w:rPr>
          <w:rFonts w:ascii="Times New Roman" w:hAnsi="Times New Roman" w:cs="Times New Roman"/>
          <w:sz w:val="24"/>
          <w:szCs w:val="24"/>
          <w:vertAlign w:val="baseline"/>
        </w:rPr>
        <w:t xml:space="preserve"> (Volume 1</w:t>
      </w:r>
      <w:r>
        <w:rPr>
          <w:rFonts w:ascii="Times New Roman" w:hAnsi="Times New Roman" w:cs="Times New Roman"/>
          <w:sz w:val="24"/>
          <w:szCs w:val="24"/>
          <w:vertAlign w:val="baseline"/>
        </w:rPr>
        <w:t>0, 2nd edn, Princeton 1970)</w:t>
      </w:r>
    </w:p>
    <w:p w14:paraId="28155421" w14:textId="77777777" w:rsidR="003E2C58" w:rsidRDefault="003E2C58" w:rsidP="003E2C58">
      <w:pPr>
        <w:rPr>
          <w:rFonts w:ascii="Times New Roman" w:hAnsi="Times New Roman" w:cs="Times New Roman"/>
          <w:sz w:val="24"/>
          <w:szCs w:val="24"/>
          <w:vertAlign w:val="baseline"/>
        </w:rPr>
      </w:pPr>
    </w:p>
    <w:p w14:paraId="55495047"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Just</w:t>
      </w:r>
      <w:r>
        <w:rPr>
          <w:rFonts w:ascii="Times New Roman" w:hAnsi="Times New Roman" w:cs="Times New Roman"/>
          <w:sz w:val="24"/>
          <w:szCs w:val="24"/>
          <w:vertAlign w:val="baseline"/>
        </w:rPr>
        <w:t xml:space="preserve"> R</w:t>
      </w:r>
      <w:r w:rsidRPr="00672137">
        <w:rPr>
          <w:rFonts w:ascii="Times New Roman" w:hAnsi="Times New Roman" w:cs="Times New Roman"/>
          <w:sz w:val="24"/>
          <w:szCs w:val="24"/>
          <w:vertAlign w:val="baseline"/>
        </w:rPr>
        <w:t>, ‘E.E. Evans Pritchard’ (Oxford Bibliographies, 1 November 2012) &lt;</w:t>
      </w:r>
      <w:hyperlink r:id="rId81" w:history="1">
        <w:r w:rsidRPr="00C10F42">
          <w:rPr>
            <w:rStyle w:val="Hyperlink"/>
            <w:rFonts w:ascii="Times New Roman" w:hAnsi="Times New Roman" w:cs="Times New Roman"/>
            <w:sz w:val="24"/>
            <w:szCs w:val="24"/>
            <w:vertAlign w:val="baseline"/>
          </w:rPr>
          <w:t>http://www.oxfordbibliographies.com/view/document/obo-9780199766567/obo-9780199766567-0006.xml&gt;</w:t>
        </w:r>
      </w:hyperlink>
      <w:r w:rsidRPr="00672137">
        <w:rPr>
          <w:rFonts w:ascii="Times New Roman" w:hAnsi="Times New Roman" w:cs="Times New Roman"/>
          <w:sz w:val="24"/>
          <w:szCs w:val="24"/>
          <w:vertAlign w:val="baseline"/>
        </w:rPr>
        <w:t xml:space="preserve"> accessed 6 December 2013</w:t>
      </w:r>
    </w:p>
    <w:p w14:paraId="11029204" w14:textId="77777777" w:rsidR="0061692E" w:rsidRDefault="0061692E" w:rsidP="0061692E">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Kapoor</w:t>
      </w:r>
      <w:r>
        <w:rPr>
          <w:rFonts w:ascii="Times New Roman" w:hAnsi="Times New Roman" w:cs="Times New Roman"/>
          <w:sz w:val="24"/>
          <w:szCs w:val="24"/>
          <w:vertAlign w:val="baseline"/>
        </w:rPr>
        <w:t xml:space="preserve"> M</w:t>
      </w:r>
      <w:r w:rsidRPr="00672137">
        <w:rPr>
          <w:rFonts w:ascii="Times New Roman" w:hAnsi="Times New Roman" w:cs="Times New Roman"/>
          <w:sz w:val="24"/>
          <w:szCs w:val="24"/>
          <w:vertAlign w:val="baseline"/>
        </w:rPr>
        <w:t xml:space="preserve">, ‘Witch Hunting on the Rise Across Several Indian States’ </w:t>
      </w:r>
      <w:r w:rsidRPr="001B076E">
        <w:rPr>
          <w:rFonts w:ascii="Times New Roman" w:hAnsi="Times New Roman" w:cs="Times New Roman"/>
          <w:i/>
          <w:sz w:val="24"/>
          <w:szCs w:val="24"/>
          <w:vertAlign w:val="baseline"/>
        </w:rPr>
        <w:t>India Times</w:t>
      </w:r>
      <w:r w:rsidRPr="00672137">
        <w:rPr>
          <w:rFonts w:ascii="Times New Roman" w:hAnsi="Times New Roman" w:cs="Times New Roman"/>
          <w:sz w:val="24"/>
          <w:szCs w:val="24"/>
          <w:vertAlign w:val="baseline"/>
        </w:rPr>
        <w:t xml:space="preserve"> (India, 19 March 2015) &lt;</w:t>
      </w:r>
      <w:hyperlink r:id="rId82" w:history="1">
        <w:r w:rsidRPr="001B076E">
          <w:rPr>
            <w:rStyle w:val="Hyperlink"/>
            <w:rFonts w:ascii="Times New Roman" w:hAnsi="Times New Roman" w:cs="Times New Roman"/>
            <w:sz w:val="24"/>
            <w:szCs w:val="24"/>
            <w:vertAlign w:val="baseline"/>
          </w:rPr>
          <w:t>http://www.indiatimes.com/news/india/witch-hunting-on-the-rise-across-several-indian-states-231133.html&gt;</w:t>
        </w:r>
      </w:hyperlink>
      <w:r w:rsidRPr="00672137">
        <w:rPr>
          <w:rFonts w:ascii="Times New Roman" w:hAnsi="Times New Roman" w:cs="Times New Roman"/>
          <w:sz w:val="24"/>
          <w:szCs w:val="24"/>
          <w:vertAlign w:val="baseline"/>
        </w:rPr>
        <w:t xml:space="preserve"> accessed 25 August 2015</w:t>
      </w:r>
    </w:p>
    <w:p w14:paraId="67751063" w14:textId="77777777" w:rsidR="0061692E" w:rsidRDefault="0061692E" w:rsidP="003E2C58">
      <w:pPr>
        <w:rPr>
          <w:rFonts w:ascii="Times New Roman" w:hAnsi="Times New Roman" w:cs="Times New Roman"/>
          <w:sz w:val="24"/>
          <w:szCs w:val="24"/>
          <w:vertAlign w:val="baseline"/>
        </w:rPr>
      </w:pPr>
    </w:p>
    <w:p w14:paraId="352639AC"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Karlsen</w:t>
      </w:r>
      <w:r>
        <w:rPr>
          <w:rFonts w:ascii="Times New Roman" w:hAnsi="Times New Roman" w:cs="Times New Roman"/>
          <w:sz w:val="24"/>
          <w:szCs w:val="24"/>
          <w:vertAlign w:val="baseline"/>
        </w:rPr>
        <w:t xml:space="preserve"> CF</w:t>
      </w:r>
      <w:r w:rsidRPr="00672137">
        <w:rPr>
          <w:rFonts w:ascii="Times New Roman" w:hAnsi="Times New Roman" w:cs="Times New Roman"/>
          <w:sz w:val="24"/>
          <w:szCs w:val="24"/>
          <w:vertAlign w:val="baseline"/>
        </w:rPr>
        <w:t xml:space="preserve">, </w:t>
      </w:r>
      <w:r w:rsidRPr="00640D25">
        <w:rPr>
          <w:rFonts w:ascii="Times New Roman" w:hAnsi="Times New Roman" w:cs="Times New Roman"/>
          <w:i/>
          <w:sz w:val="24"/>
          <w:szCs w:val="24"/>
          <w:vertAlign w:val="baseline"/>
        </w:rPr>
        <w:t>The Devil in the Shape of a Woman</w:t>
      </w:r>
      <w:r w:rsidRPr="00672137">
        <w:rPr>
          <w:rFonts w:ascii="Times New Roman" w:hAnsi="Times New Roman" w:cs="Times New Roman"/>
          <w:sz w:val="24"/>
          <w:szCs w:val="24"/>
          <w:vertAlign w:val="baseline"/>
        </w:rPr>
        <w:t xml:space="preserve"> (Norton 1987)</w:t>
      </w:r>
    </w:p>
    <w:p w14:paraId="167F4C09" w14:textId="77777777" w:rsidR="003E2C58" w:rsidRDefault="003E2C58" w:rsidP="003E2C58">
      <w:pPr>
        <w:rPr>
          <w:rFonts w:ascii="Times New Roman" w:hAnsi="Times New Roman" w:cs="Times New Roman"/>
          <w:sz w:val="24"/>
          <w:szCs w:val="24"/>
          <w:vertAlign w:val="baseline"/>
        </w:rPr>
      </w:pPr>
    </w:p>
    <w:p w14:paraId="2C94B2DD"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Kerr</w:t>
      </w:r>
      <w:r>
        <w:rPr>
          <w:rFonts w:ascii="Times New Roman" w:hAnsi="Times New Roman" w:cs="Times New Roman"/>
          <w:sz w:val="24"/>
          <w:szCs w:val="24"/>
          <w:vertAlign w:val="baseline"/>
        </w:rPr>
        <w:t xml:space="preserve"> MH</w:t>
      </w:r>
      <w:r w:rsidRPr="00672137">
        <w:rPr>
          <w:rFonts w:ascii="Times New Roman" w:hAnsi="Times New Roman" w:cs="Times New Roman"/>
          <w:sz w:val="24"/>
          <w:szCs w:val="24"/>
          <w:vertAlign w:val="baseline"/>
        </w:rPr>
        <w:t>, Forsyth</w:t>
      </w:r>
      <w:r>
        <w:rPr>
          <w:rFonts w:ascii="Times New Roman" w:hAnsi="Times New Roman" w:cs="Times New Roman"/>
          <w:sz w:val="24"/>
          <w:szCs w:val="24"/>
          <w:vertAlign w:val="baseline"/>
        </w:rPr>
        <w:t xml:space="preserve"> RD</w:t>
      </w:r>
      <w:r w:rsidRPr="00672137">
        <w:rPr>
          <w:rFonts w:ascii="Times New Roman" w:hAnsi="Times New Roman" w:cs="Times New Roman"/>
          <w:sz w:val="24"/>
          <w:szCs w:val="24"/>
          <w:vertAlign w:val="baseline"/>
        </w:rPr>
        <w:t xml:space="preserve"> and Plyley</w:t>
      </w:r>
      <w:r>
        <w:rPr>
          <w:rFonts w:ascii="Times New Roman" w:hAnsi="Times New Roman" w:cs="Times New Roman"/>
          <w:sz w:val="24"/>
          <w:szCs w:val="24"/>
          <w:vertAlign w:val="baseline"/>
        </w:rPr>
        <w:t xml:space="preserve"> MJ</w:t>
      </w:r>
      <w:r w:rsidRPr="00672137">
        <w:rPr>
          <w:rFonts w:ascii="Times New Roman" w:hAnsi="Times New Roman" w:cs="Times New Roman"/>
          <w:sz w:val="24"/>
          <w:szCs w:val="24"/>
          <w:vertAlign w:val="baseline"/>
        </w:rPr>
        <w:t>, ‘Cold Water and Hot Iron: Trial by Ordeal in E</w:t>
      </w:r>
      <w:r>
        <w:rPr>
          <w:rFonts w:ascii="Times New Roman" w:hAnsi="Times New Roman" w:cs="Times New Roman"/>
          <w:sz w:val="24"/>
          <w:szCs w:val="24"/>
          <w:vertAlign w:val="baseline"/>
        </w:rPr>
        <w:t xml:space="preserve">ngland’ (1992) 22(4) J </w:t>
      </w:r>
      <w:r w:rsidRPr="00672137">
        <w:rPr>
          <w:rFonts w:ascii="Times New Roman" w:hAnsi="Times New Roman" w:cs="Times New Roman"/>
          <w:sz w:val="24"/>
          <w:szCs w:val="24"/>
          <w:vertAlign w:val="baseline"/>
        </w:rPr>
        <w:t>In</w:t>
      </w:r>
      <w:r>
        <w:rPr>
          <w:rFonts w:ascii="Times New Roman" w:hAnsi="Times New Roman" w:cs="Times New Roman"/>
          <w:sz w:val="24"/>
          <w:szCs w:val="24"/>
          <w:vertAlign w:val="baseline"/>
        </w:rPr>
        <w:t>terdisciplinary Hist 573</w:t>
      </w:r>
    </w:p>
    <w:p w14:paraId="5F9E8799" w14:textId="77777777" w:rsidR="003E2C58" w:rsidRDefault="003E2C58" w:rsidP="003E2C58">
      <w:pPr>
        <w:rPr>
          <w:rFonts w:ascii="Times New Roman" w:hAnsi="Times New Roman" w:cs="Times New Roman"/>
          <w:sz w:val="24"/>
          <w:szCs w:val="24"/>
          <w:vertAlign w:val="baseline"/>
        </w:rPr>
      </w:pPr>
    </w:p>
    <w:p w14:paraId="5FC4E514"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Kgatla</w:t>
      </w:r>
      <w:r>
        <w:rPr>
          <w:rFonts w:ascii="Times New Roman" w:hAnsi="Times New Roman" w:cs="Times New Roman"/>
          <w:sz w:val="24"/>
          <w:szCs w:val="24"/>
          <w:vertAlign w:val="baseline"/>
        </w:rPr>
        <w:t xml:space="preserve"> ST</w:t>
      </w:r>
      <w:r w:rsidRPr="00672137">
        <w:rPr>
          <w:rFonts w:ascii="Times New Roman" w:hAnsi="Times New Roman" w:cs="Times New Roman"/>
          <w:sz w:val="24"/>
          <w:szCs w:val="24"/>
          <w:vertAlign w:val="baseline"/>
        </w:rPr>
        <w:t>, ‘Containment of Witchcraft Accusations in South Africa: A Search for a Transformational Approach</w:t>
      </w:r>
      <w:r>
        <w:rPr>
          <w:rFonts w:ascii="Times New Roman" w:hAnsi="Times New Roman" w:cs="Times New Roman"/>
          <w:sz w:val="24"/>
          <w:szCs w:val="24"/>
          <w:vertAlign w:val="baseline"/>
        </w:rPr>
        <w:t xml:space="preserve"> to Curb the Problem’ in </w:t>
      </w:r>
      <w:r w:rsidRPr="00672137">
        <w:rPr>
          <w:rFonts w:ascii="Times New Roman" w:hAnsi="Times New Roman" w:cs="Times New Roman"/>
          <w:sz w:val="24"/>
          <w:szCs w:val="24"/>
          <w:vertAlign w:val="baseline"/>
        </w:rPr>
        <w:t>Ter Haar</w:t>
      </w:r>
      <w:r>
        <w:rPr>
          <w:rFonts w:ascii="Times New Roman" w:hAnsi="Times New Roman" w:cs="Times New Roman"/>
          <w:sz w:val="24"/>
          <w:szCs w:val="24"/>
          <w:vertAlign w:val="baseline"/>
        </w:rPr>
        <w:t xml:space="preserve"> G</w:t>
      </w:r>
      <w:r w:rsidRPr="00672137">
        <w:rPr>
          <w:rFonts w:ascii="Times New Roman" w:hAnsi="Times New Roman" w:cs="Times New Roman"/>
          <w:sz w:val="24"/>
          <w:szCs w:val="24"/>
          <w:vertAlign w:val="baseline"/>
        </w:rPr>
        <w:t xml:space="preserve">, </w:t>
      </w:r>
      <w:r w:rsidRPr="00D37D23">
        <w:rPr>
          <w:rFonts w:ascii="Times New Roman" w:hAnsi="Times New Roman" w:cs="Times New Roman"/>
          <w:i/>
          <w:sz w:val="24"/>
          <w:szCs w:val="24"/>
          <w:vertAlign w:val="baseline"/>
        </w:rPr>
        <w:t>Imagining Evil: Witchcraft Beliefs and Accusations in Contemporary Africa</w:t>
      </w:r>
      <w:r>
        <w:rPr>
          <w:rFonts w:ascii="Times New Roman" w:hAnsi="Times New Roman" w:cs="Times New Roman"/>
          <w:i/>
          <w:sz w:val="24"/>
          <w:szCs w:val="24"/>
          <w:vertAlign w:val="baseline"/>
        </w:rPr>
        <w:t xml:space="preserve"> </w:t>
      </w:r>
      <w:r>
        <w:rPr>
          <w:rFonts w:ascii="Times New Roman" w:hAnsi="Times New Roman" w:cs="Times New Roman"/>
          <w:sz w:val="24"/>
          <w:szCs w:val="24"/>
          <w:vertAlign w:val="baseline"/>
        </w:rPr>
        <w:t xml:space="preserve">(Africa World Press 2007) </w:t>
      </w:r>
    </w:p>
    <w:p w14:paraId="1F950AB5" w14:textId="77777777" w:rsidR="003E2C58" w:rsidRDefault="003E2C58" w:rsidP="003E2C58">
      <w:pPr>
        <w:rPr>
          <w:rFonts w:ascii="Times New Roman" w:hAnsi="Times New Roman" w:cs="Times New Roman"/>
          <w:sz w:val="24"/>
          <w:szCs w:val="24"/>
          <w:vertAlign w:val="baseline"/>
        </w:rPr>
      </w:pPr>
    </w:p>
    <w:p w14:paraId="33C87E72"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Kgatla</w:t>
      </w:r>
      <w:r>
        <w:rPr>
          <w:rFonts w:ascii="Times New Roman" w:hAnsi="Times New Roman" w:cs="Times New Roman"/>
          <w:sz w:val="24"/>
          <w:szCs w:val="24"/>
          <w:vertAlign w:val="baseline"/>
        </w:rPr>
        <w:t xml:space="preserve"> T</w:t>
      </w:r>
      <w:r w:rsidRPr="00672137">
        <w:rPr>
          <w:rFonts w:ascii="Times New Roman" w:hAnsi="Times New Roman" w:cs="Times New Roman"/>
          <w:sz w:val="24"/>
          <w:szCs w:val="24"/>
          <w:vertAlign w:val="baseline"/>
        </w:rPr>
        <w:t>, ‘Witch-hunts in modern Africa and early modern Europe (1450-1750): a comparison’ (2012) 38(2) St</w:t>
      </w:r>
      <w:r>
        <w:rPr>
          <w:rFonts w:ascii="Times New Roman" w:hAnsi="Times New Roman" w:cs="Times New Roman"/>
          <w:sz w:val="24"/>
          <w:szCs w:val="24"/>
          <w:vertAlign w:val="baseline"/>
        </w:rPr>
        <w:t>udia Historiae Ecclesiasticae 4</w:t>
      </w:r>
    </w:p>
    <w:p w14:paraId="2DA7BA33" w14:textId="77777777" w:rsidR="003E2C58" w:rsidRDefault="003E2C58" w:rsidP="003E2C58">
      <w:pPr>
        <w:rPr>
          <w:rFonts w:ascii="Times New Roman" w:hAnsi="Times New Roman" w:cs="Times New Roman"/>
          <w:sz w:val="24"/>
          <w:szCs w:val="24"/>
          <w:vertAlign w:val="baseline"/>
        </w:rPr>
      </w:pPr>
    </w:p>
    <w:p w14:paraId="169F07C1"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Kieckhefer</w:t>
      </w:r>
      <w:r>
        <w:rPr>
          <w:rFonts w:ascii="Times New Roman" w:hAnsi="Times New Roman" w:cs="Times New Roman"/>
          <w:sz w:val="24"/>
          <w:szCs w:val="24"/>
          <w:vertAlign w:val="baseline"/>
        </w:rPr>
        <w:t xml:space="preserve"> R</w:t>
      </w:r>
      <w:r w:rsidRPr="00672137">
        <w:rPr>
          <w:rFonts w:ascii="Times New Roman" w:hAnsi="Times New Roman" w:cs="Times New Roman"/>
          <w:sz w:val="24"/>
          <w:szCs w:val="24"/>
          <w:vertAlign w:val="baseline"/>
        </w:rPr>
        <w:t xml:space="preserve">, </w:t>
      </w:r>
      <w:r w:rsidRPr="007A09F3">
        <w:rPr>
          <w:rFonts w:ascii="Times New Roman" w:hAnsi="Times New Roman" w:cs="Times New Roman"/>
          <w:i/>
          <w:sz w:val="24"/>
          <w:szCs w:val="24"/>
          <w:vertAlign w:val="baseline"/>
        </w:rPr>
        <w:t xml:space="preserve">European Witch Trials: Their Foundations in Popular and Learned Culture, 1300-1500 </w:t>
      </w:r>
      <w:r>
        <w:rPr>
          <w:rFonts w:ascii="Times New Roman" w:hAnsi="Times New Roman" w:cs="Times New Roman"/>
          <w:sz w:val="24"/>
          <w:szCs w:val="24"/>
          <w:vertAlign w:val="baseline"/>
        </w:rPr>
        <w:t>(Taylor &amp; Francis 1976)</w:t>
      </w:r>
    </w:p>
    <w:p w14:paraId="6DF926B1" w14:textId="77777777" w:rsidR="003E2C58" w:rsidRDefault="003E2C58" w:rsidP="003E2C58">
      <w:pPr>
        <w:rPr>
          <w:rFonts w:ascii="Times New Roman" w:hAnsi="Times New Roman" w:cs="Times New Roman"/>
          <w:sz w:val="24"/>
          <w:szCs w:val="24"/>
          <w:vertAlign w:val="baseline"/>
        </w:rPr>
      </w:pPr>
    </w:p>
    <w:p w14:paraId="0A4E3B42"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Klaits</w:t>
      </w:r>
      <w:r>
        <w:rPr>
          <w:rFonts w:ascii="Times New Roman" w:hAnsi="Times New Roman" w:cs="Times New Roman"/>
          <w:sz w:val="24"/>
          <w:szCs w:val="24"/>
          <w:vertAlign w:val="baseline"/>
        </w:rPr>
        <w:t xml:space="preserve"> J</w:t>
      </w:r>
      <w:r w:rsidRPr="00672137">
        <w:rPr>
          <w:rFonts w:ascii="Times New Roman" w:hAnsi="Times New Roman" w:cs="Times New Roman"/>
          <w:sz w:val="24"/>
          <w:szCs w:val="24"/>
          <w:vertAlign w:val="baseline"/>
        </w:rPr>
        <w:t xml:space="preserve">, </w:t>
      </w:r>
      <w:r w:rsidRPr="00411923">
        <w:rPr>
          <w:rFonts w:ascii="Times New Roman" w:hAnsi="Times New Roman" w:cs="Times New Roman"/>
          <w:i/>
          <w:sz w:val="24"/>
          <w:szCs w:val="24"/>
          <w:vertAlign w:val="baseline"/>
        </w:rPr>
        <w:t>Servants of Satan: The Age of the Witch Hunts</w:t>
      </w:r>
      <w:r>
        <w:rPr>
          <w:rFonts w:ascii="Times New Roman" w:hAnsi="Times New Roman" w:cs="Times New Roman"/>
          <w:sz w:val="24"/>
          <w:szCs w:val="24"/>
          <w:vertAlign w:val="baseline"/>
        </w:rPr>
        <w:t xml:space="preserve"> (Indiana 1985)</w:t>
      </w:r>
    </w:p>
    <w:p w14:paraId="7643F644" w14:textId="77777777" w:rsidR="003E2C58" w:rsidRDefault="003E2C58" w:rsidP="003E2C58">
      <w:pPr>
        <w:rPr>
          <w:rFonts w:ascii="Times New Roman" w:hAnsi="Times New Roman" w:cs="Times New Roman"/>
          <w:sz w:val="24"/>
          <w:szCs w:val="24"/>
          <w:vertAlign w:val="baseline"/>
        </w:rPr>
      </w:pPr>
    </w:p>
    <w:p w14:paraId="284B7DC0"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Klaniczay</w:t>
      </w:r>
      <w:r>
        <w:rPr>
          <w:rFonts w:ascii="Times New Roman" w:hAnsi="Times New Roman" w:cs="Times New Roman"/>
          <w:sz w:val="24"/>
          <w:szCs w:val="24"/>
          <w:vertAlign w:val="baseline"/>
        </w:rPr>
        <w:t xml:space="preserve"> G</w:t>
      </w:r>
      <w:r w:rsidRPr="00672137">
        <w:rPr>
          <w:rFonts w:ascii="Times New Roman" w:hAnsi="Times New Roman" w:cs="Times New Roman"/>
          <w:sz w:val="24"/>
          <w:szCs w:val="24"/>
          <w:vertAlign w:val="baseline"/>
        </w:rPr>
        <w:t xml:space="preserve">, ‘Magic, Ritual, and Witchcraft,’ </w:t>
      </w:r>
      <w:r>
        <w:rPr>
          <w:rFonts w:ascii="Times New Roman" w:hAnsi="Times New Roman" w:cs="Times New Roman"/>
          <w:sz w:val="24"/>
          <w:szCs w:val="24"/>
          <w:vertAlign w:val="baseline"/>
        </w:rPr>
        <w:t>(2010) 5 (2) Project Muse 188</w:t>
      </w:r>
    </w:p>
    <w:p w14:paraId="7323E9B7" w14:textId="77777777" w:rsidR="003E2C58" w:rsidRDefault="003E2C58" w:rsidP="003E2C58">
      <w:pPr>
        <w:rPr>
          <w:rFonts w:ascii="Times New Roman" w:hAnsi="Times New Roman" w:cs="Times New Roman"/>
          <w:sz w:val="24"/>
          <w:szCs w:val="24"/>
          <w:vertAlign w:val="baseline"/>
        </w:rPr>
      </w:pPr>
    </w:p>
    <w:p w14:paraId="43CA0FCF"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Knop</w:t>
      </w:r>
      <w:r>
        <w:rPr>
          <w:rFonts w:ascii="Times New Roman" w:hAnsi="Times New Roman" w:cs="Times New Roman"/>
          <w:sz w:val="24"/>
          <w:szCs w:val="24"/>
          <w:vertAlign w:val="baseline"/>
        </w:rPr>
        <w:t xml:space="preserve"> K</w:t>
      </w:r>
      <w:r w:rsidRPr="00672137">
        <w:rPr>
          <w:rFonts w:ascii="Times New Roman" w:hAnsi="Times New Roman" w:cs="Times New Roman"/>
          <w:sz w:val="24"/>
          <w:szCs w:val="24"/>
          <w:vertAlign w:val="baseline"/>
        </w:rPr>
        <w:t>, ‘Of the Male Persuasion: The Power of Liber</w:t>
      </w:r>
      <w:r>
        <w:rPr>
          <w:rFonts w:ascii="Times New Roman" w:hAnsi="Times New Roman" w:cs="Times New Roman"/>
          <w:sz w:val="24"/>
          <w:szCs w:val="24"/>
          <w:vertAlign w:val="baseline"/>
        </w:rPr>
        <w:t xml:space="preserve">al Internationalism for Women’ </w:t>
      </w:r>
      <w:r w:rsidRPr="00672137">
        <w:rPr>
          <w:rFonts w:ascii="Times New Roman" w:hAnsi="Times New Roman" w:cs="Times New Roman"/>
          <w:sz w:val="24"/>
          <w:szCs w:val="24"/>
          <w:vertAlign w:val="baseline"/>
        </w:rPr>
        <w:t>(1999) Proceedings Am Soc In</w:t>
      </w:r>
      <w:r>
        <w:rPr>
          <w:rFonts w:ascii="Times New Roman" w:hAnsi="Times New Roman" w:cs="Times New Roman"/>
          <w:sz w:val="24"/>
          <w:szCs w:val="24"/>
          <w:vertAlign w:val="baseline"/>
        </w:rPr>
        <w:t>tl L 177</w:t>
      </w:r>
    </w:p>
    <w:p w14:paraId="39CD5BA1" w14:textId="77777777" w:rsidR="003E2C58" w:rsidRDefault="003E2C58" w:rsidP="003E2C58">
      <w:pPr>
        <w:rPr>
          <w:rFonts w:ascii="Times New Roman" w:hAnsi="Times New Roman" w:cs="Times New Roman"/>
          <w:sz w:val="24"/>
          <w:szCs w:val="24"/>
          <w:vertAlign w:val="baseline"/>
        </w:rPr>
      </w:pPr>
    </w:p>
    <w:p w14:paraId="16410AC1"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Kok</w:t>
      </w:r>
      <w:r>
        <w:rPr>
          <w:rFonts w:ascii="Times New Roman" w:hAnsi="Times New Roman" w:cs="Times New Roman"/>
          <w:sz w:val="24"/>
          <w:szCs w:val="24"/>
          <w:vertAlign w:val="baseline"/>
        </w:rPr>
        <w:t xml:space="preserve"> F</w:t>
      </w:r>
      <w:r w:rsidRPr="00672137">
        <w:rPr>
          <w:rFonts w:ascii="Times New Roman" w:hAnsi="Times New Roman" w:cs="Times New Roman"/>
          <w:sz w:val="24"/>
          <w:szCs w:val="24"/>
          <w:vertAlign w:val="baseline"/>
        </w:rPr>
        <w:t>, ‘Papua New Guinea: invisible and neglected protracted displacement’ (Internal D</w:t>
      </w:r>
      <w:r>
        <w:rPr>
          <w:rFonts w:ascii="Times New Roman" w:hAnsi="Times New Roman" w:cs="Times New Roman"/>
          <w:sz w:val="24"/>
          <w:szCs w:val="24"/>
          <w:vertAlign w:val="baseline"/>
        </w:rPr>
        <w:t xml:space="preserve">isplacement Monitoring Centre, </w:t>
      </w:r>
      <w:r w:rsidRPr="00672137">
        <w:rPr>
          <w:rFonts w:ascii="Times New Roman" w:hAnsi="Times New Roman" w:cs="Times New Roman"/>
          <w:sz w:val="24"/>
          <w:szCs w:val="24"/>
          <w:vertAlign w:val="baseline"/>
        </w:rPr>
        <w:t>11 December 2014) &lt;</w:t>
      </w:r>
      <w:hyperlink r:id="rId83" w:history="1">
        <w:r w:rsidRPr="004B07B5">
          <w:rPr>
            <w:rStyle w:val="Hyperlink"/>
            <w:rFonts w:ascii="Times New Roman" w:hAnsi="Times New Roman" w:cs="Times New Roman"/>
            <w:sz w:val="24"/>
            <w:szCs w:val="24"/>
            <w:vertAlign w:val="baseline"/>
          </w:rPr>
          <w:t>http://www.internal-displacement.org/south-and-south-east-asia/papua-new-guinea/2014/papua-new-guinea-invisible-and-neglected-protracted-displacement&gt; a</w:t>
        </w:r>
      </w:hyperlink>
      <w:r w:rsidRPr="00672137">
        <w:rPr>
          <w:rFonts w:ascii="Times New Roman" w:hAnsi="Times New Roman" w:cs="Times New Roman"/>
          <w:sz w:val="24"/>
          <w:szCs w:val="24"/>
          <w:vertAlign w:val="baseline"/>
        </w:rPr>
        <w:t>ccessed 26 August 2015</w:t>
      </w:r>
    </w:p>
    <w:p w14:paraId="58464ABB" w14:textId="77777777" w:rsidR="003E2C58" w:rsidRDefault="003E2C58" w:rsidP="003E2C58">
      <w:pPr>
        <w:rPr>
          <w:rFonts w:ascii="Times New Roman" w:hAnsi="Times New Roman" w:cs="Times New Roman"/>
          <w:sz w:val="24"/>
          <w:szCs w:val="24"/>
          <w:vertAlign w:val="baseline"/>
        </w:rPr>
      </w:pPr>
    </w:p>
    <w:p w14:paraId="1BADBFC1"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Kors</w:t>
      </w:r>
      <w:r>
        <w:rPr>
          <w:rFonts w:ascii="Times New Roman" w:hAnsi="Times New Roman" w:cs="Times New Roman"/>
          <w:sz w:val="24"/>
          <w:szCs w:val="24"/>
          <w:vertAlign w:val="baseline"/>
        </w:rPr>
        <w:t xml:space="preserve"> AC and </w:t>
      </w:r>
      <w:r w:rsidRPr="00672137">
        <w:rPr>
          <w:rFonts w:ascii="Times New Roman" w:hAnsi="Times New Roman" w:cs="Times New Roman"/>
          <w:sz w:val="24"/>
          <w:szCs w:val="24"/>
          <w:vertAlign w:val="baseline"/>
        </w:rPr>
        <w:t xml:space="preserve">Peters </w:t>
      </w:r>
      <w:r>
        <w:rPr>
          <w:rFonts w:ascii="Times New Roman" w:hAnsi="Times New Roman" w:cs="Times New Roman"/>
          <w:sz w:val="24"/>
          <w:szCs w:val="24"/>
          <w:vertAlign w:val="baseline"/>
        </w:rPr>
        <w:t>E (eds</w:t>
      </w:r>
      <w:r w:rsidRPr="00672137">
        <w:rPr>
          <w:rFonts w:ascii="Times New Roman" w:hAnsi="Times New Roman" w:cs="Times New Roman"/>
          <w:sz w:val="24"/>
          <w:szCs w:val="24"/>
          <w:vertAlign w:val="baseline"/>
        </w:rPr>
        <w:t xml:space="preserve">) </w:t>
      </w:r>
      <w:r w:rsidRPr="00740F99">
        <w:rPr>
          <w:rFonts w:ascii="Times New Roman" w:hAnsi="Times New Roman" w:cs="Times New Roman"/>
          <w:i/>
          <w:sz w:val="24"/>
          <w:szCs w:val="24"/>
          <w:vertAlign w:val="baseline"/>
        </w:rPr>
        <w:t>Witchcraft in Europe, 400- 1700: A Documentary History</w:t>
      </w:r>
      <w:r>
        <w:rPr>
          <w:rFonts w:ascii="Times New Roman" w:hAnsi="Times New Roman" w:cs="Times New Roman"/>
          <w:sz w:val="24"/>
          <w:szCs w:val="24"/>
          <w:vertAlign w:val="baseline"/>
        </w:rPr>
        <w:t xml:space="preserve"> (Pennsylvania 2001)</w:t>
      </w:r>
    </w:p>
    <w:p w14:paraId="73A1FE17" w14:textId="77777777" w:rsidR="003E2C58" w:rsidRDefault="003E2C58" w:rsidP="003E2C58">
      <w:pPr>
        <w:rPr>
          <w:rFonts w:ascii="Times New Roman" w:hAnsi="Times New Roman" w:cs="Times New Roman"/>
          <w:sz w:val="24"/>
          <w:szCs w:val="24"/>
          <w:vertAlign w:val="baseline"/>
        </w:rPr>
      </w:pPr>
    </w:p>
    <w:p w14:paraId="289DB44A"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Kramer</w:t>
      </w:r>
      <w:r>
        <w:rPr>
          <w:rFonts w:ascii="Times New Roman" w:hAnsi="Times New Roman" w:cs="Times New Roman"/>
          <w:sz w:val="24"/>
          <w:szCs w:val="24"/>
          <w:vertAlign w:val="baseline"/>
        </w:rPr>
        <w:t xml:space="preserve"> H, </w:t>
      </w:r>
      <w:r w:rsidRPr="00672137">
        <w:rPr>
          <w:rFonts w:ascii="Times New Roman" w:hAnsi="Times New Roman" w:cs="Times New Roman"/>
          <w:sz w:val="24"/>
          <w:szCs w:val="24"/>
          <w:vertAlign w:val="baseline"/>
        </w:rPr>
        <w:t>Sprenger</w:t>
      </w:r>
      <w:r>
        <w:rPr>
          <w:rFonts w:ascii="Times New Roman" w:hAnsi="Times New Roman" w:cs="Times New Roman"/>
          <w:sz w:val="24"/>
          <w:szCs w:val="24"/>
          <w:vertAlign w:val="baseline"/>
        </w:rPr>
        <w:t xml:space="preserve"> J</w:t>
      </w:r>
      <w:r w:rsidRPr="00672137">
        <w:rPr>
          <w:rFonts w:ascii="Times New Roman" w:hAnsi="Times New Roman" w:cs="Times New Roman"/>
          <w:sz w:val="24"/>
          <w:szCs w:val="24"/>
          <w:vertAlign w:val="baseline"/>
        </w:rPr>
        <w:t xml:space="preserve">, </w:t>
      </w:r>
      <w:r w:rsidRPr="004F06E3">
        <w:rPr>
          <w:rFonts w:ascii="Times New Roman" w:hAnsi="Times New Roman" w:cs="Times New Roman"/>
          <w:i/>
          <w:sz w:val="24"/>
          <w:szCs w:val="24"/>
          <w:vertAlign w:val="baseline"/>
        </w:rPr>
        <w:t>Malleus Maleficarum</w:t>
      </w:r>
      <w:r>
        <w:rPr>
          <w:rFonts w:ascii="Times New Roman" w:hAnsi="Times New Roman" w:cs="Times New Roman"/>
          <w:sz w:val="24"/>
          <w:szCs w:val="24"/>
          <w:vertAlign w:val="baseline"/>
        </w:rPr>
        <w:t xml:space="preserve"> </w:t>
      </w:r>
      <w:r w:rsidRPr="00672137">
        <w:rPr>
          <w:rFonts w:ascii="Times New Roman" w:hAnsi="Times New Roman" w:cs="Times New Roman"/>
          <w:sz w:val="24"/>
          <w:szCs w:val="24"/>
          <w:vertAlign w:val="baseline"/>
        </w:rPr>
        <w:t>(Germany 1486)</w:t>
      </w:r>
    </w:p>
    <w:p w14:paraId="451A3F24" w14:textId="77777777" w:rsidR="003E2C58" w:rsidRDefault="003E2C58" w:rsidP="003E2C58">
      <w:pPr>
        <w:rPr>
          <w:rFonts w:ascii="Times New Roman" w:hAnsi="Times New Roman" w:cs="Times New Roman"/>
          <w:sz w:val="24"/>
          <w:szCs w:val="24"/>
          <w:vertAlign w:val="baseline"/>
        </w:rPr>
      </w:pPr>
    </w:p>
    <w:p w14:paraId="1AF53421"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Kramer</w:t>
      </w:r>
      <w:r>
        <w:rPr>
          <w:rFonts w:ascii="Times New Roman" w:hAnsi="Times New Roman" w:cs="Times New Roman"/>
          <w:sz w:val="24"/>
          <w:szCs w:val="24"/>
          <w:vertAlign w:val="baseline"/>
        </w:rPr>
        <w:t xml:space="preserve"> L</w:t>
      </w:r>
      <w:r w:rsidRPr="00672137">
        <w:rPr>
          <w:rFonts w:ascii="Times New Roman" w:hAnsi="Times New Roman" w:cs="Times New Roman"/>
          <w:sz w:val="24"/>
          <w:szCs w:val="24"/>
          <w:vertAlign w:val="baseline"/>
        </w:rPr>
        <w:t xml:space="preserve">, </w:t>
      </w:r>
      <w:r w:rsidRPr="009D5FAB">
        <w:rPr>
          <w:rFonts w:ascii="Times New Roman" w:hAnsi="Times New Roman" w:cs="Times New Roman"/>
          <w:i/>
          <w:sz w:val="24"/>
          <w:szCs w:val="24"/>
          <w:vertAlign w:val="baseline"/>
        </w:rPr>
        <w:t>The sociology of gender: A brief introduction</w:t>
      </w:r>
      <w:r>
        <w:rPr>
          <w:rFonts w:ascii="Times New Roman" w:hAnsi="Times New Roman" w:cs="Times New Roman"/>
          <w:sz w:val="24"/>
          <w:szCs w:val="24"/>
          <w:vertAlign w:val="baseline"/>
        </w:rPr>
        <w:t xml:space="preserve"> (3rd edn, OUP 2005)</w:t>
      </w:r>
    </w:p>
    <w:p w14:paraId="4BDD869E" w14:textId="77777777" w:rsidR="003E2C58" w:rsidRDefault="003E2C58" w:rsidP="003E2C58">
      <w:pPr>
        <w:rPr>
          <w:rFonts w:ascii="Times New Roman" w:hAnsi="Times New Roman" w:cs="Times New Roman"/>
          <w:sz w:val="24"/>
          <w:szCs w:val="24"/>
          <w:vertAlign w:val="baseline"/>
        </w:rPr>
      </w:pPr>
    </w:p>
    <w:p w14:paraId="0C8230D2"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Krishnan</w:t>
      </w:r>
      <w:r>
        <w:rPr>
          <w:rFonts w:ascii="Times New Roman" w:hAnsi="Times New Roman" w:cs="Times New Roman"/>
          <w:sz w:val="24"/>
          <w:szCs w:val="24"/>
          <w:vertAlign w:val="baseline"/>
        </w:rPr>
        <w:t xml:space="preserve"> JK</w:t>
      </w:r>
      <w:r w:rsidRPr="00672137">
        <w:rPr>
          <w:rFonts w:ascii="Times New Roman" w:hAnsi="Times New Roman" w:cs="Times New Roman"/>
          <w:sz w:val="24"/>
          <w:szCs w:val="24"/>
          <w:vertAlign w:val="baseline"/>
        </w:rPr>
        <w:t>, ‘The significance of judicial power in India’ in Yeh</w:t>
      </w:r>
      <w:r>
        <w:rPr>
          <w:rFonts w:ascii="Times New Roman" w:hAnsi="Times New Roman" w:cs="Times New Roman"/>
          <w:sz w:val="24"/>
          <w:szCs w:val="24"/>
          <w:vertAlign w:val="baseline"/>
        </w:rPr>
        <w:t xml:space="preserve"> JR</w:t>
      </w:r>
      <w:r w:rsidRPr="00672137">
        <w:rPr>
          <w:rFonts w:ascii="Times New Roman" w:hAnsi="Times New Roman" w:cs="Times New Roman"/>
          <w:sz w:val="24"/>
          <w:szCs w:val="24"/>
          <w:vertAlign w:val="baseline"/>
        </w:rPr>
        <w:t xml:space="preserve"> and Chang </w:t>
      </w:r>
      <w:r>
        <w:rPr>
          <w:rFonts w:ascii="Times New Roman" w:hAnsi="Times New Roman" w:cs="Times New Roman"/>
          <w:sz w:val="24"/>
          <w:szCs w:val="24"/>
          <w:vertAlign w:val="baseline"/>
        </w:rPr>
        <w:t xml:space="preserve">WC </w:t>
      </w:r>
      <w:r w:rsidRPr="00672137">
        <w:rPr>
          <w:rFonts w:ascii="Times New Roman" w:hAnsi="Times New Roman" w:cs="Times New Roman"/>
          <w:sz w:val="24"/>
          <w:szCs w:val="24"/>
          <w:vertAlign w:val="baseline"/>
        </w:rPr>
        <w:t xml:space="preserve">(eds) </w:t>
      </w:r>
      <w:r w:rsidRPr="00482734">
        <w:rPr>
          <w:rFonts w:ascii="Times New Roman" w:hAnsi="Times New Roman" w:cs="Times New Roman"/>
          <w:i/>
          <w:sz w:val="24"/>
          <w:szCs w:val="24"/>
          <w:vertAlign w:val="baseline"/>
        </w:rPr>
        <w:t>Asian Courts in Context</w:t>
      </w:r>
      <w:r w:rsidRPr="00672137">
        <w:rPr>
          <w:rFonts w:ascii="Times New Roman" w:hAnsi="Times New Roman" w:cs="Times New Roman"/>
          <w:sz w:val="24"/>
          <w:szCs w:val="24"/>
          <w:vertAlign w:val="baseline"/>
        </w:rPr>
        <w:t xml:space="preserve"> (</w:t>
      </w:r>
      <w:r>
        <w:rPr>
          <w:rFonts w:ascii="Times New Roman" w:hAnsi="Times New Roman" w:cs="Times New Roman"/>
          <w:sz w:val="24"/>
          <w:szCs w:val="24"/>
          <w:vertAlign w:val="baseline"/>
        </w:rPr>
        <w:t>CUP</w:t>
      </w:r>
      <w:r w:rsidRPr="00672137">
        <w:rPr>
          <w:rFonts w:ascii="Times New Roman" w:hAnsi="Times New Roman" w:cs="Times New Roman"/>
          <w:sz w:val="24"/>
          <w:szCs w:val="24"/>
          <w:vertAlign w:val="baseline"/>
        </w:rPr>
        <w:t xml:space="preserve"> 2</w:t>
      </w:r>
      <w:r>
        <w:rPr>
          <w:rFonts w:ascii="Times New Roman" w:hAnsi="Times New Roman" w:cs="Times New Roman"/>
          <w:sz w:val="24"/>
          <w:szCs w:val="24"/>
          <w:vertAlign w:val="baseline"/>
        </w:rPr>
        <w:t>015)</w:t>
      </w:r>
    </w:p>
    <w:p w14:paraId="79979E76" w14:textId="77777777" w:rsidR="003E2C58" w:rsidRDefault="003E2C58" w:rsidP="003E2C58">
      <w:pPr>
        <w:rPr>
          <w:rFonts w:ascii="Times New Roman" w:hAnsi="Times New Roman" w:cs="Times New Roman"/>
          <w:sz w:val="24"/>
          <w:szCs w:val="24"/>
          <w:vertAlign w:val="baseline"/>
        </w:rPr>
      </w:pPr>
    </w:p>
    <w:p w14:paraId="48A6FB38"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Kuharik</w:t>
      </w:r>
      <w:r>
        <w:rPr>
          <w:rFonts w:ascii="Times New Roman" w:hAnsi="Times New Roman" w:cs="Times New Roman"/>
          <w:sz w:val="24"/>
          <w:szCs w:val="24"/>
          <w:vertAlign w:val="baseline"/>
        </w:rPr>
        <w:t xml:space="preserve"> B</w:t>
      </w:r>
      <w:r w:rsidRPr="00672137">
        <w:rPr>
          <w:rFonts w:ascii="Times New Roman" w:hAnsi="Times New Roman" w:cs="Times New Roman"/>
          <w:sz w:val="24"/>
          <w:szCs w:val="24"/>
          <w:vertAlign w:val="baseline"/>
        </w:rPr>
        <w:t xml:space="preserve">, </w:t>
      </w:r>
      <w:r w:rsidRPr="00B23233">
        <w:rPr>
          <w:rFonts w:ascii="Times New Roman" w:hAnsi="Times New Roman" w:cs="Times New Roman"/>
          <w:i/>
          <w:sz w:val="24"/>
          <w:szCs w:val="24"/>
          <w:vertAlign w:val="baseline"/>
        </w:rPr>
        <w:t>The Esoteric Code: Hindu Demons</w:t>
      </w:r>
      <w:r>
        <w:rPr>
          <w:rFonts w:ascii="Times New Roman" w:hAnsi="Times New Roman" w:cs="Times New Roman"/>
          <w:sz w:val="24"/>
          <w:szCs w:val="24"/>
          <w:vertAlign w:val="baseline"/>
        </w:rPr>
        <w:t xml:space="preserve"> (Lulu.com 2015)</w:t>
      </w:r>
    </w:p>
    <w:p w14:paraId="490071FA" w14:textId="77777777" w:rsidR="003E2C58" w:rsidRDefault="003E2C58" w:rsidP="003E2C58">
      <w:pPr>
        <w:rPr>
          <w:rFonts w:ascii="Times New Roman" w:hAnsi="Times New Roman" w:cs="Times New Roman"/>
          <w:sz w:val="24"/>
          <w:szCs w:val="24"/>
          <w:vertAlign w:val="baseline"/>
        </w:rPr>
      </w:pPr>
    </w:p>
    <w:p w14:paraId="2AFF3C64" w14:textId="77777777" w:rsidR="00275FEC" w:rsidRDefault="00275FEC" w:rsidP="00275FEC">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Kup Women for Peace &lt;</w:t>
      </w:r>
      <w:hyperlink r:id="rId84" w:history="1">
        <w:r w:rsidRPr="004877C8">
          <w:rPr>
            <w:rStyle w:val="Hyperlink"/>
            <w:rFonts w:ascii="Times New Roman" w:hAnsi="Times New Roman" w:cs="Times New Roman"/>
            <w:sz w:val="24"/>
            <w:szCs w:val="24"/>
            <w:vertAlign w:val="baseline"/>
          </w:rPr>
          <w:t>http://www.oxfam.org.nz/what-we-do/where-we-work/papua-new-guinea/our-partners/kup-women-for-peace&gt;</w:t>
        </w:r>
      </w:hyperlink>
      <w:r w:rsidRPr="00672137">
        <w:rPr>
          <w:rFonts w:ascii="Times New Roman" w:hAnsi="Times New Roman" w:cs="Times New Roman"/>
          <w:sz w:val="24"/>
          <w:szCs w:val="24"/>
          <w:vertAlign w:val="baseline"/>
        </w:rPr>
        <w:t xml:space="preserve"> accessed 8 September 2015</w:t>
      </w:r>
    </w:p>
    <w:p w14:paraId="232DB180" w14:textId="77777777" w:rsidR="00275FEC" w:rsidRDefault="00275FEC" w:rsidP="004C0036">
      <w:pPr>
        <w:rPr>
          <w:rFonts w:ascii="Times New Roman" w:hAnsi="Times New Roman" w:cs="Times New Roman"/>
          <w:sz w:val="24"/>
          <w:szCs w:val="24"/>
          <w:vertAlign w:val="baseline"/>
        </w:rPr>
      </w:pPr>
    </w:p>
    <w:p w14:paraId="29766E02" w14:textId="77777777" w:rsidR="004C0036" w:rsidRDefault="004C0036" w:rsidP="004C0036">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Laary</w:t>
      </w:r>
      <w:r>
        <w:rPr>
          <w:rFonts w:ascii="Times New Roman" w:hAnsi="Times New Roman" w:cs="Times New Roman"/>
          <w:sz w:val="24"/>
          <w:szCs w:val="24"/>
          <w:vertAlign w:val="baseline"/>
        </w:rPr>
        <w:t xml:space="preserve"> D</w:t>
      </w:r>
      <w:r w:rsidRPr="00672137">
        <w:rPr>
          <w:rFonts w:ascii="Times New Roman" w:hAnsi="Times New Roman" w:cs="Times New Roman"/>
          <w:sz w:val="24"/>
          <w:szCs w:val="24"/>
          <w:vertAlign w:val="baseline"/>
        </w:rPr>
        <w:t xml:space="preserve">, ‘Ghana shuts down witches’ camp’ </w:t>
      </w:r>
      <w:r w:rsidRPr="00FF6C47">
        <w:rPr>
          <w:rFonts w:ascii="Times New Roman" w:hAnsi="Times New Roman" w:cs="Times New Roman"/>
          <w:i/>
          <w:sz w:val="24"/>
          <w:szCs w:val="24"/>
          <w:vertAlign w:val="baseline"/>
        </w:rPr>
        <w:t>The Africa Report</w:t>
      </w:r>
      <w:r w:rsidRPr="00672137">
        <w:rPr>
          <w:rFonts w:ascii="Times New Roman" w:hAnsi="Times New Roman" w:cs="Times New Roman"/>
          <w:sz w:val="24"/>
          <w:szCs w:val="24"/>
          <w:vertAlign w:val="baseline"/>
        </w:rPr>
        <w:t xml:space="preserve"> (Ghana 19 December 2014) &lt;</w:t>
      </w:r>
      <w:hyperlink r:id="rId85" w:history="1">
        <w:r w:rsidRPr="00FF6C47">
          <w:rPr>
            <w:rStyle w:val="Hyperlink"/>
            <w:rFonts w:ascii="Times New Roman" w:hAnsi="Times New Roman" w:cs="Times New Roman"/>
            <w:sz w:val="24"/>
            <w:szCs w:val="24"/>
            <w:vertAlign w:val="baseline"/>
          </w:rPr>
          <w:t>http://www.theafricareport.com/Society-and-Culture/ghana-shuts-down-witches-camp.html&gt; a</w:t>
        </w:r>
      </w:hyperlink>
      <w:r w:rsidRPr="00672137">
        <w:rPr>
          <w:rFonts w:ascii="Times New Roman" w:hAnsi="Times New Roman" w:cs="Times New Roman"/>
          <w:sz w:val="24"/>
          <w:szCs w:val="24"/>
          <w:vertAlign w:val="baseline"/>
        </w:rPr>
        <w:t>ccessed 24 November 2015</w:t>
      </w:r>
    </w:p>
    <w:p w14:paraId="3FA148E6" w14:textId="77777777" w:rsidR="004C0036" w:rsidRDefault="004C0036" w:rsidP="003E2C58">
      <w:pPr>
        <w:rPr>
          <w:rFonts w:ascii="Times New Roman" w:hAnsi="Times New Roman" w:cs="Times New Roman"/>
          <w:sz w:val="24"/>
          <w:szCs w:val="24"/>
          <w:vertAlign w:val="baseline"/>
        </w:rPr>
      </w:pPr>
    </w:p>
    <w:p w14:paraId="31216D78"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Lambert</w:t>
      </w:r>
      <w:r>
        <w:rPr>
          <w:rFonts w:ascii="Times New Roman" w:hAnsi="Times New Roman" w:cs="Times New Roman"/>
          <w:sz w:val="24"/>
          <w:szCs w:val="24"/>
          <w:vertAlign w:val="baseline"/>
        </w:rPr>
        <w:t xml:space="preserve"> MD</w:t>
      </w:r>
      <w:r w:rsidRPr="00672137">
        <w:rPr>
          <w:rFonts w:ascii="Times New Roman" w:hAnsi="Times New Roman" w:cs="Times New Roman"/>
          <w:sz w:val="24"/>
          <w:szCs w:val="24"/>
          <w:vertAlign w:val="baseline"/>
        </w:rPr>
        <w:t xml:space="preserve">, </w:t>
      </w:r>
      <w:r w:rsidRPr="00BA39CA">
        <w:rPr>
          <w:rFonts w:ascii="Times New Roman" w:hAnsi="Times New Roman" w:cs="Times New Roman"/>
          <w:i/>
          <w:sz w:val="24"/>
          <w:szCs w:val="24"/>
          <w:vertAlign w:val="baseline"/>
        </w:rPr>
        <w:t>The Cathars (Peoples of Europe)</w:t>
      </w:r>
      <w:r>
        <w:rPr>
          <w:rFonts w:ascii="Times New Roman" w:hAnsi="Times New Roman" w:cs="Times New Roman"/>
          <w:sz w:val="24"/>
          <w:szCs w:val="24"/>
          <w:vertAlign w:val="baseline"/>
        </w:rPr>
        <w:t xml:space="preserve"> (Blackwell 1988)</w:t>
      </w:r>
    </w:p>
    <w:p w14:paraId="6A7172C7" w14:textId="77777777" w:rsidR="003E2C58" w:rsidRDefault="003E2C58" w:rsidP="003E2C58">
      <w:pPr>
        <w:rPr>
          <w:rFonts w:ascii="Times New Roman" w:hAnsi="Times New Roman" w:cs="Times New Roman"/>
          <w:sz w:val="24"/>
          <w:szCs w:val="24"/>
          <w:vertAlign w:val="baseline"/>
        </w:rPr>
      </w:pPr>
    </w:p>
    <w:p w14:paraId="1D4D227F"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Larner</w:t>
      </w:r>
      <w:r>
        <w:rPr>
          <w:rFonts w:ascii="Times New Roman" w:hAnsi="Times New Roman" w:cs="Times New Roman"/>
          <w:sz w:val="24"/>
          <w:szCs w:val="24"/>
          <w:vertAlign w:val="baseline"/>
        </w:rPr>
        <w:t xml:space="preserve"> C</w:t>
      </w:r>
      <w:r w:rsidRPr="00672137">
        <w:rPr>
          <w:rFonts w:ascii="Times New Roman" w:hAnsi="Times New Roman" w:cs="Times New Roman"/>
          <w:sz w:val="24"/>
          <w:szCs w:val="24"/>
          <w:vertAlign w:val="baseline"/>
        </w:rPr>
        <w:t xml:space="preserve">, </w:t>
      </w:r>
      <w:r w:rsidRPr="00133A64">
        <w:rPr>
          <w:rFonts w:ascii="Times New Roman" w:hAnsi="Times New Roman" w:cs="Times New Roman"/>
          <w:i/>
          <w:sz w:val="24"/>
          <w:szCs w:val="24"/>
          <w:vertAlign w:val="baseline"/>
        </w:rPr>
        <w:t>Enemies of God</w:t>
      </w:r>
      <w:r>
        <w:rPr>
          <w:rFonts w:ascii="Times New Roman" w:hAnsi="Times New Roman" w:cs="Times New Roman"/>
          <w:sz w:val="24"/>
          <w:szCs w:val="24"/>
          <w:vertAlign w:val="baseline"/>
        </w:rPr>
        <w:t xml:space="preserve"> (Blackwell 1983)</w:t>
      </w:r>
    </w:p>
    <w:p w14:paraId="333132B0" w14:textId="77777777" w:rsidR="003E2C58" w:rsidRDefault="003E2C58" w:rsidP="003E2C58">
      <w:pPr>
        <w:rPr>
          <w:rFonts w:ascii="Times New Roman" w:hAnsi="Times New Roman" w:cs="Times New Roman"/>
          <w:sz w:val="24"/>
          <w:szCs w:val="24"/>
          <w:vertAlign w:val="baseline"/>
        </w:rPr>
      </w:pPr>
    </w:p>
    <w:p w14:paraId="01724788"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Laufer</w:t>
      </w:r>
      <w:r>
        <w:rPr>
          <w:rFonts w:ascii="Times New Roman" w:hAnsi="Times New Roman" w:cs="Times New Roman"/>
          <w:sz w:val="24"/>
          <w:szCs w:val="24"/>
          <w:vertAlign w:val="baseline"/>
        </w:rPr>
        <w:t xml:space="preserve"> B</w:t>
      </w:r>
      <w:r w:rsidRPr="00672137">
        <w:rPr>
          <w:rFonts w:ascii="Times New Roman" w:hAnsi="Times New Roman" w:cs="Times New Roman"/>
          <w:sz w:val="24"/>
          <w:szCs w:val="24"/>
          <w:vertAlign w:val="baseline"/>
        </w:rPr>
        <w:t>, ‘Origin of the Word Shaman’ (1917) 19(3</w:t>
      </w:r>
      <w:r>
        <w:rPr>
          <w:rFonts w:ascii="Times New Roman" w:hAnsi="Times New Roman" w:cs="Times New Roman"/>
          <w:sz w:val="24"/>
          <w:szCs w:val="24"/>
          <w:vertAlign w:val="baseline"/>
        </w:rPr>
        <w:t>) Amer Anthrop 361</w:t>
      </w:r>
    </w:p>
    <w:p w14:paraId="182EEBB9" w14:textId="77777777" w:rsidR="003E2C58" w:rsidRDefault="003E2C58" w:rsidP="003E2C58">
      <w:pPr>
        <w:rPr>
          <w:rFonts w:ascii="Times New Roman" w:hAnsi="Times New Roman" w:cs="Times New Roman"/>
          <w:sz w:val="24"/>
          <w:szCs w:val="24"/>
          <w:vertAlign w:val="baseline"/>
        </w:rPr>
      </w:pPr>
    </w:p>
    <w:p w14:paraId="1844C996" w14:textId="21CE936F" w:rsidR="00B30F65" w:rsidRDefault="00B30F65" w:rsidP="003E2C58">
      <w:pPr>
        <w:rPr>
          <w:rFonts w:ascii="Times New Roman" w:hAnsi="Times New Roman" w:cs="Times New Roman"/>
          <w:sz w:val="24"/>
          <w:szCs w:val="24"/>
          <w:vertAlign w:val="baseline"/>
        </w:rPr>
      </w:pPr>
      <w:r w:rsidRPr="00B30F65">
        <w:rPr>
          <w:rFonts w:ascii="Times New Roman" w:hAnsi="Times New Roman" w:cs="Times New Roman"/>
          <w:sz w:val="24"/>
          <w:szCs w:val="24"/>
          <w:vertAlign w:val="baseline"/>
        </w:rPr>
        <w:t>Leeuwen</w:t>
      </w:r>
      <w:r>
        <w:rPr>
          <w:rFonts w:ascii="Times New Roman" w:hAnsi="Times New Roman" w:cs="Times New Roman"/>
          <w:sz w:val="24"/>
          <w:szCs w:val="24"/>
          <w:vertAlign w:val="baseline"/>
        </w:rPr>
        <w:t xml:space="preserve"> FV</w:t>
      </w:r>
      <w:r w:rsidRPr="00B30F65">
        <w:rPr>
          <w:rFonts w:ascii="Times New Roman" w:hAnsi="Times New Roman" w:cs="Times New Roman"/>
          <w:sz w:val="24"/>
          <w:szCs w:val="24"/>
          <w:vertAlign w:val="baseline"/>
        </w:rPr>
        <w:t>, ‘Women’s rights are human rights!’: the practice of the United Nations Human Rights Committee and the Committee on Economic, Social and Cultural Rights,’ in Hellum</w:t>
      </w:r>
      <w:r w:rsidR="000A675B">
        <w:rPr>
          <w:rFonts w:ascii="Times New Roman" w:hAnsi="Times New Roman" w:cs="Times New Roman"/>
          <w:sz w:val="24"/>
          <w:szCs w:val="24"/>
          <w:vertAlign w:val="baseline"/>
        </w:rPr>
        <w:t xml:space="preserve"> A and </w:t>
      </w:r>
      <w:r w:rsidRPr="00B30F65">
        <w:rPr>
          <w:rFonts w:ascii="Times New Roman" w:hAnsi="Times New Roman" w:cs="Times New Roman"/>
          <w:sz w:val="24"/>
          <w:szCs w:val="24"/>
          <w:vertAlign w:val="baseline"/>
        </w:rPr>
        <w:t>Sinding Aasen</w:t>
      </w:r>
      <w:r w:rsidR="000A675B">
        <w:rPr>
          <w:rFonts w:ascii="Times New Roman" w:hAnsi="Times New Roman" w:cs="Times New Roman"/>
          <w:sz w:val="24"/>
          <w:szCs w:val="24"/>
          <w:vertAlign w:val="baseline"/>
        </w:rPr>
        <w:t xml:space="preserve"> H</w:t>
      </w:r>
      <w:r w:rsidRPr="00B30F65">
        <w:rPr>
          <w:rFonts w:ascii="Times New Roman" w:hAnsi="Times New Roman" w:cs="Times New Roman"/>
          <w:sz w:val="24"/>
          <w:szCs w:val="24"/>
          <w:vertAlign w:val="baseline"/>
        </w:rPr>
        <w:t xml:space="preserve">, </w:t>
      </w:r>
      <w:r w:rsidRPr="00B30F65">
        <w:rPr>
          <w:rFonts w:ascii="Times New Roman" w:hAnsi="Times New Roman" w:cs="Times New Roman"/>
          <w:i/>
          <w:sz w:val="24"/>
          <w:szCs w:val="24"/>
          <w:vertAlign w:val="baseline"/>
        </w:rPr>
        <w:t>Women’s Human Rights: CEDAW in International, Regional and National Law</w:t>
      </w:r>
      <w:r w:rsidRPr="00B30F65">
        <w:rPr>
          <w:rFonts w:ascii="Times New Roman" w:hAnsi="Times New Roman" w:cs="Times New Roman"/>
          <w:sz w:val="24"/>
          <w:szCs w:val="24"/>
          <w:vertAlign w:val="baseline"/>
        </w:rPr>
        <w:t xml:space="preserve"> (CUP 2013)</w:t>
      </w:r>
    </w:p>
    <w:p w14:paraId="47F1D6E8" w14:textId="77777777" w:rsidR="00B30F65" w:rsidRPr="00B30F65" w:rsidRDefault="00B30F65" w:rsidP="003E2C58">
      <w:pPr>
        <w:rPr>
          <w:rFonts w:ascii="Times New Roman" w:hAnsi="Times New Roman" w:cs="Times New Roman"/>
          <w:sz w:val="24"/>
          <w:szCs w:val="24"/>
          <w:vertAlign w:val="baseline"/>
        </w:rPr>
      </w:pPr>
    </w:p>
    <w:p w14:paraId="5B15DE57"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Lesser</w:t>
      </w:r>
      <w:r>
        <w:rPr>
          <w:rFonts w:ascii="Times New Roman" w:hAnsi="Times New Roman" w:cs="Times New Roman"/>
          <w:sz w:val="24"/>
          <w:szCs w:val="24"/>
          <w:vertAlign w:val="baseline"/>
        </w:rPr>
        <w:t xml:space="preserve"> A</w:t>
      </w:r>
      <w:r w:rsidRPr="00672137">
        <w:rPr>
          <w:rFonts w:ascii="Times New Roman" w:hAnsi="Times New Roman" w:cs="Times New Roman"/>
          <w:sz w:val="24"/>
          <w:szCs w:val="24"/>
          <w:vertAlign w:val="baseline"/>
        </w:rPr>
        <w:t xml:space="preserve">, </w:t>
      </w:r>
      <w:r>
        <w:rPr>
          <w:rFonts w:ascii="Times New Roman" w:hAnsi="Times New Roman" w:cs="Times New Roman"/>
          <w:sz w:val="24"/>
          <w:szCs w:val="24"/>
          <w:vertAlign w:val="baseline"/>
        </w:rPr>
        <w:t>‘Superstition’ (1931) 28(3) J Phil 618</w:t>
      </w:r>
    </w:p>
    <w:p w14:paraId="70FF958B" w14:textId="77777777" w:rsidR="003E2C58" w:rsidRDefault="003E2C58" w:rsidP="003E2C58">
      <w:pPr>
        <w:rPr>
          <w:rFonts w:ascii="Times New Roman" w:hAnsi="Times New Roman" w:cs="Times New Roman"/>
          <w:sz w:val="24"/>
          <w:szCs w:val="24"/>
          <w:vertAlign w:val="baseline"/>
        </w:rPr>
      </w:pPr>
    </w:p>
    <w:p w14:paraId="1818E73D"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Levack</w:t>
      </w:r>
      <w:r>
        <w:rPr>
          <w:rFonts w:ascii="Times New Roman" w:hAnsi="Times New Roman" w:cs="Times New Roman"/>
          <w:sz w:val="24"/>
          <w:szCs w:val="24"/>
          <w:vertAlign w:val="baseline"/>
        </w:rPr>
        <w:t xml:space="preserve"> BP</w:t>
      </w:r>
      <w:r w:rsidRPr="00672137">
        <w:rPr>
          <w:rFonts w:ascii="Times New Roman" w:hAnsi="Times New Roman" w:cs="Times New Roman"/>
          <w:sz w:val="24"/>
          <w:szCs w:val="24"/>
          <w:vertAlign w:val="baseline"/>
        </w:rPr>
        <w:t xml:space="preserve">, </w:t>
      </w:r>
      <w:r w:rsidRPr="00065943">
        <w:rPr>
          <w:rFonts w:ascii="Times New Roman" w:hAnsi="Times New Roman" w:cs="Times New Roman"/>
          <w:i/>
          <w:sz w:val="24"/>
          <w:szCs w:val="24"/>
          <w:vertAlign w:val="baseline"/>
        </w:rPr>
        <w:t>The Witch-Hunt in Early Modern Europe</w:t>
      </w:r>
      <w:r>
        <w:rPr>
          <w:rFonts w:ascii="Times New Roman" w:hAnsi="Times New Roman" w:cs="Times New Roman"/>
          <w:sz w:val="24"/>
          <w:szCs w:val="24"/>
          <w:vertAlign w:val="baseline"/>
        </w:rPr>
        <w:t xml:space="preserve"> (2nd edn, Longman 1995)</w:t>
      </w:r>
    </w:p>
    <w:p w14:paraId="0E6BDED0" w14:textId="77777777" w:rsidR="003E2C58" w:rsidRDefault="003E2C58" w:rsidP="003E2C58">
      <w:pPr>
        <w:rPr>
          <w:rFonts w:ascii="Times New Roman" w:hAnsi="Times New Roman" w:cs="Times New Roman"/>
          <w:sz w:val="24"/>
          <w:szCs w:val="24"/>
          <w:vertAlign w:val="baseline"/>
        </w:rPr>
      </w:pPr>
    </w:p>
    <w:p w14:paraId="5B4F8842"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Levack</w:t>
      </w:r>
      <w:r>
        <w:rPr>
          <w:rFonts w:ascii="Times New Roman" w:hAnsi="Times New Roman" w:cs="Times New Roman"/>
          <w:sz w:val="24"/>
          <w:szCs w:val="24"/>
          <w:vertAlign w:val="baseline"/>
        </w:rPr>
        <w:t xml:space="preserve"> B</w:t>
      </w:r>
      <w:r w:rsidRPr="00672137">
        <w:rPr>
          <w:rFonts w:ascii="Times New Roman" w:hAnsi="Times New Roman" w:cs="Times New Roman"/>
          <w:sz w:val="24"/>
          <w:szCs w:val="24"/>
          <w:vertAlign w:val="baseline"/>
        </w:rPr>
        <w:t xml:space="preserve">, </w:t>
      </w:r>
      <w:r w:rsidRPr="009442E8">
        <w:rPr>
          <w:rFonts w:ascii="Times New Roman" w:hAnsi="Times New Roman" w:cs="Times New Roman"/>
          <w:i/>
          <w:sz w:val="24"/>
          <w:szCs w:val="24"/>
          <w:vertAlign w:val="baseline"/>
        </w:rPr>
        <w:t xml:space="preserve">New Perspectives on Witchcraft, Magic and Demonology: Gender and Witchcraft </w:t>
      </w:r>
      <w:r>
        <w:rPr>
          <w:rFonts w:ascii="Times New Roman" w:hAnsi="Times New Roman" w:cs="Times New Roman"/>
          <w:sz w:val="24"/>
          <w:szCs w:val="24"/>
          <w:vertAlign w:val="baseline"/>
        </w:rPr>
        <w:t>(Vol</w:t>
      </w:r>
      <w:r w:rsidRPr="00672137">
        <w:rPr>
          <w:rFonts w:ascii="Times New Roman" w:hAnsi="Times New Roman" w:cs="Times New Roman"/>
          <w:sz w:val="24"/>
          <w:szCs w:val="24"/>
          <w:vertAlign w:val="baseline"/>
        </w:rPr>
        <w:t xml:space="preserve"> 4, Routledge 2001)</w:t>
      </w:r>
    </w:p>
    <w:p w14:paraId="152B3CBF" w14:textId="77777777" w:rsidR="003E2C58" w:rsidRDefault="003E2C58" w:rsidP="003E2C58">
      <w:pPr>
        <w:rPr>
          <w:rFonts w:ascii="Times New Roman" w:hAnsi="Times New Roman" w:cs="Times New Roman"/>
          <w:sz w:val="24"/>
          <w:szCs w:val="24"/>
          <w:vertAlign w:val="baseline"/>
        </w:rPr>
      </w:pPr>
    </w:p>
    <w:p w14:paraId="204426B0" w14:textId="71D41092" w:rsidR="00A02EA7" w:rsidRPr="00A02EA7" w:rsidRDefault="00A02EA7" w:rsidP="003E2C58">
      <w:pPr>
        <w:rPr>
          <w:rFonts w:ascii="Times New Roman" w:hAnsi="Times New Roman" w:cs="Times New Roman"/>
          <w:sz w:val="24"/>
          <w:szCs w:val="24"/>
          <w:vertAlign w:val="baseline"/>
        </w:rPr>
      </w:pPr>
      <w:r w:rsidRPr="0081074E">
        <w:rPr>
          <w:rFonts w:ascii="Times New Roman" w:hAnsi="Times New Roman" w:cs="Times New Roman"/>
          <w:sz w:val="24"/>
          <w:szCs w:val="24"/>
          <w:vertAlign w:val="baseline"/>
        </w:rPr>
        <w:t xml:space="preserve">Lewis K, ‘Gang burns seven people to death over witchcraft claims in Malawi’ </w:t>
      </w:r>
      <w:r w:rsidRPr="0081074E">
        <w:rPr>
          <w:rFonts w:ascii="Times New Roman" w:hAnsi="Times New Roman" w:cs="Times New Roman"/>
          <w:i/>
          <w:sz w:val="24"/>
          <w:szCs w:val="24"/>
          <w:vertAlign w:val="baseline"/>
        </w:rPr>
        <w:t xml:space="preserve">The Independent </w:t>
      </w:r>
      <w:r w:rsidRPr="0081074E">
        <w:rPr>
          <w:rFonts w:ascii="Times New Roman" w:hAnsi="Times New Roman" w:cs="Times New Roman"/>
          <w:sz w:val="24"/>
          <w:szCs w:val="24"/>
          <w:vertAlign w:val="baseline"/>
        </w:rPr>
        <w:t>(Africa, 2 March 2016)</w:t>
      </w:r>
      <w:r w:rsidRPr="0081074E">
        <w:rPr>
          <w:rFonts w:ascii="Times New Roman" w:hAnsi="Times New Roman" w:cs="Times New Roman"/>
          <w:sz w:val="24"/>
          <w:szCs w:val="24"/>
        </w:rPr>
        <w:t xml:space="preserve"> </w:t>
      </w:r>
      <w:r w:rsidRPr="0081074E">
        <w:rPr>
          <w:rFonts w:ascii="Times New Roman" w:hAnsi="Times New Roman" w:cs="Times New Roman"/>
          <w:sz w:val="24"/>
          <w:szCs w:val="24"/>
          <w:vertAlign w:val="baseline"/>
        </w:rPr>
        <w:t>&lt;http://www.independent.co.uk/news/world/africa/gang-burns-seven-people-death-witchcraft-human-bones-albino-malawi-a6907296.html&gt; accessed 29 April 2016</w:t>
      </w:r>
    </w:p>
    <w:p w14:paraId="1156326A" w14:textId="77777777" w:rsidR="00A02EA7" w:rsidRDefault="00A02EA7" w:rsidP="003E2C58">
      <w:pPr>
        <w:rPr>
          <w:rFonts w:ascii="Times New Roman" w:hAnsi="Times New Roman" w:cs="Times New Roman"/>
          <w:sz w:val="24"/>
          <w:szCs w:val="24"/>
          <w:vertAlign w:val="baseline"/>
        </w:rPr>
      </w:pPr>
    </w:p>
    <w:p w14:paraId="36C62D06"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Linder</w:t>
      </w:r>
      <w:r>
        <w:rPr>
          <w:rFonts w:ascii="Times New Roman" w:hAnsi="Times New Roman" w:cs="Times New Roman"/>
          <w:sz w:val="24"/>
          <w:szCs w:val="24"/>
          <w:vertAlign w:val="baseline"/>
        </w:rPr>
        <w:t xml:space="preserve"> D</w:t>
      </w:r>
      <w:r w:rsidRPr="00672137">
        <w:rPr>
          <w:rFonts w:ascii="Times New Roman" w:hAnsi="Times New Roman" w:cs="Times New Roman"/>
          <w:sz w:val="24"/>
          <w:szCs w:val="24"/>
          <w:vertAlign w:val="baseline"/>
        </w:rPr>
        <w:t>, ‘A Brief History of Witchcraft Persecuti</w:t>
      </w:r>
      <w:r>
        <w:rPr>
          <w:rFonts w:ascii="Times New Roman" w:hAnsi="Times New Roman" w:cs="Times New Roman"/>
          <w:sz w:val="24"/>
          <w:szCs w:val="24"/>
          <w:vertAlign w:val="baseline"/>
        </w:rPr>
        <w:t>ons before Salem’ (UMKC 2005)</w:t>
      </w:r>
    </w:p>
    <w:p w14:paraId="6BBA1D83" w14:textId="77777777" w:rsidR="003E2C58" w:rsidRPr="00672137" w:rsidRDefault="003E2C58" w:rsidP="003E2C58">
      <w:pPr>
        <w:rPr>
          <w:rFonts w:ascii="Times New Roman" w:hAnsi="Times New Roman" w:cs="Times New Roman"/>
          <w:sz w:val="24"/>
          <w:szCs w:val="24"/>
          <w:vertAlign w:val="baseline"/>
        </w:rPr>
      </w:pPr>
    </w:p>
    <w:p w14:paraId="23541727" w14:textId="77777777" w:rsidR="00455546" w:rsidRDefault="00455546" w:rsidP="00455546">
      <w:pPr>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Lordina Foundation </w:t>
      </w:r>
      <w:r w:rsidRPr="00672137">
        <w:rPr>
          <w:rFonts w:ascii="Times New Roman" w:hAnsi="Times New Roman" w:cs="Times New Roman"/>
          <w:sz w:val="24"/>
          <w:szCs w:val="24"/>
          <w:vertAlign w:val="baseline"/>
        </w:rPr>
        <w:t>&lt;</w:t>
      </w:r>
      <w:hyperlink r:id="rId86" w:history="1">
        <w:r w:rsidRPr="009F7FAB">
          <w:rPr>
            <w:rStyle w:val="Hyperlink"/>
            <w:rFonts w:ascii="Times New Roman" w:hAnsi="Times New Roman" w:cs="Times New Roman"/>
            <w:sz w:val="24"/>
            <w:szCs w:val="24"/>
            <w:vertAlign w:val="baseline"/>
          </w:rPr>
          <w:t>http://www.lordinafoundation.org/&gt;</w:t>
        </w:r>
      </w:hyperlink>
      <w:r w:rsidRPr="00672137">
        <w:rPr>
          <w:rFonts w:ascii="Times New Roman" w:hAnsi="Times New Roman" w:cs="Times New Roman"/>
          <w:sz w:val="24"/>
          <w:szCs w:val="24"/>
          <w:vertAlign w:val="baseline"/>
        </w:rPr>
        <w:t xml:space="preserve"> accessed 23 June 2015</w:t>
      </w:r>
    </w:p>
    <w:p w14:paraId="644E1A4E" w14:textId="77777777" w:rsidR="00455546" w:rsidRDefault="00455546" w:rsidP="003E2C58">
      <w:pPr>
        <w:rPr>
          <w:rFonts w:ascii="Times New Roman" w:hAnsi="Times New Roman" w:cs="Times New Roman"/>
          <w:sz w:val="24"/>
          <w:szCs w:val="24"/>
          <w:vertAlign w:val="baseline"/>
        </w:rPr>
      </w:pPr>
    </w:p>
    <w:p w14:paraId="5E0B1EBA"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Maard</w:t>
      </w:r>
      <w:r>
        <w:rPr>
          <w:rFonts w:ascii="Times New Roman" w:hAnsi="Times New Roman" w:cs="Times New Roman"/>
          <w:sz w:val="24"/>
          <w:szCs w:val="24"/>
          <w:vertAlign w:val="baseline"/>
        </w:rPr>
        <w:t xml:space="preserve"> S</w:t>
      </w:r>
      <w:r w:rsidRPr="00672137">
        <w:rPr>
          <w:rFonts w:ascii="Times New Roman" w:hAnsi="Times New Roman" w:cs="Times New Roman"/>
          <w:sz w:val="24"/>
          <w:szCs w:val="24"/>
          <w:vertAlign w:val="baseline"/>
        </w:rPr>
        <w:t>, ‘Juju Ritual and the Journey to Europe – A short introduction’ (Talk Trafficking, 4 April 2013) &lt;</w:t>
      </w:r>
      <w:hyperlink r:id="rId87" w:history="1">
        <w:r w:rsidRPr="00A52A1E">
          <w:rPr>
            <w:rStyle w:val="Hyperlink"/>
            <w:rFonts w:ascii="Times New Roman" w:hAnsi="Times New Roman" w:cs="Times New Roman"/>
            <w:sz w:val="24"/>
            <w:szCs w:val="24"/>
            <w:vertAlign w:val="baseline"/>
          </w:rPr>
          <w:t>http://www.talktrafficking.org/wordpress/?p=565&gt;</w:t>
        </w:r>
      </w:hyperlink>
      <w:r w:rsidRPr="00672137">
        <w:rPr>
          <w:rFonts w:ascii="Times New Roman" w:hAnsi="Times New Roman" w:cs="Times New Roman"/>
          <w:sz w:val="24"/>
          <w:szCs w:val="24"/>
          <w:vertAlign w:val="baseline"/>
        </w:rPr>
        <w:t xml:space="preserve"> accessed 16 June 2014</w:t>
      </w:r>
    </w:p>
    <w:p w14:paraId="6BA6B463" w14:textId="77777777" w:rsidR="003E2C58" w:rsidRDefault="003E2C58" w:rsidP="003E2C58">
      <w:pPr>
        <w:rPr>
          <w:rFonts w:ascii="Times New Roman" w:hAnsi="Times New Roman" w:cs="Times New Roman"/>
          <w:sz w:val="24"/>
          <w:szCs w:val="24"/>
          <w:vertAlign w:val="baseline"/>
        </w:rPr>
      </w:pPr>
    </w:p>
    <w:p w14:paraId="75632C9A"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MacFarlane</w:t>
      </w:r>
      <w:r>
        <w:rPr>
          <w:rFonts w:ascii="Times New Roman" w:hAnsi="Times New Roman" w:cs="Times New Roman"/>
          <w:sz w:val="24"/>
          <w:szCs w:val="24"/>
          <w:vertAlign w:val="baseline"/>
        </w:rPr>
        <w:t xml:space="preserve"> A</w:t>
      </w:r>
      <w:r w:rsidRPr="00672137">
        <w:rPr>
          <w:rFonts w:ascii="Times New Roman" w:hAnsi="Times New Roman" w:cs="Times New Roman"/>
          <w:sz w:val="24"/>
          <w:szCs w:val="24"/>
          <w:vertAlign w:val="baseline"/>
        </w:rPr>
        <w:t xml:space="preserve">, </w:t>
      </w:r>
      <w:r w:rsidRPr="00AA468F">
        <w:rPr>
          <w:rFonts w:ascii="Times New Roman" w:hAnsi="Times New Roman" w:cs="Times New Roman"/>
          <w:i/>
          <w:sz w:val="24"/>
          <w:szCs w:val="24"/>
          <w:vertAlign w:val="baseline"/>
        </w:rPr>
        <w:t xml:space="preserve">Witchcraft in Tudor and Stuart England, a Regional and Comparative Study </w:t>
      </w:r>
      <w:r>
        <w:rPr>
          <w:rFonts w:ascii="Times New Roman" w:hAnsi="Times New Roman" w:cs="Times New Roman"/>
          <w:sz w:val="24"/>
          <w:szCs w:val="24"/>
          <w:vertAlign w:val="baseline"/>
        </w:rPr>
        <w:t>(Routledge 1970)</w:t>
      </w:r>
    </w:p>
    <w:p w14:paraId="78B30CD9" w14:textId="77777777" w:rsidR="003E2C58" w:rsidRDefault="003E2C58" w:rsidP="003E2C58">
      <w:pPr>
        <w:rPr>
          <w:rFonts w:ascii="Times New Roman" w:hAnsi="Times New Roman" w:cs="Times New Roman"/>
          <w:sz w:val="24"/>
          <w:szCs w:val="24"/>
          <w:vertAlign w:val="baseline"/>
        </w:rPr>
      </w:pPr>
    </w:p>
    <w:p w14:paraId="0800D93F"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Macfarlane</w:t>
      </w:r>
      <w:r>
        <w:rPr>
          <w:rFonts w:ascii="Times New Roman" w:hAnsi="Times New Roman" w:cs="Times New Roman"/>
          <w:sz w:val="24"/>
          <w:szCs w:val="24"/>
          <w:vertAlign w:val="baseline"/>
        </w:rPr>
        <w:t xml:space="preserve"> A</w:t>
      </w:r>
      <w:r w:rsidRPr="00672137">
        <w:rPr>
          <w:rFonts w:ascii="Times New Roman" w:hAnsi="Times New Roman" w:cs="Times New Roman"/>
          <w:sz w:val="24"/>
          <w:szCs w:val="24"/>
          <w:vertAlign w:val="baseline"/>
        </w:rPr>
        <w:t xml:space="preserve">, </w:t>
      </w:r>
      <w:r w:rsidRPr="004676C4">
        <w:rPr>
          <w:rFonts w:ascii="Times New Roman" w:hAnsi="Times New Roman" w:cs="Times New Roman"/>
          <w:i/>
          <w:sz w:val="24"/>
          <w:szCs w:val="24"/>
          <w:vertAlign w:val="baseline"/>
        </w:rPr>
        <w:t>Encounters with Witchcraft and Witches</w:t>
      </w:r>
      <w:r w:rsidRPr="00672137">
        <w:rPr>
          <w:rFonts w:ascii="Times New Roman" w:hAnsi="Times New Roman" w:cs="Times New Roman"/>
          <w:sz w:val="24"/>
          <w:szCs w:val="24"/>
          <w:vertAlign w:val="baseline"/>
        </w:rPr>
        <w:t xml:space="preserve"> (Amazon 2013)</w:t>
      </w:r>
    </w:p>
    <w:p w14:paraId="239AF578" w14:textId="77777777" w:rsidR="003E2C58" w:rsidRDefault="003E2C58" w:rsidP="003E2C58">
      <w:pPr>
        <w:rPr>
          <w:rFonts w:ascii="Times New Roman" w:hAnsi="Times New Roman" w:cs="Times New Roman"/>
          <w:b/>
          <w:sz w:val="24"/>
          <w:szCs w:val="24"/>
          <w:vertAlign w:val="baseline"/>
        </w:rPr>
      </w:pPr>
    </w:p>
    <w:p w14:paraId="0AC7BD2F" w14:textId="77777777" w:rsidR="003E2C58" w:rsidRDefault="003E2C58" w:rsidP="003E2C58">
      <w:pPr>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MacKinnon C, </w:t>
      </w:r>
      <w:r w:rsidRPr="00B97668">
        <w:rPr>
          <w:rFonts w:ascii="Times New Roman" w:hAnsi="Times New Roman" w:cs="Times New Roman"/>
          <w:i/>
          <w:sz w:val="24"/>
          <w:szCs w:val="24"/>
          <w:vertAlign w:val="baseline"/>
        </w:rPr>
        <w:t>Feminism Unmodified: Discourses on Life and Law</w:t>
      </w:r>
      <w:r>
        <w:rPr>
          <w:rFonts w:ascii="Times New Roman" w:hAnsi="Times New Roman" w:cs="Times New Roman"/>
          <w:sz w:val="24"/>
          <w:szCs w:val="24"/>
          <w:vertAlign w:val="baseline"/>
        </w:rPr>
        <w:t xml:space="preserve"> (CUP 1987)</w:t>
      </w:r>
    </w:p>
    <w:p w14:paraId="2BB17D95" w14:textId="77777777" w:rsidR="003E2C58" w:rsidRDefault="003E2C58" w:rsidP="003E2C58">
      <w:pPr>
        <w:rPr>
          <w:rFonts w:ascii="Times New Roman" w:hAnsi="Times New Roman" w:cs="Times New Roman"/>
          <w:sz w:val="24"/>
          <w:szCs w:val="24"/>
          <w:vertAlign w:val="baseline"/>
        </w:rPr>
      </w:pPr>
    </w:p>
    <w:p w14:paraId="532B77DF" w14:textId="77777777" w:rsidR="003E2C58" w:rsidRDefault="003E2C58" w:rsidP="003E2C58">
      <w:pPr>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MacKinnon C, </w:t>
      </w:r>
      <w:r w:rsidRPr="004F06A4">
        <w:rPr>
          <w:rFonts w:ascii="Times New Roman" w:hAnsi="Times New Roman" w:cs="Times New Roman"/>
          <w:i/>
          <w:sz w:val="24"/>
          <w:szCs w:val="24"/>
          <w:vertAlign w:val="baseline"/>
        </w:rPr>
        <w:t>Toward a Feminist Theory of the State</w:t>
      </w:r>
      <w:r w:rsidRPr="004F06A4">
        <w:rPr>
          <w:rFonts w:ascii="Times New Roman" w:hAnsi="Times New Roman" w:cs="Times New Roman"/>
          <w:sz w:val="24"/>
          <w:szCs w:val="24"/>
          <w:vertAlign w:val="baseline"/>
        </w:rPr>
        <w:t xml:space="preserve"> (Harvard UP 1989)</w:t>
      </w:r>
    </w:p>
    <w:p w14:paraId="45A28F70" w14:textId="77777777" w:rsidR="003E2C58" w:rsidRPr="004F06A4" w:rsidRDefault="003E2C58" w:rsidP="003E2C58">
      <w:pPr>
        <w:rPr>
          <w:rFonts w:ascii="Times New Roman" w:hAnsi="Times New Roman" w:cs="Times New Roman"/>
          <w:sz w:val="24"/>
          <w:szCs w:val="24"/>
          <w:vertAlign w:val="baseline"/>
        </w:rPr>
      </w:pPr>
    </w:p>
    <w:p w14:paraId="086584F9" w14:textId="77777777" w:rsidR="003E2C58" w:rsidRDefault="003E2C58" w:rsidP="003E2C58">
      <w:pPr>
        <w:pStyle w:val="ListParagraph"/>
        <w:ind w:hanging="720"/>
        <w:rPr>
          <w:rFonts w:ascii="Times New Roman" w:hAnsi="Times New Roman" w:cs="Times New Roman"/>
          <w:sz w:val="24"/>
          <w:szCs w:val="24"/>
        </w:rPr>
      </w:pPr>
      <w:r>
        <w:rPr>
          <w:rFonts w:ascii="Times New Roman" w:hAnsi="Times New Roman" w:cs="Times New Roman"/>
          <w:sz w:val="24"/>
          <w:szCs w:val="24"/>
        </w:rPr>
        <w:t xml:space="preserve">MacKinnon C, </w:t>
      </w:r>
      <w:r w:rsidRPr="00672137">
        <w:rPr>
          <w:rFonts w:ascii="Times New Roman" w:hAnsi="Times New Roman" w:cs="Times New Roman"/>
          <w:sz w:val="24"/>
          <w:szCs w:val="24"/>
        </w:rPr>
        <w:t>‘Crimes of war, crimes of peac</w:t>
      </w:r>
      <w:r>
        <w:rPr>
          <w:rFonts w:ascii="Times New Roman" w:hAnsi="Times New Roman" w:cs="Times New Roman"/>
          <w:sz w:val="24"/>
          <w:szCs w:val="24"/>
        </w:rPr>
        <w:t>e’, (1993) 4 UCLA Women’s LJ 59</w:t>
      </w:r>
    </w:p>
    <w:p w14:paraId="39AAEA4C" w14:textId="77777777" w:rsidR="003E2C58" w:rsidRDefault="003E2C58" w:rsidP="003E2C58">
      <w:pPr>
        <w:pStyle w:val="ListParagraph"/>
        <w:ind w:hanging="720"/>
        <w:rPr>
          <w:rFonts w:ascii="Times New Roman" w:hAnsi="Times New Roman" w:cs="Times New Roman"/>
          <w:sz w:val="24"/>
          <w:szCs w:val="24"/>
        </w:rPr>
      </w:pPr>
    </w:p>
    <w:p w14:paraId="6CEB3508" w14:textId="77777777" w:rsidR="003E2C58" w:rsidRDefault="003E2C58" w:rsidP="003E2C58">
      <w:pPr>
        <w:pStyle w:val="ListParagraph"/>
        <w:ind w:left="0"/>
        <w:rPr>
          <w:rFonts w:ascii="Times New Roman" w:hAnsi="Times New Roman" w:cs="Times New Roman"/>
          <w:sz w:val="24"/>
          <w:szCs w:val="24"/>
        </w:rPr>
      </w:pPr>
      <w:r>
        <w:rPr>
          <w:rFonts w:ascii="Times New Roman" w:hAnsi="Times New Roman" w:cs="Times New Roman"/>
          <w:sz w:val="24"/>
          <w:szCs w:val="24"/>
        </w:rPr>
        <w:t xml:space="preserve">MacKinnon C, </w:t>
      </w:r>
      <w:r w:rsidRPr="00672137">
        <w:rPr>
          <w:rFonts w:ascii="Times New Roman" w:hAnsi="Times New Roman" w:cs="Times New Roman"/>
          <w:sz w:val="24"/>
          <w:szCs w:val="24"/>
        </w:rPr>
        <w:t>‘Making Sex Equality R</w:t>
      </w:r>
      <w:r>
        <w:rPr>
          <w:rFonts w:ascii="Times New Roman" w:hAnsi="Times New Roman" w:cs="Times New Roman"/>
          <w:sz w:val="24"/>
          <w:szCs w:val="24"/>
        </w:rPr>
        <w:t xml:space="preserve">eal’, in Mackinnon C, </w:t>
      </w:r>
      <w:r>
        <w:rPr>
          <w:rFonts w:ascii="Times New Roman" w:hAnsi="Times New Roman" w:cs="Times New Roman"/>
          <w:i/>
          <w:sz w:val="24"/>
          <w:szCs w:val="24"/>
        </w:rPr>
        <w:t xml:space="preserve">Are Women Human? </w:t>
      </w:r>
      <w:r w:rsidRPr="00B97668">
        <w:rPr>
          <w:rFonts w:ascii="Times New Roman" w:hAnsi="Times New Roman" w:cs="Times New Roman"/>
          <w:i/>
          <w:sz w:val="24"/>
          <w:szCs w:val="24"/>
        </w:rPr>
        <w:t xml:space="preserve">And Other International Dialogues </w:t>
      </w:r>
      <w:r>
        <w:rPr>
          <w:rFonts w:ascii="Times New Roman" w:hAnsi="Times New Roman" w:cs="Times New Roman"/>
          <w:sz w:val="24"/>
          <w:szCs w:val="24"/>
        </w:rPr>
        <w:t>(CUP 2006)</w:t>
      </w:r>
    </w:p>
    <w:p w14:paraId="3DF2C671" w14:textId="77777777" w:rsidR="003E2C58" w:rsidRDefault="003E2C58" w:rsidP="003E2C58">
      <w:pPr>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MacKinnon C, </w:t>
      </w:r>
      <w:r w:rsidRPr="00B97668">
        <w:rPr>
          <w:rFonts w:ascii="Times New Roman" w:hAnsi="Times New Roman" w:cs="Times New Roman"/>
          <w:i/>
          <w:sz w:val="24"/>
          <w:szCs w:val="24"/>
          <w:vertAlign w:val="baseline"/>
        </w:rPr>
        <w:t xml:space="preserve">Are Women Human? And Other International Dialogues </w:t>
      </w:r>
      <w:r>
        <w:rPr>
          <w:rFonts w:ascii="Times New Roman" w:hAnsi="Times New Roman" w:cs="Times New Roman"/>
          <w:sz w:val="24"/>
          <w:szCs w:val="24"/>
          <w:vertAlign w:val="baseline"/>
        </w:rPr>
        <w:t>(CUP 2006)</w:t>
      </w:r>
    </w:p>
    <w:p w14:paraId="25B3A489" w14:textId="77777777" w:rsidR="003E2C58" w:rsidRDefault="003E2C58" w:rsidP="003E2C58">
      <w:pPr>
        <w:rPr>
          <w:rFonts w:ascii="Times New Roman" w:hAnsi="Times New Roman" w:cs="Times New Roman"/>
          <w:sz w:val="24"/>
          <w:szCs w:val="24"/>
          <w:vertAlign w:val="baseline"/>
        </w:rPr>
      </w:pPr>
    </w:p>
    <w:p w14:paraId="0AD1C3C9" w14:textId="77777777" w:rsidR="003B68AC" w:rsidRDefault="003B68AC" w:rsidP="003B68AC">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Maharashtra Andhashraddha Nirmoolan Samiti (Committee for the Eradication of Blind Faith) &lt;</w:t>
      </w:r>
      <w:hyperlink r:id="rId88" w:history="1">
        <w:r w:rsidRPr="00F147E1">
          <w:rPr>
            <w:rStyle w:val="Hyperlink"/>
            <w:rFonts w:ascii="Times New Roman" w:hAnsi="Times New Roman" w:cs="Times New Roman"/>
            <w:sz w:val="24"/>
            <w:szCs w:val="24"/>
            <w:vertAlign w:val="baseline"/>
          </w:rPr>
          <w:t>http://www.antisuperstition.org/&gt;</w:t>
        </w:r>
      </w:hyperlink>
      <w:r w:rsidRPr="00672137">
        <w:rPr>
          <w:rFonts w:ascii="Times New Roman" w:hAnsi="Times New Roman" w:cs="Times New Roman"/>
          <w:sz w:val="24"/>
          <w:szCs w:val="24"/>
          <w:vertAlign w:val="baseline"/>
        </w:rPr>
        <w:t xml:space="preserve"> accessed 25 August 2015</w:t>
      </w:r>
    </w:p>
    <w:p w14:paraId="53C6C072" w14:textId="77777777" w:rsidR="003B68AC" w:rsidRDefault="003B68AC" w:rsidP="003E2C58">
      <w:pPr>
        <w:rPr>
          <w:rFonts w:ascii="Times New Roman" w:hAnsi="Times New Roman" w:cs="Times New Roman"/>
          <w:sz w:val="24"/>
          <w:szCs w:val="24"/>
          <w:vertAlign w:val="baseline"/>
        </w:rPr>
      </w:pPr>
    </w:p>
    <w:p w14:paraId="77BBDA2F"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Maloney</w:t>
      </w:r>
      <w:r>
        <w:rPr>
          <w:rFonts w:ascii="Times New Roman" w:hAnsi="Times New Roman" w:cs="Times New Roman"/>
          <w:sz w:val="24"/>
          <w:szCs w:val="24"/>
          <w:vertAlign w:val="baseline"/>
        </w:rPr>
        <w:t xml:space="preserve"> C</w:t>
      </w:r>
      <w:r w:rsidRPr="00672137">
        <w:rPr>
          <w:rFonts w:ascii="Times New Roman" w:hAnsi="Times New Roman" w:cs="Times New Roman"/>
          <w:sz w:val="24"/>
          <w:szCs w:val="24"/>
          <w:vertAlign w:val="baseline"/>
        </w:rPr>
        <w:t xml:space="preserve">, </w:t>
      </w:r>
      <w:r w:rsidRPr="004B7A92">
        <w:rPr>
          <w:rFonts w:ascii="Times New Roman" w:hAnsi="Times New Roman" w:cs="Times New Roman"/>
          <w:i/>
          <w:sz w:val="24"/>
          <w:szCs w:val="24"/>
          <w:vertAlign w:val="baseline"/>
        </w:rPr>
        <w:t>The Evil Eye</w:t>
      </w:r>
      <w:r>
        <w:rPr>
          <w:rFonts w:ascii="Times New Roman" w:hAnsi="Times New Roman" w:cs="Times New Roman"/>
          <w:sz w:val="24"/>
          <w:szCs w:val="24"/>
          <w:vertAlign w:val="baseline"/>
        </w:rPr>
        <w:t xml:space="preserve"> (Columbia UP</w:t>
      </w:r>
      <w:r w:rsidRPr="00672137">
        <w:rPr>
          <w:rFonts w:ascii="Times New Roman" w:hAnsi="Times New Roman" w:cs="Times New Roman"/>
          <w:sz w:val="24"/>
          <w:szCs w:val="24"/>
          <w:vertAlign w:val="baseline"/>
        </w:rPr>
        <w:t xml:space="preserve"> 1976)</w:t>
      </w:r>
    </w:p>
    <w:p w14:paraId="7CAE22AC" w14:textId="77777777" w:rsidR="003E2C58" w:rsidRDefault="003E2C58" w:rsidP="003E2C58">
      <w:pPr>
        <w:rPr>
          <w:rFonts w:ascii="Times New Roman" w:hAnsi="Times New Roman" w:cs="Times New Roman"/>
          <w:sz w:val="24"/>
          <w:szCs w:val="24"/>
          <w:vertAlign w:val="baseline"/>
        </w:rPr>
      </w:pPr>
    </w:p>
    <w:p w14:paraId="3F752C60"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Martin</w:t>
      </w:r>
      <w:r>
        <w:rPr>
          <w:rFonts w:ascii="Times New Roman" w:hAnsi="Times New Roman" w:cs="Times New Roman"/>
          <w:sz w:val="24"/>
          <w:szCs w:val="24"/>
          <w:vertAlign w:val="baseline"/>
        </w:rPr>
        <w:t xml:space="preserve"> DB</w:t>
      </w:r>
      <w:r w:rsidRPr="00672137">
        <w:rPr>
          <w:rFonts w:ascii="Times New Roman" w:hAnsi="Times New Roman" w:cs="Times New Roman"/>
          <w:sz w:val="24"/>
          <w:szCs w:val="24"/>
          <w:vertAlign w:val="baseline"/>
        </w:rPr>
        <w:t xml:space="preserve">, </w:t>
      </w:r>
      <w:r w:rsidRPr="00580783">
        <w:rPr>
          <w:rFonts w:ascii="Times New Roman" w:hAnsi="Times New Roman" w:cs="Times New Roman"/>
          <w:i/>
          <w:sz w:val="24"/>
          <w:szCs w:val="24"/>
          <w:vertAlign w:val="baseline"/>
        </w:rPr>
        <w:t>Inventing Superstition: From the Hippocratics to the Christians</w:t>
      </w:r>
      <w:r w:rsidRPr="00672137">
        <w:rPr>
          <w:rFonts w:ascii="Times New Roman" w:hAnsi="Times New Roman" w:cs="Times New Roman"/>
          <w:sz w:val="24"/>
          <w:szCs w:val="24"/>
          <w:vertAlign w:val="baseline"/>
        </w:rPr>
        <w:t xml:space="preserve"> (Harvard </w:t>
      </w:r>
      <w:r>
        <w:rPr>
          <w:rFonts w:ascii="Times New Roman" w:hAnsi="Times New Roman" w:cs="Times New Roman"/>
          <w:sz w:val="24"/>
          <w:szCs w:val="24"/>
          <w:vertAlign w:val="baseline"/>
        </w:rPr>
        <w:t>UP 2009)</w:t>
      </w:r>
    </w:p>
    <w:p w14:paraId="0D343D83" w14:textId="77777777" w:rsidR="003E2C58" w:rsidRDefault="003E2C58" w:rsidP="003E2C58">
      <w:pPr>
        <w:rPr>
          <w:rFonts w:ascii="Times New Roman" w:hAnsi="Times New Roman" w:cs="Times New Roman"/>
          <w:sz w:val="24"/>
          <w:szCs w:val="24"/>
          <w:vertAlign w:val="baseline"/>
        </w:rPr>
      </w:pPr>
    </w:p>
    <w:p w14:paraId="28288DE1" w14:textId="77777777" w:rsidR="003E2C58" w:rsidRDefault="003E2C58" w:rsidP="003E2C58">
      <w:pPr>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McCammon SL, </w:t>
      </w:r>
      <w:r w:rsidRPr="00672137">
        <w:rPr>
          <w:rFonts w:ascii="Times New Roman" w:hAnsi="Times New Roman" w:cs="Times New Roman"/>
          <w:sz w:val="24"/>
          <w:szCs w:val="24"/>
          <w:vertAlign w:val="baseline"/>
        </w:rPr>
        <w:t>Knox</w:t>
      </w:r>
      <w:r>
        <w:rPr>
          <w:rFonts w:ascii="Times New Roman" w:hAnsi="Times New Roman" w:cs="Times New Roman"/>
          <w:sz w:val="24"/>
          <w:szCs w:val="24"/>
          <w:vertAlign w:val="baseline"/>
        </w:rPr>
        <w:t xml:space="preserve"> D and </w:t>
      </w:r>
      <w:r w:rsidRPr="00672137">
        <w:rPr>
          <w:rFonts w:ascii="Times New Roman" w:hAnsi="Times New Roman" w:cs="Times New Roman"/>
          <w:sz w:val="24"/>
          <w:szCs w:val="24"/>
          <w:vertAlign w:val="baseline"/>
        </w:rPr>
        <w:t>Schacht</w:t>
      </w:r>
      <w:r>
        <w:rPr>
          <w:rFonts w:ascii="Times New Roman" w:hAnsi="Times New Roman" w:cs="Times New Roman"/>
          <w:sz w:val="24"/>
          <w:szCs w:val="24"/>
          <w:vertAlign w:val="baseline"/>
        </w:rPr>
        <w:t xml:space="preserve"> C</w:t>
      </w:r>
      <w:r w:rsidRPr="00672137">
        <w:rPr>
          <w:rFonts w:ascii="Times New Roman" w:hAnsi="Times New Roman" w:cs="Times New Roman"/>
          <w:sz w:val="24"/>
          <w:szCs w:val="24"/>
          <w:vertAlign w:val="baseline"/>
        </w:rPr>
        <w:t xml:space="preserve">, </w:t>
      </w:r>
      <w:r w:rsidRPr="00910D94">
        <w:rPr>
          <w:rFonts w:ascii="Times New Roman" w:hAnsi="Times New Roman" w:cs="Times New Roman"/>
          <w:i/>
          <w:sz w:val="24"/>
          <w:szCs w:val="24"/>
          <w:vertAlign w:val="baseline"/>
        </w:rPr>
        <w:t>Choices in Sexuality</w:t>
      </w:r>
      <w:r w:rsidRPr="00672137">
        <w:rPr>
          <w:rFonts w:ascii="Times New Roman" w:hAnsi="Times New Roman" w:cs="Times New Roman"/>
          <w:sz w:val="24"/>
          <w:szCs w:val="24"/>
          <w:vertAlign w:val="baseline"/>
        </w:rPr>
        <w:t xml:space="preserve"> (3rd e</w:t>
      </w:r>
      <w:r>
        <w:rPr>
          <w:rFonts w:ascii="Times New Roman" w:hAnsi="Times New Roman" w:cs="Times New Roman"/>
          <w:sz w:val="24"/>
          <w:szCs w:val="24"/>
          <w:vertAlign w:val="baseline"/>
        </w:rPr>
        <w:t>dn, Atomic Dog Publishing 2007)</w:t>
      </w:r>
    </w:p>
    <w:p w14:paraId="36D7A890" w14:textId="77777777" w:rsidR="003E2C58" w:rsidRDefault="003E2C58" w:rsidP="003E2C58">
      <w:pPr>
        <w:rPr>
          <w:rFonts w:ascii="Times New Roman" w:hAnsi="Times New Roman" w:cs="Times New Roman"/>
          <w:sz w:val="24"/>
          <w:szCs w:val="24"/>
          <w:vertAlign w:val="baseline"/>
        </w:rPr>
      </w:pPr>
    </w:p>
    <w:p w14:paraId="0A6A5C28"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McGuire</w:t>
      </w:r>
      <w:r>
        <w:rPr>
          <w:rFonts w:ascii="Times New Roman" w:hAnsi="Times New Roman" w:cs="Times New Roman"/>
          <w:sz w:val="24"/>
          <w:szCs w:val="24"/>
          <w:vertAlign w:val="baseline"/>
        </w:rPr>
        <w:t xml:space="preserve"> MB</w:t>
      </w:r>
      <w:r w:rsidRPr="00672137">
        <w:rPr>
          <w:rFonts w:ascii="Times New Roman" w:hAnsi="Times New Roman" w:cs="Times New Roman"/>
          <w:sz w:val="24"/>
          <w:szCs w:val="24"/>
          <w:vertAlign w:val="baseline"/>
        </w:rPr>
        <w:t xml:space="preserve">, </w:t>
      </w:r>
      <w:r w:rsidRPr="00D56CDF">
        <w:rPr>
          <w:rFonts w:ascii="Times New Roman" w:hAnsi="Times New Roman" w:cs="Times New Roman"/>
          <w:i/>
          <w:sz w:val="24"/>
          <w:szCs w:val="24"/>
          <w:vertAlign w:val="baseline"/>
        </w:rPr>
        <w:t>Religion: The Social Context</w:t>
      </w:r>
      <w:r w:rsidRPr="00672137">
        <w:rPr>
          <w:rFonts w:ascii="Times New Roman" w:hAnsi="Times New Roman" w:cs="Times New Roman"/>
          <w:sz w:val="24"/>
          <w:szCs w:val="24"/>
          <w:vertAlign w:val="baseline"/>
        </w:rPr>
        <w:t xml:space="preserve"> (5</w:t>
      </w:r>
      <w:r>
        <w:rPr>
          <w:rFonts w:ascii="Times New Roman" w:hAnsi="Times New Roman" w:cs="Times New Roman"/>
          <w:sz w:val="24"/>
          <w:szCs w:val="24"/>
          <w:vertAlign w:val="baseline"/>
        </w:rPr>
        <w:t>th edn, Waveland Press 2008)</w:t>
      </w:r>
    </w:p>
    <w:p w14:paraId="2D5E14B8" w14:textId="77777777" w:rsidR="003E2C58" w:rsidRDefault="003E2C58" w:rsidP="003E2C58">
      <w:pPr>
        <w:rPr>
          <w:rFonts w:ascii="Times New Roman" w:hAnsi="Times New Roman" w:cs="Times New Roman"/>
          <w:sz w:val="24"/>
          <w:szCs w:val="24"/>
          <w:vertAlign w:val="baseline"/>
        </w:rPr>
      </w:pPr>
    </w:p>
    <w:p w14:paraId="70C671BB" w14:textId="77777777" w:rsidR="00430C85" w:rsidRDefault="00430C85" w:rsidP="00430C85">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McKirdy</w:t>
      </w:r>
      <w:r>
        <w:rPr>
          <w:rFonts w:ascii="Times New Roman" w:hAnsi="Times New Roman" w:cs="Times New Roman"/>
          <w:sz w:val="24"/>
          <w:szCs w:val="24"/>
          <w:vertAlign w:val="baseline"/>
        </w:rPr>
        <w:t xml:space="preserve"> E</w:t>
      </w:r>
      <w:r w:rsidRPr="00672137">
        <w:rPr>
          <w:rFonts w:ascii="Times New Roman" w:hAnsi="Times New Roman" w:cs="Times New Roman"/>
          <w:sz w:val="24"/>
          <w:szCs w:val="24"/>
          <w:vertAlign w:val="baseline"/>
        </w:rPr>
        <w:t xml:space="preserve"> and Pokharel</w:t>
      </w:r>
      <w:r>
        <w:rPr>
          <w:rFonts w:ascii="Times New Roman" w:hAnsi="Times New Roman" w:cs="Times New Roman"/>
          <w:sz w:val="24"/>
          <w:szCs w:val="24"/>
          <w:vertAlign w:val="baseline"/>
        </w:rPr>
        <w:t xml:space="preserve"> S</w:t>
      </w:r>
      <w:r w:rsidRPr="00672137">
        <w:rPr>
          <w:rFonts w:ascii="Times New Roman" w:hAnsi="Times New Roman" w:cs="Times New Roman"/>
          <w:sz w:val="24"/>
          <w:szCs w:val="24"/>
          <w:vertAlign w:val="baseline"/>
        </w:rPr>
        <w:t xml:space="preserve">, ‘Protesters in western Nepal kill police with spears, axes’ </w:t>
      </w:r>
      <w:r w:rsidRPr="003935D1">
        <w:rPr>
          <w:rFonts w:ascii="Times New Roman" w:hAnsi="Times New Roman" w:cs="Times New Roman"/>
          <w:i/>
          <w:sz w:val="24"/>
          <w:szCs w:val="24"/>
          <w:vertAlign w:val="baseline"/>
        </w:rPr>
        <w:t>CNN</w:t>
      </w:r>
      <w:r w:rsidRPr="00672137">
        <w:rPr>
          <w:rFonts w:ascii="Times New Roman" w:hAnsi="Times New Roman" w:cs="Times New Roman"/>
          <w:sz w:val="24"/>
          <w:szCs w:val="24"/>
          <w:vertAlign w:val="baseline"/>
        </w:rPr>
        <w:t xml:space="preserve"> (Kathmandu, 25 August 2015) &lt;</w:t>
      </w:r>
      <w:hyperlink r:id="rId89" w:history="1">
        <w:r w:rsidRPr="003935D1">
          <w:rPr>
            <w:rStyle w:val="Hyperlink"/>
            <w:rFonts w:ascii="Times New Roman" w:hAnsi="Times New Roman" w:cs="Times New Roman"/>
            <w:sz w:val="24"/>
            <w:szCs w:val="24"/>
            <w:vertAlign w:val="baseline"/>
          </w:rPr>
          <w:t>http://edition.cnn.com/2015/08/25/asia/nepal-police-protester-deaths/&gt;</w:t>
        </w:r>
      </w:hyperlink>
      <w:r w:rsidRPr="00672137">
        <w:rPr>
          <w:rFonts w:ascii="Times New Roman" w:hAnsi="Times New Roman" w:cs="Times New Roman"/>
          <w:sz w:val="24"/>
          <w:szCs w:val="24"/>
          <w:vertAlign w:val="baseline"/>
        </w:rPr>
        <w:t xml:space="preserve"> accessed 26 Aug</w:t>
      </w:r>
      <w:r>
        <w:rPr>
          <w:rFonts w:ascii="Times New Roman" w:hAnsi="Times New Roman" w:cs="Times New Roman"/>
          <w:sz w:val="24"/>
          <w:szCs w:val="24"/>
          <w:vertAlign w:val="baseline"/>
        </w:rPr>
        <w:t>ust 2015</w:t>
      </w:r>
    </w:p>
    <w:p w14:paraId="6F92E0C9" w14:textId="77777777" w:rsidR="00430C85" w:rsidRDefault="00430C85" w:rsidP="003E2C58">
      <w:pPr>
        <w:rPr>
          <w:rFonts w:ascii="Times New Roman" w:hAnsi="Times New Roman" w:cs="Times New Roman"/>
          <w:sz w:val="24"/>
          <w:szCs w:val="24"/>
          <w:vertAlign w:val="baseline"/>
        </w:rPr>
      </w:pPr>
    </w:p>
    <w:p w14:paraId="0D4D9470"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McQuigg</w:t>
      </w:r>
      <w:r>
        <w:rPr>
          <w:rFonts w:ascii="Times New Roman" w:hAnsi="Times New Roman" w:cs="Times New Roman"/>
          <w:sz w:val="24"/>
          <w:szCs w:val="24"/>
          <w:vertAlign w:val="baseline"/>
        </w:rPr>
        <w:t xml:space="preserve"> R</w:t>
      </w:r>
      <w:r w:rsidRPr="00672137">
        <w:rPr>
          <w:rFonts w:ascii="Times New Roman" w:hAnsi="Times New Roman" w:cs="Times New Roman"/>
          <w:sz w:val="24"/>
          <w:szCs w:val="24"/>
          <w:vertAlign w:val="baseline"/>
        </w:rPr>
        <w:t xml:space="preserve">, ‘How Effective is the United Nations Committee Against Torture’ (2011) 22(3) </w:t>
      </w:r>
      <w:r>
        <w:rPr>
          <w:rFonts w:ascii="Times New Roman" w:hAnsi="Times New Roman" w:cs="Times New Roman"/>
          <w:sz w:val="24"/>
          <w:szCs w:val="24"/>
          <w:vertAlign w:val="baseline"/>
        </w:rPr>
        <w:t>EJIL</w:t>
      </w:r>
      <w:r w:rsidRPr="00672137">
        <w:rPr>
          <w:rFonts w:ascii="Times New Roman" w:hAnsi="Times New Roman" w:cs="Times New Roman"/>
          <w:sz w:val="24"/>
          <w:szCs w:val="24"/>
          <w:vertAlign w:val="baseline"/>
        </w:rPr>
        <w:t xml:space="preserve"> 814</w:t>
      </w:r>
    </w:p>
    <w:p w14:paraId="64A67E8F" w14:textId="77777777" w:rsidR="00430C85" w:rsidRDefault="00430C85" w:rsidP="003E2C58">
      <w:pPr>
        <w:rPr>
          <w:rFonts w:ascii="Times New Roman" w:hAnsi="Times New Roman" w:cs="Times New Roman"/>
          <w:sz w:val="24"/>
          <w:szCs w:val="24"/>
          <w:vertAlign w:val="baseline"/>
        </w:rPr>
      </w:pPr>
    </w:p>
    <w:p w14:paraId="7B24887E"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Meyer</w:t>
      </w:r>
      <w:r>
        <w:rPr>
          <w:rFonts w:ascii="Times New Roman" w:hAnsi="Times New Roman" w:cs="Times New Roman"/>
          <w:sz w:val="24"/>
          <w:szCs w:val="24"/>
          <w:vertAlign w:val="baseline"/>
        </w:rPr>
        <w:t xml:space="preserve"> B</w:t>
      </w:r>
      <w:r w:rsidRPr="00672137">
        <w:rPr>
          <w:rFonts w:ascii="Times New Roman" w:hAnsi="Times New Roman" w:cs="Times New Roman"/>
          <w:sz w:val="24"/>
          <w:szCs w:val="24"/>
          <w:vertAlign w:val="baseline"/>
        </w:rPr>
        <w:t xml:space="preserve">, </w:t>
      </w:r>
      <w:r w:rsidRPr="003356CB">
        <w:rPr>
          <w:rFonts w:ascii="Times New Roman" w:hAnsi="Times New Roman" w:cs="Times New Roman"/>
          <w:i/>
          <w:sz w:val="24"/>
          <w:szCs w:val="24"/>
          <w:vertAlign w:val="baseline"/>
        </w:rPr>
        <w:t>Translating the Devil: Religion and modernity among the Ewe in Ghana</w:t>
      </w:r>
      <w:r w:rsidRPr="00672137">
        <w:rPr>
          <w:rFonts w:ascii="Times New Roman" w:hAnsi="Times New Roman" w:cs="Times New Roman"/>
          <w:sz w:val="24"/>
          <w:szCs w:val="24"/>
          <w:vertAlign w:val="baseline"/>
        </w:rPr>
        <w:t xml:space="preserve"> (Edinburgh </w:t>
      </w:r>
      <w:r>
        <w:rPr>
          <w:rFonts w:ascii="Times New Roman" w:hAnsi="Times New Roman" w:cs="Times New Roman"/>
          <w:sz w:val="24"/>
          <w:szCs w:val="24"/>
          <w:vertAlign w:val="baseline"/>
        </w:rPr>
        <w:t>UP</w:t>
      </w:r>
      <w:r w:rsidRPr="00672137">
        <w:rPr>
          <w:rFonts w:ascii="Times New Roman" w:hAnsi="Times New Roman" w:cs="Times New Roman"/>
          <w:sz w:val="24"/>
          <w:szCs w:val="24"/>
          <w:vertAlign w:val="baseline"/>
        </w:rPr>
        <w:t xml:space="preserve"> 1999)</w:t>
      </w:r>
    </w:p>
    <w:p w14:paraId="43954A93" w14:textId="77777777" w:rsidR="003E2C58" w:rsidRDefault="003E2C58" w:rsidP="003E2C58">
      <w:pPr>
        <w:rPr>
          <w:rFonts w:ascii="Times New Roman" w:hAnsi="Times New Roman" w:cs="Times New Roman"/>
          <w:sz w:val="24"/>
          <w:szCs w:val="24"/>
          <w:vertAlign w:val="baseline"/>
        </w:rPr>
      </w:pPr>
    </w:p>
    <w:p w14:paraId="515ACC88"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Miguel</w:t>
      </w:r>
      <w:r>
        <w:rPr>
          <w:rFonts w:ascii="Times New Roman" w:hAnsi="Times New Roman" w:cs="Times New Roman"/>
          <w:sz w:val="24"/>
          <w:szCs w:val="24"/>
          <w:vertAlign w:val="baseline"/>
        </w:rPr>
        <w:t xml:space="preserve"> E</w:t>
      </w:r>
      <w:r w:rsidRPr="00672137">
        <w:rPr>
          <w:rFonts w:ascii="Times New Roman" w:hAnsi="Times New Roman" w:cs="Times New Roman"/>
          <w:sz w:val="24"/>
          <w:szCs w:val="24"/>
          <w:vertAlign w:val="baseline"/>
        </w:rPr>
        <w:t>, ‘Poverty and Witch Killing’ (</w:t>
      </w:r>
      <w:r>
        <w:rPr>
          <w:rFonts w:ascii="Times New Roman" w:hAnsi="Times New Roman" w:cs="Times New Roman"/>
          <w:sz w:val="24"/>
          <w:szCs w:val="24"/>
          <w:vertAlign w:val="baseline"/>
        </w:rPr>
        <w:t>2005) 72 Rev Econ Studies 1153</w:t>
      </w:r>
    </w:p>
    <w:p w14:paraId="23656329" w14:textId="77777777" w:rsidR="003E2C58" w:rsidRDefault="003E2C58" w:rsidP="003E2C58">
      <w:pPr>
        <w:rPr>
          <w:rFonts w:ascii="Times New Roman" w:hAnsi="Times New Roman" w:cs="Times New Roman"/>
          <w:sz w:val="24"/>
          <w:szCs w:val="24"/>
          <w:vertAlign w:val="baseline"/>
        </w:rPr>
      </w:pPr>
    </w:p>
    <w:p w14:paraId="3C664430" w14:textId="77777777" w:rsidR="001E6B73" w:rsidRPr="00672137" w:rsidRDefault="001E6B73" w:rsidP="001E6B73">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Miller</w:t>
      </w:r>
      <w:r>
        <w:rPr>
          <w:rFonts w:ascii="Times New Roman" w:hAnsi="Times New Roman" w:cs="Times New Roman"/>
          <w:sz w:val="24"/>
          <w:szCs w:val="24"/>
          <w:vertAlign w:val="baseline"/>
        </w:rPr>
        <w:t xml:space="preserve"> S</w:t>
      </w:r>
      <w:r w:rsidRPr="00672137">
        <w:rPr>
          <w:rFonts w:ascii="Times New Roman" w:hAnsi="Times New Roman" w:cs="Times New Roman"/>
          <w:sz w:val="24"/>
          <w:szCs w:val="24"/>
          <w:vertAlign w:val="baseline"/>
        </w:rPr>
        <w:t xml:space="preserve">, ‘Ten ‘big facts’ about India’ </w:t>
      </w:r>
      <w:r w:rsidRPr="0065770B">
        <w:rPr>
          <w:rFonts w:ascii="Times New Roman" w:hAnsi="Times New Roman" w:cs="Times New Roman"/>
          <w:i/>
          <w:sz w:val="24"/>
          <w:szCs w:val="24"/>
          <w:vertAlign w:val="baseline"/>
        </w:rPr>
        <w:t>BBC News Asia</w:t>
      </w:r>
      <w:r w:rsidRPr="00672137">
        <w:rPr>
          <w:rFonts w:ascii="Times New Roman" w:hAnsi="Times New Roman" w:cs="Times New Roman"/>
          <w:sz w:val="24"/>
          <w:szCs w:val="24"/>
          <w:vertAlign w:val="baseline"/>
        </w:rPr>
        <w:t xml:space="preserve"> (India, 18 February 2014) &lt;</w:t>
      </w:r>
      <w:hyperlink r:id="rId90" w:history="1">
        <w:r w:rsidRPr="0065770B">
          <w:rPr>
            <w:rStyle w:val="Hyperlink"/>
            <w:rFonts w:ascii="Times New Roman" w:hAnsi="Times New Roman" w:cs="Times New Roman"/>
            <w:sz w:val="24"/>
            <w:szCs w:val="24"/>
            <w:vertAlign w:val="baseline"/>
          </w:rPr>
          <w:t>http://www.bbc.co.uk/news/world-asia-25881705&gt;</w:t>
        </w:r>
      </w:hyperlink>
      <w:r w:rsidRPr="00672137">
        <w:rPr>
          <w:rFonts w:ascii="Times New Roman" w:hAnsi="Times New Roman" w:cs="Times New Roman"/>
          <w:sz w:val="24"/>
          <w:szCs w:val="24"/>
          <w:vertAlign w:val="baseline"/>
        </w:rPr>
        <w:t xml:space="preserve"> accessed 25 August 2015</w:t>
      </w:r>
    </w:p>
    <w:p w14:paraId="3A52AC2C" w14:textId="77777777" w:rsidR="001E6B73" w:rsidRDefault="001E6B73" w:rsidP="001E6B73">
      <w:pPr>
        <w:rPr>
          <w:rFonts w:ascii="Times New Roman" w:hAnsi="Times New Roman" w:cs="Times New Roman"/>
          <w:sz w:val="24"/>
          <w:szCs w:val="24"/>
          <w:vertAlign w:val="baseline"/>
        </w:rPr>
      </w:pPr>
    </w:p>
    <w:p w14:paraId="10A3D972" w14:textId="77777777" w:rsidR="001E6B73" w:rsidRDefault="001E6B73" w:rsidP="001E6B73">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Mnela</w:t>
      </w:r>
      <w:r>
        <w:rPr>
          <w:rFonts w:ascii="Times New Roman" w:hAnsi="Times New Roman" w:cs="Times New Roman"/>
          <w:sz w:val="24"/>
          <w:szCs w:val="24"/>
          <w:vertAlign w:val="baseline"/>
        </w:rPr>
        <w:t xml:space="preserve"> M</w:t>
      </w:r>
      <w:r w:rsidRPr="00672137">
        <w:rPr>
          <w:rFonts w:ascii="Times New Roman" w:hAnsi="Times New Roman" w:cs="Times New Roman"/>
          <w:sz w:val="24"/>
          <w:szCs w:val="24"/>
          <w:vertAlign w:val="baseline"/>
        </w:rPr>
        <w:t>, ‘Malawian swindler witchdoctors found heaven in B</w:t>
      </w:r>
      <w:r>
        <w:rPr>
          <w:rFonts w:ascii="Times New Roman" w:hAnsi="Times New Roman" w:cs="Times New Roman"/>
          <w:sz w:val="24"/>
          <w:szCs w:val="24"/>
          <w:vertAlign w:val="baseline"/>
        </w:rPr>
        <w:t xml:space="preserve">otswana’ </w:t>
      </w:r>
      <w:r w:rsidRPr="00AF5EA6">
        <w:rPr>
          <w:rFonts w:ascii="Times New Roman" w:hAnsi="Times New Roman" w:cs="Times New Roman"/>
          <w:i/>
          <w:sz w:val="24"/>
          <w:szCs w:val="24"/>
          <w:vertAlign w:val="baseline"/>
        </w:rPr>
        <w:t>The Malawian Democrat</w:t>
      </w:r>
      <w:r w:rsidRPr="00672137">
        <w:rPr>
          <w:rFonts w:ascii="Times New Roman" w:hAnsi="Times New Roman" w:cs="Times New Roman"/>
          <w:sz w:val="24"/>
          <w:szCs w:val="24"/>
          <w:vertAlign w:val="baseline"/>
        </w:rPr>
        <w:t xml:space="preserve"> </w:t>
      </w:r>
      <w:r>
        <w:rPr>
          <w:rFonts w:ascii="Times New Roman" w:hAnsi="Times New Roman" w:cs="Times New Roman"/>
          <w:sz w:val="24"/>
          <w:szCs w:val="24"/>
          <w:vertAlign w:val="baseline"/>
        </w:rPr>
        <w:t xml:space="preserve">(Malawi, 10 October 2011) </w:t>
      </w:r>
      <w:r w:rsidRPr="00672137">
        <w:rPr>
          <w:rFonts w:ascii="Times New Roman" w:hAnsi="Times New Roman" w:cs="Times New Roman"/>
          <w:sz w:val="24"/>
          <w:szCs w:val="24"/>
          <w:vertAlign w:val="baseline"/>
        </w:rPr>
        <w:t>&lt;</w:t>
      </w:r>
      <w:hyperlink r:id="rId91" w:history="1">
        <w:r w:rsidRPr="00AF5EA6">
          <w:rPr>
            <w:rStyle w:val="Hyperlink"/>
            <w:rFonts w:ascii="Times New Roman" w:hAnsi="Times New Roman" w:cs="Times New Roman"/>
            <w:sz w:val="24"/>
            <w:szCs w:val="24"/>
            <w:vertAlign w:val="baseline"/>
          </w:rPr>
          <w:t>http://www.malawidemocrat.com/malawian-swindler-witchdoctors-found-heaven-in-botswana/&gt;</w:t>
        </w:r>
      </w:hyperlink>
      <w:r w:rsidRPr="00672137">
        <w:rPr>
          <w:rFonts w:ascii="Times New Roman" w:hAnsi="Times New Roman" w:cs="Times New Roman"/>
          <w:sz w:val="24"/>
          <w:szCs w:val="24"/>
          <w:vertAlign w:val="baseline"/>
        </w:rPr>
        <w:t xml:space="preserve"> accessed 16 September 2014</w:t>
      </w:r>
    </w:p>
    <w:p w14:paraId="78D9AC7F" w14:textId="77777777" w:rsidR="001E6B73" w:rsidRDefault="001E6B73" w:rsidP="001E6B73">
      <w:pPr>
        <w:rPr>
          <w:rFonts w:ascii="Times New Roman" w:hAnsi="Times New Roman" w:cs="Times New Roman"/>
          <w:sz w:val="24"/>
          <w:szCs w:val="24"/>
          <w:vertAlign w:val="baseline"/>
        </w:rPr>
      </w:pPr>
    </w:p>
    <w:p w14:paraId="42145E3E" w14:textId="22703875" w:rsidR="00CF540D" w:rsidRDefault="00CF540D" w:rsidP="005D3578">
      <w:pPr>
        <w:rPr>
          <w:rFonts w:ascii="Times New Roman" w:hAnsi="Times New Roman" w:cs="Times New Roman"/>
          <w:sz w:val="24"/>
          <w:szCs w:val="24"/>
          <w:vertAlign w:val="baseline"/>
        </w:rPr>
      </w:pPr>
      <w:r w:rsidRPr="00F97F26">
        <w:rPr>
          <w:rFonts w:ascii="Times New Roman" w:hAnsi="Times New Roman" w:cs="Times New Roman"/>
          <w:sz w:val="24"/>
          <w:szCs w:val="24"/>
          <w:vertAlign w:val="baseline"/>
        </w:rPr>
        <w:t xml:space="preserve">Molefi Kete Asante and Ama Mazama, </w:t>
      </w:r>
      <w:r w:rsidRPr="00F97F26">
        <w:rPr>
          <w:rFonts w:ascii="Times New Roman" w:hAnsi="Times New Roman" w:cs="Times New Roman"/>
          <w:i/>
          <w:sz w:val="24"/>
          <w:szCs w:val="24"/>
          <w:vertAlign w:val="baseline"/>
        </w:rPr>
        <w:t>Encyclopedia of Black Studies</w:t>
      </w:r>
      <w:r w:rsidRPr="00F97F26">
        <w:rPr>
          <w:rFonts w:ascii="Times New Roman" w:hAnsi="Times New Roman" w:cs="Times New Roman"/>
          <w:sz w:val="24"/>
          <w:szCs w:val="24"/>
          <w:vertAlign w:val="baseline"/>
        </w:rPr>
        <w:t xml:space="preserve"> (Sage 2005)</w:t>
      </w:r>
    </w:p>
    <w:p w14:paraId="4632A25E" w14:textId="77777777" w:rsidR="00CF540D" w:rsidRDefault="00CF540D" w:rsidP="005D3578">
      <w:pPr>
        <w:rPr>
          <w:rFonts w:ascii="Times New Roman" w:hAnsi="Times New Roman" w:cs="Times New Roman"/>
          <w:sz w:val="24"/>
          <w:szCs w:val="24"/>
          <w:vertAlign w:val="baseline"/>
        </w:rPr>
      </w:pPr>
    </w:p>
    <w:p w14:paraId="0285BF78" w14:textId="3ECD3BD9" w:rsidR="005D3578" w:rsidRPr="00F97F26" w:rsidRDefault="005D3578" w:rsidP="005D3578">
      <w:pPr>
        <w:rPr>
          <w:rFonts w:ascii="Times New Roman" w:hAnsi="Times New Roman" w:cs="Times New Roman"/>
          <w:sz w:val="24"/>
          <w:szCs w:val="24"/>
          <w:vertAlign w:val="baseline"/>
        </w:rPr>
      </w:pPr>
      <w:r w:rsidRPr="00F97F26">
        <w:rPr>
          <w:rFonts w:ascii="Times New Roman" w:hAnsi="Times New Roman" w:cs="Times New Roman"/>
          <w:sz w:val="24"/>
          <w:szCs w:val="24"/>
          <w:vertAlign w:val="baseline"/>
        </w:rPr>
        <w:t>Monteiro Ferreira</w:t>
      </w:r>
      <w:r>
        <w:rPr>
          <w:rFonts w:ascii="Times New Roman" w:hAnsi="Times New Roman" w:cs="Times New Roman"/>
          <w:sz w:val="24"/>
          <w:szCs w:val="24"/>
          <w:vertAlign w:val="baseline"/>
        </w:rPr>
        <w:t xml:space="preserve"> A</w:t>
      </w:r>
      <w:r w:rsidRPr="00F97F26">
        <w:rPr>
          <w:rFonts w:ascii="Times New Roman" w:hAnsi="Times New Roman" w:cs="Times New Roman"/>
          <w:sz w:val="24"/>
          <w:szCs w:val="24"/>
          <w:vertAlign w:val="baseline"/>
        </w:rPr>
        <w:t xml:space="preserve">, ‘Patriarchy’ in Molefi Kete Asante and Ama Mazama, </w:t>
      </w:r>
      <w:r w:rsidRPr="00F97F26">
        <w:rPr>
          <w:rFonts w:ascii="Times New Roman" w:hAnsi="Times New Roman" w:cs="Times New Roman"/>
          <w:i/>
          <w:sz w:val="24"/>
          <w:szCs w:val="24"/>
          <w:vertAlign w:val="baseline"/>
        </w:rPr>
        <w:t>Encyclopedia of Black Studies</w:t>
      </w:r>
      <w:r w:rsidRPr="00F97F26">
        <w:rPr>
          <w:rFonts w:ascii="Times New Roman" w:hAnsi="Times New Roman" w:cs="Times New Roman"/>
          <w:sz w:val="24"/>
          <w:szCs w:val="24"/>
          <w:vertAlign w:val="baseline"/>
        </w:rPr>
        <w:t xml:space="preserve"> (Sage 2005)</w:t>
      </w:r>
    </w:p>
    <w:p w14:paraId="6D842B80" w14:textId="77777777" w:rsidR="005D3578" w:rsidRDefault="005D3578" w:rsidP="001E6B73">
      <w:pPr>
        <w:rPr>
          <w:rFonts w:ascii="Times New Roman" w:hAnsi="Times New Roman" w:cs="Times New Roman"/>
          <w:sz w:val="24"/>
          <w:szCs w:val="24"/>
          <w:vertAlign w:val="baseline"/>
        </w:rPr>
      </w:pPr>
    </w:p>
    <w:p w14:paraId="51BB8C48" w14:textId="77777777" w:rsidR="001E6B73" w:rsidRDefault="001E6B73" w:rsidP="001E6B73">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Morgan</w:t>
      </w:r>
      <w:r>
        <w:rPr>
          <w:rFonts w:ascii="Times New Roman" w:hAnsi="Times New Roman" w:cs="Times New Roman"/>
          <w:sz w:val="24"/>
          <w:szCs w:val="24"/>
          <w:vertAlign w:val="baseline"/>
        </w:rPr>
        <w:t xml:space="preserve"> S</w:t>
      </w:r>
      <w:r w:rsidRPr="00672137">
        <w:rPr>
          <w:rFonts w:ascii="Times New Roman" w:hAnsi="Times New Roman" w:cs="Times New Roman"/>
          <w:sz w:val="24"/>
          <w:szCs w:val="24"/>
          <w:vertAlign w:val="baseline"/>
        </w:rPr>
        <w:t xml:space="preserve">, ‘Torture camps and ritual killings: Is this the worst place in the world to be disabled’ </w:t>
      </w:r>
      <w:r w:rsidRPr="00180DF8">
        <w:rPr>
          <w:rFonts w:ascii="Times New Roman" w:hAnsi="Times New Roman" w:cs="Times New Roman"/>
          <w:i/>
          <w:sz w:val="24"/>
          <w:szCs w:val="24"/>
          <w:vertAlign w:val="baseline"/>
        </w:rPr>
        <w:t>The Mirror</w:t>
      </w:r>
      <w:r w:rsidRPr="00672137">
        <w:rPr>
          <w:rFonts w:ascii="Times New Roman" w:hAnsi="Times New Roman" w:cs="Times New Roman"/>
          <w:sz w:val="24"/>
          <w:szCs w:val="24"/>
          <w:vertAlign w:val="baseline"/>
        </w:rPr>
        <w:t xml:space="preserve"> (London 26 July 2015) &lt;</w:t>
      </w:r>
      <w:hyperlink r:id="rId92" w:history="1">
        <w:r w:rsidRPr="00180DF8">
          <w:rPr>
            <w:rStyle w:val="Hyperlink"/>
            <w:rFonts w:ascii="Times New Roman" w:hAnsi="Times New Roman" w:cs="Times New Roman"/>
            <w:sz w:val="24"/>
            <w:szCs w:val="24"/>
            <w:vertAlign w:val="baseline"/>
          </w:rPr>
          <w:t>http://www.mirror.co.uk/news/real-life-stories/torture-camps-ritual-killings-worst-6132829&gt; a</w:t>
        </w:r>
      </w:hyperlink>
      <w:r w:rsidRPr="00180DF8">
        <w:rPr>
          <w:rFonts w:ascii="Times New Roman" w:hAnsi="Times New Roman" w:cs="Times New Roman"/>
          <w:sz w:val="24"/>
          <w:szCs w:val="24"/>
          <w:vertAlign w:val="baseline"/>
        </w:rPr>
        <w:t>ccessed</w:t>
      </w:r>
      <w:r>
        <w:rPr>
          <w:rFonts w:ascii="Times New Roman" w:hAnsi="Times New Roman" w:cs="Times New Roman"/>
          <w:sz w:val="24"/>
          <w:szCs w:val="24"/>
          <w:vertAlign w:val="baseline"/>
        </w:rPr>
        <w:t xml:space="preserve"> 19 August 2015</w:t>
      </w:r>
    </w:p>
    <w:p w14:paraId="73F031B0" w14:textId="77777777" w:rsidR="001E6B73" w:rsidRDefault="001E6B73" w:rsidP="003E2C58">
      <w:pPr>
        <w:rPr>
          <w:rFonts w:ascii="Times New Roman" w:hAnsi="Times New Roman" w:cs="Times New Roman"/>
          <w:sz w:val="24"/>
          <w:szCs w:val="24"/>
          <w:vertAlign w:val="baseline"/>
        </w:rPr>
      </w:pPr>
    </w:p>
    <w:p w14:paraId="0399E900"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Morris</w:t>
      </w:r>
      <w:r>
        <w:rPr>
          <w:rFonts w:ascii="Times New Roman" w:hAnsi="Times New Roman" w:cs="Times New Roman"/>
          <w:sz w:val="24"/>
          <w:szCs w:val="24"/>
          <w:vertAlign w:val="baseline"/>
        </w:rPr>
        <w:t xml:space="preserve"> C</w:t>
      </w:r>
      <w:r w:rsidRPr="00672137">
        <w:rPr>
          <w:rFonts w:ascii="Times New Roman" w:hAnsi="Times New Roman" w:cs="Times New Roman"/>
          <w:sz w:val="24"/>
          <w:szCs w:val="24"/>
          <w:vertAlign w:val="baseline"/>
        </w:rPr>
        <w:t xml:space="preserve">, </w:t>
      </w:r>
      <w:r w:rsidRPr="004F45D7">
        <w:rPr>
          <w:rFonts w:ascii="Times New Roman" w:hAnsi="Times New Roman" w:cs="Times New Roman"/>
          <w:i/>
          <w:sz w:val="24"/>
          <w:szCs w:val="24"/>
          <w:vertAlign w:val="baseline"/>
        </w:rPr>
        <w:t>The Papal Monarchy: The Western Church from 1050 to 1250</w:t>
      </w:r>
      <w:r>
        <w:rPr>
          <w:rFonts w:ascii="Times New Roman" w:hAnsi="Times New Roman" w:cs="Times New Roman"/>
          <w:sz w:val="24"/>
          <w:szCs w:val="24"/>
          <w:vertAlign w:val="baseline"/>
        </w:rPr>
        <w:t xml:space="preserve"> (Oxford 1989)</w:t>
      </w:r>
    </w:p>
    <w:p w14:paraId="428C54F4" w14:textId="77777777" w:rsidR="003E2C58" w:rsidRDefault="003E2C58" w:rsidP="003E2C58">
      <w:pPr>
        <w:rPr>
          <w:rFonts w:ascii="Times New Roman" w:hAnsi="Times New Roman" w:cs="Times New Roman"/>
          <w:sz w:val="24"/>
          <w:szCs w:val="24"/>
          <w:vertAlign w:val="baseline"/>
        </w:rPr>
      </w:pPr>
    </w:p>
    <w:p w14:paraId="00004665" w14:textId="77777777" w:rsidR="00751DC3" w:rsidRDefault="00751DC3" w:rsidP="003E2C58">
      <w:pPr>
        <w:rPr>
          <w:rFonts w:ascii="Times New Roman" w:hAnsi="Times New Roman" w:cs="Times New Roman"/>
          <w:sz w:val="24"/>
          <w:szCs w:val="24"/>
          <w:vertAlign w:val="baseline"/>
        </w:rPr>
      </w:pPr>
    </w:p>
    <w:p w14:paraId="25992EBD" w14:textId="1500204C" w:rsidR="00751DC3" w:rsidRDefault="00751DC3" w:rsidP="003E2C58">
      <w:pPr>
        <w:rPr>
          <w:rFonts w:ascii="Times New Roman" w:hAnsi="Times New Roman" w:cs="Times New Roman"/>
          <w:sz w:val="24"/>
          <w:szCs w:val="24"/>
          <w:vertAlign w:val="baseline"/>
        </w:rPr>
      </w:pPr>
      <w:r w:rsidRPr="00F97F26">
        <w:rPr>
          <w:rFonts w:ascii="Times New Roman" w:hAnsi="Times New Roman" w:cs="Times New Roman"/>
          <w:sz w:val="24"/>
          <w:szCs w:val="24"/>
          <w:vertAlign w:val="baseline"/>
        </w:rPr>
        <w:t>Mortenson</w:t>
      </w:r>
      <w:r>
        <w:rPr>
          <w:rFonts w:ascii="Times New Roman" w:hAnsi="Times New Roman" w:cs="Times New Roman"/>
          <w:sz w:val="24"/>
          <w:szCs w:val="24"/>
          <w:vertAlign w:val="baseline"/>
        </w:rPr>
        <w:t xml:space="preserve"> G</w:t>
      </w:r>
      <w:r w:rsidRPr="00F97F26">
        <w:rPr>
          <w:rFonts w:ascii="Times New Roman" w:hAnsi="Times New Roman" w:cs="Times New Roman"/>
          <w:sz w:val="24"/>
          <w:szCs w:val="24"/>
          <w:vertAlign w:val="baseline"/>
        </w:rPr>
        <w:t xml:space="preserve"> and Relin</w:t>
      </w:r>
      <w:r>
        <w:rPr>
          <w:rFonts w:ascii="Times New Roman" w:hAnsi="Times New Roman" w:cs="Times New Roman"/>
          <w:sz w:val="24"/>
          <w:szCs w:val="24"/>
          <w:vertAlign w:val="baseline"/>
        </w:rPr>
        <w:t xml:space="preserve"> DO</w:t>
      </w:r>
      <w:r w:rsidRPr="00F97F26">
        <w:rPr>
          <w:rFonts w:ascii="Times New Roman" w:hAnsi="Times New Roman" w:cs="Times New Roman"/>
          <w:sz w:val="24"/>
          <w:szCs w:val="24"/>
          <w:vertAlign w:val="baseline"/>
        </w:rPr>
        <w:t xml:space="preserve">, </w:t>
      </w:r>
      <w:r w:rsidRPr="00F97F26">
        <w:rPr>
          <w:rFonts w:ascii="Times New Roman" w:hAnsi="Times New Roman" w:cs="Times New Roman"/>
          <w:i/>
          <w:sz w:val="24"/>
          <w:szCs w:val="24"/>
          <w:vertAlign w:val="baseline"/>
        </w:rPr>
        <w:t>Three Cups of Tea</w:t>
      </w:r>
      <w:r w:rsidRPr="00F97F26">
        <w:rPr>
          <w:rFonts w:ascii="Times New Roman" w:hAnsi="Times New Roman" w:cs="Times New Roman"/>
          <w:sz w:val="24"/>
          <w:szCs w:val="24"/>
          <w:vertAlign w:val="baseline"/>
        </w:rPr>
        <w:t xml:space="preserve"> (Penguin 2006)</w:t>
      </w:r>
    </w:p>
    <w:p w14:paraId="02E992B2" w14:textId="77777777" w:rsidR="00751DC3" w:rsidRDefault="00751DC3" w:rsidP="003E2C58">
      <w:pPr>
        <w:rPr>
          <w:rFonts w:ascii="Times New Roman" w:hAnsi="Times New Roman" w:cs="Times New Roman"/>
          <w:sz w:val="24"/>
          <w:szCs w:val="24"/>
          <w:vertAlign w:val="baseline"/>
        </w:rPr>
      </w:pPr>
    </w:p>
    <w:p w14:paraId="1CA3F813"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Moss</w:t>
      </w:r>
      <w:r>
        <w:rPr>
          <w:rFonts w:ascii="Times New Roman" w:hAnsi="Times New Roman" w:cs="Times New Roman"/>
          <w:sz w:val="24"/>
          <w:szCs w:val="24"/>
          <w:vertAlign w:val="baseline"/>
        </w:rPr>
        <w:t xml:space="preserve"> LW</w:t>
      </w:r>
      <w:r w:rsidRPr="00672137">
        <w:rPr>
          <w:rFonts w:ascii="Times New Roman" w:hAnsi="Times New Roman" w:cs="Times New Roman"/>
          <w:sz w:val="24"/>
          <w:szCs w:val="24"/>
          <w:vertAlign w:val="baseline"/>
        </w:rPr>
        <w:t xml:space="preserve"> and Cappannari</w:t>
      </w:r>
      <w:r>
        <w:rPr>
          <w:rFonts w:ascii="Times New Roman" w:hAnsi="Times New Roman" w:cs="Times New Roman"/>
          <w:sz w:val="24"/>
          <w:szCs w:val="24"/>
          <w:vertAlign w:val="baseline"/>
        </w:rPr>
        <w:t xml:space="preserve"> SC</w:t>
      </w:r>
      <w:r w:rsidRPr="00672137">
        <w:rPr>
          <w:rFonts w:ascii="Times New Roman" w:hAnsi="Times New Roman" w:cs="Times New Roman"/>
          <w:sz w:val="24"/>
          <w:szCs w:val="24"/>
          <w:vertAlign w:val="baseline"/>
        </w:rPr>
        <w:t>, ‘Mal’occhio, Ayin ha ra, Oculus fascinus, Judenblick: The Evil Eye Hovers Above’ in Maloney</w:t>
      </w:r>
      <w:r>
        <w:rPr>
          <w:rFonts w:ascii="Times New Roman" w:hAnsi="Times New Roman" w:cs="Times New Roman"/>
          <w:sz w:val="24"/>
          <w:szCs w:val="24"/>
          <w:vertAlign w:val="baseline"/>
        </w:rPr>
        <w:t xml:space="preserve"> C</w:t>
      </w:r>
      <w:r w:rsidRPr="00672137">
        <w:rPr>
          <w:rFonts w:ascii="Times New Roman" w:hAnsi="Times New Roman" w:cs="Times New Roman"/>
          <w:sz w:val="24"/>
          <w:szCs w:val="24"/>
          <w:vertAlign w:val="baseline"/>
        </w:rPr>
        <w:t xml:space="preserve">, </w:t>
      </w:r>
      <w:r w:rsidRPr="00AF0C03">
        <w:rPr>
          <w:rFonts w:ascii="Times New Roman" w:hAnsi="Times New Roman" w:cs="Times New Roman"/>
          <w:i/>
          <w:sz w:val="24"/>
          <w:szCs w:val="24"/>
          <w:vertAlign w:val="baseline"/>
        </w:rPr>
        <w:t>The Evil Eye</w:t>
      </w:r>
      <w:r w:rsidRPr="00672137">
        <w:rPr>
          <w:rFonts w:ascii="Times New Roman" w:hAnsi="Times New Roman" w:cs="Times New Roman"/>
          <w:sz w:val="24"/>
          <w:szCs w:val="24"/>
          <w:vertAlign w:val="baseline"/>
        </w:rPr>
        <w:t xml:space="preserve"> (Columbia </w:t>
      </w:r>
      <w:r>
        <w:rPr>
          <w:rFonts w:ascii="Times New Roman" w:hAnsi="Times New Roman" w:cs="Times New Roman"/>
          <w:sz w:val="24"/>
          <w:szCs w:val="24"/>
          <w:vertAlign w:val="baseline"/>
        </w:rPr>
        <w:t>UP 1976)</w:t>
      </w:r>
    </w:p>
    <w:p w14:paraId="5970A5CD" w14:textId="77777777" w:rsidR="003E2C58" w:rsidRDefault="003E2C58" w:rsidP="003E2C58">
      <w:pPr>
        <w:rPr>
          <w:rFonts w:ascii="Times New Roman" w:hAnsi="Times New Roman" w:cs="Times New Roman"/>
          <w:sz w:val="24"/>
          <w:szCs w:val="24"/>
          <w:vertAlign w:val="baseline"/>
        </w:rPr>
      </w:pPr>
    </w:p>
    <w:p w14:paraId="51958C74"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Muller</w:t>
      </w:r>
      <w:r>
        <w:rPr>
          <w:rFonts w:ascii="Times New Roman" w:hAnsi="Times New Roman" w:cs="Times New Roman"/>
          <w:sz w:val="24"/>
          <w:szCs w:val="24"/>
          <w:vertAlign w:val="baseline"/>
        </w:rPr>
        <w:t xml:space="preserve"> M</w:t>
      </w:r>
      <w:r w:rsidRPr="00672137">
        <w:rPr>
          <w:rFonts w:ascii="Times New Roman" w:hAnsi="Times New Roman" w:cs="Times New Roman"/>
          <w:sz w:val="24"/>
          <w:szCs w:val="24"/>
          <w:vertAlign w:val="baseline"/>
        </w:rPr>
        <w:t xml:space="preserve">, </w:t>
      </w:r>
      <w:r w:rsidRPr="00D95A14">
        <w:rPr>
          <w:rFonts w:ascii="Times New Roman" w:hAnsi="Times New Roman" w:cs="Times New Roman"/>
          <w:i/>
          <w:sz w:val="24"/>
          <w:szCs w:val="24"/>
          <w:vertAlign w:val="baseline"/>
        </w:rPr>
        <w:t xml:space="preserve">Chips from a German Workshop: Volume One Essays on the Science of Religion </w:t>
      </w:r>
      <w:r>
        <w:rPr>
          <w:rFonts w:ascii="Times New Roman" w:hAnsi="Times New Roman" w:cs="Times New Roman"/>
          <w:sz w:val="24"/>
          <w:szCs w:val="24"/>
          <w:vertAlign w:val="baseline"/>
        </w:rPr>
        <w:t>(Oxford 1872)</w:t>
      </w:r>
    </w:p>
    <w:p w14:paraId="713A15F4" w14:textId="77777777" w:rsidR="003E2C58" w:rsidRDefault="003E2C58" w:rsidP="003E2C58">
      <w:pPr>
        <w:rPr>
          <w:rFonts w:ascii="Times New Roman" w:hAnsi="Times New Roman" w:cs="Times New Roman"/>
          <w:sz w:val="24"/>
          <w:szCs w:val="24"/>
          <w:vertAlign w:val="baseline"/>
        </w:rPr>
      </w:pPr>
    </w:p>
    <w:p w14:paraId="5C692D59"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Murdoch</w:t>
      </w:r>
      <w:r>
        <w:rPr>
          <w:rFonts w:ascii="Times New Roman" w:hAnsi="Times New Roman" w:cs="Times New Roman"/>
          <w:sz w:val="24"/>
          <w:szCs w:val="24"/>
          <w:vertAlign w:val="baseline"/>
        </w:rPr>
        <w:t xml:space="preserve"> J</w:t>
      </w:r>
      <w:r w:rsidRPr="00672137">
        <w:rPr>
          <w:rFonts w:ascii="Times New Roman" w:hAnsi="Times New Roman" w:cs="Times New Roman"/>
          <w:sz w:val="24"/>
          <w:szCs w:val="24"/>
          <w:vertAlign w:val="baseline"/>
        </w:rPr>
        <w:t>, ‘Unfulfilled expectations: The Optional Prot</w:t>
      </w:r>
      <w:r>
        <w:rPr>
          <w:rFonts w:ascii="Times New Roman" w:hAnsi="Times New Roman" w:cs="Times New Roman"/>
          <w:sz w:val="24"/>
          <w:szCs w:val="24"/>
          <w:vertAlign w:val="baseline"/>
        </w:rPr>
        <w:t>ocol to CEDAW’ (2010) 1 EHRLR</w:t>
      </w:r>
      <w:r w:rsidRPr="00672137">
        <w:rPr>
          <w:rFonts w:ascii="Times New Roman" w:hAnsi="Times New Roman" w:cs="Times New Roman"/>
          <w:sz w:val="24"/>
          <w:szCs w:val="24"/>
          <w:vertAlign w:val="baseline"/>
        </w:rPr>
        <w:t xml:space="preserve"> 26</w:t>
      </w:r>
    </w:p>
    <w:p w14:paraId="49FD84FA" w14:textId="77777777" w:rsidR="003E2C58" w:rsidRDefault="003E2C58" w:rsidP="003E2C58">
      <w:pPr>
        <w:rPr>
          <w:rFonts w:ascii="Times New Roman" w:hAnsi="Times New Roman" w:cs="Times New Roman"/>
          <w:sz w:val="24"/>
          <w:szCs w:val="24"/>
          <w:vertAlign w:val="baseline"/>
        </w:rPr>
      </w:pPr>
    </w:p>
    <w:p w14:paraId="13F7C079" w14:textId="77777777" w:rsidR="001E6B73" w:rsidRDefault="001E6B73" w:rsidP="001E6B73">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Murray</w:t>
      </w:r>
      <w:r>
        <w:rPr>
          <w:rFonts w:ascii="Times New Roman" w:hAnsi="Times New Roman" w:cs="Times New Roman"/>
          <w:sz w:val="24"/>
          <w:szCs w:val="24"/>
          <w:vertAlign w:val="baseline"/>
        </w:rPr>
        <w:t xml:space="preserve"> J</w:t>
      </w:r>
      <w:r w:rsidRPr="00672137">
        <w:rPr>
          <w:rFonts w:ascii="Times New Roman" w:hAnsi="Times New Roman" w:cs="Times New Roman"/>
          <w:sz w:val="24"/>
          <w:szCs w:val="24"/>
          <w:vertAlign w:val="baseline"/>
        </w:rPr>
        <w:t xml:space="preserve"> and Wallace</w:t>
      </w:r>
      <w:r>
        <w:rPr>
          <w:rFonts w:ascii="Times New Roman" w:hAnsi="Times New Roman" w:cs="Times New Roman"/>
          <w:sz w:val="24"/>
          <w:szCs w:val="24"/>
          <w:vertAlign w:val="baseline"/>
        </w:rPr>
        <w:t xml:space="preserve"> L</w:t>
      </w:r>
      <w:r w:rsidRPr="00672137">
        <w:rPr>
          <w:rFonts w:ascii="Times New Roman" w:hAnsi="Times New Roman" w:cs="Times New Roman"/>
          <w:sz w:val="24"/>
          <w:szCs w:val="24"/>
          <w:vertAlign w:val="baseline"/>
        </w:rPr>
        <w:t>, ‘In Africa, accusations of witchcraft still a real</w:t>
      </w:r>
      <w:r>
        <w:rPr>
          <w:rFonts w:ascii="Times New Roman" w:hAnsi="Times New Roman" w:cs="Times New Roman"/>
          <w:sz w:val="24"/>
          <w:szCs w:val="24"/>
          <w:vertAlign w:val="baseline"/>
        </w:rPr>
        <w:t xml:space="preserve">ity for women’ </w:t>
      </w:r>
      <w:r w:rsidRPr="00180DF8">
        <w:rPr>
          <w:rFonts w:ascii="Times New Roman" w:hAnsi="Times New Roman" w:cs="Times New Roman"/>
          <w:i/>
          <w:sz w:val="24"/>
          <w:szCs w:val="24"/>
          <w:vertAlign w:val="baseline"/>
        </w:rPr>
        <w:t>Globe and Mail</w:t>
      </w:r>
      <w:r>
        <w:rPr>
          <w:rFonts w:ascii="Times New Roman" w:hAnsi="Times New Roman" w:cs="Times New Roman"/>
          <w:sz w:val="24"/>
          <w:szCs w:val="24"/>
          <w:vertAlign w:val="baseline"/>
        </w:rPr>
        <w:t xml:space="preserve"> (Canada, </w:t>
      </w:r>
      <w:r w:rsidRPr="00672137">
        <w:rPr>
          <w:rFonts w:ascii="Times New Roman" w:hAnsi="Times New Roman" w:cs="Times New Roman"/>
          <w:sz w:val="24"/>
          <w:szCs w:val="24"/>
          <w:vertAlign w:val="baseline"/>
        </w:rPr>
        <w:t>25 November 2013) &lt;</w:t>
      </w:r>
      <w:hyperlink r:id="rId93" w:history="1">
        <w:r w:rsidRPr="00180DF8">
          <w:rPr>
            <w:rStyle w:val="Hyperlink"/>
            <w:rFonts w:ascii="Times New Roman" w:hAnsi="Times New Roman" w:cs="Times New Roman"/>
            <w:sz w:val="24"/>
            <w:szCs w:val="24"/>
            <w:vertAlign w:val="baseline"/>
          </w:rPr>
          <w:t>http://www.theglobeandmail.com/globe-debate/in-africa-accusations-of-witchcraft-still-a-reality-for-many-women/article15582182/&gt;</w:t>
        </w:r>
      </w:hyperlink>
      <w:r>
        <w:rPr>
          <w:rFonts w:ascii="Times New Roman" w:hAnsi="Times New Roman" w:cs="Times New Roman"/>
          <w:sz w:val="24"/>
          <w:szCs w:val="24"/>
          <w:vertAlign w:val="baseline"/>
        </w:rPr>
        <w:t xml:space="preserve"> accessed 19 August 2015</w:t>
      </w:r>
    </w:p>
    <w:p w14:paraId="0B92A605" w14:textId="77777777" w:rsidR="001E6B73" w:rsidRDefault="001E6B73" w:rsidP="003E2C58">
      <w:pPr>
        <w:rPr>
          <w:rFonts w:ascii="Times New Roman" w:hAnsi="Times New Roman" w:cs="Times New Roman"/>
          <w:sz w:val="24"/>
          <w:szCs w:val="24"/>
          <w:vertAlign w:val="baseline"/>
        </w:rPr>
      </w:pPr>
    </w:p>
    <w:p w14:paraId="1DE335E7"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Murray</w:t>
      </w:r>
      <w:r>
        <w:rPr>
          <w:rFonts w:ascii="Times New Roman" w:hAnsi="Times New Roman" w:cs="Times New Roman"/>
          <w:sz w:val="24"/>
          <w:szCs w:val="24"/>
          <w:vertAlign w:val="baseline"/>
        </w:rPr>
        <w:t xml:space="preserve"> M</w:t>
      </w:r>
      <w:r w:rsidRPr="00672137">
        <w:rPr>
          <w:rFonts w:ascii="Times New Roman" w:hAnsi="Times New Roman" w:cs="Times New Roman"/>
          <w:sz w:val="24"/>
          <w:szCs w:val="24"/>
          <w:vertAlign w:val="baseline"/>
        </w:rPr>
        <w:t>, The Witch-Cult in Wes</w:t>
      </w:r>
      <w:r>
        <w:rPr>
          <w:rFonts w:ascii="Times New Roman" w:hAnsi="Times New Roman" w:cs="Times New Roman"/>
          <w:sz w:val="24"/>
          <w:szCs w:val="24"/>
          <w:vertAlign w:val="baseline"/>
        </w:rPr>
        <w:t>tern Europe (Oxford 1921)</w:t>
      </w:r>
    </w:p>
    <w:p w14:paraId="3097928B" w14:textId="77777777" w:rsidR="003E2C58" w:rsidRDefault="003E2C58" w:rsidP="003E2C58">
      <w:pPr>
        <w:rPr>
          <w:rFonts w:ascii="Times New Roman" w:hAnsi="Times New Roman" w:cs="Times New Roman"/>
          <w:sz w:val="24"/>
          <w:szCs w:val="24"/>
          <w:vertAlign w:val="baseline"/>
        </w:rPr>
      </w:pPr>
    </w:p>
    <w:p w14:paraId="31C48C3E" w14:textId="6CCC3871" w:rsidR="0015079C" w:rsidRDefault="0015079C" w:rsidP="003E2C58">
      <w:pPr>
        <w:rPr>
          <w:rFonts w:ascii="Times New Roman" w:hAnsi="Times New Roman" w:cs="Times New Roman"/>
          <w:sz w:val="24"/>
          <w:szCs w:val="24"/>
          <w:vertAlign w:val="baseline"/>
        </w:rPr>
      </w:pPr>
      <w:r w:rsidRPr="0015079C">
        <w:rPr>
          <w:rFonts w:ascii="Times New Roman" w:hAnsi="Times New Roman" w:cs="Times New Roman"/>
          <w:sz w:val="24"/>
          <w:szCs w:val="24"/>
          <w:vertAlign w:val="baseline"/>
          <w:lang w:val="en-US"/>
        </w:rPr>
        <w:t>Musembi</w:t>
      </w:r>
      <w:r>
        <w:rPr>
          <w:rFonts w:ascii="Times New Roman" w:hAnsi="Times New Roman" w:cs="Times New Roman"/>
          <w:sz w:val="24"/>
          <w:szCs w:val="24"/>
          <w:vertAlign w:val="baseline"/>
          <w:lang w:val="en-US"/>
        </w:rPr>
        <w:t xml:space="preserve"> CN</w:t>
      </w:r>
      <w:r w:rsidRPr="0015079C">
        <w:rPr>
          <w:rFonts w:ascii="Times New Roman" w:hAnsi="Times New Roman" w:cs="Times New Roman"/>
          <w:sz w:val="24"/>
          <w:szCs w:val="24"/>
          <w:vertAlign w:val="baseline"/>
          <w:lang w:val="en-US"/>
        </w:rPr>
        <w:t xml:space="preserve">, ‘Pulling apart? Treatment of pluralism in the CEDAW and the Maputo Protocol’ </w:t>
      </w:r>
      <w:r w:rsidRPr="0015079C">
        <w:rPr>
          <w:rFonts w:ascii="Times New Roman" w:hAnsi="Times New Roman" w:cs="Times New Roman"/>
          <w:sz w:val="24"/>
          <w:szCs w:val="24"/>
          <w:vertAlign w:val="baseline"/>
        </w:rPr>
        <w:t>in Hellum</w:t>
      </w:r>
      <w:r w:rsidR="000031AE">
        <w:rPr>
          <w:rFonts w:ascii="Times New Roman" w:hAnsi="Times New Roman" w:cs="Times New Roman"/>
          <w:sz w:val="24"/>
          <w:szCs w:val="24"/>
          <w:vertAlign w:val="baseline"/>
        </w:rPr>
        <w:t xml:space="preserve"> A</w:t>
      </w:r>
      <w:r w:rsidRPr="0015079C">
        <w:rPr>
          <w:rFonts w:ascii="Times New Roman" w:hAnsi="Times New Roman" w:cs="Times New Roman"/>
          <w:sz w:val="24"/>
          <w:szCs w:val="24"/>
          <w:vertAlign w:val="baseline"/>
        </w:rPr>
        <w:t xml:space="preserve"> and Sinding Aasen</w:t>
      </w:r>
      <w:r w:rsidR="000031AE">
        <w:rPr>
          <w:rFonts w:ascii="Times New Roman" w:hAnsi="Times New Roman" w:cs="Times New Roman"/>
          <w:sz w:val="24"/>
          <w:szCs w:val="24"/>
          <w:vertAlign w:val="baseline"/>
        </w:rPr>
        <w:t xml:space="preserve"> H</w:t>
      </w:r>
      <w:r w:rsidRPr="0015079C">
        <w:rPr>
          <w:rFonts w:ascii="Times New Roman" w:hAnsi="Times New Roman" w:cs="Times New Roman"/>
          <w:sz w:val="24"/>
          <w:szCs w:val="24"/>
          <w:vertAlign w:val="baseline"/>
        </w:rPr>
        <w:t xml:space="preserve">, </w:t>
      </w:r>
      <w:r w:rsidRPr="0015079C">
        <w:rPr>
          <w:rFonts w:ascii="Times New Roman" w:hAnsi="Times New Roman" w:cs="Times New Roman"/>
          <w:i/>
          <w:sz w:val="24"/>
          <w:szCs w:val="24"/>
          <w:vertAlign w:val="baseline"/>
        </w:rPr>
        <w:t>Women’s Human Rights: CEDAW in International, Regional and National Law</w:t>
      </w:r>
      <w:r w:rsidRPr="0015079C">
        <w:rPr>
          <w:rFonts w:ascii="Times New Roman" w:hAnsi="Times New Roman" w:cs="Times New Roman"/>
          <w:sz w:val="24"/>
          <w:szCs w:val="24"/>
          <w:vertAlign w:val="baseline"/>
        </w:rPr>
        <w:t xml:space="preserve"> (CUP 2013)</w:t>
      </w:r>
    </w:p>
    <w:p w14:paraId="2A0F86FD" w14:textId="77777777" w:rsidR="000031AE" w:rsidRPr="0015079C" w:rsidRDefault="000031AE" w:rsidP="003E2C58">
      <w:pPr>
        <w:rPr>
          <w:rFonts w:ascii="Times New Roman" w:hAnsi="Times New Roman" w:cs="Times New Roman"/>
          <w:sz w:val="24"/>
          <w:szCs w:val="24"/>
          <w:vertAlign w:val="baseline"/>
        </w:rPr>
      </w:pPr>
    </w:p>
    <w:p w14:paraId="41DDBE1B"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Nathan</w:t>
      </w:r>
      <w:r>
        <w:rPr>
          <w:rFonts w:ascii="Times New Roman" w:hAnsi="Times New Roman" w:cs="Times New Roman"/>
          <w:sz w:val="24"/>
          <w:szCs w:val="24"/>
          <w:vertAlign w:val="baseline"/>
        </w:rPr>
        <w:t xml:space="preserve"> D</w:t>
      </w:r>
      <w:r w:rsidRPr="00672137">
        <w:rPr>
          <w:rFonts w:ascii="Times New Roman" w:hAnsi="Times New Roman" w:cs="Times New Roman"/>
          <w:sz w:val="24"/>
          <w:szCs w:val="24"/>
          <w:vertAlign w:val="baseline"/>
        </w:rPr>
        <w:t xml:space="preserve">, Kelkar </w:t>
      </w:r>
      <w:r>
        <w:rPr>
          <w:rFonts w:ascii="Times New Roman" w:hAnsi="Times New Roman" w:cs="Times New Roman"/>
          <w:sz w:val="24"/>
          <w:szCs w:val="24"/>
          <w:vertAlign w:val="baseline"/>
        </w:rPr>
        <w:t xml:space="preserve">G and </w:t>
      </w:r>
      <w:r w:rsidRPr="00672137">
        <w:rPr>
          <w:rFonts w:ascii="Times New Roman" w:hAnsi="Times New Roman" w:cs="Times New Roman"/>
          <w:sz w:val="24"/>
          <w:szCs w:val="24"/>
          <w:vertAlign w:val="baseline"/>
        </w:rPr>
        <w:t>Satija</w:t>
      </w:r>
      <w:r>
        <w:rPr>
          <w:rFonts w:ascii="Times New Roman" w:hAnsi="Times New Roman" w:cs="Times New Roman"/>
          <w:sz w:val="24"/>
          <w:szCs w:val="24"/>
          <w:vertAlign w:val="baseline"/>
        </w:rPr>
        <w:t xml:space="preserve"> S</w:t>
      </w:r>
      <w:r w:rsidRPr="00672137">
        <w:rPr>
          <w:rFonts w:ascii="Times New Roman" w:hAnsi="Times New Roman" w:cs="Times New Roman"/>
          <w:sz w:val="24"/>
          <w:szCs w:val="24"/>
          <w:vertAlign w:val="baseline"/>
        </w:rPr>
        <w:t>, ‘Witches: Through Changing Contexts Women Remain the Target’ (Institute for Working Deve</w:t>
      </w:r>
      <w:r>
        <w:rPr>
          <w:rFonts w:ascii="Times New Roman" w:hAnsi="Times New Roman" w:cs="Times New Roman"/>
          <w:sz w:val="24"/>
          <w:szCs w:val="24"/>
          <w:vertAlign w:val="baseline"/>
        </w:rPr>
        <w:t>lopment, New Delhi 2013)</w:t>
      </w:r>
    </w:p>
    <w:p w14:paraId="72D2E2F4" w14:textId="77777777" w:rsidR="003E2C58" w:rsidRDefault="003E2C58" w:rsidP="003E2C58">
      <w:pPr>
        <w:rPr>
          <w:rFonts w:ascii="Times New Roman" w:hAnsi="Times New Roman" w:cs="Times New Roman"/>
          <w:sz w:val="24"/>
          <w:szCs w:val="24"/>
          <w:vertAlign w:val="baseline"/>
        </w:rPr>
      </w:pPr>
    </w:p>
    <w:p w14:paraId="1F599FFB"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National Crime Records Bureau, ‘Crime in India 2013 Compendium’ (Ministry of Home Affairs, 16 June 2014) &lt;</w:t>
      </w:r>
      <w:hyperlink r:id="rId94" w:history="1">
        <w:r w:rsidRPr="008A71A1">
          <w:rPr>
            <w:rStyle w:val="Hyperlink"/>
            <w:rFonts w:ascii="Times New Roman" w:hAnsi="Times New Roman" w:cs="Times New Roman"/>
            <w:sz w:val="24"/>
            <w:szCs w:val="24"/>
            <w:vertAlign w:val="baseline"/>
          </w:rPr>
          <w:t>http://ncrb.gov.in/CD-CII2013/compendium%202013.pdf&gt; a</w:t>
        </w:r>
      </w:hyperlink>
      <w:r w:rsidRPr="00672137">
        <w:rPr>
          <w:rFonts w:ascii="Times New Roman" w:hAnsi="Times New Roman" w:cs="Times New Roman"/>
          <w:sz w:val="24"/>
          <w:szCs w:val="24"/>
          <w:vertAlign w:val="baseline"/>
        </w:rPr>
        <w:t>ccessed 6 November 2014</w:t>
      </w:r>
    </w:p>
    <w:p w14:paraId="4C5B250B" w14:textId="77777777" w:rsidR="003E2C58" w:rsidRDefault="003E2C58" w:rsidP="003E2C58">
      <w:pPr>
        <w:rPr>
          <w:rFonts w:ascii="Times New Roman" w:hAnsi="Times New Roman" w:cs="Times New Roman"/>
          <w:sz w:val="24"/>
          <w:szCs w:val="24"/>
          <w:vertAlign w:val="baseline"/>
        </w:rPr>
      </w:pPr>
    </w:p>
    <w:p w14:paraId="527FB1BE" w14:textId="77777777" w:rsidR="00700BCD" w:rsidRDefault="00700BCD" w:rsidP="00700BCD">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National Portal of India, ‘Constitution of India’ &lt;</w:t>
      </w:r>
      <w:r w:rsidRPr="007F49D5">
        <w:t xml:space="preserve"> </w:t>
      </w:r>
      <w:hyperlink r:id="rId95" w:history="1">
        <w:r w:rsidRPr="007F49D5">
          <w:rPr>
            <w:rStyle w:val="Hyperlink"/>
            <w:rFonts w:ascii="Times New Roman" w:hAnsi="Times New Roman" w:cs="Times New Roman"/>
            <w:sz w:val="24"/>
            <w:szCs w:val="24"/>
            <w:vertAlign w:val="baseline"/>
          </w:rPr>
          <w:t>https://india.gov.in/&gt;</w:t>
        </w:r>
      </w:hyperlink>
      <w:r>
        <w:rPr>
          <w:rFonts w:ascii="Times New Roman" w:hAnsi="Times New Roman" w:cs="Times New Roman"/>
          <w:sz w:val="24"/>
          <w:szCs w:val="24"/>
          <w:vertAlign w:val="baseline"/>
        </w:rPr>
        <w:t xml:space="preserve"> </w:t>
      </w:r>
      <w:r w:rsidRPr="00672137">
        <w:rPr>
          <w:rFonts w:ascii="Times New Roman" w:hAnsi="Times New Roman" w:cs="Times New Roman"/>
          <w:sz w:val="24"/>
          <w:szCs w:val="24"/>
          <w:vertAlign w:val="baseline"/>
        </w:rPr>
        <w:t>accessed 25 August 2015</w:t>
      </w:r>
    </w:p>
    <w:p w14:paraId="2DAC9FEA" w14:textId="77777777" w:rsidR="00700BCD" w:rsidRDefault="00700BCD" w:rsidP="003E2C58">
      <w:pPr>
        <w:rPr>
          <w:rFonts w:ascii="Times New Roman" w:hAnsi="Times New Roman" w:cs="Times New Roman"/>
          <w:sz w:val="24"/>
          <w:szCs w:val="24"/>
          <w:vertAlign w:val="baseline"/>
        </w:rPr>
      </w:pPr>
    </w:p>
    <w:p w14:paraId="5FA8EE10"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Ndulo</w:t>
      </w:r>
      <w:r>
        <w:rPr>
          <w:rFonts w:ascii="Times New Roman" w:hAnsi="Times New Roman" w:cs="Times New Roman"/>
          <w:sz w:val="24"/>
          <w:szCs w:val="24"/>
          <w:vertAlign w:val="baseline"/>
        </w:rPr>
        <w:t xml:space="preserve"> M</w:t>
      </w:r>
      <w:r w:rsidRPr="00672137">
        <w:rPr>
          <w:rFonts w:ascii="Times New Roman" w:hAnsi="Times New Roman" w:cs="Times New Roman"/>
          <w:sz w:val="24"/>
          <w:szCs w:val="24"/>
          <w:vertAlign w:val="baseline"/>
        </w:rPr>
        <w:t>, ‘African Customary Law, Customs, and Wome</w:t>
      </w:r>
      <w:r>
        <w:rPr>
          <w:rFonts w:ascii="Times New Roman" w:hAnsi="Times New Roman" w:cs="Times New Roman"/>
          <w:sz w:val="24"/>
          <w:szCs w:val="24"/>
          <w:vertAlign w:val="baseline"/>
        </w:rPr>
        <w:t>n's Rights’ (2011) 18(1) Ind J</w:t>
      </w:r>
      <w:r w:rsidRPr="00672137">
        <w:rPr>
          <w:rFonts w:ascii="Times New Roman" w:hAnsi="Times New Roman" w:cs="Times New Roman"/>
          <w:sz w:val="24"/>
          <w:szCs w:val="24"/>
          <w:vertAlign w:val="baseline"/>
        </w:rPr>
        <w:t xml:space="preserve"> Global Legal Studies 88</w:t>
      </w:r>
    </w:p>
    <w:p w14:paraId="6EC1B832" w14:textId="77777777" w:rsidR="003E2C58" w:rsidRDefault="003E2C58" w:rsidP="003E2C58">
      <w:pPr>
        <w:rPr>
          <w:rFonts w:ascii="Times New Roman" w:hAnsi="Times New Roman" w:cs="Times New Roman"/>
          <w:sz w:val="24"/>
          <w:szCs w:val="24"/>
          <w:vertAlign w:val="baseline"/>
        </w:rPr>
      </w:pPr>
    </w:p>
    <w:p w14:paraId="71C9E92E" w14:textId="77777777" w:rsidR="008F2A54" w:rsidRPr="00672137" w:rsidRDefault="008F2A54" w:rsidP="008F2A54">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 xml:space="preserve">‘Nepal clashes at protest over constitution leave eight dead’ </w:t>
      </w:r>
      <w:r w:rsidRPr="00AB14B1">
        <w:rPr>
          <w:rFonts w:ascii="Times New Roman" w:hAnsi="Times New Roman" w:cs="Times New Roman"/>
          <w:i/>
          <w:sz w:val="24"/>
          <w:szCs w:val="24"/>
          <w:vertAlign w:val="baseline"/>
        </w:rPr>
        <w:t>BBC News</w:t>
      </w:r>
      <w:r w:rsidRPr="00672137">
        <w:rPr>
          <w:rFonts w:ascii="Times New Roman" w:hAnsi="Times New Roman" w:cs="Times New Roman"/>
          <w:sz w:val="24"/>
          <w:szCs w:val="24"/>
          <w:vertAlign w:val="baseline"/>
        </w:rPr>
        <w:t xml:space="preserve"> (Asia, 24 August 2015) &lt;</w:t>
      </w:r>
      <w:hyperlink r:id="rId96" w:history="1">
        <w:r w:rsidRPr="00AB14B1">
          <w:rPr>
            <w:rStyle w:val="Hyperlink"/>
            <w:rFonts w:ascii="Times New Roman" w:hAnsi="Times New Roman" w:cs="Times New Roman"/>
            <w:sz w:val="24"/>
            <w:szCs w:val="24"/>
            <w:vertAlign w:val="baseline"/>
          </w:rPr>
          <w:t>http://www.bbc.co.uk/news/world-asia-34038566&gt;</w:t>
        </w:r>
      </w:hyperlink>
      <w:r w:rsidRPr="00672137">
        <w:rPr>
          <w:rFonts w:ascii="Times New Roman" w:hAnsi="Times New Roman" w:cs="Times New Roman"/>
          <w:sz w:val="24"/>
          <w:szCs w:val="24"/>
          <w:vertAlign w:val="baseline"/>
        </w:rPr>
        <w:t xml:space="preserve"> accessed 26 August 2015</w:t>
      </w:r>
    </w:p>
    <w:p w14:paraId="6A038843" w14:textId="77777777" w:rsidR="008F2A54" w:rsidRDefault="008F2A54" w:rsidP="008F2A54">
      <w:pPr>
        <w:rPr>
          <w:rFonts w:ascii="Times New Roman" w:hAnsi="Times New Roman" w:cs="Times New Roman"/>
          <w:sz w:val="24"/>
          <w:szCs w:val="24"/>
          <w:vertAlign w:val="baseline"/>
        </w:rPr>
      </w:pPr>
    </w:p>
    <w:p w14:paraId="248F6A9A" w14:textId="77777777" w:rsidR="008F2A54" w:rsidRDefault="008F2A54" w:rsidP="008F2A54">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 xml:space="preserve">‘Nepal mob burns 'witch' alive in horrifying attack’ </w:t>
      </w:r>
      <w:r w:rsidRPr="003645AD">
        <w:rPr>
          <w:rFonts w:ascii="Times New Roman" w:hAnsi="Times New Roman" w:cs="Times New Roman"/>
          <w:i/>
          <w:sz w:val="24"/>
          <w:szCs w:val="24"/>
          <w:vertAlign w:val="baseline"/>
        </w:rPr>
        <w:t>The Telegraph</w:t>
      </w:r>
      <w:r w:rsidRPr="00672137">
        <w:rPr>
          <w:rFonts w:ascii="Times New Roman" w:hAnsi="Times New Roman" w:cs="Times New Roman"/>
          <w:sz w:val="24"/>
          <w:szCs w:val="24"/>
          <w:vertAlign w:val="baseline"/>
        </w:rPr>
        <w:t xml:space="preserve"> (London 17 February 2012) &lt;</w:t>
      </w:r>
      <w:hyperlink r:id="rId97" w:history="1">
        <w:r w:rsidRPr="003645AD">
          <w:rPr>
            <w:rStyle w:val="Hyperlink"/>
            <w:rFonts w:ascii="Times New Roman" w:hAnsi="Times New Roman" w:cs="Times New Roman"/>
            <w:sz w:val="24"/>
            <w:szCs w:val="24"/>
            <w:vertAlign w:val="baseline"/>
          </w:rPr>
          <w:t>http://www.telegraph.co.uk/news/worldnews/asia/nepal/9089001/Nepal-mob-burns-witch-alive-in-horrifying-attack.html&gt;</w:t>
        </w:r>
      </w:hyperlink>
      <w:r w:rsidRPr="00672137">
        <w:rPr>
          <w:rFonts w:ascii="Times New Roman" w:hAnsi="Times New Roman" w:cs="Times New Roman"/>
          <w:sz w:val="24"/>
          <w:szCs w:val="24"/>
          <w:vertAlign w:val="baseline"/>
        </w:rPr>
        <w:t xml:space="preserve"> accessed 6 November 2014</w:t>
      </w:r>
    </w:p>
    <w:p w14:paraId="2CF95DE1" w14:textId="77777777" w:rsidR="008F2A54" w:rsidRPr="00672137" w:rsidRDefault="008F2A54" w:rsidP="008F2A54">
      <w:pPr>
        <w:rPr>
          <w:rFonts w:ascii="Times New Roman" w:hAnsi="Times New Roman" w:cs="Times New Roman"/>
          <w:sz w:val="24"/>
          <w:szCs w:val="24"/>
          <w:vertAlign w:val="baseline"/>
        </w:rPr>
      </w:pPr>
    </w:p>
    <w:p w14:paraId="75934299" w14:textId="77777777" w:rsidR="008F2A54" w:rsidRDefault="008F2A54" w:rsidP="008F2A54">
      <w:pPr>
        <w:rPr>
          <w:rFonts w:ascii="Times New Roman" w:hAnsi="Times New Roman" w:cs="Times New Roman"/>
          <w:sz w:val="24"/>
          <w:szCs w:val="24"/>
          <w:vertAlign w:val="baseline"/>
        </w:rPr>
      </w:pPr>
      <w:r>
        <w:rPr>
          <w:rFonts w:ascii="Times New Roman" w:hAnsi="Times New Roman" w:cs="Times New Roman"/>
          <w:sz w:val="24"/>
          <w:szCs w:val="24"/>
          <w:vertAlign w:val="baseline"/>
        </w:rPr>
        <w:t>‘</w:t>
      </w:r>
      <w:r w:rsidRPr="00672137">
        <w:rPr>
          <w:rFonts w:ascii="Times New Roman" w:hAnsi="Times New Roman" w:cs="Times New Roman"/>
          <w:sz w:val="24"/>
          <w:szCs w:val="24"/>
          <w:vertAlign w:val="baseline"/>
        </w:rPr>
        <w:t>Nepal police fail to charge those accused who accused a Dalit women of witchcraft and for</w:t>
      </w:r>
      <w:r>
        <w:rPr>
          <w:rFonts w:ascii="Times New Roman" w:hAnsi="Times New Roman" w:cs="Times New Roman"/>
          <w:sz w:val="24"/>
          <w:szCs w:val="24"/>
          <w:vertAlign w:val="baseline"/>
        </w:rPr>
        <w:t>ced her to eat human excreta’ (</w:t>
      </w:r>
      <w:r w:rsidRPr="00672137">
        <w:rPr>
          <w:rFonts w:ascii="Times New Roman" w:hAnsi="Times New Roman" w:cs="Times New Roman"/>
          <w:sz w:val="24"/>
          <w:szCs w:val="24"/>
          <w:vertAlign w:val="baseline"/>
        </w:rPr>
        <w:t>Lawyers Nepal, 13 November 2009) &lt;</w:t>
      </w:r>
      <w:hyperlink r:id="rId98" w:history="1">
        <w:r w:rsidRPr="00BA71BF">
          <w:rPr>
            <w:rStyle w:val="Hyperlink"/>
            <w:rFonts w:ascii="Times New Roman" w:hAnsi="Times New Roman" w:cs="Times New Roman"/>
            <w:sz w:val="24"/>
            <w:szCs w:val="24"/>
            <w:vertAlign w:val="baseline"/>
          </w:rPr>
          <w:t>http://lawyersnepal.wordpress.com/2009/12/28/nepal-police-fail-to-charge-those-who-accused-a-dalit-woman-of-witchcraft-and-forced-her-to-eat-human-excreta/&gt; a</w:t>
        </w:r>
      </w:hyperlink>
      <w:r w:rsidRPr="00672137">
        <w:rPr>
          <w:rFonts w:ascii="Times New Roman" w:hAnsi="Times New Roman" w:cs="Times New Roman"/>
          <w:sz w:val="24"/>
          <w:szCs w:val="24"/>
          <w:vertAlign w:val="baseline"/>
        </w:rPr>
        <w:t>ccessed 21 November 2014</w:t>
      </w:r>
    </w:p>
    <w:p w14:paraId="2D6EDAD3" w14:textId="77777777" w:rsidR="008F2A54" w:rsidRDefault="008F2A54" w:rsidP="008F2A54">
      <w:pPr>
        <w:rPr>
          <w:rFonts w:ascii="Times New Roman" w:hAnsi="Times New Roman" w:cs="Times New Roman"/>
          <w:sz w:val="24"/>
          <w:szCs w:val="24"/>
          <w:vertAlign w:val="baseline"/>
        </w:rPr>
      </w:pPr>
    </w:p>
    <w:p w14:paraId="10CD9238" w14:textId="77777777" w:rsidR="008F2A54" w:rsidRPr="00672137" w:rsidRDefault="008F2A54" w:rsidP="008F2A54">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Neubauer</w:t>
      </w:r>
      <w:r>
        <w:rPr>
          <w:rFonts w:ascii="Times New Roman" w:hAnsi="Times New Roman" w:cs="Times New Roman"/>
          <w:sz w:val="24"/>
          <w:szCs w:val="24"/>
          <w:vertAlign w:val="baseline"/>
        </w:rPr>
        <w:t xml:space="preserve"> IL</w:t>
      </w:r>
      <w:r w:rsidRPr="00672137">
        <w:rPr>
          <w:rFonts w:ascii="Times New Roman" w:hAnsi="Times New Roman" w:cs="Times New Roman"/>
          <w:sz w:val="24"/>
          <w:szCs w:val="24"/>
          <w:vertAlign w:val="baseline"/>
        </w:rPr>
        <w:t xml:space="preserve">, ‘Despite Legal Moves, PNG’s Terrifying Witchcraft Killings Look Set to Continue’ </w:t>
      </w:r>
      <w:r w:rsidRPr="00B076B8">
        <w:rPr>
          <w:rFonts w:ascii="Times New Roman" w:hAnsi="Times New Roman" w:cs="Times New Roman"/>
          <w:i/>
          <w:sz w:val="24"/>
          <w:szCs w:val="24"/>
          <w:vertAlign w:val="baseline"/>
        </w:rPr>
        <w:t>Time</w:t>
      </w:r>
      <w:r w:rsidRPr="00672137">
        <w:rPr>
          <w:rFonts w:ascii="Times New Roman" w:hAnsi="Times New Roman" w:cs="Times New Roman"/>
          <w:sz w:val="24"/>
          <w:szCs w:val="24"/>
          <w:vertAlign w:val="baseline"/>
        </w:rPr>
        <w:t xml:space="preserve"> (London, 5 June 2013) &lt;</w:t>
      </w:r>
      <w:hyperlink r:id="rId99" w:history="1">
        <w:r w:rsidRPr="00B076B8">
          <w:rPr>
            <w:rStyle w:val="Hyperlink"/>
            <w:rFonts w:ascii="Times New Roman" w:hAnsi="Times New Roman" w:cs="Times New Roman"/>
            <w:sz w:val="24"/>
            <w:szCs w:val="24"/>
            <w:vertAlign w:val="baseline"/>
          </w:rPr>
          <w:t>http://world.time.com/2013/06/05/despite-legal-moves-pngs-terrifying-witchcraft-killings-look-set-to-continue/&gt;</w:t>
        </w:r>
      </w:hyperlink>
      <w:r w:rsidRPr="00672137">
        <w:rPr>
          <w:rFonts w:ascii="Times New Roman" w:hAnsi="Times New Roman" w:cs="Times New Roman"/>
          <w:sz w:val="24"/>
          <w:szCs w:val="24"/>
          <w:vertAlign w:val="baseline"/>
        </w:rPr>
        <w:t xml:space="preserve"> accessed 2 September 2015</w:t>
      </w:r>
    </w:p>
    <w:p w14:paraId="30C7886F" w14:textId="77777777" w:rsidR="008F2A54" w:rsidRDefault="008F2A54" w:rsidP="003E2C58">
      <w:pPr>
        <w:rPr>
          <w:rFonts w:ascii="Times New Roman" w:hAnsi="Times New Roman" w:cs="Times New Roman"/>
          <w:sz w:val="24"/>
          <w:szCs w:val="24"/>
          <w:vertAlign w:val="baseline"/>
        </w:rPr>
      </w:pPr>
    </w:p>
    <w:p w14:paraId="18C454F2"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Neuwinge</w:t>
      </w:r>
      <w:r>
        <w:rPr>
          <w:rFonts w:ascii="Times New Roman" w:hAnsi="Times New Roman" w:cs="Times New Roman"/>
          <w:sz w:val="24"/>
          <w:szCs w:val="24"/>
          <w:vertAlign w:val="baseline"/>
        </w:rPr>
        <w:t xml:space="preserve"> HD</w:t>
      </w:r>
      <w:r w:rsidRPr="00672137">
        <w:rPr>
          <w:rFonts w:ascii="Times New Roman" w:hAnsi="Times New Roman" w:cs="Times New Roman"/>
          <w:sz w:val="24"/>
          <w:szCs w:val="24"/>
          <w:vertAlign w:val="baseline"/>
        </w:rPr>
        <w:t xml:space="preserve">, </w:t>
      </w:r>
      <w:r w:rsidRPr="00786374">
        <w:rPr>
          <w:rFonts w:ascii="Times New Roman" w:hAnsi="Times New Roman" w:cs="Times New Roman"/>
          <w:i/>
          <w:sz w:val="24"/>
          <w:szCs w:val="24"/>
          <w:vertAlign w:val="baseline"/>
        </w:rPr>
        <w:t>African Ethnobotany: Poisons and Drugs: Chemistry, Pharmacology, Toxicology</w:t>
      </w:r>
      <w:r>
        <w:rPr>
          <w:rFonts w:ascii="Times New Roman" w:hAnsi="Times New Roman" w:cs="Times New Roman"/>
          <w:sz w:val="24"/>
          <w:szCs w:val="24"/>
          <w:vertAlign w:val="baseline"/>
        </w:rPr>
        <w:t xml:space="preserve"> (Chapman &amp; Hall 1994)</w:t>
      </w:r>
    </w:p>
    <w:p w14:paraId="3EFB8847" w14:textId="77777777" w:rsidR="003E2C58" w:rsidRDefault="003E2C58" w:rsidP="003E2C58">
      <w:pPr>
        <w:rPr>
          <w:rFonts w:ascii="Times New Roman" w:hAnsi="Times New Roman" w:cs="Times New Roman"/>
          <w:sz w:val="24"/>
          <w:szCs w:val="24"/>
          <w:vertAlign w:val="baseline"/>
        </w:rPr>
      </w:pPr>
    </w:p>
    <w:p w14:paraId="52A7E6C1"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Ngozi Adichie</w:t>
      </w:r>
      <w:r>
        <w:rPr>
          <w:rFonts w:ascii="Times New Roman" w:hAnsi="Times New Roman" w:cs="Times New Roman"/>
          <w:sz w:val="24"/>
          <w:szCs w:val="24"/>
          <w:vertAlign w:val="baseline"/>
        </w:rPr>
        <w:t xml:space="preserve"> C</w:t>
      </w:r>
      <w:r w:rsidRPr="00672137">
        <w:rPr>
          <w:rFonts w:ascii="Times New Roman" w:hAnsi="Times New Roman" w:cs="Times New Roman"/>
          <w:sz w:val="24"/>
          <w:szCs w:val="24"/>
          <w:vertAlign w:val="baseline"/>
        </w:rPr>
        <w:t xml:space="preserve">, </w:t>
      </w:r>
      <w:r w:rsidRPr="00317359">
        <w:rPr>
          <w:rFonts w:ascii="Times New Roman" w:hAnsi="Times New Roman" w:cs="Times New Roman"/>
          <w:i/>
          <w:sz w:val="24"/>
          <w:szCs w:val="24"/>
          <w:vertAlign w:val="baseline"/>
        </w:rPr>
        <w:t>We should all be feminists</w:t>
      </w:r>
      <w:r w:rsidRPr="00672137">
        <w:rPr>
          <w:rFonts w:ascii="Times New Roman" w:hAnsi="Times New Roman" w:cs="Times New Roman"/>
          <w:sz w:val="24"/>
          <w:szCs w:val="24"/>
          <w:vertAlign w:val="baseline"/>
        </w:rPr>
        <w:t xml:space="preserve"> (TedXEuston, 1 December 2012)</w:t>
      </w:r>
    </w:p>
    <w:p w14:paraId="0E4C6796" w14:textId="77777777" w:rsidR="003E2C58" w:rsidRDefault="003E2C58" w:rsidP="003E2C58">
      <w:pPr>
        <w:rPr>
          <w:rFonts w:ascii="Times New Roman" w:hAnsi="Times New Roman" w:cs="Times New Roman"/>
          <w:sz w:val="24"/>
          <w:szCs w:val="24"/>
          <w:vertAlign w:val="baseline"/>
        </w:rPr>
      </w:pPr>
    </w:p>
    <w:p w14:paraId="71BE8748" w14:textId="77777777" w:rsidR="00D731CE" w:rsidRDefault="00D731CE" w:rsidP="00D731CE">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NHS Choices, ‘Albinism’ (NHS, 6 November 2012) &lt;</w:t>
      </w:r>
      <w:hyperlink r:id="rId100" w:history="1">
        <w:r w:rsidRPr="003307CE">
          <w:rPr>
            <w:rStyle w:val="Hyperlink"/>
            <w:rFonts w:ascii="Times New Roman" w:hAnsi="Times New Roman" w:cs="Times New Roman"/>
            <w:sz w:val="24"/>
            <w:szCs w:val="24"/>
            <w:vertAlign w:val="baseline"/>
          </w:rPr>
          <w:t>http://www.nhs.uk/conditions/albinism/Pages/introduction.aspx&gt;</w:t>
        </w:r>
      </w:hyperlink>
      <w:r w:rsidRPr="00672137">
        <w:rPr>
          <w:rFonts w:ascii="Times New Roman" w:hAnsi="Times New Roman" w:cs="Times New Roman"/>
          <w:sz w:val="24"/>
          <w:szCs w:val="24"/>
          <w:vertAlign w:val="baseline"/>
        </w:rPr>
        <w:t xml:space="preserve"> accessed 17 April 2014.</w:t>
      </w:r>
    </w:p>
    <w:p w14:paraId="357F5A78" w14:textId="77777777" w:rsidR="00D731CE" w:rsidRDefault="00D731CE" w:rsidP="008F2A54">
      <w:pPr>
        <w:rPr>
          <w:rFonts w:ascii="Times New Roman" w:hAnsi="Times New Roman" w:cs="Times New Roman"/>
          <w:sz w:val="24"/>
          <w:szCs w:val="24"/>
          <w:vertAlign w:val="baseline"/>
        </w:rPr>
      </w:pPr>
    </w:p>
    <w:p w14:paraId="5D809A2A" w14:textId="77777777" w:rsidR="008F2A54" w:rsidRPr="00672137" w:rsidRDefault="008F2A54" w:rsidP="008F2A54">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Niazi</w:t>
      </w:r>
      <w:r>
        <w:rPr>
          <w:rFonts w:ascii="Times New Roman" w:hAnsi="Times New Roman" w:cs="Times New Roman"/>
          <w:sz w:val="24"/>
          <w:szCs w:val="24"/>
          <w:vertAlign w:val="baseline"/>
        </w:rPr>
        <w:t xml:space="preserve"> S</w:t>
      </w:r>
      <w:r w:rsidRPr="00672137">
        <w:rPr>
          <w:rFonts w:ascii="Times New Roman" w:hAnsi="Times New Roman" w:cs="Times New Roman"/>
          <w:sz w:val="24"/>
          <w:szCs w:val="24"/>
          <w:vertAlign w:val="baseline"/>
        </w:rPr>
        <w:t>, ‘India: Protective Laws Fall Short for Women Charged with Witchcraft’ (Women News Network, 21 March 2010) &lt;</w:t>
      </w:r>
      <w:hyperlink r:id="rId101" w:history="1">
        <w:r w:rsidRPr="00E77FD9">
          <w:rPr>
            <w:rStyle w:val="Hyperlink"/>
            <w:rFonts w:ascii="Times New Roman" w:hAnsi="Times New Roman" w:cs="Times New Roman"/>
            <w:sz w:val="24"/>
            <w:szCs w:val="24"/>
            <w:vertAlign w:val="baseline"/>
          </w:rPr>
          <w:t>http://womennewsnetwork.net/2010/03/21/witchcraft-india-89/&gt;</w:t>
        </w:r>
      </w:hyperlink>
      <w:r w:rsidRPr="00672137">
        <w:rPr>
          <w:rFonts w:ascii="Times New Roman" w:hAnsi="Times New Roman" w:cs="Times New Roman"/>
          <w:sz w:val="24"/>
          <w:szCs w:val="24"/>
          <w:vertAlign w:val="baseline"/>
        </w:rPr>
        <w:t xml:space="preserve"> accessed 26 August 2015</w:t>
      </w:r>
    </w:p>
    <w:p w14:paraId="3978772C" w14:textId="77777777" w:rsidR="008F2A54" w:rsidRDefault="008F2A54" w:rsidP="003E2C58">
      <w:pPr>
        <w:rPr>
          <w:rFonts w:ascii="Times New Roman" w:hAnsi="Times New Roman" w:cs="Times New Roman"/>
          <w:sz w:val="24"/>
          <w:szCs w:val="24"/>
          <w:vertAlign w:val="baseline"/>
        </w:rPr>
      </w:pPr>
    </w:p>
    <w:p w14:paraId="242EA76E"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Niehaus</w:t>
      </w:r>
      <w:r>
        <w:rPr>
          <w:rFonts w:ascii="Times New Roman" w:hAnsi="Times New Roman" w:cs="Times New Roman"/>
          <w:sz w:val="24"/>
          <w:szCs w:val="24"/>
          <w:vertAlign w:val="baseline"/>
        </w:rPr>
        <w:t xml:space="preserve"> I</w:t>
      </w:r>
      <w:r w:rsidRPr="00672137">
        <w:rPr>
          <w:rFonts w:ascii="Times New Roman" w:hAnsi="Times New Roman" w:cs="Times New Roman"/>
          <w:sz w:val="24"/>
          <w:szCs w:val="24"/>
          <w:vertAlign w:val="baseline"/>
        </w:rPr>
        <w:t xml:space="preserve">, </w:t>
      </w:r>
      <w:r>
        <w:rPr>
          <w:rFonts w:ascii="Times New Roman" w:hAnsi="Times New Roman" w:cs="Times New Roman"/>
          <w:i/>
          <w:sz w:val="24"/>
          <w:szCs w:val="24"/>
          <w:vertAlign w:val="baseline"/>
        </w:rPr>
        <w:t>Witchcraft</w:t>
      </w:r>
      <w:r>
        <w:rPr>
          <w:rFonts w:ascii="Times New Roman" w:hAnsi="Times New Roman" w:cs="Times New Roman"/>
          <w:sz w:val="24"/>
          <w:szCs w:val="24"/>
          <w:vertAlign w:val="baseline"/>
        </w:rPr>
        <w:t xml:space="preserve"> (2012 OUP)</w:t>
      </w:r>
    </w:p>
    <w:p w14:paraId="2CD9FACF" w14:textId="77777777" w:rsidR="003E2C58" w:rsidRDefault="003E2C58" w:rsidP="003E2C58">
      <w:pPr>
        <w:rPr>
          <w:rFonts w:ascii="Times New Roman" w:hAnsi="Times New Roman" w:cs="Times New Roman"/>
          <w:sz w:val="24"/>
          <w:szCs w:val="24"/>
          <w:vertAlign w:val="baseline"/>
        </w:rPr>
      </w:pPr>
    </w:p>
    <w:p w14:paraId="4177947E"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Noddings</w:t>
      </w:r>
      <w:r>
        <w:rPr>
          <w:rFonts w:ascii="Times New Roman" w:hAnsi="Times New Roman" w:cs="Times New Roman"/>
          <w:sz w:val="24"/>
          <w:szCs w:val="24"/>
          <w:vertAlign w:val="baseline"/>
        </w:rPr>
        <w:t xml:space="preserve"> N</w:t>
      </w:r>
      <w:r w:rsidRPr="00672137">
        <w:rPr>
          <w:rFonts w:ascii="Times New Roman" w:hAnsi="Times New Roman" w:cs="Times New Roman"/>
          <w:sz w:val="24"/>
          <w:szCs w:val="24"/>
          <w:vertAlign w:val="baseline"/>
        </w:rPr>
        <w:t xml:space="preserve">, </w:t>
      </w:r>
      <w:r w:rsidRPr="00F34C6D">
        <w:rPr>
          <w:rFonts w:ascii="Times New Roman" w:hAnsi="Times New Roman" w:cs="Times New Roman"/>
          <w:i/>
          <w:sz w:val="24"/>
          <w:szCs w:val="24"/>
          <w:vertAlign w:val="baseline"/>
        </w:rPr>
        <w:t>Women and Evil</w:t>
      </w:r>
      <w:r w:rsidRPr="00672137">
        <w:rPr>
          <w:rFonts w:ascii="Times New Roman" w:hAnsi="Times New Roman" w:cs="Times New Roman"/>
          <w:sz w:val="24"/>
          <w:szCs w:val="24"/>
          <w:vertAlign w:val="baseline"/>
        </w:rPr>
        <w:t xml:space="preserve"> (California Press 1989)</w:t>
      </w:r>
    </w:p>
    <w:p w14:paraId="23886F94" w14:textId="77777777" w:rsidR="003E2C58" w:rsidRDefault="003E2C58" w:rsidP="003E2C58">
      <w:pPr>
        <w:rPr>
          <w:rFonts w:ascii="Times New Roman" w:hAnsi="Times New Roman" w:cs="Times New Roman"/>
          <w:sz w:val="24"/>
          <w:szCs w:val="24"/>
          <w:vertAlign w:val="baseline"/>
        </w:rPr>
      </w:pPr>
    </w:p>
    <w:p w14:paraId="0B59D4A5" w14:textId="77777777" w:rsidR="008F2A54" w:rsidRPr="00672137" w:rsidRDefault="008F2A54" w:rsidP="008F2A54">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 xml:space="preserve">‘Not adverse to visits by UN Special Rapporteurs: India’ </w:t>
      </w:r>
      <w:r w:rsidRPr="003A01CB">
        <w:rPr>
          <w:rFonts w:ascii="Times New Roman" w:hAnsi="Times New Roman" w:cs="Times New Roman"/>
          <w:i/>
          <w:sz w:val="24"/>
          <w:szCs w:val="24"/>
          <w:vertAlign w:val="baseline"/>
        </w:rPr>
        <w:t>The Economic Times</w:t>
      </w:r>
      <w:r w:rsidRPr="00672137">
        <w:rPr>
          <w:rFonts w:ascii="Times New Roman" w:hAnsi="Times New Roman" w:cs="Times New Roman"/>
          <w:sz w:val="24"/>
          <w:szCs w:val="24"/>
          <w:vertAlign w:val="baseline"/>
        </w:rPr>
        <w:t xml:space="preserve"> (India, 12 March 2015) &lt;</w:t>
      </w:r>
      <w:hyperlink r:id="rId102" w:history="1">
        <w:r w:rsidRPr="003A01CB">
          <w:rPr>
            <w:rStyle w:val="Hyperlink"/>
            <w:rFonts w:ascii="Times New Roman" w:hAnsi="Times New Roman" w:cs="Times New Roman"/>
            <w:sz w:val="24"/>
            <w:szCs w:val="24"/>
            <w:vertAlign w:val="baseline"/>
          </w:rPr>
          <w:t>http://articles.economictimes.indiatimes.com/2015-03-12/news/60047860_1_requests-india-human-rights-council&gt;</w:t>
        </w:r>
      </w:hyperlink>
      <w:r w:rsidRPr="00672137">
        <w:rPr>
          <w:rFonts w:ascii="Times New Roman" w:hAnsi="Times New Roman" w:cs="Times New Roman"/>
          <w:sz w:val="24"/>
          <w:szCs w:val="24"/>
          <w:vertAlign w:val="baseline"/>
        </w:rPr>
        <w:t xml:space="preserve"> accessed 29 June 2015</w:t>
      </w:r>
    </w:p>
    <w:p w14:paraId="1558D115" w14:textId="77777777" w:rsidR="008F2A54" w:rsidRDefault="008F2A54" w:rsidP="003E2C58">
      <w:pPr>
        <w:rPr>
          <w:rFonts w:ascii="Times New Roman" w:hAnsi="Times New Roman" w:cs="Times New Roman"/>
          <w:sz w:val="24"/>
          <w:szCs w:val="24"/>
          <w:vertAlign w:val="baseline"/>
        </w:rPr>
      </w:pPr>
    </w:p>
    <w:p w14:paraId="442D5762"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Nowak</w:t>
      </w:r>
      <w:r>
        <w:rPr>
          <w:rFonts w:ascii="Times New Roman" w:hAnsi="Times New Roman" w:cs="Times New Roman"/>
          <w:sz w:val="24"/>
          <w:szCs w:val="24"/>
          <w:vertAlign w:val="baseline"/>
        </w:rPr>
        <w:t xml:space="preserve"> M</w:t>
      </w:r>
      <w:r w:rsidRPr="00672137">
        <w:rPr>
          <w:rFonts w:ascii="Times New Roman" w:hAnsi="Times New Roman" w:cs="Times New Roman"/>
          <w:sz w:val="24"/>
          <w:szCs w:val="24"/>
          <w:vertAlign w:val="baseline"/>
        </w:rPr>
        <w:t>, ‘Strengthening the protection of women from torture and ill-treatment,’ statement by Special Rapporteur on Torture and other cruel, inhuman or degra</w:t>
      </w:r>
      <w:r>
        <w:rPr>
          <w:rFonts w:ascii="Times New Roman" w:hAnsi="Times New Roman" w:cs="Times New Roman"/>
          <w:sz w:val="24"/>
          <w:szCs w:val="24"/>
          <w:vertAlign w:val="baseline"/>
        </w:rPr>
        <w:t>ding treatment or punishment (UNHCR Geneva, 15th September 2010)</w:t>
      </w:r>
    </w:p>
    <w:p w14:paraId="1A7E238B" w14:textId="77777777" w:rsidR="003E2C58" w:rsidRDefault="003E2C58" w:rsidP="003E2C58">
      <w:pPr>
        <w:rPr>
          <w:rFonts w:ascii="Times New Roman" w:hAnsi="Times New Roman" w:cs="Times New Roman"/>
          <w:sz w:val="24"/>
          <w:szCs w:val="24"/>
          <w:vertAlign w:val="baseline"/>
        </w:rPr>
      </w:pPr>
    </w:p>
    <w:p w14:paraId="74265646"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Nyoka Nyaga</w:t>
      </w:r>
      <w:r>
        <w:rPr>
          <w:rFonts w:ascii="Times New Roman" w:hAnsi="Times New Roman" w:cs="Times New Roman"/>
          <w:sz w:val="24"/>
          <w:szCs w:val="24"/>
          <w:vertAlign w:val="baseline"/>
        </w:rPr>
        <w:t xml:space="preserve"> S</w:t>
      </w:r>
      <w:r w:rsidRPr="00672137">
        <w:rPr>
          <w:rFonts w:ascii="Times New Roman" w:hAnsi="Times New Roman" w:cs="Times New Roman"/>
          <w:sz w:val="24"/>
          <w:szCs w:val="24"/>
          <w:vertAlign w:val="baseline"/>
        </w:rPr>
        <w:t>, ‘The impact of witchcraft beliefs and practices on the socio-economic development of the Abakwaya in Musoma – Rura</w:t>
      </w:r>
      <w:r>
        <w:rPr>
          <w:rFonts w:ascii="Times New Roman" w:hAnsi="Times New Roman" w:cs="Times New Roman"/>
          <w:sz w:val="24"/>
          <w:szCs w:val="24"/>
          <w:vertAlign w:val="baseline"/>
        </w:rPr>
        <w:t xml:space="preserve">l District, Tanzania’ in </w:t>
      </w:r>
      <w:r w:rsidRPr="00672137">
        <w:rPr>
          <w:rFonts w:ascii="Times New Roman" w:hAnsi="Times New Roman" w:cs="Times New Roman"/>
          <w:sz w:val="24"/>
          <w:szCs w:val="24"/>
          <w:vertAlign w:val="baseline"/>
        </w:rPr>
        <w:t>Ter Haar</w:t>
      </w:r>
      <w:r>
        <w:rPr>
          <w:rFonts w:ascii="Times New Roman" w:hAnsi="Times New Roman" w:cs="Times New Roman"/>
          <w:sz w:val="24"/>
          <w:szCs w:val="24"/>
          <w:vertAlign w:val="baseline"/>
        </w:rPr>
        <w:t xml:space="preserve"> G</w:t>
      </w:r>
      <w:r w:rsidRPr="00672137">
        <w:rPr>
          <w:rFonts w:ascii="Times New Roman" w:hAnsi="Times New Roman" w:cs="Times New Roman"/>
          <w:sz w:val="24"/>
          <w:szCs w:val="24"/>
          <w:vertAlign w:val="baseline"/>
        </w:rPr>
        <w:t xml:space="preserve">, </w:t>
      </w:r>
      <w:r w:rsidRPr="00B441A3">
        <w:rPr>
          <w:rFonts w:ascii="Times New Roman" w:hAnsi="Times New Roman" w:cs="Times New Roman"/>
          <w:i/>
          <w:sz w:val="24"/>
          <w:szCs w:val="24"/>
          <w:vertAlign w:val="baseline"/>
        </w:rPr>
        <w:t xml:space="preserve">Imagining Evil: Witchcraft Beliefs and Accusations in Contemporary Africa </w:t>
      </w:r>
      <w:r>
        <w:rPr>
          <w:rFonts w:ascii="Times New Roman" w:hAnsi="Times New Roman" w:cs="Times New Roman"/>
          <w:sz w:val="24"/>
          <w:szCs w:val="24"/>
          <w:vertAlign w:val="baseline"/>
        </w:rPr>
        <w:t>(Africa World Press 2007)</w:t>
      </w:r>
    </w:p>
    <w:p w14:paraId="7DC89FE8" w14:textId="77777777" w:rsidR="003E2C58" w:rsidRDefault="003E2C58" w:rsidP="003E2C58">
      <w:pPr>
        <w:rPr>
          <w:rFonts w:ascii="Times New Roman" w:hAnsi="Times New Roman" w:cs="Times New Roman"/>
          <w:sz w:val="24"/>
          <w:szCs w:val="24"/>
          <w:vertAlign w:val="baseline"/>
        </w:rPr>
      </w:pPr>
    </w:p>
    <w:p w14:paraId="14AB7774"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Ochoa</w:t>
      </w:r>
      <w:r>
        <w:rPr>
          <w:rFonts w:ascii="Times New Roman" w:hAnsi="Times New Roman" w:cs="Times New Roman"/>
          <w:sz w:val="24"/>
          <w:szCs w:val="24"/>
          <w:vertAlign w:val="baseline"/>
        </w:rPr>
        <w:t xml:space="preserve"> JC</w:t>
      </w:r>
      <w:r w:rsidRPr="002B1A9B">
        <w:rPr>
          <w:rFonts w:ascii="Times New Roman" w:hAnsi="Times New Roman" w:cs="Times New Roman"/>
          <w:i/>
          <w:sz w:val="24"/>
          <w:szCs w:val="24"/>
          <w:vertAlign w:val="baseline"/>
        </w:rPr>
        <w:t>, The Rights of Victims in Criminal Justice Proceedings for Serious Human Rights Violations</w:t>
      </w:r>
      <w:r w:rsidRPr="00672137">
        <w:rPr>
          <w:rFonts w:ascii="Times New Roman" w:hAnsi="Times New Roman" w:cs="Times New Roman"/>
          <w:sz w:val="24"/>
          <w:szCs w:val="24"/>
          <w:vertAlign w:val="baseline"/>
        </w:rPr>
        <w:t xml:space="preserve"> (Mart</w:t>
      </w:r>
      <w:r>
        <w:rPr>
          <w:rFonts w:ascii="Times New Roman" w:hAnsi="Times New Roman" w:cs="Times New Roman"/>
          <w:sz w:val="24"/>
          <w:szCs w:val="24"/>
          <w:vertAlign w:val="baseline"/>
        </w:rPr>
        <w:t>inus Nijhoff Publishers 2013)</w:t>
      </w:r>
    </w:p>
    <w:p w14:paraId="11124D79" w14:textId="77777777" w:rsidR="003E2C58" w:rsidRDefault="003E2C58" w:rsidP="003E2C58">
      <w:pPr>
        <w:rPr>
          <w:rFonts w:ascii="Times New Roman" w:hAnsi="Times New Roman" w:cs="Times New Roman"/>
          <w:sz w:val="24"/>
          <w:szCs w:val="24"/>
          <w:vertAlign w:val="baseline"/>
        </w:rPr>
      </w:pPr>
    </w:p>
    <w:p w14:paraId="5E5A91E7" w14:textId="77777777" w:rsidR="00C86216" w:rsidRPr="00672137" w:rsidRDefault="00C86216" w:rsidP="00C86216">
      <w:pPr>
        <w:rPr>
          <w:rFonts w:ascii="Times New Roman" w:hAnsi="Times New Roman" w:cs="Times New Roman"/>
          <w:sz w:val="24"/>
          <w:szCs w:val="24"/>
          <w:vertAlign w:val="baseline"/>
        </w:rPr>
      </w:pPr>
      <w:r>
        <w:rPr>
          <w:rFonts w:ascii="Times New Roman" w:hAnsi="Times New Roman" w:cs="Times New Roman"/>
          <w:sz w:val="24"/>
          <w:szCs w:val="24"/>
          <w:vertAlign w:val="baseline"/>
        </w:rPr>
        <w:t>Odhiambo J</w:t>
      </w:r>
      <w:r w:rsidRPr="00672137">
        <w:rPr>
          <w:rFonts w:ascii="Times New Roman" w:hAnsi="Times New Roman" w:cs="Times New Roman"/>
          <w:sz w:val="24"/>
          <w:szCs w:val="24"/>
          <w:vertAlign w:val="baseline"/>
        </w:rPr>
        <w:t>, ‘Horror</w:t>
      </w:r>
      <w:r>
        <w:rPr>
          <w:rFonts w:ascii="Times New Roman" w:hAnsi="Times New Roman" w:cs="Times New Roman"/>
          <w:sz w:val="24"/>
          <w:szCs w:val="24"/>
          <w:vertAlign w:val="baseline"/>
        </w:rPr>
        <w:t xml:space="preserve"> of Kenya’s ‘witch’ lynchings’ </w:t>
      </w:r>
      <w:r w:rsidRPr="003E6CFF">
        <w:rPr>
          <w:rFonts w:ascii="Times New Roman" w:hAnsi="Times New Roman" w:cs="Times New Roman"/>
          <w:i/>
          <w:sz w:val="24"/>
          <w:szCs w:val="24"/>
          <w:vertAlign w:val="baseline"/>
        </w:rPr>
        <w:t>BBC News</w:t>
      </w:r>
      <w:r>
        <w:rPr>
          <w:rFonts w:ascii="Times New Roman" w:hAnsi="Times New Roman" w:cs="Times New Roman"/>
          <w:sz w:val="24"/>
          <w:szCs w:val="24"/>
          <w:vertAlign w:val="baseline"/>
        </w:rPr>
        <w:t xml:space="preserve"> (Kenya, </w:t>
      </w:r>
      <w:r w:rsidRPr="00672137">
        <w:rPr>
          <w:rFonts w:ascii="Times New Roman" w:hAnsi="Times New Roman" w:cs="Times New Roman"/>
          <w:sz w:val="24"/>
          <w:szCs w:val="24"/>
          <w:vertAlign w:val="baseline"/>
        </w:rPr>
        <w:t>26 June 2009) &lt;</w:t>
      </w:r>
      <w:hyperlink r:id="rId103" w:history="1">
        <w:r w:rsidRPr="003E6CFF">
          <w:rPr>
            <w:rStyle w:val="Hyperlink"/>
            <w:rFonts w:ascii="Times New Roman" w:hAnsi="Times New Roman" w:cs="Times New Roman"/>
            <w:sz w:val="24"/>
            <w:szCs w:val="24"/>
            <w:vertAlign w:val="baseline"/>
          </w:rPr>
          <w:t>http://news.bbc.co.uk/1/hi/world/africa/8119201.stm&gt;</w:t>
        </w:r>
      </w:hyperlink>
      <w:r w:rsidRPr="00672137">
        <w:rPr>
          <w:rFonts w:ascii="Times New Roman" w:hAnsi="Times New Roman" w:cs="Times New Roman"/>
          <w:sz w:val="24"/>
          <w:szCs w:val="24"/>
          <w:vertAlign w:val="baseline"/>
        </w:rPr>
        <w:t xml:space="preserve"> accessed 15 September 2014; </w:t>
      </w:r>
    </w:p>
    <w:p w14:paraId="78B1F6EB" w14:textId="77777777" w:rsidR="00C86216" w:rsidRDefault="00C86216" w:rsidP="003E2C58">
      <w:pPr>
        <w:rPr>
          <w:rFonts w:ascii="Times New Roman" w:hAnsi="Times New Roman" w:cs="Times New Roman"/>
          <w:sz w:val="24"/>
          <w:szCs w:val="24"/>
          <w:vertAlign w:val="baseline"/>
        </w:rPr>
      </w:pPr>
    </w:p>
    <w:p w14:paraId="0F00CDCA" w14:textId="77777777" w:rsidR="0098257C" w:rsidRDefault="0098257C" w:rsidP="0098257C">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Office of the High Commissioner for Hum</w:t>
      </w:r>
      <w:r>
        <w:rPr>
          <w:rFonts w:ascii="Times New Roman" w:hAnsi="Times New Roman" w:cs="Times New Roman"/>
          <w:sz w:val="24"/>
          <w:szCs w:val="24"/>
          <w:vertAlign w:val="baseline"/>
        </w:rPr>
        <w:t>an Rights</w:t>
      </w:r>
      <w:r w:rsidRPr="00672137">
        <w:rPr>
          <w:rFonts w:ascii="Times New Roman" w:hAnsi="Times New Roman" w:cs="Times New Roman"/>
          <w:sz w:val="24"/>
          <w:szCs w:val="24"/>
          <w:vertAlign w:val="baseline"/>
        </w:rPr>
        <w:t xml:space="preserve"> &lt;</w:t>
      </w:r>
      <w:hyperlink r:id="rId104" w:history="1">
        <w:r w:rsidRPr="006E71DA">
          <w:rPr>
            <w:rStyle w:val="Hyperlink"/>
            <w:rFonts w:ascii="Times New Roman" w:hAnsi="Times New Roman" w:cs="Times New Roman"/>
            <w:sz w:val="24"/>
            <w:szCs w:val="24"/>
            <w:vertAlign w:val="baseline"/>
          </w:rPr>
          <w:t>http://www.ohchr.org/EN/Issues/Pages/WhatareHumanRights.aspx&gt; a</w:t>
        </w:r>
      </w:hyperlink>
      <w:r w:rsidRPr="00672137">
        <w:rPr>
          <w:rFonts w:ascii="Times New Roman" w:hAnsi="Times New Roman" w:cs="Times New Roman"/>
          <w:sz w:val="24"/>
          <w:szCs w:val="24"/>
          <w:vertAlign w:val="baseline"/>
        </w:rPr>
        <w:t>ccessed 30 April 2015</w:t>
      </w:r>
    </w:p>
    <w:p w14:paraId="62BD30AA" w14:textId="77777777" w:rsidR="0098257C" w:rsidRDefault="0098257C" w:rsidP="003E2C58">
      <w:pPr>
        <w:rPr>
          <w:rFonts w:ascii="Times New Roman" w:hAnsi="Times New Roman" w:cs="Times New Roman"/>
          <w:sz w:val="24"/>
          <w:szCs w:val="24"/>
          <w:vertAlign w:val="baseline"/>
        </w:rPr>
      </w:pPr>
    </w:p>
    <w:p w14:paraId="0632D481" w14:textId="77777777" w:rsidR="003E2C58" w:rsidRDefault="003E2C58" w:rsidP="003E2C58">
      <w:pPr>
        <w:rPr>
          <w:rFonts w:ascii="Times New Roman" w:hAnsi="Times New Roman" w:cs="Times New Roman"/>
          <w:sz w:val="24"/>
          <w:szCs w:val="24"/>
          <w:vertAlign w:val="baseline"/>
        </w:rPr>
      </w:pPr>
      <w:r>
        <w:rPr>
          <w:rFonts w:ascii="Times New Roman" w:hAnsi="Times New Roman" w:cs="Times New Roman"/>
          <w:sz w:val="24"/>
          <w:szCs w:val="24"/>
          <w:vertAlign w:val="baseline"/>
        </w:rPr>
        <w:t>OHCHR</w:t>
      </w:r>
      <w:r w:rsidRPr="00672137">
        <w:rPr>
          <w:rFonts w:ascii="Times New Roman" w:hAnsi="Times New Roman" w:cs="Times New Roman"/>
          <w:sz w:val="24"/>
          <w:szCs w:val="24"/>
          <w:vertAlign w:val="baseline"/>
        </w:rPr>
        <w:t>, ‘Armed Tribal Conflict and Sorcery in the Highlands of Pa</w:t>
      </w:r>
      <w:r>
        <w:rPr>
          <w:rFonts w:ascii="Times New Roman" w:hAnsi="Times New Roman" w:cs="Times New Roman"/>
          <w:sz w:val="24"/>
          <w:szCs w:val="24"/>
          <w:vertAlign w:val="baseline"/>
        </w:rPr>
        <w:t xml:space="preserve">pua New Guinea’ (OHCHR Discussion Paper, October </w:t>
      </w:r>
      <w:r w:rsidRPr="00672137">
        <w:rPr>
          <w:rFonts w:ascii="Times New Roman" w:hAnsi="Times New Roman" w:cs="Times New Roman"/>
          <w:sz w:val="24"/>
          <w:szCs w:val="24"/>
          <w:vertAlign w:val="baseline"/>
        </w:rPr>
        <w:t>2010) &lt;</w:t>
      </w:r>
      <w:hyperlink r:id="rId105" w:history="1">
        <w:r w:rsidRPr="00BA7B41">
          <w:rPr>
            <w:rStyle w:val="Hyperlink"/>
            <w:rFonts w:ascii="Times New Roman" w:hAnsi="Times New Roman" w:cs="Times New Roman"/>
            <w:sz w:val="24"/>
            <w:szCs w:val="24"/>
            <w:vertAlign w:val="baseline"/>
          </w:rPr>
          <w:t>http://www.pacificdisaster.net/pdnadmin/data/original/OHCHR_2010_PNG_armed_Tribal_conflict.pdf&gt;</w:t>
        </w:r>
      </w:hyperlink>
      <w:r w:rsidRPr="00672137">
        <w:rPr>
          <w:rFonts w:ascii="Times New Roman" w:hAnsi="Times New Roman" w:cs="Times New Roman"/>
          <w:sz w:val="24"/>
          <w:szCs w:val="24"/>
          <w:vertAlign w:val="baseline"/>
        </w:rPr>
        <w:t xml:space="preserve"> accessed 13 February 2015</w:t>
      </w:r>
    </w:p>
    <w:p w14:paraId="670F1F85" w14:textId="77777777" w:rsidR="003E2C58" w:rsidRDefault="003E2C58" w:rsidP="003E2C58">
      <w:pPr>
        <w:rPr>
          <w:rFonts w:ascii="Times New Roman" w:hAnsi="Times New Roman" w:cs="Times New Roman"/>
          <w:sz w:val="24"/>
          <w:szCs w:val="24"/>
          <w:vertAlign w:val="baseline"/>
        </w:rPr>
      </w:pPr>
    </w:p>
    <w:p w14:paraId="4A39162B"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OHCHR, ’16 days of activism: fighting against sorcery related killings’ (OHCHR, 11 December 2011)</w:t>
      </w:r>
    </w:p>
    <w:p w14:paraId="0B145C32"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&lt;</w:t>
      </w:r>
      <w:hyperlink r:id="rId106" w:history="1">
        <w:r w:rsidRPr="008852CC">
          <w:rPr>
            <w:rStyle w:val="Hyperlink"/>
            <w:rFonts w:ascii="Times New Roman" w:hAnsi="Times New Roman" w:cs="Times New Roman"/>
            <w:sz w:val="24"/>
            <w:szCs w:val="24"/>
            <w:vertAlign w:val="baseline"/>
          </w:rPr>
          <w:t>http://www.ohchr.org/EN/NewsEvents/Pages/FightingAgainstSorceryRelatedKillings.aspx&gt;</w:t>
        </w:r>
      </w:hyperlink>
      <w:r w:rsidRPr="00672137">
        <w:rPr>
          <w:rFonts w:ascii="Times New Roman" w:hAnsi="Times New Roman" w:cs="Times New Roman"/>
          <w:sz w:val="24"/>
          <w:szCs w:val="24"/>
          <w:vertAlign w:val="baseline"/>
        </w:rPr>
        <w:t xml:space="preserve"> accessed 8 September 2015</w:t>
      </w:r>
    </w:p>
    <w:p w14:paraId="2721A536" w14:textId="77777777" w:rsidR="003E2C58" w:rsidRDefault="003E2C58" w:rsidP="003E2C58">
      <w:pPr>
        <w:rPr>
          <w:rFonts w:ascii="Times New Roman" w:hAnsi="Times New Roman" w:cs="Times New Roman"/>
          <w:sz w:val="24"/>
          <w:szCs w:val="24"/>
          <w:vertAlign w:val="baseline"/>
        </w:rPr>
      </w:pPr>
    </w:p>
    <w:p w14:paraId="50CBC130"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OHCHR, ‘Human Rights Council’ &lt;</w:t>
      </w:r>
      <w:hyperlink r:id="rId107" w:history="1">
        <w:r w:rsidRPr="00976293">
          <w:rPr>
            <w:rStyle w:val="Hyperlink"/>
            <w:rFonts w:ascii="Times New Roman" w:hAnsi="Times New Roman" w:cs="Times New Roman"/>
            <w:sz w:val="24"/>
            <w:szCs w:val="24"/>
            <w:vertAlign w:val="baseline"/>
          </w:rPr>
          <w:t>http://www.ohchr.org/EN/HRBodies/HRC/Pages/AboutCouncil.aspx&gt;</w:t>
        </w:r>
      </w:hyperlink>
      <w:r w:rsidRPr="00672137">
        <w:rPr>
          <w:rFonts w:ascii="Times New Roman" w:hAnsi="Times New Roman" w:cs="Times New Roman"/>
          <w:sz w:val="24"/>
          <w:szCs w:val="24"/>
          <w:vertAlign w:val="baseline"/>
        </w:rPr>
        <w:t xml:space="preserve"> accessed 17 June 2015</w:t>
      </w:r>
    </w:p>
    <w:p w14:paraId="33BF2D99" w14:textId="77777777" w:rsidR="003E2C58" w:rsidRDefault="003E2C58" w:rsidP="003E2C58">
      <w:pPr>
        <w:rPr>
          <w:rFonts w:ascii="Times New Roman" w:hAnsi="Times New Roman" w:cs="Times New Roman"/>
          <w:sz w:val="24"/>
          <w:szCs w:val="24"/>
          <w:vertAlign w:val="baseline"/>
        </w:rPr>
      </w:pPr>
    </w:p>
    <w:p w14:paraId="48451448"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OHCHR, ‘Making “secret plans” to stop tribal fighting and end violence against women’ (OHCHR, 16 January 2012) &lt;</w:t>
      </w:r>
      <w:hyperlink r:id="rId108" w:history="1">
        <w:r w:rsidRPr="008852CC">
          <w:rPr>
            <w:rStyle w:val="Hyperlink"/>
            <w:rFonts w:ascii="Times New Roman" w:hAnsi="Times New Roman" w:cs="Times New Roman"/>
            <w:sz w:val="24"/>
            <w:szCs w:val="24"/>
            <w:vertAlign w:val="baseline"/>
          </w:rPr>
          <w:t>http://www.ohchr.org/EN/NewsEvents/Pages/StopTribalFighting.aspx&gt;</w:t>
        </w:r>
      </w:hyperlink>
      <w:r w:rsidRPr="00672137">
        <w:rPr>
          <w:rFonts w:ascii="Times New Roman" w:hAnsi="Times New Roman" w:cs="Times New Roman"/>
          <w:sz w:val="24"/>
          <w:szCs w:val="24"/>
          <w:vertAlign w:val="baseline"/>
        </w:rPr>
        <w:t xml:space="preserve"> accessed 8 September 2015</w:t>
      </w:r>
    </w:p>
    <w:p w14:paraId="1D27F5DC" w14:textId="77777777" w:rsidR="003E2C58" w:rsidRDefault="003E2C58" w:rsidP="003E2C58">
      <w:pPr>
        <w:rPr>
          <w:rFonts w:ascii="Times New Roman" w:hAnsi="Times New Roman" w:cs="Times New Roman"/>
          <w:sz w:val="24"/>
          <w:szCs w:val="24"/>
          <w:vertAlign w:val="baseline"/>
        </w:rPr>
      </w:pPr>
    </w:p>
    <w:p w14:paraId="210FBB63" w14:textId="77777777" w:rsidR="003E2C58" w:rsidRDefault="003E2C58" w:rsidP="003E2C58">
      <w:pPr>
        <w:rPr>
          <w:rFonts w:ascii="Times New Roman" w:hAnsi="Times New Roman" w:cs="Times New Roman"/>
          <w:sz w:val="24"/>
          <w:szCs w:val="24"/>
          <w:vertAlign w:val="baseline"/>
        </w:rPr>
      </w:pPr>
      <w:r>
        <w:rPr>
          <w:rFonts w:ascii="Times New Roman" w:hAnsi="Times New Roman" w:cs="Times New Roman"/>
          <w:sz w:val="24"/>
          <w:szCs w:val="24"/>
          <w:vertAlign w:val="baseline"/>
        </w:rPr>
        <w:t>OHCHR</w:t>
      </w:r>
      <w:r w:rsidRPr="00672137">
        <w:rPr>
          <w:rFonts w:ascii="Times New Roman" w:hAnsi="Times New Roman" w:cs="Times New Roman"/>
          <w:sz w:val="24"/>
          <w:szCs w:val="24"/>
          <w:vertAlign w:val="baseline"/>
        </w:rPr>
        <w:t>, ‘Reporting status for India’ &lt;</w:t>
      </w:r>
      <w:hyperlink r:id="rId109" w:history="1">
        <w:r w:rsidRPr="0049266F">
          <w:rPr>
            <w:rStyle w:val="Hyperlink"/>
            <w:rFonts w:ascii="Times New Roman" w:hAnsi="Times New Roman" w:cs="Times New Roman"/>
            <w:sz w:val="24"/>
            <w:szCs w:val="24"/>
            <w:vertAlign w:val="baseline"/>
          </w:rPr>
          <w:t>http://tbinternet.ohchr.org/_layouts/TreatyBodyExternal/Countries.aspx?CountryCode=IND&amp;Lang=EN&gt;</w:t>
        </w:r>
      </w:hyperlink>
      <w:r w:rsidRPr="00672137">
        <w:rPr>
          <w:rFonts w:ascii="Times New Roman" w:hAnsi="Times New Roman" w:cs="Times New Roman"/>
          <w:sz w:val="24"/>
          <w:szCs w:val="24"/>
          <w:vertAlign w:val="baseline"/>
        </w:rPr>
        <w:t xml:space="preserve"> accessed 26 January 2016</w:t>
      </w:r>
    </w:p>
    <w:p w14:paraId="73947CDC" w14:textId="77777777" w:rsidR="003E2C58" w:rsidRPr="00672137" w:rsidRDefault="003E2C58" w:rsidP="003E2C58">
      <w:pPr>
        <w:rPr>
          <w:rFonts w:ascii="Times New Roman" w:hAnsi="Times New Roman" w:cs="Times New Roman"/>
          <w:sz w:val="24"/>
          <w:szCs w:val="24"/>
          <w:vertAlign w:val="baseline"/>
        </w:rPr>
      </w:pPr>
    </w:p>
    <w:p w14:paraId="2286F118" w14:textId="77777777" w:rsidR="003E2C58" w:rsidRPr="00672137" w:rsidRDefault="003E2C58" w:rsidP="003E2C58">
      <w:pPr>
        <w:rPr>
          <w:rFonts w:ascii="Times New Roman" w:hAnsi="Times New Roman" w:cs="Times New Roman"/>
          <w:sz w:val="24"/>
          <w:szCs w:val="24"/>
          <w:vertAlign w:val="baseline"/>
        </w:rPr>
      </w:pPr>
      <w:r>
        <w:rPr>
          <w:rFonts w:ascii="Times New Roman" w:hAnsi="Times New Roman" w:cs="Times New Roman"/>
          <w:sz w:val="24"/>
          <w:szCs w:val="24"/>
          <w:vertAlign w:val="baseline"/>
        </w:rPr>
        <w:t>OHCHR</w:t>
      </w:r>
      <w:r w:rsidRPr="00672137">
        <w:rPr>
          <w:rFonts w:ascii="Times New Roman" w:hAnsi="Times New Roman" w:cs="Times New Roman"/>
          <w:sz w:val="24"/>
          <w:szCs w:val="24"/>
          <w:vertAlign w:val="baseline"/>
        </w:rPr>
        <w:t>, ‘Reporting status for Papua New Guinea’ &lt;</w:t>
      </w:r>
      <w:hyperlink r:id="rId110" w:history="1">
        <w:r w:rsidRPr="0049266F">
          <w:rPr>
            <w:rStyle w:val="Hyperlink"/>
            <w:rFonts w:ascii="Times New Roman" w:hAnsi="Times New Roman" w:cs="Times New Roman"/>
            <w:sz w:val="24"/>
            <w:szCs w:val="24"/>
            <w:vertAlign w:val="baseline"/>
          </w:rPr>
          <w:t>http://tbinternet.ohchr.org/_layouts/TreatyBodyExternal/Countries.aspx?CountryCode=PNG&amp;Lang=EN&gt;</w:t>
        </w:r>
      </w:hyperlink>
      <w:r w:rsidRPr="00672137">
        <w:rPr>
          <w:rFonts w:ascii="Times New Roman" w:hAnsi="Times New Roman" w:cs="Times New Roman"/>
          <w:sz w:val="24"/>
          <w:szCs w:val="24"/>
          <w:vertAlign w:val="baseline"/>
        </w:rPr>
        <w:t xml:space="preserve"> accessed 26 January 2016</w:t>
      </w:r>
    </w:p>
    <w:p w14:paraId="2DDBF239" w14:textId="77777777" w:rsidR="003E2C58" w:rsidRDefault="003E2C58" w:rsidP="003E2C58">
      <w:pPr>
        <w:rPr>
          <w:rFonts w:ascii="Times New Roman" w:hAnsi="Times New Roman" w:cs="Times New Roman"/>
          <w:sz w:val="24"/>
          <w:szCs w:val="24"/>
          <w:vertAlign w:val="baseline"/>
        </w:rPr>
      </w:pPr>
    </w:p>
    <w:p w14:paraId="69E839A4"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OHCHR, ‘The Situation of Dalit Rural Women’ Submission to Discussion on CEDAW General Comment on rural women – Article 14’ (Navsarjan Trust (India), FEDO (Nepal) and the International Dalit Solidarity Network, September 2013) &lt;</w:t>
      </w:r>
      <w:hyperlink r:id="rId111" w:history="1">
        <w:r w:rsidRPr="008D538F">
          <w:rPr>
            <w:rStyle w:val="Hyperlink"/>
            <w:rFonts w:ascii="Times New Roman" w:hAnsi="Times New Roman" w:cs="Times New Roman"/>
            <w:sz w:val="24"/>
            <w:szCs w:val="24"/>
            <w:vertAlign w:val="baseline"/>
          </w:rPr>
          <w:t>http://www.ohchr.org/Documents/HRBodies/CEDAW/RuralWomen/FEDONavsarjanTrustIDS.pdf&gt;</w:t>
        </w:r>
      </w:hyperlink>
      <w:r w:rsidRPr="00672137">
        <w:rPr>
          <w:rFonts w:ascii="Times New Roman" w:hAnsi="Times New Roman" w:cs="Times New Roman"/>
          <w:sz w:val="24"/>
          <w:szCs w:val="24"/>
          <w:vertAlign w:val="baseline"/>
        </w:rPr>
        <w:t xml:space="preserve"> accessed 26 August 2015</w:t>
      </w:r>
    </w:p>
    <w:p w14:paraId="0CF8269E" w14:textId="77777777" w:rsidR="003E2C58" w:rsidRDefault="003E2C58" w:rsidP="003E2C58">
      <w:pPr>
        <w:rPr>
          <w:rFonts w:ascii="Times New Roman" w:hAnsi="Times New Roman" w:cs="Times New Roman"/>
          <w:sz w:val="24"/>
          <w:szCs w:val="24"/>
          <w:vertAlign w:val="baseline"/>
        </w:rPr>
      </w:pPr>
    </w:p>
    <w:p w14:paraId="26EE2D4D"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OHCHR, ‘Universal Periodic Review’  &lt;</w:t>
      </w:r>
      <w:hyperlink r:id="rId112" w:history="1">
        <w:r w:rsidRPr="00235226">
          <w:rPr>
            <w:rStyle w:val="Hyperlink"/>
            <w:rFonts w:ascii="Times New Roman" w:hAnsi="Times New Roman" w:cs="Times New Roman"/>
            <w:sz w:val="24"/>
            <w:szCs w:val="24"/>
            <w:vertAlign w:val="baseline"/>
          </w:rPr>
          <w:t>http://www.ohchr.org/EN/HRBodies/UPR/Pages/BasicFacts.aspx&gt; a</w:t>
        </w:r>
      </w:hyperlink>
      <w:r w:rsidRPr="00672137">
        <w:rPr>
          <w:rFonts w:ascii="Times New Roman" w:hAnsi="Times New Roman" w:cs="Times New Roman"/>
          <w:sz w:val="24"/>
          <w:szCs w:val="24"/>
          <w:vertAlign w:val="baseline"/>
        </w:rPr>
        <w:t>ccessed 17 June 2015</w:t>
      </w:r>
    </w:p>
    <w:p w14:paraId="1A4CBBC4" w14:textId="77777777" w:rsidR="003E2C58" w:rsidRDefault="003E2C58" w:rsidP="003E2C58">
      <w:pPr>
        <w:rPr>
          <w:rFonts w:ascii="Times New Roman" w:hAnsi="Times New Roman" w:cs="Times New Roman"/>
          <w:sz w:val="24"/>
          <w:szCs w:val="24"/>
          <w:vertAlign w:val="baseline"/>
        </w:rPr>
      </w:pPr>
    </w:p>
    <w:p w14:paraId="013982CD" w14:textId="3FA05550" w:rsidR="00303550" w:rsidRPr="00303550" w:rsidRDefault="00303550" w:rsidP="003E2C58">
      <w:pPr>
        <w:rPr>
          <w:rFonts w:ascii="Times New Roman" w:hAnsi="Times New Roman" w:cs="Times New Roman"/>
          <w:sz w:val="24"/>
          <w:szCs w:val="24"/>
          <w:vertAlign w:val="baseline"/>
        </w:rPr>
      </w:pPr>
      <w:r w:rsidRPr="00151415">
        <w:rPr>
          <w:rFonts w:ascii="Times New Roman" w:hAnsi="Times New Roman" w:cs="Times New Roman"/>
          <w:sz w:val="24"/>
          <w:szCs w:val="24"/>
          <w:vertAlign w:val="baseline"/>
        </w:rPr>
        <w:t>Okeke</w:t>
      </w:r>
      <w:r>
        <w:rPr>
          <w:rFonts w:ascii="Times New Roman" w:hAnsi="Times New Roman" w:cs="Times New Roman"/>
          <w:sz w:val="24"/>
          <w:szCs w:val="24"/>
          <w:vertAlign w:val="baseline"/>
        </w:rPr>
        <w:t xml:space="preserve"> CN</w:t>
      </w:r>
      <w:r w:rsidRPr="00151415">
        <w:rPr>
          <w:rFonts w:ascii="Times New Roman" w:hAnsi="Times New Roman" w:cs="Times New Roman"/>
          <w:sz w:val="24"/>
          <w:szCs w:val="24"/>
          <w:vertAlign w:val="baseline"/>
        </w:rPr>
        <w:t>, ‘The use of International Law in the Domestic Courts of Ghana and Nigeria’ 32(2) Arizona J Int’l Comparative L 3</w:t>
      </w:r>
      <w:r w:rsidRPr="007D29EE">
        <w:rPr>
          <w:rFonts w:ascii="Times New Roman" w:hAnsi="Times New Roman" w:cs="Times New Roman"/>
          <w:sz w:val="24"/>
          <w:szCs w:val="24"/>
          <w:vertAlign w:val="baseline"/>
        </w:rPr>
        <w:t>72</w:t>
      </w:r>
    </w:p>
    <w:p w14:paraId="165B9504" w14:textId="77777777" w:rsidR="00303550" w:rsidRDefault="00303550" w:rsidP="003E2C58">
      <w:pPr>
        <w:rPr>
          <w:rFonts w:ascii="Times New Roman" w:hAnsi="Times New Roman" w:cs="Times New Roman"/>
          <w:sz w:val="24"/>
          <w:szCs w:val="24"/>
          <w:vertAlign w:val="baseline"/>
        </w:rPr>
      </w:pPr>
    </w:p>
    <w:p w14:paraId="0CCC0B0C"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O’Neill</w:t>
      </w:r>
      <w:r>
        <w:rPr>
          <w:rFonts w:ascii="Times New Roman" w:hAnsi="Times New Roman" w:cs="Times New Roman"/>
          <w:sz w:val="24"/>
          <w:szCs w:val="24"/>
          <w:vertAlign w:val="baseline"/>
        </w:rPr>
        <w:t xml:space="preserve"> N, </w:t>
      </w:r>
      <w:r w:rsidRPr="00672137">
        <w:rPr>
          <w:rFonts w:ascii="Times New Roman" w:hAnsi="Times New Roman" w:cs="Times New Roman"/>
          <w:sz w:val="24"/>
          <w:szCs w:val="24"/>
          <w:vertAlign w:val="baseline"/>
        </w:rPr>
        <w:t>Rice</w:t>
      </w:r>
      <w:r>
        <w:rPr>
          <w:rFonts w:ascii="Times New Roman" w:hAnsi="Times New Roman" w:cs="Times New Roman"/>
          <w:sz w:val="24"/>
          <w:szCs w:val="24"/>
          <w:vertAlign w:val="baseline"/>
        </w:rPr>
        <w:t xml:space="preserve"> S and </w:t>
      </w:r>
      <w:r w:rsidRPr="00672137">
        <w:rPr>
          <w:rFonts w:ascii="Times New Roman" w:hAnsi="Times New Roman" w:cs="Times New Roman"/>
          <w:sz w:val="24"/>
          <w:szCs w:val="24"/>
          <w:vertAlign w:val="baseline"/>
        </w:rPr>
        <w:t>Douglas</w:t>
      </w:r>
      <w:r>
        <w:rPr>
          <w:rFonts w:ascii="Times New Roman" w:hAnsi="Times New Roman" w:cs="Times New Roman"/>
          <w:sz w:val="24"/>
          <w:szCs w:val="24"/>
          <w:vertAlign w:val="baseline"/>
        </w:rPr>
        <w:t xml:space="preserve"> R</w:t>
      </w:r>
      <w:r w:rsidRPr="00672137">
        <w:rPr>
          <w:rFonts w:ascii="Times New Roman" w:hAnsi="Times New Roman" w:cs="Times New Roman"/>
          <w:sz w:val="24"/>
          <w:szCs w:val="24"/>
          <w:vertAlign w:val="baseline"/>
        </w:rPr>
        <w:t xml:space="preserve">, </w:t>
      </w:r>
      <w:r w:rsidRPr="00EB3CF1">
        <w:rPr>
          <w:rFonts w:ascii="Times New Roman" w:hAnsi="Times New Roman" w:cs="Times New Roman"/>
          <w:i/>
          <w:sz w:val="24"/>
          <w:szCs w:val="24"/>
          <w:vertAlign w:val="baseline"/>
        </w:rPr>
        <w:t>Retreat from Injustice: Human Rights Law in Australia</w:t>
      </w:r>
      <w:r w:rsidRPr="00672137">
        <w:rPr>
          <w:rFonts w:ascii="Times New Roman" w:hAnsi="Times New Roman" w:cs="Times New Roman"/>
          <w:sz w:val="24"/>
          <w:szCs w:val="24"/>
          <w:vertAlign w:val="baseline"/>
        </w:rPr>
        <w:t xml:space="preserve"> (Federation </w:t>
      </w:r>
      <w:r>
        <w:rPr>
          <w:rFonts w:ascii="Times New Roman" w:hAnsi="Times New Roman" w:cs="Times New Roman"/>
          <w:sz w:val="24"/>
          <w:szCs w:val="24"/>
          <w:vertAlign w:val="baseline"/>
        </w:rPr>
        <w:t>Press 2004)</w:t>
      </w:r>
    </w:p>
    <w:p w14:paraId="0AD091B8" w14:textId="77777777" w:rsidR="003E2C58" w:rsidRDefault="003E2C58" w:rsidP="003E2C58">
      <w:pPr>
        <w:rPr>
          <w:rFonts w:ascii="Times New Roman" w:hAnsi="Times New Roman" w:cs="Times New Roman"/>
          <w:sz w:val="24"/>
          <w:szCs w:val="24"/>
          <w:vertAlign w:val="baseline"/>
        </w:rPr>
      </w:pPr>
    </w:p>
    <w:p w14:paraId="6BA9426A" w14:textId="77777777" w:rsidR="00C86216" w:rsidRPr="00672137" w:rsidRDefault="00C86216" w:rsidP="00C86216">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Osbourne</w:t>
      </w:r>
      <w:r>
        <w:rPr>
          <w:rFonts w:ascii="Times New Roman" w:hAnsi="Times New Roman" w:cs="Times New Roman"/>
          <w:sz w:val="24"/>
          <w:szCs w:val="24"/>
          <w:vertAlign w:val="baseline"/>
        </w:rPr>
        <w:t xml:space="preserve"> H</w:t>
      </w:r>
      <w:r w:rsidRPr="00672137">
        <w:rPr>
          <w:rFonts w:ascii="Times New Roman" w:hAnsi="Times New Roman" w:cs="Times New Roman"/>
          <w:sz w:val="24"/>
          <w:szCs w:val="24"/>
          <w:vertAlign w:val="baseline"/>
        </w:rPr>
        <w:t xml:space="preserve">, ‘Papua New Guinea Mob Torture and Behead Suspected Witch’ </w:t>
      </w:r>
      <w:r w:rsidRPr="002E4408">
        <w:rPr>
          <w:rFonts w:ascii="Times New Roman" w:hAnsi="Times New Roman" w:cs="Times New Roman"/>
          <w:i/>
          <w:sz w:val="24"/>
          <w:szCs w:val="24"/>
          <w:vertAlign w:val="baseline"/>
        </w:rPr>
        <w:t>International Business Times</w:t>
      </w:r>
      <w:r w:rsidRPr="00672137">
        <w:rPr>
          <w:rFonts w:ascii="Times New Roman" w:hAnsi="Times New Roman" w:cs="Times New Roman"/>
          <w:sz w:val="24"/>
          <w:szCs w:val="24"/>
          <w:vertAlign w:val="baseline"/>
        </w:rPr>
        <w:t xml:space="preserve"> (London, 10 June 2013) &lt;</w:t>
      </w:r>
      <w:hyperlink r:id="rId113" w:history="1">
        <w:r w:rsidRPr="002E4408">
          <w:rPr>
            <w:rStyle w:val="Hyperlink"/>
            <w:rFonts w:ascii="Times New Roman" w:hAnsi="Times New Roman" w:cs="Times New Roman"/>
            <w:sz w:val="24"/>
            <w:szCs w:val="24"/>
            <w:vertAlign w:val="baseline"/>
          </w:rPr>
          <w:t>http://www.ibtimes.co.uk/papua-new-guinea-witchcraft-sorcery-woman-tortured-476839&gt; a</w:t>
        </w:r>
      </w:hyperlink>
      <w:r w:rsidRPr="00672137">
        <w:rPr>
          <w:rFonts w:ascii="Times New Roman" w:hAnsi="Times New Roman" w:cs="Times New Roman"/>
          <w:sz w:val="24"/>
          <w:szCs w:val="24"/>
          <w:vertAlign w:val="baseline"/>
        </w:rPr>
        <w:t>ccessed 2 September 2015</w:t>
      </w:r>
    </w:p>
    <w:p w14:paraId="2025F809" w14:textId="77777777" w:rsidR="00C86216" w:rsidRDefault="00C86216" w:rsidP="003E2C58">
      <w:pPr>
        <w:rPr>
          <w:rFonts w:ascii="Times New Roman" w:hAnsi="Times New Roman" w:cs="Times New Roman"/>
          <w:sz w:val="24"/>
          <w:szCs w:val="24"/>
          <w:vertAlign w:val="baseline"/>
        </w:rPr>
      </w:pPr>
    </w:p>
    <w:p w14:paraId="7E7308D2"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Owusu-Mensah</w:t>
      </w:r>
      <w:r>
        <w:rPr>
          <w:rFonts w:ascii="Times New Roman" w:hAnsi="Times New Roman" w:cs="Times New Roman"/>
          <w:sz w:val="24"/>
          <w:szCs w:val="24"/>
          <w:vertAlign w:val="baseline"/>
        </w:rPr>
        <w:t xml:space="preserve"> I</w:t>
      </w:r>
      <w:r w:rsidRPr="00672137">
        <w:rPr>
          <w:rFonts w:ascii="Times New Roman" w:hAnsi="Times New Roman" w:cs="Times New Roman"/>
          <w:sz w:val="24"/>
          <w:szCs w:val="24"/>
          <w:vertAlign w:val="baseline"/>
        </w:rPr>
        <w:t>, ‘Politics, Chieftaincy and Customary Law in Ghana’ (2013) 9 Kas International Reports 32</w:t>
      </w:r>
    </w:p>
    <w:p w14:paraId="1E265D59" w14:textId="77777777" w:rsidR="003E2C58" w:rsidRDefault="003E2C58" w:rsidP="003E2C58">
      <w:pPr>
        <w:rPr>
          <w:rFonts w:ascii="Times New Roman" w:hAnsi="Times New Roman" w:cs="Times New Roman"/>
          <w:sz w:val="24"/>
          <w:szCs w:val="24"/>
          <w:vertAlign w:val="baseline"/>
        </w:rPr>
      </w:pPr>
    </w:p>
    <w:p w14:paraId="40D7D8F4"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Oxfam International, ‘Sorcery beliefs and practices in Gumine: a source of conflict and insecurity’ (Oxfam International</w:t>
      </w:r>
      <w:r>
        <w:rPr>
          <w:rFonts w:ascii="Times New Roman" w:hAnsi="Times New Roman" w:cs="Times New Roman"/>
          <w:sz w:val="24"/>
          <w:szCs w:val="24"/>
          <w:vertAlign w:val="baseline"/>
        </w:rPr>
        <w:t xml:space="preserve">, 15 October 2010) </w:t>
      </w:r>
      <w:r w:rsidRPr="00672137">
        <w:rPr>
          <w:rFonts w:ascii="Times New Roman" w:hAnsi="Times New Roman" w:cs="Times New Roman"/>
          <w:sz w:val="24"/>
          <w:szCs w:val="24"/>
          <w:vertAlign w:val="baseline"/>
        </w:rPr>
        <w:t>&lt;</w:t>
      </w:r>
      <w:hyperlink r:id="rId114" w:history="1">
        <w:r w:rsidRPr="009578BE">
          <w:rPr>
            <w:rStyle w:val="Hyperlink"/>
            <w:rFonts w:ascii="Times New Roman" w:hAnsi="Times New Roman" w:cs="Times New Roman"/>
            <w:sz w:val="24"/>
            <w:szCs w:val="24"/>
            <w:vertAlign w:val="baseline"/>
          </w:rPr>
          <w:t>http://www.oxfam.org.nz/sites/default/files/reports/Sorcery_report_FINAL.pdf&gt;</w:t>
        </w:r>
      </w:hyperlink>
      <w:r w:rsidRPr="00672137">
        <w:rPr>
          <w:rFonts w:ascii="Times New Roman" w:hAnsi="Times New Roman" w:cs="Times New Roman"/>
          <w:sz w:val="24"/>
          <w:szCs w:val="24"/>
          <w:vertAlign w:val="baseline"/>
        </w:rPr>
        <w:t xml:space="preserve"> accessed 13 February 2015</w:t>
      </w:r>
    </w:p>
    <w:p w14:paraId="33AAD644" w14:textId="77777777" w:rsidR="003E2C58" w:rsidRDefault="003E2C58" w:rsidP="003E2C58">
      <w:pPr>
        <w:rPr>
          <w:rFonts w:ascii="Times New Roman" w:hAnsi="Times New Roman" w:cs="Times New Roman"/>
          <w:sz w:val="24"/>
          <w:szCs w:val="24"/>
          <w:vertAlign w:val="baseline"/>
        </w:rPr>
      </w:pPr>
    </w:p>
    <w:p w14:paraId="79922FBB" w14:textId="77777777" w:rsidR="00AE0FEE" w:rsidRDefault="00AE0FEE" w:rsidP="00AE0FEE">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Palmer</w:t>
      </w:r>
      <w:r>
        <w:rPr>
          <w:rFonts w:ascii="Times New Roman" w:hAnsi="Times New Roman" w:cs="Times New Roman"/>
          <w:sz w:val="24"/>
          <w:szCs w:val="24"/>
          <w:vertAlign w:val="baseline"/>
        </w:rPr>
        <w:t xml:space="preserve"> E</w:t>
      </w:r>
      <w:r w:rsidRPr="00672137">
        <w:rPr>
          <w:rFonts w:ascii="Times New Roman" w:hAnsi="Times New Roman" w:cs="Times New Roman"/>
          <w:sz w:val="24"/>
          <w:szCs w:val="24"/>
          <w:vertAlign w:val="baseline"/>
        </w:rPr>
        <w:t>, ‘Evil Fake Witch Doctor Juliette D'Souza Jailed f</w:t>
      </w:r>
      <w:r>
        <w:rPr>
          <w:rFonts w:ascii="Times New Roman" w:hAnsi="Times New Roman" w:cs="Times New Roman"/>
          <w:sz w:val="24"/>
          <w:szCs w:val="24"/>
          <w:vertAlign w:val="baseline"/>
        </w:rPr>
        <w:t xml:space="preserve">or £1m Spiritual Healing Scam’ </w:t>
      </w:r>
      <w:r w:rsidRPr="00AF5EA6">
        <w:rPr>
          <w:rFonts w:ascii="Times New Roman" w:hAnsi="Times New Roman" w:cs="Times New Roman"/>
          <w:i/>
          <w:sz w:val="24"/>
          <w:szCs w:val="24"/>
          <w:vertAlign w:val="baseline"/>
        </w:rPr>
        <w:t>International Business Times</w:t>
      </w:r>
      <w:r>
        <w:rPr>
          <w:rFonts w:ascii="Times New Roman" w:hAnsi="Times New Roman" w:cs="Times New Roman"/>
          <w:i/>
          <w:sz w:val="24"/>
          <w:szCs w:val="24"/>
          <w:vertAlign w:val="baseline"/>
        </w:rPr>
        <w:t xml:space="preserve"> </w:t>
      </w:r>
      <w:r>
        <w:rPr>
          <w:rFonts w:ascii="Times New Roman" w:hAnsi="Times New Roman" w:cs="Times New Roman"/>
          <w:sz w:val="24"/>
          <w:szCs w:val="24"/>
          <w:vertAlign w:val="baseline"/>
        </w:rPr>
        <w:t xml:space="preserve">(London, </w:t>
      </w:r>
      <w:r w:rsidRPr="00672137">
        <w:rPr>
          <w:rFonts w:ascii="Times New Roman" w:hAnsi="Times New Roman" w:cs="Times New Roman"/>
          <w:sz w:val="24"/>
          <w:szCs w:val="24"/>
          <w:vertAlign w:val="baseline"/>
        </w:rPr>
        <w:t>30 May 2014) &lt;</w:t>
      </w:r>
      <w:hyperlink r:id="rId115" w:history="1">
        <w:r w:rsidRPr="00AF5EA6">
          <w:rPr>
            <w:rStyle w:val="Hyperlink"/>
            <w:rFonts w:ascii="Times New Roman" w:hAnsi="Times New Roman" w:cs="Times New Roman"/>
            <w:sz w:val="24"/>
            <w:szCs w:val="24"/>
            <w:vertAlign w:val="baseline"/>
          </w:rPr>
          <w:t>http://www.ibtimes.co.uk/evil-fake-witch-doctor-juliette-dsouza-jailed-1m-spiritual-healing-scam-1450610&gt;</w:t>
        </w:r>
      </w:hyperlink>
      <w:r w:rsidRPr="00672137">
        <w:rPr>
          <w:rFonts w:ascii="Times New Roman" w:hAnsi="Times New Roman" w:cs="Times New Roman"/>
          <w:sz w:val="24"/>
          <w:szCs w:val="24"/>
          <w:vertAlign w:val="baseline"/>
        </w:rPr>
        <w:t xml:space="preserve"> accessed 16 September 2014</w:t>
      </w:r>
    </w:p>
    <w:p w14:paraId="36586E74" w14:textId="77777777" w:rsidR="00AE0FEE" w:rsidRDefault="00AE0FEE" w:rsidP="003E2C58">
      <w:pPr>
        <w:rPr>
          <w:rFonts w:ascii="Times New Roman" w:hAnsi="Times New Roman" w:cs="Times New Roman"/>
          <w:sz w:val="24"/>
          <w:szCs w:val="24"/>
          <w:vertAlign w:val="baseline"/>
        </w:rPr>
      </w:pPr>
    </w:p>
    <w:p w14:paraId="3BEACF70"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Parajulee</w:t>
      </w:r>
      <w:r>
        <w:rPr>
          <w:rFonts w:ascii="Times New Roman" w:hAnsi="Times New Roman" w:cs="Times New Roman"/>
          <w:sz w:val="24"/>
          <w:szCs w:val="24"/>
          <w:vertAlign w:val="baseline"/>
        </w:rPr>
        <w:t xml:space="preserve"> RP</w:t>
      </w:r>
      <w:r w:rsidRPr="00672137">
        <w:rPr>
          <w:rFonts w:ascii="Times New Roman" w:hAnsi="Times New Roman" w:cs="Times New Roman"/>
          <w:sz w:val="24"/>
          <w:szCs w:val="24"/>
          <w:vertAlign w:val="baseline"/>
        </w:rPr>
        <w:t xml:space="preserve">, </w:t>
      </w:r>
      <w:r w:rsidRPr="003C79DD">
        <w:rPr>
          <w:rFonts w:ascii="Times New Roman" w:hAnsi="Times New Roman" w:cs="Times New Roman"/>
          <w:i/>
          <w:sz w:val="24"/>
          <w:szCs w:val="24"/>
          <w:vertAlign w:val="baseline"/>
        </w:rPr>
        <w:t>The Democratic Transition in Nepal</w:t>
      </w:r>
      <w:r w:rsidRPr="00672137">
        <w:rPr>
          <w:rFonts w:ascii="Times New Roman" w:hAnsi="Times New Roman" w:cs="Times New Roman"/>
          <w:sz w:val="24"/>
          <w:szCs w:val="24"/>
          <w:vertAlign w:val="baseline"/>
        </w:rPr>
        <w:t xml:space="preserve"> (Rowman and Littlefield 2000)</w:t>
      </w:r>
    </w:p>
    <w:p w14:paraId="3A24C245" w14:textId="77777777" w:rsidR="003E2C58" w:rsidRDefault="003E2C58" w:rsidP="003E2C58">
      <w:pPr>
        <w:rPr>
          <w:rFonts w:ascii="Times New Roman" w:hAnsi="Times New Roman" w:cs="Times New Roman"/>
          <w:sz w:val="24"/>
          <w:szCs w:val="24"/>
          <w:vertAlign w:val="baseline"/>
        </w:rPr>
      </w:pPr>
    </w:p>
    <w:p w14:paraId="2F3DAEF4"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Parkin</w:t>
      </w:r>
      <w:r>
        <w:rPr>
          <w:rFonts w:ascii="Times New Roman" w:hAnsi="Times New Roman" w:cs="Times New Roman"/>
          <w:sz w:val="24"/>
          <w:szCs w:val="24"/>
          <w:vertAlign w:val="baseline"/>
        </w:rPr>
        <w:t xml:space="preserve"> D</w:t>
      </w:r>
      <w:r w:rsidRPr="00672137">
        <w:rPr>
          <w:rFonts w:ascii="Times New Roman" w:hAnsi="Times New Roman" w:cs="Times New Roman"/>
          <w:sz w:val="24"/>
          <w:szCs w:val="24"/>
          <w:vertAlign w:val="baseline"/>
        </w:rPr>
        <w:t xml:space="preserve">, </w:t>
      </w:r>
      <w:r w:rsidRPr="00461A47">
        <w:rPr>
          <w:rFonts w:ascii="Times New Roman" w:hAnsi="Times New Roman" w:cs="Times New Roman"/>
          <w:i/>
          <w:sz w:val="24"/>
          <w:szCs w:val="24"/>
          <w:vertAlign w:val="baseline"/>
        </w:rPr>
        <w:t>The Anthropology of Evil</w:t>
      </w:r>
      <w:r>
        <w:rPr>
          <w:rFonts w:ascii="Times New Roman" w:hAnsi="Times New Roman" w:cs="Times New Roman"/>
          <w:sz w:val="24"/>
          <w:szCs w:val="24"/>
          <w:vertAlign w:val="baseline"/>
        </w:rPr>
        <w:t xml:space="preserve"> (Oxford 1985)</w:t>
      </w:r>
    </w:p>
    <w:p w14:paraId="6C6D90F8" w14:textId="77777777" w:rsidR="003E2C58" w:rsidRDefault="003E2C58" w:rsidP="003E2C58">
      <w:pPr>
        <w:rPr>
          <w:rFonts w:ascii="Times New Roman" w:hAnsi="Times New Roman" w:cs="Times New Roman"/>
          <w:sz w:val="24"/>
          <w:szCs w:val="24"/>
          <w:vertAlign w:val="baseline"/>
        </w:rPr>
      </w:pPr>
    </w:p>
    <w:p w14:paraId="425F5B20"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Patterson</w:t>
      </w:r>
      <w:r>
        <w:rPr>
          <w:rFonts w:ascii="Times New Roman" w:hAnsi="Times New Roman" w:cs="Times New Roman"/>
          <w:sz w:val="24"/>
          <w:szCs w:val="24"/>
          <w:vertAlign w:val="baseline"/>
        </w:rPr>
        <w:t xml:space="preserve"> M</w:t>
      </w:r>
      <w:r w:rsidRPr="00672137">
        <w:rPr>
          <w:rFonts w:ascii="Times New Roman" w:hAnsi="Times New Roman" w:cs="Times New Roman"/>
          <w:sz w:val="24"/>
          <w:szCs w:val="24"/>
          <w:vertAlign w:val="baseline"/>
        </w:rPr>
        <w:t>, ‘Sorcery and witchcraft in Melanesi</w:t>
      </w:r>
      <w:r>
        <w:rPr>
          <w:rFonts w:ascii="Times New Roman" w:hAnsi="Times New Roman" w:cs="Times New Roman"/>
          <w:sz w:val="24"/>
          <w:szCs w:val="24"/>
          <w:vertAlign w:val="baseline"/>
        </w:rPr>
        <w:t>a’ (1974) 45(2) Oceania 132</w:t>
      </w:r>
    </w:p>
    <w:p w14:paraId="5F37BD27" w14:textId="77777777" w:rsidR="003E2C58" w:rsidRDefault="003E2C58" w:rsidP="003E2C58">
      <w:pPr>
        <w:rPr>
          <w:rFonts w:ascii="Times New Roman" w:hAnsi="Times New Roman" w:cs="Times New Roman"/>
          <w:sz w:val="24"/>
          <w:szCs w:val="24"/>
          <w:vertAlign w:val="baseline"/>
        </w:rPr>
      </w:pPr>
    </w:p>
    <w:p w14:paraId="78607BE6"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Paudel</w:t>
      </w:r>
      <w:r>
        <w:rPr>
          <w:rFonts w:ascii="Times New Roman" w:hAnsi="Times New Roman" w:cs="Times New Roman"/>
          <w:sz w:val="24"/>
          <w:szCs w:val="24"/>
          <w:vertAlign w:val="baseline"/>
        </w:rPr>
        <w:t xml:space="preserve"> S</w:t>
      </w:r>
      <w:r w:rsidRPr="00672137">
        <w:rPr>
          <w:rFonts w:ascii="Times New Roman" w:hAnsi="Times New Roman" w:cs="Times New Roman"/>
          <w:sz w:val="24"/>
          <w:szCs w:val="24"/>
          <w:vertAlign w:val="baseline"/>
        </w:rPr>
        <w:t>, ‘Women’s concerns within Nepal’s patriarchal justice system’ (2011) 5(6) Ethics in Action &lt;</w:t>
      </w:r>
      <w:hyperlink r:id="rId116" w:history="1">
        <w:r w:rsidRPr="00D14D46">
          <w:rPr>
            <w:rStyle w:val="Hyperlink"/>
            <w:rFonts w:ascii="Times New Roman" w:hAnsi="Times New Roman" w:cs="Times New Roman"/>
            <w:sz w:val="24"/>
            <w:szCs w:val="24"/>
            <w:vertAlign w:val="baseline"/>
          </w:rPr>
          <w:t>http://www.ethicsinaction.asia/archive/2011-ethics-in-action/vol.-5-no.-6-december-2011/womens-concerns-within-nepal2019s-patriarchal/&gt; a</w:t>
        </w:r>
      </w:hyperlink>
      <w:r w:rsidRPr="00672137">
        <w:rPr>
          <w:rFonts w:ascii="Times New Roman" w:hAnsi="Times New Roman" w:cs="Times New Roman"/>
          <w:sz w:val="24"/>
          <w:szCs w:val="24"/>
          <w:vertAlign w:val="baseline"/>
        </w:rPr>
        <w:t>ccessed 26 August 2015</w:t>
      </w:r>
    </w:p>
    <w:p w14:paraId="287E14A0" w14:textId="77777777" w:rsidR="003E2C58" w:rsidRDefault="003E2C58" w:rsidP="003E2C58">
      <w:pPr>
        <w:rPr>
          <w:rFonts w:ascii="Times New Roman" w:hAnsi="Times New Roman" w:cs="Times New Roman"/>
          <w:sz w:val="24"/>
          <w:szCs w:val="24"/>
          <w:vertAlign w:val="baseline"/>
        </w:rPr>
      </w:pPr>
    </w:p>
    <w:p w14:paraId="07EA1186"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Paudel</w:t>
      </w:r>
      <w:r>
        <w:rPr>
          <w:rFonts w:ascii="Times New Roman" w:hAnsi="Times New Roman" w:cs="Times New Roman"/>
          <w:sz w:val="24"/>
          <w:szCs w:val="24"/>
          <w:vertAlign w:val="baseline"/>
        </w:rPr>
        <w:t xml:space="preserve"> S</w:t>
      </w:r>
      <w:r w:rsidRPr="00672137">
        <w:rPr>
          <w:rFonts w:ascii="Times New Roman" w:hAnsi="Times New Roman" w:cs="Times New Roman"/>
          <w:sz w:val="24"/>
          <w:szCs w:val="24"/>
          <w:vertAlign w:val="baseline"/>
        </w:rPr>
        <w:t>, ‘NEPAL: Witchcraft as a Superstition and a form of violence against women in Nepal’ (Asian Human Rights Commission) &lt;</w:t>
      </w:r>
      <w:hyperlink r:id="rId117" w:history="1">
        <w:r w:rsidRPr="00F24E86">
          <w:rPr>
            <w:rStyle w:val="Hyperlink"/>
            <w:rFonts w:ascii="Times New Roman" w:hAnsi="Times New Roman" w:cs="Times New Roman"/>
            <w:sz w:val="24"/>
            <w:szCs w:val="24"/>
            <w:vertAlign w:val="baseline"/>
          </w:rPr>
          <w:t>http://www.humanrights.asia/opinions/columns/AHRC-ETC-056-2011&gt; a</w:t>
        </w:r>
      </w:hyperlink>
      <w:r w:rsidRPr="00672137">
        <w:rPr>
          <w:rFonts w:ascii="Times New Roman" w:hAnsi="Times New Roman" w:cs="Times New Roman"/>
          <w:sz w:val="24"/>
          <w:szCs w:val="24"/>
          <w:vertAlign w:val="baseline"/>
        </w:rPr>
        <w:t>ccessed 15 September 2014</w:t>
      </w:r>
    </w:p>
    <w:p w14:paraId="39AEFB86" w14:textId="77777777" w:rsidR="003E2C58" w:rsidRDefault="003E2C58" w:rsidP="003E2C58">
      <w:pPr>
        <w:rPr>
          <w:rFonts w:ascii="Times New Roman" w:hAnsi="Times New Roman" w:cs="Times New Roman"/>
          <w:sz w:val="24"/>
          <w:szCs w:val="24"/>
          <w:vertAlign w:val="baseline"/>
        </w:rPr>
      </w:pPr>
    </w:p>
    <w:p w14:paraId="7F304D7F" w14:textId="7B19F426" w:rsidR="00A54BB8" w:rsidRDefault="00A54BB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Peace Women &lt;</w:t>
      </w:r>
      <w:hyperlink r:id="rId118" w:history="1">
        <w:r w:rsidRPr="004877C8">
          <w:rPr>
            <w:rStyle w:val="Hyperlink"/>
            <w:rFonts w:ascii="Times New Roman" w:hAnsi="Times New Roman" w:cs="Times New Roman"/>
            <w:sz w:val="24"/>
            <w:szCs w:val="24"/>
            <w:vertAlign w:val="baseline"/>
          </w:rPr>
          <w:t>http://www.peacewomen.org/why-WPS&gt;</w:t>
        </w:r>
      </w:hyperlink>
      <w:r w:rsidRPr="00672137">
        <w:rPr>
          <w:rFonts w:ascii="Times New Roman" w:hAnsi="Times New Roman" w:cs="Times New Roman"/>
          <w:sz w:val="24"/>
          <w:szCs w:val="24"/>
          <w:vertAlign w:val="baseline"/>
        </w:rPr>
        <w:t xml:space="preserve"> accessed 8 September 2015</w:t>
      </w:r>
    </w:p>
    <w:p w14:paraId="08F42637"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Peebles</w:t>
      </w:r>
      <w:r>
        <w:rPr>
          <w:rFonts w:ascii="Times New Roman" w:hAnsi="Times New Roman" w:cs="Times New Roman"/>
          <w:sz w:val="24"/>
          <w:szCs w:val="24"/>
          <w:vertAlign w:val="baseline"/>
        </w:rPr>
        <w:t xml:space="preserve"> G</w:t>
      </w:r>
      <w:r w:rsidRPr="00672137">
        <w:rPr>
          <w:rFonts w:ascii="Times New Roman" w:hAnsi="Times New Roman" w:cs="Times New Roman"/>
          <w:sz w:val="24"/>
          <w:szCs w:val="24"/>
          <w:vertAlign w:val="baseline"/>
        </w:rPr>
        <w:t>, ‘Gender and caste discrimination in India’ (R</w:t>
      </w:r>
      <w:r>
        <w:rPr>
          <w:rFonts w:ascii="Times New Roman" w:hAnsi="Times New Roman" w:cs="Times New Roman"/>
          <w:sz w:val="24"/>
          <w:szCs w:val="24"/>
          <w:vertAlign w:val="baseline"/>
        </w:rPr>
        <w:t xml:space="preserve">edress Information &amp; Analysis, </w:t>
      </w:r>
      <w:r w:rsidRPr="00672137">
        <w:rPr>
          <w:rFonts w:ascii="Times New Roman" w:hAnsi="Times New Roman" w:cs="Times New Roman"/>
          <w:sz w:val="24"/>
          <w:szCs w:val="24"/>
          <w:vertAlign w:val="baseline"/>
        </w:rPr>
        <w:t>16 March 2014) &lt;</w:t>
      </w:r>
      <w:hyperlink r:id="rId119" w:history="1">
        <w:r w:rsidRPr="00A264E1">
          <w:rPr>
            <w:rStyle w:val="Hyperlink"/>
            <w:rFonts w:ascii="Times New Roman" w:hAnsi="Times New Roman" w:cs="Times New Roman"/>
            <w:sz w:val="24"/>
            <w:szCs w:val="24"/>
            <w:vertAlign w:val="baseline"/>
          </w:rPr>
          <w:t>http://www.redressonline.com/2014/03/gender-and-caste-discrimination-in-india/&gt;</w:t>
        </w:r>
      </w:hyperlink>
      <w:r w:rsidRPr="00672137">
        <w:rPr>
          <w:rFonts w:ascii="Times New Roman" w:hAnsi="Times New Roman" w:cs="Times New Roman"/>
          <w:sz w:val="24"/>
          <w:szCs w:val="24"/>
          <w:vertAlign w:val="baseline"/>
        </w:rPr>
        <w:t xml:space="preserve"> accessed 25 August 2015</w:t>
      </w:r>
    </w:p>
    <w:p w14:paraId="196AB9FD" w14:textId="77777777" w:rsidR="003E2C58" w:rsidRDefault="003E2C58" w:rsidP="003E2C58">
      <w:pPr>
        <w:rPr>
          <w:rFonts w:ascii="Times New Roman" w:hAnsi="Times New Roman" w:cs="Times New Roman"/>
          <w:sz w:val="24"/>
          <w:szCs w:val="24"/>
          <w:vertAlign w:val="baseline"/>
        </w:rPr>
      </w:pPr>
    </w:p>
    <w:p w14:paraId="2E6DE69E"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Pelaia</w:t>
      </w:r>
      <w:r>
        <w:rPr>
          <w:rFonts w:ascii="Times New Roman" w:hAnsi="Times New Roman" w:cs="Times New Roman"/>
          <w:sz w:val="24"/>
          <w:szCs w:val="24"/>
          <w:vertAlign w:val="baseline"/>
        </w:rPr>
        <w:t xml:space="preserve"> A</w:t>
      </w:r>
      <w:r w:rsidRPr="00672137">
        <w:rPr>
          <w:rFonts w:ascii="Times New Roman" w:hAnsi="Times New Roman" w:cs="Times New Roman"/>
          <w:sz w:val="24"/>
          <w:szCs w:val="24"/>
          <w:vertAlign w:val="baseline"/>
        </w:rPr>
        <w:t>, ‘Do Jews Believe in Satan? The Jewish view of Satan’ (Religion and Spirituality) &lt;</w:t>
      </w:r>
      <w:hyperlink r:id="rId120" w:history="1">
        <w:r w:rsidRPr="00055EDE">
          <w:rPr>
            <w:rStyle w:val="Hyperlink"/>
            <w:rFonts w:ascii="Times New Roman" w:hAnsi="Times New Roman" w:cs="Times New Roman"/>
            <w:sz w:val="24"/>
            <w:szCs w:val="24"/>
            <w:vertAlign w:val="baseline"/>
          </w:rPr>
          <w:t>http://judaism.about.com/od/judaismbasics/a/jewishbeliefsatan.htm&gt;</w:t>
        </w:r>
      </w:hyperlink>
      <w:r w:rsidRPr="00672137">
        <w:rPr>
          <w:rFonts w:ascii="Times New Roman" w:hAnsi="Times New Roman" w:cs="Times New Roman"/>
          <w:sz w:val="24"/>
          <w:szCs w:val="24"/>
          <w:vertAlign w:val="baseline"/>
        </w:rPr>
        <w:t xml:space="preserve"> accessed 10 July 2014.</w:t>
      </w:r>
    </w:p>
    <w:p w14:paraId="49350EB8" w14:textId="77777777" w:rsidR="003E2C58" w:rsidRDefault="003E2C58" w:rsidP="003E2C58">
      <w:pPr>
        <w:rPr>
          <w:rFonts w:ascii="Times New Roman" w:hAnsi="Times New Roman" w:cs="Times New Roman"/>
          <w:sz w:val="24"/>
          <w:szCs w:val="24"/>
          <w:vertAlign w:val="baseline"/>
        </w:rPr>
      </w:pPr>
    </w:p>
    <w:p w14:paraId="13828216"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Pelgrim</w:t>
      </w:r>
      <w:r>
        <w:rPr>
          <w:rFonts w:ascii="Times New Roman" w:hAnsi="Times New Roman" w:cs="Times New Roman"/>
          <w:sz w:val="24"/>
          <w:szCs w:val="24"/>
          <w:vertAlign w:val="baseline"/>
        </w:rPr>
        <w:t xml:space="preserve"> R</w:t>
      </w:r>
      <w:r w:rsidRPr="00672137">
        <w:rPr>
          <w:rFonts w:ascii="Times New Roman" w:hAnsi="Times New Roman" w:cs="Times New Roman"/>
          <w:sz w:val="24"/>
          <w:szCs w:val="24"/>
          <w:vertAlign w:val="baseline"/>
        </w:rPr>
        <w:t>, ‘Witchcraft and policing: South Africa Police Service attitudes towards witchcraft and witchcraft-related crime in the Northern Province’ (2003) 72 African St</w:t>
      </w:r>
      <w:r>
        <w:rPr>
          <w:rFonts w:ascii="Times New Roman" w:hAnsi="Times New Roman" w:cs="Times New Roman"/>
          <w:sz w:val="24"/>
          <w:szCs w:val="24"/>
          <w:vertAlign w:val="baseline"/>
        </w:rPr>
        <w:t>udies Centre Research Report 48</w:t>
      </w:r>
    </w:p>
    <w:p w14:paraId="10C54649" w14:textId="77777777" w:rsidR="003E2C58" w:rsidRDefault="003E2C58" w:rsidP="003E2C58">
      <w:pPr>
        <w:rPr>
          <w:rFonts w:ascii="Times New Roman" w:hAnsi="Times New Roman" w:cs="Times New Roman"/>
          <w:sz w:val="24"/>
          <w:szCs w:val="24"/>
          <w:vertAlign w:val="baseline"/>
        </w:rPr>
      </w:pPr>
    </w:p>
    <w:p w14:paraId="7B260C26"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Peters</w:t>
      </w:r>
      <w:r>
        <w:rPr>
          <w:rFonts w:ascii="Times New Roman" w:hAnsi="Times New Roman" w:cs="Times New Roman"/>
          <w:sz w:val="24"/>
          <w:szCs w:val="24"/>
          <w:vertAlign w:val="baseline"/>
        </w:rPr>
        <w:t xml:space="preserve"> J and Wolper A, </w:t>
      </w:r>
      <w:r w:rsidRPr="00672137">
        <w:rPr>
          <w:rFonts w:ascii="Times New Roman" w:hAnsi="Times New Roman" w:cs="Times New Roman"/>
          <w:sz w:val="24"/>
          <w:szCs w:val="24"/>
          <w:vertAlign w:val="baseline"/>
        </w:rPr>
        <w:t xml:space="preserve">(eds) </w:t>
      </w:r>
      <w:r w:rsidRPr="0055196A">
        <w:rPr>
          <w:rFonts w:ascii="Times New Roman" w:hAnsi="Times New Roman" w:cs="Times New Roman"/>
          <w:i/>
          <w:sz w:val="24"/>
          <w:szCs w:val="24"/>
          <w:vertAlign w:val="baseline"/>
        </w:rPr>
        <w:t>Women’s Rights, Human Rights: International Feminist Perspectives</w:t>
      </w:r>
      <w:r>
        <w:rPr>
          <w:rFonts w:ascii="Times New Roman" w:hAnsi="Times New Roman" w:cs="Times New Roman"/>
          <w:sz w:val="24"/>
          <w:szCs w:val="24"/>
          <w:vertAlign w:val="baseline"/>
        </w:rPr>
        <w:t xml:space="preserve"> (Routledge 1995)</w:t>
      </w:r>
    </w:p>
    <w:p w14:paraId="7DACFF64" w14:textId="77777777" w:rsidR="003E2C58" w:rsidRDefault="003E2C58" w:rsidP="003E2C58">
      <w:pPr>
        <w:rPr>
          <w:rFonts w:ascii="Times New Roman" w:hAnsi="Times New Roman" w:cs="Times New Roman"/>
          <w:b/>
          <w:sz w:val="24"/>
          <w:szCs w:val="24"/>
          <w:vertAlign w:val="baseline"/>
        </w:rPr>
      </w:pPr>
    </w:p>
    <w:p w14:paraId="70CEAD9D"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Planer</w:t>
      </w:r>
      <w:r>
        <w:rPr>
          <w:rFonts w:ascii="Times New Roman" w:hAnsi="Times New Roman" w:cs="Times New Roman"/>
          <w:sz w:val="24"/>
          <w:szCs w:val="24"/>
          <w:vertAlign w:val="baseline"/>
        </w:rPr>
        <w:t xml:space="preserve"> FE,</w:t>
      </w:r>
      <w:r w:rsidRPr="00672137">
        <w:rPr>
          <w:rFonts w:ascii="Times New Roman" w:hAnsi="Times New Roman" w:cs="Times New Roman"/>
          <w:sz w:val="24"/>
          <w:szCs w:val="24"/>
          <w:vertAlign w:val="baseline"/>
        </w:rPr>
        <w:t xml:space="preserve"> </w:t>
      </w:r>
      <w:r w:rsidRPr="000D5B9F">
        <w:rPr>
          <w:rFonts w:ascii="Times New Roman" w:hAnsi="Times New Roman" w:cs="Times New Roman"/>
          <w:i/>
          <w:sz w:val="24"/>
          <w:szCs w:val="24"/>
          <w:vertAlign w:val="baseline"/>
        </w:rPr>
        <w:t xml:space="preserve">Superstition </w:t>
      </w:r>
      <w:r w:rsidRPr="00672137">
        <w:rPr>
          <w:rFonts w:ascii="Times New Roman" w:hAnsi="Times New Roman" w:cs="Times New Roman"/>
          <w:sz w:val="24"/>
          <w:szCs w:val="24"/>
          <w:vertAlign w:val="baseline"/>
        </w:rPr>
        <w:t xml:space="preserve">(Cassell London 1980) </w:t>
      </w:r>
    </w:p>
    <w:p w14:paraId="43E75DD7" w14:textId="77777777" w:rsidR="003E2C58" w:rsidRDefault="003E2C58" w:rsidP="003E2C58">
      <w:pPr>
        <w:rPr>
          <w:rFonts w:ascii="Times New Roman" w:hAnsi="Times New Roman" w:cs="Times New Roman"/>
          <w:sz w:val="24"/>
          <w:szCs w:val="24"/>
          <w:vertAlign w:val="baseline"/>
        </w:rPr>
      </w:pPr>
    </w:p>
    <w:p w14:paraId="510C74CC" w14:textId="77777777" w:rsidR="00417877" w:rsidRDefault="00417877" w:rsidP="00417877">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PNG Watch Council &lt;</w:t>
      </w:r>
      <w:hyperlink r:id="rId121" w:history="1">
        <w:r w:rsidRPr="008D7BB9">
          <w:rPr>
            <w:rStyle w:val="Hyperlink"/>
            <w:rFonts w:ascii="Times New Roman" w:hAnsi="Times New Roman" w:cs="Times New Roman"/>
            <w:sz w:val="24"/>
            <w:szCs w:val="24"/>
            <w:vertAlign w:val="baseline"/>
          </w:rPr>
          <w:t>https://www.greenleft.org.au/node/13248&gt;</w:t>
        </w:r>
      </w:hyperlink>
      <w:r w:rsidRPr="00672137">
        <w:rPr>
          <w:rFonts w:ascii="Times New Roman" w:hAnsi="Times New Roman" w:cs="Times New Roman"/>
          <w:sz w:val="24"/>
          <w:szCs w:val="24"/>
          <w:vertAlign w:val="baseline"/>
        </w:rPr>
        <w:t xml:space="preserve"> accessed 8 September 2015</w:t>
      </w:r>
    </w:p>
    <w:p w14:paraId="3CB04323" w14:textId="77777777" w:rsidR="00417877" w:rsidRDefault="00417877" w:rsidP="003E2C58">
      <w:pPr>
        <w:rPr>
          <w:rFonts w:ascii="Times New Roman" w:hAnsi="Times New Roman" w:cs="Times New Roman"/>
          <w:sz w:val="24"/>
          <w:szCs w:val="24"/>
          <w:vertAlign w:val="baseline"/>
        </w:rPr>
      </w:pPr>
    </w:p>
    <w:p w14:paraId="0526C609" w14:textId="77777777" w:rsidR="007A2518" w:rsidRDefault="007A2518" w:rsidP="007A2518">
      <w:pPr>
        <w:rPr>
          <w:rFonts w:ascii="Times New Roman" w:hAnsi="Times New Roman" w:cs="Times New Roman"/>
          <w:b/>
          <w:sz w:val="24"/>
          <w:szCs w:val="24"/>
          <w:vertAlign w:val="baseline"/>
        </w:rPr>
      </w:pPr>
      <w:r w:rsidRPr="00672137">
        <w:rPr>
          <w:rFonts w:ascii="Times New Roman" w:hAnsi="Times New Roman" w:cs="Times New Roman"/>
          <w:sz w:val="24"/>
          <w:szCs w:val="24"/>
          <w:vertAlign w:val="baseline"/>
        </w:rPr>
        <w:t>Poverty and Social Exclusion, ‘Social Exclusion’ (PSE</w:t>
      </w:r>
      <w:r>
        <w:rPr>
          <w:rFonts w:ascii="Times New Roman" w:hAnsi="Times New Roman" w:cs="Times New Roman"/>
          <w:sz w:val="24"/>
          <w:szCs w:val="24"/>
          <w:vertAlign w:val="baseline"/>
        </w:rPr>
        <w:t>,</w:t>
      </w:r>
      <w:r w:rsidRPr="00672137">
        <w:rPr>
          <w:rFonts w:ascii="Times New Roman" w:hAnsi="Times New Roman" w:cs="Times New Roman"/>
          <w:sz w:val="24"/>
          <w:szCs w:val="24"/>
          <w:vertAlign w:val="baseline"/>
        </w:rPr>
        <w:t xml:space="preserve"> 2012) &lt;</w:t>
      </w:r>
      <w:hyperlink r:id="rId122" w:history="1">
        <w:r w:rsidRPr="00EE14A5">
          <w:rPr>
            <w:rStyle w:val="Hyperlink"/>
            <w:rFonts w:ascii="Times New Roman" w:hAnsi="Times New Roman" w:cs="Times New Roman"/>
            <w:sz w:val="24"/>
            <w:szCs w:val="24"/>
            <w:vertAlign w:val="baseline"/>
          </w:rPr>
          <w:t>http://www.poverty.ac.uk/definitions-poverty/social-exclusion&gt;</w:t>
        </w:r>
      </w:hyperlink>
      <w:r w:rsidRPr="00672137">
        <w:rPr>
          <w:rFonts w:ascii="Times New Roman" w:hAnsi="Times New Roman" w:cs="Times New Roman"/>
          <w:sz w:val="24"/>
          <w:szCs w:val="24"/>
          <w:vertAlign w:val="baseline"/>
        </w:rPr>
        <w:t xml:space="preserve"> accessed 8 December 2015</w:t>
      </w:r>
    </w:p>
    <w:p w14:paraId="3B88004A" w14:textId="77777777" w:rsidR="007A2518" w:rsidRDefault="007A2518" w:rsidP="007A2518">
      <w:pPr>
        <w:rPr>
          <w:rFonts w:ascii="Times New Roman" w:hAnsi="Times New Roman" w:cs="Times New Roman"/>
          <w:b/>
          <w:sz w:val="24"/>
          <w:szCs w:val="24"/>
          <w:vertAlign w:val="baseline"/>
        </w:rPr>
      </w:pPr>
    </w:p>
    <w:p w14:paraId="6B7FF97C" w14:textId="77777777" w:rsidR="007A2518" w:rsidRDefault="007A2518" w:rsidP="007A2518">
      <w:pPr>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PPR Nepal </w:t>
      </w:r>
      <w:r w:rsidRPr="00672137">
        <w:rPr>
          <w:rFonts w:ascii="Times New Roman" w:hAnsi="Times New Roman" w:cs="Times New Roman"/>
          <w:sz w:val="24"/>
          <w:szCs w:val="24"/>
          <w:vertAlign w:val="baseline"/>
        </w:rPr>
        <w:t>(Forum for the Protection of People’s Rights, Nepal) &lt;</w:t>
      </w:r>
      <w:hyperlink r:id="rId123" w:history="1">
        <w:r w:rsidRPr="008B115E">
          <w:rPr>
            <w:rStyle w:val="Hyperlink"/>
            <w:rFonts w:ascii="Times New Roman" w:hAnsi="Times New Roman" w:cs="Times New Roman"/>
            <w:sz w:val="24"/>
            <w:szCs w:val="24"/>
            <w:vertAlign w:val="baseline"/>
          </w:rPr>
          <w:t>http://www.pprnepal.org.np/index.php?option=com_content&amp;view=article&amp;id=36&amp;Itemid=19&gt;</w:t>
        </w:r>
      </w:hyperlink>
      <w:r w:rsidRPr="00672137">
        <w:rPr>
          <w:rFonts w:ascii="Times New Roman" w:hAnsi="Times New Roman" w:cs="Times New Roman"/>
          <w:sz w:val="24"/>
          <w:szCs w:val="24"/>
          <w:vertAlign w:val="baseline"/>
        </w:rPr>
        <w:t xml:space="preserve"> accessed 6 November 2014</w:t>
      </w:r>
    </w:p>
    <w:p w14:paraId="08C192BB" w14:textId="77777777" w:rsidR="007A2518" w:rsidRDefault="007A2518" w:rsidP="003E2C58">
      <w:pPr>
        <w:rPr>
          <w:rFonts w:ascii="Times New Roman" w:hAnsi="Times New Roman" w:cs="Times New Roman"/>
          <w:sz w:val="24"/>
          <w:szCs w:val="24"/>
          <w:vertAlign w:val="baseline"/>
        </w:rPr>
      </w:pPr>
    </w:p>
    <w:p w14:paraId="1E07DA0C"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PPR Nepal, ‘Anti-Witchcraft’ (PPR Nepal, 2014) &lt;</w:t>
      </w:r>
      <w:hyperlink r:id="rId124" w:history="1">
        <w:r w:rsidRPr="00A47FBB">
          <w:rPr>
            <w:rStyle w:val="Hyperlink"/>
            <w:rFonts w:ascii="Times New Roman" w:hAnsi="Times New Roman" w:cs="Times New Roman"/>
            <w:sz w:val="24"/>
            <w:szCs w:val="24"/>
            <w:vertAlign w:val="baseline"/>
          </w:rPr>
          <w:t>http://www.pprnepal.org.np/index.php?option=com_content&amp;view=article&amp;id=36&amp;Itemid=19&gt;</w:t>
        </w:r>
      </w:hyperlink>
      <w:r w:rsidRPr="00672137">
        <w:rPr>
          <w:rFonts w:ascii="Times New Roman" w:hAnsi="Times New Roman" w:cs="Times New Roman"/>
          <w:sz w:val="24"/>
          <w:szCs w:val="24"/>
          <w:vertAlign w:val="baseline"/>
        </w:rPr>
        <w:t xml:space="preserve"> accessed 6 November 2014</w:t>
      </w:r>
    </w:p>
    <w:p w14:paraId="2E44C924" w14:textId="77777777" w:rsidR="003E2C58" w:rsidRDefault="003E2C58" w:rsidP="003E2C58">
      <w:pPr>
        <w:rPr>
          <w:rFonts w:ascii="Times New Roman" w:hAnsi="Times New Roman" w:cs="Times New Roman"/>
          <w:sz w:val="24"/>
          <w:szCs w:val="24"/>
          <w:vertAlign w:val="baseline"/>
        </w:rPr>
      </w:pPr>
    </w:p>
    <w:p w14:paraId="1FE52832"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Provost</w:t>
      </w:r>
      <w:r>
        <w:rPr>
          <w:rFonts w:ascii="Times New Roman" w:hAnsi="Times New Roman" w:cs="Times New Roman"/>
          <w:sz w:val="24"/>
          <w:szCs w:val="24"/>
          <w:vertAlign w:val="baseline"/>
        </w:rPr>
        <w:t xml:space="preserve"> R and </w:t>
      </w:r>
      <w:r w:rsidRPr="00672137">
        <w:rPr>
          <w:rFonts w:ascii="Times New Roman" w:hAnsi="Times New Roman" w:cs="Times New Roman"/>
          <w:sz w:val="24"/>
          <w:szCs w:val="24"/>
          <w:vertAlign w:val="baseline"/>
        </w:rPr>
        <w:t>Sheppard</w:t>
      </w:r>
      <w:r>
        <w:rPr>
          <w:rFonts w:ascii="Times New Roman" w:hAnsi="Times New Roman" w:cs="Times New Roman"/>
          <w:sz w:val="24"/>
          <w:szCs w:val="24"/>
          <w:vertAlign w:val="baseline"/>
        </w:rPr>
        <w:t xml:space="preserve"> C (eds) </w:t>
      </w:r>
      <w:r w:rsidRPr="004D1F97">
        <w:rPr>
          <w:rFonts w:ascii="Times New Roman" w:hAnsi="Times New Roman" w:cs="Times New Roman"/>
          <w:i/>
          <w:sz w:val="24"/>
          <w:szCs w:val="24"/>
          <w:vertAlign w:val="baseline"/>
        </w:rPr>
        <w:t>Dialogues on Human Rights and Legal Pluralism</w:t>
      </w:r>
      <w:r>
        <w:rPr>
          <w:rFonts w:ascii="Times New Roman" w:hAnsi="Times New Roman" w:cs="Times New Roman"/>
          <w:sz w:val="24"/>
          <w:szCs w:val="24"/>
          <w:vertAlign w:val="baseline"/>
        </w:rPr>
        <w:t xml:space="preserve"> (Springer, 2013)</w:t>
      </w:r>
    </w:p>
    <w:p w14:paraId="3543CFE5" w14:textId="77777777" w:rsidR="003E2C58" w:rsidRDefault="003E2C58" w:rsidP="003E2C58">
      <w:pPr>
        <w:rPr>
          <w:rFonts w:ascii="Times New Roman" w:hAnsi="Times New Roman" w:cs="Times New Roman"/>
          <w:sz w:val="24"/>
          <w:szCs w:val="24"/>
          <w:vertAlign w:val="baseline"/>
        </w:rPr>
      </w:pPr>
    </w:p>
    <w:p w14:paraId="058B53D8"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Pruthi</w:t>
      </w:r>
      <w:r>
        <w:rPr>
          <w:rFonts w:ascii="Times New Roman" w:hAnsi="Times New Roman" w:cs="Times New Roman"/>
          <w:sz w:val="24"/>
          <w:szCs w:val="24"/>
          <w:vertAlign w:val="baseline"/>
        </w:rPr>
        <w:t xml:space="preserve"> RK</w:t>
      </w:r>
      <w:r w:rsidRPr="00672137">
        <w:rPr>
          <w:rFonts w:ascii="Times New Roman" w:hAnsi="Times New Roman" w:cs="Times New Roman"/>
          <w:sz w:val="24"/>
          <w:szCs w:val="24"/>
          <w:vertAlign w:val="baseline"/>
        </w:rPr>
        <w:t xml:space="preserve">, </w:t>
      </w:r>
      <w:r w:rsidRPr="005C683C">
        <w:rPr>
          <w:rFonts w:ascii="Times New Roman" w:hAnsi="Times New Roman" w:cs="Times New Roman"/>
          <w:i/>
          <w:sz w:val="24"/>
          <w:szCs w:val="24"/>
          <w:vertAlign w:val="baseline"/>
        </w:rPr>
        <w:t>Indian Caste System</w:t>
      </w:r>
      <w:r w:rsidRPr="00672137">
        <w:rPr>
          <w:rFonts w:ascii="Times New Roman" w:hAnsi="Times New Roman" w:cs="Times New Roman"/>
          <w:sz w:val="24"/>
          <w:szCs w:val="24"/>
          <w:vertAlign w:val="baseline"/>
        </w:rPr>
        <w:t xml:space="preserve"> (Discovery Publishing House, 2004)</w:t>
      </w:r>
    </w:p>
    <w:p w14:paraId="4D1C3C2A" w14:textId="77777777" w:rsidR="003E2C58" w:rsidRDefault="003E2C58" w:rsidP="003E2C58">
      <w:pPr>
        <w:rPr>
          <w:rFonts w:ascii="Times New Roman" w:hAnsi="Times New Roman" w:cs="Times New Roman"/>
          <w:sz w:val="24"/>
          <w:szCs w:val="24"/>
          <w:vertAlign w:val="baseline"/>
        </w:rPr>
      </w:pPr>
    </w:p>
    <w:p w14:paraId="3D340CA0" w14:textId="77777777" w:rsidR="000330D4" w:rsidRPr="00672137" w:rsidRDefault="000330D4" w:rsidP="000330D4">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Pun</w:t>
      </w:r>
      <w:r>
        <w:rPr>
          <w:rFonts w:ascii="Times New Roman" w:hAnsi="Times New Roman" w:cs="Times New Roman"/>
          <w:sz w:val="24"/>
          <w:szCs w:val="24"/>
          <w:vertAlign w:val="baseline"/>
        </w:rPr>
        <w:t xml:space="preserve"> W</w:t>
      </w:r>
      <w:r w:rsidRPr="00672137">
        <w:rPr>
          <w:rFonts w:ascii="Times New Roman" w:hAnsi="Times New Roman" w:cs="Times New Roman"/>
          <w:sz w:val="24"/>
          <w:szCs w:val="24"/>
          <w:vertAlign w:val="baseline"/>
        </w:rPr>
        <w:t xml:space="preserve">, ‘Bill passage could encourage victims to report crime’ </w:t>
      </w:r>
      <w:r w:rsidRPr="00824977">
        <w:rPr>
          <w:rFonts w:ascii="Times New Roman" w:hAnsi="Times New Roman" w:cs="Times New Roman"/>
          <w:i/>
          <w:sz w:val="24"/>
          <w:szCs w:val="24"/>
          <w:vertAlign w:val="baseline"/>
        </w:rPr>
        <w:t>The Kathmandu Post</w:t>
      </w:r>
      <w:r w:rsidRPr="00672137">
        <w:rPr>
          <w:rFonts w:ascii="Times New Roman" w:hAnsi="Times New Roman" w:cs="Times New Roman"/>
          <w:sz w:val="24"/>
          <w:szCs w:val="24"/>
          <w:vertAlign w:val="baseline"/>
        </w:rPr>
        <w:t xml:space="preserve"> (Kathmanhu, 24 August 2014) &lt;</w:t>
      </w:r>
      <w:hyperlink r:id="rId125" w:history="1">
        <w:r w:rsidRPr="00824977">
          <w:rPr>
            <w:rStyle w:val="Hyperlink"/>
            <w:rFonts w:ascii="Times New Roman" w:hAnsi="Times New Roman" w:cs="Times New Roman"/>
            <w:sz w:val="24"/>
            <w:szCs w:val="24"/>
            <w:vertAlign w:val="baseline"/>
          </w:rPr>
          <w:t>http://kathmandupost.ekantipur.com/news/2014-08-24/bill-passage-could-encourage-victims-to-report-crime.html&gt;</w:t>
        </w:r>
      </w:hyperlink>
      <w:r w:rsidRPr="00672137">
        <w:rPr>
          <w:rFonts w:ascii="Times New Roman" w:hAnsi="Times New Roman" w:cs="Times New Roman"/>
          <w:sz w:val="24"/>
          <w:szCs w:val="24"/>
          <w:vertAlign w:val="baseline"/>
        </w:rPr>
        <w:t xml:space="preserve"> accessed 26 August 2015</w:t>
      </w:r>
    </w:p>
    <w:p w14:paraId="4FC46A6F" w14:textId="77777777" w:rsidR="000330D4" w:rsidRDefault="000330D4" w:rsidP="003E2C58">
      <w:pPr>
        <w:rPr>
          <w:rFonts w:ascii="Times New Roman" w:hAnsi="Times New Roman" w:cs="Times New Roman"/>
          <w:sz w:val="24"/>
          <w:szCs w:val="24"/>
          <w:vertAlign w:val="baseline"/>
        </w:rPr>
      </w:pPr>
    </w:p>
    <w:p w14:paraId="4F3D0806"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Quane</w:t>
      </w:r>
      <w:r>
        <w:rPr>
          <w:rFonts w:ascii="Times New Roman" w:hAnsi="Times New Roman" w:cs="Times New Roman"/>
          <w:sz w:val="24"/>
          <w:szCs w:val="24"/>
          <w:vertAlign w:val="baseline"/>
        </w:rPr>
        <w:t xml:space="preserve"> H</w:t>
      </w:r>
      <w:r w:rsidRPr="00672137">
        <w:rPr>
          <w:rFonts w:ascii="Times New Roman" w:hAnsi="Times New Roman" w:cs="Times New Roman"/>
          <w:sz w:val="24"/>
          <w:szCs w:val="24"/>
          <w:vertAlign w:val="baseline"/>
        </w:rPr>
        <w:t>, ‘Legal Pluralism and International Human Rights Law: Inherently Incompatible, Mutually Reinforcing or Something i</w:t>
      </w:r>
      <w:r>
        <w:rPr>
          <w:rFonts w:ascii="Times New Roman" w:hAnsi="Times New Roman" w:cs="Times New Roman"/>
          <w:sz w:val="24"/>
          <w:szCs w:val="24"/>
          <w:vertAlign w:val="baseline"/>
        </w:rPr>
        <w:t xml:space="preserve">n Between?’ (2013) 33(4) OJLS </w:t>
      </w:r>
      <w:r w:rsidRPr="00672137">
        <w:rPr>
          <w:rFonts w:ascii="Times New Roman" w:hAnsi="Times New Roman" w:cs="Times New Roman"/>
          <w:sz w:val="24"/>
          <w:szCs w:val="24"/>
          <w:vertAlign w:val="baseline"/>
        </w:rPr>
        <w:t>701</w:t>
      </w:r>
    </w:p>
    <w:p w14:paraId="7369B62D" w14:textId="77777777" w:rsidR="003E2C58" w:rsidRDefault="003E2C58" w:rsidP="003E2C58">
      <w:pPr>
        <w:rPr>
          <w:rFonts w:ascii="Times New Roman" w:hAnsi="Times New Roman" w:cs="Times New Roman"/>
          <w:sz w:val="24"/>
          <w:szCs w:val="24"/>
          <w:vertAlign w:val="baseline"/>
        </w:rPr>
      </w:pPr>
    </w:p>
    <w:p w14:paraId="397EE10C"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Quansah</w:t>
      </w:r>
      <w:r>
        <w:rPr>
          <w:rFonts w:ascii="Times New Roman" w:hAnsi="Times New Roman" w:cs="Times New Roman"/>
          <w:sz w:val="24"/>
          <w:szCs w:val="24"/>
          <w:vertAlign w:val="baseline"/>
        </w:rPr>
        <w:t xml:space="preserve"> EK</w:t>
      </w:r>
      <w:r w:rsidRPr="00672137">
        <w:rPr>
          <w:rFonts w:ascii="Times New Roman" w:hAnsi="Times New Roman" w:cs="Times New Roman"/>
          <w:sz w:val="24"/>
          <w:szCs w:val="24"/>
          <w:vertAlign w:val="baseline"/>
        </w:rPr>
        <w:t>, ‘Religion, Democracy and Civil Society: The case of ‘witches’ in Ghana’ (2012) International Centre for Law and Religion Studies &lt;</w:t>
      </w:r>
      <w:hyperlink r:id="rId126" w:history="1">
        <w:r w:rsidRPr="00C850CF">
          <w:rPr>
            <w:rStyle w:val="Hyperlink"/>
            <w:rFonts w:ascii="Times New Roman" w:hAnsi="Times New Roman" w:cs="Times New Roman"/>
            <w:sz w:val="24"/>
            <w:szCs w:val="24"/>
            <w:vertAlign w:val="baseline"/>
          </w:rPr>
          <w:t>http://www.iclrs.org/content/events/26/510.pdf&gt;</w:t>
        </w:r>
      </w:hyperlink>
      <w:r w:rsidRPr="00672137">
        <w:rPr>
          <w:rFonts w:ascii="Times New Roman" w:hAnsi="Times New Roman" w:cs="Times New Roman"/>
          <w:sz w:val="24"/>
          <w:szCs w:val="24"/>
          <w:vertAlign w:val="baseline"/>
        </w:rPr>
        <w:t xml:space="preserve"> accessed 20 August 2015</w:t>
      </w:r>
    </w:p>
    <w:p w14:paraId="49FA81E4"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Quarmyne</w:t>
      </w:r>
      <w:r>
        <w:rPr>
          <w:rFonts w:ascii="Times New Roman" w:hAnsi="Times New Roman" w:cs="Times New Roman"/>
          <w:sz w:val="24"/>
          <w:szCs w:val="24"/>
          <w:vertAlign w:val="baseline"/>
        </w:rPr>
        <w:t xml:space="preserve"> M</w:t>
      </w:r>
      <w:r w:rsidRPr="00672137">
        <w:rPr>
          <w:rFonts w:ascii="Times New Roman" w:hAnsi="Times New Roman" w:cs="Times New Roman"/>
          <w:sz w:val="24"/>
          <w:szCs w:val="24"/>
          <w:vertAlign w:val="baseline"/>
        </w:rPr>
        <w:t>, ‘Witchcraft: A Human Rights Conflict Between Customary/Traditional Laws and the Legal Protection of Women in Contemporary Sub-Saharan Af</w:t>
      </w:r>
      <w:r>
        <w:rPr>
          <w:rFonts w:ascii="Times New Roman" w:hAnsi="Times New Roman" w:cs="Times New Roman"/>
          <w:sz w:val="24"/>
          <w:szCs w:val="24"/>
          <w:vertAlign w:val="baseline"/>
        </w:rPr>
        <w:t>rica’ (2011) 17(2) Wm Mary J Women L</w:t>
      </w:r>
      <w:r w:rsidRPr="00672137">
        <w:rPr>
          <w:rFonts w:ascii="Times New Roman" w:hAnsi="Times New Roman" w:cs="Times New Roman"/>
          <w:sz w:val="24"/>
          <w:szCs w:val="24"/>
          <w:vertAlign w:val="baseline"/>
        </w:rPr>
        <w:t xml:space="preserve"> 485</w:t>
      </w:r>
    </w:p>
    <w:p w14:paraId="2A55E86A" w14:textId="77777777" w:rsidR="003E2C58" w:rsidRDefault="003E2C58" w:rsidP="003E2C58">
      <w:pPr>
        <w:rPr>
          <w:rFonts w:ascii="Times New Roman" w:hAnsi="Times New Roman" w:cs="Times New Roman"/>
          <w:sz w:val="24"/>
          <w:szCs w:val="24"/>
          <w:vertAlign w:val="baseline"/>
        </w:rPr>
      </w:pPr>
    </w:p>
    <w:p w14:paraId="3CC1E327"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Qureshi</w:t>
      </w:r>
      <w:r>
        <w:rPr>
          <w:rFonts w:ascii="Times New Roman" w:hAnsi="Times New Roman" w:cs="Times New Roman"/>
          <w:sz w:val="24"/>
          <w:szCs w:val="24"/>
          <w:vertAlign w:val="baseline"/>
        </w:rPr>
        <w:t xml:space="preserve"> S</w:t>
      </w:r>
      <w:r w:rsidRPr="00672137">
        <w:rPr>
          <w:rFonts w:ascii="Times New Roman" w:hAnsi="Times New Roman" w:cs="Times New Roman"/>
          <w:sz w:val="24"/>
          <w:szCs w:val="24"/>
          <w:vertAlign w:val="baseline"/>
        </w:rPr>
        <w:t xml:space="preserve">, ‘The Recognition of Violence against Women as a Violation of Human Rights in the United Nations System’ </w:t>
      </w:r>
      <w:r>
        <w:rPr>
          <w:rFonts w:ascii="Times New Roman" w:hAnsi="Times New Roman" w:cs="Times New Roman"/>
          <w:sz w:val="24"/>
          <w:szCs w:val="24"/>
          <w:vertAlign w:val="baseline"/>
        </w:rPr>
        <w:t>(2013) 28(1) Res J</w:t>
      </w:r>
      <w:r w:rsidRPr="00672137">
        <w:rPr>
          <w:rFonts w:ascii="Times New Roman" w:hAnsi="Times New Roman" w:cs="Times New Roman"/>
          <w:sz w:val="24"/>
          <w:szCs w:val="24"/>
          <w:vertAlign w:val="baseline"/>
        </w:rPr>
        <w:t xml:space="preserve"> South Asian Studies 187</w:t>
      </w:r>
    </w:p>
    <w:p w14:paraId="7534354B" w14:textId="77777777" w:rsidR="003E2C58" w:rsidRDefault="003E2C58" w:rsidP="003E2C58">
      <w:pPr>
        <w:rPr>
          <w:rFonts w:ascii="Times New Roman" w:hAnsi="Times New Roman" w:cs="Times New Roman"/>
          <w:sz w:val="24"/>
          <w:szCs w:val="24"/>
          <w:vertAlign w:val="baseline"/>
        </w:rPr>
      </w:pPr>
    </w:p>
    <w:p w14:paraId="6EED6E30"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Qutb</w:t>
      </w:r>
      <w:r>
        <w:rPr>
          <w:rFonts w:ascii="Times New Roman" w:hAnsi="Times New Roman" w:cs="Times New Roman"/>
          <w:sz w:val="24"/>
          <w:szCs w:val="24"/>
          <w:vertAlign w:val="baseline"/>
        </w:rPr>
        <w:t xml:space="preserve"> S</w:t>
      </w:r>
      <w:r w:rsidRPr="00672137">
        <w:rPr>
          <w:rFonts w:ascii="Times New Roman" w:hAnsi="Times New Roman" w:cs="Times New Roman"/>
          <w:sz w:val="24"/>
          <w:szCs w:val="24"/>
          <w:vertAlign w:val="baseline"/>
        </w:rPr>
        <w:t xml:space="preserve">, </w:t>
      </w:r>
      <w:r w:rsidRPr="0029689D">
        <w:rPr>
          <w:rFonts w:ascii="Times New Roman" w:hAnsi="Times New Roman" w:cs="Times New Roman"/>
          <w:i/>
          <w:sz w:val="24"/>
          <w:szCs w:val="24"/>
          <w:vertAlign w:val="baseline"/>
        </w:rPr>
        <w:t>In the Shade of the Qur’an (Fi Dhilal al Quran)</w:t>
      </w:r>
      <w:r w:rsidRPr="00672137">
        <w:rPr>
          <w:rFonts w:ascii="Times New Roman" w:hAnsi="Times New Roman" w:cs="Times New Roman"/>
          <w:sz w:val="24"/>
          <w:szCs w:val="24"/>
          <w:vertAlign w:val="baseline"/>
        </w:rPr>
        <w:t xml:space="preserve"> (</w:t>
      </w:r>
      <w:r>
        <w:rPr>
          <w:rFonts w:ascii="Times New Roman" w:hAnsi="Times New Roman" w:cs="Times New Roman"/>
          <w:sz w:val="24"/>
          <w:szCs w:val="24"/>
          <w:vertAlign w:val="baseline"/>
        </w:rPr>
        <w:t xml:space="preserve">Vol 1, </w:t>
      </w:r>
      <w:r w:rsidRPr="00672137">
        <w:rPr>
          <w:rFonts w:ascii="Times New Roman" w:hAnsi="Times New Roman" w:cs="Times New Roman"/>
          <w:sz w:val="24"/>
          <w:szCs w:val="24"/>
          <w:vertAlign w:val="baseline"/>
        </w:rPr>
        <w:t xml:space="preserve">Eqypt 1952) </w:t>
      </w:r>
    </w:p>
    <w:p w14:paraId="25A90FAA" w14:textId="77777777" w:rsidR="003E2C58" w:rsidRDefault="003E2C58" w:rsidP="003E2C58">
      <w:pPr>
        <w:rPr>
          <w:rFonts w:ascii="Times New Roman" w:hAnsi="Times New Roman" w:cs="Times New Roman"/>
          <w:sz w:val="24"/>
          <w:szCs w:val="24"/>
          <w:vertAlign w:val="baseline"/>
        </w:rPr>
      </w:pPr>
    </w:p>
    <w:p w14:paraId="61CAB9B5"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Radacic</w:t>
      </w:r>
      <w:r>
        <w:rPr>
          <w:rFonts w:ascii="Times New Roman" w:hAnsi="Times New Roman" w:cs="Times New Roman"/>
          <w:sz w:val="24"/>
          <w:szCs w:val="24"/>
          <w:vertAlign w:val="baseline"/>
        </w:rPr>
        <w:t xml:space="preserve"> I</w:t>
      </w:r>
      <w:r w:rsidRPr="00672137">
        <w:rPr>
          <w:rFonts w:ascii="Times New Roman" w:hAnsi="Times New Roman" w:cs="Times New Roman"/>
          <w:sz w:val="24"/>
          <w:szCs w:val="24"/>
          <w:vertAlign w:val="baseline"/>
        </w:rPr>
        <w:t>, ‘Feminism and Human Rights: the inclusive approach to interpreting international human rights law’ (2008) 14 UCL Juris Rev 238</w:t>
      </w:r>
    </w:p>
    <w:p w14:paraId="39434380" w14:textId="77777777" w:rsidR="003E2C58" w:rsidRDefault="003E2C58" w:rsidP="003E2C58">
      <w:pPr>
        <w:rPr>
          <w:rFonts w:ascii="Times New Roman" w:hAnsi="Times New Roman" w:cs="Times New Roman"/>
          <w:sz w:val="24"/>
          <w:szCs w:val="24"/>
          <w:vertAlign w:val="baseline"/>
        </w:rPr>
      </w:pPr>
    </w:p>
    <w:p w14:paraId="5D6D86F0" w14:textId="77777777" w:rsidR="000330D4" w:rsidRDefault="000330D4" w:rsidP="000330D4">
      <w:pPr>
        <w:rPr>
          <w:rFonts w:ascii="Times New Roman" w:hAnsi="Times New Roman" w:cs="Times New Roman"/>
          <w:sz w:val="24"/>
          <w:szCs w:val="24"/>
          <w:vertAlign w:val="baseline"/>
        </w:rPr>
      </w:pPr>
      <w:r>
        <w:rPr>
          <w:rFonts w:ascii="Times New Roman" w:hAnsi="Times New Roman" w:cs="Times New Roman"/>
          <w:sz w:val="24"/>
          <w:szCs w:val="24"/>
          <w:vertAlign w:val="baseline"/>
        </w:rPr>
        <w:t>‘</w:t>
      </w:r>
      <w:r w:rsidRPr="00672137">
        <w:rPr>
          <w:rFonts w:ascii="Times New Roman" w:hAnsi="Times New Roman" w:cs="Times New Roman"/>
          <w:sz w:val="24"/>
          <w:szCs w:val="24"/>
          <w:vertAlign w:val="baseline"/>
        </w:rPr>
        <w:t>Rajasthan Assemb</w:t>
      </w:r>
      <w:r>
        <w:rPr>
          <w:rFonts w:ascii="Times New Roman" w:hAnsi="Times New Roman" w:cs="Times New Roman"/>
          <w:sz w:val="24"/>
          <w:szCs w:val="24"/>
          <w:vertAlign w:val="baseline"/>
        </w:rPr>
        <w:t xml:space="preserve">ly Passes Anti-Witchcraft Law’ </w:t>
      </w:r>
      <w:r w:rsidRPr="00164221">
        <w:rPr>
          <w:rFonts w:ascii="Times New Roman" w:hAnsi="Times New Roman" w:cs="Times New Roman"/>
          <w:i/>
          <w:sz w:val="24"/>
          <w:szCs w:val="24"/>
          <w:vertAlign w:val="baseline"/>
        </w:rPr>
        <w:t>Outlook India</w:t>
      </w:r>
      <w:r>
        <w:rPr>
          <w:rFonts w:ascii="Times New Roman" w:hAnsi="Times New Roman" w:cs="Times New Roman"/>
          <w:sz w:val="24"/>
          <w:szCs w:val="24"/>
          <w:vertAlign w:val="baseline"/>
        </w:rPr>
        <w:t xml:space="preserve"> (India, </w:t>
      </w:r>
      <w:r w:rsidRPr="00672137">
        <w:rPr>
          <w:rFonts w:ascii="Times New Roman" w:hAnsi="Times New Roman" w:cs="Times New Roman"/>
          <w:sz w:val="24"/>
          <w:szCs w:val="24"/>
          <w:vertAlign w:val="baseline"/>
        </w:rPr>
        <w:t>9 April 2015) &lt;</w:t>
      </w:r>
      <w:hyperlink r:id="rId127" w:history="1">
        <w:r w:rsidRPr="00164221">
          <w:rPr>
            <w:rStyle w:val="Hyperlink"/>
            <w:rFonts w:ascii="Times New Roman" w:hAnsi="Times New Roman" w:cs="Times New Roman"/>
            <w:sz w:val="24"/>
            <w:szCs w:val="24"/>
            <w:vertAlign w:val="baseline"/>
          </w:rPr>
          <w:t>http://www.outlookindia.com/news/article/rajasthan-assembly-passes-antiwitch-craft-law/890655&gt;</w:t>
        </w:r>
      </w:hyperlink>
      <w:r w:rsidRPr="00672137">
        <w:rPr>
          <w:rFonts w:ascii="Times New Roman" w:hAnsi="Times New Roman" w:cs="Times New Roman"/>
          <w:sz w:val="24"/>
          <w:szCs w:val="24"/>
          <w:vertAlign w:val="baseline"/>
        </w:rPr>
        <w:t xml:space="preserve"> accessed 25 August 2015</w:t>
      </w:r>
    </w:p>
    <w:p w14:paraId="1AD44BD2" w14:textId="77777777" w:rsidR="000330D4" w:rsidRDefault="000330D4" w:rsidP="003E2C58">
      <w:pPr>
        <w:rPr>
          <w:rFonts w:ascii="Times New Roman" w:hAnsi="Times New Roman" w:cs="Times New Roman"/>
          <w:sz w:val="24"/>
          <w:szCs w:val="24"/>
          <w:vertAlign w:val="baseline"/>
        </w:rPr>
      </w:pPr>
    </w:p>
    <w:p w14:paraId="64814ACF"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Ramsay</w:t>
      </w:r>
      <w:r>
        <w:rPr>
          <w:rFonts w:ascii="Times New Roman" w:hAnsi="Times New Roman" w:cs="Times New Roman"/>
          <w:sz w:val="24"/>
          <w:szCs w:val="24"/>
          <w:vertAlign w:val="baseline"/>
        </w:rPr>
        <w:t xml:space="preserve"> M</w:t>
      </w:r>
      <w:r w:rsidRPr="00672137">
        <w:rPr>
          <w:rFonts w:ascii="Times New Roman" w:hAnsi="Times New Roman" w:cs="Times New Roman"/>
          <w:sz w:val="24"/>
          <w:szCs w:val="24"/>
          <w:vertAlign w:val="baseline"/>
        </w:rPr>
        <w:t xml:space="preserve">, </w:t>
      </w:r>
      <w:r w:rsidRPr="005A29E6">
        <w:rPr>
          <w:rFonts w:ascii="Times New Roman" w:hAnsi="Times New Roman" w:cs="Times New Roman"/>
          <w:i/>
          <w:sz w:val="24"/>
          <w:szCs w:val="24"/>
          <w:vertAlign w:val="baseline"/>
        </w:rPr>
        <w:t xml:space="preserve">What’s Wrong With Liberalism? A Radical Critique of Liberal Philosophy </w:t>
      </w:r>
      <w:r>
        <w:rPr>
          <w:rFonts w:ascii="Times New Roman" w:hAnsi="Times New Roman" w:cs="Times New Roman"/>
          <w:sz w:val="24"/>
          <w:szCs w:val="24"/>
          <w:vertAlign w:val="baseline"/>
        </w:rPr>
        <w:t>(Continuum 2004)</w:t>
      </w:r>
    </w:p>
    <w:p w14:paraId="4F1FC1B6" w14:textId="77777777" w:rsidR="003E2C58" w:rsidRDefault="003E2C58" w:rsidP="003E2C58">
      <w:pPr>
        <w:rPr>
          <w:rFonts w:ascii="Times New Roman" w:hAnsi="Times New Roman" w:cs="Times New Roman"/>
          <w:sz w:val="24"/>
          <w:szCs w:val="24"/>
          <w:vertAlign w:val="baseline"/>
        </w:rPr>
      </w:pPr>
    </w:p>
    <w:p w14:paraId="617A0147" w14:textId="77777777" w:rsidR="000330D4" w:rsidRDefault="000330D4" w:rsidP="000330D4">
      <w:pPr>
        <w:rPr>
          <w:rFonts w:ascii="Times New Roman" w:hAnsi="Times New Roman" w:cs="Times New Roman"/>
          <w:b/>
          <w:sz w:val="24"/>
          <w:szCs w:val="24"/>
          <w:vertAlign w:val="baseline"/>
        </w:rPr>
      </w:pPr>
      <w:r w:rsidRPr="00672137">
        <w:rPr>
          <w:rFonts w:ascii="Times New Roman" w:hAnsi="Times New Roman" w:cs="Times New Roman"/>
          <w:sz w:val="24"/>
          <w:szCs w:val="24"/>
          <w:vertAlign w:val="baseline"/>
        </w:rPr>
        <w:t>Rao</w:t>
      </w:r>
      <w:r>
        <w:rPr>
          <w:rFonts w:ascii="Times New Roman" w:hAnsi="Times New Roman" w:cs="Times New Roman"/>
          <w:sz w:val="24"/>
          <w:szCs w:val="24"/>
          <w:vertAlign w:val="baseline"/>
        </w:rPr>
        <w:t xml:space="preserve"> K</w:t>
      </w:r>
      <w:r w:rsidRPr="00672137">
        <w:rPr>
          <w:rFonts w:ascii="Times New Roman" w:hAnsi="Times New Roman" w:cs="Times New Roman"/>
          <w:sz w:val="24"/>
          <w:szCs w:val="24"/>
          <w:vertAlign w:val="baseline"/>
        </w:rPr>
        <w:t xml:space="preserve">, ‘Every woman in India is likely to have experienced some sexual harassment’ </w:t>
      </w:r>
      <w:r w:rsidRPr="000C3034">
        <w:rPr>
          <w:rFonts w:ascii="Times New Roman" w:hAnsi="Times New Roman" w:cs="Times New Roman"/>
          <w:i/>
          <w:sz w:val="24"/>
          <w:szCs w:val="24"/>
          <w:vertAlign w:val="baseline"/>
        </w:rPr>
        <w:t>The Independent</w:t>
      </w:r>
      <w:r w:rsidRPr="00672137">
        <w:rPr>
          <w:rFonts w:ascii="Times New Roman" w:hAnsi="Times New Roman" w:cs="Times New Roman"/>
          <w:sz w:val="24"/>
          <w:szCs w:val="24"/>
          <w:vertAlign w:val="baseline"/>
        </w:rPr>
        <w:t xml:space="preserve"> (India, 31 December 2012)</w:t>
      </w:r>
    </w:p>
    <w:p w14:paraId="4359A775" w14:textId="77777777" w:rsidR="000330D4" w:rsidRDefault="000330D4" w:rsidP="00300427">
      <w:pPr>
        <w:rPr>
          <w:rFonts w:ascii="Times New Roman" w:hAnsi="Times New Roman" w:cs="Times New Roman"/>
          <w:sz w:val="24"/>
          <w:szCs w:val="24"/>
          <w:vertAlign w:val="baseline"/>
        </w:rPr>
      </w:pPr>
    </w:p>
    <w:p w14:paraId="0D2BA1EB" w14:textId="77777777" w:rsidR="00300427" w:rsidRDefault="00300427" w:rsidP="00300427">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Ras-Work</w:t>
      </w:r>
      <w:r>
        <w:rPr>
          <w:rFonts w:ascii="Times New Roman" w:hAnsi="Times New Roman" w:cs="Times New Roman"/>
          <w:sz w:val="24"/>
          <w:szCs w:val="24"/>
          <w:vertAlign w:val="baseline"/>
        </w:rPr>
        <w:t xml:space="preserve"> B</w:t>
      </w:r>
      <w:r w:rsidRPr="00672137">
        <w:rPr>
          <w:rFonts w:ascii="Times New Roman" w:hAnsi="Times New Roman" w:cs="Times New Roman"/>
          <w:sz w:val="24"/>
          <w:szCs w:val="24"/>
          <w:vertAlign w:val="baseline"/>
        </w:rPr>
        <w:t>, ‘Legislation to Address the Issue of Female Genital Mutilation’ (United Nations Division for the Advancement of Women, 21 M</w:t>
      </w:r>
      <w:r>
        <w:rPr>
          <w:rFonts w:ascii="Times New Roman" w:hAnsi="Times New Roman" w:cs="Times New Roman"/>
          <w:sz w:val="24"/>
          <w:szCs w:val="24"/>
          <w:vertAlign w:val="baseline"/>
        </w:rPr>
        <w:t>ay 2009) EGM/GPLHP/2009/EP.01</w:t>
      </w:r>
    </w:p>
    <w:p w14:paraId="5B6D5A3C" w14:textId="77777777" w:rsidR="00300427" w:rsidRDefault="00300427" w:rsidP="003E2C58">
      <w:pPr>
        <w:rPr>
          <w:rFonts w:ascii="Times New Roman" w:hAnsi="Times New Roman" w:cs="Times New Roman"/>
          <w:sz w:val="24"/>
          <w:szCs w:val="24"/>
          <w:vertAlign w:val="baseline"/>
        </w:rPr>
      </w:pPr>
    </w:p>
    <w:p w14:paraId="10574D25"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Raza</w:t>
      </w:r>
      <w:r>
        <w:rPr>
          <w:rFonts w:ascii="Times New Roman" w:hAnsi="Times New Roman" w:cs="Times New Roman"/>
          <w:sz w:val="24"/>
          <w:szCs w:val="24"/>
          <w:vertAlign w:val="baseline"/>
        </w:rPr>
        <w:t xml:space="preserve"> A</w:t>
      </w:r>
      <w:r w:rsidRPr="00672137">
        <w:rPr>
          <w:rFonts w:ascii="Times New Roman" w:hAnsi="Times New Roman" w:cs="Times New Roman"/>
          <w:sz w:val="24"/>
          <w:szCs w:val="24"/>
          <w:vertAlign w:val="baseline"/>
        </w:rPr>
        <w:t>, ‘Witch Hunting in Jharkhand…A curse on society’ (Access to Justice, 9 March 2011) &lt;</w:t>
      </w:r>
      <w:hyperlink r:id="rId128" w:history="1">
        <w:r w:rsidRPr="008C10BA">
          <w:rPr>
            <w:rStyle w:val="Hyperlink"/>
            <w:rFonts w:ascii="Times New Roman" w:hAnsi="Times New Roman" w:cs="Times New Roman"/>
            <w:sz w:val="24"/>
            <w:szCs w:val="24"/>
            <w:vertAlign w:val="baseline"/>
          </w:rPr>
          <w:t>http://razahmed2003.blog.com/2011/03/09/witch-hunting-in-jharkhand-a-curse-on-the-society/&gt;</w:t>
        </w:r>
      </w:hyperlink>
      <w:r w:rsidRPr="00672137">
        <w:rPr>
          <w:rFonts w:ascii="Times New Roman" w:hAnsi="Times New Roman" w:cs="Times New Roman"/>
          <w:sz w:val="24"/>
          <w:szCs w:val="24"/>
          <w:vertAlign w:val="baseline"/>
        </w:rPr>
        <w:t xml:space="preserve"> accessed 25 August 2015</w:t>
      </w:r>
    </w:p>
    <w:p w14:paraId="003738BF" w14:textId="77777777" w:rsidR="003E2C58" w:rsidRDefault="003E2C58" w:rsidP="003E2C58">
      <w:pPr>
        <w:rPr>
          <w:rFonts w:ascii="Times New Roman" w:hAnsi="Times New Roman" w:cs="Times New Roman"/>
          <w:sz w:val="24"/>
          <w:szCs w:val="24"/>
          <w:vertAlign w:val="baseline"/>
        </w:rPr>
      </w:pPr>
    </w:p>
    <w:p w14:paraId="6188A29E"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Richardson</w:t>
      </w:r>
      <w:r>
        <w:rPr>
          <w:rFonts w:ascii="Times New Roman" w:hAnsi="Times New Roman" w:cs="Times New Roman"/>
          <w:sz w:val="24"/>
          <w:szCs w:val="24"/>
          <w:vertAlign w:val="baseline"/>
        </w:rPr>
        <w:t xml:space="preserve"> JT</w:t>
      </w:r>
      <w:r w:rsidRPr="00672137">
        <w:rPr>
          <w:rFonts w:ascii="Times New Roman" w:hAnsi="Times New Roman" w:cs="Times New Roman"/>
          <w:sz w:val="24"/>
          <w:szCs w:val="24"/>
          <w:vertAlign w:val="baseline"/>
        </w:rPr>
        <w:t>, ‘The Social Construction of Legal Pluralism’ (2011) 7(4) Democracy and Security 396</w:t>
      </w:r>
    </w:p>
    <w:p w14:paraId="4BE0ED8B" w14:textId="6E8B9F94" w:rsidR="000A6F32" w:rsidRPr="000A6F32" w:rsidRDefault="000A6F32" w:rsidP="003E2C58">
      <w:pPr>
        <w:rPr>
          <w:rFonts w:ascii="Times New Roman" w:hAnsi="Times New Roman" w:cs="Times New Roman"/>
          <w:sz w:val="24"/>
          <w:szCs w:val="24"/>
          <w:vertAlign w:val="baseline"/>
        </w:rPr>
      </w:pPr>
      <w:r w:rsidRPr="000A6F32">
        <w:rPr>
          <w:rFonts w:ascii="Times New Roman" w:hAnsi="Times New Roman" w:cs="Times New Roman"/>
          <w:sz w:val="24"/>
          <w:szCs w:val="24"/>
          <w:vertAlign w:val="baseline"/>
        </w:rPr>
        <w:t>‘Richest Pastors in Africa 2015’</w:t>
      </w:r>
      <w:r w:rsidRPr="000A6F32">
        <w:rPr>
          <w:rFonts w:ascii="Times New Roman" w:hAnsi="Times New Roman" w:cs="Times New Roman"/>
          <w:sz w:val="24"/>
          <w:szCs w:val="24"/>
        </w:rPr>
        <w:t xml:space="preserve"> </w:t>
      </w:r>
      <w:r w:rsidRPr="000A6F32">
        <w:rPr>
          <w:rFonts w:ascii="Times New Roman" w:hAnsi="Times New Roman" w:cs="Times New Roman"/>
          <w:sz w:val="24"/>
          <w:szCs w:val="24"/>
          <w:vertAlign w:val="baseline"/>
        </w:rPr>
        <w:t>(Africa Ranking 2015) &lt;</w:t>
      </w:r>
      <w:hyperlink r:id="rId129" w:history="1">
        <w:r w:rsidRPr="000A6F32">
          <w:rPr>
            <w:rStyle w:val="Hyperlink"/>
            <w:rFonts w:ascii="Times New Roman" w:hAnsi="Times New Roman" w:cs="Times New Roman"/>
            <w:sz w:val="24"/>
            <w:szCs w:val="24"/>
            <w:vertAlign w:val="baseline"/>
          </w:rPr>
          <w:t>http://www.africaranking.com/richest-pastors-in-africa/</w:t>
        </w:r>
      </w:hyperlink>
      <w:r w:rsidRPr="000A6F32">
        <w:rPr>
          <w:rFonts w:ascii="Times New Roman" w:hAnsi="Times New Roman" w:cs="Times New Roman"/>
          <w:sz w:val="24"/>
          <w:szCs w:val="24"/>
          <w:vertAlign w:val="baseline"/>
        </w:rPr>
        <w:t>&gt; accessed 7 April 2016</w:t>
      </w:r>
    </w:p>
    <w:p w14:paraId="0F05DA12" w14:textId="77777777" w:rsidR="000A6F32" w:rsidRDefault="000A6F32" w:rsidP="003E2C58">
      <w:pPr>
        <w:rPr>
          <w:rFonts w:ascii="Times New Roman" w:hAnsi="Times New Roman" w:cs="Times New Roman"/>
          <w:sz w:val="24"/>
          <w:szCs w:val="24"/>
          <w:vertAlign w:val="baseline"/>
        </w:rPr>
      </w:pPr>
    </w:p>
    <w:p w14:paraId="39E96BCF"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Ritzer</w:t>
      </w:r>
      <w:r>
        <w:rPr>
          <w:rFonts w:ascii="Times New Roman" w:hAnsi="Times New Roman" w:cs="Times New Roman"/>
          <w:sz w:val="24"/>
          <w:szCs w:val="24"/>
          <w:vertAlign w:val="baseline"/>
        </w:rPr>
        <w:t xml:space="preserve"> G</w:t>
      </w:r>
      <w:r w:rsidRPr="00672137">
        <w:rPr>
          <w:rFonts w:ascii="Times New Roman" w:hAnsi="Times New Roman" w:cs="Times New Roman"/>
          <w:sz w:val="24"/>
          <w:szCs w:val="24"/>
          <w:vertAlign w:val="baseline"/>
        </w:rPr>
        <w:t xml:space="preserve">, </w:t>
      </w:r>
      <w:r w:rsidRPr="00A93D33">
        <w:rPr>
          <w:rFonts w:ascii="Times New Roman" w:hAnsi="Times New Roman" w:cs="Times New Roman"/>
          <w:i/>
          <w:sz w:val="24"/>
          <w:szCs w:val="24"/>
          <w:vertAlign w:val="baseline"/>
        </w:rPr>
        <w:t>Encyclopaedia of Social Theory</w:t>
      </w:r>
      <w:r>
        <w:rPr>
          <w:rFonts w:ascii="Times New Roman" w:hAnsi="Times New Roman" w:cs="Times New Roman"/>
          <w:sz w:val="24"/>
          <w:szCs w:val="24"/>
          <w:vertAlign w:val="baseline"/>
        </w:rPr>
        <w:t xml:space="preserve"> (Sage 2005)</w:t>
      </w:r>
    </w:p>
    <w:p w14:paraId="4AD9AAC8" w14:textId="77777777" w:rsidR="003E2C58" w:rsidRDefault="003E2C58" w:rsidP="003E2C58">
      <w:pPr>
        <w:rPr>
          <w:rFonts w:ascii="Times New Roman" w:hAnsi="Times New Roman" w:cs="Times New Roman"/>
          <w:sz w:val="24"/>
          <w:szCs w:val="24"/>
          <w:vertAlign w:val="baseline"/>
        </w:rPr>
      </w:pPr>
    </w:p>
    <w:p w14:paraId="1B79988B"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Rodgers</w:t>
      </w:r>
      <w:r>
        <w:rPr>
          <w:rFonts w:ascii="Times New Roman" w:hAnsi="Times New Roman" w:cs="Times New Roman"/>
          <w:sz w:val="24"/>
          <w:szCs w:val="24"/>
          <w:vertAlign w:val="baseline"/>
        </w:rPr>
        <w:t xml:space="preserve"> M, ‘Liberal Feminism’, in </w:t>
      </w:r>
      <w:r w:rsidRPr="00672137">
        <w:rPr>
          <w:rFonts w:ascii="Times New Roman" w:hAnsi="Times New Roman" w:cs="Times New Roman"/>
          <w:sz w:val="24"/>
          <w:szCs w:val="24"/>
          <w:vertAlign w:val="baseline"/>
        </w:rPr>
        <w:t>Ritzer</w:t>
      </w:r>
      <w:r>
        <w:rPr>
          <w:rFonts w:ascii="Times New Roman" w:hAnsi="Times New Roman" w:cs="Times New Roman"/>
          <w:sz w:val="24"/>
          <w:szCs w:val="24"/>
          <w:vertAlign w:val="baseline"/>
        </w:rPr>
        <w:t xml:space="preserve"> G</w:t>
      </w:r>
      <w:r w:rsidRPr="00672137">
        <w:rPr>
          <w:rFonts w:ascii="Times New Roman" w:hAnsi="Times New Roman" w:cs="Times New Roman"/>
          <w:sz w:val="24"/>
          <w:szCs w:val="24"/>
          <w:vertAlign w:val="baseline"/>
        </w:rPr>
        <w:t xml:space="preserve">, </w:t>
      </w:r>
      <w:r w:rsidRPr="00A93D33">
        <w:rPr>
          <w:rFonts w:ascii="Times New Roman" w:hAnsi="Times New Roman" w:cs="Times New Roman"/>
          <w:i/>
          <w:sz w:val="24"/>
          <w:szCs w:val="24"/>
          <w:vertAlign w:val="baseline"/>
        </w:rPr>
        <w:t>Encyclopaedia of Social Theory</w:t>
      </w:r>
      <w:r>
        <w:rPr>
          <w:rFonts w:ascii="Times New Roman" w:hAnsi="Times New Roman" w:cs="Times New Roman"/>
          <w:sz w:val="24"/>
          <w:szCs w:val="24"/>
          <w:vertAlign w:val="baseline"/>
        </w:rPr>
        <w:t xml:space="preserve"> (Sage 2005)</w:t>
      </w:r>
    </w:p>
    <w:p w14:paraId="57CA9FCF" w14:textId="77777777" w:rsidR="00D900A8" w:rsidRDefault="00D900A8" w:rsidP="00A60240">
      <w:pPr>
        <w:rPr>
          <w:rFonts w:ascii="Times New Roman" w:hAnsi="Times New Roman" w:cs="Times New Roman"/>
          <w:sz w:val="24"/>
          <w:szCs w:val="24"/>
          <w:vertAlign w:val="baseline"/>
        </w:rPr>
      </w:pPr>
    </w:p>
    <w:p w14:paraId="5E2F971B" w14:textId="77777777" w:rsidR="00A60240" w:rsidRDefault="00A60240" w:rsidP="00A60240">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Rosenbaum</w:t>
      </w:r>
      <w:r>
        <w:rPr>
          <w:rFonts w:ascii="Times New Roman" w:hAnsi="Times New Roman" w:cs="Times New Roman"/>
          <w:sz w:val="24"/>
          <w:szCs w:val="24"/>
          <w:vertAlign w:val="baseline"/>
        </w:rPr>
        <w:t xml:space="preserve"> A</w:t>
      </w:r>
      <w:r w:rsidRPr="00672137">
        <w:rPr>
          <w:rFonts w:ascii="Times New Roman" w:hAnsi="Times New Roman" w:cs="Times New Roman"/>
          <w:sz w:val="24"/>
          <w:szCs w:val="24"/>
          <w:vertAlign w:val="baseline"/>
        </w:rPr>
        <w:t xml:space="preserve">, ‘Women of Papua New Guinea’s Village Courts’ </w:t>
      </w:r>
      <w:r w:rsidRPr="00CD61D7">
        <w:rPr>
          <w:rFonts w:ascii="Times New Roman" w:hAnsi="Times New Roman" w:cs="Times New Roman"/>
          <w:i/>
          <w:sz w:val="24"/>
          <w:szCs w:val="24"/>
          <w:vertAlign w:val="baseline"/>
        </w:rPr>
        <w:t>The Monthly</w:t>
      </w:r>
      <w:r w:rsidRPr="00672137">
        <w:rPr>
          <w:rFonts w:ascii="Times New Roman" w:hAnsi="Times New Roman" w:cs="Times New Roman"/>
          <w:sz w:val="24"/>
          <w:szCs w:val="24"/>
          <w:vertAlign w:val="baseline"/>
        </w:rPr>
        <w:t xml:space="preserve"> (Melbourne, August 2014) &lt;</w:t>
      </w:r>
      <w:hyperlink r:id="rId130" w:history="1">
        <w:r w:rsidRPr="00CD61D7">
          <w:rPr>
            <w:rStyle w:val="Hyperlink"/>
            <w:rFonts w:ascii="Times New Roman" w:hAnsi="Times New Roman" w:cs="Times New Roman"/>
            <w:sz w:val="24"/>
            <w:szCs w:val="24"/>
            <w:vertAlign w:val="baseline"/>
          </w:rPr>
          <w:t>https://www.themonthly.com.au/issue/2014/august/1406815200/alana-rosenbaum/women-papua-new-guinea%E2%80%99s-village-courts&gt;</w:t>
        </w:r>
      </w:hyperlink>
      <w:r w:rsidRPr="00672137">
        <w:rPr>
          <w:rFonts w:ascii="Times New Roman" w:hAnsi="Times New Roman" w:cs="Times New Roman"/>
          <w:sz w:val="24"/>
          <w:szCs w:val="24"/>
          <w:vertAlign w:val="baseline"/>
        </w:rPr>
        <w:t xml:space="preserve"> accessed 2 September 2015</w:t>
      </w:r>
    </w:p>
    <w:p w14:paraId="303AE352" w14:textId="77777777" w:rsidR="00A60240" w:rsidRDefault="00A60240" w:rsidP="003E2C58">
      <w:pPr>
        <w:rPr>
          <w:rFonts w:ascii="Times New Roman" w:hAnsi="Times New Roman" w:cs="Times New Roman"/>
          <w:sz w:val="24"/>
          <w:szCs w:val="24"/>
          <w:vertAlign w:val="baseline"/>
        </w:rPr>
      </w:pPr>
    </w:p>
    <w:p w14:paraId="1361A86A" w14:textId="19674F7A" w:rsidR="00D900A8" w:rsidRDefault="00D900A8" w:rsidP="003E2C58">
      <w:pPr>
        <w:rPr>
          <w:rFonts w:ascii="Times New Roman" w:hAnsi="Times New Roman" w:cs="Times New Roman"/>
          <w:sz w:val="24"/>
          <w:szCs w:val="24"/>
          <w:vertAlign w:val="baseline"/>
        </w:rPr>
      </w:pPr>
      <w:r w:rsidRPr="00F97F26">
        <w:rPr>
          <w:rFonts w:ascii="Times New Roman" w:hAnsi="Times New Roman" w:cs="Times New Roman"/>
          <w:sz w:val="24"/>
          <w:szCs w:val="24"/>
          <w:vertAlign w:val="baseline"/>
        </w:rPr>
        <w:t>Russell</w:t>
      </w:r>
      <w:r>
        <w:rPr>
          <w:rFonts w:ascii="Times New Roman" w:hAnsi="Times New Roman" w:cs="Times New Roman"/>
          <w:sz w:val="24"/>
          <w:szCs w:val="24"/>
          <w:vertAlign w:val="baseline"/>
        </w:rPr>
        <w:t xml:space="preserve"> B</w:t>
      </w:r>
      <w:r w:rsidRPr="00F97F26">
        <w:rPr>
          <w:rFonts w:ascii="Times New Roman" w:hAnsi="Times New Roman" w:cs="Times New Roman"/>
          <w:sz w:val="24"/>
          <w:szCs w:val="24"/>
          <w:vertAlign w:val="baseline"/>
        </w:rPr>
        <w:t xml:space="preserve">, </w:t>
      </w:r>
      <w:r w:rsidRPr="00F97F26">
        <w:rPr>
          <w:rFonts w:ascii="Times New Roman" w:hAnsi="Times New Roman" w:cs="Times New Roman"/>
          <w:i/>
          <w:sz w:val="24"/>
          <w:szCs w:val="24"/>
          <w:vertAlign w:val="baseline"/>
        </w:rPr>
        <w:t>Unpopular Essays</w:t>
      </w:r>
      <w:r w:rsidRPr="00F97F26">
        <w:rPr>
          <w:rFonts w:ascii="Times New Roman" w:hAnsi="Times New Roman" w:cs="Times New Roman"/>
          <w:sz w:val="24"/>
          <w:szCs w:val="24"/>
          <w:vertAlign w:val="baseline"/>
        </w:rPr>
        <w:t xml:space="preserve"> (first published 1951, Routledge 2009)</w:t>
      </w:r>
    </w:p>
    <w:p w14:paraId="5A67C9BA" w14:textId="77777777" w:rsidR="00D900A8" w:rsidRDefault="00D900A8" w:rsidP="003E2C58">
      <w:pPr>
        <w:rPr>
          <w:rFonts w:ascii="Times New Roman" w:hAnsi="Times New Roman" w:cs="Times New Roman"/>
          <w:sz w:val="24"/>
          <w:szCs w:val="24"/>
          <w:vertAlign w:val="baseline"/>
        </w:rPr>
      </w:pPr>
    </w:p>
    <w:p w14:paraId="33873DB0"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Sachikonye</w:t>
      </w:r>
      <w:r>
        <w:rPr>
          <w:rFonts w:ascii="Times New Roman" w:hAnsi="Times New Roman" w:cs="Times New Roman"/>
          <w:sz w:val="24"/>
          <w:szCs w:val="24"/>
          <w:vertAlign w:val="baseline"/>
        </w:rPr>
        <w:t xml:space="preserve"> T</w:t>
      </w:r>
      <w:r w:rsidRPr="00672137">
        <w:rPr>
          <w:rFonts w:ascii="Times New Roman" w:hAnsi="Times New Roman" w:cs="Times New Roman"/>
          <w:sz w:val="24"/>
          <w:szCs w:val="24"/>
          <w:vertAlign w:val="baseline"/>
        </w:rPr>
        <w:t>, ‘The African Feminist Debate: A Brief Overview’ (Consult</w:t>
      </w:r>
      <w:r>
        <w:rPr>
          <w:rFonts w:ascii="Times New Roman" w:hAnsi="Times New Roman" w:cs="Times New Roman"/>
          <w:sz w:val="24"/>
          <w:szCs w:val="24"/>
          <w:vertAlign w:val="baseline"/>
        </w:rPr>
        <w:t xml:space="preserve">ancy Africa Intelligence, 2015) </w:t>
      </w:r>
      <w:r w:rsidRPr="00672137">
        <w:rPr>
          <w:rFonts w:ascii="Times New Roman" w:hAnsi="Times New Roman" w:cs="Times New Roman"/>
          <w:sz w:val="24"/>
          <w:szCs w:val="24"/>
          <w:vertAlign w:val="baseline"/>
        </w:rPr>
        <w:t>&lt;</w:t>
      </w:r>
      <w:hyperlink r:id="rId131" w:history="1">
        <w:r w:rsidRPr="008C399B">
          <w:rPr>
            <w:rStyle w:val="Hyperlink"/>
            <w:rFonts w:ascii="Times New Roman" w:hAnsi="Times New Roman" w:cs="Times New Roman"/>
            <w:sz w:val="24"/>
            <w:szCs w:val="24"/>
            <w:vertAlign w:val="baseline"/>
          </w:rPr>
          <w:t>http://www.consultancyafrica.com/index.php?option=com_content&amp;view=article&amp;id=318&amp;Itemid=216&gt;</w:t>
        </w:r>
      </w:hyperlink>
      <w:r w:rsidRPr="00672137">
        <w:rPr>
          <w:rFonts w:ascii="Times New Roman" w:hAnsi="Times New Roman" w:cs="Times New Roman"/>
          <w:sz w:val="24"/>
          <w:szCs w:val="24"/>
          <w:vertAlign w:val="baseline"/>
        </w:rPr>
        <w:t xml:space="preserve"> accessed 8 September 2015</w:t>
      </w:r>
    </w:p>
    <w:p w14:paraId="66564507" w14:textId="77777777" w:rsidR="003E2C58" w:rsidRDefault="003E2C58" w:rsidP="003E2C58">
      <w:pPr>
        <w:rPr>
          <w:rFonts w:ascii="Times New Roman" w:hAnsi="Times New Roman" w:cs="Times New Roman"/>
          <w:sz w:val="24"/>
          <w:szCs w:val="24"/>
          <w:vertAlign w:val="baseline"/>
        </w:rPr>
      </w:pPr>
    </w:p>
    <w:p w14:paraId="16A3114F"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Saksena</w:t>
      </w:r>
      <w:r>
        <w:rPr>
          <w:rFonts w:ascii="Times New Roman" w:hAnsi="Times New Roman" w:cs="Times New Roman"/>
          <w:sz w:val="24"/>
          <w:szCs w:val="24"/>
          <w:vertAlign w:val="baseline"/>
        </w:rPr>
        <w:t xml:space="preserve"> A</w:t>
      </w:r>
      <w:r w:rsidRPr="00672137">
        <w:rPr>
          <w:rFonts w:ascii="Times New Roman" w:hAnsi="Times New Roman" w:cs="Times New Roman"/>
          <w:sz w:val="24"/>
          <w:szCs w:val="24"/>
          <w:vertAlign w:val="baseline"/>
        </w:rPr>
        <w:t>, ‘CEDAW: Mandate for Substantive Equali</w:t>
      </w:r>
      <w:r>
        <w:rPr>
          <w:rFonts w:ascii="Times New Roman" w:hAnsi="Times New Roman" w:cs="Times New Roman"/>
          <w:sz w:val="24"/>
          <w:szCs w:val="24"/>
          <w:vertAlign w:val="baseline"/>
        </w:rPr>
        <w:t xml:space="preserve">ty’ (2007) 14(3) Indian J </w:t>
      </w:r>
      <w:r w:rsidRPr="00672137">
        <w:rPr>
          <w:rFonts w:ascii="Times New Roman" w:hAnsi="Times New Roman" w:cs="Times New Roman"/>
          <w:sz w:val="24"/>
          <w:szCs w:val="24"/>
          <w:vertAlign w:val="baseline"/>
        </w:rPr>
        <w:t>Gender Studies 483</w:t>
      </w:r>
    </w:p>
    <w:p w14:paraId="08DBCF88" w14:textId="77777777" w:rsidR="003E2C58" w:rsidRDefault="003E2C58" w:rsidP="003E2C58">
      <w:pPr>
        <w:rPr>
          <w:rFonts w:ascii="Times New Roman" w:hAnsi="Times New Roman" w:cs="Times New Roman"/>
          <w:sz w:val="24"/>
          <w:szCs w:val="24"/>
          <w:vertAlign w:val="baseline"/>
        </w:rPr>
      </w:pPr>
    </w:p>
    <w:p w14:paraId="4A529FDD" w14:textId="77777777" w:rsidR="007C16B0" w:rsidRDefault="007C16B0" w:rsidP="007C16B0">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Sarei</w:t>
      </w:r>
      <w:r>
        <w:rPr>
          <w:rFonts w:ascii="Times New Roman" w:hAnsi="Times New Roman" w:cs="Times New Roman"/>
          <w:sz w:val="24"/>
          <w:szCs w:val="24"/>
          <w:vertAlign w:val="baseline"/>
        </w:rPr>
        <w:t xml:space="preserve"> N</w:t>
      </w:r>
      <w:r w:rsidRPr="00672137">
        <w:rPr>
          <w:rFonts w:ascii="Times New Roman" w:hAnsi="Times New Roman" w:cs="Times New Roman"/>
          <w:sz w:val="24"/>
          <w:szCs w:val="24"/>
          <w:vertAlign w:val="baseline"/>
        </w:rPr>
        <w:t>, ‘Country Report: Papua New Guin</w:t>
      </w:r>
      <w:r>
        <w:rPr>
          <w:rFonts w:ascii="Times New Roman" w:hAnsi="Times New Roman" w:cs="Times New Roman"/>
          <w:sz w:val="24"/>
          <w:szCs w:val="24"/>
          <w:vertAlign w:val="baseline"/>
        </w:rPr>
        <w:t>ea’ Resource Material Series</w:t>
      </w:r>
      <w:r w:rsidRPr="00672137">
        <w:rPr>
          <w:rFonts w:ascii="Times New Roman" w:hAnsi="Times New Roman" w:cs="Times New Roman"/>
          <w:sz w:val="24"/>
          <w:szCs w:val="24"/>
          <w:vertAlign w:val="baseline"/>
        </w:rPr>
        <w:t xml:space="preserve"> 63 (2003) &lt;</w:t>
      </w:r>
      <w:hyperlink r:id="rId132" w:history="1">
        <w:r w:rsidRPr="00D63D09">
          <w:rPr>
            <w:rStyle w:val="Hyperlink"/>
            <w:rFonts w:ascii="Times New Roman" w:hAnsi="Times New Roman" w:cs="Times New Roman"/>
            <w:sz w:val="24"/>
            <w:szCs w:val="24"/>
            <w:vertAlign w:val="baseline"/>
          </w:rPr>
          <w:t>http://www.unafei.or.jp/english/pdf/RS_No63/No63_20PA_Sarei.pdf&gt;</w:t>
        </w:r>
      </w:hyperlink>
      <w:r w:rsidRPr="00672137">
        <w:rPr>
          <w:rFonts w:ascii="Times New Roman" w:hAnsi="Times New Roman" w:cs="Times New Roman"/>
          <w:sz w:val="24"/>
          <w:szCs w:val="24"/>
          <w:vertAlign w:val="baseline"/>
        </w:rPr>
        <w:t xml:space="preserve"> accessed 13 October 2015</w:t>
      </w:r>
    </w:p>
    <w:p w14:paraId="00DA1B36" w14:textId="77777777" w:rsidR="007C16B0" w:rsidRDefault="007C16B0" w:rsidP="003E2C58">
      <w:pPr>
        <w:rPr>
          <w:rFonts w:ascii="Times New Roman" w:hAnsi="Times New Roman" w:cs="Times New Roman"/>
          <w:sz w:val="24"/>
          <w:szCs w:val="24"/>
          <w:vertAlign w:val="baseline"/>
        </w:rPr>
      </w:pPr>
    </w:p>
    <w:p w14:paraId="73B540FC"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Schopp-Schilling</w:t>
      </w:r>
      <w:r>
        <w:rPr>
          <w:rFonts w:ascii="Times New Roman" w:hAnsi="Times New Roman" w:cs="Times New Roman"/>
          <w:sz w:val="24"/>
          <w:szCs w:val="24"/>
          <w:vertAlign w:val="baseline"/>
        </w:rPr>
        <w:t xml:space="preserve"> HB</w:t>
      </w:r>
      <w:r w:rsidRPr="00672137">
        <w:rPr>
          <w:rFonts w:ascii="Times New Roman" w:hAnsi="Times New Roman" w:cs="Times New Roman"/>
          <w:sz w:val="24"/>
          <w:szCs w:val="24"/>
          <w:vertAlign w:val="baseline"/>
        </w:rPr>
        <w:t xml:space="preserve">, ‘Treaty body of reform: the case of the Committee on the Elimination of Discrimination against Women,’ (2007) 7(1) </w:t>
      </w:r>
      <w:r>
        <w:rPr>
          <w:rFonts w:ascii="Times New Roman" w:hAnsi="Times New Roman" w:cs="Times New Roman"/>
          <w:sz w:val="24"/>
          <w:szCs w:val="24"/>
          <w:vertAlign w:val="baseline"/>
        </w:rPr>
        <w:t xml:space="preserve">HRLR </w:t>
      </w:r>
      <w:r w:rsidRPr="00672137">
        <w:rPr>
          <w:rFonts w:ascii="Times New Roman" w:hAnsi="Times New Roman" w:cs="Times New Roman"/>
          <w:sz w:val="24"/>
          <w:szCs w:val="24"/>
          <w:vertAlign w:val="baseline"/>
        </w:rPr>
        <w:t>213</w:t>
      </w:r>
    </w:p>
    <w:p w14:paraId="0B8B06AD" w14:textId="77777777" w:rsidR="003E2C58" w:rsidRDefault="003E2C58" w:rsidP="003E2C58">
      <w:pPr>
        <w:rPr>
          <w:rFonts w:ascii="Times New Roman" w:hAnsi="Times New Roman" w:cs="Times New Roman"/>
          <w:sz w:val="24"/>
          <w:szCs w:val="24"/>
          <w:vertAlign w:val="baseline"/>
        </w:rPr>
      </w:pPr>
    </w:p>
    <w:p w14:paraId="6F8BC987"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Schwartzman</w:t>
      </w:r>
      <w:r>
        <w:rPr>
          <w:rFonts w:ascii="Times New Roman" w:hAnsi="Times New Roman" w:cs="Times New Roman"/>
          <w:sz w:val="24"/>
          <w:szCs w:val="24"/>
          <w:vertAlign w:val="baseline"/>
        </w:rPr>
        <w:t xml:space="preserve"> LH</w:t>
      </w:r>
      <w:r w:rsidRPr="00672137">
        <w:rPr>
          <w:rFonts w:ascii="Times New Roman" w:hAnsi="Times New Roman" w:cs="Times New Roman"/>
          <w:sz w:val="24"/>
          <w:szCs w:val="24"/>
          <w:vertAlign w:val="baseline"/>
        </w:rPr>
        <w:t xml:space="preserve">, </w:t>
      </w:r>
      <w:r w:rsidRPr="00F55EBF">
        <w:rPr>
          <w:rFonts w:ascii="Times New Roman" w:hAnsi="Times New Roman" w:cs="Times New Roman"/>
          <w:i/>
          <w:sz w:val="24"/>
          <w:szCs w:val="24"/>
          <w:vertAlign w:val="baseline"/>
        </w:rPr>
        <w:t>Challenging Liberalism: Feminism as a Political Critique</w:t>
      </w:r>
      <w:r w:rsidRPr="00672137">
        <w:rPr>
          <w:rFonts w:ascii="Times New Roman" w:hAnsi="Times New Roman" w:cs="Times New Roman"/>
          <w:sz w:val="24"/>
          <w:szCs w:val="24"/>
          <w:vertAlign w:val="baseline"/>
        </w:rPr>
        <w:t xml:space="preserve"> (Pen</w:t>
      </w:r>
      <w:r>
        <w:rPr>
          <w:rFonts w:ascii="Times New Roman" w:hAnsi="Times New Roman" w:cs="Times New Roman"/>
          <w:sz w:val="24"/>
          <w:szCs w:val="24"/>
          <w:vertAlign w:val="baseline"/>
        </w:rPr>
        <w:t>nsylvania UP</w:t>
      </w:r>
      <w:r w:rsidRPr="00672137">
        <w:rPr>
          <w:rFonts w:ascii="Times New Roman" w:hAnsi="Times New Roman" w:cs="Times New Roman"/>
          <w:sz w:val="24"/>
          <w:szCs w:val="24"/>
          <w:vertAlign w:val="baseline"/>
        </w:rPr>
        <w:t xml:space="preserve"> 2007)</w:t>
      </w:r>
    </w:p>
    <w:p w14:paraId="60BF2019" w14:textId="77777777" w:rsidR="003E2C58" w:rsidRDefault="003E2C58" w:rsidP="003E2C58">
      <w:pPr>
        <w:rPr>
          <w:rFonts w:ascii="Times New Roman" w:hAnsi="Times New Roman" w:cs="Times New Roman"/>
          <w:sz w:val="24"/>
          <w:szCs w:val="24"/>
          <w:vertAlign w:val="baseline"/>
        </w:rPr>
      </w:pPr>
    </w:p>
    <w:p w14:paraId="1F3F5A31"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Seidmana</w:t>
      </w:r>
      <w:r>
        <w:rPr>
          <w:rFonts w:ascii="Times New Roman" w:hAnsi="Times New Roman" w:cs="Times New Roman"/>
          <w:sz w:val="24"/>
          <w:szCs w:val="24"/>
          <w:vertAlign w:val="baseline"/>
        </w:rPr>
        <w:t xml:space="preserve"> S</w:t>
      </w:r>
      <w:r w:rsidRPr="00672137">
        <w:rPr>
          <w:rFonts w:ascii="Times New Roman" w:hAnsi="Times New Roman" w:cs="Times New Roman"/>
          <w:sz w:val="24"/>
          <w:szCs w:val="24"/>
          <w:vertAlign w:val="baseline"/>
        </w:rPr>
        <w:t>, ‘Defilement and disgust: Theoriz</w:t>
      </w:r>
      <w:r>
        <w:rPr>
          <w:rFonts w:ascii="Times New Roman" w:hAnsi="Times New Roman" w:cs="Times New Roman"/>
          <w:sz w:val="24"/>
          <w:szCs w:val="24"/>
          <w:vertAlign w:val="baseline"/>
        </w:rPr>
        <w:t xml:space="preserve">ing the other’ (2005) 1 Amer J </w:t>
      </w:r>
      <w:r w:rsidRPr="00672137">
        <w:rPr>
          <w:rFonts w:ascii="Times New Roman" w:hAnsi="Times New Roman" w:cs="Times New Roman"/>
          <w:sz w:val="24"/>
          <w:szCs w:val="24"/>
          <w:vertAlign w:val="baseline"/>
        </w:rPr>
        <w:t>Cultural S</w:t>
      </w:r>
      <w:r>
        <w:rPr>
          <w:rFonts w:ascii="Times New Roman" w:hAnsi="Times New Roman" w:cs="Times New Roman"/>
          <w:sz w:val="24"/>
          <w:szCs w:val="24"/>
          <w:vertAlign w:val="baseline"/>
        </w:rPr>
        <w:t>ociology 3</w:t>
      </w:r>
    </w:p>
    <w:p w14:paraId="5C73CDFC" w14:textId="77777777" w:rsidR="003E2C58" w:rsidRDefault="003E2C58" w:rsidP="003E2C58">
      <w:pPr>
        <w:rPr>
          <w:rFonts w:ascii="Times New Roman" w:hAnsi="Times New Roman" w:cs="Times New Roman"/>
          <w:sz w:val="24"/>
          <w:szCs w:val="24"/>
          <w:vertAlign w:val="baseline"/>
        </w:rPr>
      </w:pPr>
    </w:p>
    <w:p w14:paraId="61B221A0"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Shachar</w:t>
      </w:r>
      <w:r>
        <w:rPr>
          <w:rFonts w:ascii="Times New Roman" w:hAnsi="Times New Roman" w:cs="Times New Roman"/>
          <w:sz w:val="24"/>
          <w:szCs w:val="24"/>
          <w:vertAlign w:val="baseline"/>
        </w:rPr>
        <w:t xml:space="preserve"> A</w:t>
      </w:r>
      <w:r w:rsidRPr="00672137">
        <w:rPr>
          <w:rFonts w:ascii="Times New Roman" w:hAnsi="Times New Roman" w:cs="Times New Roman"/>
          <w:sz w:val="24"/>
          <w:szCs w:val="24"/>
          <w:vertAlign w:val="baseline"/>
        </w:rPr>
        <w:t xml:space="preserve">, ‘Group Identity and Women’s Rights in Family Law: The Perils of Multicultural Accommodation’ (1998) 6 </w:t>
      </w:r>
      <w:r>
        <w:rPr>
          <w:rFonts w:ascii="Times New Roman" w:hAnsi="Times New Roman" w:cs="Times New Roman"/>
          <w:sz w:val="24"/>
          <w:szCs w:val="24"/>
          <w:vertAlign w:val="baseline"/>
        </w:rPr>
        <w:t xml:space="preserve">J Pol Phil </w:t>
      </w:r>
      <w:r w:rsidRPr="00672137">
        <w:rPr>
          <w:rFonts w:ascii="Times New Roman" w:hAnsi="Times New Roman" w:cs="Times New Roman"/>
          <w:sz w:val="24"/>
          <w:szCs w:val="24"/>
          <w:vertAlign w:val="baseline"/>
        </w:rPr>
        <w:t>289</w:t>
      </w:r>
    </w:p>
    <w:p w14:paraId="09C0D23E" w14:textId="77777777" w:rsidR="003E2C58" w:rsidRDefault="003E2C58" w:rsidP="003E2C58">
      <w:pPr>
        <w:rPr>
          <w:rFonts w:ascii="Times New Roman" w:hAnsi="Times New Roman" w:cs="Times New Roman"/>
          <w:sz w:val="24"/>
          <w:szCs w:val="24"/>
          <w:vertAlign w:val="baseline"/>
        </w:rPr>
      </w:pPr>
    </w:p>
    <w:p w14:paraId="454E4334"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Sharpe</w:t>
      </w:r>
      <w:r>
        <w:rPr>
          <w:rFonts w:ascii="Times New Roman" w:hAnsi="Times New Roman" w:cs="Times New Roman"/>
          <w:sz w:val="24"/>
          <w:szCs w:val="24"/>
          <w:vertAlign w:val="baseline"/>
        </w:rPr>
        <w:t xml:space="preserve"> JA</w:t>
      </w:r>
      <w:r w:rsidRPr="00672137">
        <w:rPr>
          <w:rFonts w:ascii="Times New Roman" w:hAnsi="Times New Roman" w:cs="Times New Roman"/>
          <w:sz w:val="24"/>
          <w:szCs w:val="24"/>
          <w:vertAlign w:val="baseline"/>
        </w:rPr>
        <w:t>, ‘Witchcraft and women in seventeenth century England: some Northern evidence’ in Levack</w:t>
      </w:r>
      <w:r>
        <w:rPr>
          <w:rFonts w:ascii="Times New Roman" w:hAnsi="Times New Roman" w:cs="Times New Roman"/>
          <w:sz w:val="24"/>
          <w:szCs w:val="24"/>
          <w:vertAlign w:val="baseline"/>
        </w:rPr>
        <w:t xml:space="preserve"> B</w:t>
      </w:r>
      <w:r w:rsidRPr="00672137">
        <w:rPr>
          <w:rFonts w:ascii="Times New Roman" w:hAnsi="Times New Roman" w:cs="Times New Roman"/>
          <w:sz w:val="24"/>
          <w:szCs w:val="24"/>
          <w:vertAlign w:val="baseline"/>
        </w:rPr>
        <w:t xml:space="preserve">, </w:t>
      </w:r>
      <w:r w:rsidRPr="009442E8">
        <w:rPr>
          <w:rFonts w:ascii="Times New Roman" w:hAnsi="Times New Roman" w:cs="Times New Roman"/>
          <w:i/>
          <w:sz w:val="24"/>
          <w:szCs w:val="24"/>
          <w:vertAlign w:val="baseline"/>
        </w:rPr>
        <w:t xml:space="preserve">New Perspectives on Witchcraft, Magic and Demonology: Gender and Witchcraft </w:t>
      </w:r>
      <w:r w:rsidRPr="00672137">
        <w:rPr>
          <w:rFonts w:ascii="Times New Roman" w:hAnsi="Times New Roman" w:cs="Times New Roman"/>
          <w:sz w:val="24"/>
          <w:szCs w:val="24"/>
          <w:vertAlign w:val="baseline"/>
        </w:rPr>
        <w:t>(Volume 4, Routledge 2001)</w:t>
      </w:r>
    </w:p>
    <w:p w14:paraId="667501F2" w14:textId="77777777" w:rsidR="003E2C58" w:rsidRDefault="003E2C58" w:rsidP="003E2C58">
      <w:pPr>
        <w:rPr>
          <w:rFonts w:ascii="Times New Roman" w:hAnsi="Times New Roman" w:cs="Times New Roman"/>
          <w:sz w:val="24"/>
          <w:szCs w:val="24"/>
          <w:vertAlign w:val="baseline"/>
        </w:rPr>
      </w:pPr>
    </w:p>
    <w:p w14:paraId="487061B5" w14:textId="77777777" w:rsidR="00983180" w:rsidRDefault="00983180" w:rsidP="00983180">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Shearlaw</w:t>
      </w:r>
      <w:r>
        <w:rPr>
          <w:rFonts w:ascii="Times New Roman" w:hAnsi="Times New Roman" w:cs="Times New Roman"/>
          <w:sz w:val="24"/>
          <w:szCs w:val="24"/>
          <w:vertAlign w:val="baseline"/>
        </w:rPr>
        <w:t xml:space="preserve"> M</w:t>
      </w:r>
      <w:r w:rsidRPr="00672137">
        <w:rPr>
          <w:rFonts w:ascii="Times New Roman" w:hAnsi="Times New Roman" w:cs="Times New Roman"/>
          <w:sz w:val="24"/>
          <w:szCs w:val="24"/>
          <w:vertAlign w:val="baseline"/>
        </w:rPr>
        <w:t>, ‘An influential, vibrant, exciting force: defining Africa</w:t>
      </w:r>
      <w:r>
        <w:rPr>
          <w:rFonts w:ascii="Times New Roman" w:hAnsi="Times New Roman" w:cs="Times New Roman"/>
          <w:sz w:val="24"/>
          <w:szCs w:val="24"/>
          <w:vertAlign w:val="baseline"/>
        </w:rPr>
        <w:t xml:space="preserve">n feminism’ </w:t>
      </w:r>
      <w:r w:rsidRPr="00017EDD">
        <w:rPr>
          <w:rFonts w:ascii="Times New Roman" w:hAnsi="Times New Roman" w:cs="Times New Roman"/>
          <w:i/>
          <w:sz w:val="24"/>
          <w:szCs w:val="24"/>
          <w:vertAlign w:val="baseline"/>
        </w:rPr>
        <w:t>The Guardian</w:t>
      </w:r>
      <w:r>
        <w:rPr>
          <w:rFonts w:ascii="Times New Roman" w:hAnsi="Times New Roman" w:cs="Times New Roman"/>
          <w:sz w:val="24"/>
          <w:szCs w:val="24"/>
          <w:vertAlign w:val="baseline"/>
        </w:rPr>
        <w:t xml:space="preserve"> (London</w:t>
      </w:r>
      <w:r w:rsidRPr="00672137">
        <w:rPr>
          <w:rFonts w:ascii="Times New Roman" w:hAnsi="Times New Roman" w:cs="Times New Roman"/>
          <w:sz w:val="24"/>
          <w:szCs w:val="24"/>
          <w:vertAlign w:val="baseline"/>
        </w:rPr>
        <w:t>, 29 April 2014) &lt;</w:t>
      </w:r>
      <w:hyperlink r:id="rId133" w:history="1">
        <w:r w:rsidRPr="00A72950">
          <w:rPr>
            <w:rStyle w:val="Hyperlink"/>
            <w:rFonts w:ascii="Times New Roman" w:hAnsi="Times New Roman" w:cs="Times New Roman"/>
            <w:sz w:val="24"/>
            <w:szCs w:val="24"/>
            <w:vertAlign w:val="baseline"/>
          </w:rPr>
          <w:t>http://www.theguardian.com/world/2014/apr/29/defining-african-feminism-join-the-debate&gt;</w:t>
        </w:r>
      </w:hyperlink>
      <w:r w:rsidRPr="00672137">
        <w:rPr>
          <w:rFonts w:ascii="Times New Roman" w:hAnsi="Times New Roman" w:cs="Times New Roman"/>
          <w:sz w:val="24"/>
          <w:szCs w:val="24"/>
          <w:vertAlign w:val="baseline"/>
        </w:rPr>
        <w:t xml:space="preserve"> accessed 8 September 2015</w:t>
      </w:r>
    </w:p>
    <w:p w14:paraId="1A6145F5" w14:textId="77777777" w:rsidR="00983180" w:rsidRDefault="00983180" w:rsidP="00983180">
      <w:pPr>
        <w:rPr>
          <w:rFonts w:ascii="Times New Roman" w:hAnsi="Times New Roman" w:cs="Times New Roman"/>
          <w:sz w:val="24"/>
          <w:szCs w:val="24"/>
          <w:vertAlign w:val="baseline"/>
        </w:rPr>
      </w:pPr>
    </w:p>
    <w:p w14:paraId="20C57C62" w14:textId="77777777" w:rsidR="00983180" w:rsidRDefault="00983180" w:rsidP="00983180">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Shears</w:t>
      </w:r>
      <w:r>
        <w:rPr>
          <w:rFonts w:ascii="Times New Roman" w:hAnsi="Times New Roman" w:cs="Times New Roman"/>
          <w:sz w:val="24"/>
          <w:szCs w:val="24"/>
          <w:vertAlign w:val="baseline"/>
        </w:rPr>
        <w:t xml:space="preserve"> R</w:t>
      </w:r>
      <w:r w:rsidRPr="00672137">
        <w:rPr>
          <w:rFonts w:ascii="Times New Roman" w:hAnsi="Times New Roman" w:cs="Times New Roman"/>
          <w:sz w:val="24"/>
          <w:szCs w:val="24"/>
          <w:vertAlign w:val="baseline"/>
        </w:rPr>
        <w:t xml:space="preserve">, ‘Mother, 20, accused of being a 'witch' and 'killing a boy with sorcery' tortured and </w:t>
      </w:r>
      <w:r>
        <w:rPr>
          <w:rFonts w:ascii="Times New Roman" w:hAnsi="Times New Roman" w:cs="Times New Roman"/>
          <w:sz w:val="24"/>
          <w:szCs w:val="24"/>
          <w:vertAlign w:val="baseline"/>
        </w:rPr>
        <w:t xml:space="preserve">burned alive on pile of tyres’ </w:t>
      </w:r>
      <w:r w:rsidRPr="00017EDD">
        <w:rPr>
          <w:rFonts w:ascii="Times New Roman" w:hAnsi="Times New Roman" w:cs="Times New Roman"/>
          <w:i/>
          <w:sz w:val="24"/>
          <w:szCs w:val="24"/>
          <w:vertAlign w:val="baseline"/>
        </w:rPr>
        <w:t>Daily Mail</w:t>
      </w:r>
      <w:r>
        <w:rPr>
          <w:rFonts w:ascii="Times New Roman" w:hAnsi="Times New Roman" w:cs="Times New Roman"/>
          <w:sz w:val="24"/>
          <w:szCs w:val="24"/>
          <w:vertAlign w:val="baseline"/>
        </w:rPr>
        <w:t xml:space="preserve"> (London, </w:t>
      </w:r>
      <w:r w:rsidRPr="00672137">
        <w:rPr>
          <w:rFonts w:ascii="Times New Roman" w:hAnsi="Times New Roman" w:cs="Times New Roman"/>
          <w:sz w:val="24"/>
          <w:szCs w:val="24"/>
          <w:vertAlign w:val="baseline"/>
        </w:rPr>
        <w:t>7 February 2013) &lt;</w:t>
      </w:r>
      <w:hyperlink r:id="rId134" w:history="1">
        <w:r w:rsidRPr="00017EDD">
          <w:rPr>
            <w:rStyle w:val="Hyperlink"/>
            <w:rFonts w:ascii="Times New Roman" w:hAnsi="Times New Roman" w:cs="Times New Roman"/>
            <w:sz w:val="24"/>
            <w:szCs w:val="24"/>
            <w:vertAlign w:val="baseline"/>
          </w:rPr>
          <w:t>http://www.dailymail.co.uk/news/article-2274821/Accused-witch-Kepari-Leniata-burned-alive-pile-tyres-Papua-New-Guinea.html&gt;</w:t>
        </w:r>
      </w:hyperlink>
      <w:r w:rsidRPr="00672137">
        <w:rPr>
          <w:rFonts w:ascii="Times New Roman" w:hAnsi="Times New Roman" w:cs="Times New Roman"/>
          <w:sz w:val="24"/>
          <w:szCs w:val="24"/>
          <w:vertAlign w:val="baseline"/>
        </w:rPr>
        <w:t xml:space="preserve"> accessed 15 September 2014;</w:t>
      </w:r>
    </w:p>
    <w:p w14:paraId="507CE2F2" w14:textId="77777777" w:rsidR="00983180" w:rsidRDefault="00983180" w:rsidP="003E2C58">
      <w:pPr>
        <w:rPr>
          <w:rFonts w:ascii="Times New Roman" w:hAnsi="Times New Roman" w:cs="Times New Roman"/>
          <w:sz w:val="24"/>
          <w:szCs w:val="24"/>
          <w:vertAlign w:val="baseline"/>
        </w:rPr>
      </w:pPr>
    </w:p>
    <w:p w14:paraId="31D89BDF"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Shrestha</w:t>
      </w:r>
      <w:r>
        <w:rPr>
          <w:rFonts w:ascii="Times New Roman" w:hAnsi="Times New Roman" w:cs="Times New Roman"/>
          <w:sz w:val="24"/>
          <w:szCs w:val="24"/>
          <w:vertAlign w:val="baseline"/>
        </w:rPr>
        <w:t xml:space="preserve"> R</w:t>
      </w:r>
      <w:r w:rsidRPr="00672137">
        <w:rPr>
          <w:rFonts w:ascii="Times New Roman" w:hAnsi="Times New Roman" w:cs="Times New Roman"/>
          <w:sz w:val="24"/>
          <w:szCs w:val="24"/>
          <w:vertAlign w:val="baseline"/>
        </w:rPr>
        <w:t>, ‘Witch-hunting: A study of cultural violence against women with reference to Nepal and India’ (2004) I</w:t>
      </w:r>
      <w:r>
        <w:rPr>
          <w:rFonts w:ascii="Times New Roman" w:hAnsi="Times New Roman" w:cs="Times New Roman"/>
          <w:sz w:val="24"/>
          <w:szCs w:val="24"/>
          <w:vertAlign w:val="baseline"/>
        </w:rPr>
        <w:t>nstitute of Social Studies 14</w:t>
      </w:r>
    </w:p>
    <w:p w14:paraId="5DE0969F" w14:textId="77777777" w:rsidR="003E2C58" w:rsidRDefault="003E2C58" w:rsidP="003E2C58">
      <w:pPr>
        <w:rPr>
          <w:rFonts w:ascii="Times New Roman" w:hAnsi="Times New Roman" w:cs="Times New Roman"/>
          <w:sz w:val="24"/>
          <w:szCs w:val="24"/>
          <w:vertAlign w:val="baseline"/>
        </w:rPr>
      </w:pPr>
    </w:p>
    <w:p w14:paraId="0BFF3F16"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Singh</w:t>
      </w:r>
      <w:r>
        <w:rPr>
          <w:rFonts w:ascii="Times New Roman" w:hAnsi="Times New Roman" w:cs="Times New Roman"/>
          <w:sz w:val="24"/>
          <w:szCs w:val="24"/>
          <w:vertAlign w:val="baseline"/>
        </w:rPr>
        <w:t xml:space="preserve"> K</w:t>
      </w:r>
      <w:r w:rsidRPr="00672137">
        <w:rPr>
          <w:rFonts w:ascii="Times New Roman" w:hAnsi="Times New Roman" w:cs="Times New Roman"/>
          <w:sz w:val="24"/>
          <w:szCs w:val="24"/>
          <w:vertAlign w:val="baseline"/>
        </w:rPr>
        <w:t>, ‘Obstacles to Women’s Rights in India’ in Cook</w:t>
      </w:r>
      <w:r>
        <w:rPr>
          <w:rFonts w:ascii="Times New Roman" w:hAnsi="Times New Roman" w:cs="Times New Roman"/>
          <w:sz w:val="24"/>
          <w:szCs w:val="24"/>
          <w:vertAlign w:val="baseline"/>
        </w:rPr>
        <w:t xml:space="preserve"> RJ</w:t>
      </w:r>
      <w:r w:rsidRPr="00672137">
        <w:rPr>
          <w:rFonts w:ascii="Times New Roman" w:hAnsi="Times New Roman" w:cs="Times New Roman"/>
          <w:sz w:val="24"/>
          <w:szCs w:val="24"/>
          <w:vertAlign w:val="baseline"/>
        </w:rPr>
        <w:t xml:space="preserve"> (ed) </w:t>
      </w:r>
      <w:r w:rsidRPr="009A0BEA">
        <w:rPr>
          <w:rFonts w:ascii="Times New Roman" w:hAnsi="Times New Roman" w:cs="Times New Roman"/>
          <w:i/>
          <w:sz w:val="24"/>
          <w:szCs w:val="24"/>
          <w:vertAlign w:val="baseline"/>
        </w:rPr>
        <w:t>Human Rights of Women: National and International Perspectives</w:t>
      </w:r>
      <w:r>
        <w:rPr>
          <w:rFonts w:ascii="Times New Roman" w:hAnsi="Times New Roman" w:cs="Times New Roman"/>
          <w:sz w:val="24"/>
          <w:szCs w:val="24"/>
          <w:vertAlign w:val="baseline"/>
        </w:rPr>
        <w:t xml:space="preserve"> (Pennsylvania UP 2007)</w:t>
      </w:r>
    </w:p>
    <w:p w14:paraId="5A23E2FE" w14:textId="77777777" w:rsidR="003E2C58" w:rsidRDefault="003E2C58" w:rsidP="003E2C58">
      <w:pPr>
        <w:rPr>
          <w:rFonts w:ascii="Times New Roman" w:hAnsi="Times New Roman" w:cs="Times New Roman"/>
          <w:sz w:val="24"/>
          <w:szCs w:val="24"/>
          <w:vertAlign w:val="baseline"/>
        </w:rPr>
      </w:pPr>
    </w:p>
    <w:p w14:paraId="2DC8065D"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Singh</w:t>
      </w:r>
      <w:r>
        <w:rPr>
          <w:rFonts w:ascii="Times New Roman" w:hAnsi="Times New Roman" w:cs="Times New Roman"/>
          <w:sz w:val="24"/>
          <w:szCs w:val="24"/>
          <w:vertAlign w:val="baseline"/>
        </w:rPr>
        <w:t xml:space="preserve"> RK</w:t>
      </w:r>
      <w:r w:rsidRPr="00672137">
        <w:rPr>
          <w:rFonts w:ascii="Times New Roman" w:hAnsi="Times New Roman" w:cs="Times New Roman"/>
          <w:sz w:val="24"/>
          <w:szCs w:val="24"/>
          <w:vertAlign w:val="baseline"/>
        </w:rPr>
        <w:t>, ‘Witch-hunting: Alive and Kicking’ (2011) 17(1) Women’s Link 16</w:t>
      </w:r>
    </w:p>
    <w:p w14:paraId="6DA8DA53" w14:textId="77777777" w:rsidR="003E2C58" w:rsidRDefault="003E2C58" w:rsidP="003E2C58">
      <w:pPr>
        <w:rPr>
          <w:rFonts w:ascii="Times New Roman" w:hAnsi="Times New Roman" w:cs="Times New Roman"/>
          <w:sz w:val="24"/>
          <w:szCs w:val="24"/>
          <w:vertAlign w:val="baseline"/>
        </w:rPr>
      </w:pPr>
    </w:p>
    <w:p w14:paraId="01CC995E"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Skaria</w:t>
      </w:r>
      <w:r>
        <w:rPr>
          <w:rFonts w:ascii="Times New Roman" w:hAnsi="Times New Roman" w:cs="Times New Roman"/>
          <w:sz w:val="24"/>
          <w:szCs w:val="24"/>
          <w:vertAlign w:val="baseline"/>
        </w:rPr>
        <w:t xml:space="preserve"> A</w:t>
      </w:r>
      <w:r w:rsidRPr="00672137">
        <w:rPr>
          <w:rFonts w:ascii="Times New Roman" w:hAnsi="Times New Roman" w:cs="Times New Roman"/>
          <w:sz w:val="24"/>
          <w:szCs w:val="24"/>
          <w:vertAlign w:val="baseline"/>
        </w:rPr>
        <w:t>, ‘Women, Witchcraft and Gratuitous Violence in Colonial Western India’ (</w:t>
      </w:r>
      <w:r>
        <w:rPr>
          <w:rFonts w:ascii="Times New Roman" w:hAnsi="Times New Roman" w:cs="Times New Roman"/>
          <w:sz w:val="24"/>
          <w:szCs w:val="24"/>
          <w:vertAlign w:val="baseline"/>
        </w:rPr>
        <w:t>1997) 155 Past &amp; Present 109</w:t>
      </w:r>
    </w:p>
    <w:p w14:paraId="21245E54" w14:textId="77777777" w:rsidR="003E2C58" w:rsidRDefault="003E2C58" w:rsidP="003E2C58">
      <w:pPr>
        <w:rPr>
          <w:rFonts w:ascii="Times New Roman" w:hAnsi="Times New Roman" w:cs="Times New Roman"/>
          <w:sz w:val="24"/>
          <w:szCs w:val="24"/>
          <w:vertAlign w:val="baseline"/>
        </w:rPr>
      </w:pPr>
    </w:p>
    <w:p w14:paraId="0B437252"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Skinner</w:t>
      </w:r>
      <w:r>
        <w:rPr>
          <w:rFonts w:ascii="Times New Roman" w:hAnsi="Times New Roman" w:cs="Times New Roman"/>
          <w:sz w:val="24"/>
          <w:szCs w:val="24"/>
          <w:vertAlign w:val="baseline"/>
        </w:rPr>
        <w:t xml:space="preserve"> BF</w:t>
      </w:r>
      <w:r w:rsidRPr="00672137">
        <w:rPr>
          <w:rFonts w:ascii="Times New Roman" w:hAnsi="Times New Roman" w:cs="Times New Roman"/>
          <w:sz w:val="24"/>
          <w:szCs w:val="24"/>
          <w:vertAlign w:val="baseline"/>
        </w:rPr>
        <w:t>, ‘Supers</w:t>
      </w:r>
      <w:r>
        <w:rPr>
          <w:rFonts w:ascii="Times New Roman" w:hAnsi="Times New Roman" w:cs="Times New Roman"/>
          <w:sz w:val="24"/>
          <w:szCs w:val="24"/>
          <w:vertAlign w:val="baseline"/>
        </w:rPr>
        <w:t>tition in the pigeon’ 38 J Experimental Psych 168</w:t>
      </w:r>
    </w:p>
    <w:p w14:paraId="358567F1" w14:textId="77777777" w:rsidR="003E2C58" w:rsidRDefault="003E2C58" w:rsidP="003E2C58">
      <w:pPr>
        <w:rPr>
          <w:rFonts w:ascii="Times New Roman" w:hAnsi="Times New Roman" w:cs="Times New Roman"/>
          <w:sz w:val="24"/>
          <w:szCs w:val="24"/>
          <w:vertAlign w:val="baseline"/>
        </w:rPr>
      </w:pPr>
    </w:p>
    <w:p w14:paraId="1AEF4193" w14:textId="39D76319" w:rsidR="00D71AFF" w:rsidRDefault="00D71AFF" w:rsidP="003E2C58">
      <w:pPr>
        <w:rPr>
          <w:rFonts w:ascii="Times New Roman" w:hAnsi="Times New Roman" w:cs="Times New Roman"/>
          <w:sz w:val="24"/>
          <w:szCs w:val="24"/>
          <w:vertAlign w:val="baseline"/>
        </w:rPr>
      </w:pPr>
      <w:r w:rsidRPr="00F97F26">
        <w:rPr>
          <w:rFonts w:ascii="Times New Roman" w:hAnsi="Times New Roman" w:cs="Times New Roman"/>
          <w:sz w:val="24"/>
          <w:szCs w:val="24"/>
          <w:vertAlign w:val="baseline"/>
        </w:rPr>
        <w:t>Sloss</w:t>
      </w:r>
      <w:r>
        <w:rPr>
          <w:rFonts w:ascii="Times New Roman" w:hAnsi="Times New Roman" w:cs="Times New Roman"/>
          <w:sz w:val="24"/>
          <w:szCs w:val="24"/>
          <w:vertAlign w:val="baseline"/>
        </w:rPr>
        <w:t xml:space="preserve"> D</w:t>
      </w:r>
      <w:r w:rsidRPr="00F97F26">
        <w:rPr>
          <w:rFonts w:ascii="Times New Roman" w:hAnsi="Times New Roman" w:cs="Times New Roman"/>
          <w:sz w:val="24"/>
          <w:szCs w:val="24"/>
          <w:vertAlign w:val="baseline"/>
        </w:rPr>
        <w:t>, ‘Domestic Applic</w:t>
      </w:r>
      <w:r w:rsidR="008416B0">
        <w:rPr>
          <w:rFonts w:ascii="Times New Roman" w:hAnsi="Times New Roman" w:cs="Times New Roman"/>
          <w:sz w:val="24"/>
          <w:szCs w:val="24"/>
          <w:vertAlign w:val="baseline"/>
        </w:rPr>
        <w:t xml:space="preserve">ation of Treaties’ in </w:t>
      </w:r>
      <w:r w:rsidRPr="00F97F26">
        <w:rPr>
          <w:rFonts w:ascii="Times New Roman" w:hAnsi="Times New Roman" w:cs="Times New Roman"/>
          <w:sz w:val="24"/>
          <w:szCs w:val="24"/>
          <w:vertAlign w:val="baseline"/>
        </w:rPr>
        <w:t>Hollis</w:t>
      </w:r>
      <w:r w:rsidR="008416B0">
        <w:rPr>
          <w:rFonts w:ascii="Times New Roman" w:hAnsi="Times New Roman" w:cs="Times New Roman"/>
          <w:sz w:val="24"/>
          <w:szCs w:val="24"/>
          <w:vertAlign w:val="baseline"/>
        </w:rPr>
        <w:t xml:space="preserve"> DB</w:t>
      </w:r>
      <w:r w:rsidRPr="00F97F26">
        <w:rPr>
          <w:rFonts w:ascii="Times New Roman" w:hAnsi="Times New Roman" w:cs="Times New Roman"/>
          <w:sz w:val="24"/>
          <w:szCs w:val="24"/>
          <w:vertAlign w:val="baseline"/>
        </w:rPr>
        <w:t xml:space="preserve">, </w:t>
      </w:r>
      <w:r w:rsidRPr="00F97F26">
        <w:rPr>
          <w:rFonts w:ascii="Times New Roman" w:hAnsi="Times New Roman" w:cs="Times New Roman"/>
          <w:i/>
          <w:sz w:val="24"/>
          <w:szCs w:val="24"/>
          <w:vertAlign w:val="baseline"/>
        </w:rPr>
        <w:t xml:space="preserve">The Oxford Guide to </w:t>
      </w:r>
      <w:r w:rsidRPr="00F97F26">
        <w:rPr>
          <w:rFonts w:ascii="Times New Roman" w:hAnsi="Times New Roman" w:cs="Times New Roman"/>
          <w:sz w:val="24"/>
          <w:szCs w:val="24"/>
          <w:vertAlign w:val="baseline"/>
        </w:rPr>
        <w:t>Treaties (OUP 2012)</w:t>
      </w:r>
    </w:p>
    <w:p w14:paraId="17018CA1" w14:textId="77777777" w:rsidR="008416B0" w:rsidRDefault="008416B0" w:rsidP="003E2C58">
      <w:pPr>
        <w:rPr>
          <w:rFonts w:ascii="Times New Roman" w:hAnsi="Times New Roman" w:cs="Times New Roman"/>
          <w:sz w:val="24"/>
          <w:szCs w:val="24"/>
          <w:vertAlign w:val="baseline"/>
        </w:rPr>
      </w:pPr>
    </w:p>
    <w:p w14:paraId="59F14C36"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Smart</w:t>
      </w:r>
      <w:r>
        <w:rPr>
          <w:rFonts w:ascii="Times New Roman" w:hAnsi="Times New Roman" w:cs="Times New Roman"/>
          <w:sz w:val="24"/>
          <w:szCs w:val="24"/>
          <w:vertAlign w:val="baseline"/>
        </w:rPr>
        <w:t xml:space="preserve"> C</w:t>
      </w:r>
      <w:r w:rsidRPr="00672137">
        <w:rPr>
          <w:rFonts w:ascii="Times New Roman" w:hAnsi="Times New Roman" w:cs="Times New Roman"/>
          <w:sz w:val="24"/>
          <w:szCs w:val="24"/>
          <w:vertAlign w:val="baseline"/>
        </w:rPr>
        <w:t xml:space="preserve">, </w:t>
      </w:r>
      <w:r w:rsidRPr="0050334C">
        <w:rPr>
          <w:rFonts w:ascii="Times New Roman" w:hAnsi="Times New Roman" w:cs="Times New Roman"/>
          <w:i/>
          <w:sz w:val="24"/>
          <w:szCs w:val="24"/>
          <w:vertAlign w:val="baseline"/>
        </w:rPr>
        <w:t>Feminism and the Power of Law</w:t>
      </w:r>
      <w:r w:rsidRPr="00672137">
        <w:rPr>
          <w:rFonts w:ascii="Times New Roman" w:hAnsi="Times New Roman" w:cs="Times New Roman"/>
          <w:sz w:val="24"/>
          <w:szCs w:val="24"/>
          <w:vertAlign w:val="baseline"/>
        </w:rPr>
        <w:t xml:space="preserve"> (Routledge 2002) </w:t>
      </w:r>
    </w:p>
    <w:p w14:paraId="19058E48" w14:textId="77777777" w:rsidR="003E2C58" w:rsidRDefault="003E2C58" w:rsidP="003E2C58">
      <w:pPr>
        <w:rPr>
          <w:rFonts w:ascii="Times New Roman" w:hAnsi="Times New Roman" w:cs="Times New Roman"/>
          <w:sz w:val="24"/>
          <w:szCs w:val="24"/>
          <w:vertAlign w:val="baseline"/>
        </w:rPr>
      </w:pPr>
    </w:p>
    <w:p w14:paraId="5EC0C876" w14:textId="77777777" w:rsidR="00745AA5" w:rsidRPr="00672137" w:rsidRDefault="00745AA5" w:rsidP="00745AA5">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Smith</w:t>
      </w:r>
      <w:r>
        <w:rPr>
          <w:rFonts w:ascii="Times New Roman" w:hAnsi="Times New Roman" w:cs="Times New Roman"/>
          <w:sz w:val="24"/>
          <w:szCs w:val="24"/>
          <w:vertAlign w:val="baseline"/>
        </w:rPr>
        <w:t xml:space="preserve"> D</w:t>
      </w:r>
      <w:r w:rsidRPr="00672137">
        <w:rPr>
          <w:rFonts w:ascii="Times New Roman" w:hAnsi="Times New Roman" w:cs="Times New Roman"/>
          <w:sz w:val="24"/>
          <w:szCs w:val="24"/>
          <w:vertAlign w:val="baseline"/>
        </w:rPr>
        <w:t xml:space="preserve">, ‘Ghanaian woman burned to death for being a witch' </w:t>
      </w:r>
      <w:r w:rsidRPr="0086357B">
        <w:rPr>
          <w:rFonts w:ascii="Times New Roman" w:hAnsi="Times New Roman" w:cs="Times New Roman"/>
          <w:i/>
          <w:sz w:val="24"/>
          <w:szCs w:val="24"/>
          <w:vertAlign w:val="baseline"/>
        </w:rPr>
        <w:t>The Guardian</w:t>
      </w:r>
      <w:r w:rsidRPr="00672137">
        <w:rPr>
          <w:rFonts w:ascii="Times New Roman" w:hAnsi="Times New Roman" w:cs="Times New Roman"/>
          <w:sz w:val="24"/>
          <w:szCs w:val="24"/>
          <w:vertAlign w:val="baseline"/>
        </w:rPr>
        <w:t xml:space="preserve"> (London 29 November 2010) &lt;</w:t>
      </w:r>
      <w:hyperlink r:id="rId135" w:history="1">
        <w:r w:rsidRPr="0086357B">
          <w:rPr>
            <w:rStyle w:val="Hyperlink"/>
            <w:rFonts w:ascii="Times New Roman" w:hAnsi="Times New Roman" w:cs="Times New Roman"/>
            <w:sz w:val="24"/>
            <w:szCs w:val="24"/>
            <w:vertAlign w:val="baseline"/>
          </w:rPr>
          <w:t>http://www.theguardian.com/world/2010/nov/29/ghanaian-woman-burned-death-witch&gt; a</w:t>
        </w:r>
      </w:hyperlink>
      <w:r w:rsidRPr="00672137">
        <w:rPr>
          <w:rFonts w:ascii="Times New Roman" w:hAnsi="Times New Roman" w:cs="Times New Roman"/>
          <w:sz w:val="24"/>
          <w:szCs w:val="24"/>
          <w:vertAlign w:val="baseline"/>
        </w:rPr>
        <w:t>ccessed 27 October 2014</w:t>
      </w:r>
    </w:p>
    <w:p w14:paraId="4352E8FB" w14:textId="77777777" w:rsidR="00745AA5" w:rsidRDefault="00745AA5" w:rsidP="003E2C58">
      <w:pPr>
        <w:rPr>
          <w:rFonts w:ascii="Times New Roman" w:hAnsi="Times New Roman" w:cs="Times New Roman"/>
          <w:sz w:val="24"/>
          <w:szCs w:val="24"/>
          <w:vertAlign w:val="baseline"/>
        </w:rPr>
      </w:pPr>
    </w:p>
    <w:p w14:paraId="053031C2"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Spelman</w:t>
      </w:r>
      <w:r>
        <w:rPr>
          <w:rFonts w:ascii="Times New Roman" w:hAnsi="Times New Roman" w:cs="Times New Roman"/>
          <w:sz w:val="24"/>
          <w:szCs w:val="24"/>
          <w:vertAlign w:val="baseline"/>
        </w:rPr>
        <w:t xml:space="preserve"> EV</w:t>
      </w:r>
      <w:r w:rsidRPr="00672137">
        <w:rPr>
          <w:rFonts w:ascii="Times New Roman" w:hAnsi="Times New Roman" w:cs="Times New Roman"/>
          <w:sz w:val="24"/>
          <w:szCs w:val="24"/>
          <w:vertAlign w:val="baseline"/>
        </w:rPr>
        <w:t xml:space="preserve">, </w:t>
      </w:r>
      <w:r w:rsidRPr="009D54D1">
        <w:rPr>
          <w:rFonts w:ascii="Times New Roman" w:hAnsi="Times New Roman" w:cs="Times New Roman"/>
          <w:i/>
          <w:sz w:val="24"/>
          <w:szCs w:val="24"/>
          <w:vertAlign w:val="baseline"/>
        </w:rPr>
        <w:t>Inessential Women: Problems of Exclusion and Feminist Thought</w:t>
      </w:r>
      <w:r>
        <w:rPr>
          <w:rFonts w:ascii="Times New Roman" w:hAnsi="Times New Roman" w:cs="Times New Roman"/>
          <w:sz w:val="24"/>
          <w:szCs w:val="24"/>
          <w:vertAlign w:val="baseline"/>
        </w:rPr>
        <w:t xml:space="preserve"> (Beacon Press 1990)</w:t>
      </w:r>
    </w:p>
    <w:p w14:paraId="24F18B89" w14:textId="77777777" w:rsidR="003E2C58" w:rsidRDefault="003E2C58" w:rsidP="003E2C58">
      <w:pPr>
        <w:rPr>
          <w:rFonts w:ascii="Times New Roman" w:hAnsi="Times New Roman" w:cs="Times New Roman"/>
          <w:sz w:val="24"/>
          <w:szCs w:val="24"/>
          <w:vertAlign w:val="baseline"/>
        </w:rPr>
      </w:pPr>
    </w:p>
    <w:p w14:paraId="6182D91D"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Spooner</w:t>
      </w:r>
      <w:r>
        <w:rPr>
          <w:rFonts w:ascii="Times New Roman" w:hAnsi="Times New Roman" w:cs="Times New Roman"/>
          <w:sz w:val="24"/>
          <w:szCs w:val="24"/>
          <w:vertAlign w:val="baseline"/>
        </w:rPr>
        <w:t xml:space="preserve"> B</w:t>
      </w:r>
      <w:r w:rsidRPr="00672137">
        <w:rPr>
          <w:rFonts w:ascii="Times New Roman" w:hAnsi="Times New Roman" w:cs="Times New Roman"/>
          <w:sz w:val="24"/>
          <w:szCs w:val="24"/>
          <w:vertAlign w:val="baseline"/>
        </w:rPr>
        <w:t>, ‘Anthropology and the Evil Eye,’ in Maloney</w:t>
      </w:r>
      <w:r>
        <w:rPr>
          <w:rFonts w:ascii="Times New Roman" w:hAnsi="Times New Roman" w:cs="Times New Roman"/>
          <w:sz w:val="24"/>
          <w:szCs w:val="24"/>
          <w:vertAlign w:val="baseline"/>
        </w:rPr>
        <w:t xml:space="preserve"> C</w:t>
      </w:r>
      <w:r w:rsidRPr="00672137">
        <w:rPr>
          <w:rFonts w:ascii="Times New Roman" w:hAnsi="Times New Roman" w:cs="Times New Roman"/>
          <w:sz w:val="24"/>
          <w:szCs w:val="24"/>
          <w:vertAlign w:val="baseline"/>
        </w:rPr>
        <w:t xml:space="preserve">, </w:t>
      </w:r>
      <w:r w:rsidRPr="005B6E4B">
        <w:rPr>
          <w:rFonts w:ascii="Times New Roman" w:hAnsi="Times New Roman" w:cs="Times New Roman"/>
          <w:i/>
          <w:sz w:val="24"/>
          <w:szCs w:val="24"/>
          <w:vertAlign w:val="baseline"/>
        </w:rPr>
        <w:t>The Evil Eye</w:t>
      </w:r>
      <w:r w:rsidRPr="00672137">
        <w:rPr>
          <w:rFonts w:ascii="Times New Roman" w:hAnsi="Times New Roman" w:cs="Times New Roman"/>
          <w:sz w:val="24"/>
          <w:szCs w:val="24"/>
          <w:vertAlign w:val="baseline"/>
        </w:rPr>
        <w:t xml:space="preserve"> (Columbia </w:t>
      </w:r>
      <w:r w:rsidRPr="00E263BD">
        <w:rPr>
          <w:rFonts w:ascii="Times New Roman" w:hAnsi="Times New Roman" w:cs="Times New Roman"/>
          <w:sz w:val="24"/>
          <w:szCs w:val="24"/>
          <w:vertAlign w:val="baseline"/>
        </w:rPr>
        <w:t xml:space="preserve">UP </w:t>
      </w:r>
      <w:r w:rsidRPr="00672137">
        <w:rPr>
          <w:rFonts w:ascii="Times New Roman" w:hAnsi="Times New Roman" w:cs="Times New Roman"/>
          <w:sz w:val="24"/>
          <w:szCs w:val="24"/>
          <w:vertAlign w:val="baseline"/>
        </w:rPr>
        <w:t xml:space="preserve">1976) </w:t>
      </w:r>
    </w:p>
    <w:p w14:paraId="73D01F46" w14:textId="77777777" w:rsidR="003E2C58" w:rsidRDefault="003E2C58" w:rsidP="003E2C58">
      <w:pPr>
        <w:rPr>
          <w:rFonts w:ascii="Times New Roman" w:hAnsi="Times New Roman" w:cs="Times New Roman"/>
          <w:sz w:val="24"/>
          <w:szCs w:val="24"/>
          <w:vertAlign w:val="baseline"/>
        </w:rPr>
      </w:pPr>
    </w:p>
    <w:p w14:paraId="1EAF2045" w14:textId="77777777" w:rsidR="00745AA5" w:rsidRPr="00672137" w:rsidRDefault="00745AA5" w:rsidP="00745AA5">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Sridharan</w:t>
      </w:r>
      <w:r>
        <w:rPr>
          <w:rFonts w:ascii="Times New Roman" w:hAnsi="Times New Roman" w:cs="Times New Roman"/>
          <w:sz w:val="24"/>
          <w:szCs w:val="24"/>
          <w:vertAlign w:val="baseline"/>
        </w:rPr>
        <w:t xml:space="preserve"> V</w:t>
      </w:r>
      <w:r w:rsidRPr="00672137">
        <w:rPr>
          <w:rFonts w:ascii="Times New Roman" w:hAnsi="Times New Roman" w:cs="Times New Roman"/>
          <w:sz w:val="24"/>
          <w:szCs w:val="24"/>
          <w:vertAlign w:val="baseline"/>
        </w:rPr>
        <w:t xml:space="preserve">, ‘Papua New Guinea: Woman Branded Witch Tortured and Burnt Alive by Mob’ </w:t>
      </w:r>
      <w:r w:rsidRPr="00B65496">
        <w:rPr>
          <w:rFonts w:ascii="Times New Roman" w:hAnsi="Times New Roman" w:cs="Times New Roman"/>
          <w:i/>
          <w:sz w:val="24"/>
          <w:szCs w:val="24"/>
          <w:vertAlign w:val="baseline"/>
        </w:rPr>
        <w:t>International Business Times</w:t>
      </w:r>
      <w:r w:rsidRPr="00672137">
        <w:rPr>
          <w:rFonts w:ascii="Times New Roman" w:hAnsi="Times New Roman" w:cs="Times New Roman"/>
          <w:sz w:val="24"/>
          <w:szCs w:val="24"/>
          <w:vertAlign w:val="baseline"/>
        </w:rPr>
        <w:t xml:space="preserve"> (London, 8 February 2013) &lt;</w:t>
      </w:r>
      <w:hyperlink r:id="rId136" w:history="1">
        <w:r w:rsidRPr="00B65496">
          <w:rPr>
            <w:rStyle w:val="Hyperlink"/>
            <w:rFonts w:ascii="Times New Roman" w:hAnsi="Times New Roman" w:cs="Times New Roman"/>
            <w:sz w:val="24"/>
            <w:szCs w:val="24"/>
            <w:vertAlign w:val="baseline"/>
          </w:rPr>
          <w:t>http://www.ibtimes.co.uk/papua-new-guinea-witch-burning-hunt-sorcery-432995&gt;</w:t>
        </w:r>
      </w:hyperlink>
      <w:r w:rsidRPr="00672137">
        <w:rPr>
          <w:rFonts w:ascii="Times New Roman" w:hAnsi="Times New Roman" w:cs="Times New Roman"/>
          <w:sz w:val="24"/>
          <w:szCs w:val="24"/>
          <w:vertAlign w:val="baseline"/>
        </w:rPr>
        <w:t xml:space="preserve"> accessed 2 September 2015</w:t>
      </w:r>
    </w:p>
    <w:p w14:paraId="725414CE" w14:textId="77777777" w:rsidR="00745AA5" w:rsidRDefault="00745AA5" w:rsidP="003E2C58">
      <w:pPr>
        <w:rPr>
          <w:rFonts w:ascii="Times New Roman" w:hAnsi="Times New Roman" w:cs="Times New Roman"/>
          <w:sz w:val="24"/>
          <w:szCs w:val="24"/>
          <w:vertAlign w:val="baseline"/>
        </w:rPr>
      </w:pPr>
    </w:p>
    <w:p w14:paraId="124CB64C"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Stadler</w:t>
      </w:r>
      <w:r>
        <w:rPr>
          <w:rFonts w:ascii="Times New Roman" w:hAnsi="Times New Roman" w:cs="Times New Roman"/>
          <w:sz w:val="24"/>
          <w:szCs w:val="24"/>
          <w:vertAlign w:val="baseline"/>
        </w:rPr>
        <w:t xml:space="preserve"> J</w:t>
      </w:r>
      <w:r w:rsidRPr="00672137">
        <w:rPr>
          <w:rFonts w:ascii="Times New Roman" w:hAnsi="Times New Roman" w:cs="Times New Roman"/>
          <w:sz w:val="24"/>
          <w:szCs w:val="24"/>
          <w:vertAlign w:val="baseline"/>
        </w:rPr>
        <w:t>, ‘Witches and Witch-hunters: Witchcraft, Generational Relations and the Life-cycle in a Lowveld Villag</w:t>
      </w:r>
      <w:r>
        <w:rPr>
          <w:rFonts w:ascii="Times New Roman" w:hAnsi="Times New Roman" w:cs="Times New Roman"/>
          <w:sz w:val="24"/>
          <w:szCs w:val="24"/>
          <w:vertAlign w:val="baseline"/>
        </w:rPr>
        <w:t>e’ (1996) 55 African Studies 95</w:t>
      </w:r>
    </w:p>
    <w:p w14:paraId="23FA2A73" w14:textId="77777777" w:rsidR="003E2C58" w:rsidRDefault="003E2C58" w:rsidP="003E2C58">
      <w:pPr>
        <w:rPr>
          <w:rFonts w:ascii="Times New Roman" w:hAnsi="Times New Roman" w:cs="Times New Roman"/>
          <w:sz w:val="24"/>
          <w:szCs w:val="24"/>
          <w:vertAlign w:val="baseline"/>
        </w:rPr>
      </w:pPr>
    </w:p>
    <w:p w14:paraId="4F3B3107"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Stark</w:t>
      </w:r>
      <w:r>
        <w:rPr>
          <w:rFonts w:ascii="Times New Roman" w:hAnsi="Times New Roman" w:cs="Times New Roman"/>
          <w:sz w:val="24"/>
          <w:szCs w:val="24"/>
          <w:vertAlign w:val="baseline"/>
        </w:rPr>
        <w:t xml:space="preserve"> R</w:t>
      </w:r>
      <w:r w:rsidRPr="00672137">
        <w:rPr>
          <w:rFonts w:ascii="Times New Roman" w:hAnsi="Times New Roman" w:cs="Times New Roman"/>
          <w:sz w:val="24"/>
          <w:szCs w:val="24"/>
          <w:vertAlign w:val="baseline"/>
        </w:rPr>
        <w:t xml:space="preserve">, </w:t>
      </w:r>
      <w:r w:rsidRPr="00EB70E3">
        <w:rPr>
          <w:rFonts w:ascii="Times New Roman" w:hAnsi="Times New Roman" w:cs="Times New Roman"/>
          <w:i/>
          <w:sz w:val="24"/>
          <w:szCs w:val="24"/>
          <w:vertAlign w:val="baseline"/>
        </w:rPr>
        <w:t>For the Glory of God: How Monotheism led to the Reformations, Science, Witch-hunts and the End of Slavery</w:t>
      </w:r>
      <w:r>
        <w:rPr>
          <w:rFonts w:ascii="Times New Roman" w:hAnsi="Times New Roman" w:cs="Times New Roman"/>
          <w:sz w:val="24"/>
          <w:szCs w:val="24"/>
          <w:vertAlign w:val="baseline"/>
        </w:rPr>
        <w:t xml:space="preserve"> (Princeton 2003)</w:t>
      </w:r>
    </w:p>
    <w:p w14:paraId="2CD4BCAD" w14:textId="77777777" w:rsidR="003E2C58" w:rsidRDefault="003E2C58" w:rsidP="003E2C58">
      <w:pPr>
        <w:rPr>
          <w:rFonts w:ascii="Times New Roman" w:hAnsi="Times New Roman" w:cs="Times New Roman"/>
          <w:sz w:val="24"/>
          <w:szCs w:val="24"/>
          <w:vertAlign w:val="baseline"/>
        </w:rPr>
      </w:pPr>
    </w:p>
    <w:p w14:paraId="7856F83C"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Stayt</w:t>
      </w:r>
      <w:r>
        <w:rPr>
          <w:rFonts w:ascii="Times New Roman" w:hAnsi="Times New Roman" w:cs="Times New Roman"/>
          <w:sz w:val="24"/>
          <w:szCs w:val="24"/>
          <w:vertAlign w:val="baseline"/>
        </w:rPr>
        <w:t xml:space="preserve"> HA</w:t>
      </w:r>
      <w:r w:rsidRPr="00672137">
        <w:rPr>
          <w:rFonts w:ascii="Times New Roman" w:hAnsi="Times New Roman" w:cs="Times New Roman"/>
          <w:sz w:val="24"/>
          <w:szCs w:val="24"/>
          <w:vertAlign w:val="baseline"/>
        </w:rPr>
        <w:t xml:space="preserve">, </w:t>
      </w:r>
      <w:r w:rsidRPr="004004CE">
        <w:rPr>
          <w:rFonts w:ascii="Times New Roman" w:hAnsi="Times New Roman" w:cs="Times New Roman"/>
          <w:i/>
          <w:sz w:val="24"/>
          <w:szCs w:val="24"/>
          <w:vertAlign w:val="baseline"/>
        </w:rPr>
        <w:t>The Bavenda</w:t>
      </w:r>
      <w:r>
        <w:rPr>
          <w:rFonts w:ascii="Times New Roman" w:hAnsi="Times New Roman" w:cs="Times New Roman"/>
          <w:sz w:val="24"/>
          <w:szCs w:val="24"/>
          <w:vertAlign w:val="baseline"/>
        </w:rPr>
        <w:t xml:space="preserve"> (1968 London)</w:t>
      </w:r>
    </w:p>
    <w:p w14:paraId="3B7E0943" w14:textId="77777777" w:rsidR="003E2C58" w:rsidRDefault="003E2C58" w:rsidP="003E2C58">
      <w:pPr>
        <w:rPr>
          <w:rFonts w:ascii="Times New Roman" w:hAnsi="Times New Roman" w:cs="Times New Roman"/>
          <w:sz w:val="24"/>
          <w:szCs w:val="24"/>
          <w:vertAlign w:val="baseline"/>
        </w:rPr>
      </w:pPr>
    </w:p>
    <w:p w14:paraId="6D3625BB"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Stein</w:t>
      </w:r>
      <w:r>
        <w:rPr>
          <w:rFonts w:ascii="Times New Roman" w:hAnsi="Times New Roman" w:cs="Times New Roman"/>
          <w:sz w:val="24"/>
          <w:szCs w:val="24"/>
          <w:vertAlign w:val="baseline"/>
        </w:rPr>
        <w:t xml:space="preserve"> RL and </w:t>
      </w:r>
      <w:r w:rsidRPr="00672137">
        <w:rPr>
          <w:rFonts w:ascii="Times New Roman" w:hAnsi="Times New Roman" w:cs="Times New Roman"/>
          <w:sz w:val="24"/>
          <w:szCs w:val="24"/>
          <w:vertAlign w:val="baseline"/>
        </w:rPr>
        <w:t>Stein</w:t>
      </w:r>
      <w:r>
        <w:rPr>
          <w:rFonts w:ascii="Times New Roman" w:hAnsi="Times New Roman" w:cs="Times New Roman"/>
          <w:sz w:val="24"/>
          <w:szCs w:val="24"/>
          <w:vertAlign w:val="baseline"/>
        </w:rPr>
        <w:t xml:space="preserve"> PL</w:t>
      </w:r>
      <w:r w:rsidRPr="00672137">
        <w:rPr>
          <w:rFonts w:ascii="Times New Roman" w:hAnsi="Times New Roman" w:cs="Times New Roman"/>
          <w:sz w:val="24"/>
          <w:szCs w:val="24"/>
          <w:vertAlign w:val="baseline"/>
        </w:rPr>
        <w:t xml:space="preserve">, </w:t>
      </w:r>
      <w:r w:rsidRPr="00157DB5">
        <w:rPr>
          <w:rFonts w:ascii="Times New Roman" w:hAnsi="Times New Roman" w:cs="Times New Roman"/>
          <w:i/>
          <w:sz w:val="24"/>
          <w:szCs w:val="24"/>
          <w:vertAlign w:val="baseline"/>
        </w:rPr>
        <w:t>The Anthropology of Religion, Magic, and Witchcraft</w:t>
      </w:r>
      <w:r>
        <w:rPr>
          <w:rFonts w:ascii="Times New Roman" w:hAnsi="Times New Roman" w:cs="Times New Roman"/>
          <w:sz w:val="24"/>
          <w:szCs w:val="24"/>
          <w:vertAlign w:val="baseline"/>
        </w:rPr>
        <w:t xml:space="preserve">  </w:t>
      </w:r>
      <w:r w:rsidRPr="00672137">
        <w:rPr>
          <w:rFonts w:ascii="Times New Roman" w:hAnsi="Times New Roman" w:cs="Times New Roman"/>
          <w:sz w:val="24"/>
          <w:szCs w:val="24"/>
          <w:vertAlign w:val="baseline"/>
        </w:rPr>
        <w:t>(</w:t>
      </w:r>
      <w:r>
        <w:rPr>
          <w:rFonts w:ascii="Times New Roman" w:hAnsi="Times New Roman" w:cs="Times New Roman"/>
          <w:sz w:val="24"/>
          <w:szCs w:val="24"/>
          <w:vertAlign w:val="baseline"/>
        </w:rPr>
        <w:t>3</w:t>
      </w:r>
      <w:r>
        <w:rPr>
          <w:rFonts w:ascii="Times New Roman" w:hAnsi="Times New Roman" w:cs="Times New Roman"/>
          <w:sz w:val="24"/>
          <w:szCs w:val="24"/>
        </w:rPr>
        <w:t xml:space="preserve">rd </w:t>
      </w:r>
      <w:r>
        <w:rPr>
          <w:rFonts w:ascii="Times New Roman" w:hAnsi="Times New Roman" w:cs="Times New Roman"/>
          <w:sz w:val="24"/>
          <w:szCs w:val="24"/>
          <w:vertAlign w:val="baseline"/>
        </w:rPr>
        <w:t>edn, Pearson 2011)</w:t>
      </w:r>
    </w:p>
    <w:p w14:paraId="51526155" w14:textId="77777777" w:rsidR="003E2C58" w:rsidRDefault="003E2C58" w:rsidP="003E2C58">
      <w:pPr>
        <w:rPr>
          <w:rFonts w:ascii="Times New Roman" w:hAnsi="Times New Roman" w:cs="Times New Roman"/>
          <w:sz w:val="24"/>
          <w:szCs w:val="24"/>
          <w:vertAlign w:val="baseline"/>
        </w:rPr>
      </w:pPr>
    </w:p>
    <w:p w14:paraId="606CD105"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Steiner</w:t>
      </w:r>
      <w:r>
        <w:rPr>
          <w:rFonts w:ascii="Times New Roman" w:hAnsi="Times New Roman" w:cs="Times New Roman"/>
          <w:sz w:val="24"/>
          <w:szCs w:val="24"/>
          <w:vertAlign w:val="baseline"/>
        </w:rPr>
        <w:t xml:space="preserve"> HJ</w:t>
      </w:r>
      <w:r w:rsidRPr="00672137">
        <w:rPr>
          <w:rFonts w:ascii="Times New Roman" w:hAnsi="Times New Roman" w:cs="Times New Roman"/>
          <w:sz w:val="24"/>
          <w:szCs w:val="24"/>
          <w:vertAlign w:val="baseline"/>
        </w:rPr>
        <w:t xml:space="preserve">, Alston </w:t>
      </w:r>
      <w:r>
        <w:rPr>
          <w:rFonts w:ascii="Times New Roman" w:hAnsi="Times New Roman" w:cs="Times New Roman"/>
          <w:sz w:val="24"/>
          <w:szCs w:val="24"/>
          <w:vertAlign w:val="baseline"/>
        </w:rPr>
        <w:t xml:space="preserve">P </w:t>
      </w:r>
      <w:r w:rsidRPr="00672137">
        <w:rPr>
          <w:rFonts w:ascii="Times New Roman" w:hAnsi="Times New Roman" w:cs="Times New Roman"/>
          <w:sz w:val="24"/>
          <w:szCs w:val="24"/>
          <w:vertAlign w:val="baseline"/>
        </w:rPr>
        <w:t>and Goodman</w:t>
      </w:r>
      <w:r>
        <w:rPr>
          <w:rFonts w:ascii="Times New Roman" w:hAnsi="Times New Roman" w:cs="Times New Roman"/>
          <w:sz w:val="24"/>
          <w:szCs w:val="24"/>
          <w:vertAlign w:val="baseline"/>
        </w:rPr>
        <w:t xml:space="preserve"> R</w:t>
      </w:r>
      <w:r w:rsidRPr="00672137">
        <w:rPr>
          <w:rFonts w:ascii="Times New Roman" w:hAnsi="Times New Roman" w:cs="Times New Roman"/>
          <w:sz w:val="24"/>
          <w:szCs w:val="24"/>
          <w:vertAlign w:val="baseline"/>
        </w:rPr>
        <w:t xml:space="preserve">, </w:t>
      </w:r>
      <w:r w:rsidRPr="00871985">
        <w:rPr>
          <w:rFonts w:ascii="Times New Roman" w:hAnsi="Times New Roman" w:cs="Times New Roman"/>
          <w:i/>
          <w:sz w:val="24"/>
          <w:szCs w:val="24"/>
          <w:vertAlign w:val="baseline"/>
        </w:rPr>
        <w:t xml:space="preserve">International Human Rights in Context: Law, Politics, Morals </w:t>
      </w:r>
      <w:r>
        <w:rPr>
          <w:rFonts w:ascii="Times New Roman" w:hAnsi="Times New Roman" w:cs="Times New Roman"/>
          <w:sz w:val="24"/>
          <w:szCs w:val="24"/>
          <w:vertAlign w:val="baseline"/>
        </w:rPr>
        <w:t>(3</w:t>
      </w:r>
      <w:r w:rsidRPr="00E263BD">
        <w:rPr>
          <w:rFonts w:ascii="Times New Roman" w:hAnsi="Times New Roman" w:cs="Times New Roman"/>
          <w:sz w:val="24"/>
          <w:szCs w:val="24"/>
        </w:rPr>
        <w:t>rd</w:t>
      </w:r>
      <w:r>
        <w:rPr>
          <w:rFonts w:ascii="Times New Roman" w:hAnsi="Times New Roman" w:cs="Times New Roman"/>
          <w:sz w:val="24"/>
          <w:szCs w:val="24"/>
          <w:vertAlign w:val="baseline"/>
        </w:rPr>
        <w:t xml:space="preserve"> edn, OUP 2007)</w:t>
      </w:r>
    </w:p>
    <w:p w14:paraId="499B902C" w14:textId="77777777" w:rsidR="003E2C58" w:rsidRDefault="003E2C58" w:rsidP="003E2C58">
      <w:pPr>
        <w:rPr>
          <w:rFonts w:ascii="Times New Roman" w:hAnsi="Times New Roman" w:cs="Times New Roman"/>
          <w:sz w:val="24"/>
          <w:szCs w:val="24"/>
          <w:vertAlign w:val="baseline"/>
        </w:rPr>
      </w:pPr>
    </w:p>
    <w:p w14:paraId="6FF6BC47"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Stephens</w:t>
      </w:r>
      <w:r>
        <w:rPr>
          <w:rFonts w:ascii="Times New Roman" w:hAnsi="Times New Roman" w:cs="Times New Roman"/>
          <w:sz w:val="24"/>
          <w:szCs w:val="24"/>
          <w:vertAlign w:val="baseline"/>
        </w:rPr>
        <w:t xml:space="preserve"> W</w:t>
      </w:r>
      <w:r w:rsidRPr="00672137">
        <w:rPr>
          <w:rFonts w:ascii="Times New Roman" w:hAnsi="Times New Roman" w:cs="Times New Roman"/>
          <w:sz w:val="24"/>
          <w:szCs w:val="24"/>
          <w:vertAlign w:val="baseline"/>
        </w:rPr>
        <w:t xml:space="preserve">, </w:t>
      </w:r>
      <w:r w:rsidRPr="002324F1">
        <w:rPr>
          <w:rFonts w:ascii="Times New Roman" w:hAnsi="Times New Roman" w:cs="Times New Roman"/>
          <w:i/>
          <w:sz w:val="24"/>
          <w:szCs w:val="24"/>
          <w:vertAlign w:val="baseline"/>
        </w:rPr>
        <w:t>Demon Lovers: Witchcraft Sex and the Crisis of Belief</w:t>
      </w:r>
      <w:r>
        <w:rPr>
          <w:rFonts w:ascii="Times New Roman" w:hAnsi="Times New Roman" w:cs="Times New Roman"/>
          <w:sz w:val="24"/>
          <w:szCs w:val="24"/>
          <w:vertAlign w:val="baseline"/>
        </w:rPr>
        <w:t xml:space="preserve"> (Chicago 2003) </w:t>
      </w:r>
    </w:p>
    <w:p w14:paraId="67A1D6E4" w14:textId="77777777" w:rsidR="003E2C58" w:rsidRDefault="003E2C58" w:rsidP="003E2C58">
      <w:pPr>
        <w:rPr>
          <w:rFonts w:ascii="Times New Roman" w:hAnsi="Times New Roman" w:cs="Times New Roman"/>
          <w:sz w:val="24"/>
          <w:szCs w:val="24"/>
          <w:vertAlign w:val="baseline"/>
        </w:rPr>
      </w:pPr>
    </w:p>
    <w:p w14:paraId="3C61D3CF" w14:textId="77777777" w:rsidR="00A07F38" w:rsidRDefault="00A07F38" w:rsidP="00A07F3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Stepping Stones, ‘Report on Accusations of Witchcraft Against Childr</w:t>
      </w:r>
      <w:r>
        <w:rPr>
          <w:rFonts w:ascii="Times New Roman" w:hAnsi="Times New Roman" w:cs="Times New Roman"/>
          <w:sz w:val="24"/>
          <w:szCs w:val="24"/>
          <w:vertAlign w:val="baseline"/>
        </w:rPr>
        <w:t xml:space="preserve">en in Akwa Ibom State, Nigeria’ (Stepping Stones Nigeria, 2010) </w:t>
      </w:r>
      <w:r w:rsidRPr="00672137">
        <w:rPr>
          <w:rFonts w:ascii="Times New Roman" w:hAnsi="Times New Roman" w:cs="Times New Roman"/>
          <w:sz w:val="24"/>
          <w:szCs w:val="24"/>
          <w:vertAlign w:val="baseline"/>
        </w:rPr>
        <w:t>&lt;</w:t>
      </w:r>
      <w:hyperlink r:id="rId137" w:history="1">
        <w:r w:rsidRPr="001C46C8">
          <w:rPr>
            <w:rStyle w:val="Hyperlink"/>
            <w:rFonts w:ascii="Times New Roman" w:hAnsi="Times New Roman" w:cs="Times New Roman"/>
            <w:sz w:val="24"/>
            <w:szCs w:val="24"/>
            <w:vertAlign w:val="baseline"/>
          </w:rPr>
          <w:t>http://www.steppingstonesnigeria.org/images/pdf/ssn_report_to_commission.pdf&gt;</w:t>
        </w:r>
      </w:hyperlink>
      <w:r>
        <w:rPr>
          <w:rFonts w:ascii="Times New Roman" w:hAnsi="Times New Roman" w:cs="Times New Roman"/>
          <w:sz w:val="24"/>
          <w:szCs w:val="24"/>
          <w:vertAlign w:val="baseline"/>
        </w:rPr>
        <w:t xml:space="preserve"> accessed 28th April 2014</w:t>
      </w:r>
    </w:p>
    <w:p w14:paraId="10077D80" w14:textId="77777777" w:rsidR="00A07F38" w:rsidRPr="00672137" w:rsidRDefault="00A07F38" w:rsidP="00A07F38">
      <w:pPr>
        <w:rPr>
          <w:rFonts w:ascii="Times New Roman" w:hAnsi="Times New Roman" w:cs="Times New Roman"/>
          <w:sz w:val="24"/>
          <w:szCs w:val="24"/>
          <w:vertAlign w:val="baseline"/>
        </w:rPr>
      </w:pPr>
    </w:p>
    <w:p w14:paraId="0A664E0D" w14:textId="77777777" w:rsidR="00A07F38" w:rsidRPr="00672137" w:rsidRDefault="00A07F38" w:rsidP="00A07F3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Stepping Stones, ‘Witchcraft Stigmatisation and Children’s Rights in Nigeria’ (May 2010) 54th Session of the UN Committee on the Rights of the Child Geneva &lt;</w:t>
      </w:r>
      <w:hyperlink r:id="rId138" w:history="1">
        <w:r w:rsidRPr="001C46C8">
          <w:rPr>
            <w:rStyle w:val="Hyperlink"/>
            <w:rFonts w:ascii="Times New Roman" w:hAnsi="Times New Roman" w:cs="Times New Roman"/>
            <w:sz w:val="24"/>
            <w:szCs w:val="24"/>
            <w:vertAlign w:val="baseline"/>
          </w:rPr>
          <w:t>http://www.steppingstonesnigeria.org/images/pdf/Shadow_Report_Low_Res.pdf&gt;</w:t>
        </w:r>
      </w:hyperlink>
      <w:r>
        <w:rPr>
          <w:rFonts w:ascii="Times New Roman" w:hAnsi="Times New Roman" w:cs="Times New Roman"/>
          <w:sz w:val="24"/>
          <w:szCs w:val="24"/>
          <w:vertAlign w:val="baseline"/>
        </w:rPr>
        <w:t xml:space="preserve"> accessed 28th April 2014</w:t>
      </w:r>
    </w:p>
    <w:p w14:paraId="2D449DAD" w14:textId="77777777" w:rsidR="00A07F38" w:rsidRDefault="00A07F38" w:rsidP="003E2C58">
      <w:pPr>
        <w:rPr>
          <w:rFonts w:ascii="Times New Roman" w:hAnsi="Times New Roman" w:cs="Times New Roman"/>
          <w:sz w:val="24"/>
          <w:szCs w:val="24"/>
          <w:vertAlign w:val="baseline"/>
        </w:rPr>
      </w:pPr>
    </w:p>
    <w:p w14:paraId="46BDE6A2"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Stratton</w:t>
      </w:r>
      <w:r>
        <w:rPr>
          <w:rFonts w:ascii="Times New Roman" w:hAnsi="Times New Roman" w:cs="Times New Roman"/>
          <w:sz w:val="24"/>
          <w:szCs w:val="24"/>
          <w:vertAlign w:val="baseline"/>
        </w:rPr>
        <w:t xml:space="preserve"> KB</w:t>
      </w:r>
      <w:r w:rsidRPr="00672137">
        <w:rPr>
          <w:rFonts w:ascii="Times New Roman" w:hAnsi="Times New Roman" w:cs="Times New Roman"/>
          <w:sz w:val="24"/>
          <w:szCs w:val="24"/>
          <w:vertAlign w:val="baseline"/>
        </w:rPr>
        <w:t xml:space="preserve">, </w:t>
      </w:r>
      <w:r w:rsidRPr="00D777A6">
        <w:rPr>
          <w:rFonts w:ascii="Times New Roman" w:hAnsi="Times New Roman" w:cs="Times New Roman"/>
          <w:i/>
          <w:sz w:val="24"/>
          <w:szCs w:val="24"/>
          <w:vertAlign w:val="baseline"/>
        </w:rPr>
        <w:t xml:space="preserve">Naming the witch: Magic, Ideology &amp; Stereotype in the Ancient World </w:t>
      </w:r>
      <w:r w:rsidRPr="00D777A6">
        <w:rPr>
          <w:rFonts w:ascii="Times New Roman" w:hAnsi="Times New Roman" w:cs="Times New Roman"/>
          <w:sz w:val="24"/>
          <w:szCs w:val="24"/>
          <w:vertAlign w:val="baseline"/>
        </w:rPr>
        <w:t>(</w:t>
      </w:r>
      <w:r w:rsidRPr="00672137">
        <w:rPr>
          <w:rFonts w:ascii="Times New Roman" w:hAnsi="Times New Roman" w:cs="Times New Roman"/>
          <w:sz w:val="24"/>
          <w:szCs w:val="24"/>
          <w:vertAlign w:val="baseline"/>
        </w:rPr>
        <w:t>Col</w:t>
      </w:r>
      <w:r>
        <w:rPr>
          <w:rFonts w:ascii="Times New Roman" w:hAnsi="Times New Roman" w:cs="Times New Roman"/>
          <w:sz w:val="24"/>
          <w:szCs w:val="24"/>
          <w:vertAlign w:val="baseline"/>
        </w:rPr>
        <w:t>umbia University Press 2007)</w:t>
      </w:r>
    </w:p>
    <w:p w14:paraId="7E45ADB7" w14:textId="77777777" w:rsidR="003E2C58" w:rsidRDefault="003E2C58" w:rsidP="003E2C58">
      <w:pPr>
        <w:rPr>
          <w:rFonts w:ascii="Times New Roman" w:hAnsi="Times New Roman" w:cs="Times New Roman"/>
          <w:sz w:val="24"/>
          <w:szCs w:val="24"/>
          <w:vertAlign w:val="baseline"/>
        </w:rPr>
      </w:pPr>
    </w:p>
    <w:p w14:paraId="52262FA7"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Taket</w:t>
      </w:r>
      <w:r>
        <w:rPr>
          <w:rFonts w:ascii="Times New Roman" w:hAnsi="Times New Roman" w:cs="Times New Roman"/>
          <w:sz w:val="24"/>
          <w:szCs w:val="24"/>
          <w:vertAlign w:val="baseline"/>
        </w:rPr>
        <w:t xml:space="preserve"> AR</w:t>
      </w:r>
      <w:r w:rsidRPr="00672137">
        <w:rPr>
          <w:rFonts w:ascii="Times New Roman" w:hAnsi="Times New Roman" w:cs="Times New Roman"/>
          <w:sz w:val="24"/>
          <w:szCs w:val="24"/>
          <w:vertAlign w:val="baseline"/>
        </w:rPr>
        <w:t xml:space="preserve">, Health Equity, </w:t>
      </w:r>
      <w:r w:rsidRPr="0022616D">
        <w:rPr>
          <w:rFonts w:ascii="Times New Roman" w:hAnsi="Times New Roman" w:cs="Times New Roman"/>
          <w:i/>
          <w:sz w:val="24"/>
          <w:szCs w:val="24"/>
          <w:vertAlign w:val="baseline"/>
        </w:rPr>
        <w:t>Social Justice and Human Rights</w:t>
      </w:r>
      <w:r>
        <w:rPr>
          <w:rFonts w:ascii="Times New Roman" w:hAnsi="Times New Roman" w:cs="Times New Roman"/>
          <w:sz w:val="24"/>
          <w:szCs w:val="24"/>
          <w:vertAlign w:val="baseline"/>
        </w:rPr>
        <w:t xml:space="preserve"> (Routledge 2012)</w:t>
      </w:r>
    </w:p>
    <w:p w14:paraId="5B09BA4A" w14:textId="2B408216"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Tamanaha</w:t>
      </w:r>
      <w:r>
        <w:rPr>
          <w:rFonts w:ascii="Times New Roman" w:hAnsi="Times New Roman" w:cs="Times New Roman"/>
          <w:sz w:val="24"/>
          <w:szCs w:val="24"/>
          <w:vertAlign w:val="baseline"/>
        </w:rPr>
        <w:t xml:space="preserve"> B</w:t>
      </w:r>
      <w:r w:rsidRPr="00672137">
        <w:rPr>
          <w:rFonts w:ascii="Times New Roman" w:hAnsi="Times New Roman" w:cs="Times New Roman"/>
          <w:sz w:val="24"/>
          <w:szCs w:val="24"/>
          <w:vertAlign w:val="baseline"/>
        </w:rPr>
        <w:t>, ‘</w:t>
      </w:r>
      <w:r w:rsidR="00655C14" w:rsidRPr="00672137">
        <w:rPr>
          <w:rFonts w:ascii="Times New Roman" w:hAnsi="Times New Roman" w:cs="Times New Roman"/>
          <w:sz w:val="24"/>
          <w:szCs w:val="24"/>
          <w:vertAlign w:val="baseline"/>
        </w:rPr>
        <w:t>Understanding</w:t>
      </w:r>
      <w:r w:rsidRPr="00672137">
        <w:rPr>
          <w:rFonts w:ascii="Times New Roman" w:hAnsi="Times New Roman" w:cs="Times New Roman"/>
          <w:sz w:val="24"/>
          <w:szCs w:val="24"/>
          <w:vertAlign w:val="baseline"/>
        </w:rPr>
        <w:t xml:space="preserve"> Legal Pluralism: Past, to Present, Local to Global’ (2</w:t>
      </w:r>
      <w:r>
        <w:rPr>
          <w:rFonts w:ascii="Times New Roman" w:hAnsi="Times New Roman" w:cs="Times New Roman"/>
          <w:sz w:val="24"/>
          <w:szCs w:val="24"/>
          <w:vertAlign w:val="baseline"/>
        </w:rPr>
        <w:t>009) 30 University of Sydney L Rev 375</w:t>
      </w:r>
    </w:p>
    <w:p w14:paraId="1F3C9E4C" w14:textId="77777777" w:rsidR="003E2C58" w:rsidRDefault="003E2C58" w:rsidP="003E2C58">
      <w:pPr>
        <w:rPr>
          <w:rFonts w:ascii="Times New Roman" w:hAnsi="Times New Roman" w:cs="Times New Roman"/>
          <w:sz w:val="24"/>
          <w:szCs w:val="24"/>
          <w:vertAlign w:val="baseline"/>
        </w:rPr>
      </w:pPr>
    </w:p>
    <w:p w14:paraId="73919549"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Taylor</w:t>
      </w:r>
      <w:r>
        <w:rPr>
          <w:rFonts w:ascii="Times New Roman" w:hAnsi="Times New Roman" w:cs="Times New Roman"/>
          <w:sz w:val="24"/>
          <w:szCs w:val="24"/>
          <w:vertAlign w:val="baseline"/>
        </w:rPr>
        <w:t xml:space="preserve"> D</w:t>
      </w:r>
      <w:r w:rsidRPr="00672137">
        <w:rPr>
          <w:rFonts w:ascii="Times New Roman" w:hAnsi="Times New Roman" w:cs="Times New Roman"/>
          <w:sz w:val="24"/>
          <w:szCs w:val="24"/>
          <w:vertAlign w:val="baseline"/>
        </w:rPr>
        <w:t>, ‘Theologica</w:t>
      </w:r>
      <w:r>
        <w:rPr>
          <w:rFonts w:ascii="Times New Roman" w:hAnsi="Times New Roman" w:cs="Times New Roman"/>
          <w:sz w:val="24"/>
          <w:szCs w:val="24"/>
          <w:vertAlign w:val="baseline"/>
        </w:rPr>
        <w:t xml:space="preserve">l thoughts about evil’ in </w:t>
      </w:r>
      <w:r w:rsidRPr="00672137">
        <w:rPr>
          <w:rFonts w:ascii="Times New Roman" w:hAnsi="Times New Roman" w:cs="Times New Roman"/>
          <w:sz w:val="24"/>
          <w:szCs w:val="24"/>
          <w:vertAlign w:val="baseline"/>
        </w:rPr>
        <w:t>Parkin</w:t>
      </w:r>
      <w:r>
        <w:rPr>
          <w:rFonts w:ascii="Times New Roman" w:hAnsi="Times New Roman" w:cs="Times New Roman"/>
          <w:sz w:val="24"/>
          <w:szCs w:val="24"/>
          <w:vertAlign w:val="baseline"/>
        </w:rPr>
        <w:t xml:space="preserve"> D</w:t>
      </w:r>
      <w:r w:rsidRPr="00672137">
        <w:rPr>
          <w:rFonts w:ascii="Times New Roman" w:hAnsi="Times New Roman" w:cs="Times New Roman"/>
          <w:sz w:val="24"/>
          <w:szCs w:val="24"/>
          <w:vertAlign w:val="baseline"/>
        </w:rPr>
        <w:t xml:space="preserve">, </w:t>
      </w:r>
      <w:r w:rsidRPr="00D13FDB">
        <w:rPr>
          <w:rFonts w:ascii="Times New Roman" w:hAnsi="Times New Roman" w:cs="Times New Roman"/>
          <w:i/>
          <w:sz w:val="24"/>
          <w:szCs w:val="24"/>
          <w:vertAlign w:val="baseline"/>
        </w:rPr>
        <w:t>The Anthropology of Evil</w:t>
      </w:r>
      <w:r>
        <w:rPr>
          <w:rFonts w:ascii="Times New Roman" w:hAnsi="Times New Roman" w:cs="Times New Roman"/>
          <w:sz w:val="24"/>
          <w:szCs w:val="24"/>
          <w:vertAlign w:val="baseline"/>
        </w:rPr>
        <w:t xml:space="preserve"> (Blackwell 1985)</w:t>
      </w:r>
    </w:p>
    <w:p w14:paraId="3318FCE5" w14:textId="77777777" w:rsidR="003E2C58" w:rsidRDefault="003E2C58" w:rsidP="003E2C58">
      <w:pPr>
        <w:rPr>
          <w:rFonts w:ascii="Times New Roman" w:hAnsi="Times New Roman" w:cs="Times New Roman"/>
          <w:sz w:val="24"/>
          <w:szCs w:val="24"/>
          <w:vertAlign w:val="baseline"/>
        </w:rPr>
      </w:pPr>
    </w:p>
    <w:p w14:paraId="60AA9BE8"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Ter Haar</w:t>
      </w:r>
      <w:r>
        <w:rPr>
          <w:rFonts w:ascii="Times New Roman" w:hAnsi="Times New Roman" w:cs="Times New Roman"/>
          <w:sz w:val="24"/>
          <w:szCs w:val="24"/>
          <w:vertAlign w:val="baseline"/>
        </w:rPr>
        <w:t xml:space="preserve"> G</w:t>
      </w:r>
      <w:r w:rsidRPr="00672137">
        <w:rPr>
          <w:rFonts w:ascii="Times New Roman" w:hAnsi="Times New Roman" w:cs="Times New Roman"/>
          <w:sz w:val="24"/>
          <w:szCs w:val="24"/>
          <w:vertAlign w:val="baseline"/>
        </w:rPr>
        <w:t xml:space="preserve">, </w:t>
      </w:r>
      <w:r w:rsidRPr="000E7CA1">
        <w:rPr>
          <w:rFonts w:ascii="Times New Roman" w:hAnsi="Times New Roman" w:cs="Times New Roman"/>
          <w:i/>
          <w:sz w:val="24"/>
          <w:szCs w:val="24"/>
          <w:vertAlign w:val="baseline"/>
        </w:rPr>
        <w:t>Imagining Evil: Witchcraft Beliefs and Accusations in Contemporary Africa</w:t>
      </w:r>
      <w:r>
        <w:rPr>
          <w:rFonts w:ascii="Times New Roman" w:hAnsi="Times New Roman" w:cs="Times New Roman"/>
          <w:sz w:val="24"/>
          <w:szCs w:val="24"/>
          <w:vertAlign w:val="baseline"/>
        </w:rPr>
        <w:t xml:space="preserve"> (Africa World Press 2007) </w:t>
      </w:r>
    </w:p>
    <w:p w14:paraId="0C2BEE66" w14:textId="77777777" w:rsidR="003E2C58" w:rsidRDefault="003E2C58" w:rsidP="003E2C58">
      <w:pPr>
        <w:rPr>
          <w:rFonts w:ascii="Times New Roman" w:hAnsi="Times New Roman" w:cs="Times New Roman"/>
          <w:sz w:val="24"/>
          <w:szCs w:val="24"/>
          <w:vertAlign w:val="baseline"/>
        </w:rPr>
      </w:pPr>
    </w:p>
    <w:p w14:paraId="2A2FA55B"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 xml:space="preserve">Tertullian, </w:t>
      </w:r>
      <w:r w:rsidRPr="00B541F3">
        <w:rPr>
          <w:rFonts w:ascii="Times New Roman" w:hAnsi="Times New Roman" w:cs="Times New Roman"/>
          <w:i/>
          <w:sz w:val="24"/>
          <w:szCs w:val="24"/>
          <w:vertAlign w:val="baseline"/>
        </w:rPr>
        <w:t>On the Apparel of Women</w:t>
      </w:r>
      <w:r w:rsidRPr="00672137">
        <w:rPr>
          <w:rFonts w:ascii="Times New Roman" w:hAnsi="Times New Roman" w:cs="Times New Roman"/>
          <w:sz w:val="24"/>
          <w:szCs w:val="24"/>
          <w:vertAlign w:val="baseline"/>
        </w:rPr>
        <w:t xml:space="preserve"> (first published 202 C.E., Kessinger Publishing 2004)</w:t>
      </w:r>
    </w:p>
    <w:p w14:paraId="00E768A8" w14:textId="77777777" w:rsidR="003E2C58" w:rsidRDefault="003E2C58" w:rsidP="003E2C58">
      <w:pPr>
        <w:rPr>
          <w:rFonts w:ascii="Times New Roman" w:hAnsi="Times New Roman" w:cs="Times New Roman"/>
          <w:sz w:val="24"/>
          <w:szCs w:val="24"/>
          <w:vertAlign w:val="baseline"/>
        </w:rPr>
      </w:pPr>
    </w:p>
    <w:p w14:paraId="6B5CAEEC" w14:textId="77777777" w:rsidR="005C6223" w:rsidRDefault="005C6223" w:rsidP="005C6223">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TEWA (meaning support) Philanthropy for Equitable Justice and Peace &lt;</w:t>
      </w:r>
      <w:hyperlink r:id="rId139" w:history="1">
        <w:r w:rsidRPr="00337C44">
          <w:rPr>
            <w:rStyle w:val="Hyperlink"/>
            <w:rFonts w:ascii="Times New Roman" w:hAnsi="Times New Roman" w:cs="Times New Roman"/>
            <w:sz w:val="24"/>
            <w:szCs w:val="24"/>
            <w:vertAlign w:val="baseline"/>
          </w:rPr>
          <w:t>http://www.tewa.org.np/site/index.php&gt;</w:t>
        </w:r>
      </w:hyperlink>
      <w:r w:rsidRPr="00672137">
        <w:rPr>
          <w:rFonts w:ascii="Times New Roman" w:hAnsi="Times New Roman" w:cs="Times New Roman"/>
          <w:sz w:val="24"/>
          <w:szCs w:val="24"/>
          <w:vertAlign w:val="baseline"/>
        </w:rPr>
        <w:t xml:space="preserve"> accessed 8 September 2015</w:t>
      </w:r>
    </w:p>
    <w:p w14:paraId="34C4577A" w14:textId="77777777" w:rsidR="005C6223" w:rsidRDefault="005C6223" w:rsidP="003E2C58">
      <w:pPr>
        <w:rPr>
          <w:rFonts w:ascii="Times New Roman" w:hAnsi="Times New Roman" w:cs="Times New Roman"/>
          <w:sz w:val="24"/>
          <w:szCs w:val="24"/>
          <w:vertAlign w:val="baseline"/>
        </w:rPr>
      </w:pPr>
    </w:p>
    <w:p w14:paraId="48A6AB47"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Thapa</w:t>
      </w:r>
      <w:r>
        <w:rPr>
          <w:rFonts w:ascii="Times New Roman" w:hAnsi="Times New Roman" w:cs="Times New Roman"/>
          <w:sz w:val="24"/>
          <w:szCs w:val="24"/>
          <w:vertAlign w:val="baseline"/>
        </w:rPr>
        <w:t xml:space="preserve"> KB</w:t>
      </w:r>
      <w:r w:rsidRPr="00672137">
        <w:rPr>
          <w:rFonts w:ascii="Times New Roman" w:hAnsi="Times New Roman" w:cs="Times New Roman"/>
          <w:sz w:val="24"/>
          <w:szCs w:val="24"/>
          <w:vertAlign w:val="baseline"/>
        </w:rPr>
        <w:t>, ‘Religion and Law in Nepal,’ International Cent</w:t>
      </w:r>
      <w:r>
        <w:rPr>
          <w:rFonts w:ascii="Times New Roman" w:hAnsi="Times New Roman" w:cs="Times New Roman"/>
          <w:sz w:val="24"/>
          <w:szCs w:val="24"/>
          <w:vertAlign w:val="baseline"/>
        </w:rPr>
        <w:t>re for Law and Religion Studies</w:t>
      </w:r>
      <w:r w:rsidRPr="00672137">
        <w:rPr>
          <w:rFonts w:ascii="Times New Roman" w:hAnsi="Times New Roman" w:cs="Times New Roman"/>
          <w:sz w:val="24"/>
          <w:szCs w:val="24"/>
          <w:vertAlign w:val="baseline"/>
        </w:rPr>
        <w:t xml:space="preserve"> 517 &lt;</w:t>
      </w:r>
      <w:hyperlink r:id="rId140" w:history="1">
        <w:r w:rsidRPr="008359FA">
          <w:rPr>
            <w:rStyle w:val="Hyperlink"/>
            <w:rFonts w:ascii="Times New Roman" w:hAnsi="Times New Roman" w:cs="Times New Roman"/>
            <w:sz w:val="24"/>
            <w:szCs w:val="24"/>
            <w:vertAlign w:val="baseline"/>
          </w:rPr>
          <w:t>http://www.iclrs.org/content/blurb/files/Nepal.pdf&gt;</w:t>
        </w:r>
      </w:hyperlink>
      <w:r w:rsidRPr="00672137">
        <w:rPr>
          <w:rFonts w:ascii="Times New Roman" w:hAnsi="Times New Roman" w:cs="Times New Roman"/>
          <w:sz w:val="24"/>
          <w:szCs w:val="24"/>
          <w:vertAlign w:val="baseline"/>
        </w:rPr>
        <w:t xml:space="preserve"> accessed 7 October 2015</w:t>
      </w:r>
    </w:p>
    <w:p w14:paraId="3D05B01D" w14:textId="77777777" w:rsidR="003E2C58" w:rsidRDefault="003E2C58" w:rsidP="003E2C58">
      <w:pPr>
        <w:rPr>
          <w:rFonts w:ascii="Times New Roman" w:hAnsi="Times New Roman" w:cs="Times New Roman"/>
          <w:sz w:val="24"/>
          <w:szCs w:val="24"/>
          <w:vertAlign w:val="baseline"/>
        </w:rPr>
      </w:pPr>
    </w:p>
    <w:p w14:paraId="53E40289" w14:textId="77777777" w:rsidR="00BA0C02" w:rsidRDefault="00BA0C02" w:rsidP="00BA0C02">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Thaver</w:t>
      </w:r>
      <w:r>
        <w:rPr>
          <w:rFonts w:ascii="Times New Roman" w:hAnsi="Times New Roman" w:cs="Times New Roman"/>
          <w:sz w:val="24"/>
          <w:szCs w:val="24"/>
          <w:vertAlign w:val="baseline"/>
        </w:rPr>
        <w:t xml:space="preserve"> M</w:t>
      </w:r>
      <w:r w:rsidRPr="00672137">
        <w:rPr>
          <w:rFonts w:ascii="Times New Roman" w:hAnsi="Times New Roman" w:cs="Times New Roman"/>
          <w:sz w:val="24"/>
          <w:szCs w:val="24"/>
          <w:vertAlign w:val="baseline"/>
        </w:rPr>
        <w:t xml:space="preserve">, ‘Black Magic Act: First conviction now course material for police training’ </w:t>
      </w:r>
      <w:r w:rsidRPr="00DA7F5D">
        <w:rPr>
          <w:rFonts w:ascii="Times New Roman" w:hAnsi="Times New Roman" w:cs="Times New Roman"/>
          <w:i/>
          <w:sz w:val="24"/>
          <w:szCs w:val="24"/>
          <w:vertAlign w:val="baseline"/>
        </w:rPr>
        <w:t>The Indian Express</w:t>
      </w:r>
      <w:r w:rsidRPr="00672137">
        <w:rPr>
          <w:rFonts w:ascii="Times New Roman" w:hAnsi="Times New Roman" w:cs="Times New Roman"/>
          <w:sz w:val="24"/>
          <w:szCs w:val="24"/>
          <w:vertAlign w:val="baseline"/>
        </w:rPr>
        <w:t xml:space="preserve"> (Mumbai, 20 August 2015) &lt;</w:t>
      </w:r>
      <w:hyperlink r:id="rId141" w:history="1">
        <w:r w:rsidRPr="00DA7F5D">
          <w:rPr>
            <w:rStyle w:val="Hyperlink"/>
            <w:rFonts w:ascii="Times New Roman" w:hAnsi="Times New Roman" w:cs="Times New Roman"/>
            <w:sz w:val="24"/>
            <w:szCs w:val="24"/>
            <w:vertAlign w:val="baseline"/>
          </w:rPr>
          <w:t>http://indianexpress.com/article/cities/mumbai/black-magic-act-first-conviction-now-course-material-for-police-training/&gt;</w:t>
        </w:r>
      </w:hyperlink>
      <w:r w:rsidRPr="00672137">
        <w:rPr>
          <w:rFonts w:ascii="Times New Roman" w:hAnsi="Times New Roman" w:cs="Times New Roman"/>
          <w:sz w:val="24"/>
          <w:szCs w:val="24"/>
          <w:vertAlign w:val="baseline"/>
        </w:rPr>
        <w:t xml:space="preserve"> accessed 1 February 2016</w:t>
      </w:r>
    </w:p>
    <w:p w14:paraId="6D42304A" w14:textId="77777777" w:rsidR="00BA0C02" w:rsidRDefault="00BA0C02" w:rsidP="00BA0C02">
      <w:pPr>
        <w:rPr>
          <w:rFonts w:ascii="Times New Roman" w:hAnsi="Times New Roman" w:cs="Times New Roman"/>
          <w:sz w:val="24"/>
          <w:szCs w:val="24"/>
          <w:vertAlign w:val="baseline"/>
        </w:rPr>
      </w:pPr>
    </w:p>
    <w:p w14:paraId="2E18475E" w14:textId="77777777" w:rsidR="00EB3D65" w:rsidRDefault="00EB3D65" w:rsidP="00EB3D65">
      <w:pPr>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The Chieftaincy Project, </w:t>
      </w:r>
      <w:r w:rsidRPr="00672137">
        <w:rPr>
          <w:rFonts w:ascii="Times New Roman" w:hAnsi="Times New Roman" w:cs="Times New Roman"/>
          <w:sz w:val="24"/>
          <w:szCs w:val="24"/>
          <w:vertAlign w:val="baseline"/>
        </w:rPr>
        <w:t>‘Chieftaincy, Governance and Traditional Leadership Portal’ &lt;</w:t>
      </w:r>
      <w:hyperlink r:id="rId142" w:history="1">
        <w:r w:rsidRPr="00C245FE">
          <w:rPr>
            <w:rStyle w:val="Hyperlink"/>
            <w:rFonts w:ascii="Times New Roman" w:hAnsi="Times New Roman" w:cs="Times New Roman"/>
            <w:sz w:val="24"/>
            <w:szCs w:val="24"/>
            <w:vertAlign w:val="baseline"/>
          </w:rPr>
          <w:t>http://chieftaincy.org/&gt;</w:t>
        </w:r>
      </w:hyperlink>
      <w:r w:rsidRPr="00672137">
        <w:rPr>
          <w:rFonts w:ascii="Times New Roman" w:hAnsi="Times New Roman" w:cs="Times New Roman"/>
          <w:sz w:val="24"/>
          <w:szCs w:val="24"/>
          <w:vertAlign w:val="baseline"/>
        </w:rPr>
        <w:t xml:space="preserve"> accessed 28 September 2015</w:t>
      </w:r>
    </w:p>
    <w:p w14:paraId="5846C59F" w14:textId="77777777" w:rsidR="00EB3D65" w:rsidRDefault="00EB3D65" w:rsidP="00BA0C02">
      <w:pPr>
        <w:rPr>
          <w:rFonts w:ascii="Times New Roman" w:hAnsi="Times New Roman" w:cs="Times New Roman"/>
          <w:sz w:val="24"/>
          <w:szCs w:val="24"/>
          <w:vertAlign w:val="baseline"/>
        </w:rPr>
      </w:pPr>
    </w:p>
    <w:p w14:paraId="142B054E" w14:textId="77777777" w:rsidR="00BA0C02" w:rsidRDefault="00BA0C02" w:rsidP="00BA0C02">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The World Bank, ‘Tackling Poverty in Northe</w:t>
      </w:r>
      <w:r>
        <w:rPr>
          <w:rFonts w:ascii="Times New Roman" w:hAnsi="Times New Roman" w:cs="Times New Roman"/>
          <w:sz w:val="24"/>
          <w:szCs w:val="24"/>
          <w:vertAlign w:val="baseline"/>
        </w:rPr>
        <w:t xml:space="preserve">rn Ghana’ (The World Bank, </w:t>
      </w:r>
      <w:r w:rsidRPr="00672137">
        <w:rPr>
          <w:rFonts w:ascii="Times New Roman" w:hAnsi="Times New Roman" w:cs="Times New Roman"/>
          <w:sz w:val="24"/>
          <w:szCs w:val="24"/>
          <w:vertAlign w:val="baseline"/>
        </w:rPr>
        <w:t>2011) &lt;</w:t>
      </w:r>
      <w:hyperlink r:id="rId143" w:history="1">
        <w:r w:rsidRPr="00702F67">
          <w:rPr>
            <w:rStyle w:val="Hyperlink"/>
            <w:rFonts w:ascii="Times New Roman" w:hAnsi="Times New Roman" w:cs="Times New Roman"/>
            <w:sz w:val="24"/>
            <w:szCs w:val="24"/>
            <w:vertAlign w:val="baseline"/>
          </w:rPr>
          <w:t>http://documents.worldbank.org/curated/en/2011/03/14238095/tackling-poverty-northern-ghana&gt; a</w:t>
        </w:r>
      </w:hyperlink>
      <w:r>
        <w:rPr>
          <w:rFonts w:ascii="Times New Roman" w:hAnsi="Times New Roman" w:cs="Times New Roman"/>
          <w:sz w:val="24"/>
          <w:szCs w:val="24"/>
          <w:vertAlign w:val="baseline"/>
        </w:rPr>
        <w:t>ccessed 6 February 2015</w:t>
      </w:r>
    </w:p>
    <w:p w14:paraId="2AAE0F02" w14:textId="77777777" w:rsidR="00BA0C02" w:rsidRDefault="00BA0C02" w:rsidP="00BA0C02">
      <w:pPr>
        <w:rPr>
          <w:rFonts w:ascii="Times New Roman" w:hAnsi="Times New Roman" w:cs="Times New Roman"/>
          <w:sz w:val="24"/>
          <w:szCs w:val="24"/>
          <w:vertAlign w:val="baseline"/>
        </w:rPr>
      </w:pPr>
    </w:p>
    <w:p w14:paraId="120529BC" w14:textId="6B1ED6C1" w:rsidR="00BA0C02" w:rsidRDefault="00BA0C02" w:rsidP="00BA0C02">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Thomas</w:t>
      </w:r>
      <w:r>
        <w:rPr>
          <w:rFonts w:ascii="Times New Roman" w:hAnsi="Times New Roman" w:cs="Times New Roman"/>
          <w:sz w:val="24"/>
          <w:szCs w:val="24"/>
          <w:vertAlign w:val="baseline"/>
        </w:rPr>
        <w:t xml:space="preserve"> K</w:t>
      </w:r>
      <w:r w:rsidRPr="00672137">
        <w:rPr>
          <w:rFonts w:ascii="Times New Roman" w:hAnsi="Times New Roman" w:cs="Times New Roman"/>
          <w:sz w:val="24"/>
          <w:szCs w:val="24"/>
          <w:vertAlign w:val="baseline"/>
        </w:rPr>
        <w:t xml:space="preserve">, </w:t>
      </w:r>
      <w:r w:rsidRPr="00FB7111">
        <w:rPr>
          <w:rFonts w:ascii="Times New Roman" w:hAnsi="Times New Roman" w:cs="Times New Roman"/>
          <w:i/>
          <w:sz w:val="24"/>
          <w:szCs w:val="24"/>
          <w:vertAlign w:val="baseline"/>
        </w:rPr>
        <w:t>Religion and the Decline of Magic</w:t>
      </w:r>
      <w:r>
        <w:rPr>
          <w:rFonts w:ascii="Times New Roman" w:hAnsi="Times New Roman" w:cs="Times New Roman"/>
          <w:sz w:val="24"/>
          <w:szCs w:val="24"/>
          <w:vertAlign w:val="baseline"/>
        </w:rPr>
        <w:t xml:space="preserve"> (Penguin 1971)</w:t>
      </w:r>
    </w:p>
    <w:p w14:paraId="19219291" w14:textId="77777777" w:rsidR="00BA0C02" w:rsidRDefault="00BA0C02" w:rsidP="00BA0C02">
      <w:pPr>
        <w:rPr>
          <w:rFonts w:ascii="Times New Roman" w:hAnsi="Times New Roman" w:cs="Times New Roman"/>
          <w:sz w:val="24"/>
          <w:szCs w:val="24"/>
          <w:vertAlign w:val="baseline"/>
        </w:rPr>
      </w:pPr>
    </w:p>
    <w:p w14:paraId="1F43691E" w14:textId="77777777" w:rsidR="00BA0C02" w:rsidRDefault="00BA0C02" w:rsidP="00BA0C02">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Thompson</w:t>
      </w:r>
      <w:r>
        <w:rPr>
          <w:rFonts w:ascii="Times New Roman" w:hAnsi="Times New Roman" w:cs="Times New Roman"/>
          <w:sz w:val="24"/>
          <w:szCs w:val="24"/>
          <w:vertAlign w:val="baseline"/>
        </w:rPr>
        <w:t xml:space="preserve"> A, ‘Witchdoctors exposed’ </w:t>
      </w:r>
      <w:r w:rsidRPr="00AF5EA6">
        <w:rPr>
          <w:rFonts w:ascii="Times New Roman" w:hAnsi="Times New Roman" w:cs="Times New Roman"/>
          <w:i/>
          <w:sz w:val="24"/>
          <w:szCs w:val="24"/>
          <w:vertAlign w:val="baseline"/>
        </w:rPr>
        <w:t>Daily Mail</w:t>
      </w:r>
      <w:r>
        <w:rPr>
          <w:rFonts w:ascii="Times New Roman" w:hAnsi="Times New Roman" w:cs="Times New Roman"/>
          <w:sz w:val="24"/>
          <w:szCs w:val="24"/>
          <w:vertAlign w:val="baseline"/>
        </w:rPr>
        <w:t xml:space="preserve"> (London, </w:t>
      </w:r>
      <w:r w:rsidRPr="00672137">
        <w:rPr>
          <w:rFonts w:ascii="Times New Roman" w:hAnsi="Times New Roman" w:cs="Times New Roman"/>
          <w:sz w:val="24"/>
          <w:szCs w:val="24"/>
          <w:vertAlign w:val="baseline"/>
        </w:rPr>
        <w:t>16 September 2014) &lt;</w:t>
      </w:r>
      <w:hyperlink r:id="rId144" w:history="1">
        <w:r w:rsidRPr="00AF5EA6">
          <w:rPr>
            <w:rStyle w:val="Hyperlink"/>
            <w:rFonts w:ascii="Times New Roman" w:hAnsi="Times New Roman" w:cs="Times New Roman"/>
            <w:sz w:val="24"/>
            <w:szCs w:val="24"/>
            <w:vertAlign w:val="baseline"/>
          </w:rPr>
          <w:t>http://www.dailymail.co.uk/news/article-158843/Witchdoctors-exposed.html&gt;</w:t>
        </w:r>
      </w:hyperlink>
      <w:r w:rsidRPr="00672137">
        <w:rPr>
          <w:rFonts w:ascii="Times New Roman" w:hAnsi="Times New Roman" w:cs="Times New Roman"/>
          <w:sz w:val="24"/>
          <w:szCs w:val="24"/>
          <w:vertAlign w:val="baseline"/>
        </w:rPr>
        <w:t xml:space="preserve"> accessed 16 September 2014</w:t>
      </w:r>
    </w:p>
    <w:p w14:paraId="2007E525" w14:textId="77777777" w:rsidR="00EB3D65" w:rsidRDefault="00EB3D65" w:rsidP="00BA0C02">
      <w:pPr>
        <w:rPr>
          <w:rFonts w:ascii="Times New Roman" w:hAnsi="Times New Roman" w:cs="Times New Roman"/>
          <w:sz w:val="24"/>
          <w:szCs w:val="24"/>
          <w:vertAlign w:val="baseline"/>
        </w:rPr>
      </w:pPr>
    </w:p>
    <w:p w14:paraId="02AF7428" w14:textId="77777777" w:rsidR="00EB3D65" w:rsidRDefault="00EB3D65" w:rsidP="00EB3D65">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Thomson Reuters Foundation &lt;</w:t>
      </w:r>
      <w:hyperlink r:id="rId145" w:history="1">
        <w:r w:rsidRPr="00CC01A5">
          <w:rPr>
            <w:rStyle w:val="Hyperlink"/>
            <w:rFonts w:ascii="Times New Roman" w:hAnsi="Times New Roman" w:cs="Times New Roman"/>
            <w:sz w:val="24"/>
            <w:szCs w:val="24"/>
            <w:vertAlign w:val="baseline"/>
          </w:rPr>
          <w:t>http://www.trust.org/&gt;</w:t>
        </w:r>
      </w:hyperlink>
      <w:r w:rsidRPr="00672137">
        <w:rPr>
          <w:rFonts w:ascii="Times New Roman" w:hAnsi="Times New Roman" w:cs="Times New Roman"/>
          <w:sz w:val="24"/>
          <w:szCs w:val="24"/>
          <w:vertAlign w:val="baseline"/>
        </w:rPr>
        <w:t xml:space="preserve"> accessed 25 August 2015</w:t>
      </w:r>
    </w:p>
    <w:p w14:paraId="7D2507FD" w14:textId="77777777" w:rsidR="003E2C58" w:rsidRDefault="003E2C58" w:rsidP="003E2C58">
      <w:pPr>
        <w:rPr>
          <w:rFonts w:ascii="Times New Roman" w:hAnsi="Times New Roman" w:cs="Times New Roman"/>
          <w:sz w:val="24"/>
          <w:szCs w:val="24"/>
          <w:vertAlign w:val="baseline"/>
        </w:rPr>
      </w:pPr>
    </w:p>
    <w:p w14:paraId="10B079FC"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Thornton</w:t>
      </w:r>
      <w:r>
        <w:rPr>
          <w:rFonts w:ascii="Times New Roman" w:hAnsi="Times New Roman" w:cs="Times New Roman"/>
          <w:sz w:val="24"/>
          <w:szCs w:val="24"/>
          <w:vertAlign w:val="baseline"/>
        </w:rPr>
        <w:t xml:space="preserve"> M</w:t>
      </w:r>
      <w:r w:rsidRPr="00672137">
        <w:rPr>
          <w:rFonts w:ascii="Times New Roman" w:hAnsi="Times New Roman" w:cs="Times New Roman"/>
          <w:sz w:val="24"/>
          <w:szCs w:val="24"/>
          <w:vertAlign w:val="baseline"/>
        </w:rPr>
        <w:t xml:space="preserve"> (ed) </w:t>
      </w:r>
      <w:r w:rsidRPr="008D4E91">
        <w:rPr>
          <w:rFonts w:ascii="Times New Roman" w:hAnsi="Times New Roman" w:cs="Times New Roman"/>
          <w:i/>
          <w:sz w:val="24"/>
          <w:szCs w:val="24"/>
          <w:vertAlign w:val="baseline"/>
        </w:rPr>
        <w:t>Public and Private: Feminist Legal Debates</w:t>
      </w:r>
      <w:r>
        <w:rPr>
          <w:rFonts w:ascii="Times New Roman" w:hAnsi="Times New Roman" w:cs="Times New Roman"/>
          <w:sz w:val="24"/>
          <w:szCs w:val="24"/>
          <w:vertAlign w:val="baseline"/>
        </w:rPr>
        <w:t xml:space="preserve"> (OUP 1995)</w:t>
      </w:r>
    </w:p>
    <w:p w14:paraId="5D4482CD" w14:textId="77777777" w:rsidR="003E2C58" w:rsidRDefault="003E2C58" w:rsidP="003E2C58">
      <w:pPr>
        <w:rPr>
          <w:rFonts w:ascii="Times New Roman" w:hAnsi="Times New Roman" w:cs="Times New Roman"/>
          <w:sz w:val="24"/>
          <w:szCs w:val="24"/>
          <w:vertAlign w:val="baseline"/>
        </w:rPr>
      </w:pPr>
    </w:p>
    <w:p w14:paraId="285ACC8A"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Thornton</w:t>
      </w:r>
      <w:r>
        <w:rPr>
          <w:rFonts w:ascii="Times New Roman" w:hAnsi="Times New Roman" w:cs="Times New Roman"/>
          <w:sz w:val="24"/>
          <w:szCs w:val="24"/>
          <w:vertAlign w:val="baseline"/>
        </w:rPr>
        <w:t xml:space="preserve"> M</w:t>
      </w:r>
      <w:r w:rsidRPr="00672137">
        <w:rPr>
          <w:rFonts w:ascii="Times New Roman" w:hAnsi="Times New Roman" w:cs="Times New Roman"/>
          <w:sz w:val="24"/>
          <w:szCs w:val="24"/>
          <w:vertAlign w:val="baseline"/>
        </w:rPr>
        <w:t>, ‘The Cartography of Public and Private’, in Thornton</w:t>
      </w:r>
      <w:r>
        <w:rPr>
          <w:rFonts w:ascii="Times New Roman" w:hAnsi="Times New Roman" w:cs="Times New Roman"/>
          <w:sz w:val="24"/>
          <w:szCs w:val="24"/>
          <w:vertAlign w:val="baseline"/>
        </w:rPr>
        <w:t xml:space="preserve"> M</w:t>
      </w:r>
      <w:r w:rsidRPr="00672137">
        <w:rPr>
          <w:rFonts w:ascii="Times New Roman" w:hAnsi="Times New Roman" w:cs="Times New Roman"/>
          <w:sz w:val="24"/>
          <w:szCs w:val="24"/>
          <w:vertAlign w:val="baseline"/>
        </w:rPr>
        <w:t xml:space="preserve"> (ed) </w:t>
      </w:r>
      <w:r w:rsidRPr="008D4E91">
        <w:rPr>
          <w:rFonts w:ascii="Times New Roman" w:hAnsi="Times New Roman" w:cs="Times New Roman"/>
          <w:i/>
          <w:sz w:val="24"/>
          <w:szCs w:val="24"/>
          <w:vertAlign w:val="baseline"/>
        </w:rPr>
        <w:t>Public and Private: Feminist Legal Debates</w:t>
      </w:r>
      <w:r>
        <w:rPr>
          <w:rFonts w:ascii="Times New Roman" w:hAnsi="Times New Roman" w:cs="Times New Roman"/>
          <w:sz w:val="24"/>
          <w:szCs w:val="24"/>
          <w:vertAlign w:val="baseline"/>
        </w:rPr>
        <w:t xml:space="preserve"> (OUP 1995)</w:t>
      </w:r>
    </w:p>
    <w:p w14:paraId="3E658A59" w14:textId="77777777" w:rsidR="003E2C58" w:rsidRDefault="003E2C58" w:rsidP="003E2C58">
      <w:pPr>
        <w:rPr>
          <w:rFonts w:ascii="Times New Roman" w:hAnsi="Times New Roman" w:cs="Times New Roman"/>
          <w:sz w:val="24"/>
          <w:szCs w:val="24"/>
          <w:vertAlign w:val="baseline"/>
        </w:rPr>
      </w:pPr>
    </w:p>
    <w:p w14:paraId="6F52E0F9" w14:textId="29D0AB63" w:rsidR="006030EF" w:rsidRPr="006030EF" w:rsidRDefault="006030EF" w:rsidP="003E2C58">
      <w:pPr>
        <w:rPr>
          <w:rFonts w:ascii="Times New Roman" w:hAnsi="Times New Roman" w:cs="Times New Roman"/>
          <w:sz w:val="24"/>
          <w:szCs w:val="24"/>
          <w:vertAlign w:val="baseline"/>
        </w:rPr>
      </w:pPr>
      <w:r w:rsidRPr="006030EF">
        <w:rPr>
          <w:rFonts w:ascii="Times New Roman" w:hAnsi="Times New Roman" w:cs="Times New Roman"/>
          <w:sz w:val="24"/>
          <w:szCs w:val="24"/>
          <w:vertAlign w:val="baseline"/>
        </w:rPr>
        <w:t xml:space="preserve">‘Three burnt to death by Indian mob over human sacrifice rumours’ </w:t>
      </w:r>
      <w:r w:rsidRPr="006030EF">
        <w:rPr>
          <w:rFonts w:ascii="Times New Roman" w:hAnsi="Times New Roman" w:cs="Times New Roman"/>
          <w:i/>
          <w:sz w:val="24"/>
          <w:szCs w:val="24"/>
          <w:vertAlign w:val="baseline"/>
        </w:rPr>
        <w:t xml:space="preserve">The National World </w:t>
      </w:r>
      <w:r w:rsidRPr="006030EF">
        <w:rPr>
          <w:rFonts w:ascii="Times New Roman" w:hAnsi="Times New Roman" w:cs="Times New Roman"/>
          <w:sz w:val="24"/>
          <w:szCs w:val="24"/>
          <w:vertAlign w:val="baseline"/>
        </w:rPr>
        <w:t>(South Asia, 19 April 2016) &lt;</w:t>
      </w:r>
      <w:hyperlink r:id="rId146" w:history="1">
        <w:r w:rsidRPr="006030EF">
          <w:rPr>
            <w:rStyle w:val="Hyperlink"/>
            <w:rFonts w:ascii="Times New Roman" w:hAnsi="Times New Roman" w:cs="Times New Roman"/>
            <w:sz w:val="24"/>
            <w:szCs w:val="24"/>
            <w:vertAlign w:val="baseline"/>
          </w:rPr>
          <w:t>http://www.thenational.ae/world/south-asia/three-burnt-to-death-by-indian-mob-over-human-sacrifice-rumours</w:t>
        </w:r>
      </w:hyperlink>
      <w:r w:rsidRPr="006030EF">
        <w:rPr>
          <w:rFonts w:ascii="Times New Roman" w:hAnsi="Times New Roman" w:cs="Times New Roman"/>
          <w:sz w:val="24"/>
          <w:szCs w:val="24"/>
          <w:vertAlign w:val="baseline"/>
        </w:rPr>
        <w:t>&gt; accessed 29 April 2016</w:t>
      </w:r>
    </w:p>
    <w:p w14:paraId="598DA3C5" w14:textId="77777777" w:rsidR="006030EF" w:rsidRDefault="006030EF" w:rsidP="003E2C58">
      <w:pPr>
        <w:rPr>
          <w:rFonts w:ascii="Times New Roman" w:hAnsi="Times New Roman" w:cs="Times New Roman"/>
          <w:sz w:val="24"/>
          <w:szCs w:val="24"/>
          <w:vertAlign w:val="baseline"/>
        </w:rPr>
      </w:pPr>
    </w:p>
    <w:p w14:paraId="5879455B"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Tiraqueau</w:t>
      </w:r>
      <w:r>
        <w:rPr>
          <w:rFonts w:ascii="Times New Roman" w:hAnsi="Times New Roman" w:cs="Times New Roman"/>
          <w:sz w:val="24"/>
          <w:szCs w:val="24"/>
          <w:vertAlign w:val="baseline"/>
        </w:rPr>
        <w:t xml:space="preserve"> A</w:t>
      </w:r>
      <w:r w:rsidRPr="00672137">
        <w:rPr>
          <w:rFonts w:ascii="Times New Roman" w:hAnsi="Times New Roman" w:cs="Times New Roman"/>
          <w:sz w:val="24"/>
          <w:szCs w:val="24"/>
          <w:vertAlign w:val="baseline"/>
        </w:rPr>
        <w:t xml:space="preserve">, </w:t>
      </w:r>
      <w:r w:rsidRPr="00623379">
        <w:rPr>
          <w:rFonts w:ascii="Times New Roman" w:hAnsi="Times New Roman" w:cs="Times New Roman"/>
          <w:i/>
          <w:sz w:val="24"/>
          <w:szCs w:val="24"/>
          <w:vertAlign w:val="baseline"/>
        </w:rPr>
        <w:t>De legibus conubialibus et iure naturali</w:t>
      </w:r>
      <w:r w:rsidRPr="00672137">
        <w:rPr>
          <w:rFonts w:ascii="Times New Roman" w:hAnsi="Times New Roman" w:cs="Times New Roman"/>
          <w:sz w:val="24"/>
          <w:szCs w:val="24"/>
          <w:vertAlign w:val="baseline"/>
        </w:rPr>
        <w:t xml:space="preserve"> (Translated: The laws of marriage and the natural law) (France 1560)</w:t>
      </w:r>
    </w:p>
    <w:p w14:paraId="3F66A9C5" w14:textId="77777777" w:rsidR="003E2C58" w:rsidRDefault="003E2C58" w:rsidP="003E2C58">
      <w:pPr>
        <w:rPr>
          <w:rFonts w:ascii="Times New Roman" w:hAnsi="Times New Roman" w:cs="Times New Roman"/>
          <w:sz w:val="24"/>
          <w:szCs w:val="24"/>
          <w:vertAlign w:val="baseline"/>
        </w:rPr>
      </w:pPr>
    </w:p>
    <w:p w14:paraId="608BD21E"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Tobin</w:t>
      </w:r>
      <w:r>
        <w:rPr>
          <w:rFonts w:ascii="Times New Roman" w:hAnsi="Times New Roman" w:cs="Times New Roman"/>
          <w:sz w:val="24"/>
          <w:szCs w:val="24"/>
          <w:vertAlign w:val="baseline"/>
        </w:rPr>
        <w:t xml:space="preserve"> B</w:t>
      </w:r>
      <w:r w:rsidRPr="00672137">
        <w:rPr>
          <w:rFonts w:ascii="Times New Roman" w:hAnsi="Times New Roman" w:cs="Times New Roman"/>
          <w:sz w:val="24"/>
          <w:szCs w:val="24"/>
          <w:vertAlign w:val="baseline"/>
        </w:rPr>
        <w:t xml:space="preserve">, </w:t>
      </w:r>
      <w:r w:rsidRPr="00170FA6">
        <w:rPr>
          <w:rFonts w:ascii="Times New Roman" w:hAnsi="Times New Roman" w:cs="Times New Roman"/>
          <w:i/>
          <w:sz w:val="24"/>
          <w:szCs w:val="24"/>
          <w:vertAlign w:val="baseline"/>
        </w:rPr>
        <w:t>Indigenous Peoples, Customary Law and Human Rights – Why Living Law Matters</w:t>
      </w:r>
      <w:r>
        <w:rPr>
          <w:rFonts w:ascii="Times New Roman" w:hAnsi="Times New Roman" w:cs="Times New Roman"/>
          <w:sz w:val="24"/>
          <w:szCs w:val="24"/>
          <w:vertAlign w:val="baseline"/>
        </w:rPr>
        <w:t xml:space="preserve"> (Routledge 2014)</w:t>
      </w:r>
    </w:p>
    <w:p w14:paraId="6F08A3C9" w14:textId="77777777" w:rsidR="003E2C58" w:rsidRDefault="003E2C58" w:rsidP="003E2C58">
      <w:pPr>
        <w:rPr>
          <w:rFonts w:ascii="Times New Roman" w:hAnsi="Times New Roman" w:cs="Times New Roman"/>
          <w:sz w:val="24"/>
          <w:szCs w:val="24"/>
          <w:vertAlign w:val="baseline"/>
        </w:rPr>
      </w:pPr>
    </w:p>
    <w:p w14:paraId="485DEA1B" w14:textId="65FDA485" w:rsidR="00BA0C02" w:rsidRDefault="00BA0C02" w:rsidP="00BA0C02">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Tomaluso</w:t>
      </w:r>
      <w:r>
        <w:rPr>
          <w:rFonts w:ascii="Times New Roman" w:hAnsi="Times New Roman" w:cs="Times New Roman"/>
          <w:sz w:val="24"/>
          <w:szCs w:val="24"/>
          <w:vertAlign w:val="baseline"/>
        </w:rPr>
        <w:t xml:space="preserve"> A</w:t>
      </w:r>
      <w:r w:rsidRPr="00672137">
        <w:rPr>
          <w:rFonts w:ascii="Times New Roman" w:hAnsi="Times New Roman" w:cs="Times New Roman"/>
          <w:sz w:val="24"/>
          <w:szCs w:val="24"/>
          <w:vertAlign w:val="baseline"/>
        </w:rPr>
        <w:t xml:space="preserve">, ‘A Woman’s place in Nepal’ (Pulitzer </w:t>
      </w:r>
      <w:r w:rsidR="00655C14" w:rsidRPr="00672137">
        <w:rPr>
          <w:rFonts w:ascii="Times New Roman" w:hAnsi="Times New Roman" w:cs="Times New Roman"/>
          <w:sz w:val="24"/>
          <w:szCs w:val="24"/>
          <w:vertAlign w:val="baseline"/>
        </w:rPr>
        <w:t>Centre</w:t>
      </w:r>
      <w:r w:rsidRPr="00672137">
        <w:rPr>
          <w:rFonts w:ascii="Times New Roman" w:hAnsi="Times New Roman" w:cs="Times New Roman"/>
          <w:sz w:val="24"/>
          <w:szCs w:val="24"/>
          <w:vertAlign w:val="baseline"/>
        </w:rPr>
        <w:t>, 12 August 2011) &lt;</w:t>
      </w:r>
      <w:hyperlink r:id="rId147" w:history="1">
        <w:r w:rsidRPr="00667406">
          <w:rPr>
            <w:rStyle w:val="Hyperlink"/>
            <w:rFonts w:ascii="Times New Roman" w:hAnsi="Times New Roman" w:cs="Times New Roman"/>
            <w:sz w:val="24"/>
            <w:szCs w:val="24"/>
            <w:vertAlign w:val="baseline"/>
          </w:rPr>
          <w:t>http://pulitzercenter.org/reporting/womans-place-nepal&gt;</w:t>
        </w:r>
      </w:hyperlink>
      <w:r w:rsidRPr="00672137">
        <w:rPr>
          <w:rFonts w:ascii="Times New Roman" w:hAnsi="Times New Roman" w:cs="Times New Roman"/>
          <w:sz w:val="24"/>
          <w:szCs w:val="24"/>
          <w:vertAlign w:val="baseline"/>
        </w:rPr>
        <w:t xml:space="preserve"> accessed 8 September 2015</w:t>
      </w:r>
    </w:p>
    <w:p w14:paraId="0F4E429B" w14:textId="77777777" w:rsidR="00BA0C02" w:rsidRDefault="00BA0C02" w:rsidP="003E2C58">
      <w:pPr>
        <w:rPr>
          <w:rFonts w:ascii="Times New Roman" w:hAnsi="Times New Roman" w:cs="Times New Roman"/>
          <w:sz w:val="24"/>
          <w:szCs w:val="24"/>
          <w:vertAlign w:val="baseline"/>
        </w:rPr>
      </w:pPr>
    </w:p>
    <w:p w14:paraId="39803C86" w14:textId="77777777" w:rsidR="003E2C58" w:rsidRPr="00672137" w:rsidRDefault="003E2C58" w:rsidP="003E2C58">
      <w:pPr>
        <w:rPr>
          <w:rFonts w:ascii="Times New Roman" w:hAnsi="Times New Roman" w:cs="Times New Roman"/>
          <w:sz w:val="24"/>
          <w:szCs w:val="24"/>
          <w:vertAlign w:val="baseline"/>
        </w:rPr>
      </w:pPr>
      <w:r>
        <w:rPr>
          <w:rFonts w:ascii="Times New Roman" w:hAnsi="Times New Roman" w:cs="Times New Roman"/>
          <w:sz w:val="24"/>
          <w:szCs w:val="24"/>
          <w:vertAlign w:val="baseline"/>
        </w:rPr>
        <w:t>Tomasevski K,</w:t>
      </w:r>
      <w:r w:rsidRPr="00672137">
        <w:rPr>
          <w:rFonts w:ascii="Times New Roman" w:hAnsi="Times New Roman" w:cs="Times New Roman"/>
          <w:sz w:val="24"/>
          <w:szCs w:val="24"/>
          <w:vertAlign w:val="baseline"/>
        </w:rPr>
        <w:t xml:space="preserve"> </w:t>
      </w:r>
      <w:r w:rsidRPr="008C5343">
        <w:rPr>
          <w:rFonts w:ascii="Times New Roman" w:hAnsi="Times New Roman" w:cs="Times New Roman"/>
          <w:i/>
          <w:sz w:val="24"/>
          <w:szCs w:val="24"/>
          <w:vertAlign w:val="baseline"/>
        </w:rPr>
        <w:t>Women and Human Rights</w:t>
      </w:r>
      <w:r>
        <w:rPr>
          <w:rFonts w:ascii="Times New Roman" w:hAnsi="Times New Roman" w:cs="Times New Roman"/>
          <w:sz w:val="24"/>
          <w:szCs w:val="24"/>
          <w:vertAlign w:val="baseline"/>
        </w:rPr>
        <w:t xml:space="preserve"> (Zed 1993)</w:t>
      </w:r>
    </w:p>
    <w:p w14:paraId="079EA6BE" w14:textId="77777777" w:rsidR="003E2C58" w:rsidRDefault="003E2C58" w:rsidP="003E2C58">
      <w:pPr>
        <w:rPr>
          <w:rFonts w:ascii="Times New Roman" w:hAnsi="Times New Roman" w:cs="Times New Roman"/>
          <w:b/>
          <w:sz w:val="24"/>
          <w:szCs w:val="24"/>
          <w:vertAlign w:val="baseline"/>
        </w:rPr>
      </w:pPr>
    </w:p>
    <w:p w14:paraId="6C6F7421"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Tonda</w:t>
      </w:r>
      <w:r>
        <w:rPr>
          <w:rFonts w:ascii="Times New Roman" w:hAnsi="Times New Roman" w:cs="Times New Roman"/>
          <w:sz w:val="24"/>
          <w:szCs w:val="24"/>
          <w:vertAlign w:val="baseline"/>
        </w:rPr>
        <w:t xml:space="preserve"> J</w:t>
      </w:r>
      <w:r w:rsidRPr="00672137">
        <w:rPr>
          <w:rFonts w:ascii="Times New Roman" w:hAnsi="Times New Roman" w:cs="Times New Roman"/>
          <w:sz w:val="24"/>
          <w:szCs w:val="24"/>
          <w:vertAlign w:val="baseline"/>
        </w:rPr>
        <w:t xml:space="preserve">, </w:t>
      </w:r>
      <w:r w:rsidRPr="00127A20">
        <w:rPr>
          <w:rFonts w:ascii="Times New Roman" w:hAnsi="Times New Roman" w:cs="Times New Roman"/>
          <w:i/>
          <w:sz w:val="24"/>
          <w:szCs w:val="24"/>
          <w:vertAlign w:val="baseline"/>
        </w:rPr>
        <w:t>Le Souverain modern: Le corps du pouvior en Afrique Centrale (Modern Sovereign. The body of power in Central Africa)</w:t>
      </w:r>
      <w:r w:rsidRPr="00672137">
        <w:rPr>
          <w:rFonts w:ascii="Times New Roman" w:hAnsi="Times New Roman" w:cs="Times New Roman"/>
          <w:sz w:val="24"/>
          <w:szCs w:val="24"/>
          <w:vertAlign w:val="baseline"/>
        </w:rPr>
        <w:t xml:space="preserve"> </w:t>
      </w:r>
      <w:r>
        <w:rPr>
          <w:rFonts w:ascii="Times New Roman" w:hAnsi="Times New Roman" w:cs="Times New Roman"/>
          <w:sz w:val="24"/>
          <w:szCs w:val="24"/>
          <w:vertAlign w:val="baseline"/>
        </w:rPr>
        <w:t>(Congo, Gabon/ Paris 2005)</w:t>
      </w:r>
    </w:p>
    <w:p w14:paraId="4EAD835D" w14:textId="77777777" w:rsidR="000A6F32" w:rsidRDefault="000A6F32" w:rsidP="003E2C58">
      <w:pPr>
        <w:rPr>
          <w:rFonts w:ascii="Times New Roman" w:hAnsi="Times New Roman" w:cs="Times New Roman"/>
          <w:sz w:val="24"/>
          <w:szCs w:val="24"/>
          <w:vertAlign w:val="baseline"/>
        </w:rPr>
      </w:pPr>
    </w:p>
    <w:p w14:paraId="0EEB12BF"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Trust Law, ‘FACTSHEET – The world’s most dangerous countries for women’ (Trust Law, 15 June 2011) &lt;</w:t>
      </w:r>
      <w:hyperlink r:id="rId148" w:history="1">
        <w:r w:rsidRPr="00D2064D">
          <w:rPr>
            <w:rStyle w:val="Hyperlink"/>
            <w:rFonts w:ascii="Times New Roman" w:hAnsi="Times New Roman" w:cs="Times New Roman"/>
            <w:sz w:val="24"/>
            <w:szCs w:val="24"/>
            <w:vertAlign w:val="baseline"/>
          </w:rPr>
          <w:t>http://www.trust.org/item/20110615000000-hurik/?source=spotlight&gt; a</w:t>
        </w:r>
      </w:hyperlink>
      <w:r w:rsidRPr="00672137">
        <w:rPr>
          <w:rFonts w:ascii="Times New Roman" w:hAnsi="Times New Roman" w:cs="Times New Roman"/>
          <w:sz w:val="24"/>
          <w:szCs w:val="24"/>
          <w:vertAlign w:val="baseline"/>
        </w:rPr>
        <w:t>ccessed 25 August 2015</w:t>
      </w:r>
    </w:p>
    <w:p w14:paraId="6B3ADEBC" w14:textId="77777777" w:rsidR="003E2C58" w:rsidRDefault="003E2C58" w:rsidP="003E2C58">
      <w:pPr>
        <w:rPr>
          <w:rFonts w:ascii="Times New Roman" w:hAnsi="Times New Roman" w:cs="Times New Roman"/>
          <w:sz w:val="24"/>
          <w:szCs w:val="24"/>
          <w:vertAlign w:val="baseline"/>
        </w:rPr>
      </w:pPr>
    </w:p>
    <w:p w14:paraId="0C64E244" w14:textId="77777777" w:rsidR="00BA0C02" w:rsidRDefault="00BA0C02" w:rsidP="00BA0C02">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‘T</w:t>
      </w:r>
      <w:r>
        <w:rPr>
          <w:rFonts w:ascii="Times New Roman" w:hAnsi="Times New Roman" w:cs="Times New Roman"/>
          <w:sz w:val="24"/>
          <w:szCs w:val="24"/>
          <w:vertAlign w:val="baseline"/>
        </w:rPr>
        <w:t>wo charged in Papua New Guinea “sorcery”</w:t>
      </w:r>
      <w:r w:rsidRPr="00672137">
        <w:rPr>
          <w:rFonts w:ascii="Times New Roman" w:hAnsi="Times New Roman" w:cs="Times New Roman"/>
          <w:sz w:val="24"/>
          <w:szCs w:val="24"/>
          <w:vertAlign w:val="baseline"/>
        </w:rPr>
        <w:t xml:space="preserve"> case’ </w:t>
      </w:r>
      <w:r w:rsidRPr="0018708F">
        <w:rPr>
          <w:rFonts w:ascii="Times New Roman" w:hAnsi="Times New Roman" w:cs="Times New Roman"/>
          <w:i/>
          <w:sz w:val="24"/>
          <w:szCs w:val="24"/>
          <w:vertAlign w:val="baseline"/>
        </w:rPr>
        <w:t>BBC News</w:t>
      </w:r>
      <w:r w:rsidRPr="00672137">
        <w:rPr>
          <w:rFonts w:ascii="Times New Roman" w:hAnsi="Times New Roman" w:cs="Times New Roman"/>
          <w:sz w:val="24"/>
          <w:szCs w:val="24"/>
          <w:vertAlign w:val="baseline"/>
        </w:rPr>
        <w:t xml:space="preserve"> (Asia, 19 February 2013) &lt;</w:t>
      </w:r>
      <w:hyperlink r:id="rId149" w:history="1">
        <w:r w:rsidRPr="0018708F">
          <w:rPr>
            <w:rStyle w:val="Hyperlink"/>
            <w:rFonts w:ascii="Times New Roman" w:hAnsi="Times New Roman" w:cs="Times New Roman"/>
            <w:sz w:val="24"/>
            <w:szCs w:val="24"/>
            <w:vertAlign w:val="baseline"/>
          </w:rPr>
          <w:t>http://www.bbc.co.uk/news/world-asia-21501955&gt;</w:t>
        </w:r>
      </w:hyperlink>
      <w:r w:rsidRPr="00672137">
        <w:rPr>
          <w:rFonts w:ascii="Times New Roman" w:hAnsi="Times New Roman" w:cs="Times New Roman"/>
          <w:sz w:val="24"/>
          <w:szCs w:val="24"/>
          <w:vertAlign w:val="baseline"/>
        </w:rPr>
        <w:t xml:space="preserve"> accessed 13 October 2015</w:t>
      </w:r>
    </w:p>
    <w:p w14:paraId="14B55AB1" w14:textId="77777777" w:rsidR="00BA0C02" w:rsidRDefault="00BA0C02" w:rsidP="00062204">
      <w:pPr>
        <w:rPr>
          <w:rFonts w:ascii="Times New Roman" w:hAnsi="Times New Roman" w:cs="Times New Roman"/>
          <w:sz w:val="24"/>
          <w:szCs w:val="24"/>
          <w:vertAlign w:val="baseline"/>
        </w:rPr>
      </w:pPr>
    </w:p>
    <w:p w14:paraId="4017CD07" w14:textId="77777777" w:rsidR="00062204" w:rsidRDefault="00062204" w:rsidP="00062204">
      <w:pPr>
        <w:rPr>
          <w:rFonts w:ascii="Times New Roman" w:hAnsi="Times New Roman" w:cs="Times New Roman"/>
          <w:sz w:val="24"/>
          <w:szCs w:val="24"/>
          <w:vertAlign w:val="baseline"/>
        </w:rPr>
      </w:pPr>
      <w:r>
        <w:rPr>
          <w:rFonts w:ascii="Times New Roman" w:hAnsi="Times New Roman" w:cs="Times New Roman"/>
          <w:sz w:val="24"/>
          <w:szCs w:val="24"/>
          <w:vertAlign w:val="baseline"/>
        </w:rPr>
        <w:t>UN</w:t>
      </w:r>
      <w:r w:rsidRPr="00672137">
        <w:rPr>
          <w:rFonts w:ascii="Times New Roman" w:hAnsi="Times New Roman" w:cs="Times New Roman"/>
          <w:sz w:val="24"/>
          <w:szCs w:val="24"/>
          <w:vertAlign w:val="baseline"/>
        </w:rPr>
        <w:t>, ‘Overview of the human rights treaty body system and working methods related to the review of States parties’ 12 April 2013, HRI/MC/2013/2</w:t>
      </w:r>
    </w:p>
    <w:p w14:paraId="6C214D9F" w14:textId="77777777" w:rsidR="00062204" w:rsidRDefault="00062204" w:rsidP="00062204">
      <w:pPr>
        <w:rPr>
          <w:rFonts w:ascii="Times New Roman" w:hAnsi="Times New Roman" w:cs="Times New Roman"/>
          <w:sz w:val="24"/>
          <w:szCs w:val="24"/>
          <w:vertAlign w:val="baseline"/>
        </w:rPr>
      </w:pPr>
    </w:p>
    <w:p w14:paraId="54ABC2EC" w14:textId="77777777" w:rsidR="00062204" w:rsidRDefault="00062204" w:rsidP="00062204">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 xml:space="preserve">UN, ‘Report of the Committee against Torture’ 45th session (1-19 November 2010) and 46th session (9 May to 3 June 2011) Supp. No. 44 A/66/44        </w:t>
      </w:r>
    </w:p>
    <w:p w14:paraId="5C61C2CE" w14:textId="77777777" w:rsidR="00062204" w:rsidRDefault="00062204" w:rsidP="00062204">
      <w:pPr>
        <w:rPr>
          <w:rFonts w:ascii="Times New Roman" w:hAnsi="Times New Roman" w:cs="Times New Roman"/>
          <w:sz w:val="24"/>
          <w:szCs w:val="24"/>
          <w:vertAlign w:val="baseline"/>
        </w:rPr>
      </w:pPr>
    </w:p>
    <w:p w14:paraId="2D7B4855" w14:textId="77777777" w:rsidR="00062204" w:rsidRPr="00A74E08" w:rsidRDefault="00062204" w:rsidP="00062204">
      <w:pPr>
        <w:rPr>
          <w:rFonts w:ascii="Times" w:eastAsia="Times New Roman" w:hAnsi="Times" w:cs="Times New Roman"/>
          <w:vertAlign w:val="baseline"/>
        </w:rPr>
      </w:pPr>
      <w:r w:rsidRPr="00672137">
        <w:rPr>
          <w:rFonts w:ascii="Times New Roman" w:hAnsi="Times New Roman" w:cs="Times New Roman"/>
          <w:sz w:val="24"/>
          <w:szCs w:val="24"/>
          <w:vertAlign w:val="baseline"/>
        </w:rPr>
        <w:t xml:space="preserve">UN, ‘Report of the Fourth World Conference on Women’ </w:t>
      </w:r>
      <w:r>
        <w:rPr>
          <w:rFonts w:ascii="Times New Roman" w:hAnsi="Times New Roman" w:cs="Times New Roman"/>
          <w:sz w:val="24"/>
          <w:szCs w:val="24"/>
          <w:vertAlign w:val="baseline"/>
        </w:rPr>
        <w:t>(</w:t>
      </w:r>
      <w:r w:rsidRPr="00672137">
        <w:rPr>
          <w:rFonts w:ascii="Times New Roman" w:hAnsi="Times New Roman" w:cs="Times New Roman"/>
          <w:sz w:val="24"/>
          <w:szCs w:val="24"/>
          <w:vertAlign w:val="baseline"/>
        </w:rPr>
        <w:t>Beijing 4-15 September 1995</w:t>
      </w:r>
      <w:r>
        <w:rPr>
          <w:rFonts w:ascii="Times New Roman" w:hAnsi="Times New Roman" w:cs="Times New Roman"/>
          <w:sz w:val="24"/>
          <w:szCs w:val="24"/>
          <w:vertAlign w:val="baseline"/>
        </w:rPr>
        <w:t>)</w:t>
      </w:r>
      <w:r w:rsidRPr="00A74E08">
        <w:rPr>
          <w:rFonts w:eastAsia="Times New Roman" w:cs="Times New Roman"/>
        </w:rPr>
        <w:t xml:space="preserve"> </w:t>
      </w:r>
      <w:r w:rsidRPr="00A74E08">
        <w:rPr>
          <w:rFonts w:ascii="Times New Roman" w:eastAsia="Times New Roman" w:hAnsi="Times New Roman" w:cs="Times New Roman"/>
          <w:sz w:val="24"/>
          <w:szCs w:val="24"/>
          <w:vertAlign w:val="baseline"/>
        </w:rPr>
        <w:t>A/CONF.177/20/Rev.1</w:t>
      </w:r>
    </w:p>
    <w:p w14:paraId="1FA2B573" w14:textId="77777777" w:rsidR="00062204" w:rsidRDefault="00062204" w:rsidP="003E2C58">
      <w:pPr>
        <w:rPr>
          <w:rFonts w:ascii="Times New Roman" w:hAnsi="Times New Roman" w:cs="Times New Roman"/>
          <w:sz w:val="24"/>
          <w:szCs w:val="24"/>
          <w:vertAlign w:val="baseline"/>
        </w:rPr>
      </w:pPr>
    </w:p>
    <w:p w14:paraId="4C7FB8B9"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UNAIDS, ‘Papua New Guinea: HIV and AIDS estimates 2013’ (UNAID</w:t>
      </w:r>
      <w:r>
        <w:rPr>
          <w:rFonts w:ascii="Times New Roman" w:hAnsi="Times New Roman" w:cs="Times New Roman"/>
          <w:sz w:val="24"/>
          <w:szCs w:val="24"/>
          <w:vertAlign w:val="baseline"/>
        </w:rPr>
        <w:t>S,</w:t>
      </w:r>
      <w:r w:rsidRPr="00672137">
        <w:rPr>
          <w:rFonts w:ascii="Times New Roman" w:hAnsi="Times New Roman" w:cs="Times New Roman"/>
          <w:sz w:val="24"/>
          <w:szCs w:val="24"/>
          <w:vertAlign w:val="baseline"/>
        </w:rPr>
        <w:t xml:space="preserve"> 2013) &lt;</w:t>
      </w:r>
      <w:hyperlink r:id="rId150" w:history="1">
        <w:r w:rsidRPr="00A72E8B">
          <w:rPr>
            <w:rStyle w:val="Hyperlink"/>
            <w:rFonts w:ascii="Times New Roman" w:hAnsi="Times New Roman" w:cs="Times New Roman"/>
            <w:sz w:val="24"/>
            <w:szCs w:val="24"/>
            <w:vertAlign w:val="baseline"/>
          </w:rPr>
          <w:t>http://www.unaids.org/en/regionscountries/countries/papuanewguinea&gt;</w:t>
        </w:r>
      </w:hyperlink>
      <w:r w:rsidRPr="00672137">
        <w:rPr>
          <w:rFonts w:ascii="Times New Roman" w:hAnsi="Times New Roman" w:cs="Times New Roman"/>
          <w:sz w:val="24"/>
          <w:szCs w:val="24"/>
          <w:vertAlign w:val="baseline"/>
        </w:rPr>
        <w:t xml:space="preserve"> accessed 16 February 2015</w:t>
      </w:r>
    </w:p>
    <w:p w14:paraId="5ADE76BC" w14:textId="77777777" w:rsidR="003E2C58" w:rsidRDefault="003E2C58" w:rsidP="003E2C58">
      <w:pPr>
        <w:rPr>
          <w:rFonts w:ascii="Times New Roman" w:hAnsi="Times New Roman" w:cs="Times New Roman"/>
          <w:sz w:val="24"/>
          <w:szCs w:val="24"/>
          <w:vertAlign w:val="baseline"/>
        </w:rPr>
      </w:pPr>
    </w:p>
    <w:p w14:paraId="237DE8DC" w14:textId="77777777" w:rsidR="003E2C58" w:rsidRDefault="003E2C58" w:rsidP="003E2C58">
      <w:pPr>
        <w:rPr>
          <w:rFonts w:ascii="Times New Roman" w:hAnsi="Times New Roman" w:cs="Times New Roman"/>
          <w:sz w:val="24"/>
          <w:szCs w:val="24"/>
          <w:vertAlign w:val="baseline"/>
        </w:rPr>
      </w:pPr>
      <w:r>
        <w:rPr>
          <w:rFonts w:ascii="Times New Roman" w:hAnsi="Times New Roman" w:cs="Times New Roman"/>
          <w:sz w:val="24"/>
          <w:szCs w:val="24"/>
          <w:vertAlign w:val="baseline"/>
        </w:rPr>
        <w:t>UNAIDS</w:t>
      </w:r>
      <w:r w:rsidRPr="00672137">
        <w:rPr>
          <w:rFonts w:ascii="Times New Roman" w:hAnsi="Times New Roman" w:cs="Times New Roman"/>
          <w:sz w:val="24"/>
          <w:szCs w:val="24"/>
          <w:vertAlign w:val="baseline"/>
        </w:rPr>
        <w:t>, ‘Interim Global AIDS Response Progress &amp; Universal Access Reports Papua New Guinea, Reporting period January –December 2013’ (UNAIDS</w:t>
      </w:r>
      <w:r>
        <w:rPr>
          <w:rFonts w:ascii="Times New Roman" w:hAnsi="Times New Roman" w:cs="Times New Roman"/>
          <w:sz w:val="24"/>
          <w:szCs w:val="24"/>
          <w:vertAlign w:val="baseline"/>
        </w:rPr>
        <w:t>,</w:t>
      </w:r>
      <w:r w:rsidRPr="00672137">
        <w:rPr>
          <w:rFonts w:ascii="Times New Roman" w:hAnsi="Times New Roman" w:cs="Times New Roman"/>
          <w:sz w:val="24"/>
          <w:szCs w:val="24"/>
          <w:vertAlign w:val="baseline"/>
        </w:rPr>
        <w:t xml:space="preserve"> 31st March 2014) &lt;</w:t>
      </w:r>
      <w:hyperlink r:id="rId151" w:history="1">
        <w:r w:rsidRPr="0035523E">
          <w:rPr>
            <w:rStyle w:val="Hyperlink"/>
            <w:rFonts w:ascii="Times New Roman" w:hAnsi="Times New Roman" w:cs="Times New Roman"/>
            <w:sz w:val="24"/>
            <w:szCs w:val="24"/>
            <w:vertAlign w:val="baseline"/>
          </w:rPr>
          <w:t>http://www.unaids.org/sites/default/files/country/documents//PNG_narrative_report_2014.pdf&gt;</w:t>
        </w:r>
      </w:hyperlink>
      <w:r w:rsidRPr="00672137">
        <w:rPr>
          <w:rFonts w:ascii="Times New Roman" w:hAnsi="Times New Roman" w:cs="Times New Roman"/>
          <w:sz w:val="24"/>
          <w:szCs w:val="24"/>
          <w:vertAlign w:val="baseline"/>
        </w:rPr>
        <w:t xml:space="preserve"> accessed 16 February 2015</w:t>
      </w:r>
    </w:p>
    <w:p w14:paraId="305AFC3E" w14:textId="77777777" w:rsidR="003E2C58" w:rsidRDefault="003E2C58" w:rsidP="003E2C58">
      <w:pPr>
        <w:rPr>
          <w:rFonts w:ascii="Times New Roman" w:hAnsi="Times New Roman" w:cs="Times New Roman"/>
          <w:sz w:val="24"/>
          <w:szCs w:val="24"/>
          <w:vertAlign w:val="baseline"/>
        </w:rPr>
      </w:pPr>
    </w:p>
    <w:p w14:paraId="2D8B9278"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UN Division on the Advancement of Women, ‘Committee on the Elimination of Discrimination against Women’ &lt;</w:t>
      </w:r>
      <w:hyperlink r:id="rId152" w:history="1">
        <w:r w:rsidRPr="007909F0">
          <w:rPr>
            <w:rStyle w:val="Hyperlink"/>
            <w:rFonts w:ascii="Times New Roman" w:hAnsi="Times New Roman" w:cs="Times New Roman"/>
            <w:sz w:val="24"/>
            <w:szCs w:val="24"/>
            <w:vertAlign w:val="baseline"/>
          </w:rPr>
          <w:t>http://www.un.org/womenwatch/daw/cedaw/committee.htm&gt;</w:t>
        </w:r>
      </w:hyperlink>
      <w:r w:rsidRPr="00672137">
        <w:rPr>
          <w:rFonts w:ascii="Times New Roman" w:hAnsi="Times New Roman" w:cs="Times New Roman"/>
          <w:sz w:val="24"/>
          <w:szCs w:val="24"/>
          <w:vertAlign w:val="baseline"/>
        </w:rPr>
        <w:t xml:space="preserve"> accessed 15 June 2015</w:t>
      </w:r>
    </w:p>
    <w:p w14:paraId="5E7EC50E" w14:textId="77777777" w:rsidR="003E2C58" w:rsidRDefault="003E2C58" w:rsidP="003E2C58">
      <w:pPr>
        <w:rPr>
          <w:rFonts w:ascii="Times New Roman" w:hAnsi="Times New Roman" w:cs="Times New Roman"/>
          <w:sz w:val="24"/>
          <w:szCs w:val="24"/>
          <w:vertAlign w:val="baseline"/>
        </w:rPr>
      </w:pPr>
    </w:p>
    <w:p w14:paraId="56BA83C1" w14:textId="77777777" w:rsidR="00D5586F" w:rsidRDefault="00D5586F" w:rsidP="00D5586F">
      <w:pPr>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UNDP </w:t>
      </w:r>
      <w:r w:rsidRPr="00672137">
        <w:rPr>
          <w:rFonts w:ascii="Times New Roman" w:hAnsi="Times New Roman" w:cs="Times New Roman"/>
          <w:sz w:val="24"/>
          <w:szCs w:val="24"/>
          <w:vertAlign w:val="baseline"/>
        </w:rPr>
        <w:t>‘About Nepal’ (UNDP, 2013) &lt;</w:t>
      </w:r>
      <w:hyperlink r:id="rId153" w:history="1">
        <w:r w:rsidRPr="0077750D">
          <w:rPr>
            <w:rStyle w:val="Hyperlink"/>
            <w:rFonts w:ascii="Times New Roman" w:hAnsi="Times New Roman" w:cs="Times New Roman"/>
            <w:sz w:val="24"/>
            <w:szCs w:val="24"/>
            <w:vertAlign w:val="baseline"/>
          </w:rPr>
          <w:t>http://www.np.undp.org/content/nepal/en/home/countryinfo.html&gt;</w:t>
        </w:r>
      </w:hyperlink>
      <w:r w:rsidRPr="00672137">
        <w:rPr>
          <w:rFonts w:ascii="Times New Roman" w:hAnsi="Times New Roman" w:cs="Times New Roman"/>
          <w:sz w:val="24"/>
          <w:szCs w:val="24"/>
          <w:vertAlign w:val="baseline"/>
        </w:rPr>
        <w:t xml:space="preserve"> accessed 26 August 2015</w:t>
      </w:r>
    </w:p>
    <w:p w14:paraId="4C5D64BF" w14:textId="77777777" w:rsidR="00D5586F" w:rsidRDefault="00D5586F" w:rsidP="00D5586F">
      <w:pPr>
        <w:rPr>
          <w:rFonts w:ascii="Times New Roman" w:hAnsi="Times New Roman" w:cs="Times New Roman"/>
          <w:sz w:val="24"/>
          <w:szCs w:val="24"/>
          <w:vertAlign w:val="baseline"/>
        </w:rPr>
      </w:pPr>
    </w:p>
    <w:p w14:paraId="35EEC0DD" w14:textId="77777777" w:rsidR="00D5586F" w:rsidRDefault="00D5586F" w:rsidP="00D5586F">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UNDP, ‘Gender Inequality Index’ (Human Development Reports 2013) &lt;</w:t>
      </w:r>
      <w:hyperlink r:id="rId154" w:history="1">
        <w:r w:rsidRPr="00797815">
          <w:rPr>
            <w:rStyle w:val="Hyperlink"/>
            <w:rFonts w:ascii="Times New Roman" w:hAnsi="Times New Roman" w:cs="Times New Roman"/>
            <w:sz w:val="24"/>
            <w:szCs w:val="24"/>
            <w:vertAlign w:val="baseline"/>
          </w:rPr>
          <w:t>http://hdr.undp.org/en/content/table-4-gender-inequality-index&gt; a</w:t>
        </w:r>
      </w:hyperlink>
      <w:r w:rsidRPr="00672137">
        <w:rPr>
          <w:rFonts w:ascii="Times New Roman" w:hAnsi="Times New Roman" w:cs="Times New Roman"/>
          <w:sz w:val="24"/>
          <w:szCs w:val="24"/>
          <w:vertAlign w:val="baseline"/>
        </w:rPr>
        <w:t>ccessed 9 February 2015</w:t>
      </w:r>
    </w:p>
    <w:p w14:paraId="2369B115" w14:textId="77777777" w:rsidR="00D5586F" w:rsidRDefault="00D5586F" w:rsidP="00D5586F">
      <w:pPr>
        <w:rPr>
          <w:rFonts w:ascii="Times New Roman" w:hAnsi="Times New Roman" w:cs="Times New Roman"/>
          <w:sz w:val="24"/>
          <w:szCs w:val="24"/>
          <w:vertAlign w:val="baseline"/>
        </w:rPr>
      </w:pPr>
    </w:p>
    <w:p w14:paraId="28BB4175" w14:textId="77777777" w:rsidR="00D5586F" w:rsidRDefault="00D5586F" w:rsidP="00D5586F">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UNDP, ‘Mult</w:t>
      </w:r>
      <w:r>
        <w:rPr>
          <w:rFonts w:ascii="Times New Roman" w:hAnsi="Times New Roman" w:cs="Times New Roman"/>
          <w:sz w:val="24"/>
          <w:szCs w:val="24"/>
          <w:vertAlign w:val="baseline"/>
        </w:rPr>
        <w:t>idimensional Poverty Index’</w:t>
      </w:r>
      <w:r w:rsidRPr="00672137">
        <w:rPr>
          <w:rFonts w:ascii="Times New Roman" w:hAnsi="Times New Roman" w:cs="Times New Roman"/>
          <w:sz w:val="24"/>
          <w:szCs w:val="24"/>
          <w:vertAlign w:val="baseline"/>
        </w:rPr>
        <w:t xml:space="preserve"> (UNDP 2013) </w:t>
      </w:r>
      <w:r>
        <w:rPr>
          <w:rFonts w:ascii="Times New Roman" w:hAnsi="Times New Roman" w:cs="Times New Roman"/>
          <w:sz w:val="24"/>
          <w:szCs w:val="24"/>
          <w:vertAlign w:val="baseline"/>
        </w:rPr>
        <w:t>&lt;</w:t>
      </w:r>
      <w:hyperlink r:id="rId155" w:history="1">
        <w:r w:rsidRPr="00F83A28">
          <w:rPr>
            <w:rStyle w:val="Hyperlink"/>
            <w:rFonts w:ascii="Times New Roman" w:hAnsi="Times New Roman" w:cs="Times New Roman"/>
            <w:sz w:val="24"/>
            <w:szCs w:val="24"/>
            <w:vertAlign w:val="baseline"/>
          </w:rPr>
          <w:t>http://hdr.undp.org/en/content/table-6-multidimensional-poverty-index-mpi</w:t>
        </w:r>
      </w:hyperlink>
      <w:r>
        <w:rPr>
          <w:rFonts w:ascii="Times New Roman" w:hAnsi="Times New Roman" w:cs="Times New Roman"/>
          <w:sz w:val="24"/>
          <w:szCs w:val="24"/>
          <w:vertAlign w:val="baseline"/>
        </w:rPr>
        <w:t>&gt; accessed 12 February 2015</w:t>
      </w:r>
    </w:p>
    <w:p w14:paraId="32CADC47" w14:textId="77777777" w:rsidR="00D5586F" w:rsidRDefault="00D5586F" w:rsidP="00D5586F">
      <w:pPr>
        <w:rPr>
          <w:rFonts w:ascii="Times New Roman" w:hAnsi="Times New Roman" w:cs="Times New Roman"/>
          <w:sz w:val="24"/>
          <w:szCs w:val="24"/>
          <w:vertAlign w:val="baseline"/>
        </w:rPr>
      </w:pPr>
    </w:p>
    <w:p w14:paraId="2B71612B" w14:textId="77777777" w:rsidR="00D5586F" w:rsidRDefault="00D5586F" w:rsidP="00D5586F">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UNDP, ‘Human Developme</w:t>
      </w:r>
      <w:r>
        <w:rPr>
          <w:rFonts w:ascii="Times New Roman" w:hAnsi="Times New Roman" w:cs="Times New Roman"/>
          <w:sz w:val="24"/>
          <w:szCs w:val="24"/>
          <w:vertAlign w:val="baseline"/>
        </w:rPr>
        <w:t>nt Index and its components</w:t>
      </w:r>
      <w:r w:rsidRPr="00672137">
        <w:rPr>
          <w:rFonts w:ascii="Times New Roman" w:hAnsi="Times New Roman" w:cs="Times New Roman"/>
          <w:sz w:val="24"/>
          <w:szCs w:val="24"/>
          <w:vertAlign w:val="baseline"/>
        </w:rPr>
        <w:t xml:space="preserve">’ (UNDP 2014) </w:t>
      </w:r>
      <w:r>
        <w:rPr>
          <w:rFonts w:ascii="Times New Roman" w:hAnsi="Times New Roman" w:cs="Times New Roman"/>
          <w:sz w:val="24"/>
          <w:szCs w:val="24"/>
          <w:vertAlign w:val="baseline"/>
        </w:rPr>
        <w:t>&lt;</w:t>
      </w:r>
      <w:hyperlink r:id="rId156" w:history="1">
        <w:r w:rsidRPr="00852326">
          <w:rPr>
            <w:rStyle w:val="Hyperlink"/>
            <w:rFonts w:ascii="Times New Roman" w:hAnsi="Times New Roman" w:cs="Times New Roman"/>
            <w:sz w:val="24"/>
            <w:szCs w:val="24"/>
            <w:vertAlign w:val="baseline"/>
          </w:rPr>
          <w:t>http://hdr.undp.org/en/content/table-1-human-development-index-and-its-components</w:t>
        </w:r>
      </w:hyperlink>
      <w:r>
        <w:rPr>
          <w:rFonts w:ascii="Times New Roman" w:hAnsi="Times New Roman" w:cs="Times New Roman"/>
          <w:sz w:val="24"/>
          <w:szCs w:val="24"/>
          <w:vertAlign w:val="baseline"/>
        </w:rPr>
        <w:t>&gt; accessed 12 February 2015</w:t>
      </w:r>
    </w:p>
    <w:p w14:paraId="7F7215C8" w14:textId="77777777" w:rsidR="00D5586F" w:rsidRDefault="00D5586F" w:rsidP="003E2C58">
      <w:pPr>
        <w:rPr>
          <w:rFonts w:ascii="Times New Roman" w:hAnsi="Times New Roman" w:cs="Times New Roman"/>
          <w:sz w:val="24"/>
          <w:szCs w:val="24"/>
          <w:vertAlign w:val="baseline"/>
        </w:rPr>
      </w:pPr>
    </w:p>
    <w:p w14:paraId="405AA485"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UNESCAP, ‘Harmful Traditional Practices in Three Countries of South Asia: culture, human rights and violence against women’ Gender and Development</w:t>
      </w:r>
    </w:p>
    <w:p w14:paraId="70665483" w14:textId="77777777" w:rsidR="003E2C58" w:rsidRPr="00672137" w:rsidRDefault="003E2C58" w:rsidP="003E2C58">
      <w:pPr>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Discussion Paper Series </w:t>
      </w:r>
      <w:r w:rsidRPr="00672137">
        <w:rPr>
          <w:rFonts w:ascii="Times New Roman" w:hAnsi="Times New Roman" w:cs="Times New Roman"/>
          <w:sz w:val="24"/>
          <w:szCs w:val="24"/>
          <w:vertAlign w:val="baseline"/>
        </w:rPr>
        <w:t>21, ST/ESCAP/2530 &lt;</w:t>
      </w:r>
      <w:hyperlink r:id="rId157" w:history="1">
        <w:r w:rsidRPr="00F21110">
          <w:rPr>
            <w:rStyle w:val="Hyperlink"/>
            <w:rFonts w:ascii="Times New Roman" w:hAnsi="Times New Roman" w:cs="Times New Roman"/>
            <w:sz w:val="24"/>
            <w:szCs w:val="24"/>
            <w:vertAlign w:val="baseline"/>
          </w:rPr>
          <w:t>http://www.unescapsdd.org/files/documents/SDD_pub_2530.pdf&gt;</w:t>
        </w:r>
      </w:hyperlink>
      <w:r w:rsidRPr="00672137">
        <w:rPr>
          <w:rFonts w:ascii="Times New Roman" w:hAnsi="Times New Roman" w:cs="Times New Roman"/>
          <w:sz w:val="24"/>
          <w:szCs w:val="24"/>
          <w:vertAlign w:val="baseline"/>
        </w:rPr>
        <w:t xml:space="preserve"> accessed 26 August 2015, 29</w:t>
      </w:r>
    </w:p>
    <w:p w14:paraId="20C50966" w14:textId="77777777" w:rsidR="003E2C58" w:rsidRDefault="003E2C58" w:rsidP="003E2C58">
      <w:pPr>
        <w:rPr>
          <w:rFonts w:ascii="Times New Roman" w:hAnsi="Times New Roman" w:cs="Times New Roman"/>
          <w:sz w:val="24"/>
          <w:szCs w:val="24"/>
          <w:vertAlign w:val="baseline"/>
        </w:rPr>
      </w:pPr>
    </w:p>
    <w:p w14:paraId="683546E8" w14:textId="77777777" w:rsidR="00062204" w:rsidRDefault="00062204" w:rsidP="00062204">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UN General Assembly, ‘United Nations reform: measures and proposals’ 66th sess</w:t>
      </w:r>
      <w:r>
        <w:rPr>
          <w:rFonts w:ascii="Times New Roman" w:hAnsi="Times New Roman" w:cs="Times New Roman"/>
          <w:sz w:val="24"/>
          <w:szCs w:val="24"/>
          <w:vertAlign w:val="baseline"/>
        </w:rPr>
        <w:t>ion GA, 26 June 2012 A/66/860</w:t>
      </w:r>
    </w:p>
    <w:p w14:paraId="33052A51" w14:textId="77777777" w:rsidR="00062204" w:rsidRDefault="00062204" w:rsidP="003E2C58">
      <w:pPr>
        <w:rPr>
          <w:rFonts w:ascii="Times New Roman" w:hAnsi="Times New Roman" w:cs="Times New Roman"/>
          <w:sz w:val="24"/>
          <w:szCs w:val="24"/>
          <w:vertAlign w:val="baseline"/>
        </w:rPr>
      </w:pPr>
    </w:p>
    <w:p w14:paraId="42063F6F"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UNHCR, ‘Aid worker calls for action to protect child "witches" from abuse’ (UNHCR, 8 April 2009) &lt;</w:t>
      </w:r>
      <w:hyperlink r:id="rId158" w:history="1">
        <w:r w:rsidRPr="00D65134">
          <w:rPr>
            <w:rStyle w:val="Hyperlink"/>
            <w:rFonts w:ascii="Times New Roman" w:hAnsi="Times New Roman" w:cs="Times New Roman"/>
            <w:sz w:val="24"/>
            <w:szCs w:val="24"/>
            <w:vertAlign w:val="baseline"/>
          </w:rPr>
          <w:t>http://www.unhcr.org/49dcbeb72.html&gt; a</w:t>
        </w:r>
      </w:hyperlink>
      <w:r w:rsidRPr="00672137">
        <w:rPr>
          <w:rFonts w:ascii="Times New Roman" w:hAnsi="Times New Roman" w:cs="Times New Roman"/>
          <w:sz w:val="24"/>
          <w:szCs w:val="24"/>
          <w:vertAlign w:val="baseline"/>
        </w:rPr>
        <w:t>ccessed 16 September 2014.</w:t>
      </w:r>
    </w:p>
    <w:p w14:paraId="04BC53B4" w14:textId="77777777" w:rsidR="003E2C58" w:rsidRDefault="003E2C58" w:rsidP="003E2C58">
      <w:pPr>
        <w:rPr>
          <w:rFonts w:ascii="Times New Roman" w:hAnsi="Times New Roman" w:cs="Times New Roman"/>
          <w:sz w:val="24"/>
          <w:szCs w:val="24"/>
          <w:vertAlign w:val="baseline"/>
        </w:rPr>
      </w:pPr>
    </w:p>
    <w:p w14:paraId="47E3D3B7"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UNHCR, ‘Committee Against Torture: Monitoring the Prevention of Torture and other cruel, inhuman or degrading treatment or punishment’ &lt;</w:t>
      </w:r>
      <w:hyperlink r:id="rId159" w:history="1">
        <w:r w:rsidRPr="004A6E8A">
          <w:rPr>
            <w:rStyle w:val="Hyperlink"/>
            <w:rFonts w:ascii="Times New Roman" w:hAnsi="Times New Roman" w:cs="Times New Roman"/>
            <w:sz w:val="24"/>
            <w:szCs w:val="24"/>
            <w:vertAlign w:val="baseline"/>
          </w:rPr>
          <w:t>http://www.ohchr.org/EN/HRBodies/CAT/Pages/CATIntro.aspx&gt;</w:t>
        </w:r>
      </w:hyperlink>
      <w:r w:rsidRPr="00672137">
        <w:rPr>
          <w:rFonts w:ascii="Times New Roman" w:hAnsi="Times New Roman" w:cs="Times New Roman"/>
          <w:sz w:val="24"/>
          <w:szCs w:val="24"/>
          <w:vertAlign w:val="baseline"/>
        </w:rPr>
        <w:t xml:space="preserve"> accessed 15 June 2015</w:t>
      </w:r>
    </w:p>
    <w:p w14:paraId="0A3DFD95" w14:textId="77777777" w:rsidR="003E2C58" w:rsidRDefault="003E2C58" w:rsidP="003E2C58">
      <w:pPr>
        <w:rPr>
          <w:rFonts w:ascii="Times New Roman" w:hAnsi="Times New Roman" w:cs="Times New Roman"/>
          <w:sz w:val="24"/>
          <w:szCs w:val="24"/>
          <w:vertAlign w:val="baseline"/>
        </w:rPr>
      </w:pPr>
    </w:p>
    <w:p w14:paraId="0735F867"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UNHCR, ‘Reporti</w:t>
      </w:r>
      <w:r>
        <w:rPr>
          <w:rFonts w:ascii="Times New Roman" w:hAnsi="Times New Roman" w:cs="Times New Roman"/>
          <w:sz w:val="24"/>
          <w:szCs w:val="24"/>
          <w:vertAlign w:val="baseline"/>
        </w:rPr>
        <w:t xml:space="preserve">ng status for Papua New Guinea’ (UNHCR, 2016) </w:t>
      </w:r>
      <w:r w:rsidRPr="00672137">
        <w:rPr>
          <w:rFonts w:ascii="Times New Roman" w:hAnsi="Times New Roman" w:cs="Times New Roman"/>
          <w:sz w:val="24"/>
          <w:szCs w:val="24"/>
          <w:vertAlign w:val="baseline"/>
        </w:rPr>
        <w:t>&lt;</w:t>
      </w:r>
      <w:hyperlink r:id="rId160" w:history="1">
        <w:r w:rsidRPr="00777740">
          <w:rPr>
            <w:rStyle w:val="Hyperlink"/>
            <w:rFonts w:ascii="Times New Roman" w:hAnsi="Times New Roman" w:cs="Times New Roman"/>
            <w:sz w:val="24"/>
            <w:szCs w:val="24"/>
            <w:vertAlign w:val="baseline"/>
          </w:rPr>
          <w:t>http://tbinternet.ohchr.org/_layouts/TreatyBodyExternal/Countries.aspx?CountryCode=PNG&amp;Lang=EN&gt; a</w:t>
        </w:r>
      </w:hyperlink>
      <w:r w:rsidRPr="00672137">
        <w:rPr>
          <w:rFonts w:ascii="Times New Roman" w:hAnsi="Times New Roman" w:cs="Times New Roman"/>
          <w:sz w:val="24"/>
          <w:szCs w:val="24"/>
          <w:vertAlign w:val="baseline"/>
        </w:rPr>
        <w:t>ccessed 12 January 2016</w:t>
      </w:r>
    </w:p>
    <w:p w14:paraId="3C872E88" w14:textId="77777777" w:rsidR="003E2C58" w:rsidRDefault="003E2C58" w:rsidP="003E2C58">
      <w:pPr>
        <w:rPr>
          <w:rFonts w:ascii="Times New Roman" w:hAnsi="Times New Roman" w:cs="Times New Roman"/>
          <w:sz w:val="24"/>
          <w:szCs w:val="24"/>
          <w:vertAlign w:val="baseline"/>
        </w:rPr>
      </w:pPr>
    </w:p>
    <w:p w14:paraId="7DC174D9" w14:textId="77777777" w:rsidR="00D5586F" w:rsidRDefault="00D5586F" w:rsidP="00D5586F">
      <w:pPr>
        <w:rPr>
          <w:rFonts w:ascii="Times New Roman" w:hAnsi="Times New Roman" w:cs="Times New Roman"/>
          <w:sz w:val="24"/>
          <w:szCs w:val="24"/>
          <w:vertAlign w:val="baseline"/>
        </w:rPr>
      </w:pPr>
      <w:r>
        <w:rPr>
          <w:rFonts w:ascii="Times New Roman" w:hAnsi="Times New Roman" w:cs="Times New Roman"/>
          <w:sz w:val="24"/>
          <w:szCs w:val="24"/>
          <w:vertAlign w:val="baseline"/>
        </w:rPr>
        <w:t>UN</w:t>
      </w:r>
      <w:r w:rsidRPr="00672137">
        <w:rPr>
          <w:rFonts w:ascii="Times New Roman" w:hAnsi="Times New Roman" w:cs="Times New Roman"/>
          <w:sz w:val="24"/>
          <w:szCs w:val="24"/>
          <w:vertAlign w:val="baseline"/>
        </w:rPr>
        <w:t xml:space="preserve"> International Children's Emergency Fund &lt;</w:t>
      </w:r>
      <w:hyperlink r:id="rId161" w:history="1">
        <w:r w:rsidRPr="00CA5B2E">
          <w:rPr>
            <w:rStyle w:val="Hyperlink"/>
            <w:rFonts w:ascii="Times New Roman" w:hAnsi="Times New Roman" w:cs="Times New Roman"/>
            <w:sz w:val="24"/>
            <w:szCs w:val="24"/>
            <w:vertAlign w:val="baseline"/>
          </w:rPr>
          <w:t>http://www.unicef.org.uk&gt;</w:t>
        </w:r>
      </w:hyperlink>
      <w:r w:rsidRPr="00672137">
        <w:rPr>
          <w:rFonts w:ascii="Times New Roman" w:hAnsi="Times New Roman" w:cs="Times New Roman"/>
          <w:sz w:val="24"/>
          <w:szCs w:val="24"/>
          <w:vertAlign w:val="baseline"/>
        </w:rPr>
        <w:t xml:space="preserve"> accessed 17 April 2014.</w:t>
      </w:r>
    </w:p>
    <w:p w14:paraId="79A6596C" w14:textId="77777777" w:rsidR="00D5586F" w:rsidRDefault="00D5586F" w:rsidP="003E2C58">
      <w:pPr>
        <w:rPr>
          <w:rFonts w:ascii="Times New Roman" w:hAnsi="Times New Roman" w:cs="Times New Roman"/>
          <w:sz w:val="24"/>
          <w:szCs w:val="24"/>
          <w:vertAlign w:val="baseline"/>
        </w:rPr>
      </w:pPr>
    </w:p>
    <w:p w14:paraId="2910EA34"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UN Voluntary Fund</w:t>
      </w:r>
      <w:r>
        <w:rPr>
          <w:rFonts w:ascii="Times New Roman" w:hAnsi="Times New Roman" w:cs="Times New Roman"/>
          <w:sz w:val="24"/>
          <w:szCs w:val="24"/>
          <w:vertAlign w:val="baseline"/>
        </w:rPr>
        <w:t xml:space="preserve"> for Victims of Torture,</w:t>
      </w:r>
      <w:r w:rsidRPr="00672137">
        <w:rPr>
          <w:rFonts w:ascii="Times New Roman" w:hAnsi="Times New Roman" w:cs="Times New Roman"/>
          <w:sz w:val="24"/>
          <w:szCs w:val="24"/>
          <w:vertAlign w:val="baseline"/>
        </w:rPr>
        <w:t xml:space="preserve"> ‘Interpretation of Torture in the Light of the Practice and Jurisprudence of </w:t>
      </w:r>
      <w:r>
        <w:rPr>
          <w:rFonts w:ascii="Times New Roman" w:hAnsi="Times New Roman" w:cs="Times New Roman"/>
          <w:sz w:val="24"/>
          <w:szCs w:val="24"/>
          <w:vertAlign w:val="baseline"/>
        </w:rPr>
        <w:t xml:space="preserve">International Bodies’ (2011) </w:t>
      </w:r>
      <w:r w:rsidRPr="00672137">
        <w:rPr>
          <w:rFonts w:ascii="Times New Roman" w:hAnsi="Times New Roman" w:cs="Times New Roman"/>
          <w:sz w:val="24"/>
          <w:szCs w:val="24"/>
          <w:vertAlign w:val="baseline"/>
        </w:rPr>
        <w:t>&lt;</w:t>
      </w:r>
      <w:hyperlink r:id="rId162" w:history="1">
        <w:r w:rsidRPr="00C3374B">
          <w:rPr>
            <w:rStyle w:val="Hyperlink"/>
            <w:rFonts w:ascii="Times New Roman" w:hAnsi="Times New Roman" w:cs="Times New Roman"/>
            <w:sz w:val="24"/>
            <w:szCs w:val="24"/>
            <w:vertAlign w:val="baseline"/>
          </w:rPr>
          <w:t>http://www.ohchr.org/Documents/Issues/Torture/UNVFVT/Interpretation_torture_2011_EN.pdf&gt;</w:t>
        </w:r>
      </w:hyperlink>
      <w:r w:rsidRPr="00672137">
        <w:rPr>
          <w:rFonts w:ascii="Times New Roman" w:hAnsi="Times New Roman" w:cs="Times New Roman"/>
          <w:sz w:val="24"/>
          <w:szCs w:val="24"/>
          <w:vertAlign w:val="baseline"/>
        </w:rPr>
        <w:t xml:space="preserve"> accessed 13 July 2015</w:t>
      </w:r>
    </w:p>
    <w:p w14:paraId="08F59BB8" w14:textId="77777777" w:rsidR="003E2C58" w:rsidRDefault="003E2C58" w:rsidP="003E2C58">
      <w:pPr>
        <w:rPr>
          <w:rFonts w:ascii="Times New Roman" w:hAnsi="Times New Roman" w:cs="Times New Roman"/>
          <w:sz w:val="24"/>
          <w:szCs w:val="24"/>
          <w:vertAlign w:val="baseline"/>
        </w:rPr>
      </w:pPr>
    </w:p>
    <w:p w14:paraId="5163989E"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UNICEF, ‘Nepal: Statistics’ (UNICEF, 27 December 2013) &lt;</w:t>
      </w:r>
      <w:hyperlink r:id="rId163" w:history="1">
        <w:r w:rsidRPr="0024198F">
          <w:rPr>
            <w:rStyle w:val="Hyperlink"/>
            <w:rFonts w:ascii="Times New Roman" w:hAnsi="Times New Roman" w:cs="Times New Roman"/>
            <w:sz w:val="24"/>
            <w:szCs w:val="24"/>
            <w:vertAlign w:val="baseline"/>
          </w:rPr>
          <w:t>http://www.unicef.org/infobycountry/nepal_nepal_statistics.html&gt;</w:t>
        </w:r>
      </w:hyperlink>
      <w:r w:rsidRPr="00672137">
        <w:rPr>
          <w:rFonts w:ascii="Times New Roman" w:hAnsi="Times New Roman" w:cs="Times New Roman"/>
          <w:sz w:val="24"/>
          <w:szCs w:val="24"/>
          <w:vertAlign w:val="baseline"/>
        </w:rPr>
        <w:t xml:space="preserve"> accessed 26 August 2015</w:t>
      </w:r>
    </w:p>
    <w:p w14:paraId="74E2B6C5" w14:textId="77777777" w:rsidR="003E2C58" w:rsidRDefault="003E2C58" w:rsidP="003E2C58">
      <w:pPr>
        <w:rPr>
          <w:rFonts w:ascii="Times New Roman" w:hAnsi="Times New Roman" w:cs="Times New Roman"/>
          <w:sz w:val="24"/>
          <w:szCs w:val="24"/>
          <w:vertAlign w:val="baseline"/>
        </w:rPr>
      </w:pPr>
    </w:p>
    <w:p w14:paraId="45F42BC5" w14:textId="77777777" w:rsidR="00047C7D" w:rsidRPr="00672137" w:rsidRDefault="00047C7D" w:rsidP="00047C7D">
      <w:pPr>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UN Women </w:t>
      </w:r>
      <w:r w:rsidRPr="00672137">
        <w:rPr>
          <w:rFonts w:ascii="Times New Roman" w:hAnsi="Times New Roman" w:cs="Times New Roman"/>
          <w:sz w:val="24"/>
          <w:szCs w:val="24"/>
          <w:vertAlign w:val="baseline"/>
        </w:rPr>
        <w:t>&lt;</w:t>
      </w:r>
      <w:r w:rsidRPr="00885794">
        <w:t xml:space="preserve"> </w:t>
      </w:r>
      <w:hyperlink r:id="rId164" w:history="1">
        <w:r w:rsidRPr="00885794">
          <w:rPr>
            <w:rStyle w:val="Hyperlink"/>
            <w:rFonts w:ascii="Times New Roman" w:hAnsi="Times New Roman" w:cs="Times New Roman"/>
            <w:sz w:val="24"/>
            <w:szCs w:val="24"/>
            <w:vertAlign w:val="baseline"/>
          </w:rPr>
          <w:t>http://www.unwomen.org/en</w:t>
        </w:r>
      </w:hyperlink>
      <w:r w:rsidRPr="00672137">
        <w:rPr>
          <w:rFonts w:ascii="Times New Roman" w:hAnsi="Times New Roman" w:cs="Times New Roman"/>
          <w:sz w:val="24"/>
          <w:szCs w:val="24"/>
          <w:vertAlign w:val="baseline"/>
        </w:rPr>
        <w:t>&gt; accessed 17 June 2015</w:t>
      </w:r>
    </w:p>
    <w:p w14:paraId="4A1FEDD7" w14:textId="77777777" w:rsidR="00047C7D" w:rsidRDefault="00047C7D" w:rsidP="003E2C58">
      <w:pPr>
        <w:rPr>
          <w:rFonts w:ascii="Times New Roman" w:hAnsi="Times New Roman" w:cs="Times New Roman"/>
          <w:sz w:val="24"/>
          <w:szCs w:val="24"/>
          <w:vertAlign w:val="baseline"/>
        </w:rPr>
      </w:pPr>
    </w:p>
    <w:p w14:paraId="388A8772"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UN Women, ‘Declarations, Reservations and Objections to CEDAW’ &lt;</w:t>
      </w:r>
      <w:hyperlink r:id="rId165" w:history="1">
        <w:r w:rsidRPr="00DE02BD">
          <w:rPr>
            <w:rStyle w:val="Hyperlink"/>
            <w:rFonts w:ascii="Times New Roman" w:hAnsi="Times New Roman" w:cs="Times New Roman"/>
            <w:sz w:val="24"/>
            <w:szCs w:val="24"/>
            <w:vertAlign w:val="baseline"/>
          </w:rPr>
          <w:t>http://www.un.org/womenwatch/daw/cedaw/reservations-country.htm&gt;</w:t>
        </w:r>
      </w:hyperlink>
      <w:r w:rsidRPr="00672137">
        <w:rPr>
          <w:rFonts w:ascii="Times New Roman" w:hAnsi="Times New Roman" w:cs="Times New Roman"/>
          <w:sz w:val="24"/>
          <w:szCs w:val="24"/>
          <w:vertAlign w:val="baseline"/>
        </w:rPr>
        <w:t xml:space="preserve"> accessed 2 July 2015</w:t>
      </w:r>
    </w:p>
    <w:p w14:paraId="357AFF33" w14:textId="77777777" w:rsidR="003E2C58" w:rsidRDefault="003E2C58" w:rsidP="003E2C58">
      <w:pPr>
        <w:rPr>
          <w:rFonts w:ascii="Times New Roman" w:hAnsi="Times New Roman" w:cs="Times New Roman"/>
          <w:sz w:val="24"/>
          <w:szCs w:val="24"/>
          <w:vertAlign w:val="baseline"/>
        </w:rPr>
      </w:pPr>
    </w:p>
    <w:p w14:paraId="4A9D18C0" w14:textId="15E52578"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UN Women, ‘Closing remarks by Michelle Bachelet at high level event on Strengthening Women’s Access to Justice’ (UN Women</w:t>
      </w:r>
      <w:r>
        <w:rPr>
          <w:rFonts w:ascii="Times New Roman" w:hAnsi="Times New Roman" w:cs="Times New Roman"/>
          <w:sz w:val="24"/>
          <w:szCs w:val="24"/>
          <w:vertAlign w:val="baseline"/>
        </w:rPr>
        <w:t>,</w:t>
      </w:r>
      <w:r w:rsidRPr="00672137">
        <w:rPr>
          <w:rFonts w:ascii="Times New Roman" w:hAnsi="Times New Roman" w:cs="Times New Roman"/>
          <w:sz w:val="24"/>
          <w:szCs w:val="24"/>
          <w:vertAlign w:val="baseline"/>
        </w:rPr>
        <w:t xml:space="preserve"> 24 September 2012) &lt;</w:t>
      </w:r>
      <w:hyperlink r:id="rId166" w:history="1">
        <w:r w:rsidRPr="00885794">
          <w:rPr>
            <w:rStyle w:val="Hyperlink"/>
            <w:rFonts w:ascii="Times New Roman" w:hAnsi="Times New Roman" w:cs="Times New Roman"/>
            <w:sz w:val="24"/>
            <w:szCs w:val="24"/>
            <w:vertAlign w:val="baseline"/>
          </w:rPr>
          <w:t>http://www.unwomen.org/en/news/stories/2012/9/closing-remarks-by-michelle-bachelet-at-high-level-event-on-strengthening-women-s-access-to-justice&gt;</w:t>
        </w:r>
      </w:hyperlink>
      <w:r>
        <w:rPr>
          <w:rFonts w:ascii="Times New Roman" w:hAnsi="Times New Roman" w:cs="Times New Roman"/>
          <w:sz w:val="24"/>
          <w:szCs w:val="24"/>
          <w:vertAlign w:val="baseline"/>
        </w:rPr>
        <w:t xml:space="preserve"> accessed 17 June 2015</w:t>
      </w:r>
    </w:p>
    <w:p w14:paraId="07CB53B2" w14:textId="77777777" w:rsidR="003E2C58" w:rsidRDefault="003E2C58" w:rsidP="003E2C58">
      <w:pPr>
        <w:rPr>
          <w:rFonts w:ascii="Times New Roman" w:hAnsi="Times New Roman" w:cs="Times New Roman"/>
          <w:sz w:val="24"/>
          <w:szCs w:val="24"/>
          <w:vertAlign w:val="baseline"/>
        </w:rPr>
      </w:pPr>
    </w:p>
    <w:p w14:paraId="1E569441"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UN Women, ‘Preventing and ending violence against women is at the heart of the UN Women’s mission: John Hendra’ (UN Women</w:t>
      </w:r>
      <w:r>
        <w:rPr>
          <w:rFonts w:ascii="Times New Roman" w:hAnsi="Times New Roman" w:cs="Times New Roman"/>
          <w:sz w:val="24"/>
          <w:szCs w:val="24"/>
          <w:vertAlign w:val="baseline"/>
        </w:rPr>
        <w:t>,</w:t>
      </w:r>
      <w:r w:rsidRPr="00672137">
        <w:rPr>
          <w:rFonts w:ascii="Times New Roman" w:hAnsi="Times New Roman" w:cs="Times New Roman"/>
          <w:sz w:val="24"/>
          <w:szCs w:val="24"/>
          <w:vertAlign w:val="baseline"/>
        </w:rPr>
        <w:t xml:space="preserve"> 18 October 2013) &lt;</w:t>
      </w:r>
      <w:hyperlink r:id="rId167" w:history="1">
        <w:r w:rsidRPr="00885794">
          <w:rPr>
            <w:rStyle w:val="Hyperlink"/>
            <w:rFonts w:ascii="Times New Roman" w:hAnsi="Times New Roman" w:cs="Times New Roman"/>
            <w:sz w:val="24"/>
            <w:szCs w:val="24"/>
            <w:vertAlign w:val="baseline"/>
          </w:rPr>
          <w:t>http://www.unwomen.org/en/news/stories/2013/10/remarks-by-ded-john-hendra-on-taking-action-against-killings-of-women&gt;</w:t>
        </w:r>
      </w:hyperlink>
      <w:r w:rsidRPr="00672137">
        <w:rPr>
          <w:rFonts w:ascii="Times New Roman" w:hAnsi="Times New Roman" w:cs="Times New Roman"/>
          <w:sz w:val="24"/>
          <w:szCs w:val="24"/>
          <w:vertAlign w:val="baseline"/>
        </w:rPr>
        <w:t xml:space="preserve"> accessed 17 June 2015</w:t>
      </w:r>
    </w:p>
    <w:p w14:paraId="7A824B1D" w14:textId="77777777" w:rsidR="003E2C58" w:rsidRPr="00672137" w:rsidRDefault="003E2C58" w:rsidP="003E2C58">
      <w:pPr>
        <w:rPr>
          <w:rFonts w:ascii="Times New Roman" w:hAnsi="Times New Roman" w:cs="Times New Roman"/>
          <w:sz w:val="24"/>
          <w:szCs w:val="24"/>
          <w:vertAlign w:val="baseline"/>
        </w:rPr>
      </w:pPr>
    </w:p>
    <w:p w14:paraId="73889F01"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UN Women, ‘Speech by Michelle Bachelet: Reclaiming Public Spaces for the Empowerment of Power and Girls’ (UN Women</w:t>
      </w:r>
      <w:r>
        <w:rPr>
          <w:rFonts w:ascii="Times New Roman" w:hAnsi="Times New Roman" w:cs="Times New Roman"/>
          <w:sz w:val="24"/>
          <w:szCs w:val="24"/>
          <w:vertAlign w:val="baseline"/>
        </w:rPr>
        <w:t>,</w:t>
      </w:r>
      <w:r w:rsidRPr="00672137">
        <w:rPr>
          <w:rFonts w:ascii="Times New Roman" w:hAnsi="Times New Roman" w:cs="Times New Roman"/>
          <w:sz w:val="24"/>
          <w:szCs w:val="24"/>
          <w:vertAlign w:val="baseline"/>
        </w:rPr>
        <w:t xml:space="preserve"> 7 March 2013) &lt;</w:t>
      </w:r>
      <w:hyperlink r:id="rId168" w:history="1">
        <w:r w:rsidRPr="00885794">
          <w:rPr>
            <w:rStyle w:val="Hyperlink"/>
            <w:rFonts w:ascii="Times New Roman" w:hAnsi="Times New Roman" w:cs="Times New Roman"/>
            <w:sz w:val="24"/>
            <w:szCs w:val="24"/>
            <w:vertAlign w:val="baseline"/>
          </w:rPr>
          <w:t>http://www.unwomen.org/en/news/stories/2013/3/speech-by-michelle-bachelet-reclaiming-public-spaces-for-the-empowerment-of-women-and-girls&gt;</w:t>
        </w:r>
      </w:hyperlink>
      <w:r>
        <w:rPr>
          <w:rFonts w:ascii="Times New Roman" w:hAnsi="Times New Roman" w:cs="Times New Roman"/>
          <w:sz w:val="24"/>
          <w:szCs w:val="24"/>
          <w:vertAlign w:val="baseline"/>
        </w:rPr>
        <w:t xml:space="preserve"> accessed 17 June 2015</w:t>
      </w:r>
    </w:p>
    <w:p w14:paraId="5B48D2C9" w14:textId="77777777" w:rsidR="003E2C58" w:rsidRDefault="003E2C58" w:rsidP="003E2C58">
      <w:pPr>
        <w:rPr>
          <w:rFonts w:ascii="Times New Roman" w:hAnsi="Times New Roman" w:cs="Times New Roman"/>
          <w:sz w:val="24"/>
          <w:szCs w:val="24"/>
          <w:vertAlign w:val="baseline"/>
        </w:rPr>
      </w:pPr>
    </w:p>
    <w:p w14:paraId="13CB58BE"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UN Women, ‘UN Women calls on Member States and stakeholders to take urgent action against femicide’ (UN Women 26 June 2012) &lt;</w:t>
      </w:r>
      <w:hyperlink r:id="rId169" w:history="1">
        <w:r w:rsidRPr="00885794">
          <w:rPr>
            <w:rStyle w:val="Hyperlink"/>
            <w:rFonts w:ascii="Times New Roman" w:hAnsi="Times New Roman" w:cs="Times New Roman"/>
            <w:sz w:val="24"/>
            <w:szCs w:val="24"/>
            <w:vertAlign w:val="baseline"/>
          </w:rPr>
          <w:t>http://www.unwomen.org/en/news/stories/2012/6/un-women-calls-on-member-states-and-stakeholders-to-take-urgent-action-against-femicide&gt;</w:t>
        </w:r>
      </w:hyperlink>
      <w:r>
        <w:rPr>
          <w:rFonts w:ascii="Times New Roman" w:hAnsi="Times New Roman" w:cs="Times New Roman"/>
          <w:sz w:val="24"/>
          <w:szCs w:val="24"/>
          <w:vertAlign w:val="baseline"/>
        </w:rPr>
        <w:t xml:space="preserve"> accessed 17 June 2015</w:t>
      </w:r>
    </w:p>
    <w:p w14:paraId="7B181DD4" w14:textId="77777777" w:rsidR="003E2C58" w:rsidRDefault="003E2C58" w:rsidP="003E2C58">
      <w:pPr>
        <w:rPr>
          <w:rFonts w:ascii="Times New Roman" w:hAnsi="Times New Roman" w:cs="Times New Roman"/>
          <w:sz w:val="24"/>
          <w:szCs w:val="24"/>
          <w:vertAlign w:val="baseline"/>
        </w:rPr>
      </w:pPr>
    </w:p>
    <w:p w14:paraId="64E4CF69" w14:textId="77777777" w:rsidR="003B4A1B" w:rsidRDefault="003B4A1B" w:rsidP="003B4A1B">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Under the Same Sun &lt;</w:t>
      </w:r>
      <w:hyperlink r:id="rId170" w:history="1">
        <w:r w:rsidRPr="00EA5E56">
          <w:rPr>
            <w:rStyle w:val="Hyperlink"/>
            <w:rFonts w:ascii="Times New Roman" w:hAnsi="Times New Roman" w:cs="Times New Roman"/>
            <w:sz w:val="24"/>
            <w:szCs w:val="24"/>
            <w:vertAlign w:val="baseline"/>
          </w:rPr>
          <w:t>http://www.underthesamesun.com/&gt;</w:t>
        </w:r>
      </w:hyperlink>
      <w:r w:rsidRPr="00672137">
        <w:rPr>
          <w:rFonts w:ascii="Times New Roman" w:hAnsi="Times New Roman" w:cs="Times New Roman"/>
          <w:sz w:val="24"/>
          <w:szCs w:val="24"/>
          <w:vertAlign w:val="baseline"/>
        </w:rPr>
        <w:t xml:space="preserve"> accessed 17 April 2014.</w:t>
      </w:r>
    </w:p>
    <w:p w14:paraId="552E1B94" w14:textId="77777777" w:rsidR="003B4A1B" w:rsidRDefault="003B4A1B" w:rsidP="003E2C58">
      <w:pPr>
        <w:rPr>
          <w:rFonts w:ascii="Times New Roman" w:hAnsi="Times New Roman" w:cs="Times New Roman"/>
          <w:sz w:val="24"/>
          <w:szCs w:val="24"/>
          <w:vertAlign w:val="baseline"/>
        </w:rPr>
      </w:pPr>
    </w:p>
    <w:p w14:paraId="673D3FAE"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Upreti</w:t>
      </w:r>
      <w:r>
        <w:rPr>
          <w:rFonts w:ascii="Times New Roman" w:hAnsi="Times New Roman" w:cs="Times New Roman"/>
          <w:sz w:val="24"/>
          <w:szCs w:val="24"/>
          <w:vertAlign w:val="baseline"/>
        </w:rPr>
        <w:t xml:space="preserve"> BR</w:t>
      </w:r>
      <w:r w:rsidRPr="00672137">
        <w:rPr>
          <w:rFonts w:ascii="Times New Roman" w:hAnsi="Times New Roman" w:cs="Times New Roman"/>
          <w:sz w:val="24"/>
          <w:szCs w:val="24"/>
          <w:vertAlign w:val="baseline"/>
        </w:rPr>
        <w:t xml:space="preserve">, ‘Non-violent Approach of Conflict Transformation and Peace Building: Experiences of April 2006 People’s Movement of Nepal’ Conference Paper (9th Sustainable Development Conference, </w:t>
      </w:r>
      <w:r>
        <w:rPr>
          <w:rFonts w:ascii="Times New Roman" w:hAnsi="Times New Roman" w:cs="Times New Roman"/>
          <w:sz w:val="24"/>
          <w:szCs w:val="24"/>
          <w:vertAlign w:val="baseline"/>
        </w:rPr>
        <w:t>Islamabad 13-15 December 2006)</w:t>
      </w:r>
    </w:p>
    <w:p w14:paraId="33C0E52E" w14:textId="77777777" w:rsidR="003E2C58" w:rsidRDefault="003E2C58" w:rsidP="003E2C58">
      <w:pPr>
        <w:rPr>
          <w:rFonts w:ascii="Times New Roman" w:hAnsi="Times New Roman" w:cs="Times New Roman"/>
          <w:b/>
          <w:sz w:val="24"/>
          <w:szCs w:val="24"/>
          <w:vertAlign w:val="baseline"/>
        </w:rPr>
      </w:pPr>
    </w:p>
    <w:p w14:paraId="0A24EFEE"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Urame</w:t>
      </w:r>
      <w:r>
        <w:rPr>
          <w:rFonts w:ascii="Times New Roman" w:hAnsi="Times New Roman" w:cs="Times New Roman"/>
          <w:sz w:val="24"/>
          <w:szCs w:val="24"/>
          <w:vertAlign w:val="baseline"/>
        </w:rPr>
        <w:t xml:space="preserve"> J</w:t>
      </w:r>
      <w:r w:rsidRPr="00672137">
        <w:rPr>
          <w:rFonts w:ascii="Times New Roman" w:hAnsi="Times New Roman" w:cs="Times New Roman"/>
          <w:sz w:val="24"/>
          <w:szCs w:val="24"/>
          <w:vertAlign w:val="baseline"/>
        </w:rPr>
        <w:t xml:space="preserve">, ‘The Spread of Sorcery Killing and its Social Implications’ in Forsyth </w:t>
      </w:r>
      <w:r>
        <w:rPr>
          <w:rFonts w:ascii="Times New Roman" w:hAnsi="Times New Roman" w:cs="Times New Roman"/>
          <w:sz w:val="24"/>
          <w:szCs w:val="24"/>
          <w:vertAlign w:val="baseline"/>
        </w:rPr>
        <w:t xml:space="preserve">M </w:t>
      </w:r>
      <w:r w:rsidRPr="00672137">
        <w:rPr>
          <w:rFonts w:ascii="Times New Roman" w:hAnsi="Times New Roman" w:cs="Times New Roman"/>
          <w:sz w:val="24"/>
          <w:szCs w:val="24"/>
          <w:vertAlign w:val="baseline"/>
        </w:rPr>
        <w:t>and Eves</w:t>
      </w:r>
      <w:r>
        <w:rPr>
          <w:rFonts w:ascii="Times New Roman" w:hAnsi="Times New Roman" w:cs="Times New Roman"/>
          <w:sz w:val="24"/>
          <w:szCs w:val="24"/>
          <w:vertAlign w:val="baseline"/>
        </w:rPr>
        <w:t xml:space="preserve"> R</w:t>
      </w:r>
      <w:r w:rsidRPr="00672137">
        <w:rPr>
          <w:rFonts w:ascii="Times New Roman" w:hAnsi="Times New Roman" w:cs="Times New Roman"/>
          <w:sz w:val="24"/>
          <w:szCs w:val="24"/>
          <w:vertAlign w:val="baseline"/>
        </w:rPr>
        <w:t xml:space="preserve"> (eds) </w:t>
      </w:r>
      <w:r w:rsidRPr="00551784">
        <w:rPr>
          <w:rFonts w:ascii="Times New Roman" w:hAnsi="Times New Roman" w:cs="Times New Roman"/>
          <w:i/>
          <w:sz w:val="24"/>
          <w:szCs w:val="24"/>
          <w:vertAlign w:val="baseline"/>
        </w:rPr>
        <w:t>Talking it Through: Responses to Sorcery and Witchcraft Beliefs and Practices in Melanesia</w:t>
      </w:r>
      <w:r w:rsidRPr="00672137">
        <w:rPr>
          <w:rFonts w:ascii="Times New Roman" w:hAnsi="Times New Roman" w:cs="Times New Roman"/>
          <w:sz w:val="24"/>
          <w:szCs w:val="24"/>
          <w:vertAlign w:val="baseline"/>
        </w:rPr>
        <w:t xml:space="preserve"> (Australian National </w:t>
      </w:r>
      <w:r>
        <w:rPr>
          <w:rFonts w:ascii="Times New Roman" w:hAnsi="Times New Roman" w:cs="Times New Roman"/>
          <w:sz w:val="24"/>
          <w:szCs w:val="24"/>
          <w:vertAlign w:val="baseline"/>
        </w:rPr>
        <w:t>UP 2015)</w:t>
      </w:r>
    </w:p>
    <w:p w14:paraId="4615253F" w14:textId="77777777" w:rsidR="003E2C58" w:rsidRDefault="003E2C58" w:rsidP="003E2C58">
      <w:pPr>
        <w:rPr>
          <w:rFonts w:ascii="Times New Roman" w:hAnsi="Times New Roman" w:cs="Times New Roman"/>
          <w:sz w:val="24"/>
          <w:szCs w:val="24"/>
          <w:vertAlign w:val="baseline"/>
        </w:rPr>
      </w:pPr>
    </w:p>
    <w:p w14:paraId="3442CD09"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Valea</w:t>
      </w:r>
      <w:r>
        <w:rPr>
          <w:rFonts w:ascii="Times New Roman" w:hAnsi="Times New Roman" w:cs="Times New Roman"/>
          <w:sz w:val="24"/>
          <w:szCs w:val="24"/>
          <w:vertAlign w:val="baseline"/>
        </w:rPr>
        <w:t xml:space="preserve"> E</w:t>
      </w:r>
      <w:r w:rsidRPr="00672137">
        <w:rPr>
          <w:rFonts w:ascii="Times New Roman" w:hAnsi="Times New Roman" w:cs="Times New Roman"/>
          <w:sz w:val="24"/>
          <w:szCs w:val="24"/>
          <w:vertAlign w:val="baseline"/>
        </w:rPr>
        <w:t>, ‘The problem of evil in world religions’ (Comparative Religion, 15 January 2011) &lt;</w:t>
      </w:r>
      <w:hyperlink r:id="rId171" w:history="1">
        <w:r w:rsidRPr="004F3BC3">
          <w:rPr>
            <w:rStyle w:val="Hyperlink"/>
            <w:rFonts w:ascii="Times New Roman" w:hAnsi="Times New Roman" w:cs="Times New Roman"/>
            <w:sz w:val="24"/>
            <w:szCs w:val="24"/>
            <w:vertAlign w:val="baseline"/>
          </w:rPr>
          <w:t>http://www.comparativereligion.com/evil.html&gt;</w:t>
        </w:r>
      </w:hyperlink>
      <w:r w:rsidRPr="00672137">
        <w:rPr>
          <w:rFonts w:ascii="Times New Roman" w:hAnsi="Times New Roman" w:cs="Times New Roman"/>
          <w:sz w:val="24"/>
          <w:szCs w:val="24"/>
          <w:vertAlign w:val="baseline"/>
        </w:rPr>
        <w:t xml:space="preserve"> accessed 10 July 2014.</w:t>
      </w:r>
    </w:p>
    <w:p w14:paraId="01C0A25F" w14:textId="77777777" w:rsidR="003E2C58" w:rsidRDefault="003E2C58" w:rsidP="003E2C58">
      <w:pPr>
        <w:rPr>
          <w:rFonts w:ascii="Times New Roman" w:hAnsi="Times New Roman" w:cs="Times New Roman"/>
          <w:sz w:val="24"/>
          <w:szCs w:val="24"/>
          <w:vertAlign w:val="baseline"/>
        </w:rPr>
      </w:pPr>
    </w:p>
    <w:p w14:paraId="5621D0A8" w14:textId="77777777" w:rsidR="003E2C58" w:rsidRPr="00672137" w:rsidRDefault="003E2C58" w:rsidP="003E2C58">
      <w:pPr>
        <w:rPr>
          <w:rFonts w:ascii="Times New Roman" w:hAnsi="Times New Roman" w:cs="Times New Roman"/>
          <w:sz w:val="24"/>
          <w:szCs w:val="24"/>
          <w:vertAlign w:val="baseline"/>
        </w:rPr>
      </w:pPr>
      <w:r>
        <w:rPr>
          <w:rFonts w:ascii="Times New Roman" w:hAnsi="Times New Roman" w:cs="Times New Roman"/>
          <w:sz w:val="24"/>
          <w:szCs w:val="24"/>
          <w:vertAlign w:val="baseline"/>
        </w:rPr>
        <w:t>V</w:t>
      </w:r>
      <w:r w:rsidRPr="00672137">
        <w:rPr>
          <w:rFonts w:ascii="Times New Roman" w:hAnsi="Times New Roman" w:cs="Times New Roman"/>
          <w:sz w:val="24"/>
          <w:szCs w:val="24"/>
          <w:vertAlign w:val="baseline"/>
        </w:rPr>
        <w:t>an Beek</w:t>
      </w:r>
      <w:r>
        <w:rPr>
          <w:rFonts w:ascii="Times New Roman" w:hAnsi="Times New Roman" w:cs="Times New Roman"/>
          <w:sz w:val="24"/>
          <w:szCs w:val="24"/>
          <w:vertAlign w:val="baseline"/>
        </w:rPr>
        <w:t xml:space="preserve"> WEA</w:t>
      </w:r>
      <w:r w:rsidRPr="00672137">
        <w:rPr>
          <w:rFonts w:ascii="Times New Roman" w:hAnsi="Times New Roman" w:cs="Times New Roman"/>
          <w:sz w:val="24"/>
          <w:szCs w:val="24"/>
          <w:vertAlign w:val="baseline"/>
        </w:rPr>
        <w:t>, ‘The Escalation of Wi</w:t>
      </w:r>
      <w:r>
        <w:rPr>
          <w:rFonts w:ascii="Times New Roman" w:hAnsi="Times New Roman" w:cs="Times New Roman"/>
          <w:sz w:val="24"/>
          <w:szCs w:val="24"/>
          <w:vertAlign w:val="baseline"/>
        </w:rPr>
        <w:t xml:space="preserve">tchcraft Accusations’ in </w:t>
      </w:r>
      <w:r w:rsidRPr="00672137">
        <w:rPr>
          <w:rFonts w:ascii="Times New Roman" w:hAnsi="Times New Roman" w:cs="Times New Roman"/>
          <w:sz w:val="24"/>
          <w:szCs w:val="24"/>
          <w:vertAlign w:val="baseline"/>
        </w:rPr>
        <w:t>Ter Haar</w:t>
      </w:r>
      <w:r>
        <w:rPr>
          <w:rFonts w:ascii="Times New Roman" w:hAnsi="Times New Roman" w:cs="Times New Roman"/>
          <w:sz w:val="24"/>
          <w:szCs w:val="24"/>
          <w:vertAlign w:val="baseline"/>
        </w:rPr>
        <w:t xml:space="preserve"> G</w:t>
      </w:r>
      <w:r w:rsidRPr="00672137">
        <w:rPr>
          <w:rFonts w:ascii="Times New Roman" w:hAnsi="Times New Roman" w:cs="Times New Roman"/>
          <w:sz w:val="24"/>
          <w:szCs w:val="24"/>
          <w:vertAlign w:val="baseline"/>
        </w:rPr>
        <w:t xml:space="preserve">, </w:t>
      </w:r>
      <w:r w:rsidRPr="000E7CA1">
        <w:rPr>
          <w:rFonts w:ascii="Times New Roman" w:hAnsi="Times New Roman" w:cs="Times New Roman"/>
          <w:i/>
          <w:sz w:val="24"/>
          <w:szCs w:val="24"/>
          <w:vertAlign w:val="baseline"/>
        </w:rPr>
        <w:t>Imagining Evil: Witchcraft Beliefs and Accusations in Contemporary Africa</w:t>
      </w:r>
      <w:r>
        <w:rPr>
          <w:rFonts w:ascii="Times New Roman" w:hAnsi="Times New Roman" w:cs="Times New Roman"/>
          <w:sz w:val="24"/>
          <w:szCs w:val="24"/>
          <w:vertAlign w:val="baseline"/>
        </w:rPr>
        <w:t xml:space="preserve"> (Africa World Press 2007) </w:t>
      </w:r>
    </w:p>
    <w:p w14:paraId="6A4E9512" w14:textId="77777777" w:rsidR="003E2C58" w:rsidRDefault="003E2C58" w:rsidP="003E2C58">
      <w:pPr>
        <w:rPr>
          <w:rFonts w:ascii="Times New Roman" w:hAnsi="Times New Roman" w:cs="Times New Roman"/>
          <w:sz w:val="24"/>
          <w:szCs w:val="24"/>
          <w:vertAlign w:val="baseline"/>
        </w:rPr>
      </w:pPr>
    </w:p>
    <w:p w14:paraId="484F2809" w14:textId="1BDE374D" w:rsidR="00A3659E" w:rsidRDefault="00A3659E" w:rsidP="003E2C58">
      <w:pPr>
        <w:rPr>
          <w:rFonts w:ascii="Times New Roman" w:hAnsi="Times New Roman" w:cs="Times New Roman"/>
          <w:sz w:val="24"/>
          <w:szCs w:val="24"/>
          <w:vertAlign w:val="baseline"/>
        </w:rPr>
      </w:pPr>
      <w:r w:rsidRPr="00151CEF">
        <w:rPr>
          <w:rFonts w:ascii="Times New Roman" w:hAnsi="Times New Roman" w:cs="Times New Roman"/>
          <w:sz w:val="24"/>
          <w:szCs w:val="24"/>
          <w:vertAlign w:val="baseline"/>
        </w:rPr>
        <w:t xml:space="preserve">Van Gent </w:t>
      </w:r>
      <w:r>
        <w:rPr>
          <w:rFonts w:ascii="Times New Roman" w:hAnsi="Times New Roman" w:cs="Times New Roman"/>
          <w:sz w:val="24"/>
          <w:szCs w:val="24"/>
          <w:vertAlign w:val="baseline"/>
        </w:rPr>
        <w:t xml:space="preserve">J </w:t>
      </w:r>
      <w:r w:rsidRPr="00BD7696">
        <w:rPr>
          <w:rFonts w:ascii="Times New Roman" w:hAnsi="Times New Roman" w:cs="Times New Roman"/>
          <w:sz w:val="24"/>
          <w:szCs w:val="24"/>
          <w:vertAlign w:val="baseline"/>
        </w:rPr>
        <w:t xml:space="preserve">and </w:t>
      </w:r>
      <w:r w:rsidRPr="00151CEF">
        <w:rPr>
          <w:rFonts w:ascii="Times New Roman" w:hAnsi="Times New Roman" w:cs="Times New Roman"/>
          <w:sz w:val="24"/>
          <w:szCs w:val="24"/>
          <w:vertAlign w:val="baseline"/>
        </w:rPr>
        <w:t>Broomhall</w:t>
      </w:r>
      <w:r>
        <w:rPr>
          <w:rFonts w:ascii="Times New Roman" w:hAnsi="Times New Roman" w:cs="Times New Roman"/>
          <w:sz w:val="24"/>
          <w:szCs w:val="24"/>
          <w:vertAlign w:val="baseline"/>
        </w:rPr>
        <w:t xml:space="preserve"> S</w:t>
      </w:r>
      <w:r w:rsidRPr="00151CEF">
        <w:rPr>
          <w:rFonts w:ascii="Times New Roman" w:hAnsi="Times New Roman" w:cs="Times New Roman"/>
          <w:sz w:val="24"/>
          <w:szCs w:val="24"/>
          <w:vertAlign w:val="baseline"/>
        </w:rPr>
        <w:t>, Governing Masculinities in the Early Modern Period’ (Ashgate 2011)</w:t>
      </w:r>
    </w:p>
    <w:p w14:paraId="1FBFCB12" w14:textId="77777777" w:rsidR="00A3659E" w:rsidRDefault="00A3659E" w:rsidP="003E2C58">
      <w:pPr>
        <w:rPr>
          <w:rFonts w:ascii="Times New Roman" w:hAnsi="Times New Roman" w:cs="Times New Roman"/>
          <w:sz w:val="24"/>
          <w:szCs w:val="24"/>
          <w:vertAlign w:val="baseline"/>
        </w:rPr>
      </w:pPr>
    </w:p>
    <w:p w14:paraId="63B9D4CA" w14:textId="77777777" w:rsidR="003E2C58" w:rsidRDefault="003E2C58" w:rsidP="003E2C58">
      <w:pPr>
        <w:rPr>
          <w:rFonts w:ascii="Times New Roman" w:hAnsi="Times New Roman" w:cs="Times New Roman"/>
          <w:b/>
          <w:sz w:val="24"/>
          <w:szCs w:val="24"/>
          <w:vertAlign w:val="baseline"/>
        </w:rPr>
      </w:pPr>
      <w:r>
        <w:rPr>
          <w:rFonts w:ascii="Times New Roman" w:hAnsi="Times New Roman" w:cs="Times New Roman"/>
          <w:sz w:val="24"/>
          <w:szCs w:val="24"/>
          <w:vertAlign w:val="baseline"/>
        </w:rPr>
        <w:t>Van Ness P,</w:t>
      </w:r>
      <w:r w:rsidRPr="00672137">
        <w:rPr>
          <w:rFonts w:ascii="Times New Roman" w:hAnsi="Times New Roman" w:cs="Times New Roman"/>
          <w:sz w:val="24"/>
          <w:szCs w:val="24"/>
          <w:vertAlign w:val="baseline"/>
        </w:rPr>
        <w:t xml:space="preserve"> </w:t>
      </w:r>
      <w:r w:rsidRPr="00303CBF">
        <w:rPr>
          <w:rFonts w:ascii="Times New Roman" w:hAnsi="Times New Roman" w:cs="Times New Roman"/>
          <w:i/>
          <w:sz w:val="24"/>
          <w:szCs w:val="24"/>
          <w:vertAlign w:val="baseline"/>
        </w:rPr>
        <w:t>Debating Human Rights: Critical Essays from the United States and Asia</w:t>
      </w:r>
      <w:r>
        <w:rPr>
          <w:rFonts w:ascii="Times New Roman" w:hAnsi="Times New Roman" w:cs="Times New Roman"/>
          <w:sz w:val="24"/>
          <w:szCs w:val="24"/>
          <w:vertAlign w:val="baseline"/>
        </w:rPr>
        <w:t xml:space="preserve"> (Routledge 1998)</w:t>
      </w:r>
    </w:p>
    <w:p w14:paraId="6B252FE2" w14:textId="77777777" w:rsidR="003E2C58" w:rsidRDefault="003E2C58" w:rsidP="003E2C58">
      <w:pPr>
        <w:rPr>
          <w:rFonts w:ascii="Times New Roman" w:hAnsi="Times New Roman" w:cs="Times New Roman"/>
          <w:b/>
          <w:sz w:val="24"/>
          <w:szCs w:val="24"/>
          <w:vertAlign w:val="baseline"/>
        </w:rPr>
      </w:pPr>
    </w:p>
    <w:p w14:paraId="7C264E8A" w14:textId="77777777" w:rsidR="00FF005A" w:rsidRPr="00672137" w:rsidRDefault="00FF005A" w:rsidP="00FF005A">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Varolli</w:t>
      </w:r>
      <w:r>
        <w:rPr>
          <w:rFonts w:ascii="Times New Roman" w:hAnsi="Times New Roman" w:cs="Times New Roman"/>
          <w:sz w:val="24"/>
          <w:szCs w:val="24"/>
          <w:vertAlign w:val="baseline"/>
        </w:rPr>
        <w:t xml:space="preserve"> R</w:t>
      </w:r>
      <w:r w:rsidRPr="00672137">
        <w:rPr>
          <w:rFonts w:ascii="Times New Roman" w:hAnsi="Times New Roman" w:cs="Times New Roman"/>
          <w:sz w:val="24"/>
          <w:szCs w:val="24"/>
          <w:vertAlign w:val="baseline"/>
        </w:rPr>
        <w:t>, ‘Papua New Guinea</w:t>
      </w:r>
      <w:r>
        <w:rPr>
          <w:rFonts w:ascii="Times New Roman" w:hAnsi="Times New Roman" w:cs="Times New Roman"/>
          <w:sz w:val="24"/>
          <w:szCs w:val="24"/>
          <w:vertAlign w:val="baseline"/>
        </w:rPr>
        <w:t xml:space="preserve"> Apologizes for CEDAW Record,’ </w:t>
      </w:r>
      <w:r w:rsidRPr="00917743">
        <w:rPr>
          <w:rFonts w:ascii="Times New Roman" w:hAnsi="Times New Roman" w:cs="Times New Roman"/>
          <w:i/>
          <w:sz w:val="24"/>
          <w:szCs w:val="24"/>
          <w:vertAlign w:val="baseline"/>
        </w:rPr>
        <w:t>Women’s eNews</w:t>
      </w:r>
      <w:r w:rsidRPr="00672137">
        <w:rPr>
          <w:rFonts w:ascii="Times New Roman" w:hAnsi="Times New Roman" w:cs="Times New Roman"/>
          <w:sz w:val="24"/>
          <w:szCs w:val="24"/>
          <w:vertAlign w:val="baseline"/>
        </w:rPr>
        <w:t xml:space="preserve"> </w:t>
      </w:r>
      <w:r>
        <w:rPr>
          <w:rFonts w:ascii="Times New Roman" w:hAnsi="Times New Roman" w:cs="Times New Roman"/>
          <w:sz w:val="24"/>
          <w:szCs w:val="24"/>
          <w:vertAlign w:val="baseline"/>
        </w:rPr>
        <w:t xml:space="preserve">(New York, </w:t>
      </w:r>
      <w:r w:rsidRPr="00672137">
        <w:rPr>
          <w:rFonts w:ascii="Times New Roman" w:hAnsi="Times New Roman" w:cs="Times New Roman"/>
          <w:sz w:val="24"/>
          <w:szCs w:val="24"/>
          <w:vertAlign w:val="baseline"/>
        </w:rPr>
        <w:t>2 August 2010) &lt;</w:t>
      </w:r>
      <w:hyperlink r:id="rId172" w:history="1">
        <w:r w:rsidRPr="00917743">
          <w:rPr>
            <w:rStyle w:val="Hyperlink"/>
            <w:rFonts w:ascii="Times New Roman" w:hAnsi="Times New Roman" w:cs="Times New Roman"/>
            <w:sz w:val="24"/>
            <w:szCs w:val="24"/>
            <w:vertAlign w:val="baseline"/>
          </w:rPr>
          <w:t>http://womenenews.org/story/international-policyunited-nations/100730/papua-new-guinea-apologizescedaw-record&gt;</w:t>
        </w:r>
      </w:hyperlink>
      <w:r w:rsidRPr="00672137">
        <w:rPr>
          <w:rFonts w:ascii="Times New Roman" w:hAnsi="Times New Roman" w:cs="Times New Roman"/>
          <w:sz w:val="24"/>
          <w:szCs w:val="24"/>
          <w:vertAlign w:val="baseline"/>
        </w:rPr>
        <w:t xml:space="preserve"> accessed 13 February 2015</w:t>
      </w:r>
    </w:p>
    <w:p w14:paraId="64A001DC" w14:textId="77777777" w:rsidR="00FF005A" w:rsidRDefault="00FF005A" w:rsidP="00FF005A">
      <w:pPr>
        <w:rPr>
          <w:rFonts w:ascii="Times New Roman" w:hAnsi="Times New Roman" w:cs="Times New Roman"/>
          <w:b/>
          <w:sz w:val="24"/>
          <w:szCs w:val="24"/>
          <w:vertAlign w:val="baseline"/>
        </w:rPr>
      </w:pPr>
    </w:p>
    <w:p w14:paraId="69744D54" w14:textId="77777777" w:rsidR="00FF005A" w:rsidRPr="00672137" w:rsidRDefault="00FF005A" w:rsidP="00FF005A">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‘Vatican gives legal approval to exorcist group in sign of the P</w:t>
      </w:r>
      <w:r>
        <w:rPr>
          <w:rFonts w:ascii="Times New Roman" w:hAnsi="Times New Roman" w:cs="Times New Roman"/>
          <w:sz w:val="24"/>
          <w:szCs w:val="24"/>
          <w:vertAlign w:val="baseline"/>
        </w:rPr>
        <w:t xml:space="preserve">ope's concern about the devil’ </w:t>
      </w:r>
      <w:r w:rsidRPr="003F12C6">
        <w:rPr>
          <w:rFonts w:ascii="Times New Roman" w:hAnsi="Times New Roman" w:cs="Times New Roman"/>
          <w:i/>
          <w:sz w:val="24"/>
          <w:szCs w:val="24"/>
          <w:vertAlign w:val="baseline"/>
        </w:rPr>
        <w:t>Fox News</w:t>
      </w:r>
      <w:r>
        <w:rPr>
          <w:rFonts w:ascii="Times New Roman" w:hAnsi="Times New Roman" w:cs="Times New Roman"/>
          <w:sz w:val="24"/>
          <w:szCs w:val="24"/>
          <w:vertAlign w:val="baseline"/>
        </w:rPr>
        <w:t xml:space="preserve"> (Vatican City, 2 July 2014) </w:t>
      </w:r>
      <w:r w:rsidRPr="00672137">
        <w:rPr>
          <w:rFonts w:ascii="Times New Roman" w:hAnsi="Times New Roman" w:cs="Times New Roman"/>
          <w:sz w:val="24"/>
          <w:szCs w:val="24"/>
          <w:vertAlign w:val="baseline"/>
        </w:rPr>
        <w:t>&lt;</w:t>
      </w:r>
      <w:hyperlink r:id="rId173" w:history="1">
        <w:r w:rsidRPr="003F12C6">
          <w:rPr>
            <w:rStyle w:val="Hyperlink"/>
            <w:rFonts w:ascii="Times New Roman" w:hAnsi="Times New Roman" w:cs="Times New Roman"/>
            <w:sz w:val="24"/>
            <w:szCs w:val="24"/>
            <w:vertAlign w:val="baseline"/>
          </w:rPr>
          <w:t>http://www.foxnews.com/world/2014/07/02/vatican-gives-legal-approval-to-exorcist-group-in-sign-pope-concern-about-devil/&gt; a</w:t>
        </w:r>
      </w:hyperlink>
      <w:r>
        <w:rPr>
          <w:rFonts w:ascii="Times New Roman" w:hAnsi="Times New Roman" w:cs="Times New Roman"/>
          <w:sz w:val="24"/>
          <w:szCs w:val="24"/>
          <w:vertAlign w:val="baseline"/>
        </w:rPr>
        <w:t>ccessed 8 July 2014</w:t>
      </w:r>
    </w:p>
    <w:p w14:paraId="6CA9B64D" w14:textId="77777777" w:rsidR="00FF005A" w:rsidRDefault="00FF005A" w:rsidP="003E2C58">
      <w:pPr>
        <w:rPr>
          <w:rFonts w:ascii="Times New Roman" w:hAnsi="Times New Roman" w:cs="Times New Roman"/>
          <w:sz w:val="24"/>
          <w:szCs w:val="24"/>
          <w:vertAlign w:val="baseline"/>
        </w:rPr>
      </w:pPr>
    </w:p>
    <w:p w14:paraId="7F717129" w14:textId="77777777" w:rsidR="003B4A1B" w:rsidRPr="00672137" w:rsidRDefault="003B4A1B" w:rsidP="003B4A1B">
      <w:pPr>
        <w:rPr>
          <w:rFonts w:ascii="Times New Roman" w:hAnsi="Times New Roman" w:cs="Times New Roman"/>
          <w:sz w:val="24"/>
          <w:szCs w:val="24"/>
          <w:vertAlign w:val="baseline"/>
        </w:rPr>
      </w:pPr>
      <w:r>
        <w:rPr>
          <w:rFonts w:ascii="Times New Roman" w:hAnsi="Times New Roman" w:cs="Times New Roman"/>
          <w:sz w:val="24"/>
          <w:szCs w:val="24"/>
          <w:vertAlign w:val="baseline"/>
        </w:rPr>
        <w:t>VAW Hackathon</w:t>
      </w:r>
      <w:r w:rsidRPr="00672137">
        <w:rPr>
          <w:rFonts w:ascii="Times New Roman" w:hAnsi="Times New Roman" w:cs="Times New Roman"/>
          <w:sz w:val="24"/>
          <w:szCs w:val="24"/>
          <w:vertAlign w:val="baseline"/>
        </w:rPr>
        <w:t xml:space="preserve"> ‘About the Hackathon’ (VAWHackathon, 16 June 2013) &lt;</w:t>
      </w:r>
      <w:hyperlink r:id="rId174" w:history="1">
        <w:r w:rsidRPr="009F2B79">
          <w:rPr>
            <w:rStyle w:val="Hyperlink"/>
            <w:rFonts w:ascii="Times New Roman" w:hAnsi="Times New Roman" w:cs="Times New Roman"/>
            <w:sz w:val="24"/>
            <w:szCs w:val="24"/>
            <w:vertAlign w:val="baseline"/>
          </w:rPr>
          <w:t xml:space="preserve">http://www.vawhack.org/about-hackathon&gt; </w:t>
        </w:r>
        <w:r w:rsidRPr="00A83C4E">
          <w:rPr>
            <w:rStyle w:val="Hyperlink"/>
            <w:rFonts w:ascii="Times New Roman" w:hAnsi="Times New Roman" w:cs="Times New Roman"/>
            <w:sz w:val="24"/>
            <w:szCs w:val="24"/>
            <w:vertAlign w:val="baseline"/>
          </w:rPr>
          <w:t>a</w:t>
        </w:r>
      </w:hyperlink>
      <w:r w:rsidRPr="00672137">
        <w:rPr>
          <w:rFonts w:ascii="Times New Roman" w:hAnsi="Times New Roman" w:cs="Times New Roman"/>
          <w:sz w:val="24"/>
          <w:szCs w:val="24"/>
          <w:vertAlign w:val="baseline"/>
        </w:rPr>
        <w:t>ccessed 26 August 2015</w:t>
      </w:r>
    </w:p>
    <w:p w14:paraId="4A2EC612" w14:textId="77777777" w:rsidR="003B4A1B" w:rsidRDefault="003B4A1B" w:rsidP="003E2C58">
      <w:pPr>
        <w:rPr>
          <w:rFonts w:ascii="Times New Roman" w:hAnsi="Times New Roman" w:cs="Times New Roman"/>
          <w:sz w:val="24"/>
          <w:szCs w:val="24"/>
          <w:vertAlign w:val="baseline"/>
        </w:rPr>
      </w:pPr>
    </w:p>
    <w:p w14:paraId="0CAADD87"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Vetlesen</w:t>
      </w:r>
      <w:r>
        <w:rPr>
          <w:rFonts w:ascii="Times New Roman" w:hAnsi="Times New Roman" w:cs="Times New Roman"/>
          <w:sz w:val="24"/>
          <w:szCs w:val="24"/>
          <w:vertAlign w:val="baseline"/>
        </w:rPr>
        <w:t xml:space="preserve"> AJ</w:t>
      </w:r>
      <w:r w:rsidRPr="00672137">
        <w:rPr>
          <w:rFonts w:ascii="Times New Roman" w:hAnsi="Times New Roman" w:cs="Times New Roman"/>
          <w:sz w:val="24"/>
          <w:szCs w:val="24"/>
          <w:vertAlign w:val="baseline"/>
        </w:rPr>
        <w:t xml:space="preserve">, </w:t>
      </w:r>
      <w:r w:rsidRPr="00AE2F46">
        <w:rPr>
          <w:rFonts w:ascii="Times New Roman" w:hAnsi="Times New Roman" w:cs="Times New Roman"/>
          <w:i/>
          <w:sz w:val="24"/>
          <w:szCs w:val="24"/>
          <w:vertAlign w:val="baseline"/>
        </w:rPr>
        <w:t>Evil and Human Agency: Understanding Collective Evildoing</w:t>
      </w:r>
      <w:r>
        <w:rPr>
          <w:rFonts w:ascii="Times New Roman" w:hAnsi="Times New Roman" w:cs="Times New Roman"/>
          <w:sz w:val="24"/>
          <w:szCs w:val="24"/>
          <w:vertAlign w:val="baseline"/>
        </w:rPr>
        <w:t xml:space="preserve"> (CUP 2005) </w:t>
      </w:r>
    </w:p>
    <w:p w14:paraId="1201313A" w14:textId="77777777" w:rsidR="003E2C58" w:rsidRDefault="003E2C58" w:rsidP="003E2C58">
      <w:pPr>
        <w:rPr>
          <w:rFonts w:ascii="Times New Roman" w:hAnsi="Times New Roman" w:cs="Times New Roman"/>
          <w:sz w:val="24"/>
          <w:szCs w:val="24"/>
          <w:vertAlign w:val="baseline"/>
        </w:rPr>
      </w:pPr>
    </w:p>
    <w:p w14:paraId="52CA45DA"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Vikram</w:t>
      </w:r>
      <w:r>
        <w:rPr>
          <w:rFonts w:ascii="Times New Roman" w:hAnsi="Times New Roman" w:cs="Times New Roman"/>
          <w:sz w:val="24"/>
          <w:szCs w:val="24"/>
          <w:vertAlign w:val="baseline"/>
        </w:rPr>
        <w:t xml:space="preserve"> D</w:t>
      </w:r>
      <w:r w:rsidRPr="00672137">
        <w:rPr>
          <w:rFonts w:ascii="Times New Roman" w:hAnsi="Times New Roman" w:cs="Times New Roman"/>
          <w:sz w:val="24"/>
          <w:szCs w:val="24"/>
          <w:vertAlign w:val="baseline"/>
        </w:rPr>
        <w:t>, ‘India’s Response Against the Act of Torture’ (Law Resource India, 22 July 2010) &lt;</w:t>
      </w:r>
      <w:hyperlink r:id="rId175" w:history="1">
        <w:r w:rsidRPr="00A539A7">
          <w:rPr>
            <w:rStyle w:val="Hyperlink"/>
            <w:rFonts w:ascii="Times New Roman" w:hAnsi="Times New Roman" w:cs="Times New Roman"/>
            <w:sz w:val="24"/>
            <w:szCs w:val="24"/>
            <w:vertAlign w:val="baseline"/>
          </w:rPr>
          <w:t>https://indialawyers.wordpress.com/2010/07/22/india%E2%80%99s-response-against-the-act-of-torture/&gt;</w:t>
        </w:r>
      </w:hyperlink>
      <w:r w:rsidRPr="00672137">
        <w:rPr>
          <w:rFonts w:ascii="Times New Roman" w:hAnsi="Times New Roman" w:cs="Times New Roman"/>
          <w:sz w:val="24"/>
          <w:szCs w:val="24"/>
          <w:vertAlign w:val="baseline"/>
        </w:rPr>
        <w:t xml:space="preserve"> accessed 30 September 2015</w:t>
      </w:r>
    </w:p>
    <w:p w14:paraId="34E6967C" w14:textId="77777777" w:rsidR="003E2C58" w:rsidRDefault="003E2C58" w:rsidP="003E2C58">
      <w:pPr>
        <w:rPr>
          <w:rFonts w:ascii="Times New Roman" w:hAnsi="Times New Roman" w:cs="Times New Roman"/>
          <w:sz w:val="24"/>
          <w:szCs w:val="24"/>
          <w:vertAlign w:val="baseline"/>
        </w:rPr>
      </w:pPr>
    </w:p>
    <w:p w14:paraId="4F027A49" w14:textId="77777777" w:rsidR="003E2C58" w:rsidRDefault="003E2C58" w:rsidP="003E2C58">
      <w:pPr>
        <w:rPr>
          <w:rFonts w:ascii="Times New Roman" w:hAnsi="Times New Roman" w:cs="Times New Roman"/>
          <w:sz w:val="24"/>
          <w:szCs w:val="24"/>
          <w:vertAlign w:val="baseline"/>
        </w:rPr>
      </w:pPr>
      <w:r>
        <w:rPr>
          <w:rFonts w:ascii="Times New Roman" w:hAnsi="Times New Roman" w:cs="Times New Roman"/>
          <w:sz w:val="24"/>
          <w:szCs w:val="24"/>
          <w:vertAlign w:val="baseline"/>
        </w:rPr>
        <w:t xml:space="preserve">Violence Is Not Our Culture, </w:t>
      </w:r>
      <w:r w:rsidRPr="00672137">
        <w:rPr>
          <w:rFonts w:ascii="Times New Roman" w:hAnsi="Times New Roman" w:cs="Times New Roman"/>
          <w:sz w:val="24"/>
          <w:szCs w:val="24"/>
          <w:vertAlign w:val="baseline"/>
        </w:rPr>
        <w:t>‘Nepal: Witch Tag Only on Dalits, Minoriti</w:t>
      </w:r>
      <w:r>
        <w:rPr>
          <w:rFonts w:ascii="Times New Roman" w:hAnsi="Times New Roman" w:cs="Times New Roman"/>
          <w:sz w:val="24"/>
          <w:szCs w:val="24"/>
          <w:vertAlign w:val="baseline"/>
        </w:rPr>
        <w:t>es’ (VINOC</w:t>
      </w:r>
      <w:r w:rsidRPr="00672137">
        <w:rPr>
          <w:rFonts w:ascii="Times New Roman" w:hAnsi="Times New Roman" w:cs="Times New Roman"/>
          <w:sz w:val="24"/>
          <w:szCs w:val="24"/>
          <w:vertAlign w:val="baseline"/>
        </w:rPr>
        <w:t>, 13 December 2009) &lt;</w:t>
      </w:r>
      <w:hyperlink r:id="rId176" w:history="1">
        <w:r w:rsidRPr="00774BE3">
          <w:rPr>
            <w:rStyle w:val="Hyperlink"/>
            <w:rFonts w:ascii="Times New Roman" w:hAnsi="Times New Roman" w:cs="Times New Roman"/>
            <w:sz w:val="24"/>
            <w:szCs w:val="24"/>
            <w:vertAlign w:val="baseline"/>
          </w:rPr>
          <w:t>http://www.violenceisnotourculture.org/content/nepal-witch-tag-only-dalits-minorities&gt; a</w:t>
        </w:r>
      </w:hyperlink>
      <w:r w:rsidRPr="00672137">
        <w:rPr>
          <w:rFonts w:ascii="Times New Roman" w:hAnsi="Times New Roman" w:cs="Times New Roman"/>
          <w:sz w:val="24"/>
          <w:szCs w:val="24"/>
          <w:vertAlign w:val="baseline"/>
        </w:rPr>
        <w:t>ccessed 26 August 2015</w:t>
      </w:r>
    </w:p>
    <w:p w14:paraId="2D1A12FE" w14:textId="77777777" w:rsidR="003E2C58" w:rsidRDefault="003E2C58" w:rsidP="003E2C58">
      <w:pPr>
        <w:rPr>
          <w:rFonts w:ascii="Times New Roman" w:hAnsi="Times New Roman" w:cs="Times New Roman"/>
          <w:sz w:val="24"/>
          <w:szCs w:val="24"/>
          <w:vertAlign w:val="baseline"/>
        </w:rPr>
      </w:pPr>
    </w:p>
    <w:p w14:paraId="5C577742" w14:textId="77777777" w:rsidR="003E2C58" w:rsidRDefault="003E2C58" w:rsidP="003E2C58">
      <w:pPr>
        <w:rPr>
          <w:rFonts w:ascii="Times New Roman" w:hAnsi="Times New Roman" w:cs="Times New Roman"/>
          <w:sz w:val="24"/>
          <w:szCs w:val="24"/>
          <w:vertAlign w:val="baseline"/>
        </w:rPr>
      </w:pPr>
      <w:r>
        <w:rPr>
          <w:rFonts w:ascii="Times New Roman" w:hAnsi="Times New Roman" w:cs="Times New Roman"/>
          <w:sz w:val="24"/>
          <w:szCs w:val="24"/>
          <w:vertAlign w:val="baseline"/>
        </w:rPr>
        <w:t>Visit Nepal, ‘</w:t>
      </w:r>
      <w:r w:rsidRPr="00672137">
        <w:rPr>
          <w:rFonts w:ascii="Times New Roman" w:hAnsi="Times New Roman" w:cs="Times New Roman"/>
          <w:sz w:val="24"/>
          <w:szCs w:val="24"/>
          <w:vertAlign w:val="baseline"/>
        </w:rPr>
        <w:t>Nepal’s People and Ethnic Groups’ (Visit Nepal, 2012) &lt;</w:t>
      </w:r>
      <w:hyperlink r:id="rId177" w:history="1">
        <w:r w:rsidRPr="00922575">
          <w:rPr>
            <w:rStyle w:val="Hyperlink"/>
            <w:rFonts w:ascii="Times New Roman" w:hAnsi="Times New Roman" w:cs="Times New Roman"/>
            <w:sz w:val="24"/>
            <w:szCs w:val="24"/>
            <w:vertAlign w:val="baseline"/>
          </w:rPr>
          <w:t>http://www.visitnepal.com/nepal_information/people.php&gt;</w:t>
        </w:r>
      </w:hyperlink>
      <w:r w:rsidRPr="00672137">
        <w:rPr>
          <w:rFonts w:ascii="Times New Roman" w:hAnsi="Times New Roman" w:cs="Times New Roman"/>
          <w:sz w:val="24"/>
          <w:szCs w:val="24"/>
          <w:vertAlign w:val="baseline"/>
        </w:rPr>
        <w:t xml:space="preserve"> accessed 26 August 2015</w:t>
      </w:r>
    </w:p>
    <w:p w14:paraId="228708C7" w14:textId="77777777" w:rsidR="003E2C58" w:rsidRDefault="003E2C58" w:rsidP="003E2C58">
      <w:pPr>
        <w:rPr>
          <w:rFonts w:ascii="Times New Roman" w:hAnsi="Times New Roman" w:cs="Times New Roman"/>
          <w:sz w:val="24"/>
          <w:szCs w:val="24"/>
          <w:vertAlign w:val="baseline"/>
        </w:rPr>
      </w:pPr>
    </w:p>
    <w:p w14:paraId="3168800D" w14:textId="77777777" w:rsidR="003E2C58" w:rsidRPr="00672137" w:rsidRDefault="003E2C58" w:rsidP="003E2C58">
      <w:pPr>
        <w:rPr>
          <w:rFonts w:ascii="Times New Roman" w:hAnsi="Times New Roman" w:cs="Times New Roman"/>
          <w:sz w:val="24"/>
          <w:szCs w:val="24"/>
          <w:vertAlign w:val="baseline"/>
        </w:rPr>
      </w:pPr>
      <w:r>
        <w:rPr>
          <w:rFonts w:ascii="Times New Roman" w:hAnsi="Times New Roman" w:cs="Times New Roman"/>
          <w:sz w:val="24"/>
          <w:szCs w:val="24"/>
          <w:vertAlign w:val="baseline"/>
        </w:rPr>
        <w:t>V</w:t>
      </w:r>
      <w:r w:rsidRPr="00672137">
        <w:rPr>
          <w:rFonts w:ascii="Times New Roman" w:hAnsi="Times New Roman" w:cs="Times New Roman"/>
          <w:sz w:val="24"/>
          <w:szCs w:val="24"/>
          <w:vertAlign w:val="baseline"/>
        </w:rPr>
        <w:t>on Franz</w:t>
      </w:r>
      <w:r>
        <w:rPr>
          <w:rFonts w:ascii="Times New Roman" w:hAnsi="Times New Roman" w:cs="Times New Roman"/>
          <w:sz w:val="24"/>
          <w:szCs w:val="24"/>
          <w:vertAlign w:val="baseline"/>
        </w:rPr>
        <w:t xml:space="preserve"> ML</w:t>
      </w:r>
      <w:r w:rsidRPr="00672137">
        <w:rPr>
          <w:rFonts w:ascii="Times New Roman" w:hAnsi="Times New Roman" w:cs="Times New Roman"/>
          <w:sz w:val="24"/>
          <w:szCs w:val="24"/>
          <w:vertAlign w:val="baseline"/>
        </w:rPr>
        <w:t xml:space="preserve">, </w:t>
      </w:r>
      <w:r w:rsidRPr="00F26670">
        <w:rPr>
          <w:rFonts w:ascii="Times New Roman" w:hAnsi="Times New Roman" w:cs="Times New Roman"/>
          <w:i/>
          <w:sz w:val="24"/>
          <w:szCs w:val="24"/>
          <w:vertAlign w:val="baseline"/>
        </w:rPr>
        <w:t>Shadow and Evil in Fairy Tales</w:t>
      </w:r>
      <w:r>
        <w:rPr>
          <w:rFonts w:ascii="Times New Roman" w:hAnsi="Times New Roman" w:cs="Times New Roman"/>
          <w:sz w:val="24"/>
          <w:szCs w:val="24"/>
          <w:vertAlign w:val="baseline"/>
        </w:rPr>
        <w:t xml:space="preserve"> (Dallas 1983)</w:t>
      </w:r>
    </w:p>
    <w:p w14:paraId="110550B0" w14:textId="77777777" w:rsidR="003E2C58" w:rsidRDefault="003E2C58" w:rsidP="003E2C58">
      <w:pPr>
        <w:rPr>
          <w:rFonts w:ascii="Times New Roman" w:hAnsi="Times New Roman" w:cs="Times New Roman"/>
          <w:b/>
          <w:sz w:val="24"/>
          <w:szCs w:val="24"/>
          <w:vertAlign w:val="baseline"/>
        </w:rPr>
      </w:pPr>
    </w:p>
    <w:p w14:paraId="13F51AE0"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Walby</w:t>
      </w:r>
      <w:r>
        <w:rPr>
          <w:rFonts w:ascii="Times New Roman" w:hAnsi="Times New Roman" w:cs="Times New Roman"/>
          <w:sz w:val="24"/>
          <w:szCs w:val="24"/>
          <w:vertAlign w:val="baseline"/>
        </w:rPr>
        <w:t xml:space="preserve"> S</w:t>
      </w:r>
      <w:r w:rsidRPr="00672137">
        <w:rPr>
          <w:rFonts w:ascii="Times New Roman" w:hAnsi="Times New Roman" w:cs="Times New Roman"/>
          <w:sz w:val="24"/>
          <w:szCs w:val="24"/>
          <w:vertAlign w:val="baseline"/>
        </w:rPr>
        <w:t xml:space="preserve">, </w:t>
      </w:r>
      <w:r w:rsidRPr="00E15BDA">
        <w:rPr>
          <w:rFonts w:ascii="Times New Roman" w:hAnsi="Times New Roman" w:cs="Times New Roman"/>
          <w:i/>
          <w:sz w:val="24"/>
          <w:szCs w:val="24"/>
          <w:vertAlign w:val="baseline"/>
        </w:rPr>
        <w:t>Patriarchy at Work</w:t>
      </w:r>
      <w:r w:rsidRPr="00672137">
        <w:rPr>
          <w:rFonts w:ascii="Times New Roman" w:hAnsi="Times New Roman" w:cs="Times New Roman"/>
          <w:sz w:val="24"/>
          <w:szCs w:val="24"/>
          <w:vertAlign w:val="baseline"/>
        </w:rPr>
        <w:t xml:space="preserve"> (Polity Press 1986)</w:t>
      </w:r>
    </w:p>
    <w:p w14:paraId="3D14B9EC" w14:textId="77777777" w:rsidR="003E2C58" w:rsidRDefault="003E2C58" w:rsidP="003E2C58">
      <w:pPr>
        <w:rPr>
          <w:rFonts w:ascii="Times New Roman" w:hAnsi="Times New Roman" w:cs="Times New Roman"/>
          <w:sz w:val="24"/>
          <w:szCs w:val="24"/>
          <w:vertAlign w:val="baseline"/>
        </w:rPr>
      </w:pPr>
    </w:p>
    <w:p w14:paraId="5F2D7590" w14:textId="77777777" w:rsidR="003E2C58" w:rsidRDefault="003E2C58" w:rsidP="003E2C58">
      <w:pPr>
        <w:rPr>
          <w:rFonts w:ascii="Times New Roman" w:hAnsi="Times New Roman" w:cs="Times New Roman"/>
          <w:b/>
          <w:sz w:val="24"/>
          <w:szCs w:val="24"/>
          <w:vertAlign w:val="baseline"/>
        </w:rPr>
      </w:pPr>
      <w:r w:rsidRPr="00672137">
        <w:rPr>
          <w:rFonts w:ascii="Times New Roman" w:hAnsi="Times New Roman" w:cs="Times New Roman"/>
          <w:sz w:val="24"/>
          <w:szCs w:val="24"/>
          <w:vertAlign w:val="baseline"/>
        </w:rPr>
        <w:t>Wallace</w:t>
      </w:r>
      <w:r>
        <w:rPr>
          <w:rFonts w:ascii="Times New Roman" w:hAnsi="Times New Roman" w:cs="Times New Roman"/>
          <w:sz w:val="24"/>
          <w:szCs w:val="24"/>
          <w:vertAlign w:val="baseline"/>
        </w:rPr>
        <w:t xml:space="preserve"> AFC</w:t>
      </w:r>
      <w:r w:rsidRPr="00672137">
        <w:rPr>
          <w:rFonts w:ascii="Times New Roman" w:hAnsi="Times New Roman" w:cs="Times New Roman"/>
          <w:sz w:val="24"/>
          <w:szCs w:val="24"/>
          <w:vertAlign w:val="baseline"/>
        </w:rPr>
        <w:t xml:space="preserve">, </w:t>
      </w:r>
      <w:r w:rsidRPr="00946EAC">
        <w:rPr>
          <w:rFonts w:ascii="Times New Roman" w:hAnsi="Times New Roman" w:cs="Times New Roman"/>
          <w:i/>
          <w:sz w:val="24"/>
          <w:szCs w:val="24"/>
          <w:vertAlign w:val="baseline"/>
        </w:rPr>
        <w:t>Religion: An Anthropological View</w:t>
      </w:r>
      <w:r w:rsidRPr="00672137">
        <w:rPr>
          <w:rFonts w:ascii="Times New Roman" w:hAnsi="Times New Roman" w:cs="Times New Roman"/>
          <w:sz w:val="24"/>
          <w:szCs w:val="24"/>
          <w:vertAlign w:val="baseline"/>
        </w:rPr>
        <w:t xml:space="preserve"> (New York 1966)</w:t>
      </w:r>
    </w:p>
    <w:p w14:paraId="6E04058D" w14:textId="77777777" w:rsidR="003E2C58" w:rsidRDefault="003E2C58" w:rsidP="003E2C58">
      <w:pPr>
        <w:rPr>
          <w:rFonts w:ascii="Times New Roman" w:hAnsi="Times New Roman" w:cs="Times New Roman"/>
          <w:sz w:val="24"/>
          <w:szCs w:val="24"/>
          <w:vertAlign w:val="baseline"/>
        </w:rPr>
      </w:pPr>
    </w:p>
    <w:p w14:paraId="2B55F62C"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Ward</w:t>
      </w:r>
      <w:r>
        <w:rPr>
          <w:rFonts w:ascii="Times New Roman" w:hAnsi="Times New Roman" w:cs="Times New Roman"/>
          <w:sz w:val="24"/>
          <w:szCs w:val="24"/>
          <w:vertAlign w:val="baseline"/>
        </w:rPr>
        <w:t xml:space="preserve"> CV</w:t>
      </w:r>
      <w:r w:rsidRPr="00672137">
        <w:rPr>
          <w:rFonts w:ascii="Times New Roman" w:hAnsi="Times New Roman" w:cs="Times New Roman"/>
          <w:sz w:val="24"/>
          <w:szCs w:val="24"/>
          <w:vertAlign w:val="baseline"/>
        </w:rPr>
        <w:t xml:space="preserve">, ‘The Radical Feminist Defence of Individualism’ </w:t>
      </w:r>
      <w:r>
        <w:rPr>
          <w:rFonts w:ascii="Times New Roman" w:hAnsi="Times New Roman" w:cs="Times New Roman"/>
          <w:sz w:val="24"/>
          <w:szCs w:val="24"/>
          <w:vertAlign w:val="baseline"/>
        </w:rPr>
        <w:t>(1995) 89(3) Nw UL Rev 878</w:t>
      </w:r>
    </w:p>
    <w:p w14:paraId="1BD1CAE1" w14:textId="77777777" w:rsidR="003E2C58" w:rsidRDefault="003E2C58" w:rsidP="003E2C58">
      <w:pPr>
        <w:rPr>
          <w:rFonts w:ascii="Times New Roman" w:hAnsi="Times New Roman" w:cs="Times New Roman"/>
          <w:sz w:val="24"/>
          <w:szCs w:val="24"/>
          <w:vertAlign w:val="baseline"/>
        </w:rPr>
      </w:pPr>
    </w:p>
    <w:p w14:paraId="5A60EBDC"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 xml:space="preserve">Watson </w:t>
      </w:r>
      <w:r>
        <w:rPr>
          <w:rFonts w:ascii="Times New Roman" w:hAnsi="Times New Roman" w:cs="Times New Roman"/>
          <w:sz w:val="24"/>
          <w:szCs w:val="24"/>
          <w:vertAlign w:val="baseline"/>
        </w:rPr>
        <w:t xml:space="preserve">CW </w:t>
      </w:r>
      <w:r w:rsidRPr="00672137">
        <w:rPr>
          <w:rFonts w:ascii="Times New Roman" w:hAnsi="Times New Roman" w:cs="Times New Roman"/>
          <w:sz w:val="24"/>
          <w:szCs w:val="24"/>
          <w:vertAlign w:val="baseline"/>
        </w:rPr>
        <w:t>and</w:t>
      </w:r>
      <w:r>
        <w:rPr>
          <w:rFonts w:ascii="Times New Roman" w:hAnsi="Times New Roman" w:cs="Times New Roman"/>
          <w:sz w:val="24"/>
          <w:szCs w:val="24"/>
          <w:vertAlign w:val="baseline"/>
        </w:rPr>
        <w:t xml:space="preserve"> </w:t>
      </w:r>
      <w:r w:rsidRPr="00672137">
        <w:rPr>
          <w:rFonts w:ascii="Times New Roman" w:hAnsi="Times New Roman" w:cs="Times New Roman"/>
          <w:sz w:val="24"/>
          <w:szCs w:val="24"/>
          <w:vertAlign w:val="baseline"/>
        </w:rPr>
        <w:t>Ellen</w:t>
      </w:r>
      <w:r>
        <w:rPr>
          <w:rFonts w:ascii="Times New Roman" w:hAnsi="Times New Roman" w:cs="Times New Roman"/>
          <w:sz w:val="24"/>
          <w:szCs w:val="24"/>
          <w:vertAlign w:val="baseline"/>
        </w:rPr>
        <w:t xml:space="preserve"> R,</w:t>
      </w:r>
      <w:r w:rsidRPr="00672137">
        <w:rPr>
          <w:rFonts w:ascii="Times New Roman" w:hAnsi="Times New Roman" w:cs="Times New Roman"/>
          <w:sz w:val="24"/>
          <w:szCs w:val="24"/>
          <w:vertAlign w:val="baseline"/>
        </w:rPr>
        <w:t xml:space="preserve"> </w:t>
      </w:r>
      <w:r w:rsidRPr="00771F5C">
        <w:rPr>
          <w:rFonts w:ascii="Times New Roman" w:hAnsi="Times New Roman" w:cs="Times New Roman"/>
          <w:i/>
          <w:sz w:val="24"/>
          <w:szCs w:val="24"/>
          <w:vertAlign w:val="baseline"/>
        </w:rPr>
        <w:t>Understanding Witchcraft and Sorcery in Southeast Asia</w:t>
      </w:r>
      <w:r w:rsidRPr="00672137">
        <w:rPr>
          <w:rFonts w:ascii="Times New Roman" w:hAnsi="Times New Roman" w:cs="Times New Roman"/>
          <w:sz w:val="24"/>
          <w:szCs w:val="24"/>
          <w:vertAlign w:val="baseline"/>
        </w:rPr>
        <w:t xml:space="preserve"> (Hawaii 1993)</w:t>
      </w:r>
    </w:p>
    <w:p w14:paraId="534533C2" w14:textId="77777777" w:rsidR="003E2C58" w:rsidRDefault="003E2C58" w:rsidP="003E2C58">
      <w:pPr>
        <w:rPr>
          <w:rFonts w:ascii="Times New Roman" w:hAnsi="Times New Roman" w:cs="Times New Roman"/>
          <w:sz w:val="24"/>
          <w:szCs w:val="24"/>
          <w:vertAlign w:val="baseline"/>
        </w:rPr>
      </w:pPr>
    </w:p>
    <w:p w14:paraId="20DF7557"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Weiskotten</w:t>
      </w:r>
      <w:r>
        <w:rPr>
          <w:rFonts w:ascii="Times New Roman" w:hAnsi="Times New Roman" w:cs="Times New Roman"/>
          <w:sz w:val="24"/>
          <w:szCs w:val="24"/>
          <w:vertAlign w:val="baseline"/>
        </w:rPr>
        <w:t xml:space="preserve"> HT (t</w:t>
      </w:r>
      <w:r w:rsidRPr="00672137">
        <w:rPr>
          <w:rFonts w:ascii="Times New Roman" w:hAnsi="Times New Roman" w:cs="Times New Roman"/>
          <w:sz w:val="24"/>
          <w:szCs w:val="24"/>
          <w:vertAlign w:val="baseline"/>
        </w:rPr>
        <w:t xml:space="preserve">rs) </w:t>
      </w:r>
      <w:r w:rsidRPr="00345463">
        <w:rPr>
          <w:rFonts w:ascii="Times New Roman" w:hAnsi="Times New Roman" w:cs="Times New Roman"/>
          <w:i/>
          <w:sz w:val="24"/>
          <w:szCs w:val="24"/>
          <w:vertAlign w:val="baseline"/>
        </w:rPr>
        <w:t>The Life of Saint Augustine: A Translation of the Sancti Augustini Vita by Possidus, Bishop of Calama</w:t>
      </w:r>
      <w:r>
        <w:rPr>
          <w:rFonts w:ascii="Times New Roman" w:hAnsi="Times New Roman" w:cs="Times New Roman"/>
          <w:sz w:val="24"/>
          <w:szCs w:val="24"/>
          <w:vertAlign w:val="baseline"/>
        </w:rPr>
        <w:t xml:space="preserve"> (Princeton 1919)</w:t>
      </w:r>
    </w:p>
    <w:p w14:paraId="37A5589B" w14:textId="77777777" w:rsidR="003E2C58" w:rsidRDefault="003E2C58" w:rsidP="003E2C58">
      <w:pPr>
        <w:rPr>
          <w:rFonts w:ascii="Times New Roman" w:hAnsi="Times New Roman" w:cs="Times New Roman"/>
          <w:sz w:val="24"/>
          <w:szCs w:val="24"/>
          <w:vertAlign w:val="baseline"/>
        </w:rPr>
      </w:pPr>
    </w:p>
    <w:p w14:paraId="5D450F85"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Weiss</w:t>
      </w:r>
      <w:r>
        <w:rPr>
          <w:rFonts w:ascii="Times New Roman" w:hAnsi="Times New Roman" w:cs="Times New Roman"/>
          <w:sz w:val="24"/>
          <w:szCs w:val="24"/>
          <w:vertAlign w:val="baseline"/>
        </w:rPr>
        <w:t xml:space="preserve"> AM</w:t>
      </w:r>
      <w:r w:rsidRPr="00672137">
        <w:rPr>
          <w:rFonts w:ascii="Times New Roman" w:hAnsi="Times New Roman" w:cs="Times New Roman"/>
          <w:sz w:val="24"/>
          <w:szCs w:val="24"/>
          <w:vertAlign w:val="baseline"/>
        </w:rPr>
        <w:t>, ‘Interpreting Islam and Women’s</w:t>
      </w:r>
      <w:r>
        <w:rPr>
          <w:rFonts w:ascii="Times New Roman" w:hAnsi="Times New Roman" w:cs="Times New Roman"/>
          <w:sz w:val="24"/>
          <w:szCs w:val="24"/>
          <w:vertAlign w:val="baseline"/>
        </w:rPr>
        <w:t xml:space="preserve"> Rights’ (2003) 18 Intl Soc</w:t>
      </w:r>
      <w:r w:rsidRPr="00672137">
        <w:rPr>
          <w:rFonts w:ascii="Times New Roman" w:hAnsi="Times New Roman" w:cs="Times New Roman"/>
          <w:sz w:val="24"/>
          <w:szCs w:val="24"/>
          <w:vertAlign w:val="baseline"/>
        </w:rPr>
        <w:t xml:space="preserve"> 588</w:t>
      </w:r>
    </w:p>
    <w:p w14:paraId="3D7139A8" w14:textId="77777777" w:rsidR="003E2C58" w:rsidRDefault="003E2C58" w:rsidP="003E2C58">
      <w:pPr>
        <w:rPr>
          <w:rFonts w:ascii="Times New Roman" w:hAnsi="Times New Roman" w:cs="Times New Roman"/>
          <w:sz w:val="24"/>
          <w:szCs w:val="24"/>
          <w:vertAlign w:val="baseline"/>
        </w:rPr>
      </w:pPr>
    </w:p>
    <w:p w14:paraId="1861C91B" w14:textId="77777777" w:rsidR="00530936" w:rsidRDefault="00530936" w:rsidP="00530936">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Whewell</w:t>
      </w:r>
      <w:r>
        <w:rPr>
          <w:rFonts w:ascii="Times New Roman" w:hAnsi="Times New Roman" w:cs="Times New Roman"/>
          <w:sz w:val="24"/>
          <w:szCs w:val="24"/>
          <w:vertAlign w:val="baseline"/>
        </w:rPr>
        <w:t xml:space="preserve"> T</w:t>
      </w:r>
      <w:r w:rsidRPr="00672137">
        <w:rPr>
          <w:rFonts w:ascii="Times New Roman" w:hAnsi="Times New Roman" w:cs="Times New Roman"/>
          <w:sz w:val="24"/>
          <w:szCs w:val="24"/>
          <w:vertAlign w:val="baseline"/>
        </w:rPr>
        <w:t>, ‘Witch-doctors reveal the extent of child sacri</w:t>
      </w:r>
      <w:r>
        <w:rPr>
          <w:rFonts w:ascii="Times New Roman" w:hAnsi="Times New Roman" w:cs="Times New Roman"/>
          <w:sz w:val="24"/>
          <w:szCs w:val="24"/>
          <w:vertAlign w:val="baseline"/>
        </w:rPr>
        <w:t xml:space="preserve">fice in Uganda’ </w:t>
      </w:r>
      <w:r w:rsidRPr="003F2133">
        <w:rPr>
          <w:rFonts w:ascii="Times New Roman" w:hAnsi="Times New Roman" w:cs="Times New Roman"/>
          <w:i/>
          <w:sz w:val="24"/>
          <w:szCs w:val="24"/>
          <w:vertAlign w:val="baseline"/>
        </w:rPr>
        <w:t>BBC Newsnight</w:t>
      </w:r>
      <w:r>
        <w:rPr>
          <w:rFonts w:ascii="Times New Roman" w:hAnsi="Times New Roman" w:cs="Times New Roman"/>
          <w:sz w:val="24"/>
          <w:szCs w:val="24"/>
          <w:vertAlign w:val="baseline"/>
        </w:rPr>
        <w:t xml:space="preserve"> (London, </w:t>
      </w:r>
      <w:r w:rsidRPr="00672137">
        <w:rPr>
          <w:rFonts w:ascii="Times New Roman" w:hAnsi="Times New Roman" w:cs="Times New Roman"/>
          <w:sz w:val="24"/>
          <w:szCs w:val="24"/>
          <w:vertAlign w:val="baseline"/>
        </w:rPr>
        <w:t>7 January 2010) &lt;</w:t>
      </w:r>
      <w:hyperlink r:id="rId178" w:history="1">
        <w:r w:rsidRPr="003F2133">
          <w:rPr>
            <w:rStyle w:val="Hyperlink"/>
            <w:rFonts w:ascii="Times New Roman" w:hAnsi="Times New Roman" w:cs="Times New Roman"/>
            <w:sz w:val="24"/>
            <w:szCs w:val="24"/>
            <w:vertAlign w:val="baseline"/>
          </w:rPr>
          <w:t>http://news.bbc.co.uk/1/hi/8441813.stm&gt; a</w:t>
        </w:r>
      </w:hyperlink>
      <w:r>
        <w:rPr>
          <w:rFonts w:ascii="Times New Roman" w:hAnsi="Times New Roman" w:cs="Times New Roman"/>
          <w:sz w:val="24"/>
          <w:szCs w:val="24"/>
          <w:vertAlign w:val="baseline"/>
        </w:rPr>
        <w:t>ccessed 16 June 2014</w:t>
      </w:r>
    </w:p>
    <w:p w14:paraId="368B484F" w14:textId="77777777" w:rsidR="00530936" w:rsidRDefault="00530936" w:rsidP="003E2C58">
      <w:pPr>
        <w:rPr>
          <w:rFonts w:ascii="Times New Roman" w:hAnsi="Times New Roman" w:cs="Times New Roman"/>
          <w:sz w:val="24"/>
          <w:szCs w:val="24"/>
          <w:vertAlign w:val="baseline"/>
        </w:rPr>
      </w:pPr>
    </w:p>
    <w:p w14:paraId="3E1E1626" w14:textId="77777777" w:rsidR="0097572A" w:rsidRDefault="0097572A" w:rsidP="0097572A">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Whitaker</w:t>
      </w:r>
      <w:r>
        <w:rPr>
          <w:rFonts w:ascii="Times New Roman" w:hAnsi="Times New Roman" w:cs="Times New Roman"/>
          <w:sz w:val="24"/>
          <w:szCs w:val="24"/>
          <w:vertAlign w:val="baseline"/>
        </w:rPr>
        <w:t xml:space="preserve"> K</w:t>
      </w:r>
      <w:r w:rsidRPr="00672137">
        <w:rPr>
          <w:rFonts w:ascii="Times New Roman" w:hAnsi="Times New Roman" w:cs="Times New Roman"/>
          <w:sz w:val="24"/>
          <w:szCs w:val="24"/>
          <w:vertAlign w:val="baseline"/>
        </w:rPr>
        <w:t xml:space="preserve">, ‘Ghana witch camps: Widows' lives in exile’ </w:t>
      </w:r>
      <w:r w:rsidRPr="00D31D34">
        <w:rPr>
          <w:rFonts w:ascii="Times New Roman" w:hAnsi="Times New Roman" w:cs="Times New Roman"/>
          <w:i/>
          <w:sz w:val="24"/>
          <w:szCs w:val="24"/>
          <w:vertAlign w:val="baseline"/>
        </w:rPr>
        <w:t>BBC News</w:t>
      </w:r>
      <w:r w:rsidRPr="00672137">
        <w:rPr>
          <w:rFonts w:ascii="Times New Roman" w:hAnsi="Times New Roman" w:cs="Times New Roman"/>
          <w:sz w:val="24"/>
          <w:szCs w:val="24"/>
          <w:vertAlign w:val="baseline"/>
        </w:rPr>
        <w:t xml:space="preserve"> </w:t>
      </w:r>
      <w:r>
        <w:rPr>
          <w:rFonts w:ascii="Times New Roman" w:hAnsi="Times New Roman" w:cs="Times New Roman"/>
          <w:sz w:val="24"/>
          <w:szCs w:val="24"/>
          <w:vertAlign w:val="baseline"/>
        </w:rPr>
        <w:t xml:space="preserve">(London, </w:t>
      </w:r>
      <w:r w:rsidRPr="00672137">
        <w:rPr>
          <w:rFonts w:ascii="Times New Roman" w:hAnsi="Times New Roman" w:cs="Times New Roman"/>
          <w:sz w:val="24"/>
          <w:szCs w:val="24"/>
          <w:vertAlign w:val="baseline"/>
        </w:rPr>
        <w:t>1 September 2012) &lt;</w:t>
      </w:r>
      <w:hyperlink r:id="rId179" w:history="1">
        <w:r w:rsidRPr="00D31D34">
          <w:rPr>
            <w:rStyle w:val="Hyperlink"/>
            <w:rFonts w:ascii="Times New Roman" w:hAnsi="Times New Roman" w:cs="Times New Roman"/>
            <w:sz w:val="24"/>
            <w:szCs w:val="24"/>
            <w:vertAlign w:val="baseline"/>
          </w:rPr>
          <w:t>http://www.bbc.co.uk/news/magazine-19437130&gt;</w:t>
        </w:r>
      </w:hyperlink>
      <w:r>
        <w:rPr>
          <w:rFonts w:ascii="Times New Roman" w:hAnsi="Times New Roman" w:cs="Times New Roman"/>
          <w:sz w:val="24"/>
          <w:szCs w:val="24"/>
          <w:vertAlign w:val="baseline"/>
        </w:rPr>
        <w:t xml:space="preserve"> accessed 17 June 2014</w:t>
      </w:r>
    </w:p>
    <w:p w14:paraId="0ACD37F0" w14:textId="77777777" w:rsidR="0097572A" w:rsidRDefault="0097572A" w:rsidP="003E2C58">
      <w:pPr>
        <w:rPr>
          <w:rFonts w:ascii="Times New Roman" w:hAnsi="Times New Roman" w:cs="Times New Roman"/>
          <w:sz w:val="24"/>
          <w:szCs w:val="24"/>
          <w:vertAlign w:val="baseline"/>
        </w:rPr>
      </w:pPr>
    </w:p>
    <w:p w14:paraId="3BBDC1CA"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Wilkins</w:t>
      </w:r>
      <w:r>
        <w:rPr>
          <w:rFonts w:ascii="Times New Roman" w:hAnsi="Times New Roman" w:cs="Times New Roman"/>
          <w:sz w:val="24"/>
          <w:szCs w:val="24"/>
          <w:vertAlign w:val="baseline"/>
        </w:rPr>
        <w:t xml:space="preserve"> WJ</w:t>
      </w:r>
      <w:r w:rsidRPr="00672137">
        <w:rPr>
          <w:rFonts w:ascii="Times New Roman" w:hAnsi="Times New Roman" w:cs="Times New Roman"/>
          <w:sz w:val="24"/>
          <w:szCs w:val="24"/>
          <w:vertAlign w:val="baseline"/>
        </w:rPr>
        <w:t xml:space="preserve">, </w:t>
      </w:r>
      <w:r w:rsidRPr="00F9723A">
        <w:rPr>
          <w:rFonts w:ascii="Times New Roman" w:hAnsi="Times New Roman" w:cs="Times New Roman"/>
          <w:i/>
          <w:sz w:val="24"/>
          <w:szCs w:val="24"/>
          <w:vertAlign w:val="baseline"/>
        </w:rPr>
        <w:t>Hindu Gods and Goddesses</w:t>
      </w:r>
      <w:r w:rsidRPr="00672137">
        <w:rPr>
          <w:rFonts w:ascii="Times New Roman" w:hAnsi="Times New Roman" w:cs="Times New Roman"/>
          <w:sz w:val="24"/>
          <w:szCs w:val="24"/>
          <w:vertAlign w:val="baseline"/>
        </w:rPr>
        <w:t xml:space="preserve"> (first published 1900 under the title </w:t>
      </w:r>
      <w:r w:rsidRPr="00F9723A">
        <w:rPr>
          <w:rFonts w:ascii="Times New Roman" w:hAnsi="Times New Roman" w:cs="Times New Roman"/>
          <w:i/>
          <w:sz w:val="24"/>
          <w:szCs w:val="24"/>
          <w:vertAlign w:val="baseline"/>
        </w:rPr>
        <w:t>Hindu Mythology, Vedic and Puranic,</w:t>
      </w:r>
      <w:r w:rsidRPr="00672137">
        <w:rPr>
          <w:rFonts w:ascii="Times New Roman" w:hAnsi="Times New Roman" w:cs="Times New Roman"/>
          <w:sz w:val="24"/>
          <w:szCs w:val="24"/>
          <w:vertAlign w:val="baseline"/>
        </w:rPr>
        <w:t xml:space="preserve"> D</w:t>
      </w:r>
      <w:r>
        <w:rPr>
          <w:rFonts w:ascii="Times New Roman" w:hAnsi="Times New Roman" w:cs="Times New Roman"/>
          <w:sz w:val="24"/>
          <w:szCs w:val="24"/>
          <w:vertAlign w:val="baseline"/>
        </w:rPr>
        <w:t>over Publications Inc. 2003)</w:t>
      </w:r>
    </w:p>
    <w:p w14:paraId="79C04177" w14:textId="77777777" w:rsidR="003E2C58" w:rsidRDefault="003E2C58" w:rsidP="003E2C58">
      <w:pPr>
        <w:rPr>
          <w:rFonts w:ascii="Times New Roman" w:hAnsi="Times New Roman" w:cs="Times New Roman"/>
          <w:sz w:val="24"/>
          <w:szCs w:val="24"/>
          <w:vertAlign w:val="baseline"/>
        </w:rPr>
      </w:pPr>
    </w:p>
    <w:p w14:paraId="5F9C5F53"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Willmott Harrop</w:t>
      </w:r>
      <w:r>
        <w:rPr>
          <w:rFonts w:ascii="Times New Roman" w:hAnsi="Times New Roman" w:cs="Times New Roman"/>
          <w:sz w:val="24"/>
          <w:szCs w:val="24"/>
          <w:vertAlign w:val="baseline"/>
        </w:rPr>
        <w:t xml:space="preserve"> E</w:t>
      </w:r>
      <w:r w:rsidRPr="00672137">
        <w:rPr>
          <w:rFonts w:ascii="Times New Roman" w:hAnsi="Times New Roman" w:cs="Times New Roman"/>
          <w:sz w:val="24"/>
          <w:szCs w:val="24"/>
          <w:vertAlign w:val="baseline"/>
        </w:rPr>
        <w:t>, ‘ Has International Human Rights Law failed Women’ (2004) Liberty and Humanity 3</w:t>
      </w:r>
    </w:p>
    <w:p w14:paraId="21107AF8" w14:textId="77777777" w:rsidR="00182ED6" w:rsidRDefault="00182ED6" w:rsidP="00182ED6">
      <w:pPr>
        <w:rPr>
          <w:rFonts w:ascii="Times New Roman" w:hAnsi="Times New Roman" w:cs="Times New Roman"/>
          <w:sz w:val="24"/>
          <w:szCs w:val="24"/>
          <w:vertAlign w:val="baseline"/>
        </w:rPr>
      </w:pPr>
    </w:p>
    <w:p w14:paraId="35D3E2E8" w14:textId="77777777" w:rsidR="00182ED6" w:rsidRDefault="00182ED6" w:rsidP="00182ED6">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Witchcraft and Human Rights Information Network, ‘21st Century Witchcraft Accusations and Persecution: 2013 Global Report’ (2013) &lt;</w:t>
      </w:r>
      <w:hyperlink r:id="rId180" w:history="1">
        <w:r w:rsidRPr="00795945">
          <w:rPr>
            <w:rStyle w:val="Hyperlink"/>
            <w:rFonts w:ascii="Times New Roman" w:hAnsi="Times New Roman" w:cs="Times New Roman"/>
            <w:sz w:val="24"/>
            <w:szCs w:val="24"/>
            <w:vertAlign w:val="baseline"/>
          </w:rPr>
          <w:t>http://www.whrin.org/wp-content/uploads/2014/03/WHRIN-UN-report_small-FINAL.pdf&gt; a</w:t>
        </w:r>
      </w:hyperlink>
      <w:r w:rsidRPr="00672137">
        <w:rPr>
          <w:rFonts w:ascii="Times New Roman" w:hAnsi="Times New Roman" w:cs="Times New Roman"/>
          <w:sz w:val="24"/>
          <w:szCs w:val="24"/>
          <w:vertAlign w:val="baseline"/>
        </w:rPr>
        <w:t>ccessed 16 June 2014.</w:t>
      </w:r>
    </w:p>
    <w:p w14:paraId="1CB4C071" w14:textId="77777777" w:rsidR="00182ED6" w:rsidRDefault="00182ED6" w:rsidP="00182ED6">
      <w:pPr>
        <w:rPr>
          <w:rFonts w:ascii="Times New Roman" w:hAnsi="Times New Roman" w:cs="Times New Roman"/>
          <w:sz w:val="24"/>
          <w:szCs w:val="24"/>
          <w:vertAlign w:val="baseline"/>
        </w:rPr>
      </w:pPr>
    </w:p>
    <w:p w14:paraId="5D476094" w14:textId="77777777" w:rsidR="00182ED6" w:rsidRDefault="00182ED6" w:rsidP="00182ED6">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Witchcraft and Human Rights Information Network, ‘Witchcraft Accusations &amp; Persecution in Nepa</w:t>
      </w:r>
      <w:r>
        <w:rPr>
          <w:rFonts w:ascii="Times New Roman" w:hAnsi="Times New Roman" w:cs="Times New Roman"/>
          <w:sz w:val="24"/>
          <w:szCs w:val="24"/>
          <w:vertAlign w:val="baseline"/>
        </w:rPr>
        <w:t>l: 2014 Country Report’ (</w:t>
      </w:r>
      <w:r w:rsidRPr="00672137">
        <w:rPr>
          <w:rFonts w:ascii="Times New Roman" w:hAnsi="Times New Roman" w:cs="Times New Roman"/>
          <w:sz w:val="24"/>
          <w:szCs w:val="24"/>
          <w:vertAlign w:val="baseline"/>
        </w:rPr>
        <w:t>2014) &lt;</w:t>
      </w:r>
      <w:hyperlink r:id="rId181" w:history="1">
        <w:r w:rsidRPr="00A2390A">
          <w:rPr>
            <w:rStyle w:val="Hyperlink"/>
            <w:rFonts w:ascii="Times New Roman" w:hAnsi="Times New Roman" w:cs="Times New Roman"/>
            <w:sz w:val="24"/>
            <w:szCs w:val="24"/>
            <w:vertAlign w:val="baseline"/>
          </w:rPr>
          <w:t>http://www.whrin.org/wp-content/uploads/2014/04/2480903_nepal_report_FINAL.pdf&gt;</w:t>
        </w:r>
      </w:hyperlink>
      <w:r w:rsidRPr="00672137">
        <w:rPr>
          <w:rFonts w:ascii="Times New Roman" w:hAnsi="Times New Roman" w:cs="Times New Roman"/>
          <w:sz w:val="24"/>
          <w:szCs w:val="24"/>
          <w:vertAlign w:val="baseline"/>
        </w:rPr>
        <w:t xml:space="preserve"> accessed 6 November 2014</w:t>
      </w:r>
    </w:p>
    <w:p w14:paraId="1650EA15" w14:textId="77777777" w:rsidR="00182ED6" w:rsidRDefault="00182ED6" w:rsidP="00182ED6">
      <w:pPr>
        <w:rPr>
          <w:rFonts w:ascii="Times New Roman" w:hAnsi="Times New Roman" w:cs="Times New Roman"/>
          <w:sz w:val="24"/>
          <w:szCs w:val="24"/>
          <w:vertAlign w:val="baseline"/>
        </w:rPr>
      </w:pPr>
    </w:p>
    <w:p w14:paraId="3930D2B7" w14:textId="77777777" w:rsidR="00182ED6" w:rsidRDefault="00182ED6" w:rsidP="00182ED6">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Witchcraft and Human Rights Information Network, ‘Report on the Violent Abuse and the breach of Human Rights as a Consequence of Spiritual Beliefs,’ presented to the UNHRC in Geneva on 10th March 2014.</w:t>
      </w:r>
    </w:p>
    <w:p w14:paraId="0D01DEFA" w14:textId="77777777" w:rsidR="003E2C58" w:rsidRDefault="003E2C58" w:rsidP="003E2C58">
      <w:pPr>
        <w:rPr>
          <w:rFonts w:ascii="Times New Roman" w:hAnsi="Times New Roman" w:cs="Times New Roman"/>
          <w:sz w:val="24"/>
          <w:szCs w:val="24"/>
          <w:vertAlign w:val="baseline"/>
        </w:rPr>
      </w:pPr>
    </w:p>
    <w:p w14:paraId="602E98CE" w14:textId="77777777" w:rsidR="00DF0ADB" w:rsidRDefault="00DF0ADB" w:rsidP="00DF0ADB">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 xml:space="preserve">‘Witch Hunting in India: Poor, Low </w:t>
      </w:r>
      <w:r>
        <w:rPr>
          <w:rFonts w:ascii="Times New Roman" w:hAnsi="Times New Roman" w:cs="Times New Roman"/>
          <w:sz w:val="24"/>
          <w:szCs w:val="24"/>
          <w:vertAlign w:val="baseline"/>
        </w:rPr>
        <w:t xml:space="preserve">Caste and Widows Main Targets’ </w:t>
      </w:r>
      <w:r w:rsidRPr="00E81A4D">
        <w:rPr>
          <w:rFonts w:ascii="Times New Roman" w:hAnsi="Times New Roman" w:cs="Times New Roman"/>
          <w:i/>
          <w:sz w:val="24"/>
          <w:szCs w:val="24"/>
          <w:vertAlign w:val="baseline"/>
        </w:rPr>
        <w:t xml:space="preserve">International Business Times </w:t>
      </w:r>
      <w:r>
        <w:rPr>
          <w:rFonts w:ascii="Times New Roman" w:hAnsi="Times New Roman" w:cs="Times New Roman"/>
          <w:sz w:val="24"/>
          <w:szCs w:val="24"/>
          <w:vertAlign w:val="baseline"/>
        </w:rPr>
        <w:t xml:space="preserve">(India </w:t>
      </w:r>
      <w:r w:rsidRPr="00672137">
        <w:rPr>
          <w:rFonts w:ascii="Times New Roman" w:hAnsi="Times New Roman" w:cs="Times New Roman"/>
          <w:sz w:val="24"/>
          <w:szCs w:val="24"/>
          <w:vertAlign w:val="baseline"/>
        </w:rPr>
        <w:t>22 July 2014) &lt;</w:t>
      </w:r>
      <w:hyperlink r:id="rId182" w:history="1">
        <w:r w:rsidRPr="00E81A4D">
          <w:rPr>
            <w:rStyle w:val="Hyperlink"/>
            <w:rFonts w:ascii="Times New Roman" w:hAnsi="Times New Roman" w:cs="Times New Roman"/>
            <w:sz w:val="24"/>
            <w:szCs w:val="24"/>
            <w:vertAlign w:val="baseline"/>
          </w:rPr>
          <w:t>http://www.ibtimes.co.uk/witch-hunting-india-poor-low-caste-widows-main-targets-145709&gt;</w:t>
        </w:r>
      </w:hyperlink>
      <w:r w:rsidRPr="00672137">
        <w:rPr>
          <w:rFonts w:ascii="Times New Roman" w:hAnsi="Times New Roman" w:cs="Times New Roman"/>
          <w:sz w:val="24"/>
          <w:szCs w:val="24"/>
          <w:vertAlign w:val="baseline"/>
        </w:rPr>
        <w:t xml:space="preserve"> accessed 6 February 2015</w:t>
      </w:r>
    </w:p>
    <w:p w14:paraId="13FCB168" w14:textId="77777777" w:rsidR="00DF0ADB" w:rsidRDefault="00DF0ADB" w:rsidP="00182ED6">
      <w:pPr>
        <w:rPr>
          <w:rFonts w:ascii="Times New Roman" w:hAnsi="Times New Roman" w:cs="Times New Roman"/>
          <w:sz w:val="24"/>
          <w:szCs w:val="24"/>
          <w:vertAlign w:val="baseline"/>
        </w:rPr>
      </w:pPr>
    </w:p>
    <w:p w14:paraId="4B1B5B7B" w14:textId="77777777" w:rsidR="00182ED6" w:rsidRDefault="00182ED6" w:rsidP="00182ED6">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Women Enabled, ‘Our Work: Conventions and International Mechanisms: UN Human Rights Council: Femicide, Witchcraft Accusations and Women with Disabilities’ 25th Session HRC 10 March 2014 &lt;</w:t>
      </w:r>
      <w:hyperlink r:id="rId183" w:history="1">
        <w:r w:rsidRPr="00712833">
          <w:rPr>
            <w:rStyle w:val="Hyperlink"/>
            <w:rFonts w:ascii="Times New Roman" w:hAnsi="Times New Roman" w:cs="Times New Roman"/>
            <w:sz w:val="24"/>
            <w:szCs w:val="24"/>
            <w:vertAlign w:val="baseline"/>
          </w:rPr>
          <w:t>http://www.womenenabled.org/hrc.html&gt;</w:t>
        </w:r>
      </w:hyperlink>
      <w:r w:rsidRPr="00672137">
        <w:rPr>
          <w:rFonts w:ascii="Times New Roman" w:hAnsi="Times New Roman" w:cs="Times New Roman"/>
          <w:sz w:val="24"/>
          <w:szCs w:val="24"/>
          <w:vertAlign w:val="baseline"/>
        </w:rPr>
        <w:t xml:space="preserve"> accessed 17 June 2015</w:t>
      </w:r>
    </w:p>
    <w:p w14:paraId="0BE0D36B" w14:textId="77777777" w:rsidR="00182ED6" w:rsidRDefault="00182ED6" w:rsidP="003E2C58">
      <w:pPr>
        <w:rPr>
          <w:rFonts w:ascii="Times New Roman" w:hAnsi="Times New Roman" w:cs="Times New Roman"/>
          <w:sz w:val="24"/>
          <w:szCs w:val="24"/>
          <w:vertAlign w:val="baseline"/>
        </w:rPr>
      </w:pPr>
    </w:p>
    <w:p w14:paraId="61F18A91" w14:textId="0261668E" w:rsidR="00A849EE" w:rsidRPr="00672137" w:rsidRDefault="00A849EE" w:rsidP="00A849EE">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 xml:space="preserve">‘Woman accused of witchcraft axed to death in Papua New Guinea’ </w:t>
      </w:r>
      <w:r w:rsidRPr="00594974">
        <w:rPr>
          <w:rFonts w:ascii="Times New Roman" w:hAnsi="Times New Roman" w:cs="Times New Roman"/>
          <w:i/>
          <w:sz w:val="24"/>
          <w:szCs w:val="24"/>
          <w:vertAlign w:val="baseline"/>
        </w:rPr>
        <w:t>The Telegraph</w:t>
      </w:r>
      <w:r w:rsidRPr="00672137">
        <w:rPr>
          <w:rFonts w:ascii="Times New Roman" w:hAnsi="Times New Roman" w:cs="Times New Roman"/>
          <w:sz w:val="24"/>
          <w:szCs w:val="24"/>
          <w:vertAlign w:val="baseline"/>
        </w:rPr>
        <w:t xml:space="preserve"> (London, 27 May 2015) &lt;</w:t>
      </w:r>
      <w:hyperlink r:id="rId184" w:history="1">
        <w:r w:rsidRPr="00594974">
          <w:rPr>
            <w:rStyle w:val="Hyperlink"/>
            <w:rFonts w:ascii="Times New Roman" w:hAnsi="Times New Roman" w:cs="Times New Roman"/>
            <w:sz w:val="24"/>
            <w:szCs w:val="24"/>
            <w:vertAlign w:val="baseline"/>
          </w:rPr>
          <w:t>http://www.telegraph.co.uk/news/worldnews/australiaandthepacific/papuanewguinea/11633375/Woman-accused-of-witchcraft-axed-to-death-in-Papua-New-Guinea.html&gt;</w:t>
        </w:r>
      </w:hyperlink>
      <w:r w:rsidRPr="00672137">
        <w:rPr>
          <w:rFonts w:ascii="Times New Roman" w:hAnsi="Times New Roman" w:cs="Times New Roman"/>
          <w:sz w:val="24"/>
          <w:szCs w:val="24"/>
          <w:vertAlign w:val="baseline"/>
        </w:rPr>
        <w:t xml:space="preserve"> accessed 2 September 2015</w:t>
      </w:r>
    </w:p>
    <w:p w14:paraId="0A5DD46A" w14:textId="77777777" w:rsidR="00A849EE" w:rsidRDefault="00A849EE" w:rsidP="00A849EE">
      <w:pPr>
        <w:rPr>
          <w:rFonts w:ascii="Times New Roman" w:hAnsi="Times New Roman" w:cs="Times New Roman"/>
          <w:sz w:val="24"/>
          <w:szCs w:val="24"/>
          <w:vertAlign w:val="baseline"/>
        </w:rPr>
      </w:pPr>
    </w:p>
    <w:p w14:paraId="496358E4" w14:textId="77777777" w:rsidR="00A849EE" w:rsidRDefault="00A849EE" w:rsidP="00A849EE">
      <w:pPr>
        <w:rPr>
          <w:rFonts w:ascii="Times New Roman" w:hAnsi="Times New Roman" w:cs="Times New Roman"/>
          <w:b/>
          <w:sz w:val="24"/>
          <w:szCs w:val="24"/>
          <w:vertAlign w:val="baseline"/>
        </w:rPr>
      </w:pPr>
      <w:r w:rsidRPr="00672137">
        <w:rPr>
          <w:rFonts w:ascii="Times New Roman" w:hAnsi="Times New Roman" w:cs="Times New Roman"/>
          <w:sz w:val="24"/>
          <w:szCs w:val="24"/>
          <w:vertAlign w:val="baseline"/>
        </w:rPr>
        <w:t xml:space="preserve">‘Woman dubbed witch, burnt alive by distant relatives’ </w:t>
      </w:r>
      <w:r w:rsidRPr="00017EDD">
        <w:rPr>
          <w:rFonts w:ascii="Times New Roman" w:hAnsi="Times New Roman" w:cs="Times New Roman"/>
          <w:i/>
          <w:sz w:val="24"/>
          <w:szCs w:val="24"/>
          <w:vertAlign w:val="baseline"/>
        </w:rPr>
        <w:t>The Times of India</w:t>
      </w:r>
      <w:r>
        <w:rPr>
          <w:rFonts w:ascii="Times New Roman" w:hAnsi="Times New Roman" w:cs="Times New Roman"/>
          <w:sz w:val="24"/>
          <w:szCs w:val="24"/>
          <w:vertAlign w:val="baseline"/>
        </w:rPr>
        <w:t xml:space="preserve"> (India, 30 October 2012) </w:t>
      </w:r>
      <w:r w:rsidRPr="00672137">
        <w:rPr>
          <w:rFonts w:ascii="Times New Roman" w:hAnsi="Times New Roman" w:cs="Times New Roman"/>
          <w:sz w:val="24"/>
          <w:szCs w:val="24"/>
          <w:vertAlign w:val="baseline"/>
        </w:rPr>
        <w:t>&lt;</w:t>
      </w:r>
      <w:hyperlink r:id="rId185" w:history="1">
        <w:r w:rsidRPr="00017EDD">
          <w:rPr>
            <w:rStyle w:val="Hyperlink"/>
            <w:rFonts w:ascii="Times New Roman" w:hAnsi="Times New Roman" w:cs="Times New Roman"/>
            <w:sz w:val="24"/>
            <w:szCs w:val="24"/>
            <w:vertAlign w:val="baseline"/>
          </w:rPr>
          <w:t>http://timesofindia.indiatimes.com/city/patna/Woman-dubbed-witch-burnt-alive-by-distant-relatives/articleshow/17023995.cms&gt;</w:t>
        </w:r>
      </w:hyperlink>
      <w:r w:rsidRPr="00672137">
        <w:rPr>
          <w:rFonts w:ascii="Times New Roman" w:hAnsi="Times New Roman" w:cs="Times New Roman"/>
          <w:sz w:val="24"/>
          <w:szCs w:val="24"/>
          <w:vertAlign w:val="baseline"/>
        </w:rPr>
        <w:t xml:space="preserve"> accessed 15 September 2014</w:t>
      </w:r>
    </w:p>
    <w:p w14:paraId="0355ED16" w14:textId="77777777" w:rsidR="00A849EE" w:rsidRDefault="00A849EE" w:rsidP="00A849EE">
      <w:pPr>
        <w:rPr>
          <w:rFonts w:ascii="Times New Roman" w:hAnsi="Times New Roman" w:cs="Times New Roman"/>
          <w:b/>
          <w:sz w:val="24"/>
          <w:szCs w:val="24"/>
          <w:vertAlign w:val="baseline"/>
        </w:rPr>
      </w:pPr>
    </w:p>
    <w:p w14:paraId="127518B2" w14:textId="77777777" w:rsidR="00A849EE" w:rsidRPr="00672137" w:rsidRDefault="00A849EE" w:rsidP="00A849EE">
      <w:pPr>
        <w:rPr>
          <w:rFonts w:ascii="Times New Roman" w:hAnsi="Times New Roman" w:cs="Times New Roman"/>
          <w:sz w:val="24"/>
          <w:szCs w:val="24"/>
          <w:vertAlign w:val="baseline"/>
        </w:rPr>
      </w:pPr>
      <w:r>
        <w:rPr>
          <w:rFonts w:ascii="Times New Roman" w:hAnsi="Times New Roman" w:cs="Times New Roman"/>
          <w:sz w:val="24"/>
          <w:szCs w:val="24"/>
          <w:vertAlign w:val="baseline"/>
        </w:rPr>
        <w:t>‘</w:t>
      </w:r>
      <w:r w:rsidRPr="00672137">
        <w:rPr>
          <w:rFonts w:ascii="Times New Roman" w:hAnsi="Times New Roman" w:cs="Times New Roman"/>
          <w:sz w:val="24"/>
          <w:szCs w:val="24"/>
          <w:vertAlign w:val="baseline"/>
        </w:rPr>
        <w:t xml:space="preserve">Woman killed for witchcraft’ </w:t>
      </w:r>
      <w:r w:rsidRPr="003645AD">
        <w:rPr>
          <w:rFonts w:ascii="Times New Roman" w:hAnsi="Times New Roman" w:cs="Times New Roman"/>
          <w:i/>
          <w:sz w:val="24"/>
          <w:szCs w:val="24"/>
          <w:vertAlign w:val="baseline"/>
        </w:rPr>
        <w:t>Himalayan Times</w:t>
      </w:r>
      <w:r w:rsidRPr="00672137">
        <w:rPr>
          <w:rFonts w:ascii="Times New Roman" w:hAnsi="Times New Roman" w:cs="Times New Roman"/>
          <w:sz w:val="24"/>
          <w:szCs w:val="24"/>
          <w:vertAlign w:val="baseline"/>
        </w:rPr>
        <w:t xml:space="preserve"> (Kathmandu 26 December 2013) &lt;</w:t>
      </w:r>
      <w:hyperlink r:id="rId186" w:history="1">
        <w:r w:rsidRPr="003645AD">
          <w:rPr>
            <w:rStyle w:val="Hyperlink"/>
            <w:rFonts w:ascii="Times New Roman" w:hAnsi="Times New Roman" w:cs="Times New Roman"/>
            <w:sz w:val="24"/>
            <w:szCs w:val="24"/>
            <w:vertAlign w:val="baseline"/>
          </w:rPr>
          <w:t>http://www.thehimalayantimes.com/fullNews.php?headline=Woman+killed+for+%27witchcraft%27&amp;NewsID=400951&gt; a</w:t>
        </w:r>
      </w:hyperlink>
      <w:r w:rsidRPr="00672137">
        <w:rPr>
          <w:rFonts w:ascii="Times New Roman" w:hAnsi="Times New Roman" w:cs="Times New Roman"/>
          <w:sz w:val="24"/>
          <w:szCs w:val="24"/>
          <w:vertAlign w:val="baseline"/>
        </w:rPr>
        <w:t>ccessed 6 November 2014</w:t>
      </w:r>
    </w:p>
    <w:p w14:paraId="314124E1" w14:textId="77777777" w:rsidR="00A849EE" w:rsidRDefault="00A849EE" w:rsidP="00A849EE">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 xml:space="preserve"> </w:t>
      </w:r>
    </w:p>
    <w:p w14:paraId="7A1B5645" w14:textId="77777777" w:rsidR="003B4A1B" w:rsidRDefault="003B4A1B" w:rsidP="003B4A1B">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Women, Law and Development &lt;</w:t>
      </w:r>
      <w:hyperlink r:id="rId187" w:history="1">
        <w:r w:rsidRPr="006B792D">
          <w:rPr>
            <w:rStyle w:val="Hyperlink"/>
            <w:rFonts w:ascii="Times New Roman" w:hAnsi="Times New Roman" w:cs="Times New Roman"/>
            <w:sz w:val="24"/>
            <w:szCs w:val="24"/>
            <w:vertAlign w:val="baseline"/>
          </w:rPr>
          <w:t>http://www.fwld.org/&gt;</w:t>
        </w:r>
      </w:hyperlink>
      <w:r w:rsidRPr="00672137">
        <w:rPr>
          <w:rFonts w:ascii="Times New Roman" w:hAnsi="Times New Roman" w:cs="Times New Roman"/>
          <w:sz w:val="24"/>
          <w:szCs w:val="24"/>
          <w:vertAlign w:val="baseline"/>
        </w:rPr>
        <w:t xml:space="preserve"> accessed 26 August 2015</w:t>
      </w:r>
    </w:p>
    <w:p w14:paraId="5656681C" w14:textId="77777777" w:rsidR="003B4A1B" w:rsidRDefault="003B4A1B" w:rsidP="003B4A1B">
      <w:pPr>
        <w:rPr>
          <w:rFonts w:ascii="Times New Roman" w:hAnsi="Times New Roman" w:cs="Times New Roman"/>
          <w:sz w:val="24"/>
          <w:szCs w:val="24"/>
          <w:vertAlign w:val="baseline"/>
        </w:rPr>
      </w:pPr>
    </w:p>
    <w:p w14:paraId="6E5BE468" w14:textId="77777777" w:rsidR="003B4A1B" w:rsidRDefault="003B4A1B" w:rsidP="003B4A1B">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Women’s News Network &lt;</w:t>
      </w:r>
      <w:hyperlink r:id="rId188" w:history="1">
        <w:r w:rsidRPr="00472FF7">
          <w:rPr>
            <w:rStyle w:val="Hyperlink"/>
            <w:rFonts w:ascii="Times New Roman" w:hAnsi="Times New Roman" w:cs="Times New Roman"/>
            <w:sz w:val="24"/>
            <w:szCs w:val="24"/>
            <w:vertAlign w:val="baseline"/>
          </w:rPr>
          <w:t>http://womennewsnetwork.net/&gt;</w:t>
        </w:r>
      </w:hyperlink>
      <w:r w:rsidRPr="00672137">
        <w:rPr>
          <w:rFonts w:ascii="Times New Roman" w:hAnsi="Times New Roman" w:cs="Times New Roman"/>
          <w:sz w:val="24"/>
          <w:szCs w:val="24"/>
          <w:vertAlign w:val="baseline"/>
        </w:rPr>
        <w:t xml:space="preserve"> accessed 6 February 2015</w:t>
      </w:r>
    </w:p>
    <w:p w14:paraId="51DBD8DC" w14:textId="77777777" w:rsidR="003B4A1B" w:rsidRDefault="003B4A1B" w:rsidP="00A849EE">
      <w:pPr>
        <w:rPr>
          <w:rFonts w:ascii="Times New Roman" w:hAnsi="Times New Roman" w:cs="Times New Roman"/>
          <w:sz w:val="24"/>
          <w:szCs w:val="24"/>
          <w:vertAlign w:val="baseline"/>
        </w:rPr>
      </w:pPr>
    </w:p>
    <w:p w14:paraId="2B3098C4" w14:textId="77777777" w:rsidR="00A849EE" w:rsidRPr="00672137" w:rsidRDefault="00A849EE" w:rsidP="00A849EE">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‘Woman</w:t>
      </w:r>
      <w:r>
        <w:rPr>
          <w:rFonts w:ascii="Times New Roman" w:hAnsi="Times New Roman" w:cs="Times New Roman"/>
          <w:sz w:val="24"/>
          <w:szCs w:val="24"/>
          <w:vertAlign w:val="baseline"/>
        </w:rPr>
        <w:t xml:space="preserve"> thrashed on witchcraft charge’</w:t>
      </w:r>
      <w:r w:rsidRPr="00672137">
        <w:rPr>
          <w:rFonts w:ascii="Times New Roman" w:hAnsi="Times New Roman" w:cs="Times New Roman"/>
          <w:sz w:val="24"/>
          <w:szCs w:val="24"/>
          <w:vertAlign w:val="baseline"/>
        </w:rPr>
        <w:t xml:space="preserve"> </w:t>
      </w:r>
      <w:r w:rsidRPr="003645AD">
        <w:rPr>
          <w:rFonts w:ascii="Times New Roman" w:hAnsi="Times New Roman" w:cs="Times New Roman"/>
          <w:i/>
          <w:sz w:val="24"/>
          <w:szCs w:val="24"/>
          <w:vertAlign w:val="baseline"/>
        </w:rPr>
        <w:t>Himalayan Times</w:t>
      </w:r>
      <w:r w:rsidRPr="00672137">
        <w:rPr>
          <w:rFonts w:ascii="Times New Roman" w:hAnsi="Times New Roman" w:cs="Times New Roman"/>
          <w:sz w:val="24"/>
          <w:szCs w:val="24"/>
          <w:vertAlign w:val="baseline"/>
        </w:rPr>
        <w:t xml:space="preserve"> (Kathmandu 19 August 2014) &lt;</w:t>
      </w:r>
      <w:hyperlink r:id="rId189" w:history="1">
        <w:r w:rsidRPr="003645AD">
          <w:rPr>
            <w:rStyle w:val="Hyperlink"/>
            <w:rFonts w:ascii="Times New Roman" w:hAnsi="Times New Roman" w:cs="Times New Roman"/>
            <w:sz w:val="24"/>
            <w:szCs w:val="24"/>
            <w:vertAlign w:val="baseline"/>
          </w:rPr>
          <w:t>http://www.thehimalayantimes.com/fullNews.php?headline=Woman+thrashed+on+witchcraft+charge+&amp;NewsID=424728&gt; a</w:t>
        </w:r>
      </w:hyperlink>
      <w:r w:rsidRPr="00672137">
        <w:rPr>
          <w:rFonts w:ascii="Times New Roman" w:hAnsi="Times New Roman" w:cs="Times New Roman"/>
          <w:sz w:val="24"/>
          <w:szCs w:val="24"/>
          <w:vertAlign w:val="baseline"/>
        </w:rPr>
        <w:t>ccessed 6 November 2014</w:t>
      </w:r>
    </w:p>
    <w:p w14:paraId="7D492B82" w14:textId="77777777" w:rsidR="00A849EE" w:rsidRDefault="00A849EE" w:rsidP="003E2C58">
      <w:pPr>
        <w:rPr>
          <w:rFonts w:ascii="Times New Roman" w:hAnsi="Times New Roman" w:cs="Times New Roman"/>
          <w:sz w:val="24"/>
          <w:szCs w:val="24"/>
          <w:vertAlign w:val="baseline"/>
        </w:rPr>
      </w:pPr>
    </w:p>
    <w:p w14:paraId="1BD3DEE9"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Womankind Worldwide, ‘Women’s Rights in Ghana’ &lt;</w:t>
      </w:r>
      <w:hyperlink r:id="rId190" w:history="1">
        <w:r w:rsidRPr="00122AB3">
          <w:rPr>
            <w:rStyle w:val="Hyperlink"/>
            <w:rFonts w:ascii="Times New Roman" w:hAnsi="Times New Roman" w:cs="Times New Roman"/>
            <w:sz w:val="24"/>
            <w:szCs w:val="24"/>
            <w:vertAlign w:val="baseline"/>
          </w:rPr>
          <w:t>http://www.womankind.org.uk/where-we-work/ghana/&gt;</w:t>
        </w:r>
      </w:hyperlink>
      <w:r w:rsidRPr="00672137">
        <w:rPr>
          <w:rFonts w:ascii="Times New Roman" w:hAnsi="Times New Roman" w:cs="Times New Roman"/>
          <w:sz w:val="24"/>
          <w:szCs w:val="24"/>
          <w:vertAlign w:val="baseline"/>
        </w:rPr>
        <w:t xml:space="preserve"> accessed 12 August 2015</w:t>
      </w:r>
    </w:p>
    <w:p w14:paraId="2A1B4C10" w14:textId="77777777" w:rsidR="003E2C58" w:rsidRDefault="003E2C58" w:rsidP="003E2C58">
      <w:pPr>
        <w:rPr>
          <w:rFonts w:ascii="Times New Roman" w:hAnsi="Times New Roman" w:cs="Times New Roman"/>
          <w:b/>
          <w:sz w:val="24"/>
          <w:szCs w:val="24"/>
          <w:vertAlign w:val="baseline"/>
        </w:rPr>
      </w:pPr>
    </w:p>
    <w:p w14:paraId="7441DD39" w14:textId="77777777" w:rsidR="003E2C58"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Yeh</w:t>
      </w:r>
      <w:r>
        <w:rPr>
          <w:rFonts w:ascii="Times New Roman" w:hAnsi="Times New Roman" w:cs="Times New Roman"/>
          <w:sz w:val="24"/>
          <w:szCs w:val="24"/>
          <w:vertAlign w:val="baseline"/>
        </w:rPr>
        <w:t xml:space="preserve"> JR and </w:t>
      </w:r>
      <w:r w:rsidRPr="00672137">
        <w:rPr>
          <w:rFonts w:ascii="Times New Roman" w:hAnsi="Times New Roman" w:cs="Times New Roman"/>
          <w:sz w:val="24"/>
          <w:szCs w:val="24"/>
          <w:vertAlign w:val="baseline"/>
        </w:rPr>
        <w:t>Chang</w:t>
      </w:r>
      <w:r>
        <w:rPr>
          <w:rFonts w:ascii="Times New Roman" w:hAnsi="Times New Roman" w:cs="Times New Roman"/>
          <w:sz w:val="24"/>
          <w:szCs w:val="24"/>
          <w:vertAlign w:val="baseline"/>
        </w:rPr>
        <w:t xml:space="preserve"> WC</w:t>
      </w:r>
      <w:r w:rsidRPr="00672137">
        <w:rPr>
          <w:rFonts w:ascii="Times New Roman" w:hAnsi="Times New Roman" w:cs="Times New Roman"/>
          <w:sz w:val="24"/>
          <w:szCs w:val="24"/>
          <w:vertAlign w:val="baseline"/>
        </w:rPr>
        <w:t xml:space="preserve"> (eds) </w:t>
      </w:r>
      <w:r w:rsidRPr="005C69A8">
        <w:rPr>
          <w:rFonts w:ascii="Times New Roman" w:hAnsi="Times New Roman" w:cs="Times New Roman"/>
          <w:i/>
          <w:sz w:val="24"/>
          <w:szCs w:val="24"/>
          <w:vertAlign w:val="baseline"/>
        </w:rPr>
        <w:t>Asian Courts in Context</w:t>
      </w:r>
      <w:r w:rsidRPr="00672137">
        <w:rPr>
          <w:rFonts w:ascii="Times New Roman" w:hAnsi="Times New Roman" w:cs="Times New Roman"/>
          <w:sz w:val="24"/>
          <w:szCs w:val="24"/>
          <w:vertAlign w:val="baseline"/>
        </w:rPr>
        <w:t xml:space="preserve"> (</w:t>
      </w:r>
      <w:r>
        <w:rPr>
          <w:rFonts w:ascii="Times New Roman" w:hAnsi="Times New Roman" w:cs="Times New Roman"/>
          <w:sz w:val="24"/>
          <w:szCs w:val="24"/>
          <w:vertAlign w:val="baseline"/>
        </w:rPr>
        <w:t>CUP 2015)</w:t>
      </w:r>
    </w:p>
    <w:p w14:paraId="1DD0C4A0" w14:textId="77777777" w:rsidR="003E2C58" w:rsidRDefault="003E2C58" w:rsidP="003E2C58">
      <w:pPr>
        <w:rPr>
          <w:rFonts w:ascii="Times New Roman" w:hAnsi="Times New Roman" w:cs="Times New Roman"/>
          <w:sz w:val="24"/>
          <w:szCs w:val="24"/>
          <w:vertAlign w:val="baseline"/>
        </w:rPr>
      </w:pPr>
    </w:p>
    <w:p w14:paraId="6427CBE1" w14:textId="77777777" w:rsidR="00114C9F" w:rsidRDefault="00114C9F" w:rsidP="00114C9F">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Youth Women Leading Change (YWCA) &lt;</w:t>
      </w:r>
      <w:hyperlink r:id="rId191" w:history="1">
        <w:r w:rsidRPr="008D7BB9">
          <w:rPr>
            <w:rStyle w:val="Hyperlink"/>
            <w:rFonts w:ascii="Times New Roman" w:hAnsi="Times New Roman" w:cs="Times New Roman"/>
            <w:sz w:val="24"/>
            <w:szCs w:val="24"/>
            <w:vertAlign w:val="baseline"/>
          </w:rPr>
          <w:t>http://www.worldywca.org/Member-Associations/Regions/Pacific/The-YWCA-of-Papua-New-Guinea-Celebrates-International-Youth-Day&gt; ac</w:t>
        </w:r>
      </w:hyperlink>
      <w:r>
        <w:rPr>
          <w:rFonts w:ascii="Times New Roman" w:hAnsi="Times New Roman" w:cs="Times New Roman"/>
          <w:sz w:val="24"/>
          <w:szCs w:val="24"/>
          <w:vertAlign w:val="baseline"/>
        </w:rPr>
        <w:t>cessed 8 September 2015</w:t>
      </w:r>
    </w:p>
    <w:p w14:paraId="4738ABE8" w14:textId="77777777" w:rsidR="00114C9F" w:rsidRDefault="00114C9F" w:rsidP="003E2C58">
      <w:pPr>
        <w:rPr>
          <w:rFonts w:ascii="Times New Roman" w:hAnsi="Times New Roman" w:cs="Times New Roman"/>
          <w:sz w:val="24"/>
          <w:szCs w:val="24"/>
          <w:vertAlign w:val="baseline"/>
        </w:rPr>
      </w:pPr>
    </w:p>
    <w:p w14:paraId="6D13FDC5" w14:textId="77777777" w:rsidR="003E2C58" w:rsidRPr="00EA7D44" w:rsidRDefault="003E2C58" w:rsidP="003E2C58">
      <w:pPr>
        <w:rPr>
          <w:rFonts w:ascii="Times New Roman" w:hAnsi="Times New Roman" w:cs="Times New Roman"/>
          <w:sz w:val="24"/>
          <w:szCs w:val="24"/>
          <w:vertAlign w:val="baseline"/>
        </w:rPr>
      </w:pPr>
      <w:r w:rsidRPr="00EA7D44">
        <w:rPr>
          <w:rFonts w:ascii="Times New Roman" w:hAnsi="Times New Roman" w:cs="Times New Roman"/>
          <w:sz w:val="24"/>
          <w:szCs w:val="24"/>
          <w:vertAlign w:val="baseline"/>
        </w:rPr>
        <w:t>Yupsanis</w:t>
      </w:r>
      <w:r>
        <w:rPr>
          <w:rFonts w:ascii="Times New Roman" w:hAnsi="Times New Roman" w:cs="Times New Roman"/>
          <w:sz w:val="24"/>
          <w:szCs w:val="24"/>
          <w:vertAlign w:val="baseline"/>
        </w:rPr>
        <w:t xml:space="preserve"> A </w:t>
      </w:r>
      <w:r w:rsidRPr="00EA7D44">
        <w:rPr>
          <w:rFonts w:ascii="Times New Roman" w:hAnsi="Times New Roman" w:cs="Times New Roman"/>
          <w:sz w:val="24"/>
          <w:szCs w:val="24"/>
          <w:vertAlign w:val="baseline"/>
        </w:rPr>
        <w:t xml:space="preserve">‘The Meaning of ‘Culture’ in Article 15(1)(a) of the ICESCR – Positive Aspects of CESCR’s General Comment No.21 for the Safeguarding of Minority Cultures’ 55 GYIL </w:t>
      </w:r>
      <w:r>
        <w:rPr>
          <w:rFonts w:ascii="Times New Roman" w:hAnsi="Times New Roman" w:cs="Times New Roman"/>
          <w:sz w:val="24"/>
          <w:szCs w:val="24"/>
          <w:vertAlign w:val="baseline"/>
        </w:rPr>
        <w:t>345</w:t>
      </w:r>
    </w:p>
    <w:p w14:paraId="32FB71FE" w14:textId="77777777" w:rsidR="003E2C58" w:rsidRDefault="003E2C58" w:rsidP="003E2C58">
      <w:pPr>
        <w:rPr>
          <w:rFonts w:ascii="Times New Roman" w:hAnsi="Times New Roman" w:cs="Times New Roman"/>
          <w:sz w:val="24"/>
          <w:szCs w:val="24"/>
          <w:vertAlign w:val="baseline"/>
        </w:rPr>
      </w:pPr>
    </w:p>
    <w:p w14:paraId="7350E7D3"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 xml:space="preserve">Zastrow </w:t>
      </w:r>
      <w:r>
        <w:rPr>
          <w:rFonts w:ascii="Times New Roman" w:hAnsi="Times New Roman" w:cs="Times New Roman"/>
          <w:sz w:val="24"/>
          <w:szCs w:val="24"/>
          <w:vertAlign w:val="baseline"/>
        </w:rPr>
        <w:t xml:space="preserve">C </w:t>
      </w:r>
      <w:r w:rsidRPr="00672137">
        <w:rPr>
          <w:rFonts w:ascii="Times New Roman" w:hAnsi="Times New Roman" w:cs="Times New Roman"/>
          <w:sz w:val="24"/>
          <w:szCs w:val="24"/>
          <w:vertAlign w:val="baseline"/>
        </w:rPr>
        <w:t>and Kirst-Ashman</w:t>
      </w:r>
      <w:r>
        <w:rPr>
          <w:rFonts w:ascii="Times New Roman" w:hAnsi="Times New Roman" w:cs="Times New Roman"/>
          <w:sz w:val="24"/>
          <w:szCs w:val="24"/>
          <w:vertAlign w:val="baseline"/>
        </w:rPr>
        <w:t xml:space="preserve"> KK</w:t>
      </w:r>
      <w:r w:rsidRPr="00672137">
        <w:rPr>
          <w:rFonts w:ascii="Times New Roman" w:hAnsi="Times New Roman" w:cs="Times New Roman"/>
          <w:sz w:val="24"/>
          <w:szCs w:val="24"/>
          <w:vertAlign w:val="baseline"/>
        </w:rPr>
        <w:t xml:space="preserve">, </w:t>
      </w:r>
      <w:r w:rsidRPr="0078564A">
        <w:rPr>
          <w:rFonts w:ascii="Times New Roman" w:hAnsi="Times New Roman" w:cs="Times New Roman"/>
          <w:i/>
          <w:sz w:val="24"/>
          <w:szCs w:val="24"/>
          <w:vertAlign w:val="baseline"/>
        </w:rPr>
        <w:t>Understanding Human Behaviour and the Social Environment</w:t>
      </w:r>
      <w:r>
        <w:rPr>
          <w:rFonts w:ascii="Times New Roman" w:hAnsi="Times New Roman" w:cs="Times New Roman"/>
          <w:sz w:val="24"/>
          <w:szCs w:val="24"/>
          <w:vertAlign w:val="baseline"/>
        </w:rPr>
        <w:t xml:space="preserve"> (Cengage Learning 2010)</w:t>
      </w:r>
    </w:p>
    <w:p w14:paraId="01DA7F98" w14:textId="77777777" w:rsidR="003E2C58" w:rsidRDefault="003E2C58" w:rsidP="003E2C58">
      <w:pPr>
        <w:rPr>
          <w:rFonts w:ascii="Times New Roman" w:hAnsi="Times New Roman" w:cs="Times New Roman"/>
          <w:b/>
          <w:sz w:val="24"/>
          <w:szCs w:val="24"/>
          <w:vertAlign w:val="baseline"/>
        </w:rPr>
      </w:pPr>
    </w:p>
    <w:p w14:paraId="365D9A19" w14:textId="77777777" w:rsidR="003E2C58" w:rsidRPr="00672137" w:rsidRDefault="003E2C58" w:rsidP="003E2C58">
      <w:pPr>
        <w:rPr>
          <w:rFonts w:ascii="Times New Roman" w:hAnsi="Times New Roman" w:cs="Times New Roman"/>
          <w:sz w:val="24"/>
          <w:szCs w:val="24"/>
          <w:vertAlign w:val="baseline"/>
        </w:rPr>
      </w:pPr>
      <w:r w:rsidRPr="00672137">
        <w:rPr>
          <w:rFonts w:ascii="Times New Roman" w:hAnsi="Times New Roman" w:cs="Times New Roman"/>
          <w:sz w:val="24"/>
          <w:szCs w:val="24"/>
          <w:vertAlign w:val="baseline"/>
        </w:rPr>
        <w:t>Zizek</w:t>
      </w:r>
      <w:r>
        <w:rPr>
          <w:rFonts w:ascii="Times New Roman" w:hAnsi="Times New Roman" w:cs="Times New Roman"/>
          <w:sz w:val="24"/>
          <w:szCs w:val="24"/>
          <w:vertAlign w:val="baseline"/>
        </w:rPr>
        <w:t xml:space="preserve"> S</w:t>
      </w:r>
      <w:r w:rsidRPr="00672137">
        <w:rPr>
          <w:rFonts w:ascii="Times New Roman" w:hAnsi="Times New Roman" w:cs="Times New Roman"/>
          <w:sz w:val="24"/>
          <w:szCs w:val="24"/>
          <w:vertAlign w:val="baseline"/>
        </w:rPr>
        <w:t xml:space="preserve">, </w:t>
      </w:r>
      <w:r w:rsidRPr="00BB3D59">
        <w:rPr>
          <w:rFonts w:ascii="Times New Roman" w:hAnsi="Times New Roman" w:cs="Times New Roman"/>
          <w:i/>
          <w:sz w:val="24"/>
          <w:szCs w:val="24"/>
          <w:vertAlign w:val="baseline"/>
        </w:rPr>
        <w:t>Violence: Six Sideways Reflections</w:t>
      </w:r>
      <w:r w:rsidRPr="00672137">
        <w:rPr>
          <w:rFonts w:ascii="Times New Roman" w:hAnsi="Times New Roman" w:cs="Times New Roman"/>
          <w:sz w:val="24"/>
          <w:szCs w:val="24"/>
          <w:vertAlign w:val="baseline"/>
        </w:rPr>
        <w:t xml:space="preserve"> (Profile Books Ltd </w:t>
      </w:r>
      <w:r>
        <w:rPr>
          <w:rFonts w:ascii="Times New Roman" w:hAnsi="Times New Roman" w:cs="Times New Roman"/>
          <w:sz w:val="24"/>
          <w:szCs w:val="24"/>
          <w:vertAlign w:val="baseline"/>
        </w:rPr>
        <w:t>2008)</w:t>
      </w:r>
    </w:p>
    <w:p w14:paraId="1E6406D2" w14:textId="77777777" w:rsidR="003E2C58" w:rsidRDefault="003E2C58" w:rsidP="003E2C58">
      <w:pPr>
        <w:rPr>
          <w:rFonts w:ascii="Times New Roman" w:hAnsi="Times New Roman" w:cs="Times New Roman"/>
          <w:b/>
          <w:sz w:val="24"/>
          <w:szCs w:val="24"/>
          <w:vertAlign w:val="baseline"/>
        </w:rPr>
      </w:pPr>
    </w:p>
    <w:p w14:paraId="7E666F1E" w14:textId="77777777" w:rsidR="003E2C58" w:rsidRPr="00672137" w:rsidRDefault="003E2C58" w:rsidP="003E2C58">
      <w:pPr>
        <w:rPr>
          <w:rFonts w:ascii="Times New Roman" w:hAnsi="Times New Roman" w:cs="Times New Roman"/>
          <w:sz w:val="24"/>
          <w:szCs w:val="24"/>
          <w:vertAlign w:val="baseline"/>
        </w:rPr>
      </w:pPr>
      <w:r>
        <w:rPr>
          <w:rFonts w:ascii="Times New Roman" w:hAnsi="Times New Roman" w:cs="Times New Roman"/>
          <w:sz w:val="24"/>
          <w:szCs w:val="24"/>
          <w:vertAlign w:val="baseline"/>
        </w:rPr>
        <w:t>‘</w:t>
      </w:r>
      <w:r w:rsidRPr="00672137">
        <w:rPr>
          <w:rFonts w:ascii="Times New Roman" w:hAnsi="Times New Roman" w:cs="Times New Roman"/>
          <w:sz w:val="24"/>
          <w:szCs w:val="24"/>
          <w:vertAlign w:val="baseline"/>
        </w:rPr>
        <w:t xml:space="preserve">72 year old grandmother burned for being a witch’ </w:t>
      </w:r>
      <w:r w:rsidRPr="00180DF8">
        <w:rPr>
          <w:rFonts w:ascii="Times New Roman" w:hAnsi="Times New Roman" w:cs="Times New Roman"/>
          <w:i/>
          <w:sz w:val="24"/>
          <w:szCs w:val="24"/>
          <w:vertAlign w:val="baseline"/>
        </w:rPr>
        <w:t>Daily Mail Online</w:t>
      </w:r>
      <w:r w:rsidRPr="00672137">
        <w:rPr>
          <w:rFonts w:ascii="Times New Roman" w:hAnsi="Times New Roman" w:cs="Times New Roman"/>
          <w:sz w:val="24"/>
          <w:szCs w:val="24"/>
          <w:vertAlign w:val="baseline"/>
        </w:rPr>
        <w:t xml:space="preserve"> (London, 29 November 2010) &lt;</w:t>
      </w:r>
      <w:hyperlink r:id="rId192" w:history="1">
        <w:r w:rsidRPr="00180DF8">
          <w:rPr>
            <w:rStyle w:val="Hyperlink"/>
            <w:rFonts w:ascii="Times New Roman" w:hAnsi="Times New Roman" w:cs="Times New Roman"/>
            <w:sz w:val="24"/>
            <w:szCs w:val="24"/>
            <w:vertAlign w:val="baseline"/>
          </w:rPr>
          <w:t>http://www.dailymail.co.uk/news/article-1334075/72-year-old-grandmother-burned-alive-Ghana-witch.html&gt;</w:t>
        </w:r>
      </w:hyperlink>
      <w:r w:rsidRPr="00672137">
        <w:rPr>
          <w:rFonts w:ascii="Times New Roman" w:hAnsi="Times New Roman" w:cs="Times New Roman"/>
          <w:sz w:val="24"/>
          <w:szCs w:val="24"/>
          <w:vertAlign w:val="baseline"/>
        </w:rPr>
        <w:t xml:space="preserve"> accessed 19 August 2015</w:t>
      </w:r>
    </w:p>
    <w:p w14:paraId="3AC1C105" w14:textId="77777777" w:rsidR="003E2C58" w:rsidRDefault="003E2C58" w:rsidP="003E2C58">
      <w:pPr>
        <w:rPr>
          <w:rFonts w:ascii="Times New Roman" w:hAnsi="Times New Roman" w:cs="Times New Roman"/>
          <w:sz w:val="24"/>
          <w:szCs w:val="24"/>
          <w:vertAlign w:val="baseline"/>
        </w:rPr>
      </w:pPr>
    </w:p>
    <w:p w14:paraId="1AE9DDC9" w14:textId="77777777" w:rsidR="00374FF1" w:rsidRDefault="00374FF1" w:rsidP="003E2C58">
      <w:pPr>
        <w:rPr>
          <w:rFonts w:ascii="Times New Roman" w:hAnsi="Times New Roman" w:cs="Times New Roman"/>
          <w:sz w:val="24"/>
          <w:szCs w:val="24"/>
          <w:vertAlign w:val="baseline"/>
        </w:rPr>
      </w:pPr>
    </w:p>
    <w:p w14:paraId="18EE16A1" w14:textId="77777777" w:rsidR="00374FF1" w:rsidRDefault="00374FF1" w:rsidP="003E2C58">
      <w:pPr>
        <w:rPr>
          <w:rFonts w:ascii="Times New Roman" w:hAnsi="Times New Roman" w:cs="Times New Roman"/>
          <w:sz w:val="24"/>
          <w:szCs w:val="24"/>
          <w:vertAlign w:val="baseline"/>
        </w:rPr>
      </w:pPr>
    </w:p>
    <w:p w14:paraId="00E6D138" w14:textId="77777777" w:rsidR="00374FF1" w:rsidRDefault="00374FF1" w:rsidP="003E2C58">
      <w:pPr>
        <w:rPr>
          <w:rFonts w:ascii="Times New Roman" w:hAnsi="Times New Roman" w:cs="Times New Roman"/>
          <w:sz w:val="24"/>
          <w:szCs w:val="24"/>
          <w:vertAlign w:val="baseline"/>
        </w:rPr>
      </w:pPr>
    </w:p>
    <w:p w14:paraId="31F503B2" w14:textId="77777777" w:rsidR="00374FF1" w:rsidRDefault="00374FF1" w:rsidP="003E2C58">
      <w:pPr>
        <w:rPr>
          <w:rFonts w:ascii="Times New Roman" w:hAnsi="Times New Roman" w:cs="Times New Roman"/>
          <w:sz w:val="24"/>
          <w:szCs w:val="24"/>
          <w:vertAlign w:val="baseline"/>
        </w:rPr>
      </w:pPr>
    </w:p>
    <w:p w14:paraId="1F9B9FE7" w14:textId="77777777" w:rsidR="00374FF1" w:rsidRDefault="00374FF1" w:rsidP="003E2C58">
      <w:pPr>
        <w:rPr>
          <w:rFonts w:ascii="Times New Roman" w:hAnsi="Times New Roman" w:cs="Times New Roman"/>
          <w:sz w:val="24"/>
          <w:szCs w:val="24"/>
          <w:vertAlign w:val="baseline"/>
        </w:rPr>
      </w:pPr>
    </w:p>
    <w:p w14:paraId="1CD24617" w14:textId="77777777" w:rsidR="003E2C58" w:rsidRDefault="003E2C58" w:rsidP="003E2C58">
      <w:pPr>
        <w:rPr>
          <w:rFonts w:ascii="Times New Roman" w:hAnsi="Times New Roman" w:cs="Times New Roman"/>
          <w:sz w:val="24"/>
          <w:szCs w:val="24"/>
          <w:vertAlign w:val="baseline"/>
        </w:rPr>
      </w:pPr>
    </w:p>
    <w:p w14:paraId="0C4FCFC7" w14:textId="77777777" w:rsidR="003E2C58" w:rsidRDefault="003E2C58" w:rsidP="003E2C58">
      <w:pPr>
        <w:rPr>
          <w:rFonts w:ascii="Times New Roman" w:hAnsi="Times New Roman" w:cs="Times New Roman"/>
          <w:sz w:val="24"/>
          <w:szCs w:val="24"/>
          <w:vertAlign w:val="baseline"/>
        </w:rPr>
      </w:pPr>
    </w:p>
    <w:p w14:paraId="23B5B9F4" w14:textId="77777777" w:rsidR="003E2C58" w:rsidRDefault="003E2C58" w:rsidP="003E2C58">
      <w:pPr>
        <w:rPr>
          <w:rFonts w:ascii="Times New Roman" w:hAnsi="Times New Roman" w:cs="Times New Roman"/>
          <w:sz w:val="24"/>
          <w:szCs w:val="24"/>
          <w:vertAlign w:val="baseline"/>
        </w:rPr>
      </w:pPr>
    </w:p>
    <w:p w14:paraId="2F07295D" w14:textId="77777777" w:rsidR="003E2C58" w:rsidRDefault="003E2C58" w:rsidP="003E2C58">
      <w:pPr>
        <w:rPr>
          <w:rFonts w:ascii="Times New Roman" w:hAnsi="Times New Roman" w:cs="Times New Roman"/>
          <w:sz w:val="24"/>
          <w:szCs w:val="24"/>
          <w:vertAlign w:val="baseline"/>
        </w:rPr>
      </w:pPr>
    </w:p>
    <w:p w14:paraId="3A5504E7" w14:textId="77777777" w:rsidR="003E2C58" w:rsidRDefault="003E2C58" w:rsidP="003E2C58">
      <w:pPr>
        <w:rPr>
          <w:rFonts w:ascii="Times New Roman" w:hAnsi="Times New Roman" w:cs="Times New Roman"/>
          <w:sz w:val="24"/>
          <w:szCs w:val="24"/>
          <w:vertAlign w:val="baseline"/>
        </w:rPr>
      </w:pPr>
    </w:p>
    <w:p w14:paraId="26D77670" w14:textId="77777777" w:rsidR="003E2C58" w:rsidRDefault="003E2C58" w:rsidP="003E2C58">
      <w:pPr>
        <w:rPr>
          <w:rFonts w:ascii="Times New Roman" w:hAnsi="Times New Roman" w:cs="Times New Roman"/>
          <w:sz w:val="24"/>
          <w:szCs w:val="24"/>
          <w:vertAlign w:val="baseline"/>
        </w:rPr>
      </w:pPr>
    </w:p>
    <w:p w14:paraId="32E775D0" w14:textId="77777777" w:rsidR="003E2C58" w:rsidRDefault="003E2C58" w:rsidP="003E2C58">
      <w:pPr>
        <w:rPr>
          <w:rFonts w:ascii="Times New Roman" w:hAnsi="Times New Roman" w:cs="Times New Roman"/>
          <w:sz w:val="24"/>
          <w:szCs w:val="24"/>
          <w:vertAlign w:val="baseline"/>
        </w:rPr>
      </w:pPr>
    </w:p>
    <w:p w14:paraId="25DFFB82" w14:textId="77777777" w:rsidR="003E2C58" w:rsidRDefault="003E2C58" w:rsidP="003E2C58">
      <w:pPr>
        <w:rPr>
          <w:rFonts w:ascii="Times New Roman" w:hAnsi="Times New Roman" w:cs="Times New Roman"/>
          <w:sz w:val="24"/>
          <w:szCs w:val="24"/>
          <w:vertAlign w:val="baseline"/>
        </w:rPr>
      </w:pPr>
    </w:p>
    <w:p w14:paraId="3CA3EBB7" w14:textId="19DCF810" w:rsidR="00C25EF6" w:rsidRPr="00E71B23" w:rsidRDefault="00C25EF6" w:rsidP="00C25EF6">
      <w:pPr>
        <w:spacing w:line="480" w:lineRule="auto"/>
        <w:jc w:val="both"/>
        <w:rPr>
          <w:rFonts w:ascii="Times New Roman" w:hAnsi="Times New Roman" w:cs="Times New Roman"/>
          <w:sz w:val="24"/>
          <w:szCs w:val="24"/>
          <w:vertAlign w:val="baseline"/>
        </w:rPr>
      </w:pPr>
    </w:p>
    <w:sectPr w:rsidR="00C25EF6" w:rsidRPr="00E71B23" w:rsidSect="00EA2769">
      <w:pgSz w:w="11900" w:h="16840"/>
      <w:pgMar w:top="1418" w:right="1418" w:bottom="1418" w:left="2155"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B80EE2B" w14:textId="77777777" w:rsidR="00431A55" w:rsidRDefault="00431A55" w:rsidP="008926D0">
      <w:r>
        <w:separator/>
      </w:r>
    </w:p>
  </w:endnote>
  <w:endnote w:type="continuationSeparator" w:id="0">
    <w:p w14:paraId="0A510F39" w14:textId="77777777" w:rsidR="00431A55" w:rsidRDefault="00431A55" w:rsidP="008926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Courier">
    <w:panose1 w:val="02000500000000000000"/>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 w:name="Verdana">
    <w:panose1 w:val="020B0604030504040204"/>
    <w:charset w:val="00"/>
    <w:family w:val="auto"/>
    <w:pitch w:val="variable"/>
    <w:sig w:usb0="A10006FF" w:usb1="4000205B" w:usb2="0000001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AAAD76" w14:textId="773E5121" w:rsidR="00431A55" w:rsidRPr="008926D0" w:rsidRDefault="00431A55">
    <w:pPr>
      <w:pStyle w:val="Footer"/>
      <w:rPr>
        <w:vertAlign w:val="baseline"/>
      </w:rPr>
    </w:pPr>
    <w:r>
      <w:rPr>
        <w:rStyle w:val="PageNumber"/>
      </w:rPr>
      <w:tab/>
    </w:r>
    <w:r>
      <w:rPr>
        <w:rStyle w:val="PageNumber"/>
      </w:rPr>
      <w:tab/>
    </w:r>
    <w:r w:rsidRPr="008926D0">
      <w:rPr>
        <w:rStyle w:val="PageNumber"/>
        <w:vertAlign w:val="baseline"/>
      </w:rPr>
      <w:fldChar w:fldCharType="begin"/>
    </w:r>
    <w:r w:rsidRPr="008926D0">
      <w:rPr>
        <w:rStyle w:val="PageNumber"/>
        <w:vertAlign w:val="baseline"/>
      </w:rPr>
      <w:instrText xml:space="preserve"> PAGE </w:instrText>
    </w:r>
    <w:r w:rsidRPr="008926D0">
      <w:rPr>
        <w:rStyle w:val="PageNumber"/>
        <w:vertAlign w:val="baseline"/>
      </w:rPr>
      <w:fldChar w:fldCharType="separate"/>
    </w:r>
    <w:r w:rsidR="00C202F4">
      <w:rPr>
        <w:rStyle w:val="PageNumber"/>
        <w:noProof/>
        <w:vertAlign w:val="baseline"/>
      </w:rPr>
      <w:t>1</w:t>
    </w:r>
    <w:r w:rsidRPr="008926D0">
      <w:rPr>
        <w:rStyle w:val="PageNumber"/>
        <w:vertAlign w:val="baseline"/>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B6FDCFF" w14:textId="77777777" w:rsidR="00431A55" w:rsidRDefault="00431A55" w:rsidP="008926D0">
      <w:r>
        <w:separator/>
      </w:r>
    </w:p>
  </w:footnote>
  <w:footnote w:type="continuationSeparator" w:id="0">
    <w:p w14:paraId="68EC0CE5" w14:textId="77777777" w:rsidR="00431A55" w:rsidRDefault="00431A55" w:rsidP="008926D0">
      <w:r>
        <w:continuationSeparator/>
      </w:r>
    </w:p>
  </w:footnote>
  <w:footnote w:id="1">
    <w:p w14:paraId="1A9EB060" w14:textId="0617142D" w:rsidR="00431A55" w:rsidRPr="00B53404" w:rsidRDefault="00431A55" w:rsidP="00B53404">
      <w:pPr>
        <w:pStyle w:val="FootnoteText"/>
        <w:rPr>
          <w:sz w:val="20"/>
          <w:szCs w:val="20"/>
          <w:vertAlign w:val="baseline"/>
          <w:lang w:val="en-US"/>
        </w:rPr>
      </w:pPr>
      <w:r>
        <w:rPr>
          <w:rStyle w:val="FootnoteReference"/>
        </w:rPr>
        <w:footnoteRef/>
      </w:r>
      <w:r>
        <w:t xml:space="preserve"> </w:t>
      </w:r>
      <w:r w:rsidRPr="00B53404">
        <w:rPr>
          <w:sz w:val="20"/>
          <w:szCs w:val="20"/>
          <w:vertAlign w:val="baseline"/>
          <w:lang w:val="en-US"/>
        </w:rPr>
        <w:t xml:space="preserve">Poverty and Social Exclusion, ‘Social Exclusion’ (PSE 2012) </w:t>
      </w:r>
      <w:r w:rsidRPr="00B035E9">
        <w:rPr>
          <w:sz w:val="20"/>
          <w:szCs w:val="20"/>
          <w:u w:val="single"/>
          <w:vertAlign w:val="baseline"/>
          <w:lang w:val="en-US"/>
        </w:rPr>
        <w:t>&lt;</w:t>
      </w:r>
      <w:hyperlink r:id="rId1" w:history="1">
        <w:r w:rsidRPr="00B035E9">
          <w:rPr>
            <w:rStyle w:val="Hyperlink"/>
            <w:sz w:val="20"/>
            <w:szCs w:val="20"/>
            <w:vertAlign w:val="baseline"/>
            <w:lang w:val="en-US"/>
          </w:rPr>
          <w:t>http://www.poverty.ac.uk/definitions-poverty/social-exclusion</w:t>
        </w:r>
      </w:hyperlink>
      <w:r w:rsidRPr="00B53404">
        <w:rPr>
          <w:sz w:val="20"/>
          <w:szCs w:val="20"/>
          <w:vertAlign w:val="baseline"/>
          <w:lang w:val="en-US"/>
        </w:rPr>
        <w:t>&gt; accessed 8 December 2015</w:t>
      </w:r>
    </w:p>
  </w:footnote>
  <w:footnote w:id="2">
    <w:p w14:paraId="5DD5470E" w14:textId="77777777" w:rsidR="00431A55" w:rsidRPr="00B366BB" w:rsidRDefault="00431A55" w:rsidP="00B53404">
      <w:pPr>
        <w:pStyle w:val="FootnoteText"/>
        <w:rPr>
          <w:lang w:val="en-US"/>
        </w:rPr>
      </w:pPr>
      <w:r>
        <w:rPr>
          <w:rStyle w:val="FootnoteReference"/>
        </w:rPr>
        <w:footnoteRef/>
      </w:r>
      <w:r>
        <w:t xml:space="preserve"> </w:t>
      </w:r>
      <w:r w:rsidRPr="00B53404">
        <w:rPr>
          <w:sz w:val="20"/>
          <w:szCs w:val="20"/>
          <w:vertAlign w:val="baseline"/>
          <w:lang w:val="en-US"/>
        </w:rPr>
        <w:t xml:space="preserve">Marilyn French, </w:t>
      </w:r>
      <w:r w:rsidRPr="00B53404">
        <w:rPr>
          <w:i/>
          <w:sz w:val="20"/>
          <w:szCs w:val="20"/>
          <w:vertAlign w:val="baseline"/>
          <w:lang w:val="en-US"/>
        </w:rPr>
        <w:t>Beyond Power: On Women, Men and Morals</w:t>
      </w:r>
      <w:r w:rsidRPr="00B53404">
        <w:rPr>
          <w:sz w:val="20"/>
          <w:szCs w:val="20"/>
          <w:vertAlign w:val="baseline"/>
          <w:lang w:val="en-US"/>
        </w:rPr>
        <w:t xml:space="preserve"> (Ballantine Books 1986) 239</w:t>
      </w:r>
    </w:p>
  </w:footnote>
  <w:footnote w:id="3">
    <w:p w14:paraId="2D1C1443" w14:textId="77777777" w:rsidR="00431A55" w:rsidRPr="004F3210" w:rsidRDefault="00431A55" w:rsidP="007E494A">
      <w:pPr>
        <w:pStyle w:val="FootnoteText"/>
        <w:rPr>
          <w:sz w:val="20"/>
          <w:szCs w:val="20"/>
          <w:vertAlign w:val="baseline"/>
        </w:rPr>
      </w:pPr>
      <w:r w:rsidRPr="004F3210">
        <w:rPr>
          <w:rStyle w:val="FootnoteReference"/>
          <w:sz w:val="20"/>
          <w:szCs w:val="20"/>
        </w:rPr>
        <w:footnoteRef/>
      </w:r>
      <w:r w:rsidRPr="004F3210">
        <w:rPr>
          <w:sz w:val="20"/>
          <w:szCs w:val="20"/>
        </w:rPr>
        <w:t xml:space="preserve"> </w:t>
      </w:r>
      <w:r>
        <w:rPr>
          <w:sz w:val="20"/>
          <w:szCs w:val="20"/>
          <w:vertAlign w:val="baseline"/>
        </w:rPr>
        <w:t>Definition of ‘Marginalisation’ (Collins Dictionary Online) &lt;</w:t>
      </w:r>
      <w:hyperlink r:id="rId2" w:history="1">
        <w:r w:rsidRPr="000C51CE">
          <w:rPr>
            <w:rStyle w:val="Hyperlink"/>
            <w:sz w:val="20"/>
            <w:szCs w:val="20"/>
            <w:vertAlign w:val="baseline"/>
          </w:rPr>
          <w:t>http://www.collinsdictionary.com/dictionary/english/marginalize</w:t>
        </w:r>
      </w:hyperlink>
      <w:r>
        <w:rPr>
          <w:sz w:val="20"/>
          <w:szCs w:val="20"/>
          <w:vertAlign w:val="baseline"/>
        </w:rPr>
        <w:t>&gt; accessed 8 December 2015</w:t>
      </w:r>
    </w:p>
  </w:footnote>
  <w:footnote w:id="4">
    <w:p w14:paraId="294211B4" w14:textId="45955C3B" w:rsidR="00431A55" w:rsidRPr="00D5736E" w:rsidRDefault="00431A55" w:rsidP="007E494A">
      <w:pPr>
        <w:pStyle w:val="FootnoteText"/>
        <w:rPr>
          <w:sz w:val="20"/>
          <w:szCs w:val="20"/>
          <w:vertAlign w:val="baseline"/>
        </w:rPr>
      </w:pPr>
      <w:r w:rsidRPr="00D5736E">
        <w:rPr>
          <w:rStyle w:val="FootnoteReference"/>
          <w:sz w:val="20"/>
          <w:szCs w:val="20"/>
        </w:rPr>
        <w:footnoteRef/>
      </w:r>
      <w:r w:rsidRPr="00D5736E">
        <w:rPr>
          <w:sz w:val="20"/>
          <w:szCs w:val="20"/>
        </w:rPr>
        <w:t xml:space="preserve"> </w:t>
      </w:r>
      <w:r>
        <w:rPr>
          <w:sz w:val="20"/>
          <w:szCs w:val="20"/>
          <w:vertAlign w:val="baseline"/>
        </w:rPr>
        <w:t xml:space="preserve"> Poverty and Social Exclusion (n 1)</w:t>
      </w:r>
    </w:p>
  </w:footnote>
  <w:footnote w:id="5">
    <w:p w14:paraId="39083195" w14:textId="79D2FCE1" w:rsidR="00431A55" w:rsidRPr="009A1552" w:rsidRDefault="00431A55">
      <w:pPr>
        <w:pStyle w:val="FootnoteText"/>
        <w:rPr>
          <w:sz w:val="20"/>
          <w:szCs w:val="20"/>
          <w:vertAlign w:val="baseline"/>
          <w:lang w:val="en-US"/>
        </w:rPr>
      </w:pPr>
      <w:r w:rsidRPr="009A1552">
        <w:rPr>
          <w:rStyle w:val="FootnoteReference"/>
          <w:sz w:val="20"/>
          <w:szCs w:val="20"/>
        </w:rPr>
        <w:footnoteRef/>
      </w:r>
      <w:r w:rsidRPr="009A1552">
        <w:rPr>
          <w:sz w:val="20"/>
          <w:szCs w:val="20"/>
        </w:rPr>
        <w:t xml:space="preserve"> </w:t>
      </w:r>
      <w:r w:rsidR="00C202F4">
        <w:rPr>
          <w:sz w:val="20"/>
          <w:szCs w:val="20"/>
          <w:vertAlign w:val="baseline"/>
        </w:rPr>
        <w:t xml:space="preserve"> See Methodology S</w:t>
      </w:r>
      <w:bookmarkStart w:id="0" w:name="_GoBack"/>
      <w:bookmarkEnd w:id="0"/>
      <w:r w:rsidR="00C202F4">
        <w:rPr>
          <w:sz w:val="20"/>
          <w:szCs w:val="20"/>
          <w:vertAlign w:val="baseline"/>
        </w:rPr>
        <w:t>ection 1.2; Chapter 6 Section 6.3</w:t>
      </w:r>
    </w:p>
  </w:footnote>
  <w:footnote w:id="6">
    <w:p w14:paraId="66ADE52E" w14:textId="656206CE" w:rsidR="00431A55" w:rsidRPr="00946178" w:rsidRDefault="00431A55" w:rsidP="007E494A">
      <w:pPr>
        <w:pStyle w:val="FootnoteText"/>
        <w:rPr>
          <w:lang w:val="en-US"/>
        </w:rPr>
      </w:pPr>
      <w:r>
        <w:rPr>
          <w:rStyle w:val="FootnoteReference"/>
        </w:rPr>
        <w:footnoteRef/>
      </w:r>
      <w:r>
        <w:t xml:space="preserve"> </w:t>
      </w:r>
      <w:r w:rsidRPr="00FD7E83">
        <w:rPr>
          <w:sz w:val="20"/>
          <w:szCs w:val="20"/>
          <w:vertAlign w:val="baseline"/>
        </w:rPr>
        <w:t>Stepping Stones, ‘Report on Accusations of Witchcraft Against Children in Akwa Ibom State, Nigeria’ &lt;</w:t>
      </w:r>
      <w:hyperlink r:id="rId3" w:history="1">
        <w:r w:rsidRPr="00FD7E83">
          <w:rPr>
            <w:rStyle w:val="Hyperlink"/>
            <w:sz w:val="20"/>
            <w:szCs w:val="20"/>
            <w:vertAlign w:val="baseline"/>
          </w:rPr>
          <w:t>http://www.steppingstonesnigeria.org/images/pdf/ssn_report_to_commission.pdf</w:t>
        </w:r>
      </w:hyperlink>
      <w:r w:rsidRPr="00FD7E83">
        <w:rPr>
          <w:sz w:val="20"/>
          <w:szCs w:val="20"/>
          <w:vertAlign w:val="baseline"/>
        </w:rPr>
        <w:t>&gt; accessed 28th April 2014; Stepping Stones, ‘Witchcraft Stigmatisation and Children’s Rights in Nigeria’ (May 2010) &lt;</w:t>
      </w:r>
      <w:hyperlink r:id="rId4" w:history="1">
        <w:r w:rsidRPr="00FD7E83">
          <w:rPr>
            <w:rStyle w:val="Hyperlink"/>
            <w:sz w:val="20"/>
            <w:szCs w:val="20"/>
            <w:vertAlign w:val="baseline"/>
          </w:rPr>
          <w:t>http://www.steppingstonesnigeria.org/images/pdf/Shadow_Report_Low_Res.pdf</w:t>
        </w:r>
      </w:hyperlink>
      <w:r w:rsidRPr="00FD7E83">
        <w:rPr>
          <w:sz w:val="20"/>
          <w:szCs w:val="20"/>
          <w:vertAlign w:val="baseline"/>
        </w:rPr>
        <w:t xml:space="preserve">&gt; accessed 28th April 2014; Aleksandra Cimpric, ‘Children Accused of Witchcraft: An anthropological study of contemporary practices in Africa’ (April 2010) </w:t>
      </w:r>
      <w:r w:rsidRPr="00FD7E83">
        <w:rPr>
          <w:i/>
          <w:sz w:val="20"/>
          <w:szCs w:val="20"/>
          <w:vertAlign w:val="baseline"/>
        </w:rPr>
        <w:t>UNICEF</w:t>
      </w:r>
      <w:r w:rsidRPr="00FD7E83">
        <w:rPr>
          <w:sz w:val="20"/>
          <w:szCs w:val="20"/>
          <w:vertAlign w:val="baseline"/>
        </w:rPr>
        <w:t xml:space="preserve"> 2; Karl Hanson and Roberta Ruggiero, ‘Briefing Paper Child Witchcraft Allegations and Human Rights’ </w:t>
      </w:r>
      <w:r w:rsidRPr="00FD7E83">
        <w:rPr>
          <w:i/>
          <w:sz w:val="20"/>
          <w:szCs w:val="20"/>
          <w:vertAlign w:val="baseline"/>
        </w:rPr>
        <w:t>Directorate-General for External Policies of the Union Directorate B Policy Department</w:t>
      </w:r>
      <w:r w:rsidRPr="00FD7E83">
        <w:rPr>
          <w:sz w:val="20"/>
          <w:szCs w:val="20"/>
          <w:vertAlign w:val="baseline"/>
        </w:rPr>
        <w:t xml:space="preserve"> &lt;</w:t>
      </w:r>
      <w:hyperlink r:id="rId5" w:history="1">
        <w:r w:rsidRPr="00FD7E83">
          <w:rPr>
            <w:rStyle w:val="Hyperlink"/>
            <w:sz w:val="20"/>
            <w:szCs w:val="20"/>
            <w:vertAlign w:val="baseline"/>
          </w:rPr>
          <w:t>http://www.europarl.europa.eu/RegData/etudes/note/join/2013/433714/EXPO-DROI_NT(2013)433714_EN.pdf</w:t>
        </w:r>
      </w:hyperlink>
    </w:p>
  </w:footnote>
  <w:footnote w:id="7">
    <w:p w14:paraId="78E2C604" w14:textId="77777777" w:rsidR="00431A55" w:rsidRPr="00E71B23" w:rsidRDefault="00431A55" w:rsidP="006F4248">
      <w:pPr>
        <w:pStyle w:val="FootnoteText"/>
        <w:rPr>
          <w:sz w:val="20"/>
          <w:szCs w:val="20"/>
          <w:vertAlign w:val="baseline"/>
          <w:lang w:val="en-US"/>
        </w:rPr>
      </w:pPr>
      <w:r w:rsidRPr="00E71B23">
        <w:rPr>
          <w:rStyle w:val="FootnoteReference"/>
          <w:sz w:val="20"/>
          <w:szCs w:val="20"/>
        </w:rPr>
        <w:footnoteRef/>
      </w:r>
      <w:r w:rsidRPr="00E71B23">
        <w:rPr>
          <w:sz w:val="20"/>
          <w:szCs w:val="20"/>
          <w:vertAlign w:val="baseline"/>
        </w:rPr>
        <w:t xml:space="preserve"> Hilary Charlesworth and Christine Chinkin, </w:t>
      </w:r>
      <w:r w:rsidRPr="00E71B23">
        <w:rPr>
          <w:i/>
          <w:sz w:val="20"/>
          <w:szCs w:val="20"/>
          <w:vertAlign w:val="baseline"/>
        </w:rPr>
        <w:t xml:space="preserve">The boundaries of International Law </w:t>
      </w:r>
      <w:r w:rsidRPr="00E71B23">
        <w:rPr>
          <w:sz w:val="20"/>
          <w:szCs w:val="20"/>
          <w:vertAlign w:val="baseline"/>
        </w:rPr>
        <w:t>(Juris Publishing 2000) xi.</w:t>
      </w:r>
    </w:p>
  </w:footnote>
  <w:footnote w:id="8">
    <w:p w14:paraId="2ED37FDD" w14:textId="1FBDF066" w:rsidR="00431A55" w:rsidRPr="00E71B23" w:rsidRDefault="00431A55" w:rsidP="006F4248">
      <w:pPr>
        <w:pStyle w:val="FootnoteText"/>
        <w:rPr>
          <w:sz w:val="20"/>
          <w:szCs w:val="20"/>
          <w:vertAlign w:val="baseline"/>
          <w:lang w:val="en-US"/>
        </w:rPr>
      </w:pPr>
      <w:r w:rsidRPr="00E71B23">
        <w:rPr>
          <w:rStyle w:val="FootnoteReference"/>
          <w:sz w:val="20"/>
          <w:szCs w:val="20"/>
        </w:rPr>
        <w:footnoteRef/>
      </w:r>
      <w:r>
        <w:rPr>
          <w:sz w:val="20"/>
          <w:szCs w:val="20"/>
          <w:vertAlign w:val="baseline"/>
        </w:rPr>
        <w:t xml:space="preserve"> </w:t>
      </w:r>
      <w:r w:rsidRPr="00E71B23">
        <w:rPr>
          <w:sz w:val="20"/>
          <w:szCs w:val="20"/>
          <w:vertAlign w:val="baseline"/>
        </w:rPr>
        <w:t>Charlotte Bunch, ‘Women’s rights as human rights: Toward a re-vision of human rights’, (1990) 12 Hum Rights Quart</w:t>
      </w:r>
      <w:r w:rsidRPr="00E71B23">
        <w:rPr>
          <w:i/>
          <w:sz w:val="20"/>
          <w:szCs w:val="20"/>
          <w:vertAlign w:val="baseline"/>
        </w:rPr>
        <w:t xml:space="preserve"> </w:t>
      </w:r>
      <w:r w:rsidRPr="00E71B23">
        <w:rPr>
          <w:sz w:val="20"/>
          <w:szCs w:val="20"/>
          <w:vertAlign w:val="baseline"/>
        </w:rPr>
        <w:t xml:space="preserve">486; </w:t>
      </w:r>
      <w:r>
        <w:rPr>
          <w:sz w:val="20"/>
          <w:szCs w:val="20"/>
          <w:vertAlign w:val="baseline"/>
        </w:rPr>
        <w:t xml:space="preserve">See also </w:t>
      </w:r>
      <w:r w:rsidRPr="00E71B23">
        <w:rPr>
          <w:sz w:val="20"/>
          <w:szCs w:val="20"/>
          <w:vertAlign w:val="baseline"/>
        </w:rPr>
        <w:t xml:space="preserve">Rebecca Cook, </w:t>
      </w:r>
      <w:r w:rsidRPr="00E71B23">
        <w:rPr>
          <w:i/>
          <w:sz w:val="20"/>
          <w:szCs w:val="20"/>
          <w:vertAlign w:val="baseline"/>
        </w:rPr>
        <w:t xml:space="preserve">Human Rights of Women: National and International Perspectives, </w:t>
      </w:r>
      <w:r w:rsidRPr="00E71B23">
        <w:rPr>
          <w:sz w:val="20"/>
          <w:szCs w:val="20"/>
          <w:vertAlign w:val="baseline"/>
        </w:rPr>
        <w:t xml:space="preserve">(University of Philadelphia 1994); Radhika Coomaraswamy, ‘Reinventing International Law: Women’s Rights as Human Rights in the International Community’, in Peter Van Ness, </w:t>
      </w:r>
      <w:r w:rsidRPr="00E71B23">
        <w:rPr>
          <w:i/>
          <w:sz w:val="20"/>
          <w:szCs w:val="20"/>
          <w:vertAlign w:val="baseline"/>
        </w:rPr>
        <w:t xml:space="preserve">Debating Human Rights: Critical Essays from the United States and Asia </w:t>
      </w:r>
      <w:r w:rsidRPr="00E71B23">
        <w:rPr>
          <w:sz w:val="20"/>
          <w:szCs w:val="20"/>
          <w:vertAlign w:val="baseline"/>
        </w:rPr>
        <w:t>(Routledge 1998) 170; Catharine MacKinnon, ‘Crimes of war, crimes of peace’, (1993) 4 UCLA Women’s</w:t>
      </w:r>
      <w:r w:rsidRPr="00E71B23">
        <w:rPr>
          <w:i/>
          <w:sz w:val="20"/>
          <w:szCs w:val="20"/>
          <w:vertAlign w:val="baseline"/>
        </w:rPr>
        <w:t xml:space="preserve"> </w:t>
      </w:r>
      <w:r w:rsidRPr="00E71B23">
        <w:rPr>
          <w:sz w:val="20"/>
          <w:szCs w:val="20"/>
          <w:vertAlign w:val="baseline"/>
        </w:rPr>
        <w:t>LJ</w:t>
      </w:r>
      <w:r w:rsidRPr="00E71B23">
        <w:rPr>
          <w:i/>
          <w:sz w:val="20"/>
          <w:szCs w:val="20"/>
          <w:vertAlign w:val="baseline"/>
        </w:rPr>
        <w:t xml:space="preserve"> </w:t>
      </w:r>
      <w:r w:rsidRPr="00E71B23">
        <w:rPr>
          <w:sz w:val="20"/>
          <w:szCs w:val="20"/>
          <w:vertAlign w:val="baseline"/>
        </w:rPr>
        <w:t>59;</w:t>
      </w:r>
      <w:r w:rsidRPr="00E71B23">
        <w:rPr>
          <w:i/>
          <w:sz w:val="20"/>
          <w:szCs w:val="20"/>
          <w:vertAlign w:val="baseline"/>
        </w:rPr>
        <w:t xml:space="preserve"> </w:t>
      </w:r>
      <w:r w:rsidRPr="00E71B23">
        <w:rPr>
          <w:sz w:val="20"/>
          <w:szCs w:val="20"/>
          <w:vertAlign w:val="baseline"/>
        </w:rPr>
        <w:t xml:space="preserve">Julie Peters and Andrea Wolper (eds) </w:t>
      </w:r>
      <w:r w:rsidRPr="00E71B23">
        <w:rPr>
          <w:i/>
          <w:sz w:val="20"/>
          <w:szCs w:val="20"/>
          <w:vertAlign w:val="baseline"/>
        </w:rPr>
        <w:t xml:space="preserve">Women’s Rights, Human Rights: International Feminist Perspectives </w:t>
      </w:r>
      <w:r w:rsidRPr="00E71B23">
        <w:rPr>
          <w:sz w:val="20"/>
          <w:szCs w:val="20"/>
          <w:vertAlign w:val="baseline"/>
        </w:rPr>
        <w:t xml:space="preserve">(Routledge 1995); Katarina Tomasevski, </w:t>
      </w:r>
      <w:r w:rsidRPr="00E71B23">
        <w:rPr>
          <w:i/>
          <w:sz w:val="20"/>
          <w:szCs w:val="20"/>
          <w:vertAlign w:val="baseline"/>
        </w:rPr>
        <w:t xml:space="preserve">Women and Human Rights </w:t>
      </w:r>
      <w:r w:rsidRPr="00E71B23">
        <w:rPr>
          <w:sz w:val="20"/>
          <w:szCs w:val="20"/>
          <w:vertAlign w:val="baseline"/>
        </w:rPr>
        <w:t>(Zed 1993).</w:t>
      </w:r>
    </w:p>
  </w:footnote>
  <w:footnote w:id="9">
    <w:p w14:paraId="02DD173B" w14:textId="331D69BE" w:rsidR="00431A55" w:rsidRPr="00E71B23" w:rsidRDefault="00431A55" w:rsidP="006F4248">
      <w:pPr>
        <w:pStyle w:val="FootnoteText"/>
        <w:rPr>
          <w:sz w:val="20"/>
          <w:szCs w:val="20"/>
          <w:vertAlign w:val="baseline"/>
        </w:rPr>
      </w:pPr>
      <w:r w:rsidRPr="00E71B23">
        <w:rPr>
          <w:rStyle w:val="FootnoteReference"/>
          <w:sz w:val="20"/>
          <w:szCs w:val="20"/>
        </w:rPr>
        <w:footnoteRef/>
      </w:r>
      <w:r>
        <w:rPr>
          <w:sz w:val="20"/>
          <w:szCs w:val="20"/>
          <w:vertAlign w:val="baseline"/>
        </w:rPr>
        <w:t xml:space="preserve"> ibid</w:t>
      </w:r>
    </w:p>
  </w:footnote>
  <w:footnote w:id="10">
    <w:p w14:paraId="77F9617A" w14:textId="77777777" w:rsidR="00431A55" w:rsidRPr="00B31EB7" w:rsidRDefault="00431A55" w:rsidP="008C478C">
      <w:pPr>
        <w:pStyle w:val="FootnoteText"/>
        <w:rPr>
          <w:sz w:val="20"/>
          <w:szCs w:val="20"/>
          <w:vertAlign w:val="baseline"/>
          <w:lang w:val="en-US"/>
        </w:rPr>
      </w:pPr>
      <w:r w:rsidRPr="00B31EB7">
        <w:rPr>
          <w:rStyle w:val="FootnoteReference"/>
          <w:sz w:val="20"/>
          <w:szCs w:val="20"/>
        </w:rPr>
        <w:footnoteRef/>
      </w:r>
      <w:r w:rsidRPr="00B31EB7">
        <w:rPr>
          <w:sz w:val="20"/>
          <w:szCs w:val="20"/>
          <w:vertAlign w:val="baseline"/>
        </w:rPr>
        <w:t xml:space="preserve"> </w:t>
      </w:r>
      <w:r w:rsidRPr="00B31EB7">
        <w:rPr>
          <w:sz w:val="20"/>
          <w:szCs w:val="20"/>
          <w:vertAlign w:val="baseline"/>
          <w:lang w:val="en-US"/>
        </w:rPr>
        <w:t xml:space="preserve">Sally Engle Merry, ‘Legal Pluralism’ (1998) 22(5) </w:t>
      </w:r>
      <w:r>
        <w:rPr>
          <w:sz w:val="20"/>
          <w:szCs w:val="20"/>
          <w:vertAlign w:val="baseline"/>
          <w:lang w:val="en-US"/>
        </w:rPr>
        <w:t>L Soc Rev</w:t>
      </w:r>
      <w:r w:rsidRPr="00B31EB7">
        <w:rPr>
          <w:sz w:val="20"/>
          <w:szCs w:val="20"/>
          <w:vertAlign w:val="baseline"/>
          <w:lang w:val="en-US"/>
        </w:rPr>
        <w:t xml:space="preserve"> 870</w:t>
      </w:r>
    </w:p>
  </w:footnote>
  <w:footnote w:id="11">
    <w:p w14:paraId="351D7723" w14:textId="77777777" w:rsidR="00431A55" w:rsidRPr="00B31EB7" w:rsidRDefault="00431A55" w:rsidP="008C478C">
      <w:pPr>
        <w:pStyle w:val="FootnoteText"/>
        <w:rPr>
          <w:sz w:val="20"/>
          <w:szCs w:val="20"/>
          <w:vertAlign w:val="baseline"/>
          <w:lang w:val="en-US"/>
        </w:rPr>
      </w:pPr>
      <w:r w:rsidRPr="00B31EB7">
        <w:rPr>
          <w:rStyle w:val="FootnoteReference"/>
          <w:sz w:val="20"/>
          <w:szCs w:val="20"/>
        </w:rPr>
        <w:footnoteRef/>
      </w:r>
      <w:r w:rsidRPr="00B31EB7">
        <w:rPr>
          <w:sz w:val="20"/>
          <w:szCs w:val="20"/>
        </w:rPr>
        <w:t xml:space="preserve"> </w:t>
      </w:r>
      <w:r w:rsidRPr="00B31EB7">
        <w:rPr>
          <w:sz w:val="20"/>
          <w:szCs w:val="20"/>
          <w:vertAlign w:val="baseline"/>
          <w:lang w:val="en-US"/>
        </w:rPr>
        <w:t xml:space="preserve">Margaret Davies, ‘Legal Pluralism’ in Peter Cane and Herbert M. Kritzer (eds), </w:t>
      </w:r>
      <w:r w:rsidRPr="00B31EB7">
        <w:rPr>
          <w:i/>
          <w:sz w:val="20"/>
          <w:szCs w:val="20"/>
          <w:vertAlign w:val="baseline"/>
          <w:lang w:val="en-US"/>
        </w:rPr>
        <w:t>The Oxford Handbook of Empirical Legal Research</w:t>
      </w:r>
      <w:r w:rsidRPr="00B31EB7">
        <w:rPr>
          <w:sz w:val="20"/>
          <w:szCs w:val="20"/>
          <w:vertAlign w:val="baseline"/>
          <w:lang w:val="en-US"/>
        </w:rPr>
        <w:t xml:space="preserve"> (OUP 2010) 805</w:t>
      </w:r>
    </w:p>
  </w:footnote>
  <w:footnote w:id="12">
    <w:p w14:paraId="46705042" w14:textId="77777777" w:rsidR="00431A55" w:rsidRPr="00B31EB7" w:rsidRDefault="00431A55" w:rsidP="008C478C">
      <w:pPr>
        <w:pStyle w:val="FootnoteText"/>
        <w:rPr>
          <w:sz w:val="20"/>
          <w:szCs w:val="20"/>
          <w:vertAlign w:val="baseline"/>
          <w:lang w:val="en-US"/>
        </w:rPr>
      </w:pPr>
      <w:r w:rsidRPr="00B31EB7">
        <w:rPr>
          <w:rStyle w:val="FootnoteReference"/>
          <w:sz w:val="20"/>
          <w:szCs w:val="20"/>
        </w:rPr>
        <w:footnoteRef/>
      </w:r>
      <w:r w:rsidRPr="00B31EB7">
        <w:rPr>
          <w:sz w:val="20"/>
          <w:szCs w:val="20"/>
          <w:vertAlign w:val="baseline"/>
        </w:rPr>
        <w:t xml:space="preserve"> </w:t>
      </w:r>
      <w:r>
        <w:rPr>
          <w:sz w:val="20"/>
          <w:szCs w:val="20"/>
          <w:vertAlign w:val="baseline"/>
          <w:lang w:val="en-US"/>
        </w:rPr>
        <w:t>ibid</w:t>
      </w:r>
      <w:r w:rsidRPr="00B31EB7">
        <w:rPr>
          <w:sz w:val="20"/>
          <w:szCs w:val="20"/>
          <w:vertAlign w:val="baseline"/>
          <w:lang w:val="en-US"/>
        </w:rPr>
        <w:t xml:space="preserve"> 806</w:t>
      </w:r>
    </w:p>
  </w:footnote>
  <w:footnote w:id="13">
    <w:p w14:paraId="5DC3C5F2" w14:textId="77777777" w:rsidR="00431A55" w:rsidRPr="00D871AB" w:rsidRDefault="00431A55" w:rsidP="008C478C">
      <w:pPr>
        <w:pStyle w:val="FootnoteText"/>
        <w:rPr>
          <w:lang w:val="en-US"/>
        </w:rPr>
      </w:pPr>
      <w:r w:rsidRPr="00B31EB7">
        <w:rPr>
          <w:rStyle w:val="FootnoteReference"/>
          <w:sz w:val="20"/>
          <w:szCs w:val="20"/>
        </w:rPr>
        <w:footnoteRef/>
      </w:r>
      <w:r w:rsidRPr="00B31EB7">
        <w:rPr>
          <w:sz w:val="20"/>
          <w:szCs w:val="20"/>
        </w:rPr>
        <w:t xml:space="preserve"> </w:t>
      </w:r>
      <w:r w:rsidRPr="00B31EB7">
        <w:rPr>
          <w:sz w:val="20"/>
          <w:szCs w:val="20"/>
          <w:vertAlign w:val="baseline"/>
          <w:lang w:val="en-US"/>
        </w:rPr>
        <w:t xml:space="preserve">Rene Provost and Colleen Sheppard (eds), </w:t>
      </w:r>
      <w:r w:rsidRPr="00B31EB7">
        <w:rPr>
          <w:i/>
          <w:sz w:val="20"/>
          <w:szCs w:val="20"/>
          <w:vertAlign w:val="baseline"/>
          <w:lang w:val="en-US"/>
        </w:rPr>
        <w:t>Dialogues on Human Rights and Legal Pluralism</w:t>
      </w:r>
      <w:r w:rsidRPr="00B31EB7">
        <w:rPr>
          <w:sz w:val="20"/>
          <w:szCs w:val="20"/>
          <w:vertAlign w:val="baseline"/>
          <w:lang w:val="en-US"/>
        </w:rPr>
        <w:t xml:space="preserve"> (Springer, 2013) 2</w:t>
      </w:r>
    </w:p>
  </w:footnote>
  <w:footnote w:id="14">
    <w:p w14:paraId="3A8DCA2D" w14:textId="386CAB57" w:rsidR="00431A55" w:rsidRPr="008B571F" w:rsidRDefault="00431A55" w:rsidP="008C478C">
      <w:pPr>
        <w:pStyle w:val="FootnoteText"/>
        <w:rPr>
          <w:sz w:val="20"/>
          <w:szCs w:val="20"/>
          <w:vertAlign w:val="baseline"/>
          <w:lang w:val="en-US"/>
        </w:rPr>
      </w:pPr>
      <w:r w:rsidRPr="008B571F">
        <w:rPr>
          <w:rStyle w:val="FootnoteReference"/>
          <w:sz w:val="20"/>
          <w:szCs w:val="20"/>
        </w:rPr>
        <w:footnoteRef/>
      </w:r>
      <w:r w:rsidRPr="008B571F">
        <w:rPr>
          <w:sz w:val="20"/>
          <w:szCs w:val="20"/>
          <w:vertAlign w:val="baseline"/>
        </w:rPr>
        <w:t xml:space="preserve"> </w:t>
      </w:r>
      <w:r w:rsidRPr="008B571F">
        <w:rPr>
          <w:sz w:val="20"/>
          <w:szCs w:val="20"/>
          <w:vertAlign w:val="baseline"/>
          <w:lang w:val="en-US"/>
        </w:rPr>
        <w:t>Davies</w:t>
      </w:r>
      <w:r>
        <w:rPr>
          <w:sz w:val="20"/>
          <w:szCs w:val="20"/>
          <w:vertAlign w:val="baseline"/>
          <w:lang w:val="en-US"/>
        </w:rPr>
        <w:t xml:space="preserve"> (n 11) </w:t>
      </w:r>
      <w:r w:rsidRPr="008B571F">
        <w:rPr>
          <w:sz w:val="20"/>
          <w:szCs w:val="20"/>
          <w:vertAlign w:val="baseline"/>
          <w:lang w:val="en-US"/>
        </w:rPr>
        <w:t>806</w:t>
      </w:r>
    </w:p>
  </w:footnote>
  <w:footnote w:id="15">
    <w:p w14:paraId="6C920473" w14:textId="77777777" w:rsidR="00431A55" w:rsidRPr="008B571F" w:rsidRDefault="00431A55" w:rsidP="008C478C">
      <w:pPr>
        <w:pStyle w:val="FootnoteText"/>
        <w:rPr>
          <w:sz w:val="20"/>
          <w:szCs w:val="20"/>
          <w:vertAlign w:val="baseline"/>
          <w:lang w:val="en-US"/>
        </w:rPr>
      </w:pPr>
      <w:r w:rsidRPr="008B571F">
        <w:rPr>
          <w:rStyle w:val="FootnoteReference"/>
          <w:sz w:val="20"/>
          <w:szCs w:val="20"/>
        </w:rPr>
        <w:footnoteRef/>
      </w:r>
      <w:r w:rsidRPr="008B571F">
        <w:rPr>
          <w:sz w:val="20"/>
          <w:szCs w:val="20"/>
          <w:vertAlign w:val="baseline"/>
        </w:rPr>
        <w:t xml:space="preserve"> James T. Richardson, ‘The Social Construction of Legal Pluralism’ (2011) 7(4) Democracy and Security </w:t>
      </w:r>
      <w:r w:rsidRPr="008B571F">
        <w:rPr>
          <w:sz w:val="20"/>
          <w:szCs w:val="20"/>
          <w:vertAlign w:val="baseline"/>
          <w:lang w:val="en-US"/>
        </w:rPr>
        <w:t>396</w:t>
      </w:r>
    </w:p>
  </w:footnote>
  <w:footnote w:id="16">
    <w:p w14:paraId="38C1A364" w14:textId="66A7BE1E" w:rsidR="00431A55" w:rsidRPr="008B571F" w:rsidRDefault="00431A55" w:rsidP="008C478C">
      <w:pPr>
        <w:pStyle w:val="FootnoteText"/>
        <w:rPr>
          <w:sz w:val="20"/>
          <w:szCs w:val="20"/>
          <w:vertAlign w:val="baseline"/>
          <w:lang w:val="en-US"/>
        </w:rPr>
      </w:pPr>
      <w:r w:rsidRPr="008B571F">
        <w:rPr>
          <w:rStyle w:val="FootnoteReference"/>
          <w:sz w:val="20"/>
          <w:szCs w:val="20"/>
        </w:rPr>
        <w:footnoteRef/>
      </w:r>
      <w:r w:rsidRPr="008B571F">
        <w:rPr>
          <w:sz w:val="20"/>
          <w:szCs w:val="20"/>
        </w:rPr>
        <w:t xml:space="preserve"> </w:t>
      </w:r>
      <w:r>
        <w:rPr>
          <w:sz w:val="20"/>
          <w:szCs w:val="20"/>
          <w:vertAlign w:val="baseline"/>
          <w:lang w:val="en-US"/>
        </w:rPr>
        <w:t xml:space="preserve">Merry </w:t>
      </w:r>
      <w:r w:rsidRPr="008B571F">
        <w:rPr>
          <w:sz w:val="20"/>
          <w:szCs w:val="20"/>
          <w:vertAlign w:val="baseline"/>
          <w:lang w:val="en-US"/>
        </w:rPr>
        <w:t>(</w:t>
      </w:r>
      <w:r>
        <w:rPr>
          <w:sz w:val="20"/>
          <w:szCs w:val="20"/>
          <w:vertAlign w:val="baseline"/>
          <w:lang w:val="en-US"/>
        </w:rPr>
        <w:t>n 10)</w:t>
      </w:r>
      <w:r w:rsidRPr="008B571F">
        <w:rPr>
          <w:sz w:val="20"/>
          <w:szCs w:val="20"/>
          <w:vertAlign w:val="baseline"/>
          <w:lang w:val="en-US"/>
        </w:rPr>
        <w:t>; Brian Tamanaha, ‘Understanding Legal Pluralism: Past, to Present, Local to Global’ (2</w:t>
      </w:r>
      <w:r>
        <w:rPr>
          <w:sz w:val="20"/>
          <w:szCs w:val="20"/>
          <w:vertAlign w:val="baseline"/>
          <w:lang w:val="en-US"/>
        </w:rPr>
        <w:t>009) 30 University of Sydney L Rev</w:t>
      </w:r>
      <w:r w:rsidRPr="008B571F">
        <w:rPr>
          <w:sz w:val="20"/>
          <w:szCs w:val="20"/>
          <w:vertAlign w:val="baseline"/>
          <w:lang w:val="en-US"/>
        </w:rPr>
        <w:t xml:space="preserve"> 375-411; Paul S. Berman, ‘Global Legal Pluralism’ (2007) 80 Unive</w:t>
      </w:r>
      <w:r>
        <w:rPr>
          <w:sz w:val="20"/>
          <w:szCs w:val="20"/>
          <w:vertAlign w:val="baseline"/>
          <w:lang w:val="en-US"/>
        </w:rPr>
        <w:t>rsity of Southern California L Rev</w:t>
      </w:r>
      <w:r w:rsidRPr="008B571F">
        <w:rPr>
          <w:sz w:val="20"/>
          <w:szCs w:val="20"/>
          <w:vertAlign w:val="baseline"/>
          <w:lang w:val="en-US"/>
        </w:rPr>
        <w:t xml:space="preserve"> 1155-1238; John Griffiths, ‘What is Legal Pluralism’ (1986) 24 Journal of Legal Pluralism 1-55</w:t>
      </w:r>
      <w:r>
        <w:rPr>
          <w:sz w:val="20"/>
          <w:szCs w:val="20"/>
          <w:vertAlign w:val="baseline"/>
          <w:lang w:val="en-US"/>
        </w:rPr>
        <w:t xml:space="preserve">; Celestine Nyamu Musembi, ‘Pulling apart? Treatment of pluralism in the CEDAW and the Maputo Protocol’ </w:t>
      </w:r>
      <w:r>
        <w:rPr>
          <w:sz w:val="20"/>
          <w:szCs w:val="20"/>
          <w:vertAlign w:val="baseline"/>
        </w:rPr>
        <w:t xml:space="preserve">in Anne Hellum and Henriette Sinding Aasen, </w:t>
      </w:r>
      <w:r>
        <w:rPr>
          <w:i/>
          <w:sz w:val="20"/>
          <w:szCs w:val="20"/>
          <w:vertAlign w:val="baseline"/>
        </w:rPr>
        <w:t>Women’s Human Rights: CEDAW in International, Regional and National Law</w:t>
      </w:r>
      <w:r>
        <w:rPr>
          <w:sz w:val="20"/>
          <w:szCs w:val="20"/>
          <w:vertAlign w:val="baseline"/>
        </w:rPr>
        <w:t xml:space="preserve"> (CUP 2013) 183-213</w:t>
      </w:r>
    </w:p>
  </w:footnote>
  <w:footnote w:id="17">
    <w:p w14:paraId="38A26E71" w14:textId="30C28C10" w:rsidR="00431A55" w:rsidRPr="00D85E0A" w:rsidRDefault="00431A55">
      <w:pPr>
        <w:pStyle w:val="FootnoteText"/>
        <w:rPr>
          <w:sz w:val="20"/>
          <w:szCs w:val="20"/>
          <w:vertAlign w:val="baseline"/>
          <w:lang w:val="en-US"/>
        </w:rPr>
      </w:pPr>
      <w:r w:rsidRPr="00D85E0A">
        <w:rPr>
          <w:rStyle w:val="FootnoteReference"/>
          <w:sz w:val="20"/>
          <w:szCs w:val="20"/>
        </w:rPr>
        <w:footnoteRef/>
      </w:r>
      <w:r w:rsidRPr="00D85E0A">
        <w:rPr>
          <w:sz w:val="20"/>
          <w:szCs w:val="20"/>
        </w:rPr>
        <w:t xml:space="preserve"> </w:t>
      </w:r>
      <w:r>
        <w:rPr>
          <w:sz w:val="20"/>
          <w:szCs w:val="20"/>
        </w:rPr>
        <w:t xml:space="preserve"> </w:t>
      </w:r>
      <w:r>
        <w:rPr>
          <w:sz w:val="20"/>
          <w:szCs w:val="20"/>
          <w:vertAlign w:val="baseline"/>
        </w:rPr>
        <w:t>Section 6.3</w:t>
      </w:r>
    </w:p>
  </w:footnote>
  <w:footnote w:id="18">
    <w:p w14:paraId="77A617A7" w14:textId="117BE377" w:rsidR="00431A55" w:rsidRPr="008B571F" w:rsidRDefault="00431A55" w:rsidP="008C478C">
      <w:pPr>
        <w:pStyle w:val="FootnoteText"/>
        <w:rPr>
          <w:sz w:val="20"/>
          <w:szCs w:val="20"/>
          <w:vertAlign w:val="baseline"/>
          <w:lang w:val="en-US"/>
        </w:rPr>
      </w:pPr>
      <w:r w:rsidRPr="008B571F">
        <w:rPr>
          <w:rStyle w:val="FootnoteReference"/>
          <w:sz w:val="20"/>
          <w:szCs w:val="20"/>
        </w:rPr>
        <w:footnoteRef/>
      </w:r>
      <w:r w:rsidRPr="008B571F">
        <w:rPr>
          <w:sz w:val="20"/>
          <w:szCs w:val="20"/>
        </w:rPr>
        <w:t xml:space="preserve"> </w:t>
      </w:r>
      <w:r>
        <w:rPr>
          <w:sz w:val="20"/>
          <w:szCs w:val="20"/>
          <w:vertAlign w:val="baseline"/>
        </w:rPr>
        <w:t xml:space="preserve">Richardson (n 15) </w:t>
      </w:r>
      <w:r w:rsidRPr="008B571F">
        <w:rPr>
          <w:sz w:val="20"/>
          <w:szCs w:val="20"/>
          <w:vertAlign w:val="baseline"/>
          <w:lang w:val="en-US"/>
        </w:rPr>
        <w:t>398</w:t>
      </w:r>
    </w:p>
  </w:footnote>
  <w:footnote w:id="19">
    <w:p w14:paraId="76D0F305" w14:textId="77777777" w:rsidR="00431A55" w:rsidRPr="00E71B23" w:rsidRDefault="00431A55" w:rsidP="006F4248">
      <w:pPr>
        <w:pStyle w:val="FootnoteText"/>
        <w:rPr>
          <w:sz w:val="20"/>
          <w:szCs w:val="20"/>
          <w:vertAlign w:val="baseline"/>
          <w:lang w:val="en-US"/>
        </w:rPr>
      </w:pPr>
      <w:r w:rsidRPr="00E71B23">
        <w:rPr>
          <w:rStyle w:val="FootnoteReference"/>
          <w:sz w:val="20"/>
          <w:szCs w:val="20"/>
        </w:rPr>
        <w:footnoteRef/>
      </w:r>
      <w:r w:rsidRPr="00E71B23">
        <w:rPr>
          <w:sz w:val="20"/>
          <w:szCs w:val="20"/>
        </w:rPr>
        <w:t xml:space="preserve"> </w:t>
      </w:r>
      <w:r w:rsidRPr="00E71B23">
        <w:rPr>
          <w:sz w:val="20"/>
          <w:szCs w:val="20"/>
          <w:vertAlign w:val="baseline"/>
        </w:rPr>
        <w:t xml:space="preserve">Catherine A MacKinnon, </w:t>
      </w:r>
      <w:r w:rsidRPr="00E71B23">
        <w:rPr>
          <w:i/>
          <w:sz w:val="20"/>
          <w:szCs w:val="20"/>
          <w:vertAlign w:val="baseline"/>
        </w:rPr>
        <w:t xml:space="preserve">Feminism Unmodified: Discourses on Life and Law </w:t>
      </w:r>
      <w:r w:rsidRPr="00E71B23">
        <w:rPr>
          <w:sz w:val="20"/>
          <w:szCs w:val="20"/>
          <w:vertAlign w:val="baseline"/>
        </w:rPr>
        <w:t xml:space="preserve">(CUP 1987); Catharine A MacKinnon, ‘Making Sex Equality Real’, in Catherine A Mackinnon, </w:t>
      </w:r>
      <w:r w:rsidRPr="00E71B23">
        <w:rPr>
          <w:i/>
          <w:sz w:val="20"/>
          <w:szCs w:val="20"/>
          <w:vertAlign w:val="baseline"/>
        </w:rPr>
        <w:t xml:space="preserve">Are Women Human? And Other International Dialogues </w:t>
      </w:r>
      <w:r w:rsidRPr="00E71B23">
        <w:rPr>
          <w:sz w:val="20"/>
          <w:szCs w:val="20"/>
          <w:vertAlign w:val="baseline"/>
        </w:rPr>
        <w:t xml:space="preserve">(CUP 2006); Catharine A MacKinnon, </w:t>
      </w:r>
      <w:r w:rsidRPr="00E71B23">
        <w:rPr>
          <w:i/>
          <w:sz w:val="20"/>
          <w:szCs w:val="20"/>
          <w:vertAlign w:val="baseline"/>
        </w:rPr>
        <w:t xml:space="preserve">Toward a Feminist Theory of the State </w:t>
      </w:r>
      <w:r w:rsidRPr="00E71B23">
        <w:rPr>
          <w:sz w:val="20"/>
          <w:szCs w:val="20"/>
          <w:vertAlign w:val="baseline"/>
        </w:rPr>
        <w:t>(Harvard UP 1989).</w:t>
      </w:r>
    </w:p>
  </w:footnote>
  <w:footnote w:id="20">
    <w:p w14:paraId="4907F6B0" w14:textId="77777777" w:rsidR="00431A55" w:rsidRPr="00E71B23" w:rsidRDefault="00431A55" w:rsidP="006F4248">
      <w:pPr>
        <w:pStyle w:val="FootnoteText"/>
        <w:rPr>
          <w:sz w:val="20"/>
          <w:szCs w:val="20"/>
          <w:vertAlign w:val="baseline"/>
          <w:lang w:val="en-US"/>
        </w:rPr>
      </w:pPr>
      <w:r w:rsidRPr="00E71B23">
        <w:rPr>
          <w:rStyle w:val="FootnoteReference"/>
          <w:sz w:val="20"/>
          <w:szCs w:val="20"/>
        </w:rPr>
        <w:footnoteRef/>
      </w:r>
      <w:r w:rsidRPr="00E71B23">
        <w:rPr>
          <w:sz w:val="20"/>
          <w:szCs w:val="20"/>
          <w:vertAlign w:val="baseline"/>
        </w:rPr>
        <w:t xml:space="preserve"> Hilary Charlesworth, Christine Chinkin, and Shelley Wright, ‘Feminist Approaches to International Law’, (1991) 85 Am J Int Law 613; Hilary Charlesworth, ‘What are ‘Women’s International Human Rights’”, in Rebecca Cook (ed) </w:t>
      </w:r>
      <w:r w:rsidRPr="00E71B23">
        <w:rPr>
          <w:i/>
          <w:sz w:val="20"/>
          <w:szCs w:val="20"/>
          <w:vertAlign w:val="baseline"/>
        </w:rPr>
        <w:t xml:space="preserve">Human Rights Women: National and International Perspectives </w:t>
      </w:r>
      <w:r w:rsidRPr="00E71B23">
        <w:rPr>
          <w:sz w:val="20"/>
          <w:szCs w:val="20"/>
          <w:vertAlign w:val="baseline"/>
        </w:rPr>
        <w:t>(University of Pennsylvania 1994).</w:t>
      </w:r>
    </w:p>
  </w:footnote>
  <w:footnote w:id="21">
    <w:p w14:paraId="518F8FAF" w14:textId="642C928F" w:rsidR="00431A55" w:rsidRPr="00573964" w:rsidRDefault="00431A55" w:rsidP="006F4248">
      <w:pPr>
        <w:pStyle w:val="FootnoteText"/>
        <w:rPr>
          <w:lang w:val="en-US"/>
        </w:rPr>
      </w:pPr>
      <w:r w:rsidRPr="00E71B23">
        <w:rPr>
          <w:rStyle w:val="FootnoteReference"/>
          <w:sz w:val="20"/>
          <w:szCs w:val="20"/>
        </w:rPr>
        <w:footnoteRef/>
      </w:r>
      <w:r w:rsidRPr="00E71B23">
        <w:rPr>
          <w:sz w:val="20"/>
          <w:szCs w:val="20"/>
        </w:rPr>
        <w:t xml:space="preserve"> </w:t>
      </w:r>
      <w:r>
        <w:rPr>
          <w:sz w:val="20"/>
          <w:szCs w:val="20"/>
          <w:vertAlign w:val="baseline"/>
        </w:rPr>
        <w:t>Charlesworth, Chinkin and Wright (n 20)</w:t>
      </w:r>
    </w:p>
  </w:footnote>
  <w:footnote w:id="22">
    <w:p w14:paraId="0B880CEF" w14:textId="1CFF6E57" w:rsidR="00431A55" w:rsidRPr="00A7473D" w:rsidRDefault="00431A55" w:rsidP="006F4248">
      <w:pPr>
        <w:pStyle w:val="FootnoteText"/>
        <w:rPr>
          <w:sz w:val="20"/>
          <w:szCs w:val="20"/>
          <w:vertAlign w:val="baseline"/>
          <w:lang w:val="en-US"/>
        </w:rPr>
      </w:pPr>
      <w:r w:rsidRPr="00A7473D">
        <w:rPr>
          <w:rStyle w:val="FootnoteReference"/>
          <w:sz w:val="20"/>
          <w:szCs w:val="20"/>
        </w:rPr>
        <w:footnoteRef/>
      </w:r>
      <w:r>
        <w:rPr>
          <w:sz w:val="20"/>
          <w:szCs w:val="20"/>
          <w:vertAlign w:val="baseline"/>
          <w:lang w:val="en-US"/>
        </w:rPr>
        <w:t xml:space="preserve"> </w:t>
      </w:r>
      <w:r w:rsidRPr="00A7473D">
        <w:rPr>
          <w:sz w:val="20"/>
          <w:szCs w:val="20"/>
          <w:vertAlign w:val="baseline"/>
          <w:lang w:val="en-US"/>
        </w:rPr>
        <w:t xml:space="preserve">Mackinnon, </w:t>
      </w:r>
      <w:r w:rsidRPr="00A7473D">
        <w:rPr>
          <w:i/>
          <w:sz w:val="20"/>
          <w:szCs w:val="20"/>
          <w:vertAlign w:val="baseline"/>
          <w:lang w:val="en-US"/>
        </w:rPr>
        <w:t>Towards a Feminist Theory of the State</w:t>
      </w:r>
      <w:r w:rsidRPr="00A7473D">
        <w:rPr>
          <w:sz w:val="20"/>
          <w:szCs w:val="20"/>
          <w:vertAlign w:val="baseline"/>
          <w:lang w:val="en-US"/>
        </w:rPr>
        <w:t xml:space="preserve"> </w:t>
      </w:r>
      <w:r>
        <w:rPr>
          <w:sz w:val="20"/>
          <w:szCs w:val="20"/>
          <w:vertAlign w:val="baseline"/>
          <w:lang w:val="en-US"/>
        </w:rPr>
        <w:t xml:space="preserve">(n 19) </w:t>
      </w:r>
      <w:r w:rsidRPr="00A7473D">
        <w:rPr>
          <w:sz w:val="20"/>
          <w:szCs w:val="20"/>
          <w:vertAlign w:val="baseline"/>
          <w:lang w:val="en-US"/>
        </w:rPr>
        <w:t>163</w:t>
      </w:r>
    </w:p>
  </w:footnote>
  <w:footnote w:id="23">
    <w:p w14:paraId="7D64F6ED" w14:textId="73A6F88B" w:rsidR="00431A55" w:rsidRPr="00A7473D" w:rsidRDefault="00431A55" w:rsidP="006F4248">
      <w:pPr>
        <w:pStyle w:val="FootnoteText"/>
        <w:rPr>
          <w:sz w:val="20"/>
          <w:szCs w:val="20"/>
          <w:vertAlign w:val="baseline"/>
          <w:lang w:val="en-US"/>
        </w:rPr>
      </w:pPr>
      <w:r w:rsidRPr="00A7473D">
        <w:rPr>
          <w:rStyle w:val="FootnoteReference"/>
          <w:sz w:val="20"/>
          <w:szCs w:val="20"/>
        </w:rPr>
        <w:footnoteRef/>
      </w:r>
      <w:r w:rsidRPr="00A7473D">
        <w:rPr>
          <w:sz w:val="20"/>
          <w:szCs w:val="20"/>
        </w:rPr>
        <w:t xml:space="preserve"> </w:t>
      </w:r>
      <w:r>
        <w:rPr>
          <w:sz w:val="20"/>
          <w:szCs w:val="20"/>
          <w:vertAlign w:val="baseline"/>
          <w:lang w:val="en-US"/>
        </w:rPr>
        <w:t>ibid</w:t>
      </w:r>
    </w:p>
  </w:footnote>
  <w:footnote w:id="24">
    <w:p w14:paraId="2561D497" w14:textId="724EE232" w:rsidR="00431A55" w:rsidRPr="00A7473D" w:rsidRDefault="00431A55" w:rsidP="006938AD">
      <w:pPr>
        <w:pStyle w:val="FootnoteText"/>
        <w:rPr>
          <w:sz w:val="20"/>
          <w:szCs w:val="20"/>
          <w:vertAlign w:val="baseline"/>
          <w:lang w:val="en-US"/>
        </w:rPr>
      </w:pPr>
      <w:r w:rsidRPr="00A7473D">
        <w:rPr>
          <w:rStyle w:val="FootnoteReference"/>
          <w:sz w:val="20"/>
          <w:szCs w:val="20"/>
        </w:rPr>
        <w:footnoteRef/>
      </w:r>
      <w:r w:rsidRPr="00A7473D">
        <w:rPr>
          <w:sz w:val="20"/>
          <w:szCs w:val="20"/>
          <w:vertAlign w:val="baseline"/>
        </w:rPr>
        <w:t xml:space="preserve"> Karen Knop, ‘Of the Male Persuasion: The Power of Liberal Internationalism for Women’, (1999) Proceeding</w:t>
      </w:r>
      <w:r>
        <w:rPr>
          <w:sz w:val="20"/>
          <w:szCs w:val="20"/>
          <w:vertAlign w:val="baseline"/>
        </w:rPr>
        <w:t xml:space="preserve">s Am Soc Int Law 177; </w:t>
      </w:r>
      <w:r w:rsidRPr="00A7473D">
        <w:rPr>
          <w:sz w:val="20"/>
          <w:szCs w:val="20"/>
          <w:vertAlign w:val="baseline"/>
        </w:rPr>
        <w:t>Bunch</w:t>
      </w:r>
      <w:r>
        <w:rPr>
          <w:sz w:val="20"/>
          <w:szCs w:val="20"/>
          <w:vertAlign w:val="baseline"/>
        </w:rPr>
        <w:t xml:space="preserve"> (n 8); Charlesworth, Chinkin and Wright (n 20); See Fleur Van Leeuwen, ‘Women’s rights are human rights!’: the practice of the United Nations Human Rights Committee and the Committee on Economic, Social and Cultural Rights,’ in Anne Hellum and Henriette Sinding Aasen, </w:t>
      </w:r>
      <w:r>
        <w:rPr>
          <w:i/>
          <w:sz w:val="20"/>
          <w:szCs w:val="20"/>
          <w:vertAlign w:val="baseline"/>
        </w:rPr>
        <w:t>Women’s Human Rights: CEDAW in International, Regional and National Law</w:t>
      </w:r>
      <w:r>
        <w:rPr>
          <w:sz w:val="20"/>
          <w:szCs w:val="20"/>
          <w:vertAlign w:val="baseline"/>
        </w:rPr>
        <w:t xml:space="preserve"> (CUP 2013) 242-267</w:t>
      </w:r>
    </w:p>
  </w:footnote>
  <w:footnote w:id="25">
    <w:p w14:paraId="35256D50" w14:textId="77777777" w:rsidR="00431A55" w:rsidRPr="00A7473D" w:rsidRDefault="00431A55" w:rsidP="006F4248">
      <w:pPr>
        <w:pStyle w:val="FootnoteText"/>
        <w:rPr>
          <w:sz w:val="20"/>
          <w:szCs w:val="20"/>
          <w:vertAlign w:val="baseline"/>
          <w:lang w:val="en-US"/>
        </w:rPr>
      </w:pPr>
      <w:r w:rsidRPr="00A7473D">
        <w:rPr>
          <w:rStyle w:val="FootnoteReference"/>
          <w:sz w:val="20"/>
          <w:szCs w:val="20"/>
        </w:rPr>
        <w:footnoteRef/>
      </w:r>
      <w:r w:rsidRPr="00A7473D">
        <w:rPr>
          <w:sz w:val="20"/>
          <w:szCs w:val="20"/>
        </w:rPr>
        <w:t xml:space="preserve"> </w:t>
      </w:r>
      <w:r w:rsidRPr="00A7473D">
        <w:rPr>
          <w:sz w:val="20"/>
          <w:szCs w:val="20"/>
          <w:vertAlign w:val="baseline"/>
        </w:rPr>
        <w:t xml:space="preserve">Karen Engle, ‘International Human Rights and Feminisms: When Discourses Keep Meeting’, in Doris Buss and Andreena Manji, </w:t>
      </w:r>
      <w:r w:rsidRPr="00A7473D">
        <w:rPr>
          <w:i/>
          <w:sz w:val="20"/>
          <w:szCs w:val="20"/>
          <w:vertAlign w:val="baseline"/>
        </w:rPr>
        <w:t>International Law: Modern Feminist Approaches</w:t>
      </w:r>
      <w:r w:rsidRPr="00A7473D">
        <w:rPr>
          <w:sz w:val="20"/>
          <w:szCs w:val="20"/>
          <w:vertAlign w:val="baseline"/>
        </w:rPr>
        <w:t xml:space="preserve"> (Hart Publishing 2005) 47.</w:t>
      </w:r>
    </w:p>
  </w:footnote>
  <w:footnote w:id="26">
    <w:p w14:paraId="77DF6256" w14:textId="06425FB4" w:rsidR="00431A55" w:rsidRPr="00A7473D" w:rsidRDefault="00431A55" w:rsidP="006F4248">
      <w:pPr>
        <w:pStyle w:val="FootnoteText"/>
        <w:rPr>
          <w:sz w:val="20"/>
          <w:szCs w:val="20"/>
          <w:vertAlign w:val="baseline"/>
          <w:lang w:val="en-US"/>
        </w:rPr>
      </w:pPr>
      <w:r w:rsidRPr="00A7473D">
        <w:rPr>
          <w:rStyle w:val="FootnoteReference"/>
          <w:sz w:val="20"/>
          <w:szCs w:val="20"/>
        </w:rPr>
        <w:footnoteRef/>
      </w:r>
      <w:r w:rsidRPr="00A7473D">
        <w:rPr>
          <w:sz w:val="20"/>
          <w:szCs w:val="20"/>
        </w:rPr>
        <w:t xml:space="preserve"> </w:t>
      </w:r>
      <w:r w:rsidRPr="00A7473D">
        <w:rPr>
          <w:sz w:val="20"/>
          <w:szCs w:val="20"/>
          <w:vertAlign w:val="baseline"/>
        </w:rPr>
        <w:t xml:space="preserve">Rebecca J Cook (ed) </w:t>
      </w:r>
      <w:r w:rsidRPr="00A7473D">
        <w:rPr>
          <w:i/>
          <w:sz w:val="20"/>
          <w:szCs w:val="20"/>
          <w:vertAlign w:val="baseline"/>
        </w:rPr>
        <w:t xml:space="preserve">Human Rights </w:t>
      </w:r>
      <w:r>
        <w:rPr>
          <w:i/>
          <w:sz w:val="20"/>
          <w:szCs w:val="20"/>
          <w:vertAlign w:val="baseline"/>
        </w:rPr>
        <w:t xml:space="preserve">of </w:t>
      </w:r>
      <w:r w:rsidRPr="00A7473D">
        <w:rPr>
          <w:i/>
          <w:sz w:val="20"/>
          <w:szCs w:val="20"/>
          <w:vertAlign w:val="baseline"/>
        </w:rPr>
        <w:t xml:space="preserve">Women: National and International Perspectives </w:t>
      </w:r>
      <w:r w:rsidRPr="00A7473D">
        <w:rPr>
          <w:sz w:val="20"/>
          <w:szCs w:val="20"/>
          <w:vertAlign w:val="baseline"/>
        </w:rPr>
        <w:t>(Univ</w:t>
      </w:r>
      <w:r>
        <w:rPr>
          <w:sz w:val="20"/>
          <w:szCs w:val="20"/>
          <w:vertAlign w:val="baseline"/>
        </w:rPr>
        <w:t>ersity of Pennsylvania 1994) 10</w:t>
      </w:r>
    </w:p>
  </w:footnote>
  <w:footnote w:id="27">
    <w:p w14:paraId="01940B86" w14:textId="304B0849" w:rsidR="00431A55" w:rsidRPr="00E743AD" w:rsidRDefault="00431A55">
      <w:pPr>
        <w:pStyle w:val="FootnoteText"/>
        <w:rPr>
          <w:sz w:val="20"/>
          <w:szCs w:val="20"/>
          <w:vertAlign w:val="baseline"/>
          <w:lang w:val="en-US"/>
        </w:rPr>
      </w:pPr>
      <w:r w:rsidRPr="00E743AD">
        <w:rPr>
          <w:rStyle w:val="FootnoteReference"/>
          <w:sz w:val="20"/>
          <w:szCs w:val="20"/>
        </w:rPr>
        <w:footnoteRef/>
      </w:r>
      <w:r w:rsidRPr="00E743AD">
        <w:rPr>
          <w:sz w:val="20"/>
          <w:szCs w:val="20"/>
        </w:rPr>
        <w:t xml:space="preserve"> </w:t>
      </w:r>
      <w:r>
        <w:rPr>
          <w:sz w:val="20"/>
          <w:szCs w:val="20"/>
          <w:vertAlign w:val="baseline"/>
        </w:rPr>
        <w:t xml:space="preserve">For a more detailed discussion on gender and CEDAW see Simone Cusack, ‘The CEDAW as a legal framework for transnational discourses on gender stereotyping’ in Anne Hellum and Henriette Sinding Aasen, </w:t>
      </w:r>
      <w:r>
        <w:rPr>
          <w:i/>
          <w:sz w:val="20"/>
          <w:szCs w:val="20"/>
          <w:vertAlign w:val="baseline"/>
        </w:rPr>
        <w:t>Women’s Human Rights: CEDAW in International, Regional and National Law</w:t>
      </w:r>
      <w:r>
        <w:rPr>
          <w:sz w:val="20"/>
          <w:szCs w:val="20"/>
          <w:vertAlign w:val="baseline"/>
        </w:rPr>
        <w:t xml:space="preserve"> (CUP 2013) 124 – 157 and Sandra Fredman, ‘Engendering socio-economic rights’ in in Anne Hellum and Henriette Sinding Aasen, </w:t>
      </w:r>
      <w:r>
        <w:rPr>
          <w:i/>
          <w:sz w:val="20"/>
          <w:szCs w:val="20"/>
          <w:vertAlign w:val="baseline"/>
        </w:rPr>
        <w:t>Women’s Human Rights: CEDAW in International, Regional and National Law</w:t>
      </w:r>
      <w:r>
        <w:rPr>
          <w:sz w:val="20"/>
          <w:szCs w:val="20"/>
          <w:vertAlign w:val="baseline"/>
        </w:rPr>
        <w:t xml:space="preserve"> (CUP 2013) 217-241</w:t>
      </w:r>
    </w:p>
  </w:footnote>
  <w:footnote w:id="28">
    <w:p w14:paraId="4FCC79FF" w14:textId="3B5E3EED" w:rsidR="00431A55" w:rsidRPr="00573964" w:rsidRDefault="00431A55" w:rsidP="006F4248">
      <w:pPr>
        <w:pStyle w:val="FootnoteText"/>
        <w:rPr>
          <w:lang w:val="en-US"/>
        </w:rPr>
      </w:pPr>
      <w:r w:rsidRPr="00A7473D">
        <w:rPr>
          <w:rStyle w:val="FootnoteReference"/>
          <w:sz w:val="20"/>
          <w:szCs w:val="20"/>
        </w:rPr>
        <w:footnoteRef/>
      </w:r>
      <w:r w:rsidRPr="00A7473D">
        <w:rPr>
          <w:sz w:val="20"/>
          <w:szCs w:val="20"/>
          <w:vertAlign w:val="baseline"/>
        </w:rPr>
        <w:t xml:space="preserve"> Susan L. McCammon, David Knox and Caroline Schacht, Choices in Sexuality (3rd edn, A</w:t>
      </w:r>
      <w:r>
        <w:rPr>
          <w:sz w:val="20"/>
          <w:szCs w:val="20"/>
          <w:vertAlign w:val="baseline"/>
        </w:rPr>
        <w:t xml:space="preserve">tomic Dog Publishing 2007) </w:t>
      </w:r>
      <w:r w:rsidRPr="00A7473D">
        <w:rPr>
          <w:sz w:val="20"/>
          <w:szCs w:val="20"/>
          <w:vertAlign w:val="baseline"/>
        </w:rPr>
        <w:t>112</w:t>
      </w:r>
    </w:p>
  </w:footnote>
  <w:footnote w:id="29">
    <w:p w14:paraId="7271161B" w14:textId="676B2602" w:rsidR="00431A55" w:rsidRPr="00D25277" w:rsidRDefault="00431A55" w:rsidP="006F4248">
      <w:pPr>
        <w:pStyle w:val="FootnoteText"/>
        <w:rPr>
          <w:sz w:val="20"/>
          <w:szCs w:val="20"/>
          <w:vertAlign w:val="baseline"/>
          <w:lang w:val="en-US"/>
        </w:rPr>
      </w:pPr>
      <w:r w:rsidRPr="00D25277">
        <w:rPr>
          <w:rStyle w:val="FootnoteReference"/>
          <w:sz w:val="20"/>
          <w:szCs w:val="20"/>
        </w:rPr>
        <w:footnoteRef/>
      </w:r>
      <w:r w:rsidRPr="00D25277">
        <w:rPr>
          <w:sz w:val="20"/>
          <w:szCs w:val="20"/>
        </w:rPr>
        <w:t xml:space="preserve"> </w:t>
      </w:r>
      <w:r w:rsidRPr="00D25277">
        <w:rPr>
          <w:sz w:val="20"/>
          <w:szCs w:val="20"/>
          <w:vertAlign w:val="baseline"/>
        </w:rPr>
        <w:t xml:space="preserve">Charles Zastrow and Karen K Kirst-Ashman, </w:t>
      </w:r>
      <w:r w:rsidRPr="00D25277">
        <w:rPr>
          <w:i/>
          <w:sz w:val="20"/>
          <w:szCs w:val="20"/>
          <w:vertAlign w:val="baseline"/>
        </w:rPr>
        <w:t xml:space="preserve">Understanding Human Behaviour and the Social </w:t>
      </w:r>
      <w:r w:rsidRPr="00D25277">
        <w:rPr>
          <w:sz w:val="20"/>
          <w:szCs w:val="20"/>
          <w:vertAlign w:val="baseline"/>
        </w:rPr>
        <w:t>Environm</w:t>
      </w:r>
      <w:r>
        <w:rPr>
          <w:sz w:val="20"/>
          <w:szCs w:val="20"/>
          <w:vertAlign w:val="baseline"/>
        </w:rPr>
        <w:t>ent (Cengage Learning 2010) 372</w:t>
      </w:r>
    </w:p>
  </w:footnote>
  <w:footnote w:id="30">
    <w:p w14:paraId="776A0E47" w14:textId="1E68C7C3" w:rsidR="00431A55" w:rsidRPr="00D25277" w:rsidRDefault="00431A55" w:rsidP="006F4248">
      <w:pPr>
        <w:pStyle w:val="FootnoteText"/>
        <w:rPr>
          <w:sz w:val="20"/>
          <w:szCs w:val="20"/>
          <w:vertAlign w:val="baseline"/>
          <w:lang w:val="en-US"/>
        </w:rPr>
      </w:pPr>
      <w:r w:rsidRPr="00D25277">
        <w:rPr>
          <w:rStyle w:val="FootnoteReference"/>
          <w:sz w:val="20"/>
          <w:szCs w:val="20"/>
        </w:rPr>
        <w:footnoteRef/>
      </w:r>
      <w:r w:rsidRPr="00D25277">
        <w:rPr>
          <w:sz w:val="20"/>
          <w:szCs w:val="20"/>
          <w:vertAlign w:val="baseline"/>
        </w:rPr>
        <w:t xml:space="preserve"> Laura Kramer, </w:t>
      </w:r>
      <w:r w:rsidRPr="00D25277">
        <w:rPr>
          <w:i/>
          <w:sz w:val="20"/>
          <w:szCs w:val="20"/>
          <w:vertAlign w:val="baseline"/>
        </w:rPr>
        <w:t>The sociology of gender: A brief introduction</w:t>
      </w:r>
      <w:r>
        <w:rPr>
          <w:sz w:val="20"/>
          <w:szCs w:val="20"/>
          <w:vertAlign w:val="baseline"/>
        </w:rPr>
        <w:t xml:space="preserve"> (3rd edn, OUP 2005) 3</w:t>
      </w:r>
    </w:p>
  </w:footnote>
  <w:footnote w:id="31">
    <w:p w14:paraId="3AB2BF64" w14:textId="76E44256" w:rsidR="00431A55" w:rsidRPr="00D25277" w:rsidRDefault="00431A55" w:rsidP="006F4248">
      <w:pPr>
        <w:pStyle w:val="FootnoteText"/>
        <w:rPr>
          <w:sz w:val="20"/>
          <w:szCs w:val="20"/>
          <w:vertAlign w:val="baseline"/>
          <w:lang w:val="en-US"/>
        </w:rPr>
      </w:pPr>
      <w:r w:rsidRPr="00D25277">
        <w:rPr>
          <w:rStyle w:val="FootnoteReference"/>
          <w:sz w:val="20"/>
          <w:szCs w:val="20"/>
        </w:rPr>
        <w:footnoteRef/>
      </w:r>
      <w:r w:rsidRPr="00D25277">
        <w:rPr>
          <w:sz w:val="20"/>
          <w:szCs w:val="20"/>
        </w:rPr>
        <w:t xml:space="preserve"> </w:t>
      </w:r>
      <w:r w:rsidRPr="00D25277">
        <w:rPr>
          <w:sz w:val="20"/>
          <w:szCs w:val="20"/>
          <w:vertAlign w:val="baseline"/>
        </w:rPr>
        <w:t>Charlesworth</w:t>
      </w:r>
      <w:r>
        <w:rPr>
          <w:sz w:val="20"/>
          <w:szCs w:val="20"/>
          <w:vertAlign w:val="baseline"/>
        </w:rPr>
        <w:t>, Chinkin and Wright (n 20) 618</w:t>
      </w:r>
    </w:p>
  </w:footnote>
  <w:footnote w:id="32">
    <w:p w14:paraId="76653412" w14:textId="3B61660E" w:rsidR="00431A55" w:rsidRPr="00D25277" w:rsidRDefault="00431A55" w:rsidP="006F4248">
      <w:pPr>
        <w:pStyle w:val="FootnoteText"/>
        <w:rPr>
          <w:sz w:val="20"/>
          <w:szCs w:val="20"/>
          <w:vertAlign w:val="baseline"/>
          <w:lang w:val="en-US"/>
        </w:rPr>
      </w:pPr>
      <w:r w:rsidRPr="00D25277">
        <w:rPr>
          <w:rStyle w:val="FootnoteReference"/>
          <w:sz w:val="20"/>
          <w:szCs w:val="20"/>
        </w:rPr>
        <w:footnoteRef/>
      </w:r>
      <w:r w:rsidRPr="00D25277">
        <w:rPr>
          <w:sz w:val="20"/>
          <w:szCs w:val="20"/>
        </w:rPr>
        <w:t xml:space="preserve"> </w:t>
      </w:r>
      <w:r>
        <w:rPr>
          <w:sz w:val="20"/>
          <w:szCs w:val="20"/>
          <w:vertAlign w:val="baseline"/>
        </w:rPr>
        <w:t>ibid</w:t>
      </w:r>
      <w:r w:rsidRPr="00D25277">
        <w:rPr>
          <w:sz w:val="20"/>
          <w:szCs w:val="20"/>
          <w:vertAlign w:val="baseline"/>
        </w:rPr>
        <w:t xml:space="preserve"> 636</w:t>
      </w:r>
    </w:p>
  </w:footnote>
  <w:footnote w:id="33">
    <w:p w14:paraId="238B8117" w14:textId="77777777" w:rsidR="00431A55" w:rsidRPr="00573964" w:rsidRDefault="00431A55" w:rsidP="006F4248">
      <w:pPr>
        <w:pStyle w:val="FootnoteText"/>
        <w:rPr>
          <w:lang w:val="en-US"/>
        </w:rPr>
      </w:pPr>
      <w:r w:rsidRPr="00D25277">
        <w:rPr>
          <w:rStyle w:val="FootnoteReference"/>
          <w:sz w:val="20"/>
          <w:szCs w:val="20"/>
        </w:rPr>
        <w:footnoteRef/>
      </w:r>
      <w:r w:rsidRPr="00D25277">
        <w:rPr>
          <w:sz w:val="20"/>
          <w:szCs w:val="20"/>
          <w:vertAlign w:val="baseline"/>
        </w:rPr>
        <w:t xml:space="preserve"> Hilary Charlesworth, ‘The Public/Private Distinction and the Right to Development in International Law’ (1992) 12 Aus Year Book Int Law 190; Andrew Byrnes, ‘Women, Feminism and International Human Rights Law-Methodological Myopia, Fundamental Flaws or Meaningful Marginalization’ (1992) 12 Aus Year Book Int Law</w:t>
      </w:r>
      <w:r w:rsidRPr="00D25277">
        <w:rPr>
          <w:i/>
          <w:sz w:val="20"/>
          <w:szCs w:val="20"/>
          <w:vertAlign w:val="baseline"/>
        </w:rPr>
        <w:t xml:space="preserve"> </w:t>
      </w:r>
      <w:r w:rsidRPr="00D25277">
        <w:rPr>
          <w:sz w:val="20"/>
          <w:szCs w:val="20"/>
          <w:vertAlign w:val="baseline"/>
        </w:rPr>
        <w:t>205.</w:t>
      </w:r>
    </w:p>
  </w:footnote>
  <w:footnote w:id="34">
    <w:p w14:paraId="39E40E39" w14:textId="7BCC503F" w:rsidR="00431A55" w:rsidRPr="00AA608B" w:rsidRDefault="00431A55" w:rsidP="006F4248">
      <w:pPr>
        <w:pStyle w:val="FootnoteText"/>
        <w:rPr>
          <w:sz w:val="20"/>
          <w:szCs w:val="20"/>
          <w:vertAlign w:val="baseline"/>
          <w:lang w:val="en-US"/>
        </w:rPr>
      </w:pPr>
      <w:r w:rsidRPr="00AA608B">
        <w:rPr>
          <w:rStyle w:val="FootnoteReference"/>
          <w:sz w:val="20"/>
          <w:szCs w:val="20"/>
        </w:rPr>
        <w:footnoteRef/>
      </w:r>
      <w:r w:rsidRPr="00AA608B">
        <w:rPr>
          <w:sz w:val="20"/>
          <w:szCs w:val="20"/>
        </w:rPr>
        <w:t xml:space="preserve"> </w:t>
      </w:r>
      <w:r>
        <w:rPr>
          <w:sz w:val="20"/>
          <w:szCs w:val="20"/>
          <w:vertAlign w:val="baseline"/>
        </w:rPr>
        <w:t>Charlesworth (n 20) 69</w:t>
      </w:r>
    </w:p>
  </w:footnote>
  <w:footnote w:id="35">
    <w:p w14:paraId="7D026364" w14:textId="437C403F" w:rsidR="00431A55" w:rsidRPr="00AA608B" w:rsidRDefault="00431A55" w:rsidP="006F4248">
      <w:pPr>
        <w:pStyle w:val="FootnoteText"/>
        <w:rPr>
          <w:sz w:val="20"/>
          <w:szCs w:val="20"/>
          <w:vertAlign w:val="baseline"/>
          <w:lang w:val="en-US"/>
        </w:rPr>
      </w:pPr>
      <w:r w:rsidRPr="00AA608B">
        <w:rPr>
          <w:rStyle w:val="FootnoteReference"/>
          <w:sz w:val="20"/>
          <w:szCs w:val="20"/>
        </w:rPr>
        <w:footnoteRef/>
      </w:r>
      <w:r w:rsidRPr="00AA608B">
        <w:rPr>
          <w:sz w:val="20"/>
          <w:szCs w:val="20"/>
          <w:vertAlign w:val="baseline"/>
        </w:rPr>
        <w:t xml:space="preserve"> For example, as also seen in the rationale of the 1953 UN Convention on the Political Rights of Women, the 1957 UN Convention on the Nationality of Married Women and the 1960 UNESCO Convention </w:t>
      </w:r>
      <w:r>
        <w:rPr>
          <w:sz w:val="20"/>
          <w:szCs w:val="20"/>
          <w:vertAlign w:val="baseline"/>
        </w:rPr>
        <w:t>on Discrimination in Education</w:t>
      </w:r>
    </w:p>
  </w:footnote>
  <w:footnote w:id="36">
    <w:p w14:paraId="5FABE67E" w14:textId="55AD8465" w:rsidR="00431A55" w:rsidRPr="00AA608B" w:rsidRDefault="00431A55" w:rsidP="006F4248">
      <w:pPr>
        <w:pStyle w:val="FootnoteText"/>
        <w:rPr>
          <w:sz w:val="20"/>
          <w:szCs w:val="20"/>
          <w:vertAlign w:val="baseline"/>
          <w:lang w:val="en-US"/>
        </w:rPr>
      </w:pPr>
      <w:r w:rsidRPr="00AA608B">
        <w:rPr>
          <w:rStyle w:val="FootnoteReference"/>
          <w:sz w:val="20"/>
          <w:szCs w:val="20"/>
        </w:rPr>
        <w:footnoteRef/>
      </w:r>
      <w:r w:rsidRPr="00AA608B">
        <w:rPr>
          <w:sz w:val="20"/>
          <w:szCs w:val="20"/>
        </w:rPr>
        <w:t xml:space="preserve"> </w:t>
      </w:r>
      <w:r>
        <w:rPr>
          <w:sz w:val="20"/>
          <w:szCs w:val="20"/>
          <w:vertAlign w:val="baseline"/>
        </w:rPr>
        <w:t>Charlesworth (n 20) 64</w:t>
      </w:r>
    </w:p>
  </w:footnote>
  <w:footnote w:id="37">
    <w:p w14:paraId="60B650A7" w14:textId="66C4B5C4" w:rsidR="00431A55" w:rsidRPr="00AA608B" w:rsidRDefault="00431A55" w:rsidP="006F4248">
      <w:pPr>
        <w:pStyle w:val="FootnoteText"/>
        <w:rPr>
          <w:sz w:val="20"/>
          <w:szCs w:val="20"/>
          <w:vertAlign w:val="baseline"/>
          <w:lang w:val="en-US"/>
        </w:rPr>
      </w:pPr>
      <w:r w:rsidRPr="00AA608B">
        <w:rPr>
          <w:rStyle w:val="FootnoteReference"/>
          <w:sz w:val="20"/>
          <w:szCs w:val="20"/>
        </w:rPr>
        <w:footnoteRef/>
      </w:r>
      <w:r w:rsidRPr="00AA608B">
        <w:rPr>
          <w:sz w:val="20"/>
          <w:szCs w:val="20"/>
        </w:rPr>
        <w:t xml:space="preserve"> </w:t>
      </w:r>
      <w:r>
        <w:rPr>
          <w:sz w:val="20"/>
          <w:szCs w:val="20"/>
          <w:vertAlign w:val="baseline"/>
        </w:rPr>
        <w:t>ibid</w:t>
      </w:r>
    </w:p>
  </w:footnote>
  <w:footnote w:id="38">
    <w:p w14:paraId="4D41118D" w14:textId="459D6371" w:rsidR="00431A55" w:rsidRPr="00AA608B" w:rsidRDefault="00431A55" w:rsidP="006F4248">
      <w:pPr>
        <w:pStyle w:val="FootnoteText"/>
        <w:rPr>
          <w:sz w:val="20"/>
          <w:szCs w:val="20"/>
          <w:vertAlign w:val="baseline"/>
          <w:lang w:val="en-US"/>
        </w:rPr>
      </w:pPr>
      <w:r w:rsidRPr="00AA608B">
        <w:rPr>
          <w:rStyle w:val="FootnoteReference"/>
          <w:sz w:val="20"/>
          <w:szCs w:val="20"/>
        </w:rPr>
        <w:footnoteRef/>
      </w:r>
      <w:r w:rsidRPr="00AA608B">
        <w:rPr>
          <w:sz w:val="20"/>
          <w:szCs w:val="20"/>
        </w:rPr>
        <w:t xml:space="preserve"> </w:t>
      </w:r>
      <w:r w:rsidRPr="00AA608B">
        <w:rPr>
          <w:sz w:val="20"/>
          <w:szCs w:val="20"/>
          <w:vertAlign w:val="baseline"/>
        </w:rPr>
        <w:t xml:space="preserve">Lorraine Code, </w:t>
      </w:r>
      <w:r w:rsidRPr="00AA608B">
        <w:rPr>
          <w:i/>
          <w:sz w:val="20"/>
          <w:szCs w:val="20"/>
          <w:vertAlign w:val="baseline"/>
        </w:rPr>
        <w:t xml:space="preserve">Encyclopaedia of Feminist Theories </w:t>
      </w:r>
      <w:r>
        <w:rPr>
          <w:sz w:val="20"/>
          <w:szCs w:val="20"/>
          <w:vertAlign w:val="baseline"/>
        </w:rPr>
        <w:t>(Routledge 2003) 199</w:t>
      </w:r>
    </w:p>
  </w:footnote>
  <w:footnote w:id="39">
    <w:p w14:paraId="544B23DD" w14:textId="77777777" w:rsidR="00431A55" w:rsidRPr="00573964" w:rsidRDefault="00431A55" w:rsidP="006F4248">
      <w:pPr>
        <w:pStyle w:val="FootnoteText"/>
        <w:rPr>
          <w:lang w:val="en-US"/>
        </w:rPr>
      </w:pPr>
      <w:r w:rsidRPr="005D4517">
        <w:rPr>
          <w:rStyle w:val="FootnoteReference"/>
          <w:sz w:val="20"/>
          <w:szCs w:val="20"/>
        </w:rPr>
        <w:footnoteRef/>
      </w:r>
      <w:r w:rsidRPr="005D4517">
        <w:rPr>
          <w:sz w:val="20"/>
          <w:szCs w:val="20"/>
        </w:rPr>
        <w:t xml:space="preserve"> </w:t>
      </w:r>
      <w:r w:rsidRPr="00AA608B">
        <w:rPr>
          <w:sz w:val="20"/>
          <w:szCs w:val="20"/>
          <w:vertAlign w:val="baseline"/>
        </w:rPr>
        <w:t>Ruth Bleier, Science and Gender: a critique of biology and its theories on women (Pergamon Press 1984) 162.</w:t>
      </w:r>
    </w:p>
  </w:footnote>
  <w:footnote w:id="40">
    <w:p w14:paraId="58278227" w14:textId="6C974C52" w:rsidR="00431A55" w:rsidRPr="005D4517" w:rsidRDefault="00431A55" w:rsidP="006F4248">
      <w:pPr>
        <w:pStyle w:val="FootnoteText"/>
        <w:rPr>
          <w:sz w:val="20"/>
          <w:szCs w:val="20"/>
          <w:vertAlign w:val="baseline"/>
        </w:rPr>
      </w:pPr>
      <w:r w:rsidRPr="005D4517">
        <w:rPr>
          <w:rStyle w:val="FootnoteReference"/>
          <w:sz w:val="20"/>
          <w:szCs w:val="20"/>
        </w:rPr>
        <w:footnoteRef/>
      </w:r>
      <w:r w:rsidRPr="005D4517">
        <w:rPr>
          <w:sz w:val="20"/>
          <w:szCs w:val="20"/>
        </w:rPr>
        <w:t xml:space="preserve"> </w:t>
      </w:r>
      <w:r w:rsidRPr="005D4517">
        <w:rPr>
          <w:sz w:val="20"/>
          <w:szCs w:val="20"/>
          <w:vertAlign w:val="baseline"/>
        </w:rPr>
        <w:t xml:space="preserve">Cynthia V Ward, ‘The Radical Feminist Defence of Individualism’ </w:t>
      </w:r>
      <w:r>
        <w:rPr>
          <w:sz w:val="20"/>
          <w:szCs w:val="20"/>
          <w:vertAlign w:val="baseline"/>
        </w:rPr>
        <w:t>(1995) 89(3) Nw. U. L. Rev. 873</w:t>
      </w:r>
    </w:p>
  </w:footnote>
  <w:footnote w:id="41">
    <w:p w14:paraId="15F3A790" w14:textId="5D52FC20" w:rsidR="00431A55" w:rsidRPr="005D4517" w:rsidRDefault="00431A55" w:rsidP="006F4248">
      <w:pPr>
        <w:pStyle w:val="FootnoteText"/>
        <w:rPr>
          <w:sz w:val="20"/>
          <w:szCs w:val="20"/>
          <w:vertAlign w:val="baseline"/>
          <w:lang w:val="en-US"/>
        </w:rPr>
      </w:pPr>
      <w:r w:rsidRPr="00C0373D">
        <w:rPr>
          <w:rStyle w:val="FootnoteReference"/>
          <w:sz w:val="20"/>
          <w:szCs w:val="20"/>
        </w:rPr>
        <w:footnoteRef/>
      </w:r>
      <w:r w:rsidRPr="00C0373D">
        <w:rPr>
          <w:sz w:val="20"/>
          <w:szCs w:val="20"/>
        </w:rPr>
        <w:t xml:space="preserve"> </w:t>
      </w:r>
      <w:r w:rsidRPr="005D4517">
        <w:rPr>
          <w:sz w:val="20"/>
          <w:szCs w:val="20"/>
          <w:vertAlign w:val="baseline"/>
        </w:rPr>
        <w:t xml:space="preserve">Mary Rodgers, ‘Liberal Feminism’, in George Ritzer, </w:t>
      </w:r>
      <w:r w:rsidRPr="005D4517">
        <w:rPr>
          <w:i/>
          <w:sz w:val="20"/>
          <w:szCs w:val="20"/>
          <w:vertAlign w:val="baseline"/>
        </w:rPr>
        <w:t xml:space="preserve">Encyclopaedia of Social </w:t>
      </w:r>
      <w:r>
        <w:rPr>
          <w:sz w:val="20"/>
          <w:szCs w:val="20"/>
          <w:vertAlign w:val="baseline"/>
        </w:rPr>
        <w:t>Theory (Sage 2005) 447</w:t>
      </w:r>
    </w:p>
  </w:footnote>
  <w:footnote w:id="42">
    <w:p w14:paraId="3F6FF88F" w14:textId="6FFDC344" w:rsidR="00431A55" w:rsidRPr="005D4517" w:rsidRDefault="00431A55" w:rsidP="006F4248">
      <w:pPr>
        <w:pStyle w:val="FootnoteText"/>
        <w:rPr>
          <w:sz w:val="20"/>
          <w:szCs w:val="20"/>
          <w:vertAlign w:val="baseline"/>
          <w:lang w:val="en-US"/>
        </w:rPr>
      </w:pPr>
      <w:r w:rsidRPr="005D4517">
        <w:rPr>
          <w:rStyle w:val="FootnoteReference"/>
          <w:sz w:val="20"/>
          <w:szCs w:val="20"/>
        </w:rPr>
        <w:footnoteRef/>
      </w:r>
      <w:r>
        <w:rPr>
          <w:sz w:val="20"/>
          <w:szCs w:val="20"/>
          <w:vertAlign w:val="baseline"/>
        </w:rPr>
        <w:t xml:space="preserve"> Ward (n 40) 878</w:t>
      </w:r>
    </w:p>
  </w:footnote>
  <w:footnote w:id="43">
    <w:p w14:paraId="459F5719" w14:textId="28700072" w:rsidR="00431A55" w:rsidRPr="005D4517" w:rsidRDefault="00431A55" w:rsidP="006F4248">
      <w:pPr>
        <w:pStyle w:val="FootnoteText"/>
        <w:rPr>
          <w:sz w:val="20"/>
          <w:szCs w:val="20"/>
          <w:vertAlign w:val="baseline"/>
          <w:lang w:val="en-US"/>
        </w:rPr>
      </w:pPr>
      <w:r w:rsidRPr="005D4517">
        <w:rPr>
          <w:rStyle w:val="FootnoteReference"/>
          <w:sz w:val="20"/>
          <w:szCs w:val="20"/>
        </w:rPr>
        <w:footnoteRef/>
      </w:r>
      <w:r w:rsidRPr="005D4517">
        <w:rPr>
          <w:sz w:val="20"/>
          <w:szCs w:val="20"/>
        </w:rPr>
        <w:t xml:space="preserve"> </w:t>
      </w:r>
      <w:r>
        <w:rPr>
          <w:sz w:val="20"/>
          <w:szCs w:val="20"/>
          <w:vertAlign w:val="baseline"/>
        </w:rPr>
        <w:t>ibid</w:t>
      </w:r>
    </w:p>
  </w:footnote>
  <w:footnote w:id="44">
    <w:p w14:paraId="0CDD290F" w14:textId="11C563D2" w:rsidR="00431A55" w:rsidRPr="005D4517" w:rsidRDefault="00431A55" w:rsidP="006F4248">
      <w:pPr>
        <w:pStyle w:val="FootnoteText"/>
        <w:rPr>
          <w:sz w:val="20"/>
          <w:szCs w:val="20"/>
          <w:vertAlign w:val="baseline"/>
          <w:lang w:val="en-US"/>
        </w:rPr>
      </w:pPr>
      <w:r w:rsidRPr="005D4517">
        <w:rPr>
          <w:rStyle w:val="FootnoteReference"/>
          <w:sz w:val="20"/>
          <w:szCs w:val="20"/>
        </w:rPr>
        <w:footnoteRef/>
      </w:r>
      <w:r w:rsidRPr="005D4517">
        <w:rPr>
          <w:sz w:val="20"/>
          <w:szCs w:val="20"/>
        </w:rPr>
        <w:t xml:space="preserve"> </w:t>
      </w:r>
      <w:r>
        <w:rPr>
          <w:sz w:val="20"/>
          <w:szCs w:val="20"/>
          <w:vertAlign w:val="baseline"/>
        </w:rPr>
        <w:t>ibid</w:t>
      </w:r>
    </w:p>
  </w:footnote>
  <w:footnote w:id="45">
    <w:p w14:paraId="1B7CE929" w14:textId="05CAD9A2" w:rsidR="00431A55" w:rsidRPr="005D4517" w:rsidRDefault="00431A55" w:rsidP="006F4248">
      <w:pPr>
        <w:pStyle w:val="FootnoteText"/>
        <w:rPr>
          <w:sz w:val="20"/>
          <w:szCs w:val="20"/>
          <w:vertAlign w:val="baseline"/>
          <w:lang w:val="en-US"/>
        </w:rPr>
      </w:pPr>
      <w:r w:rsidRPr="005D4517">
        <w:rPr>
          <w:rStyle w:val="FootnoteReference"/>
          <w:sz w:val="20"/>
          <w:szCs w:val="20"/>
        </w:rPr>
        <w:footnoteRef/>
      </w:r>
      <w:r w:rsidRPr="005D4517">
        <w:rPr>
          <w:sz w:val="20"/>
          <w:szCs w:val="20"/>
        </w:rPr>
        <w:t xml:space="preserve"> </w:t>
      </w:r>
      <w:r w:rsidRPr="005D4517">
        <w:rPr>
          <w:sz w:val="20"/>
          <w:szCs w:val="20"/>
          <w:vertAlign w:val="baseline"/>
        </w:rPr>
        <w:t xml:space="preserve">Margaret Thornton, ‘The Cartography of Public and Private’, in Margaret Thornton (ed) </w:t>
      </w:r>
      <w:r w:rsidRPr="005D4517">
        <w:rPr>
          <w:i/>
          <w:sz w:val="20"/>
          <w:szCs w:val="20"/>
          <w:vertAlign w:val="baseline"/>
        </w:rPr>
        <w:t>Public and Private: Feminist Legal Debates</w:t>
      </w:r>
      <w:r>
        <w:rPr>
          <w:sz w:val="20"/>
          <w:szCs w:val="20"/>
          <w:vertAlign w:val="baseline"/>
        </w:rPr>
        <w:t xml:space="preserve"> (OUP 1995) 11-12</w:t>
      </w:r>
    </w:p>
  </w:footnote>
  <w:footnote w:id="46">
    <w:p w14:paraId="22099307" w14:textId="2AAD54B9" w:rsidR="00431A55" w:rsidRPr="003021D1" w:rsidRDefault="00431A55" w:rsidP="006F4248">
      <w:pPr>
        <w:pStyle w:val="FootnoteText"/>
        <w:rPr>
          <w:lang w:val="en-US"/>
        </w:rPr>
      </w:pPr>
      <w:r w:rsidRPr="005D4517">
        <w:rPr>
          <w:rStyle w:val="FootnoteReference"/>
          <w:sz w:val="20"/>
          <w:szCs w:val="20"/>
        </w:rPr>
        <w:footnoteRef/>
      </w:r>
      <w:r w:rsidRPr="005D4517">
        <w:rPr>
          <w:sz w:val="20"/>
          <w:szCs w:val="20"/>
        </w:rPr>
        <w:t xml:space="preserve"> </w:t>
      </w:r>
      <w:r>
        <w:rPr>
          <w:sz w:val="20"/>
          <w:szCs w:val="20"/>
          <w:vertAlign w:val="baseline"/>
        </w:rPr>
        <w:t>ibid</w:t>
      </w:r>
    </w:p>
  </w:footnote>
  <w:footnote w:id="47">
    <w:p w14:paraId="645A31CE" w14:textId="77777777" w:rsidR="00431A55" w:rsidRPr="006821E1" w:rsidRDefault="00431A55" w:rsidP="006F4248">
      <w:pPr>
        <w:pStyle w:val="FootnoteText"/>
        <w:rPr>
          <w:sz w:val="20"/>
          <w:szCs w:val="20"/>
          <w:vertAlign w:val="baseline"/>
          <w:lang w:val="en-US"/>
        </w:rPr>
      </w:pPr>
      <w:r w:rsidRPr="006821E1">
        <w:rPr>
          <w:rStyle w:val="FootnoteReference"/>
          <w:sz w:val="20"/>
          <w:szCs w:val="20"/>
        </w:rPr>
        <w:footnoteRef/>
      </w:r>
      <w:r w:rsidRPr="006821E1">
        <w:rPr>
          <w:sz w:val="20"/>
          <w:szCs w:val="20"/>
          <w:vertAlign w:val="baseline"/>
        </w:rPr>
        <w:t xml:space="preserve"> Maureen Ramsay, </w:t>
      </w:r>
      <w:r w:rsidRPr="006821E1">
        <w:rPr>
          <w:i/>
          <w:sz w:val="20"/>
          <w:szCs w:val="20"/>
          <w:vertAlign w:val="baseline"/>
        </w:rPr>
        <w:t xml:space="preserve">What’s Wrong With Liberalism? A Radical Critique of Liberal Philosophy </w:t>
      </w:r>
      <w:r w:rsidRPr="006821E1">
        <w:rPr>
          <w:sz w:val="20"/>
          <w:szCs w:val="20"/>
          <w:vertAlign w:val="baseline"/>
        </w:rPr>
        <w:t xml:space="preserve">(Continuum 2004) 204; see also Lisa H. Schwartzman, </w:t>
      </w:r>
      <w:r w:rsidRPr="006821E1">
        <w:rPr>
          <w:i/>
          <w:sz w:val="20"/>
          <w:szCs w:val="20"/>
          <w:vertAlign w:val="baseline"/>
        </w:rPr>
        <w:t>Challenging Liberalism: Feminism as a Political Critique</w:t>
      </w:r>
      <w:r w:rsidRPr="006821E1">
        <w:rPr>
          <w:sz w:val="20"/>
          <w:szCs w:val="20"/>
          <w:vertAlign w:val="baseline"/>
        </w:rPr>
        <w:t xml:space="preserve"> (Pennsylvania University Press 2007)</w:t>
      </w:r>
    </w:p>
  </w:footnote>
  <w:footnote w:id="48">
    <w:p w14:paraId="7335A9DD" w14:textId="7538F638" w:rsidR="00431A55" w:rsidRPr="006821E1" w:rsidRDefault="00431A55" w:rsidP="006F4248">
      <w:pPr>
        <w:pStyle w:val="FootnoteText"/>
        <w:rPr>
          <w:sz w:val="20"/>
          <w:szCs w:val="20"/>
          <w:vertAlign w:val="baseline"/>
          <w:lang w:val="en-US"/>
        </w:rPr>
      </w:pPr>
      <w:r w:rsidRPr="006821E1">
        <w:rPr>
          <w:rStyle w:val="FootnoteReference"/>
          <w:sz w:val="20"/>
          <w:szCs w:val="20"/>
        </w:rPr>
        <w:footnoteRef/>
      </w:r>
      <w:r>
        <w:rPr>
          <w:sz w:val="20"/>
          <w:szCs w:val="20"/>
          <w:vertAlign w:val="baseline"/>
        </w:rPr>
        <w:t xml:space="preserve"> </w:t>
      </w:r>
      <w:r w:rsidRPr="006821E1">
        <w:rPr>
          <w:sz w:val="20"/>
          <w:szCs w:val="20"/>
          <w:vertAlign w:val="baseline"/>
        </w:rPr>
        <w:t>MacKinnon, Towards a Feminist Theory</w:t>
      </w:r>
      <w:r>
        <w:rPr>
          <w:sz w:val="20"/>
          <w:szCs w:val="20"/>
          <w:vertAlign w:val="baseline"/>
        </w:rPr>
        <w:t xml:space="preserve"> of the State (n 19);</w:t>
      </w:r>
      <w:r w:rsidRPr="006821E1">
        <w:rPr>
          <w:sz w:val="20"/>
          <w:szCs w:val="20"/>
          <w:vertAlign w:val="baseline"/>
        </w:rPr>
        <w:t xml:space="preserve"> See Carol Smart, </w:t>
      </w:r>
      <w:r w:rsidRPr="006821E1">
        <w:rPr>
          <w:i/>
          <w:sz w:val="20"/>
          <w:szCs w:val="20"/>
          <w:vertAlign w:val="baseline"/>
        </w:rPr>
        <w:t xml:space="preserve">Feminism and the Power of </w:t>
      </w:r>
      <w:r w:rsidRPr="006821E1">
        <w:rPr>
          <w:sz w:val="20"/>
          <w:szCs w:val="20"/>
          <w:vertAlign w:val="baseline"/>
        </w:rPr>
        <w:t xml:space="preserve">Law (Routledge 2002) Carol Gillian, </w:t>
      </w:r>
      <w:r w:rsidRPr="006821E1">
        <w:rPr>
          <w:i/>
          <w:sz w:val="20"/>
          <w:szCs w:val="20"/>
          <w:vertAlign w:val="baseline"/>
        </w:rPr>
        <w:t>A Different Voice</w:t>
      </w:r>
      <w:r>
        <w:rPr>
          <w:sz w:val="20"/>
          <w:szCs w:val="20"/>
          <w:vertAlign w:val="baseline"/>
        </w:rPr>
        <w:t xml:space="preserve"> (OUP 1982)</w:t>
      </w:r>
    </w:p>
  </w:footnote>
  <w:footnote w:id="49">
    <w:p w14:paraId="6CC2710D" w14:textId="254ABF8D" w:rsidR="00431A55" w:rsidRPr="006821E1" w:rsidRDefault="00431A55" w:rsidP="006F4248">
      <w:pPr>
        <w:pStyle w:val="FootnoteText"/>
        <w:rPr>
          <w:sz w:val="20"/>
          <w:szCs w:val="20"/>
          <w:vertAlign w:val="baseline"/>
          <w:lang w:val="en-US"/>
        </w:rPr>
      </w:pPr>
      <w:r w:rsidRPr="006821E1">
        <w:rPr>
          <w:rStyle w:val="FootnoteReference"/>
          <w:sz w:val="20"/>
          <w:szCs w:val="20"/>
        </w:rPr>
        <w:footnoteRef/>
      </w:r>
      <w:r w:rsidRPr="006821E1">
        <w:rPr>
          <w:sz w:val="20"/>
          <w:szCs w:val="20"/>
        </w:rPr>
        <w:t xml:space="preserve"> </w:t>
      </w:r>
      <w:r w:rsidRPr="006821E1">
        <w:rPr>
          <w:sz w:val="20"/>
          <w:szCs w:val="20"/>
          <w:vertAlign w:val="baseline"/>
        </w:rPr>
        <w:t>MacKinnon, Towards a F</w:t>
      </w:r>
      <w:r>
        <w:rPr>
          <w:sz w:val="20"/>
          <w:szCs w:val="20"/>
          <w:vertAlign w:val="baseline"/>
        </w:rPr>
        <w:t>eminist Theory of the State (n 19) 241</w:t>
      </w:r>
    </w:p>
  </w:footnote>
  <w:footnote w:id="50">
    <w:p w14:paraId="7A7803F8" w14:textId="6570022D" w:rsidR="00431A55" w:rsidRPr="006821E1" w:rsidRDefault="00431A55" w:rsidP="006F4248">
      <w:pPr>
        <w:pStyle w:val="FootnoteText"/>
        <w:rPr>
          <w:sz w:val="20"/>
          <w:szCs w:val="20"/>
          <w:vertAlign w:val="baseline"/>
          <w:lang w:val="en-US"/>
        </w:rPr>
      </w:pPr>
      <w:r w:rsidRPr="006821E1">
        <w:rPr>
          <w:rStyle w:val="FootnoteReference"/>
          <w:sz w:val="20"/>
          <w:szCs w:val="20"/>
        </w:rPr>
        <w:footnoteRef/>
      </w:r>
      <w:r w:rsidRPr="006821E1">
        <w:rPr>
          <w:sz w:val="20"/>
          <w:szCs w:val="20"/>
          <w:vertAlign w:val="baseline"/>
        </w:rPr>
        <w:t xml:space="preserve"> </w:t>
      </w:r>
      <w:r>
        <w:rPr>
          <w:sz w:val="20"/>
          <w:szCs w:val="20"/>
          <w:vertAlign w:val="baseline"/>
        </w:rPr>
        <w:t>ibid 115-116</w:t>
      </w:r>
    </w:p>
  </w:footnote>
  <w:footnote w:id="51">
    <w:p w14:paraId="693D31DC" w14:textId="2ECBE5FF" w:rsidR="00431A55" w:rsidRPr="00573964" w:rsidRDefault="00431A55" w:rsidP="006F4248">
      <w:pPr>
        <w:pStyle w:val="FootnoteText"/>
        <w:rPr>
          <w:lang w:val="en-US"/>
        </w:rPr>
      </w:pPr>
      <w:r w:rsidRPr="006821E1">
        <w:rPr>
          <w:rStyle w:val="FootnoteReference"/>
          <w:sz w:val="20"/>
          <w:szCs w:val="20"/>
        </w:rPr>
        <w:footnoteRef/>
      </w:r>
      <w:r w:rsidRPr="006821E1">
        <w:rPr>
          <w:sz w:val="20"/>
          <w:szCs w:val="20"/>
        </w:rPr>
        <w:t xml:space="preserve"> </w:t>
      </w:r>
      <w:r>
        <w:rPr>
          <w:sz w:val="20"/>
          <w:szCs w:val="20"/>
          <w:vertAlign w:val="baseline"/>
        </w:rPr>
        <w:t>ibid</w:t>
      </w:r>
    </w:p>
  </w:footnote>
  <w:footnote w:id="52">
    <w:p w14:paraId="6BAEACFF" w14:textId="382BE443" w:rsidR="00431A55" w:rsidRPr="00615CE4" w:rsidRDefault="00431A55" w:rsidP="006F4248">
      <w:pPr>
        <w:pStyle w:val="FootnoteText"/>
        <w:rPr>
          <w:sz w:val="20"/>
          <w:szCs w:val="20"/>
          <w:vertAlign w:val="baseline"/>
          <w:lang w:val="en-US"/>
        </w:rPr>
      </w:pPr>
      <w:r w:rsidRPr="00615CE4">
        <w:rPr>
          <w:rStyle w:val="FootnoteReference"/>
          <w:sz w:val="20"/>
          <w:szCs w:val="20"/>
        </w:rPr>
        <w:footnoteRef/>
      </w:r>
      <w:r w:rsidRPr="00615CE4">
        <w:rPr>
          <w:sz w:val="20"/>
          <w:szCs w:val="20"/>
        </w:rPr>
        <w:t xml:space="preserve"> </w:t>
      </w:r>
      <w:r>
        <w:rPr>
          <w:sz w:val="20"/>
          <w:szCs w:val="20"/>
          <w:vertAlign w:val="baseline"/>
        </w:rPr>
        <w:t>ibid 163</w:t>
      </w:r>
    </w:p>
  </w:footnote>
  <w:footnote w:id="53">
    <w:p w14:paraId="272F97F1" w14:textId="769EFD09" w:rsidR="00431A55" w:rsidRPr="00615CE4" w:rsidRDefault="00431A55" w:rsidP="006F4248">
      <w:pPr>
        <w:pStyle w:val="FootnoteText"/>
        <w:rPr>
          <w:sz w:val="20"/>
          <w:szCs w:val="20"/>
          <w:vertAlign w:val="baseline"/>
          <w:lang w:val="en-US"/>
        </w:rPr>
      </w:pPr>
      <w:r w:rsidRPr="00615CE4">
        <w:rPr>
          <w:rStyle w:val="FootnoteReference"/>
          <w:sz w:val="20"/>
          <w:szCs w:val="20"/>
        </w:rPr>
        <w:footnoteRef/>
      </w:r>
      <w:r w:rsidRPr="00615CE4">
        <w:rPr>
          <w:sz w:val="20"/>
          <w:szCs w:val="20"/>
        </w:rPr>
        <w:t xml:space="preserve"> </w:t>
      </w:r>
      <w:r>
        <w:rPr>
          <w:sz w:val="20"/>
          <w:szCs w:val="20"/>
          <w:vertAlign w:val="baseline"/>
        </w:rPr>
        <w:t>ibid 173; See Ward (n 40) 879</w:t>
      </w:r>
    </w:p>
  </w:footnote>
  <w:footnote w:id="54">
    <w:p w14:paraId="67E4C234" w14:textId="18E989B1" w:rsidR="00431A55" w:rsidRPr="00615CE4" w:rsidRDefault="00431A55" w:rsidP="006F4248">
      <w:pPr>
        <w:pStyle w:val="FootnoteText"/>
        <w:rPr>
          <w:sz w:val="20"/>
          <w:szCs w:val="20"/>
          <w:vertAlign w:val="baseline"/>
        </w:rPr>
      </w:pPr>
      <w:r w:rsidRPr="00615CE4">
        <w:rPr>
          <w:rStyle w:val="FootnoteReference"/>
          <w:sz w:val="20"/>
          <w:szCs w:val="20"/>
        </w:rPr>
        <w:footnoteRef/>
      </w:r>
      <w:r w:rsidRPr="00615CE4">
        <w:rPr>
          <w:sz w:val="20"/>
          <w:szCs w:val="20"/>
        </w:rPr>
        <w:t xml:space="preserve"> </w:t>
      </w:r>
      <w:r>
        <w:rPr>
          <w:sz w:val="20"/>
          <w:szCs w:val="20"/>
          <w:vertAlign w:val="baseline"/>
        </w:rPr>
        <w:t>ibid 239</w:t>
      </w:r>
    </w:p>
  </w:footnote>
  <w:footnote w:id="55">
    <w:p w14:paraId="4DFB33EF" w14:textId="7B63B509" w:rsidR="00431A55" w:rsidRPr="00615CE4" w:rsidRDefault="00431A55" w:rsidP="006F4248">
      <w:pPr>
        <w:pStyle w:val="FootnoteText"/>
        <w:rPr>
          <w:sz w:val="20"/>
          <w:szCs w:val="20"/>
          <w:vertAlign w:val="baseline"/>
          <w:lang w:val="en-US"/>
        </w:rPr>
      </w:pPr>
      <w:r w:rsidRPr="00615CE4">
        <w:rPr>
          <w:rStyle w:val="FootnoteReference"/>
          <w:sz w:val="20"/>
          <w:szCs w:val="20"/>
        </w:rPr>
        <w:footnoteRef/>
      </w:r>
      <w:r w:rsidRPr="00615CE4">
        <w:rPr>
          <w:sz w:val="20"/>
          <w:szCs w:val="20"/>
        </w:rPr>
        <w:t xml:space="preserve"> </w:t>
      </w:r>
      <w:r>
        <w:rPr>
          <w:sz w:val="20"/>
          <w:szCs w:val="20"/>
          <w:vertAlign w:val="baseline"/>
        </w:rPr>
        <w:t>Charlesworth (n 20) 62</w:t>
      </w:r>
    </w:p>
  </w:footnote>
  <w:footnote w:id="56">
    <w:p w14:paraId="39043902" w14:textId="4E7A4CF4" w:rsidR="00431A55" w:rsidRPr="00573964" w:rsidRDefault="00431A55" w:rsidP="006F4248">
      <w:pPr>
        <w:pStyle w:val="FootnoteText"/>
        <w:rPr>
          <w:lang w:val="en-US"/>
        </w:rPr>
      </w:pPr>
      <w:r w:rsidRPr="00615CE4">
        <w:rPr>
          <w:rStyle w:val="FootnoteReference"/>
          <w:sz w:val="20"/>
          <w:szCs w:val="20"/>
        </w:rPr>
        <w:footnoteRef/>
      </w:r>
      <w:r w:rsidRPr="00615CE4">
        <w:rPr>
          <w:sz w:val="20"/>
          <w:szCs w:val="20"/>
        </w:rPr>
        <w:t xml:space="preserve"> </w:t>
      </w:r>
      <w:r w:rsidRPr="00615CE4">
        <w:rPr>
          <w:sz w:val="20"/>
          <w:szCs w:val="20"/>
          <w:vertAlign w:val="baseline"/>
        </w:rPr>
        <w:t>Elizabeth V Spelman, Inessential Women: Problems of Exclusion and Feminist Thought (Beacon Press 1990) 3</w:t>
      </w:r>
    </w:p>
  </w:footnote>
  <w:footnote w:id="57">
    <w:p w14:paraId="720BCBC1" w14:textId="24579C71" w:rsidR="00431A55" w:rsidRPr="00277FBC" w:rsidRDefault="00431A55" w:rsidP="006F4248">
      <w:pPr>
        <w:pStyle w:val="FootnoteText"/>
        <w:rPr>
          <w:sz w:val="20"/>
          <w:szCs w:val="20"/>
          <w:vertAlign w:val="baseline"/>
          <w:lang w:val="en-US"/>
        </w:rPr>
      </w:pPr>
      <w:r w:rsidRPr="00277FBC">
        <w:rPr>
          <w:rStyle w:val="FootnoteReference"/>
          <w:sz w:val="20"/>
          <w:szCs w:val="20"/>
        </w:rPr>
        <w:footnoteRef/>
      </w:r>
      <w:r w:rsidRPr="00277FBC">
        <w:rPr>
          <w:sz w:val="20"/>
          <w:szCs w:val="20"/>
        </w:rPr>
        <w:t xml:space="preserve"> </w:t>
      </w:r>
      <w:r w:rsidRPr="00277FBC">
        <w:rPr>
          <w:sz w:val="20"/>
          <w:szCs w:val="20"/>
          <w:vertAlign w:val="baseline"/>
        </w:rPr>
        <w:t xml:space="preserve">Geetanjali Gango, </w:t>
      </w:r>
      <w:r w:rsidRPr="00277FBC">
        <w:rPr>
          <w:i/>
          <w:sz w:val="20"/>
          <w:szCs w:val="20"/>
          <w:vertAlign w:val="baseline"/>
        </w:rPr>
        <w:t xml:space="preserve">Indian Feminisms: Law, Patriarchies and Violence in India </w:t>
      </w:r>
      <w:r>
        <w:rPr>
          <w:sz w:val="20"/>
          <w:szCs w:val="20"/>
          <w:vertAlign w:val="baseline"/>
        </w:rPr>
        <w:t>(Ashgate Publishing 2002) 6</w:t>
      </w:r>
    </w:p>
  </w:footnote>
  <w:footnote w:id="58">
    <w:p w14:paraId="499496A3" w14:textId="79F6F3E5" w:rsidR="00431A55" w:rsidRPr="00277FBC" w:rsidRDefault="00431A55" w:rsidP="006F4248">
      <w:pPr>
        <w:pStyle w:val="FootnoteText"/>
        <w:rPr>
          <w:sz w:val="20"/>
          <w:szCs w:val="20"/>
          <w:vertAlign w:val="baseline"/>
          <w:lang w:val="en-US"/>
        </w:rPr>
      </w:pPr>
      <w:r w:rsidRPr="00277FBC">
        <w:rPr>
          <w:rStyle w:val="FootnoteReference"/>
          <w:sz w:val="20"/>
          <w:szCs w:val="20"/>
        </w:rPr>
        <w:footnoteRef/>
      </w:r>
      <w:r w:rsidRPr="00277FBC">
        <w:rPr>
          <w:sz w:val="20"/>
          <w:szCs w:val="20"/>
        </w:rPr>
        <w:t xml:space="preserve"> </w:t>
      </w:r>
      <w:r>
        <w:rPr>
          <w:sz w:val="20"/>
          <w:szCs w:val="20"/>
          <w:vertAlign w:val="baseline"/>
        </w:rPr>
        <w:t>ibid</w:t>
      </w:r>
    </w:p>
  </w:footnote>
  <w:footnote w:id="59">
    <w:p w14:paraId="6463B7DD" w14:textId="77777777" w:rsidR="00431A55" w:rsidRPr="00277FBC" w:rsidRDefault="00431A55" w:rsidP="006F4248">
      <w:pPr>
        <w:pStyle w:val="FootnoteText"/>
        <w:rPr>
          <w:sz w:val="20"/>
          <w:szCs w:val="20"/>
          <w:vertAlign w:val="baseline"/>
          <w:lang w:val="en-US"/>
        </w:rPr>
      </w:pPr>
      <w:r w:rsidRPr="00277FBC">
        <w:rPr>
          <w:rStyle w:val="FootnoteReference"/>
          <w:sz w:val="20"/>
          <w:szCs w:val="20"/>
        </w:rPr>
        <w:footnoteRef/>
      </w:r>
      <w:r w:rsidRPr="00277FBC">
        <w:rPr>
          <w:sz w:val="20"/>
          <w:szCs w:val="20"/>
        </w:rPr>
        <w:t xml:space="preserve"> </w:t>
      </w:r>
      <w:r w:rsidRPr="00277FBC">
        <w:rPr>
          <w:sz w:val="20"/>
          <w:szCs w:val="20"/>
          <w:vertAlign w:val="baseline"/>
        </w:rPr>
        <w:t>Indian feminism concentrates more specifically on the Hindu religion.</w:t>
      </w:r>
    </w:p>
  </w:footnote>
  <w:footnote w:id="60">
    <w:p w14:paraId="60919284" w14:textId="77777777" w:rsidR="00431A55" w:rsidRPr="00277FBC" w:rsidRDefault="00431A55" w:rsidP="006F4248">
      <w:pPr>
        <w:pStyle w:val="FootnoteText"/>
        <w:rPr>
          <w:sz w:val="20"/>
          <w:szCs w:val="20"/>
          <w:vertAlign w:val="baseline"/>
          <w:lang w:val="en-US"/>
        </w:rPr>
      </w:pPr>
      <w:r w:rsidRPr="00277FBC">
        <w:rPr>
          <w:rStyle w:val="FootnoteReference"/>
          <w:sz w:val="20"/>
          <w:szCs w:val="20"/>
        </w:rPr>
        <w:footnoteRef/>
      </w:r>
      <w:r w:rsidRPr="00277FBC">
        <w:rPr>
          <w:sz w:val="20"/>
          <w:szCs w:val="20"/>
          <w:vertAlign w:val="baseline"/>
        </w:rPr>
        <w:t xml:space="preserve"> Margot Badran, ‘Islamic feminism: What's in a name?’ (2002) 569 Al-Ahram Weekly Online 1</w:t>
      </w:r>
    </w:p>
  </w:footnote>
  <w:footnote w:id="61">
    <w:p w14:paraId="4BAECE1C" w14:textId="488AA503" w:rsidR="00431A55" w:rsidRPr="00277FBC" w:rsidRDefault="00431A55" w:rsidP="006F4248">
      <w:pPr>
        <w:pStyle w:val="FootnoteText"/>
        <w:rPr>
          <w:sz w:val="20"/>
          <w:szCs w:val="20"/>
          <w:vertAlign w:val="baseline"/>
          <w:lang w:val="en-US"/>
        </w:rPr>
      </w:pPr>
      <w:r w:rsidRPr="00277FBC">
        <w:rPr>
          <w:rStyle w:val="FootnoteReference"/>
          <w:sz w:val="20"/>
          <w:szCs w:val="20"/>
        </w:rPr>
        <w:footnoteRef/>
      </w:r>
      <w:r w:rsidRPr="00277FBC">
        <w:rPr>
          <w:sz w:val="20"/>
          <w:szCs w:val="20"/>
          <w:vertAlign w:val="baseline"/>
        </w:rPr>
        <w:t xml:space="preserve"> Zarina Bhatty; Leela Dube; Jasodhara Bagchi; Asma Jahangir; Riffat Hassan; Fareeda Kokikhal Afridi; Begum Ra'ana Liaquat Ali Khan; Taraba</w:t>
      </w:r>
      <w:r>
        <w:rPr>
          <w:sz w:val="20"/>
          <w:szCs w:val="20"/>
          <w:vertAlign w:val="baseline"/>
        </w:rPr>
        <w:t>i Shinde; Madhu Purnima Kishwar</w:t>
      </w:r>
    </w:p>
  </w:footnote>
  <w:footnote w:id="62">
    <w:p w14:paraId="0C25E131" w14:textId="05DA6906" w:rsidR="00431A55" w:rsidRPr="00277FBC" w:rsidRDefault="00431A55" w:rsidP="006F4248">
      <w:pPr>
        <w:pStyle w:val="FootnoteText"/>
        <w:rPr>
          <w:sz w:val="20"/>
          <w:szCs w:val="20"/>
          <w:vertAlign w:val="baseline"/>
          <w:lang w:val="en-US"/>
        </w:rPr>
      </w:pPr>
      <w:r w:rsidRPr="00277FBC">
        <w:rPr>
          <w:rStyle w:val="FootnoteReference"/>
          <w:sz w:val="20"/>
          <w:szCs w:val="20"/>
        </w:rPr>
        <w:footnoteRef/>
      </w:r>
      <w:r w:rsidRPr="00277FBC">
        <w:rPr>
          <w:sz w:val="20"/>
          <w:szCs w:val="20"/>
          <w:vertAlign w:val="baseline"/>
        </w:rPr>
        <w:t xml:space="preserve"> Rehana Ghadially, </w:t>
      </w:r>
      <w:r w:rsidRPr="00277FBC">
        <w:rPr>
          <w:i/>
          <w:sz w:val="20"/>
          <w:szCs w:val="20"/>
          <w:vertAlign w:val="baseline"/>
        </w:rPr>
        <w:t>Urban Women in Contemporary India: A Reader</w:t>
      </w:r>
      <w:r>
        <w:rPr>
          <w:sz w:val="20"/>
          <w:szCs w:val="20"/>
          <w:vertAlign w:val="baseline"/>
        </w:rPr>
        <w:t xml:space="preserve"> (Sage Publications 2007)</w:t>
      </w:r>
    </w:p>
  </w:footnote>
  <w:footnote w:id="63">
    <w:p w14:paraId="243CC030" w14:textId="77777777" w:rsidR="00431A55" w:rsidRPr="00573964" w:rsidRDefault="00431A55" w:rsidP="006F4248">
      <w:pPr>
        <w:pStyle w:val="FootnoteText"/>
        <w:rPr>
          <w:lang w:val="en-US"/>
        </w:rPr>
      </w:pPr>
      <w:r w:rsidRPr="00277FBC">
        <w:rPr>
          <w:rStyle w:val="FootnoteReference"/>
          <w:sz w:val="20"/>
          <w:szCs w:val="20"/>
        </w:rPr>
        <w:footnoteRef/>
      </w:r>
      <w:r w:rsidRPr="00277FBC">
        <w:rPr>
          <w:sz w:val="20"/>
          <w:szCs w:val="20"/>
        </w:rPr>
        <w:t xml:space="preserve"> </w:t>
      </w:r>
      <w:r w:rsidRPr="00277FBC">
        <w:rPr>
          <w:sz w:val="20"/>
          <w:szCs w:val="20"/>
          <w:vertAlign w:val="baseline"/>
        </w:rPr>
        <w:t>Kavitha Rao, ‘Every woman in India is likely to have experienced some sexual harassment’ The Independent (India, 31 December 2012)</w:t>
      </w:r>
    </w:p>
  </w:footnote>
  <w:footnote w:id="64">
    <w:p w14:paraId="49A5AB6F" w14:textId="77777777" w:rsidR="00431A55" w:rsidRPr="00B92D5C" w:rsidRDefault="00431A55" w:rsidP="006F4248">
      <w:pPr>
        <w:pStyle w:val="FootnoteText"/>
        <w:rPr>
          <w:sz w:val="20"/>
          <w:szCs w:val="20"/>
          <w:vertAlign w:val="baseline"/>
          <w:lang w:val="en-US"/>
        </w:rPr>
      </w:pPr>
      <w:r w:rsidRPr="00B92D5C">
        <w:rPr>
          <w:rStyle w:val="FootnoteReference"/>
          <w:sz w:val="20"/>
          <w:szCs w:val="20"/>
        </w:rPr>
        <w:footnoteRef/>
      </w:r>
      <w:r w:rsidRPr="00B92D5C">
        <w:rPr>
          <w:sz w:val="20"/>
          <w:szCs w:val="20"/>
          <w:vertAlign w:val="baseline"/>
        </w:rPr>
        <w:t xml:space="preserve"> </w:t>
      </w:r>
      <w:r w:rsidRPr="00B92D5C">
        <w:rPr>
          <w:sz w:val="20"/>
          <w:szCs w:val="20"/>
          <w:vertAlign w:val="baseline"/>
          <w:lang w:val="en-US"/>
        </w:rPr>
        <w:t>Bishnu Raj Upreti, ‘Non-violent Approach of Conflict Transformation and Peace Building: Experiences of April 2006 People’s Movement of Nepal’ Conference Paper (9th Sustainable Development Conference, Islamabad 13-15 December 2006) 6</w:t>
      </w:r>
    </w:p>
  </w:footnote>
  <w:footnote w:id="65">
    <w:p w14:paraId="73AE8B6D" w14:textId="77777777" w:rsidR="00431A55" w:rsidRPr="00B92D5C" w:rsidRDefault="00431A55" w:rsidP="006F4248">
      <w:pPr>
        <w:pStyle w:val="FootnoteText"/>
        <w:rPr>
          <w:sz w:val="20"/>
          <w:szCs w:val="20"/>
          <w:vertAlign w:val="baseline"/>
          <w:lang w:val="en-US"/>
        </w:rPr>
      </w:pPr>
      <w:r w:rsidRPr="00B92D5C">
        <w:rPr>
          <w:rStyle w:val="FootnoteReference"/>
          <w:sz w:val="20"/>
          <w:szCs w:val="20"/>
        </w:rPr>
        <w:footnoteRef/>
      </w:r>
      <w:r w:rsidRPr="00B92D5C">
        <w:rPr>
          <w:sz w:val="20"/>
          <w:szCs w:val="20"/>
          <w:vertAlign w:val="baseline"/>
        </w:rPr>
        <w:t xml:space="preserve"> The lowest and most oppressed caste</w:t>
      </w:r>
    </w:p>
  </w:footnote>
  <w:footnote w:id="66">
    <w:p w14:paraId="0A27C717" w14:textId="77777777" w:rsidR="00431A55" w:rsidRPr="00B92D5C" w:rsidRDefault="00431A55" w:rsidP="006F4248">
      <w:pPr>
        <w:pStyle w:val="FootnoteText"/>
        <w:rPr>
          <w:sz w:val="20"/>
          <w:szCs w:val="20"/>
          <w:vertAlign w:val="baseline"/>
          <w:lang w:val="en-US"/>
        </w:rPr>
      </w:pPr>
      <w:r w:rsidRPr="00B92D5C">
        <w:rPr>
          <w:rStyle w:val="FootnoteReference"/>
          <w:sz w:val="20"/>
          <w:szCs w:val="20"/>
        </w:rPr>
        <w:footnoteRef/>
      </w:r>
      <w:r w:rsidRPr="00B92D5C">
        <w:rPr>
          <w:sz w:val="20"/>
          <w:szCs w:val="20"/>
        </w:rPr>
        <w:t xml:space="preserve"> </w:t>
      </w:r>
      <w:r w:rsidRPr="00B92D5C">
        <w:rPr>
          <w:sz w:val="20"/>
          <w:szCs w:val="20"/>
          <w:vertAlign w:val="baseline"/>
        </w:rPr>
        <w:t>Indigenous and ethnic groups</w:t>
      </w:r>
    </w:p>
  </w:footnote>
  <w:footnote w:id="67">
    <w:p w14:paraId="330D85D0" w14:textId="77777777" w:rsidR="00431A55" w:rsidRPr="00B92D5C" w:rsidRDefault="00431A55" w:rsidP="006F4248">
      <w:pPr>
        <w:pStyle w:val="FootnoteText"/>
        <w:rPr>
          <w:sz w:val="20"/>
          <w:szCs w:val="20"/>
          <w:vertAlign w:val="baseline"/>
          <w:lang w:val="en-US"/>
        </w:rPr>
      </w:pPr>
      <w:r w:rsidRPr="00B92D5C">
        <w:rPr>
          <w:rStyle w:val="FootnoteReference"/>
          <w:sz w:val="20"/>
          <w:szCs w:val="20"/>
        </w:rPr>
        <w:footnoteRef/>
      </w:r>
      <w:r w:rsidRPr="00B92D5C">
        <w:rPr>
          <w:sz w:val="20"/>
          <w:szCs w:val="20"/>
        </w:rPr>
        <w:t xml:space="preserve"> </w:t>
      </w:r>
      <w:r w:rsidRPr="00B92D5C">
        <w:rPr>
          <w:sz w:val="20"/>
          <w:szCs w:val="20"/>
          <w:vertAlign w:val="baseline"/>
          <w:lang w:val="en-US"/>
        </w:rPr>
        <w:t>Inhabitants of the southern plains of Nepal</w:t>
      </w:r>
    </w:p>
  </w:footnote>
  <w:footnote w:id="68">
    <w:p w14:paraId="28D348D7" w14:textId="77777777" w:rsidR="00431A55" w:rsidRPr="00B92D5C" w:rsidRDefault="00431A55" w:rsidP="006F4248">
      <w:pPr>
        <w:pStyle w:val="FootnoteText"/>
        <w:rPr>
          <w:sz w:val="20"/>
          <w:szCs w:val="20"/>
          <w:vertAlign w:val="baseline"/>
        </w:rPr>
      </w:pPr>
      <w:r w:rsidRPr="00B92D5C">
        <w:rPr>
          <w:rStyle w:val="FootnoteReference"/>
          <w:sz w:val="20"/>
          <w:szCs w:val="20"/>
        </w:rPr>
        <w:footnoteRef/>
      </w:r>
      <w:r w:rsidRPr="00B92D5C">
        <w:rPr>
          <w:sz w:val="20"/>
          <w:szCs w:val="20"/>
        </w:rPr>
        <w:t xml:space="preserve"> </w:t>
      </w:r>
      <w:r w:rsidRPr="00B92D5C">
        <w:rPr>
          <w:sz w:val="20"/>
          <w:szCs w:val="20"/>
          <w:vertAlign w:val="baseline"/>
        </w:rPr>
        <w:t>ASMITA Women’s Publishing House, Media and Resource Organisation, ‘ASMITA 2008 and beyond’ (</w:t>
      </w:r>
      <w:r w:rsidRPr="00B92D5C">
        <w:rPr>
          <w:i/>
          <w:sz w:val="20"/>
          <w:szCs w:val="20"/>
          <w:vertAlign w:val="baseline"/>
        </w:rPr>
        <w:t xml:space="preserve">ASMITA, </w:t>
      </w:r>
      <w:r w:rsidRPr="00B92D5C">
        <w:rPr>
          <w:sz w:val="20"/>
          <w:szCs w:val="20"/>
          <w:vertAlign w:val="baseline"/>
        </w:rPr>
        <w:t>October 2014) &lt;</w:t>
      </w:r>
      <w:hyperlink r:id="rId6" w:history="1">
        <w:r w:rsidRPr="00B92D5C">
          <w:rPr>
            <w:rStyle w:val="Hyperlink"/>
            <w:sz w:val="20"/>
            <w:szCs w:val="20"/>
            <w:vertAlign w:val="baseline"/>
          </w:rPr>
          <w:t>http://www.asmita.org.np/</w:t>
        </w:r>
      </w:hyperlink>
      <w:r w:rsidRPr="00B92D5C">
        <w:rPr>
          <w:sz w:val="20"/>
          <w:szCs w:val="20"/>
          <w:vertAlign w:val="baseline"/>
        </w:rPr>
        <w:t>&gt; accessed 8 September 2015</w:t>
      </w:r>
    </w:p>
  </w:footnote>
  <w:footnote w:id="69">
    <w:p w14:paraId="4C9E367F" w14:textId="77777777" w:rsidR="00431A55" w:rsidRPr="00B92D5C" w:rsidRDefault="00431A55" w:rsidP="006F4248">
      <w:pPr>
        <w:pStyle w:val="FootnoteText"/>
        <w:rPr>
          <w:sz w:val="20"/>
          <w:szCs w:val="20"/>
          <w:vertAlign w:val="baseline"/>
        </w:rPr>
      </w:pPr>
      <w:r w:rsidRPr="00B92D5C">
        <w:rPr>
          <w:rStyle w:val="FootnoteReference"/>
          <w:sz w:val="20"/>
          <w:szCs w:val="20"/>
        </w:rPr>
        <w:footnoteRef/>
      </w:r>
      <w:r w:rsidRPr="00B92D5C">
        <w:rPr>
          <w:sz w:val="20"/>
          <w:szCs w:val="20"/>
        </w:rPr>
        <w:t xml:space="preserve"> </w:t>
      </w:r>
      <w:r w:rsidRPr="00B92D5C">
        <w:rPr>
          <w:sz w:val="20"/>
          <w:szCs w:val="20"/>
          <w:vertAlign w:val="baseline"/>
        </w:rPr>
        <w:t>Founder of TEWA (meaning support) Philanthropy for Equitable Justice and Peace &lt;</w:t>
      </w:r>
      <w:hyperlink r:id="rId7" w:history="1">
        <w:r w:rsidRPr="00B92D5C">
          <w:rPr>
            <w:rStyle w:val="Hyperlink"/>
            <w:sz w:val="20"/>
            <w:szCs w:val="20"/>
            <w:vertAlign w:val="baseline"/>
          </w:rPr>
          <w:t>http://www.tewa.org.np/site/index.php</w:t>
        </w:r>
      </w:hyperlink>
      <w:r w:rsidRPr="00B92D5C">
        <w:rPr>
          <w:sz w:val="20"/>
          <w:szCs w:val="20"/>
          <w:vertAlign w:val="baseline"/>
        </w:rPr>
        <w:t>&gt; accessed 8 September 2015</w:t>
      </w:r>
    </w:p>
  </w:footnote>
  <w:footnote w:id="70">
    <w:p w14:paraId="6C9D9088" w14:textId="77777777" w:rsidR="00431A55" w:rsidRPr="00571E93" w:rsidRDefault="00431A55" w:rsidP="006F4248">
      <w:pPr>
        <w:pStyle w:val="FootnoteText"/>
        <w:rPr>
          <w:lang w:val="en-US"/>
        </w:rPr>
      </w:pPr>
      <w:r w:rsidRPr="00B92D5C">
        <w:rPr>
          <w:rStyle w:val="FootnoteReference"/>
          <w:sz w:val="20"/>
          <w:szCs w:val="20"/>
        </w:rPr>
        <w:footnoteRef/>
      </w:r>
      <w:r w:rsidRPr="00B92D5C">
        <w:rPr>
          <w:sz w:val="20"/>
          <w:szCs w:val="20"/>
        </w:rPr>
        <w:t xml:space="preserve"> </w:t>
      </w:r>
      <w:r w:rsidRPr="00B92D5C">
        <w:rPr>
          <w:sz w:val="20"/>
          <w:szCs w:val="20"/>
          <w:vertAlign w:val="baseline"/>
          <w:lang w:val="en-US"/>
        </w:rPr>
        <w:t>Rita Thapa as quoted in Anna Tomaluso, ‘A Woman’s place in Nepal’ (</w:t>
      </w:r>
      <w:r w:rsidRPr="00B92D5C">
        <w:rPr>
          <w:i/>
          <w:sz w:val="20"/>
          <w:szCs w:val="20"/>
          <w:vertAlign w:val="baseline"/>
          <w:lang w:val="en-US"/>
        </w:rPr>
        <w:t>Pulitzer Center,</w:t>
      </w:r>
      <w:r w:rsidRPr="00B92D5C">
        <w:rPr>
          <w:sz w:val="20"/>
          <w:szCs w:val="20"/>
          <w:vertAlign w:val="baseline"/>
          <w:lang w:val="en-US"/>
        </w:rPr>
        <w:t xml:space="preserve"> 12 August 2011) &lt;</w:t>
      </w:r>
      <w:hyperlink r:id="rId8" w:history="1">
        <w:r w:rsidRPr="00B92D5C">
          <w:rPr>
            <w:rStyle w:val="Hyperlink"/>
            <w:sz w:val="20"/>
            <w:szCs w:val="20"/>
            <w:vertAlign w:val="baseline"/>
            <w:lang w:val="en-US"/>
          </w:rPr>
          <w:t>http://pulitzercenter.org/reporting/womans-place-nepal</w:t>
        </w:r>
      </w:hyperlink>
      <w:r w:rsidRPr="00B92D5C">
        <w:rPr>
          <w:sz w:val="20"/>
          <w:szCs w:val="20"/>
          <w:vertAlign w:val="baseline"/>
          <w:lang w:val="en-US"/>
        </w:rPr>
        <w:t>&gt; accessed 8 September 2015</w:t>
      </w:r>
    </w:p>
  </w:footnote>
  <w:footnote w:id="71">
    <w:p w14:paraId="73BEAEE9" w14:textId="77777777" w:rsidR="00431A55" w:rsidRPr="00B92D5C" w:rsidRDefault="00431A55" w:rsidP="006F4248">
      <w:pPr>
        <w:pStyle w:val="FootnoteText"/>
        <w:rPr>
          <w:sz w:val="20"/>
          <w:szCs w:val="20"/>
          <w:vertAlign w:val="baseline"/>
          <w:lang w:val="en-US"/>
        </w:rPr>
      </w:pPr>
      <w:r w:rsidRPr="00B92D5C">
        <w:rPr>
          <w:rStyle w:val="FootnoteReference"/>
          <w:sz w:val="20"/>
          <w:szCs w:val="20"/>
        </w:rPr>
        <w:footnoteRef/>
      </w:r>
      <w:r w:rsidRPr="00B92D5C">
        <w:rPr>
          <w:sz w:val="20"/>
          <w:szCs w:val="20"/>
        </w:rPr>
        <w:t xml:space="preserve"> </w:t>
      </w:r>
      <w:r w:rsidRPr="00B92D5C">
        <w:rPr>
          <w:sz w:val="20"/>
          <w:szCs w:val="20"/>
          <w:vertAlign w:val="baseline"/>
          <w:lang w:val="en-US"/>
        </w:rPr>
        <w:t xml:space="preserve">Elizabeth C. Brouwer, Bruce M. Harris, Sonomi Tanaka, </w:t>
      </w:r>
      <w:r w:rsidRPr="00B92D5C">
        <w:rPr>
          <w:i/>
          <w:sz w:val="20"/>
          <w:szCs w:val="20"/>
          <w:vertAlign w:val="baseline"/>
          <w:lang w:val="en-US"/>
        </w:rPr>
        <w:t>Gender Analysis in Papua New Guinea</w:t>
      </w:r>
      <w:r w:rsidRPr="00B92D5C">
        <w:rPr>
          <w:sz w:val="20"/>
          <w:szCs w:val="20"/>
          <w:vertAlign w:val="baseline"/>
          <w:lang w:val="en-US"/>
        </w:rPr>
        <w:t xml:space="preserve"> (World Bank Publications 1998) 65</w:t>
      </w:r>
    </w:p>
  </w:footnote>
  <w:footnote w:id="72">
    <w:p w14:paraId="75490412" w14:textId="550D98B7" w:rsidR="00431A55" w:rsidRPr="00B92D5C" w:rsidRDefault="00431A55" w:rsidP="006F4248">
      <w:pPr>
        <w:pStyle w:val="FootnoteText"/>
        <w:rPr>
          <w:sz w:val="20"/>
          <w:szCs w:val="20"/>
          <w:vertAlign w:val="baseline"/>
          <w:lang w:val="en-US"/>
        </w:rPr>
      </w:pPr>
      <w:r w:rsidRPr="00B92D5C">
        <w:rPr>
          <w:rStyle w:val="FootnoteReference"/>
          <w:sz w:val="20"/>
          <w:szCs w:val="20"/>
        </w:rPr>
        <w:footnoteRef/>
      </w:r>
      <w:r w:rsidRPr="00B92D5C">
        <w:rPr>
          <w:sz w:val="20"/>
          <w:szCs w:val="20"/>
          <w:vertAlign w:val="baseline"/>
        </w:rPr>
        <w:t xml:space="preserve"> </w:t>
      </w:r>
      <w:r>
        <w:rPr>
          <w:sz w:val="20"/>
          <w:szCs w:val="20"/>
          <w:vertAlign w:val="baseline"/>
          <w:lang w:val="en-US"/>
        </w:rPr>
        <w:t>ibid</w:t>
      </w:r>
    </w:p>
  </w:footnote>
  <w:footnote w:id="73">
    <w:p w14:paraId="0D2E283E" w14:textId="77777777" w:rsidR="00431A55" w:rsidRPr="00B92D5C" w:rsidRDefault="00431A55" w:rsidP="006F4248">
      <w:pPr>
        <w:pStyle w:val="FootnoteText"/>
        <w:rPr>
          <w:sz w:val="20"/>
          <w:szCs w:val="20"/>
          <w:vertAlign w:val="baseline"/>
          <w:lang w:val="en-US"/>
        </w:rPr>
      </w:pPr>
      <w:r w:rsidRPr="00B92D5C">
        <w:rPr>
          <w:rStyle w:val="FootnoteReference"/>
          <w:sz w:val="20"/>
          <w:szCs w:val="20"/>
        </w:rPr>
        <w:footnoteRef/>
      </w:r>
      <w:r w:rsidRPr="00B92D5C">
        <w:rPr>
          <w:sz w:val="20"/>
          <w:szCs w:val="20"/>
          <w:vertAlign w:val="baseline"/>
        </w:rPr>
        <w:t xml:space="preserve"> </w:t>
      </w:r>
      <w:r w:rsidRPr="00B92D5C">
        <w:rPr>
          <w:sz w:val="20"/>
          <w:szCs w:val="20"/>
          <w:vertAlign w:val="baseline"/>
          <w:lang w:val="en-US"/>
        </w:rPr>
        <w:t>PNG Watch Council &lt;</w:t>
      </w:r>
      <w:hyperlink r:id="rId9" w:history="1">
        <w:r w:rsidRPr="00B92D5C">
          <w:rPr>
            <w:rStyle w:val="Hyperlink"/>
            <w:sz w:val="20"/>
            <w:szCs w:val="20"/>
            <w:vertAlign w:val="baseline"/>
            <w:lang w:val="en-US"/>
          </w:rPr>
          <w:t>https://www.greenleft.org.au/node/13248</w:t>
        </w:r>
      </w:hyperlink>
      <w:r w:rsidRPr="00B92D5C">
        <w:rPr>
          <w:sz w:val="20"/>
          <w:szCs w:val="20"/>
          <w:vertAlign w:val="baseline"/>
          <w:lang w:val="en-US"/>
        </w:rPr>
        <w:t>&gt; accessed 8 September 2015</w:t>
      </w:r>
    </w:p>
  </w:footnote>
  <w:footnote w:id="74">
    <w:p w14:paraId="3ECA962F" w14:textId="77777777" w:rsidR="00431A55" w:rsidRPr="00B92D5C" w:rsidRDefault="00431A55" w:rsidP="006F4248">
      <w:pPr>
        <w:pStyle w:val="FootnoteText"/>
        <w:rPr>
          <w:sz w:val="20"/>
          <w:szCs w:val="20"/>
          <w:vertAlign w:val="baseline"/>
          <w:lang w:val="en-US"/>
        </w:rPr>
      </w:pPr>
      <w:r w:rsidRPr="00B92D5C">
        <w:rPr>
          <w:rStyle w:val="FootnoteReference"/>
          <w:sz w:val="20"/>
          <w:szCs w:val="20"/>
        </w:rPr>
        <w:footnoteRef/>
      </w:r>
      <w:r w:rsidRPr="00B92D5C">
        <w:rPr>
          <w:sz w:val="20"/>
          <w:szCs w:val="20"/>
        </w:rPr>
        <w:t xml:space="preserve"> </w:t>
      </w:r>
      <w:r w:rsidRPr="00B92D5C">
        <w:rPr>
          <w:sz w:val="20"/>
          <w:szCs w:val="20"/>
          <w:vertAlign w:val="baseline"/>
        </w:rPr>
        <w:t>Youth Women Leading Change (</w:t>
      </w:r>
      <w:r w:rsidRPr="00B92D5C">
        <w:rPr>
          <w:sz w:val="20"/>
          <w:szCs w:val="20"/>
          <w:vertAlign w:val="baseline"/>
          <w:lang w:val="en-US"/>
        </w:rPr>
        <w:t>YWCA)</w:t>
      </w:r>
      <w:r w:rsidRPr="00B92D5C">
        <w:rPr>
          <w:sz w:val="20"/>
          <w:szCs w:val="20"/>
          <w:vertAlign w:val="baseline"/>
        </w:rPr>
        <w:t xml:space="preserve"> &lt;</w:t>
      </w:r>
      <w:hyperlink r:id="rId10" w:history="1">
        <w:r w:rsidRPr="00B92D5C">
          <w:rPr>
            <w:rStyle w:val="Hyperlink"/>
            <w:sz w:val="20"/>
            <w:szCs w:val="20"/>
            <w:vertAlign w:val="baseline"/>
            <w:lang w:val="en-US"/>
          </w:rPr>
          <w:t>http://www.worldywca.org/Member-Associations/Regions/Pacific/The-YWCA-of-Papua-New-Guinea-Celebrates-International-Youth-Day</w:t>
        </w:r>
      </w:hyperlink>
      <w:r w:rsidRPr="00B92D5C">
        <w:rPr>
          <w:sz w:val="20"/>
          <w:szCs w:val="20"/>
          <w:vertAlign w:val="baseline"/>
          <w:lang w:val="en-US"/>
        </w:rPr>
        <w:t>&gt; accessed 8 September 2015, Country Women’s Association&lt;</w:t>
      </w:r>
      <w:hyperlink r:id="rId11" w:history="1">
        <w:r w:rsidRPr="00B92D5C">
          <w:rPr>
            <w:rStyle w:val="Hyperlink"/>
            <w:sz w:val="20"/>
            <w:szCs w:val="20"/>
            <w:vertAlign w:val="baseline"/>
            <w:lang w:val="en-US"/>
          </w:rPr>
          <w:t>http://madangcwapng.weebly.com/</w:t>
        </w:r>
      </w:hyperlink>
      <w:r w:rsidRPr="00B92D5C">
        <w:rPr>
          <w:sz w:val="20"/>
          <w:szCs w:val="20"/>
          <w:vertAlign w:val="baseline"/>
          <w:lang w:val="en-US"/>
        </w:rPr>
        <w:t>&gt; accessed 8 September 2015</w:t>
      </w:r>
    </w:p>
  </w:footnote>
  <w:footnote w:id="75">
    <w:p w14:paraId="7CF063BC" w14:textId="77777777" w:rsidR="00431A55" w:rsidRPr="00B92D5C" w:rsidRDefault="00431A55" w:rsidP="006F4248">
      <w:pPr>
        <w:pStyle w:val="FootnoteText"/>
        <w:rPr>
          <w:sz w:val="20"/>
          <w:szCs w:val="20"/>
          <w:vertAlign w:val="baseline"/>
          <w:lang w:val="en-US"/>
        </w:rPr>
      </w:pPr>
      <w:r w:rsidRPr="00B92D5C">
        <w:rPr>
          <w:rStyle w:val="FootnoteReference"/>
          <w:sz w:val="20"/>
          <w:szCs w:val="20"/>
        </w:rPr>
        <w:footnoteRef/>
      </w:r>
      <w:r w:rsidRPr="00B92D5C">
        <w:rPr>
          <w:sz w:val="20"/>
          <w:szCs w:val="20"/>
        </w:rPr>
        <w:t xml:space="preserve"> </w:t>
      </w:r>
      <w:r w:rsidRPr="00B92D5C">
        <w:rPr>
          <w:sz w:val="20"/>
          <w:szCs w:val="20"/>
          <w:vertAlign w:val="baseline"/>
          <w:lang w:val="en-US"/>
        </w:rPr>
        <w:t>Peace Women &lt;</w:t>
      </w:r>
      <w:hyperlink r:id="rId12" w:history="1">
        <w:r w:rsidRPr="00B92D5C">
          <w:rPr>
            <w:rStyle w:val="Hyperlink"/>
            <w:sz w:val="20"/>
            <w:szCs w:val="20"/>
            <w:vertAlign w:val="baseline"/>
            <w:lang w:val="en-US"/>
          </w:rPr>
          <w:t>http://www.peacewomen.org/why-WPS</w:t>
        </w:r>
      </w:hyperlink>
      <w:r w:rsidRPr="00B92D5C">
        <w:rPr>
          <w:sz w:val="20"/>
          <w:szCs w:val="20"/>
          <w:vertAlign w:val="baseline"/>
          <w:lang w:val="en-US"/>
        </w:rPr>
        <w:t>&gt; accessed 8 September 2015</w:t>
      </w:r>
    </w:p>
  </w:footnote>
  <w:footnote w:id="76">
    <w:p w14:paraId="2D2F1B42" w14:textId="77777777" w:rsidR="00431A55" w:rsidRPr="00B92D5C" w:rsidRDefault="00431A55" w:rsidP="006F4248">
      <w:pPr>
        <w:pStyle w:val="FootnoteText"/>
        <w:rPr>
          <w:sz w:val="20"/>
          <w:szCs w:val="20"/>
          <w:vertAlign w:val="baseline"/>
          <w:lang w:val="en-US"/>
        </w:rPr>
      </w:pPr>
      <w:r w:rsidRPr="00B92D5C">
        <w:rPr>
          <w:rStyle w:val="FootnoteReference"/>
          <w:sz w:val="20"/>
          <w:szCs w:val="20"/>
        </w:rPr>
        <w:footnoteRef/>
      </w:r>
      <w:r w:rsidRPr="00B92D5C">
        <w:rPr>
          <w:sz w:val="20"/>
          <w:szCs w:val="20"/>
        </w:rPr>
        <w:t xml:space="preserve"> </w:t>
      </w:r>
      <w:r w:rsidRPr="00B92D5C">
        <w:rPr>
          <w:sz w:val="20"/>
          <w:szCs w:val="20"/>
          <w:vertAlign w:val="baseline"/>
          <w:lang w:val="en-US"/>
        </w:rPr>
        <w:t>ICRAF (Individual and Community Rights Advocacy Forum) &lt;</w:t>
      </w:r>
      <w:hyperlink r:id="rId13" w:history="1">
        <w:r w:rsidRPr="00B92D5C">
          <w:rPr>
            <w:rStyle w:val="Hyperlink"/>
            <w:sz w:val="20"/>
            <w:szCs w:val="20"/>
            <w:vertAlign w:val="baseline"/>
            <w:lang w:val="en-US"/>
          </w:rPr>
          <w:t>http://www.commonwealthofnations.org/organisations/individual_and_community_rights__advocacy_forum_icraf/</w:t>
        </w:r>
      </w:hyperlink>
      <w:r w:rsidRPr="00B92D5C">
        <w:rPr>
          <w:sz w:val="20"/>
          <w:szCs w:val="20"/>
          <w:vertAlign w:val="baseline"/>
          <w:lang w:val="en-US"/>
        </w:rPr>
        <w:t>&gt; accessed 8 September 2015, East Sepik Council of Women (ESCOW) &lt;</w:t>
      </w:r>
      <w:hyperlink r:id="rId14" w:history="1">
        <w:r w:rsidRPr="00B92D5C">
          <w:rPr>
            <w:rStyle w:val="Hyperlink"/>
            <w:sz w:val="20"/>
            <w:szCs w:val="20"/>
            <w:vertAlign w:val="baseline"/>
            <w:lang w:val="en-US"/>
          </w:rPr>
          <w:t>http://www.dgtp.org.pg/old_site/partner_ESCOW.htm</w:t>
        </w:r>
      </w:hyperlink>
      <w:r w:rsidRPr="00B92D5C">
        <w:rPr>
          <w:sz w:val="20"/>
          <w:szCs w:val="20"/>
          <w:vertAlign w:val="baseline"/>
          <w:lang w:val="en-US"/>
        </w:rPr>
        <w:t>&gt; accessed 8 September 2015</w:t>
      </w:r>
    </w:p>
  </w:footnote>
  <w:footnote w:id="77">
    <w:p w14:paraId="0335857A" w14:textId="77777777" w:rsidR="00431A55" w:rsidRPr="00B92D5C" w:rsidRDefault="00431A55" w:rsidP="006F4248">
      <w:pPr>
        <w:pStyle w:val="FootnoteText"/>
        <w:rPr>
          <w:sz w:val="20"/>
          <w:szCs w:val="20"/>
          <w:vertAlign w:val="baseline"/>
        </w:rPr>
      </w:pPr>
      <w:r w:rsidRPr="00B92D5C">
        <w:rPr>
          <w:rStyle w:val="FootnoteReference"/>
          <w:sz w:val="20"/>
          <w:szCs w:val="20"/>
        </w:rPr>
        <w:footnoteRef/>
      </w:r>
      <w:r w:rsidRPr="00B92D5C">
        <w:rPr>
          <w:sz w:val="20"/>
          <w:szCs w:val="20"/>
        </w:rPr>
        <w:t xml:space="preserve"> </w:t>
      </w:r>
      <w:r w:rsidRPr="00B92D5C">
        <w:rPr>
          <w:sz w:val="20"/>
          <w:szCs w:val="20"/>
          <w:vertAlign w:val="baseline"/>
        </w:rPr>
        <w:t>OHCHR, ‘Making “secret plans” to stop tribal fighting and end violence against women’ (</w:t>
      </w:r>
      <w:r w:rsidRPr="00B92D5C">
        <w:rPr>
          <w:i/>
          <w:sz w:val="20"/>
          <w:szCs w:val="20"/>
          <w:vertAlign w:val="baseline"/>
        </w:rPr>
        <w:t>OHCHR,</w:t>
      </w:r>
      <w:r w:rsidRPr="00B92D5C">
        <w:rPr>
          <w:sz w:val="20"/>
          <w:szCs w:val="20"/>
          <w:vertAlign w:val="baseline"/>
        </w:rPr>
        <w:t xml:space="preserve"> 16 January 2012) &lt;</w:t>
      </w:r>
      <w:hyperlink r:id="rId15" w:history="1">
        <w:r w:rsidRPr="00B92D5C">
          <w:rPr>
            <w:rStyle w:val="Hyperlink"/>
            <w:sz w:val="20"/>
            <w:szCs w:val="20"/>
            <w:vertAlign w:val="baseline"/>
          </w:rPr>
          <w:t>http://www.ohchr.org/EN/NewsEvents/Pages/StopTribalFighting.aspx</w:t>
        </w:r>
      </w:hyperlink>
      <w:r w:rsidRPr="00B92D5C">
        <w:rPr>
          <w:sz w:val="20"/>
          <w:szCs w:val="20"/>
          <w:vertAlign w:val="baseline"/>
        </w:rPr>
        <w:t>&gt; accessed 8 September 2015; OHCHR, ’16 days of activism: fighting against sorcery related killings’ (</w:t>
      </w:r>
      <w:r w:rsidRPr="00B92D5C">
        <w:rPr>
          <w:i/>
          <w:sz w:val="20"/>
          <w:szCs w:val="20"/>
          <w:vertAlign w:val="baseline"/>
        </w:rPr>
        <w:t xml:space="preserve">OHCHR, </w:t>
      </w:r>
      <w:r w:rsidRPr="00B92D5C">
        <w:rPr>
          <w:sz w:val="20"/>
          <w:szCs w:val="20"/>
          <w:vertAlign w:val="baseline"/>
        </w:rPr>
        <w:t>11 December 2011)</w:t>
      </w:r>
    </w:p>
    <w:p w14:paraId="374E4C46" w14:textId="77777777" w:rsidR="00431A55" w:rsidRPr="00B92D5C" w:rsidRDefault="00431A55" w:rsidP="006F4248">
      <w:pPr>
        <w:pStyle w:val="FootnoteText"/>
        <w:rPr>
          <w:sz w:val="20"/>
          <w:szCs w:val="20"/>
          <w:vertAlign w:val="baseline"/>
        </w:rPr>
      </w:pPr>
      <w:r w:rsidRPr="00B92D5C">
        <w:rPr>
          <w:sz w:val="20"/>
          <w:szCs w:val="20"/>
          <w:vertAlign w:val="baseline"/>
        </w:rPr>
        <w:t>&lt;</w:t>
      </w:r>
      <w:hyperlink r:id="rId16" w:history="1">
        <w:r w:rsidRPr="00B92D5C">
          <w:rPr>
            <w:rStyle w:val="Hyperlink"/>
            <w:sz w:val="20"/>
            <w:szCs w:val="20"/>
            <w:vertAlign w:val="baseline"/>
          </w:rPr>
          <w:t>http://www.ohchr.org/EN/NewsEvents/Pages/FightingAgainstSorceryRelatedKillings.aspx</w:t>
        </w:r>
      </w:hyperlink>
      <w:r w:rsidRPr="00B92D5C">
        <w:rPr>
          <w:sz w:val="20"/>
          <w:szCs w:val="20"/>
          <w:vertAlign w:val="baseline"/>
        </w:rPr>
        <w:t>&gt; accessed 8 September 2015</w:t>
      </w:r>
    </w:p>
  </w:footnote>
  <w:footnote w:id="78">
    <w:p w14:paraId="51D0E0B0" w14:textId="77777777" w:rsidR="00431A55" w:rsidRPr="00B92D5C" w:rsidRDefault="00431A55" w:rsidP="006F4248">
      <w:pPr>
        <w:pStyle w:val="FootnoteText"/>
        <w:rPr>
          <w:sz w:val="20"/>
          <w:szCs w:val="20"/>
          <w:vertAlign w:val="baseline"/>
        </w:rPr>
      </w:pPr>
      <w:r w:rsidRPr="00B92D5C">
        <w:rPr>
          <w:rStyle w:val="FootnoteReference"/>
          <w:sz w:val="20"/>
          <w:szCs w:val="20"/>
        </w:rPr>
        <w:footnoteRef/>
      </w:r>
      <w:r w:rsidRPr="00B92D5C">
        <w:rPr>
          <w:sz w:val="20"/>
          <w:szCs w:val="20"/>
        </w:rPr>
        <w:t xml:space="preserve"> </w:t>
      </w:r>
      <w:r w:rsidRPr="00B92D5C">
        <w:rPr>
          <w:sz w:val="20"/>
          <w:szCs w:val="20"/>
          <w:vertAlign w:val="baseline"/>
        </w:rPr>
        <w:t>Highlands Women’s Human Rights Defenders Network &lt;</w:t>
      </w:r>
      <w:hyperlink r:id="rId17" w:anchor="!about_us/csgz" w:history="1">
        <w:r w:rsidRPr="00B92D5C">
          <w:rPr>
            <w:rStyle w:val="Hyperlink"/>
            <w:sz w:val="20"/>
            <w:szCs w:val="20"/>
            <w:vertAlign w:val="baseline"/>
          </w:rPr>
          <w:t>http://womenrightsdefenders.wix.com/papuanewguinea#!about_us/csgz</w:t>
        </w:r>
      </w:hyperlink>
      <w:r w:rsidRPr="00B92D5C">
        <w:rPr>
          <w:sz w:val="20"/>
          <w:szCs w:val="20"/>
          <w:vertAlign w:val="baseline"/>
        </w:rPr>
        <w:t>&gt; accessed 8 September 2015</w:t>
      </w:r>
    </w:p>
  </w:footnote>
  <w:footnote w:id="79">
    <w:p w14:paraId="5548A6D0" w14:textId="77777777" w:rsidR="00431A55" w:rsidRPr="00B92D5C" w:rsidRDefault="00431A55" w:rsidP="006F4248">
      <w:pPr>
        <w:pStyle w:val="FootnoteText"/>
        <w:rPr>
          <w:sz w:val="20"/>
          <w:szCs w:val="20"/>
          <w:vertAlign w:val="baseline"/>
        </w:rPr>
      </w:pPr>
      <w:r w:rsidRPr="00B92D5C">
        <w:rPr>
          <w:rStyle w:val="FootnoteReference"/>
          <w:sz w:val="20"/>
          <w:szCs w:val="20"/>
        </w:rPr>
        <w:footnoteRef/>
      </w:r>
      <w:r w:rsidRPr="00B92D5C">
        <w:rPr>
          <w:sz w:val="20"/>
          <w:szCs w:val="20"/>
          <w:vertAlign w:val="baseline"/>
        </w:rPr>
        <w:t xml:space="preserve"> Kup Women for Peace &lt;</w:t>
      </w:r>
      <w:hyperlink r:id="rId18" w:history="1">
        <w:r w:rsidRPr="00B92D5C">
          <w:rPr>
            <w:rStyle w:val="Hyperlink"/>
            <w:sz w:val="20"/>
            <w:szCs w:val="20"/>
            <w:vertAlign w:val="baseline"/>
          </w:rPr>
          <w:t>http://www.oxfam.org.nz/what-we-do/where-we-work/papua-new-guinea/our-partners/kup-women-for-peace</w:t>
        </w:r>
      </w:hyperlink>
      <w:r w:rsidRPr="00B92D5C">
        <w:rPr>
          <w:sz w:val="20"/>
          <w:szCs w:val="20"/>
          <w:vertAlign w:val="baseline"/>
        </w:rPr>
        <w:t>&gt; accessed 8 September 2015</w:t>
      </w:r>
    </w:p>
  </w:footnote>
  <w:footnote w:id="80">
    <w:p w14:paraId="5F346276" w14:textId="49C30600" w:rsidR="00431A55" w:rsidRPr="00BB7FE1" w:rsidRDefault="00431A55" w:rsidP="006F4248">
      <w:pPr>
        <w:pStyle w:val="FootnoteText"/>
        <w:rPr>
          <w:lang w:val="en-US"/>
        </w:rPr>
      </w:pPr>
      <w:r w:rsidRPr="00B92D5C">
        <w:rPr>
          <w:rStyle w:val="FootnoteReference"/>
          <w:sz w:val="20"/>
          <w:szCs w:val="20"/>
        </w:rPr>
        <w:footnoteRef/>
      </w:r>
      <w:r w:rsidRPr="00B92D5C">
        <w:rPr>
          <w:sz w:val="20"/>
          <w:szCs w:val="20"/>
        </w:rPr>
        <w:t xml:space="preserve"> </w:t>
      </w:r>
      <w:r w:rsidRPr="00B92D5C">
        <w:rPr>
          <w:sz w:val="20"/>
          <w:szCs w:val="20"/>
          <w:vertAlign w:val="baseline"/>
        </w:rPr>
        <w:t>OHCHR, ‘Making “secret plans” to stop tribal fighting and end violence against women’ (</w:t>
      </w:r>
      <w:r>
        <w:rPr>
          <w:sz w:val="20"/>
          <w:szCs w:val="20"/>
          <w:vertAlign w:val="baseline"/>
        </w:rPr>
        <w:t>n 66)</w:t>
      </w:r>
    </w:p>
  </w:footnote>
  <w:footnote w:id="81">
    <w:p w14:paraId="099F37C6" w14:textId="2D887741" w:rsidR="00431A55" w:rsidRPr="00733352" w:rsidRDefault="00431A55" w:rsidP="006F4248">
      <w:pPr>
        <w:pStyle w:val="FootnoteText"/>
        <w:rPr>
          <w:sz w:val="20"/>
          <w:szCs w:val="20"/>
          <w:vertAlign w:val="baseline"/>
        </w:rPr>
      </w:pPr>
      <w:r w:rsidRPr="00733352">
        <w:rPr>
          <w:rStyle w:val="FootnoteReference"/>
          <w:sz w:val="20"/>
          <w:szCs w:val="20"/>
        </w:rPr>
        <w:footnoteRef/>
      </w:r>
      <w:r w:rsidRPr="00733352">
        <w:rPr>
          <w:sz w:val="20"/>
          <w:szCs w:val="20"/>
          <w:vertAlign w:val="baseline"/>
        </w:rPr>
        <w:t xml:space="preserve"> OHCHR, ’16 days of activism: fighting against sorcery related killings’ </w:t>
      </w:r>
      <w:r>
        <w:rPr>
          <w:sz w:val="20"/>
          <w:szCs w:val="20"/>
          <w:vertAlign w:val="baseline"/>
        </w:rPr>
        <w:t>(n 66)</w:t>
      </w:r>
    </w:p>
  </w:footnote>
  <w:footnote w:id="82">
    <w:p w14:paraId="3C2B4D85" w14:textId="03ED3773" w:rsidR="00431A55" w:rsidRPr="00733352" w:rsidRDefault="00431A55" w:rsidP="006F4248">
      <w:pPr>
        <w:pStyle w:val="FootnoteText"/>
        <w:rPr>
          <w:sz w:val="20"/>
          <w:szCs w:val="20"/>
          <w:vertAlign w:val="baseline"/>
        </w:rPr>
      </w:pPr>
      <w:r w:rsidRPr="00733352">
        <w:rPr>
          <w:rStyle w:val="FootnoteReference"/>
          <w:sz w:val="20"/>
          <w:szCs w:val="20"/>
        </w:rPr>
        <w:footnoteRef/>
      </w:r>
      <w:r>
        <w:rPr>
          <w:sz w:val="20"/>
          <w:szCs w:val="20"/>
          <w:vertAlign w:val="baseline"/>
        </w:rPr>
        <w:t xml:space="preserve"> </w:t>
      </w:r>
      <w:r w:rsidRPr="00733352">
        <w:rPr>
          <w:sz w:val="20"/>
          <w:szCs w:val="20"/>
          <w:vertAlign w:val="baseline"/>
        </w:rPr>
        <w:t>Amnesty International, ‘The bravest women in the world’ (</w:t>
      </w:r>
      <w:r w:rsidRPr="00733352">
        <w:rPr>
          <w:i/>
          <w:sz w:val="20"/>
          <w:szCs w:val="20"/>
          <w:vertAlign w:val="baseline"/>
        </w:rPr>
        <w:t xml:space="preserve">Amnesty International, </w:t>
      </w:r>
      <w:r w:rsidRPr="00733352">
        <w:rPr>
          <w:sz w:val="20"/>
          <w:szCs w:val="20"/>
          <w:vertAlign w:val="baseline"/>
        </w:rPr>
        <w:t>7 March 2014) &lt;</w:t>
      </w:r>
      <w:hyperlink r:id="rId19" w:history="1">
        <w:r w:rsidRPr="00733352">
          <w:rPr>
            <w:rStyle w:val="Hyperlink"/>
            <w:sz w:val="20"/>
            <w:szCs w:val="20"/>
            <w:vertAlign w:val="baseline"/>
          </w:rPr>
          <w:t>http://www.amnesty.org.au/features/comments/34094/</w:t>
        </w:r>
      </w:hyperlink>
      <w:r w:rsidRPr="00733352">
        <w:rPr>
          <w:sz w:val="20"/>
          <w:szCs w:val="20"/>
          <w:vertAlign w:val="baseline"/>
        </w:rPr>
        <w:t>&gt; accessed 8 September 2015</w:t>
      </w:r>
    </w:p>
  </w:footnote>
  <w:footnote w:id="83">
    <w:p w14:paraId="6449AFB2" w14:textId="77777777" w:rsidR="00431A55" w:rsidRPr="00733352" w:rsidRDefault="00431A55" w:rsidP="006F4248">
      <w:pPr>
        <w:pStyle w:val="FootnoteText"/>
        <w:rPr>
          <w:sz w:val="20"/>
          <w:szCs w:val="20"/>
          <w:vertAlign w:val="baseline"/>
          <w:lang w:val="en-US"/>
        </w:rPr>
      </w:pPr>
      <w:r w:rsidRPr="00733352">
        <w:rPr>
          <w:rStyle w:val="FootnoteReference"/>
          <w:sz w:val="20"/>
          <w:szCs w:val="20"/>
        </w:rPr>
        <w:footnoteRef/>
      </w:r>
      <w:r w:rsidRPr="00733352">
        <w:rPr>
          <w:sz w:val="20"/>
          <w:szCs w:val="20"/>
        </w:rPr>
        <w:t xml:space="preserve"> </w:t>
      </w:r>
      <w:r w:rsidRPr="00733352">
        <w:rPr>
          <w:sz w:val="20"/>
          <w:szCs w:val="20"/>
          <w:vertAlign w:val="baseline"/>
          <w:lang w:val="en-US"/>
        </w:rPr>
        <w:t xml:space="preserve">Doreen Akiyo Yomoah as quoted in Maeve Shearlaw, ‘An influential, vibrant, exciting force: defining African feminism’ </w:t>
      </w:r>
      <w:r w:rsidRPr="00733352">
        <w:rPr>
          <w:i/>
          <w:sz w:val="20"/>
          <w:szCs w:val="20"/>
          <w:vertAlign w:val="baseline"/>
          <w:lang w:val="en-US"/>
        </w:rPr>
        <w:t>The Guardian</w:t>
      </w:r>
      <w:r w:rsidRPr="00733352">
        <w:rPr>
          <w:sz w:val="20"/>
          <w:szCs w:val="20"/>
          <w:vertAlign w:val="baseline"/>
          <w:lang w:val="en-US"/>
        </w:rPr>
        <w:t xml:space="preserve"> (Africa, 29 April 2014) &lt;</w:t>
      </w:r>
      <w:hyperlink r:id="rId20" w:history="1">
        <w:r w:rsidRPr="00733352">
          <w:rPr>
            <w:rStyle w:val="Hyperlink"/>
            <w:sz w:val="20"/>
            <w:szCs w:val="20"/>
            <w:vertAlign w:val="baseline"/>
            <w:lang w:val="en-US"/>
          </w:rPr>
          <w:t>http://www.theguardian.com/world/2014/apr/29/defining-african-feminism-join-the-debate</w:t>
        </w:r>
      </w:hyperlink>
      <w:r w:rsidRPr="00733352">
        <w:rPr>
          <w:sz w:val="20"/>
          <w:szCs w:val="20"/>
          <w:vertAlign w:val="baseline"/>
          <w:lang w:val="en-US"/>
        </w:rPr>
        <w:t>&gt; accessed 8 September 2015</w:t>
      </w:r>
    </w:p>
  </w:footnote>
  <w:footnote w:id="84">
    <w:p w14:paraId="79E62B55" w14:textId="5A54FF81" w:rsidR="00431A55" w:rsidRPr="00733352" w:rsidRDefault="00431A55" w:rsidP="006F4248">
      <w:pPr>
        <w:pStyle w:val="FootnoteText"/>
        <w:rPr>
          <w:sz w:val="20"/>
          <w:szCs w:val="20"/>
          <w:vertAlign w:val="baseline"/>
          <w:lang w:val="en-US"/>
        </w:rPr>
      </w:pPr>
      <w:r w:rsidRPr="00733352">
        <w:rPr>
          <w:rStyle w:val="FootnoteReference"/>
          <w:sz w:val="20"/>
          <w:szCs w:val="20"/>
        </w:rPr>
        <w:footnoteRef/>
      </w:r>
      <w:r w:rsidRPr="00733352">
        <w:rPr>
          <w:sz w:val="20"/>
          <w:szCs w:val="20"/>
        </w:rPr>
        <w:t xml:space="preserve"> </w:t>
      </w:r>
      <w:r>
        <w:rPr>
          <w:sz w:val="20"/>
          <w:szCs w:val="20"/>
          <w:vertAlign w:val="baseline"/>
          <w:lang w:val="en-US"/>
        </w:rPr>
        <w:t>Minna Salami as quoted in Shearlaw (n72)</w:t>
      </w:r>
    </w:p>
  </w:footnote>
  <w:footnote w:id="85">
    <w:p w14:paraId="0E195CC2" w14:textId="77777777" w:rsidR="00431A55" w:rsidRPr="00CA3477" w:rsidRDefault="00431A55" w:rsidP="006F4248">
      <w:pPr>
        <w:pStyle w:val="FootnoteText"/>
      </w:pPr>
      <w:r w:rsidRPr="00733352">
        <w:rPr>
          <w:rStyle w:val="FootnoteReference"/>
          <w:sz w:val="20"/>
          <w:szCs w:val="20"/>
        </w:rPr>
        <w:footnoteRef/>
      </w:r>
      <w:r w:rsidRPr="00733352">
        <w:rPr>
          <w:sz w:val="20"/>
          <w:szCs w:val="20"/>
        </w:rPr>
        <w:t xml:space="preserve"> </w:t>
      </w:r>
      <w:r w:rsidRPr="00733352">
        <w:rPr>
          <w:sz w:val="20"/>
          <w:szCs w:val="20"/>
          <w:vertAlign w:val="baseline"/>
        </w:rPr>
        <w:t>Tawanda Sachikonye, ‘The African Feminist Debate: A Brief Overview’ (</w:t>
      </w:r>
      <w:r w:rsidRPr="00733352">
        <w:rPr>
          <w:i/>
          <w:sz w:val="20"/>
          <w:szCs w:val="20"/>
          <w:vertAlign w:val="baseline"/>
        </w:rPr>
        <w:t>Consultancy Africa Intelligence,</w:t>
      </w:r>
      <w:r w:rsidRPr="00733352">
        <w:rPr>
          <w:sz w:val="20"/>
          <w:szCs w:val="20"/>
          <w:vertAlign w:val="baseline"/>
        </w:rPr>
        <w:t xml:space="preserve"> 2015) &lt;</w:t>
      </w:r>
      <w:hyperlink r:id="rId21" w:history="1">
        <w:r w:rsidRPr="00733352">
          <w:rPr>
            <w:rStyle w:val="Hyperlink"/>
            <w:sz w:val="20"/>
            <w:szCs w:val="20"/>
            <w:vertAlign w:val="baseline"/>
          </w:rPr>
          <w:t>http://www.consultancyafrica.com/index.php?option=com_content&amp;view=article&amp;id=318&amp;Itemid=216</w:t>
        </w:r>
      </w:hyperlink>
      <w:r w:rsidRPr="00733352">
        <w:rPr>
          <w:sz w:val="20"/>
          <w:szCs w:val="20"/>
          <w:vertAlign w:val="baseline"/>
        </w:rPr>
        <w:t>&gt; accessed 8 September 2015</w:t>
      </w:r>
    </w:p>
  </w:footnote>
  <w:footnote w:id="86">
    <w:p w14:paraId="7E084222" w14:textId="0F2A90ED" w:rsidR="00431A55" w:rsidRPr="004F584A" w:rsidRDefault="00431A55" w:rsidP="006F4248">
      <w:pPr>
        <w:pStyle w:val="FootnoteText"/>
        <w:rPr>
          <w:sz w:val="20"/>
          <w:szCs w:val="20"/>
          <w:vertAlign w:val="baseline"/>
          <w:lang w:val="en-US"/>
        </w:rPr>
      </w:pPr>
      <w:r w:rsidRPr="00CD795A">
        <w:rPr>
          <w:rStyle w:val="FootnoteReference"/>
          <w:sz w:val="20"/>
          <w:szCs w:val="20"/>
        </w:rPr>
        <w:footnoteRef/>
      </w:r>
      <w:r w:rsidRPr="004F584A">
        <w:rPr>
          <w:sz w:val="20"/>
          <w:szCs w:val="20"/>
          <w:vertAlign w:val="baseline"/>
        </w:rPr>
        <w:t xml:space="preserve"> </w:t>
      </w:r>
      <w:r>
        <w:rPr>
          <w:sz w:val="20"/>
          <w:szCs w:val="20"/>
          <w:vertAlign w:val="baseline"/>
        </w:rPr>
        <w:t>ibid</w:t>
      </w:r>
    </w:p>
  </w:footnote>
  <w:footnote w:id="87">
    <w:p w14:paraId="1DDE1361" w14:textId="6BBF1F37" w:rsidR="00431A55" w:rsidRPr="004F584A" w:rsidRDefault="00431A55" w:rsidP="006F4248">
      <w:pPr>
        <w:pStyle w:val="FootnoteText"/>
        <w:rPr>
          <w:sz w:val="20"/>
          <w:szCs w:val="20"/>
          <w:vertAlign w:val="baseline"/>
          <w:lang w:val="en-US"/>
        </w:rPr>
      </w:pPr>
      <w:r w:rsidRPr="00CD795A">
        <w:rPr>
          <w:rStyle w:val="FootnoteReference"/>
          <w:sz w:val="20"/>
          <w:szCs w:val="20"/>
        </w:rPr>
        <w:footnoteRef/>
      </w:r>
      <w:r w:rsidRPr="00CD795A">
        <w:rPr>
          <w:sz w:val="20"/>
          <w:szCs w:val="20"/>
        </w:rPr>
        <w:t xml:space="preserve"> </w:t>
      </w:r>
      <w:r>
        <w:rPr>
          <w:sz w:val="20"/>
          <w:szCs w:val="20"/>
          <w:vertAlign w:val="baseline"/>
        </w:rPr>
        <w:t>ibid</w:t>
      </w:r>
    </w:p>
  </w:footnote>
  <w:footnote w:id="88">
    <w:p w14:paraId="6B9A41FC" w14:textId="6959E334" w:rsidR="00431A55" w:rsidRPr="004F584A" w:rsidRDefault="00431A55" w:rsidP="006F4248">
      <w:pPr>
        <w:pStyle w:val="FootnoteText"/>
        <w:rPr>
          <w:sz w:val="20"/>
          <w:szCs w:val="20"/>
          <w:vertAlign w:val="baseline"/>
          <w:lang w:val="en-US"/>
        </w:rPr>
      </w:pPr>
      <w:r w:rsidRPr="00CD795A">
        <w:rPr>
          <w:rStyle w:val="FootnoteReference"/>
          <w:sz w:val="20"/>
          <w:szCs w:val="20"/>
        </w:rPr>
        <w:footnoteRef/>
      </w:r>
      <w:r w:rsidRPr="00CD795A">
        <w:rPr>
          <w:sz w:val="20"/>
          <w:szCs w:val="20"/>
        </w:rPr>
        <w:t xml:space="preserve"> </w:t>
      </w:r>
      <w:r>
        <w:rPr>
          <w:sz w:val="20"/>
          <w:szCs w:val="20"/>
          <w:vertAlign w:val="baseline"/>
        </w:rPr>
        <w:t>ibid</w:t>
      </w:r>
    </w:p>
  </w:footnote>
  <w:footnote w:id="89">
    <w:p w14:paraId="17E240E8" w14:textId="764CA285" w:rsidR="00431A55" w:rsidRPr="004F584A" w:rsidRDefault="00431A55" w:rsidP="006F4248">
      <w:pPr>
        <w:pStyle w:val="FootnoteText"/>
        <w:rPr>
          <w:sz w:val="20"/>
          <w:szCs w:val="20"/>
          <w:vertAlign w:val="baseline"/>
          <w:lang w:val="en-US"/>
        </w:rPr>
      </w:pPr>
      <w:r w:rsidRPr="00CD795A">
        <w:rPr>
          <w:rStyle w:val="FootnoteReference"/>
          <w:sz w:val="20"/>
          <w:szCs w:val="20"/>
        </w:rPr>
        <w:footnoteRef/>
      </w:r>
      <w:r w:rsidRPr="004F584A">
        <w:rPr>
          <w:sz w:val="20"/>
          <w:szCs w:val="20"/>
          <w:vertAlign w:val="baseline"/>
        </w:rPr>
        <w:t xml:space="preserve"> </w:t>
      </w:r>
      <w:r>
        <w:rPr>
          <w:sz w:val="20"/>
          <w:szCs w:val="20"/>
          <w:vertAlign w:val="baseline"/>
        </w:rPr>
        <w:t>ibid</w:t>
      </w:r>
    </w:p>
  </w:footnote>
  <w:footnote w:id="90">
    <w:p w14:paraId="5DE0CE89" w14:textId="77777777" w:rsidR="00431A55" w:rsidRPr="005C71DC" w:rsidRDefault="00431A55" w:rsidP="006F4248">
      <w:pPr>
        <w:pStyle w:val="FootnoteText"/>
        <w:rPr>
          <w:lang w:val="en-US"/>
        </w:rPr>
      </w:pPr>
      <w:r w:rsidRPr="00CD795A">
        <w:rPr>
          <w:rStyle w:val="FootnoteReference"/>
          <w:sz w:val="20"/>
          <w:szCs w:val="20"/>
        </w:rPr>
        <w:footnoteRef/>
      </w:r>
      <w:r w:rsidRPr="00CD795A">
        <w:rPr>
          <w:sz w:val="20"/>
          <w:szCs w:val="20"/>
        </w:rPr>
        <w:t xml:space="preserve"> </w:t>
      </w:r>
      <w:r w:rsidRPr="004F584A">
        <w:rPr>
          <w:sz w:val="20"/>
          <w:szCs w:val="20"/>
          <w:vertAlign w:val="baseline"/>
        </w:rPr>
        <w:t xml:space="preserve">Slavoj Zizek, </w:t>
      </w:r>
      <w:r w:rsidRPr="004F584A">
        <w:rPr>
          <w:i/>
          <w:sz w:val="20"/>
          <w:szCs w:val="20"/>
          <w:vertAlign w:val="baseline"/>
        </w:rPr>
        <w:t xml:space="preserve">Violence: Six Sideways Reflections </w:t>
      </w:r>
      <w:r w:rsidRPr="004F584A">
        <w:rPr>
          <w:sz w:val="20"/>
          <w:szCs w:val="20"/>
          <w:vertAlign w:val="baseline"/>
        </w:rPr>
        <w:t xml:space="preserve">(Profile Books Ltd 2008) </w:t>
      </w:r>
      <w:r w:rsidRPr="004F584A">
        <w:rPr>
          <w:sz w:val="20"/>
          <w:szCs w:val="20"/>
          <w:vertAlign w:val="baseline"/>
          <w:lang w:val="en-US"/>
        </w:rPr>
        <w:t>133</w:t>
      </w:r>
    </w:p>
  </w:footnote>
  <w:footnote w:id="91">
    <w:p w14:paraId="146037D6" w14:textId="100DDADA" w:rsidR="00431A55" w:rsidRPr="009258F5" w:rsidRDefault="00431A55" w:rsidP="006F4248">
      <w:pPr>
        <w:pStyle w:val="FootnoteText"/>
        <w:rPr>
          <w:sz w:val="20"/>
          <w:szCs w:val="20"/>
          <w:vertAlign w:val="baseline"/>
          <w:lang w:val="en-US"/>
        </w:rPr>
      </w:pPr>
      <w:r w:rsidRPr="009258F5">
        <w:rPr>
          <w:rStyle w:val="FootnoteReference"/>
          <w:sz w:val="20"/>
          <w:szCs w:val="20"/>
        </w:rPr>
        <w:footnoteRef/>
      </w:r>
      <w:r w:rsidRPr="009258F5">
        <w:rPr>
          <w:sz w:val="20"/>
          <w:szCs w:val="20"/>
        </w:rPr>
        <w:t xml:space="preserve"> </w:t>
      </w:r>
      <w:r w:rsidRPr="009258F5">
        <w:rPr>
          <w:sz w:val="20"/>
          <w:szCs w:val="20"/>
          <w:vertAlign w:val="baseline"/>
        </w:rPr>
        <w:t>Charlesworth</w:t>
      </w:r>
      <w:r>
        <w:rPr>
          <w:sz w:val="20"/>
          <w:szCs w:val="20"/>
          <w:vertAlign w:val="baseline"/>
        </w:rPr>
        <w:t xml:space="preserve"> (n20) 68</w:t>
      </w:r>
    </w:p>
  </w:footnote>
  <w:footnote w:id="92">
    <w:p w14:paraId="4A4ACCF5" w14:textId="3C4712D2" w:rsidR="00431A55" w:rsidRPr="009258F5" w:rsidRDefault="00431A55" w:rsidP="006F4248">
      <w:pPr>
        <w:pStyle w:val="FootnoteText"/>
        <w:rPr>
          <w:sz w:val="20"/>
          <w:szCs w:val="20"/>
          <w:vertAlign w:val="baseline"/>
          <w:lang w:val="en-US"/>
        </w:rPr>
      </w:pPr>
      <w:r w:rsidRPr="009258F5">
        <w:rPr>
          <w:rStyle w:val="FootnoteReference"/>
          <w:sz w:val="20"/>
          <w:szCs w:val="20"/>
        </w:rPr>
        <w:footnoteRef/>
      </w:r>
      <w:r w:rsidRPr="009258F5">
        <w:rPr>
          <w:sz w:val="20"/>
          <w:szCs w:val="20"/>
        </w:rPr>
        <w:t xml:space="preserve"> </w:t>
      </w:r>
      <w:r>
        <w:rPr>
          <w:sz w:val="20"/>
          <w:szCs w:val="20"/>
          <w:vertAlign w:val="baseline"/>
        </w:rPr>
        <w:t>ibid</w:t>
      </w:r>
    </w:p>
  </w:footnote>
  <w:footnote w:id="93">
    <w:p w14:paraId="32A5A008" w14:textId="5821992C" w:rsidR="00431A55" w:rsidRPr="009258F5" w:rsidRDefault="00431A55" w:rsidP="006F4248">
      <w:pPr>
        <w:pStyle w:val="FootnoteText"/>
        <w:rPr>
          <w:sz w:val="20"/>
          <w:szCs w:val="20"/>
          <w:lang w:val="en-US"/>
        </w:rPr>
      </w:pPr>
      <w:r w:rsidRPr="009258F5">
        <w:rPr>
          <w:rStyle w:val="FootnoteReference"/>
          <w:sz w:val="20"/>
          <w:szCs w:val="20"/>
        </w:rPr>
        <w:footnoteRef/>
      </w:r>
      <w:r w:rsidRPr="009258F5">
        <w:rPr>
          <w:sz w:val="20"/>
          <w:szCs w:val="20"/>
        </w:rPr>
        <w:t xml:space="preserve"> </w:t>
      </w:r>
      <w:r w:rsidRPr="009258F5">
        <w:rPr>
          <w:sz w:val="20"/>
          <w:szCs w:val="20"/>
          <w:vertAlign w:val="baseline"/>
        </w:rPr>
        <w:t xml:space="preserve">Birgit Meyer, </w:t>
      </w:r>
      <w:r w:rsidRPr="009258F5">
        <w:rPr>
          <w:i/>
          <w:sz w:val="20"/>
          <w:szCs w:val="20"/>
          <w:vertAlign w:val="baseline"/>
        </w:rPr>
        <w:t>Translating the Devil: Religion and modernity among the Ewe in Ghana</w:t>
      </w:r>
      <w:r w:rsidRPr="009258F5">
        <w:rPr>
          <w:sz w:val="20"/>
          <w:szCs w:val="20"/>
          <w:vertAlign w:val="baseline"/>
        </w:rPr>
        <w:t xml:space="preserve"> (Edinburgh </w:t>
      </w:r>
      <w:r w:rsidRPr="003C3733">
        <w:rPr>
          <w:sz w:val="20"/>
          <w:szCs w:val="20"/>
          <w:vertAlign w:val="baseline"/>
        </w:rPr>
        <w:t>University Press 1999) xxv</w:t>
      </w:r>
    </w:p>
  </w:footnote>
  <w:footnote w:id="94">
    <w:p w14:paraId="16F92242" w14:textId="275A1A78" w:rsidR="00431A55" w:rsidRPr="00573964" w:rsidRDefault="00431A55" w:rsidP="006F4248">
      <w:pPr>
        <w:pStyle w:val="FootnoteText"/>
        <w:rPr>
          <w:lang w:val="en-US"/>
        </w:rPr>
      </w:pPr>
      <w:r w:rsidRPr="009258F5">
        <w:rPr>
          <w:rStyle w:val="FootnoteReference"/>
          <w:sz w:val="20"/>
          <w:szCs w:val="20"/>
        </w:rPr>
        <w:footnoteRef/>
      </w:r>
      <w:r w:rsidRPr="009258F5">
        <w:rPr>
          <w:sz w:val="20"/>
          <w:szCs w:val="20"/>
          <w:vertAlign w:val="baseline"/>
        </w:rPr>
        <w:t xml:space="preserve"> Jeanne Favret-Saada</w:t>
      </w:r>
      <w:r w:rsidRPr="009258F5">
        <w:rPr>
          <w:i/>
          <w:iCs/>
          <w:sz w:val="20"/>
          <w:szCs w:val="20"/>
          <w:vertAlign w:val="baseline"/>
        </w:rPr>
        <w:t>, Deadly Words: Witchcraft in the Bocage</w:t>
      </w:r>
      <w:r w:rsidRPr="009258F5">
        <w:rPr>
          <w:iCs/>
          <w:sz w:val="20"/>
          <w:szCs w:val="20"/>
          <w:vertAlign w:val="baseline"/>
        </w:rPr>
        <w:t xml:space="preserve"> (Cambridge 1977) 227</w:t>
      </w:r>
    </w:p>
  </w:footnote>
  <w:footnote w:id="95">
    <w:p w14:paraId="6EA3FF29" w14:textId="549B1BA6" w:rsidR="00431A55" w:rsidRPr="00B260F1" w:rsidRDefault="00431A55" w:rsidP="006F4248">
      <w:pPr>
        <w:pStyle w:val="FootnoteText"/>
        <w:rPr>
          <w:sz w:val="20"/>
          <w:szCs w:val="20"/>
          <w:vertAlign w:val="baseline"/>
          <w:lang w:val="en-US"/>
        </w:rPr>
      </w:pPr>
      <w:r w:rsidRPr="00B260F1">
        <w:rPr>
          <w:rStyle w:val="FootnoteReference"/>
          <w:sz w:val="20"/>
          <w:szCs w:val="20"/>
        </w:rPr>
        <w:footnoteRef/>
      </w:r>
      <w:r w:rsidRPr="00B260F1">
        <w:rPr>
          <w:sz w:val="20"/>
          <w:szCs w:val="20"/>
        </w:rPr>
        <w:t xml:space="preserve"> </w:t>
      </w:r>
      <w:r w:rsidRPr="00B260F1">
        <w:rPr>
          <w:sz w:val="20"/>
          <w:szCs w:val="20"/>
          <w:vertAlign w:val="baseline"/>
        </w:rPr>
        <w:t xml:space="preserve">Willem de Blecourt, ‘The Witch, her Victim, the Unwitcher and the Researcher: The Continued Existence of Traditional Witchcraft’ in Willem de Blecourt, Ronald Hutton and Jean La Fontaine, </w:t>
      </w:r>
      <w:r w:rsidRPr="00B260F1">
        <w:rPr>
          <w:i/>
          <w:sz w:val="20"/>
          <w:szCs w:val="20"/>
          <w:vertAlign w:val="baseline"/>
        </w:rPr>
        <w:t>Witchcraft and Magic in Europe: The Twentieth Century</w:t>
      </w:r>
      <w:r>
        <w:rPr>
          <w:sz w:val="20"/>
          <w:szCs w:val="20"/>
          <w:vertAlign w:val="baseline"/>
        </w:rPr>
        <w:t xml:space="preserve"> (Vol.6, London 1999) 154</w:t>
      </w:r>
    </w:p>
  </w:footnote>
  <w:footnote w:id="96">
    <w:p w14:paraId="2480C926" w14:textId="293969AC" w:rsidR="00431A55" w:rsidRPr="00B260F1" w:rsidRDefault="00431A55" w:rsidP="006F4248">
      <w:pPr>
        <w:pStyle w:val="FootnoteText"/>
        <w:rPr>
          <w:sz w:val="20"/>
          <w:szCs w:val="20"/>
          <w:vertAlign w:val="baseline"/>
          <w:lang w:val="en-US"/>
        </w:rPr>
      </w:pPr>
      <w:r w:rsidRPr="00B260F1">
        <w:rPr>
          <w:rStyle w:val="FootnoteReference"/>
          <w:sz w:val="20"/>
          <w:szCs w:val="20"/>
        </w:rPr>
        <w:footnoteRef/>
      </w:r>
      <w:r w:rsidRPr="00B260F1">
        <w:rPr>
          <w:sz w:val="20"/>
          <w:szCs w:val="20"/>
        </w:rPr>
        <w:t xml:space="preserve"> </w:t>
      </w:r>
      <w:r w:rsidRPr="00B260F1">
        <w:rPr>
          <w:sz w:val="20"/>
          <w:szCs w:val="20"/>
          <w:vertAlign w:val="baseline"/>
        </w:rPr>
        <w:t>Peggy Antrobus, The Global Women’s Movement: Issues and Strategies for the New Century (Zed Books 200</w:t>
      </w:r>
      <w:r>
        <w:rPr>
          <w:sz w:val="20"/>
          <w:szCs w:val="20"/>
          <w:vertAlign w:val="baseline"/>
        </w:rPr>
        <w:t>4) 13</w:t>
      </w:r>
    </w:p>
  </w:footnote>
  <w:footnote w:id="97">
    <w:p w14:paraId="7BB17704" w14:textId="1A97B943" w:rsidR="00431A55" w:rsidRPr="00573964" w:rsidRDefault="00431A55" w:rsidP="006F4248">
      <w:pPr>
        <w:pStyle w:val="FootnoteText"/>
        <w:rPr>
          <w:lang w:val="en-US"/>
        </w:rPr>
      </w:pPr>
      <w:r w:rsidRPr="00B260F1">
        <w:rPr>
          <w:rStyle w:val="FootnoteReference"/>
          <w:sz w:val="20"/>
          <w:szCs w:val="20"/>
        </w:rPr>
        <w:footnoteRef/>
      </w:r>
      <w:r w:rsidRPr="00B260F1">
        <w:rPr>
          <w:sz w:val="20"/>
          <w:szCs w:val="20"/>
        </w:rPr>
        <w:t xml:space="preserve"> </w:t>
      </w:r>
      <w:r w:rsidRPr="00B260F1">
        <w:rPr>
          <w:sz w:val="20"/>
          <w:szCs w:val="20"/>
          <w:vertAlign w:val="baseline"/>
        </w:rPr>
        <w:t>Hilary Charlesworth, ‘Alienating Oscar? Feminist Analysis of International Law’ (1993) 25 Stud Transnat’l Legal Policy 5</w:t>
      </w:r>
    </w:p>
  </w:footnote>
  <w:footnote w:id="98">
    <w:p w14:paraId="622FC7D7" w14:textId="67FD8362" w:rsidR="00431A55" w:rsidRPr="0094277E" w:rsidRDefault="00431A55" w:rsidP="006F4248">
      <w:pPr>
        <w:pStyle w:val="FootnoteText"/>
        <w:rPr>
          <w:sz w:val="20"/>
          <w:szCs w:val="20"/>
          <w:vertAlign w:val="baseline"/>
          <w:lang w:val="en-US"/>
        </w:rPr>
      </w:pPr>
      <w:r w:rsidRPr="0094277E">
        <w:rPr>
          <w:rStyle w:val="FootnoteReference"/>
          <w:sz w:val="20"/>
          <w:szCs w:val="20"/>
        </w:rPr>
        <w:footnoteRef/>
      </w:r>
      <w:r w:rsidRPr="0094277E">
        <w:rPr>
          <w:sz w:val="20"/>
          <w:szCs w:val="20"/>
        </w:rPr>
        <w:t xml:space="preserve"> </w:t>
      </w:r>
      <w:r w:rsidRPr="0094277E">
        <w:rPr>
          <w:sz w:val="20"/>
          <w:szCs w:val="20"/>
          <w:vertAlign w:val="baseline"/>
        </w:rPr>
        <w:t>Radhika Coomaraswamy, ‘To Bellow Like a Cow: Women, Ethnicity and the Dis</w:t>
      </w:r>
      <w:r>
        <w:rPr>
          <w:sz w:val="20"/>
          <w:szCs w:val="20"/>
          <w:vertAlign w:val="baseline"/>
        </w:rPr>
        <w:t xml:space="preserve">course of Rights’, in </w:t>
      </w:r>
      <w:r w:rsidRPr="0094277E">
        <w:rPr>
          <w:sz w:val="20"/>
          <w:szCs w:val="20"/>
          <w:vertAlign w:val="baseline"/>
        </w:rPr>
        <w:t>Cook</w:t>
      </w:r>
      <w:r>
        <w:rPr>
          <w:sz w:val="20"/>
          <w:szCs w:val="20"/>
          <w:vertAlign w:val="baseline"/>
        </w:rPr>
        <w:t xml:space="preserve"> (n 16) 55</w:t>
      </w:r>
    </w:p>
  </w:footnote>
  <w:footnote w:id="99">
    <w:p w14:paraId="5E1278D1" w14:textId="22B51E70" w:rsidR="00431A55" w:rsidRPr="0094277E" w:rsidRDefault="00431A55" w:rsidP="006F4248">
      <w:pPr>
        <w:pStyle w:val="FootnoteText"/>
        <w:jc w:val="both"/>
        <w:rPr>
          <w:sz w:val="20"/>
          <w:szCs w:val="20"/>
          <w:vertAlign w:val="baseline"/>
        </w:rPr>
      </w:pPr>
      <w:r w:rsidRPr="0094277E">
        <w:rPr>
          <w:rStyle w:val="FootnoteReference"/>
          <w:sz w:val="20"/>
          <w:szCs w:val="20"/>
        </w:rPr>
        <w:footnoteRef/>
      </w:r>
      <w:r>
        <w:rPr>
          <w:sz w:val="20"/>
          <w:szCs w:val="20"/>
          <w:vertAlign w:val="baseline"/>
        </w:rPr>
        <w:t xml:space="preserve"> Article 16 CEDAW states ‘</w:t>
      </w:r>
      <w:r w:rsidRPr="0094277E">
        <w:rPr>
          <w:sz w:val="20"/>
          <w:szCs w:val="20"/>
          <w:vertAlign w:val="baseline"/>
        </w:rPr>
        <w:t>States Parties shall take all appropriate measures to eliminate discrimination against women in all matters relating to marriage and family relations and in particular shall ensure, on a basi</w:t>
      </w:r>
      <w:r>
        <w:rPr>
          <w:sz w:val="20"/>
          <w:szCs w:val="20"/>
          <w:vertAlign w:val="baseline"/>
        </w:rPr>
        <w:t>s of equality of men and women’</w:t>
      </w:r>
    </w:p>
    <w:p w14:paraId="05B1D17B" w14:textId="18057643" w:rsidR="00431A55" w:rsidRPr="0094277E" w:rsidRDefault="00431A55" w:rsidP="006F4248">
      <w:pPr>
        <w:pStyle w:val="FootnoteText"/>
        <w:rPr>
          <w:sz w:val="20"/>
          <w:szCs w:val="20"/>
          <w:vertAlign w:val="baseline"/>
        </w:rPr>
      </w:pPr>
      <w:r w:rsidRPr="0094277E">
        <w:rPr>
          <w:rStyle w:val="FootnoteReference"/>
          <w:sz w:val="20"/>
          <w:szCs w:val="20"/>
        </w:rPr>
        <w:footnoteRef/>
      </w:r>
      <w:r>
        <w:rPr>
          <w:sz w:val="20"/>
          <w:szCs w:val="20"/>
        </w:rPr>
        <w:t xml:space="preserve"> </w:t>
      </w:r>
      <w:r w:rsidRPr="0094277E">
        <w:rPr>
          <w:sz w:val="20"/>
          <w:szCs w:val="20"/>
          <w:vertAlign w:val="baseline"/>
        </w:rPr>
        <w:t>Coomaraswamy, ‘To Bellow Like a Cow</w:t>
      </w:r>
      <w:r>
        <w:rPr>
          <w:sz w:val="20"/>
          <w:szCs w:val="20"/>
          <w:vertAlign w:val="baseline"/>
        </w:rPr>
        <w:t>’ (n 98) 55</w:t>
      </w:r>
    </w:p>
  </w:footnote>
  <w:footnote w:id="100">
    <w:p w14:paraId="11BE1036" w14:textId="7F4A92CE" w:rsidR="00431A55" w:rsidRPr="0094277E" w:rsidRDefault="00431A55" w:rsidP="006F4248">
      <w:pPr>
        <w:pStyle w:val="FootnoteText"/>
        <w:rPr>
          <w:sz w:val="20"/>
          <w:szCs w:val="20"/>
          <w:vertAlign w:val="baseline"/>
          <w:lang w:val="en-US"/>
        </w:rPr>
      </w:pPr>
      <w:r w:rsidRPr="0094277E">
        <w:rPr>
          <w:rStyle w:val="FootnoteReference"/>
          <w:sz w:val="20"/>
          <w:szCs w:val="20"/>
        </w:rPr>
        <w:footnoteRef/>
      </w:r>
      <w:r w:rsidRPr="0094277E">
        <w:rPr>
          <w:sz w:val="20"/>
          <w:szCs w:val="20"/>
        </w:rPr>
        <w:t xml:space="preserve"> </w:t>
      </w:r>
      <w:r>
        <w:rPr>
          <w:sz w:val="20"/>
          <w:szCs w:val="20"/>
          <w:vertAlign w:val="baseline"/>
        </w:rPr>
        <w:t>ibid</w:t>
      </w:r>
    </w:p>
  </w:footnote>
  <w:footnote w:id="101">
    <w:p w14:paraId="4380A7C2" w14:textId="6A83158C" w:rsidR="00431A55" w:rsidRPr="00573964" w:rsidRDefault="00431A55" w:rsidP="006F4248">
      <w:pPr>
        <w:pStyle w:val="FootnoteText"/>
        <w:rPr>
          <w:lang w:val="en-US"/>
        </w:rPr>
      </w:pPr>
      <w:r w:rsidRPr="0094277E">
        <w:rPr>
          <w:rStyle w:val="FootnoteReference"/>
          <w:sz w:val="20"/>
          <w:szCs w:val="20"/>
        </w:rPr>
        <w:footnoteRef/>
      </w:r>
      <w:r w:rsidRPr="0094277E">
        <w:rPr>
          <w:sz w:val="20"/>
          <w:szCs w:val="20"/>
          <w:vertAlign w:val="baseline"/>
        </w:rPr>
        <w:t xml:space="preserve"> ibid 41</w:t>
      </w:r>
    </w:p>
  </w:footnote>
  <w:footnote w:id="102">
    <w:p w14:paraId="39B08389" w14:textId="35057E84" w:rsidR="00431A55" w:rsidRPr="007449B8" w:rsidRDefault="00431A55" w:rsidP="006F4248">
      <w:pPr>
        <w:pStyle w:val="FootnoteText"/>
        <w:rPr>
          <w:sz w:val="20"/>
          <w:szCs w:val="20"/>
          <w:vertAlign w:val="baseline"/>
          <w:lang w:val="en-US"/>
        </w:rPr>
      </w:pPr>
      <w:r w:rsidRPr="007449B8">
        <w:rPr>
          <w:rStyle w:val="FootnoteReference"/>
          <w:sz w:val="20"/>
          <w:szCs w:val="20"/>
        </w:rPr>
        <w:footnoteRef/>
      </w:r>
      <w:r w:rsidRPr="007449B8">
        <w:rPr>
          <w:sz w:val="20"/>
          <w:szCs w:val="20"/>
        </w:rPr>
        <w:t xml:space="preserve"> </w:t>
      </w:r>
      <w:r>
        <w:rPr>
          <w:sz w:val="20"/>
          <w:szCs w:val="20"/>
          <w:vertAlign w:val="baseline"/>
        </w:rPr>
        <w:t>Charlesworth (n 20) 62</w:t>
      </w:r>
    </w:p>
  </w:footnote>
  <w:footnote w:id="103">
    <w:p w14:paraId="43B2F23D" w14:textId="521BF594" w:rsidR="00431A55" w:rsidRPr="007449B8" w:rsidRDefault="00431A55" w:rsidP="006F4248">
      <w:pPr>
        <w:pStyle w:val="FootnoteText"/>
        <w:rPr>
          <w:sz w:val="20"/>
          <w:szCs w:val="20"/>
          <w:vertAlign w:val="baseline"/>
          <w:lang w:val="en-US"/>
        </w:rPr>
      </w:pPr>
      <w:r w:rsidRPr="007449B8">
        <w:rPr>
          <w:rStyle w:val="FootnoteReference"/>
          <w:sz w:val="20"/>
          <w:szCs w:val="20"/>
        </w:rPr>
        <w:footnoteRef/>
      </w:r>
      <w:r w:rsidRPr="007449B8">
        <w:rPr>
          <w:sz w:val="20"/>
          <w:szCs w:val="20"/>
        </w:rPr>
        <w:t xml:space="preserve"> </w:t>
      </w:r>
      <w:r>
        <w:rPr>
          <w:sz w:val="20"/>
          <w:szCs w:val="20"/>
          <w:vertAlign w:val="baseline"/>
        </w:rPr>
        <w:t>ibid</w:t>
      </w:r>
    </w:p>
  </w:footnote>
  <w:footnote w:id="104">
    <w:p w14:paraId="4303F556" w14:textId="77777777" w:rsidR="00431A55" w:rsidRPr="00F33D5E" w:rsidRDefault="00431A55" w:rsidP="006F4248">
      <w:pPr>
        <w:pStyle w:val="FootnoteText"/>
      </w:pPr>
      <w:r w:rsidRPr="007449B8">
        <w:rPr>
          <w:rStyle w:val="FootnoteReference"/>
          <w:sz w:val="20"/>
          <w:szCs w:val="20"/>
        </w:rPr>
        <w:footnoteRef/>
      </w:r>
      <w:r w:rsidRPr="007449B8">
        <w:rPr>
          <w:sz w:val="20"/>
          <w:szCs w:val="20"/>
        </w:rPr>
        <w:t xml:space="preserve"> </w:t>
      </w:r>
      <w:r w:rsidRPr="007449B8">
        <w:rPr>
          <w:sz w:val="20"/>
          <w:szCs w:val="20"/>
          <w:vertAlign w:val="baseline"/>
        </w:rPr>
        <w:t>Chimananda Ngozi Adichie, ‘We should all be feminists’ (</w:t>
      </w:r>
      <w:r w:rsidRPr="007449B8">
        <w:rPr>
          <w:i/>
          <w:sz w:val="20"/>
          <w:szCs w:val="20"/>
          <w:vertAlign w:val="baseline"/>
        </w:rPr>
        <w:t xml:space="preserve">TedXEuston, </w:t>
      </w:r>
      <w:r w:rsidRPr="007449B8">
        <w:rPr>
          <w:sz w:val="20"/>
          <w:szCs w:val="20"/>
          <w:vertAlign w:val="baseline"/>
        </w:rPr>
        <w:t>1 December 2012) &lt;</w:t>
      </w:r>
      <w:hyperlink r:id="rId22" w:history="1">
        <w:r w:rsidRPr="007449B8">
          <w:rPr>
            <w:rStyle w:val="Hyperlink"/>
            <w:sz w:val="20"/>
            <w:szCs w:val="20"/>
            <w:vertAlign w:val="baseline"/>
          </w:rPr>
          <w:t>http://www.youtube.com/watch?v=hg3umXU_qWc&amp;feature=youtu.be</w:t>
        </w:r>
      </w:hyperlink>
      <w:r w:rsidRPr="007449B8">
        <w:rPr>
          <w:sz w:val="20"/>
          <w:szCs w:val="20"/>
          <w:vertAlign w:val="baseline"/>
        </w:rPr>
        <w:t>&gt; accessed 8 September 2015</w:t>
      </w:r>
    </w:p>
  </w:footnote>
  <w:footnote w:id="105">
    <w:p w14:paraId="77E27A82" w14:textId="278E466E" w:rsidR="00431A55" w:rsidRPr="001D48DE" w:rsidRDefault="00431A55" w:rsidP="00AF4381">
      <w:pPr>
        <w:pStyle w:val="FootnoteText"/>
        <w:rPr>
          <w:sz w:val="20"/>
          <w:szCs w:val="20"/>
          <w:vertAlign w:val="baseline"/>
        </w:rPr>
      </w:pPr>
      <w:r w:rsidRPr="001D48DE">
        <w:rPr>
          <w:rStyle w:val="FootnoteReference"/>
          <w:sz w:val="20"/>
          <w:szCs w:val="20"/>
        </w:rPr>
        <w:footnoteRef/>
      </w:r>
      <w:r w:rsidRPr="001D48DE">
        <w:rPr>
          <w:sz w:val="20"/>
          <w:szCs w:val="20"/>
        </w:rPr>
        <w:t xml:space="preserve"> </w:t>
      </w:r>
      <w:r w:rsidRPr="001D48DE">
        <w:rPr>
          <w:sz w:val="20"/>
          <w:szCs w:val="20"/>
          <w:vertAlign w:val="baseline"/>
        </w:rPr>
        <w:t>Alexander Lesser, ‘Superstition’ (1931) 28(3</w:t>
      </w:r>
      <w:r>
        <w:rPr>
          <w:sz w:val="20"/>
          <w:szCs w:val="20"/>
          <w:vertAlign w:val="baseline"/>
        </w:rPr>
        <w:t>) The Journal of Philosophy 618</w:t>
      </w:r>
    </w:p>
  </w:footnote>
  <w:footnote w:id="106">
    <w:p w14:paraId="4682D525" w14:textId="21644631" w:rsidR="00431A55" w:rsidRPr="001264D1" w:rsidRDefault="00431A55" w:rsidP="00AF4381">
      <w:pPr>
        <w:pStyle w:val="FootnoteText"/>
        <w:rPr>
          <w:sz w:val="20"/>
          <w:szCs w:val="20"/>
          <w:vertAlign w:val="baseline"/>
        </w:rPr>
      </w:pPr>
      <w:r w:rsidRPr="001264D1">
        <w:rPr>
          <w:rStyle w:val="FootnoteReference"/>
          <w:sz w:val="20"/>
          <w:szCs w:val="20"/>
        </w:rPr>
        <w:footnoteRef/>
      </w:r>
      <w:r w:rsidRPr="001264D1">
        <w:rPr>
          <w:sz w:val="20"/>
          <w:szCs w:val="20"/>
          <w:vertAlign w:val="baseline"/>
        </w:rPr>
        <w:t xml:space="preserve"> Felix E. Planer, </w:t>
      </w:r>
      <w:r w:rsidRPr="001264D1">
        <w:rPr>
          <w:i/>
          <w:sz w:val="20"/>
          <w:szCs w:val="20"/>
          <w:vertAlign w:val="baseline"/>
        </w:rPr>
        <w:t xml:space="preserve">Superstition </w:t>
      </w:r>
      <w:r>
        <w:rPr>
          <w:sz w:val="20"/>
          <w:szCs w:val="20"/>
          <w:vertAlign w:val="baseline"/>
        </w:rPr>
        <w:t>(Cassell London 1980) 3</w:t>
      </w:r>
    </w:p>
  </w:footnote>
  <w:footnote w:id="107">
    <w:p w14:paraId="2437D977" w14:textId="07878BF3" w:rsidR="00431A55" w:rsidRPr="001264D1" w:rsidRDefault="00431A55" w:rsidP="00AF4381">
      <w:pPr>
        <w:pStyle w:val="FootnoteText"/>
        <w:rPr>
          <w:sz w:val="20"/>
          <w:szCs w:val="20"/>
          <w:vertAlign w:val="baseline"/>
        </w:rPr>
      </w:pPr>
      <w:r w:rsidRPr="001264D1">
        <w:rPr>
          <w:rStyle w:val="FootnoteReference"/>
          <w:sz w:val="20"/>
          <w:szCs w:val="20"/>
        </w:rPr>
        <w:footnoteRef/>
      </w:r>
      <w:r w:rsidRPr="001264D1">
        <w:rPr>
          <w:sz w:val="20"/>
          <w:szCs w:val="20"/>
          <w:vertAlign w:val="baseline"/>
        </w:rPr>
        <w:t xml:space="preserve"> </w:t>
      </w:r>
      <w:r>
        <w:rPr>
          <w:sz w:val="20"/>
          <w:szCs w:val="20"/>
          <w:vertAlign w:val="baseline"/>
        </w:rPr>
        <w:t>ibid</w:t>
      </w:r>
    </w:p>
  </w:footnote>
  <w:footnote w:id="108">
    <w:p w14:paraId="5504E2EB" w14:textId="44485422" w:rsidR="00431A55" w:rsidRPr="001264D1" w:rsidRDefault="00431A55" w:rsidP="001F3CAB">
      <w:pPr>
        <w:pStyle w:val="FootnoteText"/>
        <w:rPr>
          <w:sz w:val="20"/>
          <w:szCs w:val="20"/>
          <w:vertAlign w:val="baseline"/>
        </w:rPr>
      </w:pPr>
      <w:r w:rsidRPr="001264D1">
        <w:rPr>
          <w:rStyle w:val="FootnoteReference"/>
          <w:sz w:val="20"/>
          <w:szCs w:val="20"/>
        </w:rPr>
        <w:footnoteRef/>
      </w:r>
      <w:r>
        <w:rPr>
          <w:sz w:val="20"/>
          <w:szCs w:val="20"/>
          <w:vertAlign w:val="baseline"/>
        </w:rPr>
        <w:t xml:space="preserve"> ibid</w:t>
      </w:r>
    </w:p>
  </w:footnote>
  <w:footnote w:id="109">
    <w:p w14:paraId="1124476B" w14:textId="47142156" w:rsidR="00431A55" w:rsidRPr="001264D1" w:rsidRDefault="00431A55" w:rsidP="00AF4381">
      <w:pPr>
        <w:pStyle w:val="FootnoteText"/>
        <w:rPr>
          <w:sz w:val="20"/>
          <w:szCs w:val="20"/>
          <w:vertAlign w:val="baseline"/>
        </w:rPr>
      </w:pPr>
      <w:r w:rsidRPr="001264D1">
        <w:rPr>
          <w:rStyle w:val="FootnoteReference"/>
          <w:sz w:val="20"/>
          <w:szCs w:val="20"/>
        </w:rPr>
        <w:footnoteRef/>
      </w:r>
      <w:r w:rsidRPr="001264D1">
        <w:rPr>
          <w:sz w:val="20"/>
          <w:szCs w:val="20"/>
          <w:vertAlign w:val="baseline"/>
        </w:rPr>
        <w:t xml:space="preserve"> Kevin R. Abbott and Thomas N. Sherratt, ‘The evolution of superstition through optimal use of incomplete information</w:t>
      </w:r>
      <w:r>
        <w:rPr>
          <w:sz w:val="20"/>
          <w:szCs w:val="20"/>
          <w:vertAlign w:val="baseline"/>
        </w:rPr>
        <w:t>’ (2011) 82 Animal Behaviour 92</w:t>
      </w:r>
    </w:p>
  </w:footnote>
  <w:footnote w:id="110">
    <w:p w14:paraId="37D48EEA" w14:textId="1753E9AE" w:rsidR="00431A55" w:rsidRPr="001264D1" w:rsidRDefault="00431A55" w:rsidP="00AF4381">
      <w:pPr>
        <w:pStyle w:val="FootnoteText"/>
        <w:rPr>
          <w:i/>
          <w:sz w:val="20"/>
          <w:szCs w:val="20"/>
          <w:vertAlign w:val="baseline"/>
        </w:rPr>
      </w:pPr>
      <w:r w:rsidRPr="001264D1">
        <w:rPr>
          <w:rStyle w:val="FootnoteReference"/>
          <w:sz w:val="20"/>
          <w:szCs w:val="20"/>
        </w:rPr>
        <w:footnoteRef/>
      </w:r>
      <w:r w:rsidRPr="001264D1">
        <w:rPr>
          <w:sz w:val="20"/>
          <w:szCs w:val="20"/>
        </w:rPr>
        <w:t xml:space="preserve"> </w:t>
      </w:r>
      <w:r w:rsidRPr="001264D1">
        <w:rPr>
          <w:sz w:val="20"/>
          <w:szCs w:val="20"/>
          <w:vertAlign w:val="baseline"/>
        </w:rPr>
        <w:t xml:space="preserve">Burrhus Frederic Skinner, ‘Superstition in the pigeon’ 38 </w:t>
      </w:r>
      <w:r w:rsidRPr="001264D1">
        <w:rPr>
          <w:i/>
          <w:sz w:val="20"/>
          <w:szCs w:val="20"/>
          <w:vertAlign w:val="baseline"/>
        </w:rPr>
        <w:t>Journal of Experimental Psychology</w:t>
      </w:r>
      <w:r>
        <w:rPr>
          <w:sz w:val="20"/>
          <w:szCs w:val="20"/>
          <w:vertAlign w:val="baseline"/>
        </w:rPr>
        <w:t xml:space="preserve"> 168</w:t>
      </w:r>
    </w:p>
  </w:footnote>
  <w:footnote w:id="111">
    <w:p w14:paraId="707B85F0" w14:textId="77777777" w:rsidR="00431A55" w:rsidRPr="001264D1" w:rsidRDefault="00431A55" w:rsidP="00AF4381">
      <w:pPr>
        <w:pStyle w:val="FootnoteText"/>
        <w:jc w:val="both"/>
        <w:rPr>
          <w:sz w:val="20"/>
          <w:szCs w:val="20"/>
          <w:vertAlign w:val="baseline"/>
        </w:rPr>
      </w:pPr>
      <w:r w:rsidRPr="001264D1">
        <w:rPr>
          <w:rStyle w:val="FootnoteReference"/>
          <w:sz w:val="20"/>
          <w:szCs w:val="20"/>
        </w:rPr>
        <w:footnoteRef/>
      </w:r>
      <w:r w:rsidRPr="001264D1">
        <w:rPr>
          <w:sz w:val="20"/>
          <w:szCs w:val="20"/>
          <w:vertAlign w:val="baseline"/>
        </w:rPr>
        <w:t xml:space="preserve"> Skinner examined the creation of superstition in pigeons by placing sequences of hungry pigeons in a cage. Food was delivered automatically to the pigeons by a machine at regular intervals, regardless of the bird's behaviour. Skinner noted that the pigeons began to associate the delivery of the food with whatever chance actions they had been performing as the food was delivered. Skinner notes, “One pigeon turned counter-clockwise about the cage, making two or three turns between reinforcements. Another repeatedly thrust its head into one of the upper corners of the cage, whilst third developed a 'tossing' response, as if placing its head beneath an invisible bar and lifting it repeatedly. Two further birds developed a pendulum motion of the head and body, in which the head was extended forward and swung from right to left with a sharp movement followed by a somewhat slower return.” Thus, Skinner concluded that the pigeons had behaved as if there were a causal relation between their behaviour and the deliverance of food, despite there being no causal link between the two. Essentially, the pigeons believed that their actions had influence upon when the food was provided.</w:t>
      </w:r>
    </w:p>
  </w:footnote>
  <w:footnote w:id="112">
    <w:p w14:paraId="4DCE4DB6" w14:textId="406E97E6" w:rsidR="00431A55" w:rsidRPr="00A92E8C" w:rsidRDefault="00431A55" w:rsidP="00AF4381">
      <w:pPr>
        <w:pStyle w:val="FootnoteText"/>
      </w:pPr>
      <w:r w:rsidRPr="001264D1">
        <w:rPr>
          <w:rStyle w:val="FootnoteReference"/>
          <w:sz w:val="20"/>
          <w:szCs w:val="20"/>
        </w:rPr>
        <w:footnoteRef/>
      </w:r>
      <w:r>
        <w:rPr>
          <w:sz w:val="20"/>
          <w:szCs w:val="20"/>
          <w:vertAlign w:val="baseline"/>
        </w:rPr>
        <w:t xml:space="preserve"> Abbott and Sherratt (n 109)</w:t>
      </w:r>
    </w:p>
  </w:footnote>
  <w:footnote w:id="113">
    <w:p w14:paraId="7E880CF7" w14:textId="77777777" w:rsidR="00431A55" w:rsidRPr="009E5A67" w:rsidRDefault="00431A55" w:rsidP="00AF4381">
      <w:pPr>
        <w:pStyle w:val="FootnoteText"/>
        <w:rPr>
          <w:sz w:val="20"/>
          <w:szCs w:val="20"/>
          <w:vertAlign w:val="baseline"/>
        </w:rPr>
      </w:pPr>
      <w:r w:rsidRPr="009E5A67">
        <w:rPr>
          <w:rStyle w:val="FootnoteReference"/>
          <w:sz w:val="20"/>
          <w:szCs w:val="20"/>
        </w:rPr>
        <w:footnoteRef/>
      </w:r>
      <w:r w:rsidRPr="009E5A67">
        <w:rPr>
          <w:sz w:val="20"/>
          <w:szCs w:val="20"/>
        </w:rPr>
        <w:t xml:space="preserve"> </w:t>
      </w:r>
      <w:r w:rsidRPr="009E5A67">
        <w:rPr>
          <w:sz w:val="20"/>
          <w:szCs w:val="20"/>
          <w:vertAlign w:val="baseline"/>
        </w:rPr>
        <w:t xml:space="preserve">Bruce Hood, </w:t>
      </w:r>
      <w:r w:rsidRPr="009E5A67">
        <w:rPr>
          <w:i/>
          <w:sz w:val="20"/>
          <w:szCs w:val="20"/>
          <w:vertAlign w:val="baseline"/>
        </w:rPr>
        <w:t>Supersense: From Superstition to Religion – the Brain Science of Belief</w:t>
      </w:r>
      <w:r w:rsidRPr="009E5A67">
        <w:rPr>
          <w:sz w:val="20"/>
          <w:szCs w:val="20"/>
          <w:vertAlign w:val="baseline"/>
        </w:rPr>
        <w:t xml:space="preserve"> (HarperCollins 2009)</w:t>
      </w:r>
    </w:p>
  </w:footnote>
  <w:footnote w:id="114">
    <w:p w14:paraId="4466555E" w14:textId="68E3B65E" w:rsidR="00431A55" w:rsidRPr="009E5A67" w:rsidRDefault="00431A55" w:rsidP="00AF4381">
      <w:pPr>
        <w:pStyle w:val="FootnoteText"/>
        <w:rPr>
          <w:sz w:val="20"/>
          <w:szCs w:val="20"/>
          <w:vertAlign w:val="baseline"/>
        </w:rPr>
      </w:pPr>
      <w:r w:rsidRPr="009E5A67">
        <w:rPr>
          <w:rStyle w:val="FootnoteReference"/>
          <w:sz w:val="20"/>
          <w:szCs w:val="20"/>
        </w:rPr>
        <w:footnoteRef/>
      </w:r>
      <w:r>
        <w:rPr>
          <w:sz w:val="20"/>
          <w:szCs w:val="20"/>
          <w:vertAlign w:val="baseline"/>
        </w:rPr>
        <w:t xml:space="preserve"> </w:t>
      </w:r>
      <w:r w:rsidRPr="009E5A67">
        <w:rPr>
          <w:sz w:val="20"/>
          <w:szCs w:val="20"/>
          <w:vertAlign w:val="baseline"/>
        </w:rPr>
        <w:t xml:space="preserve">Abbott and </w:t>
      </w:r>
      <w:r>
        <w:rPr>
          <w:sz w:val="20"/>
          <w:szCs w:val="20"/>
          <w:vertAlign w:val="baseline"/>
        </w:rPr>
        <w:t>Sherratt (n 109) 92</w:t>
      </w:r>
    </w:p>
  </w:footnote>
  <w:footnote w:id="115">
    <w:p w14:paraId="24E5D7E2" w14:textId="54AAB337" w:rsidR="00431A55" w:rsidRPr="009E5A67" w:rsidRDefault="00431A55" w:rsidP="00AF4381">
      <w:pPr>
        <w:pStyle w:val="FootnoteText"/>
        <w:rPr>
          <w:sz w:val="20"/>
          <w:szCs w:val="20"/>
          <w:vertAlign w:val="baseline"/>
        </w:rPr>
      </w:pPr>
      <w:r w:rsidRPr="009E5A67">
        <w:rPr>
          <w:rStyle w:val="FootnoteReference"/>
          <w:sz w:val="20"/>
          <w:szCs w:val="20"/>
        </w:rPr>
        <w:footnoteRef/>
      </w:r>
      <w:r>
        <w:rPr>
          <w:sz w:val="20"/>
          <w:szCs w:val="20"/>
          <w:vertAlign w:val="baseline"/>
        </w:rPr>
        <w:t xml:space="preserve"> Planer (n 106)</w:t>
      </w:r>
    </w:p>
  </w:footnote>
  <w:footnote w:id="116">
    <w:p w14:paraId="2097BFB0" w14:textId="0F70AEA8" w:rsidR="00431A55" w:rsidRPr="009E5A67" w:rsidRDefault="00431A55" w:rsidP="00AF4381">
      <w:pPr>
        <w:pStyle w:val="FootnoteText"/>
        <w:rPr>
          <w:sz w:val="20"/>
          <w:szCs w:val="20"/>
          <w:vertAlign w:val="baseline"/>
        </w:rPr>
      </w:pPr>
      <w:r w:rsidRPr="009E5A67">
        <w:rPr>
          <w:rStyle w:val="FootnoteReference"/>
          <w:sz w:val="20"/>
          <w:szCs w:val="20"/>
        </w:rPr>
        <w:footnoteRef/>
      </w:r>
      <w:r w:rsidRPr="009E5A67">
        <w:rPr>
          <w:sz w:val="20"/>
          <w:szCs w:val="20"/>
        </w:rPr>
        <w:t xml:space="preserve"> </w:t>
      </w:r>
      <w:r>
        <w:rPr>
          <w:sz w:val="20"/>
          <w:szCs w:val="20"/>
          <w:vertAlign w:val="baseline"/>
        </w:rPr>
        <w:t>ibid 4</w:t>
      </w:r>
    </w:p>
  </w:footnote>
  <w:footnote w:id="117">
    <w:p w14:paraId="78A17A75" w14:textId="22169CD3" w:rsidR="00431A55" w:rsidRPr="009E5A67" w:rsidRDefault="00431A55" w:rsidP="00AF4381">
      <w:pPr>
        <w:pStyle w:val="FootnoteText"/>
        <w:rPr>
          <w:sz w:val="20"/>
          <w:szCs w:val="20"/>
          <w:vertAlign w:val="baseline"/>
        </w:rPr>
      </w:pPr>
      <w:r w:rsidRPr="009E5A67">
        <w:rPr>
          <w:rStyle w:val="FootnoteReference"/>
          <w:sz w:val="20"/>
          <w:szCs w:val="20"/>
        </w:rPr>
        <w:footnoteRef/>
      </w:r>
      <w:r w:rsidRPr="009E5A67">
        <w:rPr>
          <w:sz w:val="20"/>
          <w:szCs w:val="20"/>
        </w:rPr>
        <w:t xml:space="preserve"> </w:t>
      </w:r>
      <w:r w:rsidRPr="009E5A67">
        <w:rPr>
          <w:sz w:val="20"/>
          <w:szCs w:val="20"/>
          <w:vertAlign w:val="baseline"/>
        </w:rPr>
        <w:t>Lesser</w:t>
      </w:r>
      <w:r>
        <w:rPr>
          <w:sz w:val="20"/>
          <w:szCs w:val="20"/>
          <w:vertAlign w:val="baseline"/>
        </w:rPr>
        <w:t xml:space="preserve"> (n 105)</w:t>
      </w:r>
    </w:p>
  </w:footnote>
  <w:footnote w:id="118">
    <w:p w14:paraId="65E3CB32" w14:textId="67C843B6" w:rsidR="00431A55" w:rsidRPr="009E5A67" w:rsidRDefault="00431A55" w:rsidP="00AF4381">
      <w:pPr>
        <w:pStyle w:val="FootnoteText"/>
        <w:rPr>
          <w:sz w:val="20"/>
          <w:szCs w:val="20"/>
          <w:vertAlign w:val="baseline"/>
        </w:rPr>
      </w:pPr>
      <w:r w:rsidRPr="009E5A67">
        <w:rPr>
          <w:rStyle w:val="FootnoteReference"/>
          <w:sz w:val="20"/>
          <w:szCs w:val="20"/>
        </w:rPr>
        <w:footnoteRef/>
      </w:r>
      <w:r w:rsidRPr="009E5A67">
        <w:rPr>
          <w:sz w:val="20"/>
          <w:szCs w:val="20"/>
        </w:rPr>
        <w:t xml:space="preserve"> </w:t>
      </w:r>
      <w:r>
        <w:rPr>
          <w:sz w:val="20"/>
          <w:szCs w:val="20"/>
          <w:vertAlign w:val="baseline"/>
        </w:rPr>
        <w:t>Planer (n 106) 5</w:t>
      </w:r>
    </w:p>
  </w:footnote>
  <w:footnote w:id="119">
    <w:p w14:paraId="6EF71E32" w14:textId="793CDA16" w:rsidR="00431A55" w:rsidRPr="009E5A67" w:rsidRDefault="00431A55" w:rsidP="00AF4381">
      <w:pPr>
        <w:pStyle w:val="FootnoteText"/>
        <w:rPr>
          <w:sz w:val="20"/>
          <w:szCs w:val="20"/>
          <w:vertAlign w:val="baseline"/>
        </w:rPr>
      </w:pPr>
      <w:r w:rsidRPr="009E5A67">
        <w:rPr>
          <w:rStyle w:val="FootnoteReference"/>
          <w:sz w:val="20"/>
          <w:szCs w:val="20"/>
        </w:rPr>
        <w:footnoteRef/>
      </w:r>
      <w:r w:rsidRPr="009E5A67">
        <w:rPr>
          <w:sz w:val="20"/>
          <w:szCs w:val="20"/>
          <w:vertAlign w:val="baseline"/>
        </w:rPr>
        <w:t xml:space="preserve"> </w:t>
      </w:r>
      <w:r>
        <w:rPr>
          <w:sz w:val="20"/>
          <w:szCs w:val="20"/>
          <w:vertAlign w:val="baseline"/>
        </w:rPr>
        <w:t>ibid</w:t>
      </w:r>
    </w:p>
  </w:footnote>
  <w:footnote w:id="120">
    <w:p w14:paraId="194E469F" w14:textId="67C239E0" w:rsidR="00431A55" w:rsidRDefault="00431A55" w:rsidP="00AF4381">
      <w:pPr>
        <w:pStyle w:val="FootnoteText"/>
      </w:pPr>
      <w:r w:rsidRPr="009E5A67">
        <w:rPr>
          <w:rStyle w:val="FootnoteReference"/>
          <w:sz w:val="20"/>
          <w:szCs w:val="20"/>
        </w:rPr>
        <w:footnoteRef/>
      </w:r>
      <w:r w:rsidRPr="009E5A67">
        <w:rPr>
          <w:sz w:val="20"/>
          <w:szCs w:val="20"/>
          <w:vertAlign w:val="baseline"/>
        </w:rPr>
        <w:t xml:space="preserve"> </w:t>
      </w:r>
      <w:r>
        <w:rPr>
          <w:sz w:val="20"/>
          <w:szCs w:val="20"/>
          <w:vertAlign w:val="baseline"/>
        </w:rPr>
        <w:t xml:space="preserve">ibid </w:t>
      </w:r>
      <w:r w:rsidRPr="009E5A67">
        <w:rPr>
          <w:sz w:val="20"/>
          <w:szCs w:val="20"/>
          <w:vertAlign w:val="baseline"/>
        </w:rPr>
        <w:t>7</w:t>
      </w:r>
    </w:p>
  </w:footnote>
  <w:footnote w:id="121">
    <w:p w14:paraId="6AF80F4F" w14:textId="121B0197" w:rsidR="00431A55" w:rsidRPr="00E77715" w:rsidRDefault="00431A55" w:rsidP="00AF4381">
      <w:pPr>
        <w:pStyle w:val="FootnoteText"/>
        <w:rPr>
          <w:sz w:val="20"/>
          <w:szCs w:val="20"/>
          <w:vertAlign w:val="baseline"/>
        </w:rPr>
      </w:pPr>
      <w:r w:rsidRPr="00E77715">
        <w:rPr>
          <w:rStyle w:val="FootnoteReference"/>
          <w:sz w:val="20"/>
          <w:szCs w:val="20"/>
        </w:rPr>
        <w:footnoteRef/>
      </w:r>
      <w:r w:rsidRPr="00E77715">
        <w:rPr>
          <w:sz w:val="20"/>
          <w:szCs w:val="20"/>
          <w:vertAlign w:val="baseline"/>
        </w:rPr>
        <w:t xml:space="preserve"> </w:t>
      </w:r>
      <w:r>
        <w:rPr>
          <w:sz w:val="20"/>
          <w:szCs w:val="20"/>
          <w:vertAlign w:val="baseline"/>
        </w:rPr>
        <w:t>ibid</w:t>
      </w:r>
    </w:p>
  </w:footnote>
  <w:footnote w:id="122">
    <w:p w14:paraId="73CD14DE" w14:textId="1ECD33B9" w:rsidR="00431A55" w:rsidRPr="00E77715" w:rsidRDefault="00431A55" w:rsidP="00AF4381">
      <w:pPr>
        <w:pStyle w:val="FootnoteText"/>
        <w:rPr>
          <w:sz w:val="20"/>
          <w:szCs w:val="20"/>
          <w:vertAlign w:val="baseline"/>
        </w:rPr>
      </w:pPr>
      <w:r w:rsidRPr="00E77715">
        <w:rPr>
          <w:rStyle w:val="FootnoteReference"/>
          <w:sz w:val="20"/>
          <w:szCs w:val="20"/>
        </w:rPr>
        <w:footnoteRef/>
      </w:r>
      <w:r w:rsidRPr="00E77715">
        <w:rPr>
          <w:sz w:val="20"/>
          <w:szCs w:val="20"/>
          <w:vertAlign w:val="baseline"/>
        </w:rPr>
        <w:t xml:space="preserve"> Dale B. Martin, Inventing Superstition: From the Hippocratics to the Christians (Ha</w:t>
      </w:r>
      <w:r>
        <w:rPr>
          <w:sz w:val="20"/>
          <w:szCs w:val="20"/>
          <w:vertAlign w:val="baseline"/>
        </w:rPr>
        <w:t>rvard University Press 2009) 10</w:t>
      </w:r>
    </w:p>
  </w:footnote>
  <w:footnote w:id="123">
    <w:p w14:paraId="1DA67419" w14:textId="40576392" w:rsidR="00431A55" w:rsidRPr="00E77715" w:rsidRDefault="00431A55" w:rsidP="00AF4381">
      <w:pPr>
        <w:pStyle w:val="FootnoteText"/>
        <w:rPr>
          <w:sz w:val="20"/>
          <w:szCs w:val="20"/>
          <w:vertAlign w:val="baseline"/>
        </w:rPr>
      </w:pPr>
      <w:r w:rsidRPr="00E77715">
        <w:rPr>
          <w:rStyle w:val="FootnoteReference"/>
          <w:sz w:val="20"/>
          <w:szCs w:val="20"/>
        </w:rPr>
        <w:footnoteRef/>
      </w:r>
      <w:r>
        <w:rPr>
          <w:sz w:val="20"/>
          <w:szCs w:val="20"/>
          <w:vertAlign w:val="baseline"/>
        </w:rPr>
        <w:t xml:space="preserve"> </w:t>
      </w:r>
      <w:r w:rsidRPr="00E77715">
        <w:rPr>
          <w:sz w:val="20"/>
          <w:szCs w:val="20"/>
          <w:vertAlign w:val="baseline"/>
        </w:rPr>
        <w:t>Hood</w:t>
      </w:r>
      <w:r>
        <w:rPr>
          <w:sz w:val="20"/>
          <w:szCs w:val="20"/>
          <w:vertAlign w:val="baseline"/>
        </w:rPr>
        <w:t xml:space="preserve"> (n 113)</w:t>
      </w:r>
    </w:p>
  </w:footnote>
  <w:footnote w:id="124">
    <w:p w14:paraId="1B1A1E11" w14:textId="11254E1D" w:rsidR="00431A55" w:rsidRDefault="00431A55" w:rsidP="00AF4381">
      <w:pPr>
        <w:pStyle w:val="FootnoteText"/>
      </w:pPr>
      <w:r w:rsidRPr="00E77715">
        <w:rPr>
          <w:rStyle w:val="FootnoteReference"/>
          <w:sz w:val="20"/>
          <w:szCs w:val="20"/>
        </w:rPr>
        <w:footnoteRef/>
      </w:r>
      <w:r w:rsidRPr="00E77715">
        <w:rPr>
          <w:sz w:val="20"/>
          <w:szCs w:val="20"/>
          <w:vertAlign w:val="baseline"/>
        </w:rPr>
        <w:t xml:space="preserve"> </w:t>
      </w:r>
      <w:r>
        <w:rPr>
          <w:sz w:val="20"/>
          <w:szCs w:val="20"/>
          <w:vertAlign w:val="baseline"/>
        </w:rPr>
        <w:t>ibid</w:t>
      </w:r>
      <w:r w:rsidRPr="00E77715">
        <w:rPr>
          <w:sz w:val="20"/>
          <w:szCs w:val="20"/>
          <w:vertAlign w:val="baseline"/>
        </w:rPr>
        <w:t xml:space="preserve"> 57</w:t>
      </w:r>
    </w:p>
  </w:footnote>
  <w:footnote w:id="125">
    <w:p w14:paraId="292955DF" w14:textId="0E61F3B3" w:rsidR="00431A55" w:rsidRPr="00B24F20" w:rsidRDefault="00431A55" w:rsidP="00AF4381">
      <w:pPr>
        <w:pStyle w:val="FootnoteText"/>
        <w:rPr>
          <w:sz w:val="20"/>
          <w:szCs w:val="20"/>
          <w:vertAlign w:val="baseline"/>
        </w:rPr>
      </w:pPr>
      <w:r w:rsidRPr="00B24F20">
        <w:rPr>
          <w:rStyle w:val="FootnoteReference"/>
          <w:sz w:val="20"/>
          <w:szCs w:val="20"/>
        </w:rPr>
        <w:footnoteRef/>
      </w:r>
      <w:r>
        <w:rPr>
          <w:sz w:val="20"/>
          <w:szCs w:val="20"/>
          <w:vertAlign w:val="baseline"/>
        </w:rPr>
        <w:t xml:space="preserve"> ibid </w:t>
      </w:r>
      <w:r w:rsidRPr="00B24F20">
        <w:rPr>
          <w:sz w:val="20"/>
          <w:szCs w:val="20"/>
          <w:vertAlign w:val="baseline"/>
        </w:rPr>
        <w:t>58;</w:t>
      </w:r>
      <w:r>
        <w:rPr>
          <w:sz w:val="20"/>
          <w:szCs w:val="20"/>
          <w:vertAlign w:val="baseline"/>
        </w:rPr>
        <w:t xml:space="preserve"> </w:t>
      </w:r>
      <w:r w:rsidRPr="00B24F20">
        <w:rPr>
          <w:sz w:val="20"/>
          <w:szCs w:val="20"/>
          <w:vertAlign w:val="baseline"/>
        </w:rPr>
        <w:t xml:space="preserve">Leonore Loeb Adler and Uwe Peter Gielen, </w:t>
      </w:r>
      <w:r w:rsidRPr="00B24F20">
        <w:rPr>
          <w:i/>
          <w:sz w:val="20"/>
          <w:szCs w:val="20"/>
          <w:vertAlign w:val="baseline"/>
        </w:rPr>
        <w:t>Cross-cultural topics in Psychology</w:t>
      </w:r>
      <w:r w:rsidRPr="00B24F20">
        <w:rPr>
          <w:sz w:val="20"/>
          <w:szCs w:val="20"/>
          <w:vertAlign w:val="baseline"/>
        </w:rPr>
        <w:t xml:space="preserve"> (2</w:t>
      </w:r>
      <w:r>
        <w:rPr>
          <w:sz w:val="20"/>
          <w:szCs w:val="20"/>
          <w:vertAlign w:val="baseline"/>
        </w:rPr>
        <w:t xml:space="preserve">nd ed. Praeger Publishers 2001) </w:t>
      </w:r>
      <w:r w:rsidRPr="00B24F20">
        <w:rPr>
          <w:sz w:val="20"/>
          <w:szCs w:val="20"/>
          <w:vertAlign w:val="baseline"/>
        </w:rPr>
        <w:t>186</w:t>
      </w:r>
    </w:p>
  </w:footnote>
  <w:footnote w:id="126">
    <w:p w14:paraId="31D0087B" w14:textId="4DDF0089" w:rsidR="00431A55" w:rsidRPr="00B24F20" w:rsidRDefault="00431A55" w:rsidP="00AF4381">
      <w:pPr>
        <w:pStyle w:val="FootnoteText"/>
        <w:rPr>
          <w:sz w:val="20"/>
          <w:szCs w:val="20"/>
          <w:vertAlign w:val="baseline"/>
        </w:rPr>
      </w:pPr>
      <w:r w:rsidRPr="00B24F20">
        <w:rPr>
          <w:rStyle w:val="FootnoteReference"/>
          <w:sz w:val="20"/>
          <w:szCs w:val="20"/>
        </w:rPr>
        <w:footnoteRef/>
      </w:r>
      <w:r w:rsidRPr="00B24F20">
        <w:rPr>
          <w:sz w:val="20"/>
          <w:szCs w:val="20"/>
          <w:vertAlign w:val="baseline"/>
        </w:rPr>
        <w:t xml:space="preserve"> See Nathalia L. Gjersoe and Bruce M. Hood ‘The supernatural guilt trip does not take us far enough’ (2006) 29 Behavioural and Brain Sciences 473-474; Chris Carter, </w:t>
      </w:r>
      <w:r w:rsidRPr="00B24F20">
        <w:rPr>
          <w:i/>
          <w:sz w:val="20"/>
          <w:szCs w:val="20"/>
          <w:vertAlign w:val="baseline"/>
        </w:rPr>
        <w:t>Science and Psychic Phenomena: The Fall of the House of Skeptics</w:t>
      </w:r>
      <w:r>
        <w:rPr>
          <w:sz w:val="20"/>
          <w:szCs w:val="20"/>
          <w:vertAlign w:val="baseline"/>
        </w:rPr>
        <w:t xml:space="preserve"> (Inner Traditions 2012)</w:t>
      </w:r>
    </w:p>
  </w:footnote>
  <w:footnote w:id="127">
    <w:p w14:paraId="4AA37960" w14:textId="55AAC98D" w:rsidR="00431A55" w:rsidRPr="00B24F20" w:rsidRDefault="00431A55" w:rsidP="00AF4381">
      <w:pPr>
        <w:pStyle w:val="FootnoteText"/>
        <w:rPr>
          <w:sz w:val="20"/>
          <w:szCs w:val="20"/>
          <w:vertAlign w:val="baseline"/>
        </w:rPr>
      </w:pPr>
      <w:r w:rsidRPr="00B24F20">
        <w:rPr>
          <w:rStyle w:val="FootnoteReference"/>
          <w:sz w:val="20"/>
          <w:szCs w:val="20"/>
        </w:rPr>
        <w:footnoteRef/>
      </w:r>
      <w:r w:rsidRPr="00B24F20">
        <w:rPr>
          <w:sz w:val="20"/>
          <w:szCs w:val="20"/>
          <w:vertAlign w:val="baseline"/>
        </w:rPr>
        <w:t xml:space="preserve"> Rodney Stark, </w:t>
      </w:r>
      <w:r w:rsidRPr="00B24F20">
        <w:rPr>
          <w:i/>
          <w:sz w:val="20"/>
          <w:szCs w:val="20"/>
          <w:vertAlign w:val="baseline"/>
        </w:rPr>
        <w:t xml:space="preserve">For the Glory of God: How Monotheism led to the Reformations, Science, Witch-hunts and the End of Slavery </w:t>
      </w:r>
      <w:r>
        <w:rPr>
          <w:sz w:val="20"/>
          <w:szCs w:val="20"/>
          <w:vertAlign w:val="baseline"/>
        </w:rPr>
        <w:t>(Princeton 2003) 228</w:t>
      </w:r>
    </w:p>
  </w:footnote>
  <w:footnote w:id="128">
    <w:p w14:paraId="7C742306" w14:textId="6D0770FE" w:rsidR="00431A55" w:rsidRPr="00B24F20" w:rsidRDefault="00431A55" w:rsidP="00AF4381">
      <w:pPr>
        <w:pStyle w:val="FootnoteText"/>
        <w:rPr>
          <w:sz w:val="20"/>
          <w:szCs w:val="20"/>
          <w:vertAlign w:val="baseline"/>
        </w:rPr>
      </w:pPr>
      <w:r w:rsidRPr="00C327E7">
        <w:rPr>
          <w:rStyle w:val="FootnoteReference"/>
          <w:sz w:val="20"/>
          <w:szCs w:val="20"/>
        </w:rPr>
        <w:footnoteRef/>
      </w:r>
      <w:r>
        <w:rPr>
          <w:sz w:val="20"/>
          <w:szCs w:val="20"/>
          <w:vertAlign w:val="baseline"/>
        </w:rPr>
        <w:t xml:space="preserve"> Section 3.6.2</w:t>
      </w:r>
    </w:p>
  </w:footnote>
  <w:footnote w:id="129">
    <w:p w14:paraId="0E70A481" w14:textId="49FBEBB2" w:rsidR="00431A55" w:rsidRDefault="00431A55" w:rsidP="00AF4381">
      <w:pPr>
        <w:pStyle w:val="FootnoteText"/>
      </w:pPr>
      <w:r w:rsidRPr="00C327E7">
        <w:rPr>
          <w:rStyle w:val="FootnoteReference"/>
          <w:sz w:val="20"/>
          <w:szCs w:val="20"/>
        </w:rPr>
        <w:footnoteRef/>
      </w:r>
      <w:r w:rsidRPr="00C327E7">
        <w:rPr>
          <w:sz w:val="20"/>
          <w:szCs w:val="20"/>
        </w:rPr>
        <w:t xml:space="preserve"> </w:t>
      </w:r>
      <w:r>
        <w:rPr>
          <w:sz w:val="20"/>
          <w:szCs w:val="20"/>
          <w:vertAlign w:val="baseline"/>
        </w:rPr>
        <w:t>Meredith B</w:t>
      </w:r>
      <w:r w:rsidRPr="00B24F20">
        <w:rPr>
          <w:sz w:val="20"/>
          <w:szCs w:val="20"/>
          <w:vertAlign w:val="baseline"/>
        </w:rPr>
        <w:t xml:space="preserve"> McGuire, </w:t>
      </w:r>
      <w:r w:rsidRPr="00B24F20">
        <w:rPr>
          <w:i/>
          <w:sz w:val="20"/>
          <w:szCs w:val="20"/>
          <w:vertAlign w:val="baseline"/>
        </w:rPr>
        <w:t>Religion: The Social Context</w:t>
      </w:r>
      <w:r w:rsidRPr="00B24F20">
        <w:rPr>
          <w:sz w:val="20"/>
          <w:szCs w:val="20"/>
          <w:vertAlign w:val="baseline"/>
        </w:rPr>
        <w:t xml:space="preserve"> (5th ed. Waveland Press 2008) 130</w:t>
      </w:r>
    </w:p>
  </w:footnote>
  <w:footnote w:id="130">
    <w:p w14:paraId="1FAEF4F4" w14:textId="112C8662" w:rsidR="00431A55" w:rsidRPr="00F96B0B" w:rsidRDefault="00431A55">
      <w:pPr>
        <w:pStyle w:val="FootnoteText"/>
        <w:rPr>
          <w:sz w:val="20"/>
          <w:szCs w:val="20"/>
          <w:vertAlign w:val="baseline"/>
          <w:lang w:val="en-US"/>
        </w:rPr>
      </w:pPr>
      <w:r w:rsidRPr="00F96B0B">
        <w:rPr>
          <w:rStyle w:val="FootnoteReference"/>
          <w:sz w:val="20"/>
          <w:szCs w:val="20"/>
        </w:rPr>
        <w:footnoteRef/>
      </w:r>
      <w:r w:rsidRPr="00F96B0B">
        <w:rPr>
          <w:sz w:val="20"/>
          <w:szCs w:val="20"/>
        </w:rPr>
        <w:t xml:space="preserve"> </w:t>
      </w:r>
      <w:r>
        <w:rPr>
          <w:sz w:val="20"/>
          <w:szCs w:val="20"/>
          <w:vertAlign w:val="baseline"/>
        </w:rPr>
        <w:t>Section 3.6.2</w:t>
      </w:r>
    </w:p>
  </w:footnote>
  <w:footnote w:id="131">
    <w:p w14:paraId="12639E24" w14:textId="77777777" w:rsidR="00431A55" w:rsidRPr="00DB5897" w:rsidRDefault="00431A55" w:rsidP="00AF4381">
      <w:pPr>
        <w:pStyle w:val="FootnoteText"/>
        <w:rPr>
          <w:sz w:val="20"/>
          <w:szCs w:val="20"/>
          <w:vertAlign w:val="baseline"/>
        </w:rPr>
      </w:pPr>
      <w:r w:rsidRPr="00DB5897">
        <w:rPr>
          <w:rStyle w:val="FootnoteReference"/>
          <w:sz w:val="20"/>
          <w:szCs w:val="20"/>
        </w:rPr>
        <w:footnoteRef/>
      </w:r>
      <w:r w:rsidRPr="00DB5897">
        <w:rPr>
          <w:sz w:val="20"/>
          <w:szCs w:val="20"/>
          <w:vertAlign w:val="baseline"/>
        </w:rPr>
        <w:t xml:space="preserve"> Sigmund Freud, </w:t>
      </w:r>
      <w:r w:rsidRPr="00DB5897">
        <w:rPr>
          <w:i/>
          <w:sz w:val="20"/>
          <w:szCs w:val="20"/>
          <w:vertAlign w:val="baseline"/>
        </w:rPr>
        <w:t xml:space="preserve">The Ego and the ID </w:t>
      </w:r>
      <w:r w:rsidRPr="00DB5897">
        <w:rPr>
          <w:sz w:val="20"/>
          <w:szCs w:val="20"/>
          <w:vertAlign w:val="baseline"/>
        </w:rPr>
        <w:t xml:space="preserve">(First published 1923, James Strachey, ed, Norton Library 1962) </w:t>
      </w:r>
    </w:p>
  </w:footnote>
  <w:footnote w:id="132">
    <w:p w14:paraId="12B6842D" w14:textId="06777B41" w:rsidR="00431A55" w:rsidRDefault="00431A55" w:rsidP="00AF4381">
      <w:pPr>
        <w:pStyle w:val="FootnoteText"/>
      </w:pPr>
      <w:r w:rsidRPr="00DB5897">
        <w:rPr>
          <w:rStyle w:val="FootnoteReference"/>
          <w:sz w:val="20"/>
          <w:szCs w:val="20"/>
        </w:rPr>
        <w:footnoteRef/>
      </w:r>
      <w:r>
        <w:rPr>
          <w:sz w:val="20"/>
          <w:szCs w:val="20"/>
          <w:vertAlign w:val="baseline"/>
        </w:rPr>
        <w:t xml:space="preserve"> Planer (n 106) </w:t>
      </w:r>
      <w:r w:rsidRPr="00DB5897">
        <w:rPr>
          <w:sz w:val="20"/>
          <w:szCs w:val="20"/>
          <w:vertAlign w:val="baseline"/>
        </w:rPr>
        <w:t>11</w:t>
      </w:r>
    </w:p>
  </w:footnote>
  <w:footnote w:id="133">
    <w:p w14:paraId="7EF9758E" w14:textId="48DC37C0" w:rsidR="00431A55" w:rsidRPr="00414304" w:rsidRDefault="00431A55" w:rsidP="00AF4381">
      <w:pPr>
        <w:pStyle w:val="FootnoteText"/>
        <w:rPr>
          <w:sz w:val="20"/>
          <w:szCs w:val="20"/>
          <w:vertAlign w:val="baseline"/>
        </w:rPr>
      </w:pPr>
      <w:r w:rsidRPr="00414304">
        <w:rPr>
          <w:rStyle w:val="FootnoteReference"/>
          <w:sz w:val="20"/>
          <w:szCs w:val="20"/>
        </w:rPr>
        <w:footnoteRef/>
      </w:r>
      <w:r>
        <w:rPr>
          <w:sz w:val="20"/>
          <w:szCs w:val="20"/>
          <w:vertAlign w:val="baseline"/>
        </w:rPr>
        <w:t xml:space="preserve"> ibid 28</w:t>
      </w:r>
    </w:p>
  </w:footnote>
  <w:footnote w:id="134">
    <w:p w14:paraId="431FC62A" w14:textId="5F42FC73" w:rsidR="00431A55" w:rsidRPr="00414304" w:rsidRDefault="00431A55" w:rsidP="00AF4381">
      <w:pPr>
        <w:pStyle w:val="FootnoteText"/>
        <w:rPr>
          <w:sz w:val="20"/>
          <w:szCs w:val="20"/>
          <w:vertAlign w:val="baseline"/>
        </w:rPr>
      </w:pPr>
      <w:r w:rsidRPr="00414304">
        <w:rPr>
          <w:rStyle w:val="FootnoteReference"/>
          <w:sz w:val="20"/>
          <w:szCs w:val="20"/>
        </w:rPr>
        <w:footnoteRef/>
      </w:r>
      <w:r w:rsidRPr="00414304">
        <w:rPr>
          <w:sz w:val="20"/>
          <w:szCs w:val="20"/>
          <w:vertAlign w:val="baseline"/>
        </w:rPr>
        <w:t xml:space="preserve"> Oxford English Dictionary at &lt;</w:t>
      </w:r>
      <w:hyperlink r:id="rId23" w:anchor="eid" w:history="1">
        <w:r w:rsidRPr="00414304">
          <w:rPr>
            <w:rStyle w:val="Hyperlink"/>
            <w:sz w:val="20"/>
            <w:szCs w:val="20"/>
            <w:vertAlign w:val="baseline"/>
          </w:rPr>
          <w:t>http://www.oed.com/view/Entry/65386?rskey=VYf9Gm&amp;result=3#eid</w:t>
        </w:r>
      </w:hyperlink>
      <w:r>
        <w:rPr>
          <w:sz w:val="20"/>
          <w:szCs w:val="20"/>
          <w:vertAlign w:val="baseline"/>
        </w:rPr>
        <w:t>&gt; accessed 8 July 2014</w:t>
      </w:r>
    </w:p>
  </w:footnote>
  <w:footnote w:id="135">
    <w:p w14:paraId="2E1BDB4E" w14:textId="0F9860E7" w:rsidR="00431A55" w:rsidRPr="00E95D32" w:rsidRDefault="00431A55" w:rsidP="00AF4381">
      <w:pPr>
        <w:pStyle w:val="FootnoteText"/>
        <w:tabs>
          <w:tab w:val="left" w:pos="2127"/>
        </w:tabs>
      </w:pPr>
      <w:r w:rsidRPr="00414304">
        <w:rPr>
          <w:rStyle w:val="FootnoteReference"/>
          <w:sz w:val="20"/>
          <w:szCs w:val="20"/>
        </w:rPr>
        <w:footnoteRef/>
      </w:r>
      <w:r w:rsidRPr="00414304">
        <w:rPr>
          <w:sz w:val="20"/>
          <w:szCs w:val="20"/>
          <w:vertAlign w:val="baseline"/>
        </w:rPr>
        <w:t xml:space="preserve"> E.E. Evans-Pritchard, </w:t>
      </w:r>
      <w:r w:rsidRPr="00414304">
        <w:rPr>
          <w:i/>
          <w:sz w:val="20"/>
          <w:szCs w:val="20"/>
          <w:vertAlign w:val="baseline"/>
        </w:rPr>
        <w:t>Witchcraft, oracles and magic among the Azande</w:t>
      </w:r>
      <w:r w:rsidRPr="00414304">
        <w:rPr>
          <w:sz w:val="20"/>
          <w:szCs w:val="20"/>
          <w:vertAlign w:val="baseline"/>
        </w:rPr>
        <w:t xml:space="preserve"> (Oxford 1937) 236-9</w:t>
      </w:r>
    </w:p>
  </w:footnote>
  <w:footnote w:id="136">
    <w:p w14:paraId="7DB90072" w14:textId="2F4A0247" w:rsidR="00431A55" w:rsidRPr="00DE4D74" w:rsidRDefault="00431A55" w:rsidP="00AF4381">
      <w:pPr>
        <w:pStyle w:val="FootnoteText"/>
        <w:rPr>
          <w:sz w:val="20"/>
          <w:szCs w:val="20"/>
          <w:vertAlign w:val="baseline"/>
        </w:rPr>
      </w:pPr>
      <w:r w:rsidRPr="00DE4D74">
        <w:rPr>
          <w:rStyle w:val="FootnoteReference"/>
          <w:sz w:val="20"/>
          <w:szCs w:val="20"/>
        </w:rPr>
        <w:footnoteRef/>
      </w:r>
      <w:r w:rsidRPr="00DE4D74">
        <w:rPr>
          <w:sz w:val="20"/>
          <w:szCs w:val="20"/>
          <w:vertAlign w:val="baseline"/>
        </w:rPr>
        <w:t xml:space="preserve"> David Parkin, </w:t>
      </w:r>
      <w:r w:rsidRPr="00DE4D74">
        <w:rPr>
          <w:i/>
          <w:sz w:val="20"/>
          <w:szCs w:val="20"/>
          <w:vertAlign w:val="baseline"/>
        </w:rPr>
        <w:t xml:space="preserve">The Anthropology of Evil </w:t>
      </w:r>
      <w:r>
        <w:rPr>
          <w:sz w:val="20"/>
          <w:szCs w:val="20"/>
          <w:vertAlign w:val="baseline"/>
        </w:rPr>
        <w:t>(Oxford 1985) 3</w:t>
      </w:r>
    </w:p>
  </w:footnote>
  <w:footnote w:id="137">
    <w:p w14:paraId="368E0A4A" w14:textId="3333FE5E" w:rsidR="00431A55" w:rsidRPr="008B7EB6" w:rsidRDefault="00431A55" w:rsidP="00AF4381">
      <w:pPr>
        <w:pStyle w:val="FootnoteText"/>
        <w:rPr>
          <w:sz w:val="20"/>
          <w:szCs w:val="20"/>
          <w:vertAlign w:val="baseline"/>
        </w:rPr>
      </w:pPr>
      <w:r w:rsidRPr="008B7EB6">
        <w:rPr>
          <w:rStyle w:val="FootnoteReference"/>
          <w:sz w:val="20"/>
          <w:szCs w:val="20"/>
        </w:rPr>
        <w:footnoteRef/>
      </w:r>
      <w:r w:rsidRPr="008B7EB6">
        <w:rPr>
          <w:sz w:val="20"/>
          <w:szCs w:val="20"/>
          <w:vertAlign w:val="baseline"/>
        </w:rPr>
        <w:t xml:space="preserve"> </w:t>
      </w:r>
      <w:r>
        <w:rPr>
          <w:sz w:val="20"/>
          <w:szCs w:val="20"/>
          <w:vertAlign w:val="baseline"/>
        </w:rPr>
        <w:t>ibid 5</w:t>
      </w:r>
    </w:p>
  </w:footnote>
  <w:footnote w:id="138">
    <w:p w14:paraId="265D57AB" w14:textId="76524B81" w:rsidR="00431A55" w:rsidRPr="008B7EB6" w:rsidRDefault="00431A55" w:rsidP="00AF4381">
      <w:pPr>
        <w:pStyle w:val="FootnoteText"/>
        <w:rPr>
          <w:sz w:val="20"/>
          <w:szCs w:val="20"/>
          <w:vertAlign w:val="baseline"/>
        </w:rPr>
      </w:pPr>
      <w:r w:rsidRPr="008B7EB6">
        <w:rPr>
          <w:rStyle w:val="FootnoteReference"/>
          <w:sz w:val="20"/>
          <w:szCs w:val="20"/>
        </w:rPr>
        <w:footnoteRef/>
      </w:r>
      <w:r w:rsidRPr="008B7EB6">
        <w:rPr>
          <w:sz w:val="20"/>
          <w:szCs w:val="20"/>
          <w:vertAlign w:val="baseline"/>
        </w:rPr>
        <w:t xml:space="preserve"> </w:t>
      </w:r>
      <w:r>
        <w:rPr>
          <w:sz w:val="20"/>
          <w:szCs w:val="20"/>
          <w:vertAlign w:val="baseline"/>
        </w:rPr>
        <w:t>ibid 6</w:t>
      </w:r>
    </w:p>
  </w:footnote>
  <w:footnote w:id="139">
    <w:p w14:paraId="65F9108A" w14:textId="7801B117" w:rsidR="00431A55" w:rsidRPr="008B7EB6" w:rsidRDefault="00431A55" w:rsidP="00AF4381">
      <w:pPr>
        <w:pStyle w:val="FootnoteText"/>
        <w:rPr>
          <w:sz w:val="20"/>
          <w:szCs w:val="20"/>
          <w:u w:val="single"/>
          <w:vertAlign w:val="baseline"/>
        </w:rPr>
      </w:pPr>
      <w:r w:rsidRPr="008B7EB6">
        <w:rPr>
          <w:rStyle w:val="FootnoteReference"/>
          <w:sz w:val="20"/>
          <w:szCs w:val="20"/>
        </w:rPr>
        <w:footnoteRef/>
      </w:r>
      <w:r w:rsidRPr="008B7EB6">
        <w:rPr>
          <w:sz w:val="20"/>
          <w:szCs w:val="20"/>
        </w:rPr>
        <w:t xml:space="preserve"> </w:t>
      </w:r>
      <w:r w:rsidRPr="008B7EB6">
        <w:rPr>
          <w:sz w:val="20"/>
          <w:szCs w:val="20"/>
          <w:vertAlign w:val="baseline"/>
        </w:rPr>
        <w:t xml:space="preserve">Arne Johan Vetlesen, </w:t>
      </w:r>
      <w:r w:rsidRPr="008B7EB6">
        <w:rPr>
          <w:i/>
          <w:sz w:val="20"/>
          <w:szCs w:val="20"/>
          <w:vertAlign w:val="baseline"/>
        </w:rPr>
        <w:t xml:space="preserve">Evil and Human Agency: Understanding Collective Evildoing </w:t>
      </w:r>
      <w:r w:rsidRPr="008B7EB6">
        <w:rPr>
          <w:sz w:val="20"/>
          <w:szCs w:val="20"/>
          <w:vertAlign w:val="baseline"/>
        </w:rPr>
        <w:t>(CUP 2005) i</w:t>
      </w:r>
    </w:p>
  </w:footnote>
  <w:footnote w:id="140">
    <w:p w14:paraId="55A1B0C5" w14:textId="55922C36" w:rsidR="00431A55" w:rsidRPr="008B7EB6" w:rsidRDefault="00431A55" w:rsidP="00AF4381">
      <w:pPr>
        <w:pStyle w:val="FootnoteText"/>
        <w:rPr>
          <w:sz w:val="20"/>
          <w:szCs w:val="20"/>
          <w:vertAlign w:val="baseline"/>
        </w:rPr>
      </w:pPr>
      <w:r w:rsidRPr="008B7EB6">
        <w:rPr>
          <w:rStyle w:val="FootnoteReference"/>
          <w:sz w:val="20"/>
          <w:szCs w:val="20"/>
        </w:rPr>
        <w:footnoteRef/>
      </w:r>
      <w:r w:rsidRPr="008B7EB6">
        <w:rPr>
          <w:sz w:val="20"/>
          <w:szCs w:val="20"/>
        </w:rPr>
        <w:t xml:space="preserve"> </w:t>
      </w:r>
      <w:r>
        <w:rPr>
          <w:sz w:val="20"/>
          <w:szCs w:val="20"/>
          <w:vertAlign w:val="baseline"/>
        </w:rPr>
        <w:t>ibid 3</w:t>
      </w:r>
    </w:p>
  </w:footnote>
  <w:footnote w:id="141">
    <w:p w14:paraId="370754E0" w14:textId="2F5A31DE" w:rsidR="00431A55" w:rsidRPr="008B7EB6" w:rsidRDefault="00431A55" w:rsidP="00AF4381">
      <w:pPr>
        <w:pStyle w:val="FootnoteText"/>
        <w:rPr>
          <w:sz w:val="20"/>
          <w:szCs w:val="20"/>
          <w:vertAlign w:val="baseline"/>
        </w:rPr>
      </w:pPr>
      <w:r w:rsidRPr="008B7EB6">
        <w:rPr>
          <w:rStyle w:val="FootnoteReference"/>
          <w:sz w:val="20"/>
          <w:szCs w:val="20"/>
        </w:rPr>
        <w:footnoteRef/>
      </w:r>
      <w:r w:rsidRPr="008B7EB6">
        <w:rPr>
          <w:sz w:val="20"/>
          <w:szCs w:val="20"/>
          <w:vertAlign w:val="baseline"/>
        </w:rPr>
        <w:t xml:space="preserve"> </w:t>
      </w:r>
      <w:r>
        <w:rPr>
          <w:sz w:val="20"/>
          <w:szCs w:val="20"/>
          <w:vertAlign w:val="baseline"/>
        </w:rPr>
        <w:t>ibid 2</w:t>
      </w:r>
    </w:p>
  </w:footnote>
  <w:footnote w:id="142">
    <w:p w14:paraId="28DDDF8D" w14:textId="4BD28104" w:rsidR="00431A55" w:rsidRDefault="00431A55" w:rsidP="00AF4381">
      <w:pPr>
        <w:pStyle w:val="FootnoteText"/>
      </w:pPr>
      <w:r w:rsidRPr="008B7EB6">
        <w:rPr>
          <w:rStyle w:val="FootnoteReference"/>
          <w:sz w:val="20"/>
          <w:szCs w:val="20"/>
        </w:rPr>
        <w:footnoteRef/>
      </w:r>
      <w:r w:rsidRPr="008B7EB6">
        <w:rPr>
          <w:sz w:val="20"/>
          <w:szCs w:val="20"/>
          <w:vertAlign w:val="baseline"/>
        </w:rPr>
        <w:t xml:space="preserve"> Jeffrey Burton Russell, </w:t>
      </w:r>
      <w:r w:rsidRPr="008B7EB6">
        <w:rPr>
          <w:i/>
          <w:sz w:val="20"/>
          <w:szCs w:val="20"/>
          <w:vertAlign w:val="baseline"/>
        </w:rPr>
        <w:t>The Devil: Perceptions of Evil from Antiquity to Primitive Christianity</w:t>
      </w:r>
      <w:r w:rsidRPr="008B7EB6">
        <w:rPr>
          <w:sz w:val="20"/>
          <w:szCs w:val="20"/>
          <w:vertAlign w:val="baseline"/>
        </w:rPr>
        <w:t xml:space="preserve"> (Cornell University 1977) 19</w:t>
      </w:r>
    </w:p>
  </w:footnote>
  <w:footnote w:id="143">
    <w:p w14:paraId="62D5E76E" w14:textId="1D970A2C" w:rsidR="00431A55" w:rsidRPr="00931A2B" w:rsidRDefault="00431A55" w:rsidP="00AF4381">
      <w:pPr>
        <w:pStyle w:val="FootnoteText"/>
        <w:rPr>
          <w:sz w:val="20"/>
          <w:szCs w:val="20"/>
          <w:vertAlign w:val="baseline"/>
        </w:rPr>
      </w:pPr>
      <w:r w:rsidRPr="00931A2B">
        <w:rPr>
          <w:rStyle w:val="FootnoteReference"/>
          <w:sz w:val="20"/>
          <w:szCs w:val="20"/>
        </w:rPr>
        <w:footnoteRef/>
      </w:r>
      <w:r w:rsidRPr="00931A2B">
        <w:rPr>
          <w:sz w:val="20"/>
          <w:szCs w:val="20"/>
          <w:vertAlign w:val="baseline"/>
        </w:rPr>
        <w:t xml:space="preserve"> Marie-Louise von Franz, </w:t>
      </w:r>
      <w:r w:rsidRPr="00931A2B">
        <w:rPr>
          <w:i/>
          <w:sz w:val="20"/>
          <w:szCs w:val="20"/>
          <w:vertAlign w:val="baseline"/>
        </w:rPr>
        <w:t xml:space="preserve">Shadow and Evil in Fairy Tales </w:t>
      </w:r>
      <w:r>
        <w:rPr>
          <w:sz w:val="20"/>
          <w:szCs w:val="20"/>
          <w:vertAlign w:val="baseline"/>
        </w:rPr>
        <w:t>(Dallas 1983) 146</w:t>
      </w:r>
    </w:p>
  </w:footnote>
  <w:footnote w:id="144">
    <w:p w14:paraId="431C648A" w14:textId="58144793" w:rsidR="00431A55" w:rsidRPr="00931A2B" w:rsidRDefault="00431A55" w:rsidP="00AF4381">
      <w:pPr>
        <w:pStyle w:val="FootnoteText"/>
        <w:rPr>
          <w:sz w:val="20"/>
          <w:szCs w:val="20"/>
          <w:vertAlign w:val="baseline"/>
        </w:rPr>
      </w:pPr>
      <w:r w:rsidRPr="00931A2B">
        <w:rPr>
          <w:rStyle w:val="FootnoteReference"/>
          <w:sz w:val="20"/>
          <w:szCs w:val="20"/>
        </w:rPr>
        <w:footnoteRef/>
      </w:r>
      <w:r>
        <w:rPr>
          <w:sz w:val="20"/>
          <w:szCs w:val="20"/>
          <w:vertAlign w:val="baseline"/>
        </w:rPr>
        <w:t xml:space="preserve"> Vetlesen (n 139) 9</w:t>
      </w:r>
    </w:p>
  </w:footnote>
  <w:footnote w:id="145">
    <w:p w14:paraId="360114AE" w14:textId="1A91E671" w:rsidR="00431A55" w:rsidRDefault="00431A55" w:rsidP="00AF4381">
      <w:pPr>
        <w:pStyle w:val="FootnoteText"/>
      </w:pPr>
      <w:r w:rsidRPr="00931A2B">
        <w:rPr>
          <w:rStyle w:val="FootnoteReference"/>
          <w:sz w:val="20"/>
          <w:szCs w:val="20"/>
        </w:rPr>
        <w:footnoteRef/>
      </w:r>
      <w:r w:rsidRPr="00931A2B">
        <w:rPr>
          <w:sz w:val="20"/>
          <w:szCs w:val="20"/>
          <w:vertAlign w:val="baseline"/>
        </w:rPr>
        <w:t xml:space="preserve"> Martin Gardner, </w:t>
      </w:r>
      <w:r w:rsidRPr="00931A2B">
        <w:rPr>
          <w:i/>
          <w:sz w:val="20"/>
          <w:szCs w:val="20"/>
          <w:vertAlign w:val="baseline"/>
        </w:rPr>
        <w:t xml:space="preserve">The Whys of a Philosophical Scrivener </w:t>
      </w:r>
      <w:r w:rsidRPr="00931A2B">
        <w:rPr>
          <w:sz w:val="20"/>
          <w:szCs w:val="20"/>
          <w:vertAlign w:val="baseline"/>
        </w:rPr>
        <w:t>(New York 1983) 249</w:t>
      </w:r>
    </w:p>
  </w:footnote>
  <w:footnote w:id="146">
    <w:p w14:paraId="62831852" w14:textId="39F151E6" w:rsidR="00431A55" w:rsidRPr="00E500F7" w:rsidRDefault="00431A55" w:rsidP="00AF4381">
      <w:pPr>
        <w:pStyle w:val="FootnoteText"/>
        <w:rPr>
          <w:sz w:val="20"/>
          <w:szCs w:val="20"/>
          <w:vertAlign w:val="baseline"/>
        </w:rPr>
      </w:pPr>
      <w:r w:rsidRPr="00E500F7">
        <w:rPr>
          <w:rStyle w:val="FootnoteReference"/>
          <w:sz w:val="20"/>
          <w:szCs w:val="20"/>
        </w:rPr>
        <w:footnoteRef/>
      </w:r>
      <w:r w:rsidRPr="00E500F7">
        <w:rPr>
          <w:sz w:val="20"/>
          <w:szCs w:val="20"/>
          <w:vertAlign w:val="baseline"/>
        </w:rPr>
        <w:t xml:space="preserve"> </w:t>
      </w:r>
      <w:r>
        <w:rPr>
          <w:sz w:val="20"/>
          <w:szCs w:val="20"/>
          <w:vertAlign w:val="baseline"/>
        </w:rPr>
        <w:t>See Glossary Section, 13</w:t>
      </w:r>
    </w:p>
  </w:footnote>
  <w:footnote w:id="147">
    <w:p w14:paraId="5A48FC12" w14:textId="23831C8F" w:rsidR="00431A55" w:rsidRPr="00E500F7" w:rsidRDefault="00431A55" w:rsidP="00AF4381">
      <w:pPr>
        <w:pStyle w:val="FootnoteText"/>
        <w:jc w:val="both"/>
        <w:rPr>
          <w:sz w:val="20"/>
          <w:szCs w:val="20"/>
          <w:vertAlign w:val="baseline"/>
        </w:rPr>
      </w:pPr>
      <w:r w:rsidRPr="00E500F7">
        <w:rPr>
          <w:rStyle w:val="FootnoteReference"/>
          <w:sz w:val="20"/>
          <w:szCs w:val="20"/>
        </w:rPr>
        <w:footnoteRef/>
      </w:r>
      <w:r w:rsidRPr="00E500F7">
        <w:rPr>
          <w:sz w:val="20"/>
          <w:szCs w:val="20"/>
          <w:vertAlign w:val="baseline"/>
        </w:rPr>
        <w:t xml:space="preserve"> </w:t>
      </w:r>
      <w:r>
        <w:rPr>
          <w:sz w:val="20"/>
          <w:szCs w:val="20"/>
          <w:vertAlign w:val="baseline"/>
        </w:rPr>
        <w:t>ibid 14</w:t>
      </w:r>
      <w:r w:rsidRPr="00E500F7">
        <w:rPr>
          <w:sz w:val="20"/>
          <w:szCs w:val="20"/>
          <w:vertAlign w:val="baseline"/>
        </w:rPr>
        <w:t xml:space="preserve"> </w:t>
      </w:r>
    </w:p>
  </w:footnote>
  <w:footnote w:id="148">
    <w:p w14:paraId="3CFB292A" w14:textId="1A4AF1A9" w:rsidR="00431A55" w:rsidRPr="00E500F7" w:rsidRDefault="00431A55" w:rsidP="00AF4381">
      <w:pPr>
        <w:pStyle w:val="FootnoteText"/>
        <w:rPr>
          <w:sz w:val="20"/>
          <w:szCs w:val="20"/>
          <w:vertAlign w:val="baseline"/>
        </w:rPr>
      </w:pPr>
      <w:r w:rsidRPr="00E500F7">
        <w:rPr>
          <w:rStyle w:val="FootnoteReference"/>
          <w:sz w:val="20"/>
          <w:szCs w:val="20"/>
        </w:rPr>
        <w:footnoteRef/>
      </w:r>
      <w:r w:rsidRPr="00E500F7">
        <w:rPr>
          <w:sz w:val="20"/>
          <w:szCs w:val="20"/>
          <w:vertAlign w:val="baseline"/>
        </w:rPr>
        <w:t xml:space="preserve"> </w:t>
      </w:r>
      <w:r>
        <w:rPr>
          <w:sz w:val="20"/>
          <w:szCs w:val="20"/>
          <w:vertAlign w:val="baseline"/>
        </w:rPr>
        <w:t>ibid 12</w:t>
      </w:r>
    </w:p>
  </w:footnote>
  <w:footnote w:id="149">
    <w:p w14:paraId="0A66F5F2" w14:textId="63CC2D83" w:rsidR="00431A55" w:rsidRPr="00E500F7" w:rsidRDefault="00431A55" w:rsidP="00AF4381">
      <w:pPr>
        <w:pStyle w:val="FootnoteText"/>
        <w:rPr>
          <w:sz w:val="20"/>
          <w:szCs w:val="20"/>
          <w:vertAlign w:val="baseline"/>
        </w:rPr>
      </w:pPr>
      <w:r w:rsidRPr="00E500F7">
        <w:rPr>
          <w:rStyle w:val="FootnoteReference"/>
          <w:sz w:val="20"/>
          <w:szCs w:val="20"/>
        </w:rPr>
        <w:footnoteRef/>
      </w:r>
      <w:r w:rsidRPr="00E500F7">
        <w:rPr>
          <w:sz w:val="20"/>
          <w:szCs w:val="20"/>
          <w:vertAlign w:val="baseline"/>
        </w:rPr>
        <w:t xml:space="preserve"> </w:t>
      </w:r>
      <w:r>
        <w:rPr>
          <w:sz w:val="20"/>
          <w:szCs w:val="20"/>
          <w:vertAlign w:val="baseline"/>
        </w:rPr>
        <w:t>ibid 13</w:t>
      </w:r>
    </w:p>
  </w:footnote>
  <w:footnote w:id="150">
    <w:p w14:paraId="38D9AAEA" w14:textId="0B743861" w:rsidR="00431A55" w:rsidRPr="00E500F7" w:rsidRDefault="00431A55" w:rsidP="00AF4381">
      <w:pPr>
        <w:pStyle w:val="FootnoteText"/>
        <w:rPr>
          <w:sz w:val="20"/>
          <w:szCs w:val="20"/>
          <w:vertAlign w:val="baseline"/>
        </w:rPr>
      </w:pPr>
      <w:r w:rsidRPr="00E500F7">
        <w:rPr>
          <w:rStyle w:val="FootnoteReference"/>
          <w:sz w:val="20"/>
          <w:szCs w:val="20"/>
        </w:rPr>
        <w:footnoteRef/>
      </w:r>
      <w:r w:rsidRPr="00E500F7">
        <w:rPr>
          <w:sz w:val="20"/>
          <w:szCs w:val="20"/>
          <w:vertAlign w:val="baseline"/>
        </w:rPr>
        <w:t xml:space="preserve"> Ernest Valea, ‘The problem of evil in world religions’ (Comparative Religion, 15 January 2011) &lt;</w:t>
      </w:r>
      <w:hyperlink r:id="rId24" w:history="1">
        <w:r w:rsidRPr="00E500F7">
          <w:rPr>
            <w:rStyle w:val="Hyperlink"/>
            <w:sz w:val="20"/>
            <w:szCs w:val="20"/>
            <w:vertAlign w:val="baseline"/>
          </w:rPr>
          <w:t>http://www.comparativereligion.com/evil.html</w:t>
        </w:r>
      </w:hyperlink>
      <w:r>
        <w:rPr>
          <w:sz w:val="20"/>
          <w:szCs w:val="20"/>
          <w:vertAlign w:val="baseline"/>
        </w:rPr>
        <w:t>&gt; accessed 10 July 2014</w:t>
      </w:r>
    </w:p>
  </w:footnote>
  <w:footnote w:id="151">
    <w:p w14:paraId="117EAF8C" w14:textId="116AAF38" w:rsidR="00431A55" w:rsidRPr="00E500F7" w:rsidRDefault="00431A55" w:rsidP="00AF4381">
      <w:pPr>
        <w:pStyle w:val="FootnoteText"/>
        <w:rPr>
          <w:sz w:val="20"/>
          <w:szCs w:val="20"/>
          <w:vertAlign w:val="baseline"/>
        </w:rPr>
      </w:pPr>
      <w:r w:rsidRPr="00E500F7">
        <w:rPr>
          <w:rStyle w:val="FootnoteReference"/>
          <w:sz w:val="20"/>
          <w:szCs w:val="20"/>
        </w:rPr>
        <w:footnoteRef/>
      </w:r>
      <w:r w:rsidRPr="00E500F7">
        <w:rPr>
          <w:sz w:val="20"/>
          <w:szCs w:val="20"/>
          <w:vertAlign w:val="baseline"/>
        </w:rPr>
        <w:t xml:space="preserve"> </w:t>
      </w:r>
      <w:r>
        <w:rPr>
          <w:sz w:val="20"/>
          <w:szCs w:val="20"/>
          <w:vertAlign w:val="baseline"/>
        </w:rPr>
        <w:t>ibid</w:t>
      </w:r>
    </w:p>
  </w:footnote>
  <w:footnote w:id="152">
    <w:p w14:paraId="44214DD9" w14:textId="16B67C11" w:rsidR="00431A55" w:rsidRPr="00E500F7" w:rsidRDefault="00431A55" w:rsidP="00AF4381">
      <w:pPr>
        <w:pStyle w:val="FootnoteText"/>
        <w:rPr>
          <w:sz w:val="20"/>
          <w:szCs w:val="20"/>
          <w:vertAlign w:val="baseline"/>
        </w:rPr>
      </w:pPr>
      <w:r w:rsidRPr="00E500F7">
        <w:rPr>
          <w:rStyle w:val="FootnoteReference"/>
          <w:sz w:val="20"/>
          <w:szCs w:val="20"/>
        </w:rPr>
        <w:footnoteRef/>
      </w:r>
      <w:r w:rsidRPr="00E500F7">
        <w:rPr>
          <w:sz w:val="20"/>
          <w:szCs w:val="20"/>
          <w:vertAlign w:val="baseline"/>
        </w:rPr>
        <w:t xml:space="preserve"> Specific</w:t>
      </w:r>
      <w:r>
        <w:rPr>
          <w:sz w:val="20"/>
          <w:szCs w:val="20"/>
          <w:vertAlign w:val="baseline"/>
        </w:rPr>
        <w:t>ally ch 28, v 11 – 19</w:t>
      </w:r>
    </w:p>
  </w:footnote>
  <w:footnote w:id="153">
    <w:p w14:paraId="4CB45C51" w14:textId="07CEFCCB" w:rsidR="00431A55" w:rsidRDefault="00431A55" w:rsidP="00AF4381">
      <w:pPr>
        <w:pStyle w:val="FootnoteText"/>
      </w:pPr>
      <w:r w:rsidRPr="00E500F7">
        <w:rPr>
          <w:rStyle w:val="FootnoteReference"/>
          <w:sz w:val="20"/>
          <w:szCs w:val="20"/>
        </w:rPr>
        <w:footnoteRef/>
      </w:r>
      <w:r>
        <w:rPr>
          <w:sz w:val="20"/>
          <w:szCs w:val="20"/>
          <w:vertAlign w:val="baseline"/>
        </w:rPr>
        <w:t xml:space="preserve"> Ch</w:t>
      </w:r>
      <w:r w:rsidRPr="00E500F7">
        <w:rPr>
          <w:sz w:val="20"/>
          <w:szCs w:val="20"/>
          <w:vertAlign w:val="baseline"/>
        </w:rPr>
        <w:t xml:space="preserve"> 14</w:t>
      </w:r>
    </w:p>
  </w:footnote>
  <w:footnote w:id="154">
    <w:p w14:paraId="2E890425" w14:textId="3F89C0A9" w:rsidR="00431A55" w:rsidRPr="0064377B" w:rsidRDefault="00431A55" w:rsidP="00AF4381">
      <w:pPr>
        <w:pStyle w:val="FootnoteText"/>
        <w:rPr>
          <w:sz w:val="20"/>
          <w:szCs w:val="20"/>
          <w:vertAlign w:val="baseline"/>
        </w:rPr>
      </w:pPr>
      <w:r w:rsidRPr="0064377B">
        <w:rPr>
          <w:rStyle w:val="FootnoteReference"/>
          <w:sz w:val="20"/>
          <w:szCs w:val="20"/>
        </w:rPr>
        <w:footnoteRef/>
      </w:r>
      <w:r>
        <w:rPr>
          <w:sz w:val="20"/>
          <w:szCs w:val="20"/>
          <w:vertAlign w:val="baseline"/>
        </w:rPr>
        <w:t xml:space="preserve"> </w:t>
      </w:r>
      <w:r w:rsidRPr="0064377B">
        <w:rPr>
          <w:sz w:val="20"/>
          <w:szCs w:val="20"/>
          <w:vertAlign w:val="baseline"/>
        </w:rPr>
        <w:t>Valea</w:t>
      </w:r>
      <w:r>
        <w:rPr>
          <w:sz w:val="20"/>
          <w:szCs w:val="20"/>
          <w:vertAlign w:val="baseline"/>
        </w:rPr>
        <w:t xml:space="preserve"> (n 150)</w:t>
      </w:r>
    </w:p>
  </w:footnote>
  <w:footnote w:id="155">
    <w:p w14:paraId="5970BE88" w14:textId="74453388" w:rsidR="00431A55" w:rsidRPr="0064377B" w:rsidRDefault="00431A55" w:rsidP="00AF4381">
      <w:pPr>
        <w:pStyle w:val="FootnoteText"/>
        <w:rPr>
          <w:sz w:val="20"/>
          <w:szCs w:val="20"/>
          <w:vertAlign w:val="baseline"/>
        </w:rPr>
      </w:pPr>
      <w:r w:rsidRPr="0064377B">
        <w:rPr>
          <w:rStyle w:val="FootnoteReference"/>
          <w:sz w:val="20"/>
          <w:szCs w:val="20"/>
        </w:rPr>
        <w:footnoteRef/>
      </w:r>
      <w:r w:rsidRPr="0064377B">
        <w:rPr>
          <w:sz w:val="20"/>
          <w:szCs w:val="20"/>
          <w:vertAlign w:val="baseline"/>
        </w:rPr>
        <w:t xml:space="preserve"> Donald Taylor, ‘Theological thoughts about evil’ in David Parkin, </w:t>
      </w:r>
      <w:r w:rsidRPr="0064377B">
        <w:rPr>
          <w:i/>
          <w:sz w:val="20"/>
          <w:szCs w:val="20"/>
          <w:vertAlign w:val="baseline"/>
        </w:rPr>
        <w:t>The Anthropology of Evil</w:t>
      </w:r>
      <w:r>
        <w:rPr>
          <w:sz w:val="20"/>
          <w:szCs w:val="20"/>
          <w:vertAlign w:val="baseline"/>
        </w:rPr>
        <w:t xml:space="preserve"> (Blackwell 1985) 28</w:t>
      </w:r>
    </w:p>
  </w:footnote>
  <w:footnote w:id="156">
    <w:p w14:paraId="7115AA40" w14:textId="70F9D690" w:rsidR="00431A55" w:rsidRPr="0086470F" w:rsidRDefault="00431A55">
      <w:pPr>
        <w:pStyle w:val="FootnoteText"/>
        <w:rPr>
          <w:sz w:val="20"/>
          <w:szCs w:val="20"/>
          <w:vertAlign w:val="baseline"/>
          <w:lang w:val="en-US"/>
        </w:rPr>
      </w:pPr>
      <w:r w:rsidRPr="0086470F">
        <w:rPr>
          <w:rStyle w:val="FootnoteReference"/>
          <w:sz w:val="20"/>
          <w:szCs w:val="20"/>
        </w:rPr>
        <w:footnoteRef/>
      </w:r>
      <w:r w:rsidRPr="0086470F">
        <w:rPr>
          <w:sz w:val="20"/>
          <w:szCs w:val="20"/>
        </w:rPr>
        <w:t xml:space="preserve"> </w:t>
      </w:r>
      <w:r>
        <w:rPr>
          <w:sz w:val="20"/>
          <w:szCs w:val="20"/>
          <w:vertAlign w:val="baseline"/>
        </w:rPr>
        <w:t>Section 3.10</w:t>
      </w:r>
    </w:p>
  </w:footnote>
  <w:footnote w:id="157">
    <w:p w14:paraId="554A3EFF" w14:textId="3682E6D9" w:rsidR="00431A55" w:rsidRPr="0064377B" w:rsidRDefault="00431A55" w:rsidP="00AF4381">
      <w:pPr>
        <w:pStyle w:val="FootnoteText"/>
        <w:rPr>
          <w:sz w:val="20"/>
          <w:szCs w:val="20"/>
          <w:vertAlign w:val="baseline"/>
        </w:rPr>
      </w:pPr>
      <w:r w:rsidRPr="0064377B">
        <w:rPr>
          <w:rStyle w:val="FootnoteReference"/>
          <w:sz w:val="20"/>
          <w:szCs w:val="20"/>
        </w:rPr>
        <w:footnoteRef/>
      </w:r>
      <w:r>
        <w:rPr>
          <w:sz w:val="20"/>
          <w:szCs w:val="20"/>
          <w:vertAlign w:val="baseline"/>
        </w:rPr>
        <w:t xml:space="preserve"> Ch 1-3</w:t>
      </w:r>
    </w:p>
  </w:footnote>
  <w:footnote w:id="158">
    <w:p w14:paraId="1C5FA371" w14:textId="710FF8FD" w:rsidR="00431A55" w:rsidRPr="0064377B" w:rsidRDefault="00431A55" w:rsidP="00AF4381">
      <w:pPr>
        <w:pStyle w:val="FootnoteText"/>
        <w:rPr>
          <w:sz w:val="20"/>
          <w:szCs w:val="20"/>
          <w:vertAlign w:val="baseline"/>
        </w:rPr>
      </w:pPr>
      <w:r w:rsidRPr="0064377B">
        <w:rPr>
          <w:rStyle w:val="FootnoteReference"/>
          <w:sz w:val="20"/>
          <w:szCs w:val="20"/>
        </w:rPr>
        <w:footnoteRef/>
      </w:r>
      <w:r>
        <w:rPr>
          <w:sz w:val="20"/>
          <w:szCs w:val="20"/>
          <w:vertAlign w:val="baseline"/>
        </w:rPr>
        <w:t xml:space="preserve"> Matthew, Ch</w:t>
      </w:r>
      <w:r w:rsidRPr="0064377B">
        <w:rPr>
          <w:sz w:val="20"/>
          <w:szCs w:val="20"/>
          <w:vertAlign w:val="baseline"/>
        </w:rPr>
        <w:t xml:space="preserve"> </w:t>
      </w:r>
      <w:r>
        <w:rPr>
          <w:sz w:val="20"/>
          <w:szCs w:val="20"/>
          <w:vertAlign w:val="baseline"/>
        </w:rPr>
        <w:t>4, v</w:t>
      </w:r>
      <w:r w:rsidRPr="0064377B">
        <w:rPr>
          <w:sz w:val="20"/>
          <w:szCs w:val="20"/>
          <w:vertAlign w:val="baseline"/>
        </w:rPr>
        <w:t xml:space="preserve"> 1-1</w:t>
      </w:r>
      <w:r>
        <w:rPr>
          <w:sz w:val="20"/>
          <w:szCs w:val="20"/>
          <w:vertAlign w:val="baseline"/>
        </w:rPr>
        <w:t>1; Mark, Ch 1 v 21-28</w:t>
      </w:r>
    </w:p>
  </w:footnote>
  <w:footnote w:id="159">
    <w:p w14:paraId="1C0DE19F" w14:textId="0C824B06" w:rsidR="00431A55" w:rsidRDefault="00431A55" w:rsidP="00AF4381">
      <w:pPr>
        <w:pStyle w:val="FootnoteText"/>
      </w:pPr>
      <w:r w:rsidRPr="0064377B">
        <w:rPr>
          <w:rStyle w:val="FootnoteReference"/>
          <w:sz w:val="20"/>
          <w:szCs w:val="20"/>
        </w:rPr>
        <w:footnoteRef/>
      </w:r>
      <w:r>
        <w:rPr>
          <w:sz w:val="20"/>
          <w:szCs w:val="20"/>
          <w:vertAlign w:val="baseline"/>
        </w:rPr>
        <w:t xml:space="preserve"> Acts, Ch</w:t>
      </w:r>
      <w:r w:rsidRPr="0064377B">
        <w:rPr>
          <w:sz w:val="20"/>
          <w:szCs w:val="20"/>
          <w:vertAlign w:val="baseline"/>
        </w:rPr>
        <w:t xml:space="preserve"> 5</w:t>
      </w:r>
      <w:r>
        <w:rPr>
          <w:sz w:val="20"/>
          <w:szCs w:val="20"/>
          <w:vertAlign w:val="baseline"/>
        </w:rPr>
        <w:t>, v 16; Peter Ch 1, v 5 and 8; Corinthians Ch 2, v 11, 14</w:t>
      </w:r>
    </w:p>
  </w:footnote>
  <w:footnote w:id="160">
    <w:p w14:paraId="5B9553BF" w14:textId="754E0DB6" w:rsidR="00431A55" w:rsidRPr="00567ED9" w:rsidRDefault="00431A55" w:rsidP="00AF4381">
      <w:pPr>
        <w:pStyle w:val="FootnoteText"/>
        <w:rPr>
          <w:sz w:val="20"/>
          <w:szCs w:val="20"/>
          <w:vertAlign w:val="baseline"/>
        </w:rPr>
      </w:pPr>
      <w:r w:rsidRPr="00567ED9">
        <w:rPr>
          <w:rStyle w:val="FootnoteReference"/>
          <w:sz w:val="20"/>
          <w:szCs w:val="20"/>
        </w:rPr>
        <w:footnoteRef/>
      </w:r>
      <w:r>
        <w:rPr>
          <w:sz w:val="20"/>
          <w:szCs w:val="20"/>
          <w:vertAlign w:val="baseline"/>
        </w:rPr>
        <w:t xml:space="preserve"> </w:t>
      </w:r>
      <w:r w:rsidRPr="00567ED9">
        <w:rPr>
          <w:sz w:val="20"/>
          <w:szCs w:val="20"/>
          <w:vertAlign w:val="baseline"/>
        </w:rPr>
        <w:t>Taylor</w:t>
      </w:r>
      <w:r>
        <w:rPr>
          <w:sz w:val="20"/>
          <w:szCs w:val="20"/>
          <w:vertAlign w:val="baseline"/>
        </w:rPr>
        <w:t xml:space="preserve"> (n155) 33</w:t>
      </w:r>
    </w:p>
  </w:footnote>
  <w:footnote w:id="161">
    <w:p w14:paraId="36DAC923" w14:textId="77777777" w:rsidR="00431A55" w:rsidRPr="00567ED9" w:rsidRDefault="00431A55" w:rsidP="00AF4381">
      <w:pPr>
        <w:pStyle w:val="FootnoteText"/>
        <w:rPr>
          <w:sz w:val="20"/>
          <w:szCs w:val="20"/>
          <w:vertAlign w:val="baseline"/>
        </w:rPr>
      </w:pPr>
      <w:r w:rsidRPr="00567ED9">
        <w:rPr>
          <w:rStyle w:val="FootnoteReference"/>
          <w:sz w:val="20"/>
          <w:szCs w:val="20"/>
        </w:rPr>
        <w:footnoteRef/>
      </w:r>
      <w:r w:rsidRPr="00567ED9">
        <w:rPr>
          <w:sz w:val="20"/>
          <w:szCs w:val="20"/>
          <w:vertAlign w:val="baseline"/>
        </w:rPr>
        <w:t xml:space="preserve"> Rabbi Louis Jacobs, ‘Satan, the Adversary’ (My Jewish Learning) &lt;</w:t>
      </w:r>
      <w:hyperlink r:id="rId25" w:history="1">
        <w:r w:rsidRPr="00567ED9">
          <w:rPr>
            <w:rStyle w:val="Hyperlink"/>
            <w:sz w:val="20"/>
            <w:szCs w:val="20"/>
            <w:vertAlign w:val="baseline"/>
          </w:rPr>
          <w:t>http://www.myjewishlearning.com/beliefs/Theology/Suffering_and_Evil/satan.shtml</w:t>
        </w:r>
      </w:hyperlink>
      <w:r w:rsidRPr="00567ED9">
        <w:rPr>
          <w:sz w:val="20"/>
          <w:szCs w:val="20"/>
          <w:vertAlign w:val="baseline"/>
        </w:rPr>
        <w:t>&gt; accessed 10 July 2014.</w:t>
      </w:r>
    </w:p>
  </w:footnote>
  <w:footnote w:id="162">
    <w:p w14:paraId="026312C5" w14:textId="5F928373" w:rsidR="00431A55" w:rsidRPr="00567ED9" w:rsidRDefault="00431A55" w:rsidP="00AF4381">
      <w:pPr>
        <w:pStyle w:val="FootnoteText"/>
        <w:rPr>
          <w:sz w:val="20"/>
          <w:szCs w:val="20"/>
          <w:vertAlign w:val="baseline"/>
        </w:rPr>
      </w:pPr>
      <w:r w:rsidRPr="00567ED9">
        <w:rPr>
          <w:rStyle w:val="FootnoteReference"/>
          <w:sz w:val="20"/>
          <w:szCs w:val="20"/>
        </w:rPr>
        <w:footnoteRef/>
      </w:r>
      <w:r>
        <w:rPr>
          <w:sz w:val="20"/>
          <w:szCs w:val="20"/>
          <w:vertAlign w:val="baseline"/>
        </w:rPr>
        <w:t xml:space="preserve"> </w:t>
      </w:r>
      <w:r w:rsidRPr="00567ED9">
        <w:rPr>
          <w:sz w:val="20"/>
          <w:szCs w:val="20"/>
          <w:vertAlign w:val="baseline"/>
        </w:rPr>
        <w:t>Taylor</w:t>
      </w:r>
      <w:r>
        <w:rPr>
          <w:sz w:val="20"/>
          <w:szCs w:val="20"/>
          <w:vertAlign w:val="baseline"/>
        </w:rPr>
        <w:t xml:space="preserve"> (n 155) 33</w:t>
      </w:r>
    </w:p>
  </w:footnote>
  <w:footnote w:id="163">
    <w:p w14:paraId="2DD3B4E2" w14:textId="6C0DBDFC" w:rsidR="00431A55" w:rsidRPr="002E0717" w:rsidRDefault="00431A55" w:rsidP="00AF4381">
      <w:pPr>
        <w:pStyle w:val="FootnoteText"/>
      </w:pPr>
      <w:r w:rsidRPr="00567ED9">
        <w:rPr>
          <w:rStyle w:val="FootnoteReference"/>
          <w:sz w:val="20"/>
          <w:szCs w:val="20"/>
        </w:rPr>
        <w:footnoteRef/>
      </w:r>
      <w:r w:rsidRPr="00567ED9">
        <w:rPr>
          <w:sz w:val="20"/>
          <w:szCs w:val="20"/>
          <w:vertAlign w:val="baseline"/>
        </w:rPr>
        <w:t xml:space="preserve"> Ariela Pelaia, ‘Do Jews Believe in Satan? The Jewish view of Satan’ (Religion and Spirituality) &lt;</w:t>
      </w:r>
      <w:hyperlink r:id="rId26" w:history="1">
        <w:r w:rsidRPr="00567ED9">
          <w:rPr>
            <w:rStyle w:val="Hyperlink"/>
            <w:sz w:val="20"/>
            <w:szCs w:val="20"/>
            <w:vertAlign w:val="baseline"/>
          </w:rPr>
          <w:t>http://judaism.about.com/od/judaismbasics/a/jewishbeliefsatan.htm</w:t>
        </w:r>
      </w:hyperlink>
      <w:r w:rsidRPr="00567ED9">
        <w:rPr>
          <w:sz w:val="20"/>
          <w:szCs w:val="20"/>
          <w:vertAlign w:val="baseline"/>
        </w:rPr>
        <w:t xml:space="preserve">&gt; accessed 10 July 2014. See also Louis Jacobs, ‘Sin’ in </w:t>
      </w:r>
      <w:r w:rsidRPr="00567ED9">
        <w:rPr>
          <w:i/>
          <w:sz w:val="20"/>
          <w:szCs w:val="20"/>
          <w:vertAlign w:val="baseline"/>
        </w:rPr>
        <w:t>Encyclopaedia Judaica</w:t>
      </w:r>
      <w:r w:rsidRPr="00567ED9">
        <w:rPr>
          <w:sz w:val="20"/>
          <w:szCs w:val="20"/>
          <w:vertAlign w:val="baseline"/>
        </w:rPr>
        <w:t xml:space="preserve"> (Jerusalem 1972) Vol. 14: 1591-93</w:t>
      </w:r>
    </w:p>
  </w:footnote>
  <w:footnote w:id="164">
    <w:p w14:paraId="2DCF071D" w14:textId="77777777" w:rsidR="00431A55" w:rsidRPr="0096582A" w:rsidRDefault="00431A55" w:rsidP="00AF4381">
      <w:pPr>
        <w:pStyle w:val="FootnoteText"/>
        <w:jc w:val="both"/>
        <w:rPr>
          <w:sz w:val="20"/>
          <w:szCs w:val="20"/>
          <w:vertAlign w:val="baseline"/>
        </w:rPr>
      </w:pPr>
      <w:r w:rsidRPr="0096582A">
        <w:rPr>
          <w:rStyle w:val="FootnoteReference"/>
          <w:sz w:val="20"/>
          <w:szCs w:val="20"/>
        </w:rPr>
        <w:footnoteRef/>
      </w:r>
      <w:r w:rsidRPr="0096582A">
        <w:rPr>
          <w:sz w:val="20"/>
          <w:szCs w:val="20"/>
        </w:rPr>
        <w:t xml:space="preserve"> </w:t>
      </w:r>
      <w:r w:rsidRPr="0096582A">
        <w:rPr>
          <w:sz w:val="20"/>
          <w:szCs w:val="20"/>
          <w:vertAlign w:val="baseline"/>
        </w:rPr>
        <w:t>A jinn is a spirit who is deemed lower than the angels. Jinn are made of a smokeless and blazing fire but are also physical in nature and can appear in animal or human form and influence men, where they are able to interact physically. Mentioned in the Qur’ān and Islamic mythology, jinn inhabit an unseen world in dimensions beyond the visible universe of humans. Jinn can be good, evil, or neutrally benevolent possessing freewill like humans but unlike angels.</w:t>
      </w:r>
    </w:p>
  </w:footnote>
  <w:footnote w:id="165">
    <w:p w14:paraId="05DCE4CB" w14:textId="77777777" w:rsidR="00431A55" w:rsidRPr="0096582A" w:rsidRDefault="00431A55" w:rsidP="00AF4381">
      <w:pPr>
        <w:pStyle w:val="FootnoteText"/>
        <w:rPr>
          <w:sz w:val="20"/>
          <w:szCs w:val="20"/>
          <w:vertAlign w:val="baseline"/>
        </w:rPr>
      </w:pPr>
      <w:r w:rsidRPr="0096582A">
        <w:rPr>
          <w:rStyle w:val="FootnoteReference"/>
          <w:sz w:val="20"/>
          <w:szCs w:val="20"/>
        </w:rPr>
        <w:footnoteRef/>
      </w:r>
      <w:r w:rsidRPr="0096582A">
        <w:rPr>
          <w:sz w:val="20"/>
          <w:szCs w:val="20"/>
          <w:vertAlign w:val="baseline"/>
        </w:rPr>
        <w:t xml:space="preserve"> Mahmoud M. Ayoub, </w:t>
      </w:r>
      <w:r w:rsidRPr="0096582A">
        <w:rPr>
          <w:i/>
          <w:sz w:val="20"/>
          <w:szCs w:val="20"/>
          <w:vertAlign w:val="baseline"/>
        </w:rPr>
        <w:t xml:space="preserve">The Qur’an and its interpreters </w:t>
      </w:r>
      <w:r w:rsidRPr="0096582A">
        <w:rPr>
          <w:sz w:val="20"/>
          <w:szCs w:val="20"/>
          <w:vertAlign w:val="baseline"/>
        </w:rPr>
        <w:t>(New York 1984) Volume 1, 92.</w:t>
      </w:r>
    </w:p>
  </w:footnote>
  <w:footnote w:id="166">
    <w:p w14:paraId="2B2822DD" w14:textId="77777777" w:rsidR="00431A55" w:rsidRDefault="00431A55" w:rsidP="00AF4381">
      <w:pPr>
        <w:pStyle w:val="FootnoteText"/>
      </w:pPr>
      <w:r w:rsidRPr="0096582A">
        <w:rPr>
          <w:rStyle w:val="FootnoteReference"/>
          <w:sz w:val="20"/>
          <w:szCs w:val="20"/>
        </w:rPr>
        <w:footnoteRef/>
      </w:r>
      <w:r w:rsidRPr="0096582A">
        <w:rPr>
          <w:sz w:val="20"/>
          <w:szCs w:val="20"/>
          <w:vertAlign w:val="baseline"/>
        </w:rPr>
        <w:t xml:space="preserve"> Sayyid Qutb, </w:t>
      </w:r>
      <w:r w:rsidRPr="0096582A">
        <w:rPr>
          <w:i/>
          <w:sz w:val="20"/>
          <w:szCs w:val="20"/>
          <w:vertAlign w:val="baseline"/>
        </w:rPr>
        <w:t>In the Shade of the Qur’an</w:t>
      </w:r>
      <w:r w:rsidRPr="0096582A">
        <w:rPr>
          <w:sz w:val="20"/>
          <w:szCs w:val="20"/>
          <w:vertAlign w:val="baseline"/>
        </w:rPr>
        <w:t xml:space="preserve"> </w:t>
      </w:r>
      <w:r w:rsidRPr="0096582A">
        <w:rPr>
          <w:i/>
          <w:sz w:val="20"/>
          <w:szCs w:val="20"/>
          <w:vertAlign w:val="baseline"/>
        </w:rPr>
        <w:t>(Fi Dhilal al Quran)</w:t>
      </w:r>
      <w:r w:rsidRPr="0096582A">
        <w:rPr>
          <w:sz w:val="20"/>
          <w:szCs w:val="20"/>
          <w:vertAlign w:val="baseline"/>
        </w:rPr>
        <w:t xml:space="preserve"> (Eqypt 1952) Volume 1 (Surah 1-2</w:t>
      </w:r>
    </w:p>
  </w:footnote>
  <w:footnote w:id="167">
    <w:p w14:paraId="3DCE4131" w14:textId="77777777" w:rsidR="00431A55" w:rsidRPr="00C30F8F" w:rsidRDefault="00431A55" w:rsidP="00AF4381">
      <w:pPr>
        <w:pStyle w:val="FootnoteText"/>
        <w:rPr>
          <w:sz w:val="20"/>
          <w:szCs w:val="20"/>
          <w:vertAlign w:val="baseline"/>
        </w:rPr>
      </w:pPr>
      <w:r w:rsidRPr="00C30F8F">
        <w:rPr>
          <w:rStyle w:val="FootnoteReference"/>
          <w:sz w:val="20"/>
          <w:szCs w:val="20"/>
        </w:rPr>
        <w:footnoteRef/>
      </w:r>
      <w:r w:rsidRPr="00C30F8F">
        <w:rPr>
          <w:sz w:val="20"/>
          <w:szCs w:val="20"/>
        </w:rPr>
        <w:t xml:space="preserve"> </w:t>
      </w:r>
      <w:r w:rsidRPr="00C30F8F">
        <w:rPr>
          <w:sz w:val="20"/>
          <w:szCs w:val="20"/>
          <w:vertAlign w:val="baseline"/>
        </w:rPr>
        <w:t>‘Hinduism’ (BBC Religion 2009) &lt;</w:t>
      </w:r>
      <w:hyperlink r:id="rId27" w:history="1">
        <w:r w:rsidRPr="00C30F8F">
          <w:rPr>
            <w:rStyle w:val="Hyperlink"/>
            <w:sz w:val="20"/>
            <w:szCs w:val="20"/>
            <w:vertAlign w:val="baseline"/>
          </w:rPr>
          <w:t>http://www.bbc.co.uk/religion/religions/hinduism/ataglance/glance.shtml</w:t>
        </w:r>
      </w:hyperlink>
      <w:r w:rsidRPr="00C30F8F">
        <w:rPr>
          <w:sz w:val="20"/>
          <w:szCs w:val="20"/>
          <w:vertAlign w:val="baseline"/>
        </w:rPr>
        <w:t>&gt; accessed 17 July 2014.</w:t>
      </w:r>
    </w:p>
  </w:footnote>
  <w:footnote w:id="168">
    <w:p w14:paraId="2CA7C487" w14:textId="77777777" w:rsidR="00431A55" w:rsidRPr="00C30F8F" w:rsidRDefault="00431A55" w:rsidP="00AF4381">
      <w:pPr>
        <w:pStyle w:val="FootnoteText"/>
        <w:rPr>
          <w:sz w:val="20"/>
          <w:szCs w:val="20"/>
          <w:vertAlign w:val="baseline"/>
        </w:rPr>
      </w:pPr>
      <w:r w:rsidRPr="00C30F8F">
        <w:rPr>
          <w:rStyle w:val="FootnoteReference"/>
          <w:sz w:val="20"/>
          <w:szCs w:val="20"/>
        </w:rPr>
        <w:footnoteRef/>
      </w:r>
      <w:r w:rsidRPr="00C30F8F">
        <w:rPr>
          <w:sz w:val="20"/>
          <w:szCs w:val="20"/>
          <w:vertAlign w:val="baseline"/>
        </w:rPr>
        <w:t xml:space="preserve"> Othmar Gachter, ‘Evil and Suffering in Hinduism’ (1998) 93 </w:t>
      </w:r>
      <w:r w:rsidRPr="00C30F8F">
        <w:rPr>
          <w:i/>
          <w:sz w:val="20"/>
          <w:szCs w:val="20"/>
          <w:vertAlign w:val="baseline"/>
        </w:rPr>
        <w:t xml:space="preserve">Anthropos </w:t>
      </w:r>
      <w:r w:rsidRPr="00C30F8F">
        <w:rPr>
          <w:sz w:val="20"/>
          <w:szCs w:val="20"/>
          <w:vertAlign w:val="baseline"/>
        </w:rPr>
        <w:t>395.</w:t>
      </w:r>
    </w:p>
  </w:footnote>
  <w:footnote w:id="169">
    <w:p w14:paraId="3B2B2CB6" w14:textId="77777777" w:rsidR="00431A55" w:rsidRPr="00C30F8F" w:rsidRDefault="00431A55" w:rsidP="00AF4381">
      <w:pPr>
        <w:pStyle w:val="FootnoteText"/>
        <w:rPr>
          <w:sz w:val="20"/>
          <w:szCs w:val="20"/>
          <w:vertAlign w:val="baseline"/>
          <w:lang w:val="en-US"/>
        </w:rPr>
      </w:pPr>
      <w:r w:rsidRPr="00C30F8F">
        <w:rPr>
          <w:rStyle w:val="FootnoteReference"/>
          <w:sz w:val="20"/>
          <w:szCs w:val="20"/>
        </w:rPr>
        <w:footnoteRef/>
      </w:r>
      <w:r w:rsidRPr="00C30F8F">
        <w:rPr>
          <w:sz w:val="20"/>
          <w:szCs w:val="20"/>
          <w:vertAlign w:val="baseline"/>
        </w:rPr>
        <w:t xml:space="preserve"> </w:t>
      </w:r>
      <w:r w:rsidRPr="00C30F8F">
        <w:rPr>
          <w:sz w:val="20"/>
          <w:szCs w:val="20"/>
          <w:vertAlign w:val="baseline"/>
          <w:lang w:val="en-US"/>
        </w:rPr>
        <w:t xml:space="preserve">W.J. Wilkins, </w:t>
      </w:r>
      <w:r w:rsidRPr="00C30F8F">
        <w:rPr>
          <w:i/>
          <w:sz w:val="20"/>
          <w:szCs w:val="20"/>
          <w:vertAlign w:val="baseline"/>
          <w:lang w:val="en-US"/>
        </w:rPr>
        <w:t>Hindu Gods and Goddesses</w:t>
      </w:r>
      <w:r w:rsidRPr="00C30F8F">
        <w:rPr>
          <w:sz w:val="20"/>
          <w:szCs w:val="20"/>
          <w:vertAlign w:val="baseline"/>
          <w:lang w:val="en-US"/>
        </w:rPr>
        <w:t xml:space="preserve"> (first published 1900 under the title </w:t>
      </w:r>
      <w:r w:rsidRPr="00C30F8F">
        <w:rPr>
          <w:i/>
          <w:sz w:val="20"/>
          <w:szCs w:val="20"/>
          <w:vertAlign w:val="baseline"/>
          <w:lang w:val="en-US"/>
        </w:rPr>
        <w:t xml:space="preserve">Hindu Mythology, Vedic and Puranic, </w:t>
      </w:r>
      <w:r w:rsidRPr="00C30F8F">
        <w:rPr>
          <w:sz w:val="20"/>
          <w:szCs w:val="20"/>
          <w:vertAlign w:val="baseline"/>
          <w:lang w:val="en-US"/>
        </w:rPr>
        <w:t>Dover Publications Inc. 2003) 437</w:t>
      </w:r>
    </w:p>
  </w:footnote>
  <w:footnote w:id="170">
    <w:p w14:paraId="12D2196F" w14:textId="13F28BA7" w:rsidR="00431A55" w:rsidRPr="00C30F8F" w:rsidRDefault="00431A55" w:rsidP="00AF4381">
      <w:pPr>
        <w:pStyle w:val="FootnoteText"/>
        <w:rPr>
          <w:sz w:val="20"/>
          <w:szCs w:val="20"/>
          <w:vertAlign w:val="baseline"/>
        </w:rPr>
      </w:pPr>
      <w:r w:rsidRPr="00C30F8F">
        <w:rPr>
          <w:rStyle w:val="FootnoteReference"/>
          <w:sz w:val="20"/>
          <w:szCs w:val="20"/>
        </w:rPr>
        <w:footnoteRef/>
      </w:r>
      <w:r>
        <w:rPr>
          <w:sz w:val="20"/>
          <w:szCs w:val="20"/>
          <w:vertAlign w:val="baseline"/>
        </w:rPr>
        <w:t xml:space="preserve"> </w:t>
      </w:r>
      <w:r w:rsidRPr="00C30F8F">
        <w:rPr>
          <w:sz w:val="20"/>
          <w:szCs w:val="20"/>
          <w:vertAlign w:val="baseline"/>
        </w:rPr>
        <w:t>Gachter</w:t>
      </w:r>
      <w:r>
        <w:rPr>
          <w:sz w:val="20"/>
          <w:szCs w:val="20"/>
          <w:vertAlign w:val="baseline"/>
        </w:rPr>
        <w:t xml:space="preserve"> (n 168)</w:t>
      </w:r>
    </w:p>
  </w:footnote>
  <w:footnote w:id="171">
    <w:p w14:paraId="21266BC7" w14:textId="71E0674B" w:rsidR="00431A55" w:rsidRPr="00C30F8F" w:rsidRDefault="00431A55" w:rsidP="00AF4381">
      <w:pPr>
        <w:pStyle w:val="FootnoteText"/>
        <w:rPr>
          <w:sz w:val="20"/>
          <w:szCs w:val="20"/>
          <w:vertAlign w:val="baseline"/>
        </w:rPr>
      </w:pPr>
      <w:r w:rsidRPr="00C30F8F">
        <w:rPr>
          <w:rStyle w:val="FootnoteReference"/>
          <w:sz w:val="20"/>
          <w:szCs w:val="20"/>
        </w:rPr>
        <w:footnoteRef/>
      </w:r>
      <w:r w:rsidRPr="00C30F8F">
        <w:rPr>
          <w:sz w:val="20"/>
          <w:szCs w:val="20"/>
        </w:rPr>
        <w:t xml:space="preserve"> </w:t>
      </w:r>
      <w:r w:rsidRPr="00C30F8F">
        <w:rPr>
          <w:sz w:val="20"/>
          <w:szCs w:val="20"/>
          <w:vertAlign w:val="baseline"/>
        </w:rPr>
        <w:t>Sacred text of 700 scriptures found in the Mahabharata, which is one of the two major Sanskrit scriptures of ancient India</w:t>
      </w:r>
      <w:r>
        <w:rPr>
          <w:sz w:val="20"/>
          <w:szCs w:val="20"/>
          <w:vertAlign w:val="baseline"/>
        </w:rPr>
        <w:t>, with Ramayana being the other</w:t>
      </w:r>
    </w:p>
  </w:footnote>
  <w:footnote w:id="172">
    <w:p w14:paraId="5A018177" w14:textId="3353ACE7" w:rsidR="00431A55" w:rsidRPr="00C30F8F" w:rsidRDefault="00431A55" w:rsidP="00AF4381">
      <w:pPr>
        <w:pStyle w:val="FootnoteText"/>
        <w:rPr>
          <w:sz w:val="20"/>
          <w:szCs w:val="20"/>
          <w:vertAlign w:val="baseline"/>
        </w:rPr>
      </w:pPr>
      <w:r w:rsidRPr="00C30F8F">
        <w:rPr>
          <w:rStyle w:val="FootnoteReference"/>
          <w:sz w:val="20"/>
          <w:szCs w:val="20"/>
        </w:rPr>
        <w:footnoteRef/>
      </w:r>
      <w:r w:rsidRPr="00C30F8F">
        <w:rPr>
          <w:sz w:val="20"/>
          <w:szCs w:val="20"/>
          <w:vertAlign w:val="baseline"/>
        </w:rPr>
        <w:t xml:space="preserve"> Bha</w:t>
      </w:r>
      <w:r>
        <w:rPr>
          <w:sz w:val="20"/>
          <w:szCs w:val="20"/>
          <w:vertAlign w:val="baseline"/>
        </w:rPr>
        <w:t>gavad-Gita XVI 1-5</w:t>
      </w:r>
    </w:p>
  </w:footnote>
  <w:footnote w:id="173">
    <w:p w14:paraId="06D099B6" w14:textId="0287BA10" w:rsidR="00431A55" w:rsidRPr="00C30F8F" w:rsidRDefault="00431A55" w:rsidP="00AF4381">
      <w:pPr>
        <w:pStyle w:val="FootnoteText"/>
        <w:rPr>
          <w:sz w:val="20"/>
          <w:szCs w:val="20"/>
          <w:vertAlign w:val="baseline"/>
        </w:rPr>
      </w:pPr>
      <w:r w:rsidRPr="00C30F8F">
        <w:rPr>
          <w:rStyle w:val="FootnoteReference"/>
          <w:sz w:val="20"/>
          <w:szCs w:val="20"/>
        </w:rPr>
        <w:footnoteRef/>
      </w:r>
      <w:r>
        <w:rPr>
          <w:sz w:val="20"/>
          <w:szCs w:val="20"/>
          <w:vertAlign w:val="baseline"/>
        </w:rPr>
        <w:t xml:space="preserve"> </w:t>
      </w:r>
      <w:r w:rsidRPr="00C30F8F">
        <w:rPr>
          <w:sz w:val="20"/>
          <w:szCs w:val="20"/>
          <w:vertAlign w:val="baseline"/>
        </w:rPr>
        <w:t>Gachter</w:t>
      </w:r>
      <w:r>
        <w:rPr>
          <w:sz w:val="20"/>
          <w:szCs w:val="20"/>
          <w:vertAlign w:val="baseline"/>
        </w:rPr>
        <w:t xml:space="preserve"> (n 168)</w:t>
      </w:r>
    </w:p>
  </w:footnote>
  <w:footnote w:id="174">
    <w:p w14:paraId="0BA588AD" w14:textId="11FDC04E" w:rsidR="00431A55" w:rsidRDefault="00431A55" w:rsidP="00AF4381">
      <w:pPr>
        <w:pStyle w:val="FootnoteText"/>
      </w:pPr>
      <w:r w:rsidRPr="00C30F8F">
        <w:rPr>
          <w:rStyle w:val="FootnoteReference"/>
          <w:sz w:val="20"/>
          <w:szCs w:val="20"/>
        </w:rPr>
        <w:footnoteRef/>
      </w:r>
      <w:r w:rsidRPr="00C30F8F">
        <w:rPr>
          <w:sz w:val="20"/>
          <w:szCs w:val="20"/>
        </w:rPr>
        <w:t xml:space="preserve"> </w:t>
      </w:r>
      <w:r>
        <w:rPr>
          <w:sz w:val="20"/>
          <w:szCs w:val="20"/>
          <w:vertAlign w:val="baseline"/>
        </w:rPr>
        <w:t>ibid</w:t>
      </w:r>
      <w:r w:rsidRPr="00C30F8F">
        <w:rPr>
          <w:sz w:val="20"/>
          <w:szCs w:val="20"/>
          <w:vertAlign w:val="baseline"/>
        </w:rPr>
        <w:t xml:space="preserve"> 396</w:t>
      </w:r>
    </w:p>
  </w:footnote>
  <w:footnote w:id="175">
    <w:p w14:paraId="6879191B" w14:textId="3E00DBA2" w:rsidR="00431A55" w:rsidRPr="005F4B0E" w:rsidRDefault="00431A55" w:rsidP="00AF4381">
      <w:pPr>
        <w:pStyle w:val="FootnoteText"/>
        <w:rPr>
          <w:sz w:val="20"/>
          <w:szCs w:val="20"/>
          <w:vertAlign w:val="baseline"/>
        </w:rPr>
      </w:pPr>
      <w:r w:rsidRPr="005F4B0E">
        <w:rPr>
          <w:rStyle w:val="FootnoteReference"/>
          <w:sz w:val="20"/>
          <w:szCs w:val="20"/>
        </w:rPr>
        <w:footnoteRef/>
      </w:r>
      <w:r w:rsidRPr="005F4B0E">
        <w:rPr>
          <w:sz w:val="20"/>
          <w:szCs w:val="20"/>
          <w:vertAlign w:val="baseline"/>
        </w:rPr>
        <w:t xml:space="preserve"> Clarence Maloney, </w:t>
      </w:r>
      <w:r w:rsidRPr="005F4B0E">
        <w:rPr>
          <w:i/>
          <w:sz w:val="20"/>
          <w:szCs w:val="20"/>
          <w:vertAlign w:val="baseline"/>
        </w:rPr>
        <w:t>The Evil Eye</w:t>
      </w:r>
      <w:r w:rsidRPr="005F4B0E">
        <w:rPr>
          <w:sz w:val="20"/>
          <w:szCs w:val="20"/>
          <w:vertAlign w:val="baseline"/>
        </w:rPr>
        <w:t xml:space="preserve"> (Co</w:t>
      </w:r>
      <w:r>
        <w:rPr>
          <w:sz w:val="20"/>
          <w:szCs w:val="20"/>
          <w:vertAlign w:val="baseline"/>
        </w:rPr>
        <w:t>lumbia University Press 1976) v</w:t>
      </w:r>
    </w:p>
  </w:footnote>
  <w:footnote w:id="176">
    <w:p w14:paraId="0A8B048E" w14:textId="31E11267" w:rsidR="00431A55" w:rsidRPr="005F4B0E" w:rsidRDefault="00431A55" w:rsidP="00AF4381">
      <w:pPr>
        <w:pStyle w:val="FootnoteText"/>
        <w:rPr>
          <w:sz w:val="20"/>
          <w:szCs w:val="20"/>
          <w:vertAlign w:val="baseline"/>
        </w:rPr>
      </w:pPr>
      <w:r w:rsidRPr="005F4B0E">
        <w:rPr>
          <w:rStyle w:val="FootnoteReference"/>
          <w:sz w:val="20"/>
          <w:szCs w:val="20"/>
        </w:rPr>
        <w:footnoteRef/>
      </w:r>
      <w:r w:rsidRPr="005F4B0E">
        <w:rPr>
          <w:sz w:val="20"/>
          <w:szCs w:val="20"/>
        </w:rPr>
        <w:t xml:space="preserve"> </w:t>
      </w:r>
      <w:r>
        <w:rPr>
          <w:sz w:val="20"/>
          <w:szCs w:val="20"/>
          <w:vertAlign w:val="baseline"/>
        </w:rPr>
        <w:t>ibid</w:t>
      </w:r>
    </w:p>
  </w:footnote>
  <w:footnote w:id="177">
    <w:p w14:paraId="6619F21D" w14:textId="3A062EAA" w:rsidR="00431A55" w:rsidRPr="005F4B0E" w:rsidRDefault="00431A55" w:rsidP="00AF4381">
      <w:pPr>
        <w:pStyle w:val="FootnoteText"/>
        <w:rPr>
          <w:sz w:val="20"/>
          <w:szCs w:val="20"/>
          <w:vertAlign w:val="baseline"/>
        </w:rPr>
      </w:pPr>
      <w:r w:rsidRPr="005F4B0E">
        <w:rPr>
          <w:rStyle w:val="FootnoteReference"/>
          <w:sz w:val="20"/>
          <w:szCs w:val="20"/>
        </w:rPr>
        <w:footnoteRef/>
      </w:r>
      <w:r w:rsidRPr="005F4B0E">
        <w:rPr>
          <w:sz w:val="20"/>
          <w:szCs w:val="20"/>
          <w:vertAlign w:val="baseline"/>
        </w:rPr>
        <w:t xml:space="preserve"> Brian Spooner, ‘Anthropology</w:t>
      </w:r>
      <w:r>
        <w:rPr>
          <w:sz w:val="20"/>
          <w:szCs w:val="20"/>
          <w:vertAlign w:val="baseline"/>
        </w:rPr>
        <w:t xml:space="preserve"> and the Evil Eye,’ in </w:t>
      </w:r>
      <w:r w:rsidRPr="005F4B0E">
        <w:rPr>
          <w:sz w:val="20"/>
          <w:szCs w:val="20"/>
          <w:vertAlign w:val="baseline"/>
        </w:rPr>
        <w:t>Maloney</w:t>
      </w:r>
      <w:r>
        <w:rPr>
          <w:sz w:val="20"/>
          <w:szCs w:val="20"/>
          <w:vertAlign w:val="baseline"/>
        </w:rPr>
        <w:t xml:space="preserve"> (n 164) 284</w:t>
      </w:r>
    </w:p>
  </w:footnote>
  <w:footnote w:id="178">
    <w:p w14:paraId="0C6A28E4" w14:textId="1ECBC40F" w:rsidR="00431A55" w:rsidRPr="005F4B0E" w:rsidRDefault="00431A55" w:rsidP="00AF4381">
      <w:pPr>
        <w:pStyle w:val="FootnoteText"/>
        <w:rPr>
          <w:sz w:val="20"/>
          <w:szCs w:val="20"/>
          <w:vertAlign w:val="baseline"/>
        </w:rPr>
      </w:pPr>
      <w:r w:rsidRPr="005F4B0E">
        <w:rPr>
          <w:rStyle w:val="FootnoteReference"/>
          <w:sz w:val="20"/>
          <w:szCs w:val="20"/>
        </w:rPr>
        <w:footnoteRef/>
      </w:r>
      <w:r w:rsidRPr="005F4B0E">
        <w:rPr>
          <w:sz w:val="20"/>
          <w:szCs w:val="20"/>
        </w:rPr>
        <w:t xml:space="preserve"> </w:t>
      </w:r>
      <w:r w:rsidRPr="005F4B0E">
        <w:rPr>
          <w:sz w:val="20"/>
          <w:szCs w:val="20"/>
          <w:vertAlign w:val="baseline"/>
        </w:rPr>
        <w:t>Leonard W. Moss and Stephen C. Cappannari, ‘</w:t>
      </w:r>
      <w:r w:rsidRPr="005F4B0E">
        <w:rPr>
          <w:i/>
          <w:sz w:val="20"/>
          <w:szCs w:val="20"/>
          <w:vertAlign w:val="baseline"/>
        </w:rPr>
        <w:t>Mal’occhio, Ayin ha ra, Oculus fascinus, Judenblick:</w:t>
      </w:r>
      <w:r w:rsidRPr="005F4B0E">
        <w:rPr>
          <w:sz w:val="20"/>
          <w:szCs w:val="20"/>
          <w:vertAlign w:val="baseline"/>
        </w:rPr>
        <w:t xml:space="preserve"> The Evil Eye Hovers Above’ in Maloney</w:t>
      </w:r>
      <w:r>
        <w:rPr>
          <w:sz w:val="20"/>
          <w:szCs w:val="20"/>
          <w:vertAlign w:val="baseline"/>
        </w:rPr>
        <w:t xml:space="preserve"> (n 164) 2</w:t>
      </w:r>
    </w:p>
  </w:footnote>
  <w:footnote w:id="179">
    <w:p w14:paraId="5FAF6AF3" w14:textId="07EBCC28" w:rsidR="00431A55" w:rsidRDefault="00431A55" w:rsidP="00AF4381">
      <w:pPr>
        <w:pStyle w:val="FootnoteText"/>
      </w:pPr>
      <w:r w:rsidRPr="00DD7CA1">
        <w:rPr>
          <w:rStyle w:val="FootnoteReference"/>
          <w:sz w:val="20"/>
          <w:szCs w:val="20"/>
        </w:rPr>
        <w:footnoteRef/>
      </w:r>
      <w:r w:rsidRPr="00DD7CA1">
        <w:rPr>
          <w:sz w:val="20"/>
          <w:szCs w:val="20"/>
        </w:rPr>
        <w:t xml:space="preserve"> </w:t>
      </w:r>
      <w:r w:rsidRPr="005F4B0E">
        <w:rPr>
          <w:sz w:val="20"/>
          <w:szCs w:val="20"/>
          <w:vertAlign w:val="baseline"/>
        </w:rPr>
        <w:t xml:space="preserve">Rebecca L. Stein and Philip L. Stein, </w:t>
      </w:r>
      <w:r w:rsidRPr="005F4B0E">
        <w:rPr>
          <w:i/>
          <w:sz w:val="20"/>
          <w:szCs w:val="20"/>
          <w:vertAlign w:val="baseline"/>
        </w:rPr>
        <w:t xml:space="preserve">The Anthropology of Religion, Magic, and Witchcraft </w:t>
      </w:r>
      <w:r w:rsidRPr="005F4B0E">
        <w:rPr>
          <w:sz w:val="20"/>
          <w:szCs w:val="20"/>
          <w:vertAlign w:val="baseline"/>
        </w:rPr>
        <w:t>3rd Ed. (Pearson 2011) 224</w:t>
      </w:r>
    </w:p>
  </w:footnote>
  <w:footnote w:id="180">
    <w:p w14:paraId="67A6C7FD" w14:textId="2438870B" w:rsidR="00431A55" w:rsidRPr="00E92CB4" w:rsidRDefault="00431A55" w:rsidP="00AF4381">
      <w:pPr>
        <w:pStyle w:val="FootnoteText"/>
        <w:rPr>
          <w:sz w:val="20"/>
          <w:szCs w:val="20"/>
          <w:vertAlign w:val="baseline"/>
        </w:rPr>
      </w:pPr>
      <w:r w:rsidRPr="00E92CB4">
        <w:rPr>
          <w:rStyle w:val="FootnoteReference"/>
          <w:sz w:val="20"/>
          <w:szCs w:val="20"/>
        </w:rPr>
        <w:footnoteRef/>
      </w:r>
      <w:r w:rsidRPr="00E92CB4">
        <w:rPr>
          <w:sz w:val="20"/>
          <w:szCs w:val="20"/>
          <w:vertAlign w:val="baseline"/>
        </w:rPr>
        <w:t xml:space="preserve"> </w:t>
      </w:r>
      <w:r w:rsidRPr="005F4B0E">
        <w:rPr>
          <w:sz w:val="20"/>
          <w:szCs w:val="20"/>
          <w:vertAlign w:val="baseline"/>
        </w:rPr>
        <w:t>Maloney</w:t>
      </w:r>
      <w:r>
        <w:rPr>
          <w:sz w:val="20"/>
          <w:szCs w:val="20"/>
          <w:vertAlign w:val="baseline"/>
        </w:rPr>
        <w:t xml:space="preserve"> (n 175) v</w:t>
      </w:r>
    </w:p>
  </w:footnote>
  <w:footnote w:id="181">
    <w:p w14:paraId="04531B57" w14:textId="02928992" w:rsidR="00431A55" w:rsidRPr="00E92CB4" w:rsidRDefault="00431A55" w:rsidP="00AF4381">
      <w:pPr>
        <w:pStyle w:val="FootnoteText"/>
        <w:rPr>
          <w:sz w:val="20"/>
          <w:szCs w:val="20"/>
          <w:vertAlign w:val="baseline"/>
        </w:rPr>
      </w:pPr>
      <w:r w:rsidRPr="00E92CB4">
        <w:rPr>
          <w:rStyle w:val="FootnoteReference"/>
          <w:sz w:val="20"/>
          <w:szCs w:val="20"/>
        </w:rPr>
        <w:footnoteRef/>
      </w:r>
      <w:r w:rsidRPr="00E92CB4">
        <w:rPr>
          <w:sz w:val="20"/>
          <w:szCs w:val="20"/>
          <w:vertAlign w:val="baseline"/>
        </w:rPr>
        <w:t xml:space="preserve"> </w:t>
      </w:r>
      <w:r>
        <w:rPr>
          <w:sz w:val="20"/>
          <w:szCs w:val="20"/>
          <w:vertAlign w:val="baseline"/>
        </w:rPr>
        <w:t>ibid</w:t>
      </w:r>
    </w:p>
  </w:footnote>
  <w:footnote w:id="182">
    <w:p w14:paraId="034C97B3" w14:textId="6970DDD2" w:rsidR="00431A55" w:rsidRPr="00E92CB4" w:rsidRDefault="00431A55" w:rsidP="00AF4381">
      <w:pPr>
        <w:pStyle w:val="FootnoteText"/>
        <w:rPr>
          <w:sz w:val="20"/>
          <w:szCs w:val="20"/>
          <w:vertAlign w:val="baseline"/>
        </w:rPr>
      </w:pPr>
      <w:r w:rsidRPr="00E92CB4">
        <w:rPr>
          <w:rStyle w:val="FootnoteReference"/>
          <w:sz w:val="20"/>
          <w:szCs w:val="20"/>
        </w:rPr>
        <w:footnoteRef/>
      </w:r>
      <w:r w:rsidRPr="00E92CB4">
        <w:rPr>
          <w:sz w:val="20"/>
          <w:szCs w:val="20"/>
          <w:vertAlign w:val="baseline"/>
        </w:rPr>
        <w:t xml:space="preserve"> Dr. Gazala Ishaq, ‘The Curse of the Evil Eye’ (Hijab Education, 2014) &lt;</w:t>
      </w:r>
      <w:hyperlink r:id="rId28" w:history="1">
        <w:r w:rsidRPr="00E92CB4">
          <w:rPr>
            <w:rStyle w:val="Hyperlink"/>
            <w:sz w:val="20"/>
            <w:szCs w:val="20"/>
            <w:vertAlign w:val="baseline"/>
          </w:rPr>
          <w:t>http://www.stunninghijab.com/pages/The-Curse-of-the-Evil-Eye.html</w:t>
        </w:r>
      </w:hyperlink>
      <w:r>
        <w:rPr>
          <w:sz w:val="20"/>
          <w:szCs w:val="20"/>
          <w:vertAlign w:val="baseline"/>
        </w:rPr>
        <w:t>&gt; accessed 15 September 2014</w:t>
      </w:r>
    </w:p>
  </w:footnote>
  <w:footnote w:id="183">
    <w:p w14:paraId="2C645F42" w14:textId="76811D27" w:rsidR="00431A55" w:rsidRDefault="00431A55" w:rsidP="00AF4381">
      <w:pPr>
        <w:pStyle w:val="FootnoteText"/>
      </w:pPr>
      <w:r w:rsidRPr="00E92CB4">
        <w:rPr>
          <w:rStyle w:val="FootnoteReference"/>
          <w:sz w:val="20"/>
          <w:szCs w:val="20"/>
        </w:rPr>
        <w:footnoteRef/>
      </w:r>
      <w:r>
        <w:rPr>
          <w:sz w:val="20"/>
          <w:szCs w:val="20"/>
          <w:vertAlign w:val="baseline"/>
        </w:rPr>
        <w:t xml:space="preserve"> Parkin (n 136) </w:t>
      </w:r>
      <w:r w:rsidRPr="00E92CB4">
        <w:rPr>
          <w:sz w:val="20"/>
          <w:szCs w:val="20"/>
          <w:vertAlign w:val="baseline"/>
        </w:rPr>
        <w:t>11</w:t>
      </w:r>
    </w:p>
  </w:footnote>
  <w:footnote w:id="184">
    <w:p w14:paraId="24A00672" w14:textId="39B31A8A" w:rsidR="00431A55" w:rsidRPr="00E35390" w:rsidRDefault="00431A55" w:rsidP="00AF4381">
      <w:pPr>
        <w:pStyle w:val="FootnoteText"/>
        <w:rPr>
          <w:sz w:val="20"/>
          <w:szCs w:val="20"/>
          <w:vertAlign w:val="baseline"/>
        </w:rPr>
      </w:pPr>
      <w:r w:rsidRPr="00E35390">
        <w:rPr>
          <w:rStyle w:val="FootnoteReference"/>
          <w:sz w:val="20"/>
          <w:szCs w:val="20"/>
        </w:rPr>
        <w:footnoteRef/>
      </w:r>
      <w:r w:rsidRPr="00E35390">
        <w:rPr>
          <w:sz w:val="20"/>
          <w:szCs w:val="20"/>
        </w:rPr>
        <w:t xml:space="preserve"> </w:t>
      </w:r>
      <w:r w:rsidRPr="00E35390">
        <w:rPr>
          <w:sz w:val="20"/>
          <w:szCs w:val="20"/>
          <w:vertAlign w:val="baseline"/>
        </w:rPr>
        <w:t>Burton Russell</w:t>
      </w:r>
      <w:r>
        <w:rPr>
          <w:sz w:val="20"/>
          <w:szCs w:val="20"/>
          <w:vertAlign w:val="baseline"/>
        </w:rPr>
        <w:t xml:space="preserve"> (n 142) 11</w:t>
      </w:r>
    </w:p>
  </w:footnote>
  <w:footnote w:id="185">
    <w:p w14:paraId="2A23FD56" w14:textId="6CEC32FA" w:rsidR="00431A55" w:rsidRPr="00E35390" w:rsidRDefault="00431A55" w:rsidP="00AF4381">
      <w:pPr>
        <w:pStyle w:val="FootnoteText"/>
        <w:rPr>
          <w:sz w:val="20"/>
          <w:szCs w:val="20"/>
          <w:vertAlign w:val="baseline"/>
        </w:rPr>
      </w:pPr>
      <w:r w:rsidRPr="00E35390">
        <w:rPr>
          <w:rStyle w:val="FootnoteReference"/>
          <w:sz w:val="20"/>
          <w:szCs w:val="20"/>
        </w:rPr>
        <w:footnoteRef/>
      </w:r>
      <w:r w:rsidRPr="00E35390">
        <w:rPr>
          <w:sz w:val="20"/>
          <w:szCs w:val="20"/>
          <w:vertAlign w:val="baseline"/>
        </w:rPr>
        <w:t xml:space="preserve"> </w:t>
      </w:r>
      <w:r>
        <w:rPr>
          <w:sz w:val="20"/>
          <w:szCs w:val="20"/>
          <w:vertAlign w:val="baseline"/>
        </w:rPr>
        <w:t>ibid</w:t>
      </w:r>
    </w:p>
  </w:footnote>
  <w:footnote w:id="186">
    <w:p w14:paraId="41BA8F61" w14:textId="473C6E93" w:rsidR="00431A55" w:rsidRPr="00E35390" w:rsidRDefault="00431A55" w:rsidP="00AF4381">
      <w:pPr>
        <w:pStyle w:val="FootnoteText"/>
        <w:rPr>
          <w:sz w:val="20"/>
          <w:szCs w:val="20"/>
          <w:vertAlign w:val="baseline"/>
        </w:rPr>
      </w:pPr>
      <w:r w:rsidRPr="00E35390">
        <w:rPr>
          <w:rStyle w:val="FootnoteReference"/>
          <w:sz w:val="20"/>
          <w:szCs w:val="20"/>
        </w:rPr>
        <w:footnoteRef/>
      </w:r>
      <w:r w:rsidRPr="00E35390">
        <w:rPr>
          <w:sz w:val="20"/>
          <w:szCs w:val="20"/>
          <w:vertAlign w:val="baseline"/>
        </w:rPr>
        <w:t xml:space="preserve"> </w:t>
      </w:r>
      <w:r>
        <w:rPr>
          <w:sz w:val="20"/>
          <w:szCs w:val="20"/>
          <w:vertAlign w:val="baseline"/>
        </w:rPr>
        <w:t>Parkin (n 136) 19</w:t>
      </w:r>
    </w:p>
  </w:footnote>
  <w:footnote w:id="187">
    <w:p w14:paraId="2D1B4C7D" w14:textId="5BB4D43A" w:rsidR="00431A55" w:rsidRPr="00E35390" w:rsidRDefault="00431A55" w:rsidP="00AF4381">
      <w:pPr>
        <w:pStyle w:val="FootnoteText"/>
        <w:rPr>
          <w:sz w:val="20"/>
          <w:szCs w:val="20"/>
          <w:vertAlign w:val="baseline"/>
        </w:rPr>
      </w:pPr>
      <w:r w:rsidRPr="00E35390">
        <w:rPr>
          <w:rStyle w:val="FootnoteReference"/>
          <w:sz w:val="20"/>
          <w:szCs w:val="20"/>
        </w:rPr>
        <w:footnoteRef/>
      </w:r>
      <w:r w:rsidRPr="00E35390">
        <w:rPr>
          <w:sz w:val="20"/>
          <w:szCs w:val="20"/>
          <w:vertAlign w:val="baseline"/>
        </w:rPr>
        <w:t xml:space="preserve"> Burton Russell</w:t>
      </w:r>
      <w:r>
        <w:rPr>
          <w:sz w:val="20"/>
          <w:szCs w:val="20"/>
          <w:vertAlign w:val="baseline"/>
        </w:rPr>
        <w:t xml:space="preserve"> (n 142) 32</w:t>
      </w:r>
    </w:p>
  </w:footnote>
  <w:footnote w:id="188">
    <w:p w14:paraId="688EF492" w14:textId="61A049AE" w:rsidR="00431A55" w:rsidRPr="00E35390" w:rsidRDefault="00431A55" w:rsidP="00AF4381">
      <w:pPr>
        <w:pStyle w:val="FootnoteText"/>
        <w:rPr>
          <w:sz w:val="20"/>
          <w:szCs w:val="20"/>
          <w:vertAlign w:val="baseline"/>
        </w:rPr>
      </w:pPr>
      <w:r w:rsidRPr="00E35390">
        <w:rPr>
          <w:rStyle w:val="FootnoteReference"/>
          <w:sz w:val="20"/>
          <w:szCs w:val="20"/>
        </w:rPr>
        <w:footnoteRef/>
      </w:r>
      <w:r w:rsidRPr="00E35390">
        <w:rPr>
          <w:sz w:val="20"/>
          <w:szCs w:val="20"/>
        </w:rPr>
        <w:t xml:space="preserve"> </w:t>
      </w:r>
      <w:r w:rsidRPr="00E35390">
        <w:rPr>
          <w:sz w:val="20"/>
          <w:szCs w:val="20"/>
          <w:vertAlign w:val="baseline"/>
        </w:rPr>
        <w:t xml:space="preserve">Carl Gustav Jung, ‘Good and Evil in Analytical Psychology’ in </w:t>
      </w:r>
      <w:r w:rsidRPr="00E35390">
        <w:rPr>
          <w:i/>
          <w:sz w:val="20"/>
          <w:szCs w:val="20"/>
          <w:vertAlign w:val="baseline"/>
        </w:rPr>
        <w:t>Civilisation in Transition</w:t>
      </w:r>
      <w:r w:rsidRPr="00E35390">
        <w:rPr>
          <w:sz w:val="20"/>
          <w:szCs w:val="20"/>
          <w:vertAlign w:val="baseline"/>
        </w:rPr>
        <w:t xml:space="preserve"> (Volume 1</w:t>
      </w:r>
      <w:r>
        <w:rPr>
          <w:sz w:val="20"/>
          <w:szCs w:val="20"/>
          <w:vertAlign w:val="baseline"/>
        </w:rPr>
        <w:t>0, 2nd edn Princeton 1970) 465</w:t>
      </w:r>
    </w:p>
  </w:footnote>
  <w:footnote w:id="189">
    <w:p w14:paraId="4F5BF1CB" w14:textId="52E627D7" w:rsidR="00431A55" w:rsidRDefault="00431A55" w:rsidP="00AF4381">
      <w:pPr>
        <w:pStyle w:val="FootnoteText"/>
      </w:pPr>
      <w:r w:rsidRPr="00E35390">
        <w:rPr>
          <w:rStyle w:val="FootnoteReference"/>
          <w:sz w:val="20"/>
          <w:szCs w:val="20"/>
        </w:rPr>
        <w:footnoteRef/>
      </w:r>
      <w:r w:rsidRPr="00E35390">
        <w:rPr>
          <w:sz w:val="20"/>
          <w:szCs w:val="20"/>
        </w:rPr>
        <w:t xml:space="preserve"> </w:t>
      </w:r>
      <w:r w:rsidRPr="00E35390">
        <w:rPr>
          <w:sz w:val="20"/>
          <w:szCs w:val="20"/>
          <w:vertAlign w:val="baseline"/>
        </w:rPr>
        <w:t>Burton Russell</w:t>
      </w:r>
      <w:r>
        <w:rPr>
          <w:sz w:val="20"/>
          <w:szCs w:val="20"/>
          <w:vertAlign w:val="baseline"/>
        </w:rPr>
        <w:t xml:space="preserve"> (n 142) </w:t>
      </w:r>
      <w:r w:rsidRPr="00E35390">
        <w:rPr>
          <w:sz w:val="20"/>
          <w:szCs w:val="20"/>
          <w:vertAlign w:val="baseline"/>
        </w:rPr>
        <w:t>35</w:t>
      </w:r>
    </w:p>
  </w:footnote>
  <w:footnote w:id="190">
    <w:p w14:paraId="1557E180" w14:textId="32CBD225" w:rsidR="00431A55" w:rsidRPr="00730CB4" w:rsidRDefault="00431A55" w:rsidP="00AF4381">
      <w:pPr>
        <w:pStyle w:val="FootnoteText"/>
        <w:rPr>
          <w:sz w:val="20"/>
          <w:szCs w:val="20"/>
          <w:vertAlign w:val="baseline"/>
        </w:rPr>
      </w:pPr>
      <w:r w:rsidRPr="00730CB4">
        <w:rPr>
          <w:rStyle w:val="FootnoteReference"/>
          <w:sz w:val="20"/>
          <w:szCs w:val="20"/>
        </w:rPr>
        <w:footnoteRef/>
      </w:r>
      <w:r w:rsidRPr="00730CB4">
        <w:rPr>
          <w:sz w:val="20"/>
          <w:szCs w:val="20"/>
          <w:vertAlign w:val="baseline"/>
        </w:rPr>
        <w:t xml:space="preserve"> Second part of the Stone Age beginning about 750,000 to 500,000 years BC and lasting until the end of the last Ice Age about 8,500 years BC. This has been proven with the finding of cave drawi</w:t>
      </w:r>
      <w:r>
        <w:rPr>
          <w:sz w:val="20"/>
          <w:szCs w:val="20"/>
          <w:vertAlign w:val="baseline"/>
        </w:rPr>
        <w:t>ngs at Altamira, Northern Spain</w:t>
      </w:r>
    </w:p>
  </w:footnote>
  <w:footnote w:id="191">
    <w:p w14:paraId="67729C6D" w14:textId="77777777" w:rsidR="00431A55" w:rsidRPr="00730CB4" w:rsidRDefault="00431A55" w:rsidP="00AF4381">
      <w:pPr>
        <w:pStyle w:val="FootnoteText"/>
        <w:rPr>
          <w:sz w:val="20"/>
          <w:szCs w:val="20"/>
          <w:vertAlign w:val="baseline"/>
        </w:rPr>
      </w:pPr>
      <w:r w:rsidRPr="00730CB4">
        <w:rPr>
          <w:rStyle w:val="FootnoteReference"/>
          <w:sz w:val="20"/>
          <w:szCs w:val="20"/>
        </w:rPr>
        <w:footnoteRef/>
      </w:r>
      <w:r w:rsidRPr="00730CB4">
        <w:rPr>
          <w:sz w:val="20"/>
          <w:szCs w:val="20"/>
          <w:vertAlign w:val="baseline"/>
        </w:rPr>
        <w:t xml:space="preserve"> Raymond Buckland, </w:t>
      </w:r>
      <w:r w:rsidRPr="00730CB4">
        <w:rPr>
          <w:i/>
          <w:sz w:val="20"/>
          <w:szCs w:val="20"/>
          <w:vertAlign w:val="baseline"/>
        </w:rPr>
        <w:t xml:space="preserve">Buckland’s Complete History of Witchcraft </w:t>
      </w:r>
      <w:r w:rsidRPr="00730CB4">
        <w:rPr>
          <w:sz w:val="20"/>
          <w:szCs w:val="20"/>
          <w:vertAlign w:val="baseline"/>
        </w:rPr>
        <w:t>(Minnesota 1986)</w:t>
      </w:r>
    </w:p>
  </w:footnote>
  <w:footnote w:id="192">
    <w:p w14:paraId="075DE0E2" w14:textId="366E87FA" w:rsidR="00431A55" w:rsidRPr="00730CB4" w:rsidRDefault="00431A55" w:rsidP="00AF4381">
      <w:pPr>
        <w:pStyle w:val="FootnoteText"/>
        <w:rPr>
          <w:sz w:val="20"/>
          <w:szCs w:val="20"/>
          <w:vertAlign w:val="baseline"/>
        </w:rPr>
      </w:pPr>
      <w:r w:rsidRPr="00730CB4">
        <w:rPr>
          <w:rStyle w:val="FootnoteReference"/>
          <w:sz w:val="20"/>
          <w:szCs w:val="20"/>
        </w:rPr>
        <w:footnoteRef/>
      </w:r>
      <w:r w:rsidRPr="00730CB4">
        <w:rPr>
          <w:sz w:val="20"/>
          <w:szCs w:val="20"/>
          <w:vertAlign w:val="baseline"/>
        </w:rPr>
        <w:t xml:space="preserve"> Margaret Murray, </w:t>
      </w:r>
      <w:r w:rsidRPr="00730CB4">
        <w:rPr>
          <w:i/>
          <w:sz w:val="20"/>
          <w:szCs w:val="20"/>
          <w:vertAlign w:val="baseline"/>
        </w:rPr>
        <w:t>The Witch-Cult in Western Europe</w:t>
      </w:r>
      <w:r>
        <w:rPr>
          <w:sz w:val="20"/>
          <w:szCs w:val="20"/>
          <w:vertAlign w:val="baseline"/>
        </w:rPr>
        <w:t xml:space="preserve"> (Oxford 1921) 4</w:t>
      </w:r>
    </w:p>
  </w:footnote>
  <w:footnote w:id="193">
    <w:p w14:paraId="3788FF97" w14:textId="5D038DBE" w:rsidR="00431A55" w:rsidRPr="00730CB4" w:rsidRDefault="00431A55" w:rsidP="00AF4381">
      <w:pPr>
        <w:pStyle w:val="FootnoteText"/>
        <w:rPr>
          <w:sz w:val="20"/>
          <w:szCs w:val="20"/>
          <w:vertAlign w:val="baseline"/>
        </w:rPr>
      </w:pPr>
      <w:r w:rsidRPr="00730CB4">
        <w:rPr>
          <w:rStyle w:val="FootnoteReference"/>
          <w:sz w:val="20"/>
          <w:szCs w:val="20"/>
        </w:rPr>
        <w:footnoteRef/>
      </w:r>
      <w:r w:rsidRPr="00730CB4">
        <w:rPr>
          <w:sz w:val="20"/>
          <w:szCs w:val="20"/>
          <w:vertAlign w:val="baseline"/>
        </w:rPr>
        <w:t xml:space="preserve"> United Nations Educational, Scientific and Cultural Organization, ‘Cave of Altamira and Palaeolithic Cave Art of Northern Spain’ &lt; </w:t>
      </w:r>
      <w:hyperlink r:id="rId29" w:history="1">
        <w:r w:rsidRPr="00730CB4">
          <w:rPr>
            <w:rStyle w:val="Hyperlink"/>
            <w:sz w:val="20"/>
            <w:szCs w:val="20"/>
            <w:vertAlign w:val="baseline"/>
          </w:rPr>
          <w:t>http://whc.unesco.org/en/list/310/</w:t>
        </w:r>
      </w:hyperlink>
      <w:r w:rsidRPr="00730CB4">
        <w:rPr>
          <w:sz w:val="20"/>
          <w:szCs w:val="20"/>
          <w:vertAlign w:val="baseline"/>
        </w:rPr>
        <w:t>&gt; accessed 12 March 2014. Similar drawings found in the caves</w:t>
      </w:r>
      <w:r>
        <w:rPr>
          <w:sz w:val="20"/>
          <w:szCs w:val="20"/>
          <w:vertAlign w:val="baseline"/>
        </w:rPr>
        <w:t xml:space="preserve"> of Ariege, Southern France</w:t>
      </w:r>
    </w:p>
  </w:footnote>
  <w:footnote w:id="194">
    <w:p w14:paraId="398FD7A2" w14:textId="42F28A22" w:rsidR="00431A55" w:rsidRPr="00730CB4" w:rsidRDefault="00431A55" w:rsidP="00AF4381">
      <w:pPr>
        <w:pStyle w:val="FootnoteText"/>
        <w:rPr>
          <w:sz w:val="20"/>
          <w:szCs w:val="20"/>
          <w:vertAlign w:val="baseline"/>
        </w:rPr>
      </w:pPr>
      <w:r w:rsidRPr="00730CB4">
        <w:rPr>
          <w:rStyle w:val="FootnoteReference"/>
          <w:sz w:val="20"/>
          <w:szCs w:val="20"/>
        </w:rPr>
        <w:footnoteRef/>
      </w:r>
      <w:r>
        <w:rPr>
          <w:sz w:val="20"/>
          <w:szCs w:val="20"/>
          <w:vertAlign w:val="baseline"/>
        </w:rPr>
        <w:t xml:space="preserve"> </w:t>
      </w:r>
      <w:r w:rsidRPr="00730CB4">
        <w:rPr>
          <w:sz w:val="20"/>
          <w:szCs w:val="20"/>
          <w:vertAlign w:val="baseline"/>
        </w:rPr>
        <w:t>Planer</w:t>
      </w:r>
      <w:r>
        <w:rPr>
          <w:sz w:val="20"/>
          <w:szCs w:val="20"/>
          <w:vertAlign w:val="baseline"/>
        </w:rPr>
        <w:t xml:space="preserve"> (n 106) 166</w:t>
      </w:r>
    </w:p>
  </w:footnote>
  <w:footnote w:id="195">
    <w:p w14:paraId="5E502968" w14:textId="77777777" w:rsidR="00431A55" w:rsidRPr="00730CB4" w:rsidRDefault="00431A55" w:rsidP="00AF4381">
      <w:pPr>
        <w:pStyle w:val="FootnoteText"/>
        <w:rPr>
          <w:sz w:val="20"/>
          <w:szCs w:val="20"/>
          <w:vertAlign w:val="baseline"/>
        </w:rPr>
      </w:pPr>
      <w:r w:rsidRPr="00730CB4">
        <w:rPr>
          <w:rStyle w:val="FootnoteReference"/>
          <w:sz w:val="20"/>
          <w:szCs w:val="20"/>
        </w:rPr>
        <w:footnoteRef/>
      </w:r>
      <w:r w:rsidRPr="00730CB4">
        <w:rPr>
          <w:sz w:val="20"/>
          <w:szCs w:val="20"/>
          <w:vertAlign w:val="baseline"/>
        </w:rPr>
        <w:t xml:space="preserve"> Joseph Klaits, </w:t>
      </w:r>
      <w:r w:rsidRPr="00730CB4">
        <w:rPr>
          <w:i/>
          <w:sz w:val="20"/>
          <w:szCs w:val="20"/>
          <w:vertAlign w:val="baseline"/>
        </w:rPr>
        <w:t>Servants of Satan: The Age of the Witch Hunts</w:t>
      </w:r>
      <w:r w:rsidRPr="00730CB4">
        <w:rPr>
          <w:sz w:val="20"/>
          <w:szCs w:val="20"/>
          <w:vertAlign w:val="baseline"/>
        </w:rPr>
        <w:t xml:space="preserve"> (Indiana 1985) 2.</w:t>
      </w:r>
    </w:p>
  </w:footnote>
  <w:footnote w:id="196">
    <w:p w14:paraId="44516687" w14:textId="382536E6" w:rsidR="00431A55" w:rsidRDefault="00431A55" w:rsidP="00AF4381">
      <w:pPr>
        <w:pStyle w:val="FootnoteText"/>
      </w:pPr>
      <w:r w:rsidRPr="00730CB4">
        <w:rPr>
          <w:rStyle w:val="FootnoteReference"/>
          <w:sz w:val="20"/>
          <w:szCs w:val="20"/>
        </w:rPr>
        <w:footnoteRef/>
      </w:r>
      <w:r>
        <w:rPr>
          <w:sz w:val="20"/>
          <w:szCs w:val="20"/>
          <w:vertAlign w:val="baseline"/>
        </w:rPr>
        <w:t xml:space="preserve"> </w:t>
      </w:r>
      <w:r w:rsidRPr="00730CB4">
        <w:rPr>
          <w:sz w:val="20"/>
          <w:szCs w:val="20"/>
          <w:vertAlign w:val="baseline"/>
        </w:rPr>
        <w:t>Stark</w:t>
      </w:r>
      <w:r>
        <w:rPr>
          <w:sz w:val="20"/>
          <w:szCs w:val="20"/>
          <w:vertAlign w:val="baseline"/>
        </w:rPr>
        <w:t xml:space="preserve"> (n 127) </w:t>
      </w:r>
      <w:r w:rsidRPr="00730CB4">
        <w:rPr>
          <w:sz w:val="20"/>
          <w:szCs w:val="20"/>
          <w:vertAlign w:val="baseline"/>
        </w:rPr>
        <w:t>201</w:t>
      </w:r>
    </w:p>
  </w:footnote>
  <w:footnote w:id="197">
    <w:p w14:paraId="01D72A87" w14:textId="1C263E82" w:rsidR="00431A55" w:rsidRPr="00BC0C53" w:rsidRDefault="00431A55" w:rsidP="00AF4381">
      <w:pPr>
        <w:pStyle w:val="FootnoteText"/>
        <w:rPr>
          <w:sz w:val="20"/>
          <w:szCs w:val="20"/>
          <w:vertAlign w:val="baseline"/>
        </w:rPr>
      </w:pPr>
      <w:r w:rsidRPr="00BC0C53">
        <w:rPr>
          <w:rStyle w:val="FootnoteReference"/>
          <w:sz w:val="20"/>
          <w:szCs w:val="20"/>
        </w:rPr>
        <w:footnoteRef/>
      </w:r>
      <w:r w:rsidRPr="00BC0C53">
        <w:rPr>
          <w:sz w:val="20"/>
          <w:szCs w:val="20"/>
          <w:vertAlign w:val="baseline"/>
        </w:rPr>
        <w:t xml:space="preserve"> </w:t>
      </w:r>
      <w:r>
        <w:rPr>
          <w:sz w:val="20"/>
          <w:szCs w:val="20"/>
          <w:vertAlign w:val="baseline"/>
        </w:rPr>
        <w:t>ibid</w:t>
      </w:r>
    </w:p>
  </w:footnote>
  <w:footnote w:id="198">
    <w:p w14:paraId="36873C95" w14:textId="77777777" w:rsidR="00431A55" w:rsidRPr="00BC0C53" w:rsidRDefault="00431A55" w:rsidP="00AF4381">
      <w:pPr>
        <w:pStyle w:val="FootnoteText"/>
        <w:rPr>
          <w:sz w:val="20"/>
          <w:szCs w:val="20"/>
          <w:vertAlign w:val="baseline"/>
          <w:lang w:val="en-US"/>
        </w:rPr>
      </w:pPr>
      <w:r w:rsidRPr="00BC0C53">
        <w:rPr>
          <w:rStyle w:val="FootnoteReference"/>
          <w:sz w:val="20"/>
          <w:szCs w:val="20"/>
        </w:rPr>
        <w:footnoteRef/>
      </w:r>
      <w:r w:rsidRPr="00BC0C53">
        <w:rPr>
          <w:sz w:val="20"/>
          <w:szCs w:val="20"/>
          <w:vertAlign w:val="baseline"/>
        </w:rPr>
        <w:t xml:space="preserve"> </w:t>
      </w:r>
      <w:r w:rsidRPr="00BC0C53">
        <w:rPr>
          <w:sz w:val="20"/>
          <w:szCs w:val="20"/>
          <w:vertAlign w:val="baseline"/>
          <w:lang w:val="en-US"/>
        </w:rPr>
        <w:t xml:space="preserve">Ben Kuharik, </w:t>
      </w:r>
      <w:r w:rsidRPr="00BC0C53">
        <w:rPr>
          <w:i/>
          <w:sz w:val="20"/>
          <w:szCs w:val="20"/>
          <w:vertAlign w:val="baseline"/>
          <w:lang w:val="en-US"/>
        </w:rPr>
        <w:t>The Esoteric Code: Hindu Demons</w:t>
      </w:r>
      <w:r w:rsidRPr="00BC0C53">
        <w:rPr>
          <w:sz w:val="20"/>
          <w:szCs w:val="20"/>
          <w:vertAlign w:val="baseline"/>
          <w:lang w:val="en-US"/>
        </w:rPr>
        <w:t xml:space="preserve"> (Lulu.com 2015) 39</w:t>
      </w:r>
    </w:p>
  </w:footnote>
  <w:footnote w:id="199">
    <w:p w14:paraId="7D2BFB2A" w14:textId="77777777" w:rsidR="00431A55" w:rsidRPr="00BC0C53" w:rsidRDefault="00431A55" w:rsidP="00AF4381">
      <w:pPr>
        <w:pStyle w:val="FootnoteText"/>
        <w:rPr>
          <w:sz w:val="20"/>
          <w:szCs w:val="20"/>
          <w:vertAlign w:val="baseline"/>
          <w:lang w:val="en-US"/>
        </w:rPr>
      </w:pPr>
      <w:r w:rsidRPr="00BC0C53">
        <w:rPr>
          <w:rStyle w:val="FootnoteReference"/>
          <w:sz w:val="20"/>
          <w:szCs w:val="20"/>
        </w:rPr>
        <w:footnoteRef/>
      </w:r>
      <w:r w:rsidRPr="00BC0C53">
        <w:rPr>
          <w:sz w:val="20"/>
          <w:szCs w:val="20"/>
          <w:vertAlign w:val="baseline"/>
        </w:rPr>
        <w:t xml:space="preserve"> </w:t>
      </w:r>
      <w:r w:rsidRPr="00BC0C53">
        <w:rPr>
          <w:sz w:val="20"/>
          <w:szCs w:val="20"/>
          <w:vertAlign w:val="baseline"/>
          <w:lang w:val="en-US"/>
        </w:rPr>
        <w:t xml:space="preserve">Diptanu Dey, </w:t>
      </w:r>
      <w:r w:rsidRPr="00BC0C53">
        <w:rPr>
          <w:i/>
          <w:sz w:val="20"/>
          <w:szCs w:val="20"/>
          <w:vertAlign w:val="baseline"/>
          <w:lang w:val="en-US"/>
        </w:rPr>
        <w:t>Hinduism – A Critical Review</w:t>
      </w:r>
      <w:r w:rsidRPr="00BC0C53">
        <w:rPr>
          <w:sz w:val="20"/>
          <w:szCs w:val="20"/>
          <w:vertAlign w:val="baseline"/>
          <w:lang w:val="en-US"/>
        </w:rPr>
        <w:t xml:space="preserve"> (Lulu.com 2013) 67</w:t>
      </w:r>
    </w:p>
  </w:footnote>
  <w:footnote w:id="200">
    <w:p w14:paraId="1B4F85B4" w14:textId="77777777" w:rsidR="00431A55" w:rsidRPr="00BC0C53" w:rsidRDefault="00431A55" w:rsidP="00AF4381">
      <w:pPr>
        <w:pStyle w:val="FootnoteText"/>
        <w:rPr>
          <w:sz w:val="20"/>
          <w:szCs w:val="20"/>
          <w:vertAlign w:val="baseline"/>
          <w:lang w:val="en-US"/>
        </w:rPr>
      </w:pPr>
      <w:r w:rsidRPr="00BC0C53">
        <w:rPr>
          <w:rStyle w:val="FootnoteReference"/>
          <w:sz w:val="20"/>
          <w:szCs w:val="20"/>
        </w:rPr>
        <w:footnoteRef/>
      </w:r>
      <w:r w:rsidRPr="00BC0C53">
        <w:rPr>
          <w:sz w:val="20"/>
          <w:szCs w:val="20"/>
          <w:vertAlign w:val="baseline"/>
        </w:rPr>
        <w:t xml:space="preserve"> </w:t>
      </w:r>
      <w:r w:rsidRPr="00BC0C53">
        <w:rPr>
          <w:sz w:val="20"/>
          <w:szCs w:val="20"/>
          <w:vertAlign w:val="baseline"/>
          <w:lang w:val="en-US"/>
        </w:rPr>
        <w:t xml:space="preserve">Romesh C. Dutt, </w:t>
      </w:r>
      <w:r w:rsidRPr="00BC0C53">
        <w:rPr>
          <w:i/>
          <w:sz w:val="20"/>
          <w:szCs w:val="20"/>
          <w:vertAlign w:val="baseline"/>
          <w:lang w:val="en-US"/>
        </w:rPr>
        <w:t xml:space="preserve">The Civilization of India </w:t>
      </w:r>
      <w:r w:rsidRPr="00BC0C53">
        <w:rPr>
          <w:sz w:val="20"/>
          <w:szCs w:val="20"/>
          <w:vertAlign w:val="baseline"/>
          <w:lang w:val="en-US"/>
        </w:rPr>
        <w:t>(J.M. Dent 1900) 22</w:t>
      </w:r>
    </w:p>
  </w:footnote>
  <w:footnote w:id="201">
    <w:p w14:paraId="54C8FF37" w14:textId="584E1409" w:rsidR="00431A55" w:rsidRPr="00BC0C53" w:rsidRDefault="00431A55" w:rsidP="00AF4381">
      <w:pPr>
        <w:pStyle w:val="FootnoteText"/>
        <w:rPr>
          <w:sz w:val="20"/>
          <w:szCs w:val="20"/>
          <w:vertAlign w:val="baseline"/>
        </w:rPr>
      </w:pPr>
      <w:r w:rsidRPr="00BC0C53">
        <w:rPr>
          <w:rStyle w:val="FootnoteReference"/>
          <w:sz w:val="20"/>
          <w:szCs w:val="20"/>
        </w:rPr>
        <w:footnoteRef/>
      </w:r>
      <w:r w:rsidRPr="00BC0C53">
        <w:rPr>
          <w:sz w:val="20"/>
          <w:szCs w:val="20"/>
          <w:vertAlign w:val="baseline"/>
        </w:rPr>
        <w:t xml:space="preserve"> </w:t>
      </w:r>
      <w:r w:rsidRPr="00730CB4">
        <w:rPr>
          <w:sz w:val="20"/>
          <w:szCs w:val="20"/>
          <w:vertAlign w:val="baseline"/>
        </w:rPr>
        <w:t>Stark</w:t>
      </w:r>
      <w:r>
        <w:rPr>
          <w:sz w:val="20"/>
          <w:szCs w:val="20"/>
          <w:vertAlign w:val="baseline"/>
        </w:rPr>
        <w:t xml:space="preserve"> (n 127) 287</w:t>
      </w:r>
    </w:p>
  </w:footnote>
  <w:footnote w:id="202">
    <w:p w14:paraId="4AA63836" w14:textId="2E73503B" w:rsidR="00431A55" w:rsidRPr="009F789C" w:rsidRDefault="00431A55" w:rsidP="00AF4381">
      <w:pPr>
        <w:pStyle w:val="FootnoteText"/>
        <w:rPr>
          <w:sz w:val="20"/>
          <w:szCs w:val="20"/>
          <w:vertAlign w:val="baseline"/>
        </w:rPr>
      </w:pPr>
      <w:r w:rsidRPr="009F789C">
        <w:rPr>
          <w:rStyle w:val="FootnoteReference"/>
          <w:sz w:val="20"/>
          <w:szCs w:val="20"/>
        </w:rPr>
        <w:footnoteRef/>
      </w:r>
      <w:r w:rsidRPr="009F789C">
        <w:rPr>
          <w:sz w:val="20"/>
          <w:szCs w:val="20"/>
          <w:vertAlign w:val="baseline"/>
        </w:rPr>
        <w:t xml:space="preserve"> </w:t>
      </w:r>
      <w:r>
        <w:rPr>
          <w:sz w:val="20"/>
          <w:szCs w:val="20"/>
          <w:vertAlign w:val="baseline"/>
        </w:rPr>
        <w:t>ibid</w:t>
      </w:r>
    </w:p>
  </w:footnote>
  <w:footnote w:id="203">
    <w:p w14:paraId="65C74495" w14:textId="70FB9896" w:rsidR="00431A55" w:rsidRPr="009F789C" w:rsidRDefault="00431A55" w:rsidP="00AF4381">
      <w:pPr>
        <w:pStyle w:val="FootnoteText"/>
        <w:rPr>
          <w:sz w:val="20"/>
          <w:szCs w:val="20"/>
          <w:vertAlign w:val="baseline"/>
        </w:rPr>
      </w:pPr>
      <w:r w:rsidRPr="009F789C">
        <w:rPr>
          <w:rStyle w:val="FootnoteReference"/>
          <w:sz w:val="20"/>
          <w:szCs w:val="20"/>
        </w:rPr>
        <w:footnoteRef/>
      </w:r>
      <w:r w:rsidRPr="009F789C">
        <w:rPr>
          <w:sz w:val="20"/>
          <w:szCs w:val="20"/>
        </w:rPr>
        <w:t xml:space="preserve"> </w:t>
      </w:r>
      <w:r>
        <w:rPr>
          <w:sz w:val="20"/>
          <w:szCs w:val="20"/>
          <w:vertAlign w:val="baseline"/>
        </w:rPr>
        <w:t>ibid</w:t>
      </w:r>
    </w:p>
  </w:footnote>
  <w:footnote w:id="204">
    <w:p w14:paraId="289F0795" w14:textId="1792EC4B" w:rsidR="00431A55" w:rsidRPr="009F789C" w:rsidRDefault="00431A55" w:rsidP="00AF4381">
      <w:pPr>
        <w:pStyle w:val="FootnoteText"/>
        <w:rPr>
          <w:sz w:val="20"/>
          <w:szCs w:val="20"/>
          <w:vertAlign w:val="baseline"/>
        </w:rPr>
      </w:pPr>
      <w:r w:rsidRPr="009F789C">
        <w:rPr>
          <w:rStyle w:val="FootnoteReference"/>
          <w:sz w:val="20"/>
          <w:szCs w:val="20"/>
        </w:rPr>
        <w:footnoteRef/>
      </w:r>
      <w:r w:rsidRPr="009F789C">
        <w:rPr>
          <w:sz w:val="20"/>
          <w:szCs w:val="20"/>
        </w:rPr>
        <w:t xml:space="preserve"> </w:t>
      </w:r>
      <w:r>
        <w:rPr>
          <w:sz w:val="20"/>
          <w:szCs w:val="20"/>
          <w:vertAlign w:val="baseline"/>
        </w:rPr>
        <w:t>ibid</w:t>
      </w:r>
    </w:p>
  </w:footnote>
  <w:footnote w:id="205">
    <w:p w14:paraId="77F2B7D7" w14:textId="658A63FD" w:rsidR="00431A55" w:rsidRPr="009F789C" w:rsidRDefault="00431A55" w:rsidP="00AF4381">
      <w:pPr>
        <w:pStyle w:val="FootnoteText"/>
        <w:rPr>
          <w:sz w:val="20"/>
          <w:szCs w:val="20"/>
          <w:vertAlign w:val="baseline"/>
          <w:lang w:val="en-US"/>
        </w:rPr>
      </w:pPr>
      <w:r w:rsidRPr="009F789C">
        <w:rPr>
          <w:rStyle w:val="FootnoteReference"/>
          <w:sz w:val="20"/>
          <w:szCs w:val="20"/>
        </w:rPr>
        <w:footnoteRef/>
      </w:r>
      <w:r w:rsidRPr="009F789C">
        <w:rPr>
          <w:sz w:val="20"/>
          <w:szCs w:val="20"/>
        </w:rPr>
        <w:t xml:space="preserve"> </w:t>
      </w:r>
      <w:r>
        <w:rPr>
          <w:sz w:val="20"/>
          <w:szCs w:val="20"/>
          <w:vertAlign w:val="baseline"/>
          <w:lang w:val="en-US"/>
        </w:rPr>
        <w:t>Section 4.2</w:t>
      </w:r>
    </w:p>
  </w:footnote>
  <w:footnote w:id="206">
    <w:p w14:paraId="3583B5B5" w14:textId="164D1E47" w:rsidR="00431A55" w:rsidRPr="009F789C" w:rsidRDefault="00431A55" w:rsidP="00AF4381">
      <w:pPr>
        <w:pStyle w:val="FootnoteText"/>
        <w:rPr>
          <w:sz w:val="20"/>
          <w:szCs w:val="20"/>
          <w:vertAlign w:val="baseline"/>
        </w:rPr>
      </w:pPr>
      <w:r w:rsidRPr="009F789C">
        <w:rPr>
          <w:rStyle w:val="FootnoteReference"/>
          <w:sz w:val="20"/>
          <w:szCs w:val="20"/>
        </w:rPr>
        <w:footnoteRef/>
      </w:r>
      <w:r w:rsidRPr="009F789C">
        <w:rPr>
          <w:sz w:val="20"/>
          <w:szCs w:val="20"/>
          <w:vertAlign w:val="baseline"/>
        </w:rPr>
        <w:t xml:space="preserve"> Lancashire (Pendle) witch trials, England (1612); North Berwick witch trials, Scotland (1590); Torsaker witch trials, Sweden (1675); Salem witch trials, America (1692-3); Valais witch trials, Duchy of Savoy (now South Eastern France and Switzerland) (1428-1447); Basque witch trials, Spain (1609 - 1611); Louviers witch trials, France (1647); Salzburg witch trials, Austria (1675 - 1690); Trier witch trials, Germany (1581–1593), Fulda witch trials, Germany (1603–1606), Wurzburg witch trials, Germany (1626–1631); Bamberg witch trials, Germany (16</w:t>
      </w:r>
      <w:r>
        <w:rPr>
          <w:sz w:val="20"/>
          <w:szCs w:val="20"/>
          <w:vertAlign w:val="baseline"/>
        </w:rPr>
        <w:t>26–1631)</w:t>
      </w:r>
    </w:p>
  </w:footnote>
  <w:footnote w:id="207">
    <w:p w14:paraId="18DEAB4F" w14:textId="0798B146" w:rsidR="00431A55" w:rsidRDefault="00431A55" w:rsidP="00AF4381">
      <w:pPr>
        <w:pStyle w:val="FootnoteText"/>
      </w:pPr>
      <w:r w:rsidRPr="009F789C">
        <w:rPr>
          <w:rStyle w:val="FootnoteReference"/>
          <w:sz w:val="20"/>
          <w:szCs w:val="20"/>
        </w:rPr>
        <w:footnoteRef/>
      </w:r>
      <w:r w:rsidRPr="009F789C">
        <w:rPr>
          <w:sz w:val="20"/>
          <w:szCs w:val="20"/>
        </w:rPr>
        <w:t xml:space="preserve">  </w:t>
      </w:r>
      <w:r w:rsidRPr="009F789C">
        <w:rPr>
          <w:sz w:val="20"/>
          <w:szCs w:val="20"/>
          <w:vertAlign w:val="baseline"/>
        </w:rPr>
        <w:t>King James Version</w:t>
      </w:r>
    </w:p>
  </w:footnote>
  <w:footnote w:id="208">
    <w:p w14:paraId="315EC546" w14:textId="07D58361" w:rsidR="00431A55" w:rsidRPr="005A142C" w:rsidRDefault="00431A55" w:rsidP="00AF4381">
      <w:pPr>
        <w:pStyle w:val="FootnoteText"/>
        <w:rPr>
          <w:i/>
          <w:sz w:val="20"/>
          <w:szCs w:val="20"/>
          <w:vertAlign w:val="baseline"/>
        </w:rPr>
      </w:pPr>
      <w:r w:rsidRPr="00FB398C">
        <w:rPr>
          <w:rStyle w:val="FootnoteReference"/>
          <w:sz w:val="20"/>
          <w:szCs w:val="20"/>
        </w:rPr>
        <w:footnoteRef/>
      </w:r>
      <w:r w:rsidRPr="005A142C">
        <w:rPr>
          <w:sz w:val="20"/>
          <w:szCs w:val="20"/>
          <w:vertAlign w:val="baseline"/>
        </w:rPr>
        <w:t xml:space="preserve"> Douglas Linder, ‘A Brief History of Witchcraft Persecutions before Salem’ (UMKC 2005) 1</w:t>
      </w:r>
    </w:p>
  </w:footnote>
  <w:footnote w:id="209">
    <w:p w14:paraId="1BC2E486" w14:textId="0494E20D" w:rsidR="00431A55" w:rsidRPr="005A142C" w:rsidRDefault="00431A55" w:rsidP="00AF4381">
      <w:pPr>
        <w:pStyle w:val="FootnoteText"/>
        <w:rPr>
          <w:sz w:val="20"/>
          <w:szCs w:val="20"/>
          <w:vertAlign w:val="baseline"/>
        </w:rPr>
      </w:pPr>
      <w:r w:rsidRPr="00FB398C">
        <w:rPr>
          <w:rStyle w:val="FootnoteReference"/>
          <w:sz w:val="20"/>
          <w:szCs w:val="20"/>
        </w:rPr>
        <w:footnoteRef/>
      </w:r>
      <w:r w:rsidRPr="00FB398C">
        <w:rPr>
          <w:sz w:val="20"/>
          <w:szCs w:val="20"/>
        </w:rPr>
        <w:t xml:space="preserve"> </w:t>
      </w:r>
      <w:r>
        <w:rPr>
          <w:sz w:val="20"/>
          <w:szCs w:val="20"/>
          <w:vertAlign w:val="baseline"/>
        </w:rPr>
        <w:t>King James Version</w:t>
      </w:r>
    </w:p>
  </w:footnote>
  <w:footnote w:id="210">
    <w:p w14:paraId="1EC5B735" w14:textId="486B9F2D" w:rsidR="00431A55" w:rsidRPr="005A142C" w:rsidRDefault="00431A55" w:rsidP="00AF4381">
      <w:pPr>
        <w:pStyle w:val="FootnoteText"/>
        <w:rPr>
          <w:sz w:val="20"/>
          <w:szCs w:val="20"/>
          <w:vertAlign w:val="baseline"/>
        </w:rPr>
      </w:pPr>
      <w:r w:rsidRPr="00FB398C">
        <w:rPr>
          <w:rStyle w:val="FootnoteReference"/>
          <w:sz w:val="20"/>
          <w:szCs w:val="20"/>
        </w:rPr>
        <w:footnoteRef/>
      </w:r>
      <w:r w:rsidRPr="005A142C">
        <w:rPr>
          <w:sz w:val="20"/>
          <w:szCs w:val="20"/>
          <w:vertAlign w:val="baseline"/>
        </w:rPr>
        <w:t xml:space="preserve"> Herbert T. Weiskotten (Trs)</w:t>
      </w:r>
      <w:r w:rsidRPr="005A142C">
        <w:rPr>
          <w:i/>
          <w:sz w:val="20"/>
          <w:szCs w:val="20"/>
          <w:vertAlign w:val="baseline"/>
        </w:rPr>
        <w:t xml:space="preserve"> The Life of Saint Augustine: A Translation of the Sancti Augustini Vita by Possidus, Bishop of Calama</w:t>
      </w:r>
      <w:r>
        <w:rPr>
          <w:sz w:val="20"/>
          <w:szCs w:val="20"/>
          <w:vertAlign w:val="baseline"/>
        </w:rPr>
        <w:t xml:space="preserve"> (Princeton 1919) xix</w:t>
      </w:r>
    </w:p>
  </w:footnote>
  <w:footnote w:id="211">
    <w:p w14:paraId="22122D85" w14:textId="7C8818FE" w:rsidR="00431A55" w:rsidRPr="005A142C" w:rsidRDefault="00431A55" w:rsidP="00AF4381">
      <w:pPr>
        <w:pStyle w:val="FootnoteText"/>
        <w:rPr>
          <w:sz w:val="20"/>
          <w:szCs w:val="20"/>
          <w:vertAlign w:val="baseline"/>
        </w:rPr>
      </w:pPr>
      <w:r w:rsidRPr="00FB398C">
        <w:rPr>
          <w:rStyle w:val="FootnoteReference"/>
          <w:sz w:val="20"/>
          <w:szCs w:val="20"/>
        </w:rPr>
        <w:footnoteRef/>
      </w:r>
      <w:r w:rsidRPr="005A142C">
        <w:rPr>
          <w:sz w:val="20"/>
          <w:szCs w:val="20"/>
          <w:vertAlign w:val="baseline"/>
        </w:rPr>
        <w:t xml:space="preserve"> J. Gilchrist, ‘The Papacy and War against the “Saracens” 795 -1216’ (1988) 10 </w:t>
      </w:r>
      <w:r w:rsidRPr="001717EA">
        <w:rPr>
          <w:sz w:val="20"/>
          <w:szCs w:val="20"/>
          <w:vertAlign w:val="baseline"/>
        </w:rPr>
        <w:t>Int Hist Rev</w:t>
      </w:r>
      <w:r>
        <w:rPr>
          <w:i/>
          <w:sz w:val="20"/>
          <w:szCs w:val="20"/>
          <w:vertAlign w:val="baseline"/>
        </w:rPr>
        <w:t xml:space="preserve"> </w:t>
      </w:r>
      <w:r>
        <w:rPr>
          <w:sz w:val="20"/>
          <w:szCs w:val="20"/>
          <w:vertAlign w:val="baseline"/>
        </w:rPr>
        <w:t>174-197</w:t>
      </w:r>
    </w:p>
  </w:footnote>
  <w:footnote w:id="212">
    <w:p w14:paraId="2E6902D0" w14:textId="184E2E32" w:rsidR="00431A55" w:rsidRPr="005A142C" w:rsidRDefault="00431A55" w:rsidP="00AF4381">
      <w:pPr>
        <w:pStyle w:val="FootnoteText"/>
        <w:rPr>
          <w:sz w:val="20"/>
          <w:szCs w:val="20"/>
          <w:vertAlign w:val="baseline"/>
        </w:rPr>
      </w:pPr>
      <w:r w:rsidRPr="00FB398C">
        <w:rPr>
          <w:rStyle w:val="FootnoteReference"/>
          <w:sz w:val="20"/>
          <w:szCs w:val="20"/>
        </w:rPr>
        <w:footnoteRef/>
      </w:r>
      <w:r w:rsidRPr="005A142C">
        <w:rPr>
          <w:sz w:val="20"/>
          <w:szCs w:val="20"/>
          <w:vertAlign w:val="baseline"/>
        </w:rPr>
        <w:t xml:space="preserve"> </w:t>
      </w:r>
      <w:r>
        <w:rPr>
          <w:sz w:val="20"/>
          <w:szCs w:val="20"/>
          <w:vertAlign w:val="baseline"/>
        </w:rPr>
        <w:t>ibid 196-7</w:t>
      </w:r>
    </w:p>
  </w:footnote>
  <w:footnote w:id="213">
    <w:p w14:paraId="0D9DA195" w14:textId="61670423" w:rsidR="00431A55" w:rsidRPr="005A142C" w:rsidRDefault="00431A55" w:rsidP="00AF4381">
      <w:pPr>
        <w:pStyle w:val="FootnoteText"/>
        <w:rPr>
          <w:sz w:val="20"/>
          <w:szCs w:val="20"/>
          <w:vertAlign w:val="baseline"/>
        </w:rPr>
      </w:pPr>
      <w:r w:rsidRPr="00FB398C">
        <w:rPr>
          <w:rStyle w:val="FootnoteReference"/>
          <w:sz w:val="20"/>
          <w:szCs w:val="20"/>
        </w:rPr>
        <w:footnoteRef/>
      </w:r>
      <w:r w:rsidRPr="00FB398C">
        <w:rPr>
          <w:sz w:val="20"/>
          <w:szCs w:val="20"/>
        </w:rPr>
        <w:t xml:space="preserve"> </w:t>
      </w:r>
      <w:r>
        <w:rPr>
          <w:sz w:val="20"/>
          <w:szCs w:val="20"/>
          <w:vertAlign w:val="baseline"/>
        </w:rPr>
        <w:t>See Glossary, 12</w:t>
      </w:r>
    </w:p>
  </w:footnote>
  <w:footnote w:id="214">
    <w:p w14:paraId="734C978F" w14:textId="59C99E10" w:rsidR="00431A55" w:rsidRPr="00845664" w:rsidRDefault="00431A55" w:rsidP="00AF4381">
      <w:pPr>
        <w:pStyle w:val="FootnoteText"/>
      </w:pPr>
      <w:r w:rsidRPr="00FB398C">
        <w:rPr>
          <w:rStyle w:val="FootnoteReference"/>
          <w:sz w:val="20"/>
          <w:szCs w:val="20"/>
        </w:rPr>
        <w:footnoteRef/>
      </w:r>
      <w:r w:rsidRPr="00FB398C">
        <w:rPr>
          <w:sz w:val="20"/>
          <w:szCs w:val="20"/>
        </w:rPr>
        <w:t xml:space="preserve"> </w:t>
      </w:r>
      <w:r w:rsidRPr="005A142C">
        <w:rPr>
          <w:sz w:val="20"/>
          <w:szCs w:val="20"/>
          <w:vertAlign w:val="baseline"/>
        </w:rPr>
        <w:t xml:space="preserve">Malcolm D. Lambert, </w:t>
      </w:r>
      <w:r w:rsidRPr="005A142C">
        <w:rPr>
          <w:i/>
          <w:sz w:val="20"/>
          <w:szCs w:val="20"/>
          <w:vertAlign w:val="baseline"/>
        </w:rPr>
        <w:t xml:space="preserve">The Cathars (Peoples of Europe) </w:t>
      </w:r>
      <w:r w:rsidRPr="005A142C">
        <w:rPr>
          <w:sz w:val="20"/>
          <w:szCs w:val="20"/>
          <w:vertAlign w:val="baseline"/>
        </w:rPr>
        <w:t>(Blackwell, London 1988) 2.</w:t>
      </w:r>
    </w:p>
  </w:footnote>
  <w:footnote w:id="215">
    <w:p w14:paraId="5C5F3F42" w14:textId="1B194349" w:rsidR="00431A55" w:rsidRPr="00C12381" w:rsidRDefault="00431A55" w:rsidP="00AF4381">
      <w:pPr>
        <w:pStyle w:val="FootnoteText"/>
        <w:rPr>
          <w:sz w:val="20"/>
          <w:szCs w:val="20"/>
          <w:vertAlign w:val="baseline"/>
        </w:rPr>
      </w:pPr>
      <w:r w:rsidRPr="00C12381">
        <w:rPr>
          <w:rStyle w:val="FootnoteReference"/>
          <w:sz w:val="20"/>
          <w:szCs w:val="20"/>
        </w:rPr>
        <w:footnoteRef/>
      </w:r>
      <w:r w:rsidRPr="00C12381">
        <w:rPr>
          <w:sz w:val="20"/>
          <w:szCs w:val="20"/>
          <w:vertAlign w:val="baseline"/>
        </w:rPr>
        <w:t xml:space="preserve"> </w:t>
      </w:r>
      <w:r>
        <w:rPr>
          <w:sz w:val="20"/>
          <w:szCs w:val="20"/>
          <w:vertAlign w:val="baseline"/>
        </w:rPr>
        <w:t>ibid 8</w:t>
      </w:r>
    </w:p>
  </w:footnote>
  <w:footnote w:id="216">
    <w:p w14:paraId="30740DCD" w14:textId="6264167C" w:rsidR="00431A55" w:rsidRPr="00C12381" w:rsidRDefault="00431A55" w:rsidP="00AF4381">
      <w:pPr>
        <w:pStyle w:val="FootnoteText"/>
        <w:rPr>
          <w:sz w:val="20"/>
          <w:szCs w:val="20"/>
          <w:vertAlign w:val="baseline"/>
        </w:rPr>
      </w:pPr>
      <w:r w:rsidRPr="00C12381">
        <w:rPr>
          <w:rStyle w:val="FootnoteReference"/>
          <w:sz w:val="20"/>
          <w:szCs w:val="20"/>
        </w:rPr>
        <w:footnoteRef/>
      </w:r>
      <w:r w:rsidRPr="00C12381">
        <w:rPr>
          <w:sz w:val="20"/>
          <w:szCs w:val="20"/>
          <w:vertAlign w:val="baseline"/>
        </w:rPr>
        <w:t xml:space="preserve"> </w:t>
      </w:r>
      <w:r>
        <w:rPr>
          <w:sz w:val="20"/>
          <w:szCs w:val="20"/>
          <w:vertAlign w:val="baseline"/>
        </w:rPr>
        <w:t>ibid</w:t>
      </w:r>
    </w:p>
  </w:footnote>
  <w:footnote w:id="217">
    <w:p w14:paraId="6F42307C" w14:textId="135DA808" w:rsidR="00431A55" w:rsidRPr="00C12381" w:rsidRDefault="00431A55" w:rsidP="00AF4381">
      <w:pPr>
        <w:pStyle w:val="FootnoteText"/>
        <w:rPr>
          <w:sz w:val="20"/>
          <w:szCs w:val="20"/>
          <w:vertAlign w:val="baseline"/>
        </w:rPr>
      </w:pPr>
      <w:r w:rsidRPr="00C12381">
        <w:rPr>
          <w:rStyle w:val="FootnoteReference"/>
          <w:sz w:val="20"/>
          <w:szCs w:val="20"/>
        </w:rPr>
        <w:footnoteRef/>
      </w:r>
      <w:r w:rsidRPr="00C12381">
        <w:rPr>
          <w:sz w:val="20"/>
          <w:szCs w:val="20"/>
          <w:vertAlign w:val="baseline"/>
        </w:rPr>
        <w:t xml:space="preserve"> Colin Morris, </w:t>
      </w:r>
      <w:r w:rsidRPr="00C12381">
        <w:rPr>
          <w:i/>
          <w:sz w:val="20"/>
          <w:szCs w:val="20"/>
          <w:vertAlign w:val="baseline"/>
        </w:rPr>
        <w:t xml:space="preserve">The Papal Monarchy: The Western Church from 1050 to 1250 </w:t>
      </w:r>
      <w:r>
        <w:rPr>
          <w:sz w:val="20"/>
          <w:szCs w:val="20"/>
          <w:vertAlign w:val="baseline"/>
        </w:rPr>
        <w:t>(Oxford 1989) 4</w:t>
      </w:r>
    </w:p>
  </w:footnote>
  <w:footnote w:id="218">
    <w:p w14:paraId="594AFC08" w14:textId="43C1DCAA" w:rsidR="00431A55" w:rsidRDefault="00431A55" w:rsidP="00AF4381">
      <w:pPr>
        <w:pStyle w:val="FootnoteText"/>
      </w:pPr>
      <w:r w:rsidRPr="00C12381">
        <w:rPr>
          <w:rStyle w:val="FootnoteReference"/>
          <w:sz w:val="20"/>
          <w:szCs w:val="20"/>
        </w:rPr>
        <w:footnoteRef/>
      </w:r>
      <w:r>
        <w:rPr>
          <w:sz w:val="20"/>
          <w:szCs w:val="20"/>
          <w:vertAlign w:val="baseline"/>
        </w:rPr>
        <w:t xml:space="preserve"> </w:t>
      </w:r>
      <w:r w:rsidRPr="00C12381">
        <w:rPr>
          <w:sz w:val="20"/>
          <w:szCs w:val="20"/>
          <w:vertAlign w:val="baseline"/>
        </w:rPr>
        <w:t>Lambert</w:t>
      </w:r>
      <w:r>
        <w:rPr>
          <w:sz w:val="20"/>
          <w:szCs w:val="20"/>
          <w:vertAlign w:val="baseline"/>
        </w:rPr>
        <w:t xml:space="preserve"> (n 203) </w:t>
      </w:r>
      <w:r w:rsidRPr="00C12381">
        <w:rPr>
          <w:sz w:val="20"/>
          <w:szCs w:val="20"/>
          <w:vertAlign w:val="baseline"/>
        </w:rPr>
        <w:t>1</w:t>
      </w:r>
    </w:p>
  </w:footnote>
  <w:footnote w:id="219">
    <w:p w14:paraId="2CB3A9D5" w14:textId="61EF7410" w:rsidR="00431A55" w:rsidRPr="00780441" w:rsidRDefault="00431A55" w:rsidP="00AF4381">
      <w:pPr>
        <w:pStyle w:val="FootnoteText"/>
        <w:rPr>
          <w:sz w:val="20"/>
          <w:szCs w:val="20"/>
          <w:vertAlign w:val="baseline"/>
        </w:rPr>
      </w:pPr>
      <w:r w:rsidRPr="00780441">
        <w:rPr>
          <w:rStyle w:val="FootnoteReference"/>
          <w:sz w:val="20"/>
          <w:szCs w:val="20"/>
        </w:rPr>
        <w:footnoteRef/>
      </w:r>
      <w:r w:rsidRPr="00780441">
        <w:rPr>
          <w:sz w:val="20"/>
          <w:szCs w:val="20"/>
          <w:vertAlign w:val="baseline"/>
        </w:rPr>
        <w:t xml:space="preserve"> Alan Charles Kors and Edward Peters (Eds.) </w:t>
      </w:r>
      <w:r w:rsidRPr="00780441">
        <w:rPr>
          <w:i/>
          <w:sz w:val="20"/>
          <w:szCs w:val="20"/>
          <w:vertAlign w:val="baseline"/>
        </w:rPr>
        <w:t>Witchcraft in Europe, 400- 1700: A Documentary History</w:t>
      </w:r>
      <w:r w:rsidRPr="00780441">
        <w:rPr>
          <w:sz w:val="20"/>
          <w:szCs w:val="20"/>
          <w:vertAlign w:val="baseline"/>
        </w:rPr>
        <w:t xml:space="preserve"> </w:t>
      </w:r>
      <w:r w:rsidRPr="00780441">
        <w:rPr>
          <w:i/>
          <w:sz w:val="20"/>
          <w:szCs w:val="20"/>
          <w:vertAlign w:val="baseline"/>
        </w:rPr>
        <w:t>(</w:t>
      </w:r>
      <w:r w:rsidRPr="00780441">
        <w:rPr>
          <w:sz w:val="20"/>
          <w:szCs w:val="20"/>
          <w:vertAlign w:val="baseline"/>
        </w:rPr>
        <w:t>Pennsylvania 2001) 87</w:t>
      </w:r>
    </w:p>
  </w:footnote>
  <w:footnote w:id="220">
    <w:p w14:paraId="03870B94" w14:textId="6F1413CA" w:rsidR="00431A55" w:rsidRPr="00780441" w:rsidRDefault="00431A55" w:rsidP="00AF4381">
      <w:pPr>
        <w:pStyle w:val="FootnoteText"/>
        <w:rPr>
          <w:i/>
          <w:sz w:val="20"/>
          <w:szCs w:val="20"/>
          <w:vertAlign w:val="baseline"/>
        </w:rPr>
      </w:pPr>
      <w:r w:rsidRPr="00780441">
        <w:rPr>
          <w:rStyle w:val="FootnoteReference"/>
          <w:sz w:val="20"/>
          <w:szCs w:val="20"/>
        </w:rPr>
        <w:footnoteRef/>
      </w:r>
      <w:r w:rsidRPr="00780441">
        <w:rPr>
          <w:sz w:val="20"/>
          <w:szCs w:val="20"/>
          <w:vertAlign w:val="baseline"/>
        </w:rPr>
        <w:t xml:space="preserve"> Thomas Aquinas, </w:t>
      </w:r>
      <w:r w:rsidRPr="00780441">
        <w:rPr>
          <w:i/>
          <w:sz w:val="20"/>
          <w:szCs w:val="20"/>
          <w:vertAlign w:val="baseline"/>
        </w:rPr>
        <w:t xml:space="preserve">Summa Theologica, </w:t>
      </w:r>
      <w:r w:rsidRPr="00780441">
        <w:rPr>
          <w:sz w:val="20"/>
          <w:szCs w:val="20"/>
          <w:vertAlign w:val="baseline"/>
        </w:rPr>
        <w:t xml:space="preserve">as quoted in Walter Stephens, </w:t>
      </w:r>
      <w:r w:rsidRPr="00780441">
        <w:rPr>
          <w:i/>
          <w:sz w:val="20"/>
          <w:szCs w:val="20"/>
          <w:vertAlign w:val="baseline"/>
        </w:rPr>
        <w:t>Demon Lovers: Witchcraft Sex and the Crisis of Belief</w:t>
      </w:r>
      <w:r w:rsidRPr="00780441">
        <w:rPr>
          <w:sz w:val="20"/>
          <w:szCs w:val="20"/>
          <w:vertAlign w:val="baseline"/>
        </w:rPr>
        <w:t xml:space="preserve"> (Chicago 2003) 64</w:t>
      </w:r>
    </w:p>
  </w:footnote>
  <w:footnote w:id="221">
    <w:p w14:paraId="6ED3CCE8" w14:textId="77777777" w:rsidR="00431A55" w:rsidRPr="00780441" w:rsidRDefault="00431A55" w:rsidP="00AF4381">
      <w:pPr>
        <w:pStyle w:val="FootnoteText"/>
        <w:rPr>
          <w:sz w:val="20"/>
          <w:szCs w:val="20"/>
          <w:vertAlign w:val="baseline"/>
        </w:rPr>
      </w:pPr>
      <w:r w:rsidRPr="00780441">
        <w:rPr>
          <w:rStyle w:val="FootnoteReference"/>
          <w:sz w:val="20"/>
          <w:szCs w:val="20"/>
        </w:rPr>
        <w:footnoteRef/>
      </w:r>
      <w:r w:rsidRPr="00780441">
        <w:rPr>
          <w:sz w:val="20"/>
          <w:szCs w:val="20"/>
          <w:vertAlign w:val="baseline"/>
        </w:rPr>
        <w:t xml:space="preserve"> Heinrich Kramer, James Sprenger, </w:t>
      </w:r>
      <w:r w:rsidRPr="00780441">
        <w:rPr>
          <w:i/>
          <w:iCs/>
          <w:sz w:val="20"/>
          <w:szCs w:val="20"/>
          <w:vertAlign w:val="baseline"/>
        </w:rPr>
        <w:t>Malleus Maleficarum: Or, the Hammer of Witches</w:t>
      </w:r>
      <w:r w:rsidRPr="00780441">
        <w:rPr>
          <w:iCs/>
          <w:sz w:val="20"/>
          <w:szCs w:val="20"/>
          <w:vertAlign w:val="baseline"/>
        </w:rPr>
        <w:t xml:space="preserve"> (Germany 1486)</w:t>
      </w:r>
    </w:p>
  </w:footnote>
  <w:footnote w:id="222">
    <w:p w14:paraId="4E68DD90" w14:textId="058C09B3" w:rsidR="00431A55" w:rsidRPr="00780441" w:rsidRDefault="00431A55" w:rsidP="00AF4381">
      <w:pPr>
        <w:pStyle w:val="FootnoteText"/>
        <w:rPr>
          <w:sz w:val="20"/>
          <w:szCs w:val="20"/>
          <w:vertAlign w:val="baseline"/>
        </w:rPr>
      </w:pPr>
      <w:r w:rsidRPr="00780441">
        <w:rPr>
          <w:rStyle w:val="FootnoteReference"/>
          <w:sz w:val="20"/>
          <w:szCs w:val="20"/>
        </w:rPr>
        <w:footnoteRef/>
      </w:r>
      <w:r w:rsidRPr="00780441">
        <w:rPr>
          <w:sz w:val="20"/>
          <w:szCs w:val="20"/>
          <w:vertAlign w:val="baseline"/>
        </w:rPr>
        <w:t xml:space="preserve"> Often referred to by his</w:t>
      </w:r>
      <w:r>
        <w:rPr>
          <w:sz w:val="20"/>
          <w:szCs w:val="20"/>
          <w:vertAlign w:val="baseline"/>
        </w:rPr>
        <w:t xml:space="preserve"> Latin name Henricus Institoris</w:t>
      </w:r>
    </w:p>
  </w:footnote>
  <w:footnote w:id="223">
    <w:p w14:paraId="2808ABC4" w14:textId="5365C2AA" w:rsidR="00431A55" w:rsidRPr="00780441" w:rsidRDefault="00431A55" w:rsidP="00AF4381">
      <w:pPr>
        <w:pStyle w:val="FootnoteText"/>
        <w:rPr>
          <w:sz w:val="20"/>
          <w:szCs w:val="20"/>
          <w:vertAlign w:val="baseline"/>
        </w:rPr>
      </w:pPr>
      <w:r w:rsidRPr="00780441">
        <w:rPr>
          <w:rStyle w:val="FootnoteReference"/>
          <w:sz w:val="20"/>
          <w:szCs w:val="20"/>
        </w:rPr>
        <w:footnoteRef/>
      </w:r>
      <w:r>
        <w:rPr>
          <w:sz w:val="20"/>
          <w:szCs w:val="20"/>
          <w:vertAlign w:val="baseline"/>
        </w:rPr>
        <w:t xml:space="preserve"> Roman Catholic religious order</w:t>
      </w:r>
    </w:p>
  </w:footnote>
  <w:footnote w:id="224">
    <w:p w14:paraId="6FB2387F" w14:textId="77777777" w:rsidR="00431A55" w:rsidRPr="0051214E" w:rsidRDefault="00431A55" w:rsidP="00AF4381">
      <w:pPr>
        <w:pStyle w:val="FootnoteText"/>
      </w:pPr>
      <w:r w:rsidRPr="00780441">
        <w:rPr>
          <w:rStyle w:val="FootnoteReference"/>
          <w:sz w:val="20"/>
          <w:szCs w:val="20"/>
        </w:rPr>
        <w:footnoteRef/>
      </w:r>
      <w:r w:rsidRPr="00780441">
        <w:rPr>
          <w:sz w:val="20"/>
          <w:szCs w:val="20"/>
        </w:rPr>
        <w:t xml:space="preserve"> </w:t>
      </w:r>
      <w:r w:rsidRPr="00780441">
        <w:rPr>
          <w:sz w:val="20"/>
          <w:szCs w:val="20"/>
          <w:vertAlign w:val="baseline"/>
        </w:rPr>
        <w:t xml:space="preserve">Hans Peter Broedel, </w:t>
      </w:r>
      <w:r w:rsidRPr="00780441">
        <w:rPr>
          <w:i/>
          <w:sz w:val="20"/>
          <w:szCs w:val="20"/>
          <w:vertAlign w:val="baseline"/>
        </w:rPr>
        <w:t>The Malleus Maleficarum and the construction of witchcraft: Theology and popular belief</w:t>
      </w:r>
      <w:r w:rsidRPr="00780441">
        <w:rPr>
          <w:sz w:val="20"/>
          <w:szCs w:val="20"/>
          <w:vertAlign w:val="baseline"/>
        </w:rPr>
        <w:t xml:space="preserve"> (Manchester 2003)</w:t>
      </w:r>
    </w:p>
  </w:footnote>
  <w:footnote w:id="225">
    <w:p w14:paraId="232E461E" w14:textId="611D472C" w:rsidR="00431A55" w:rsidRPr="00400C98" w:rsidRDefault="00431A55" w:rsidP="00AF4381">
      <w:pPr>
        <w:pStyle w:val="FootnoteText"/>
        <w:rPr>
          <w:sz w:val="20"/>
          <w:szCs w:val="20"/>
          <w:vertAlign w:val="baseline"/>
        </w:rPr>
      </w:pPr>
      <w:r w:rsidRPr="00400C98">
        <w:rPr>
          <w:rStyle w:val="FootnoteReference"/>
          <w:sz w:val="20"/>
          <w:szCs w:val="20"/>
        </w:rPr>
        <w:footnoteRef/>
      </w:r>
      <w:r>
        <w:rPr>
          <w:sz w:val="20"/>
          <w:szCs w:val="20"/>
          <w:vertAlign w:val="baseline"/>
        </w:rPr>
        <w:t xml:space="preserve"> </w:t>
      </w:r>
      <w:r w:rsidRPr="00400C98">
        <w:rPr>
          <w:sz w:val="20"/>
          <w:szCs w:val="20"/>
          <w:vertAlign w:val="baseline"/>
        </w:rPr>
        <w:t xml:space="preserve">Kramer </w:t>
      </w:r>
      <w:r>
        <w:rPr>
          <w:sz w:val="20"/>
          <w:szCs w:val="20"/>
          <w:vertAlign w:val="baseline"/>
        </w:rPr>
        <w:t>(n 221)</w:t>
      </w:r>
    </w:p>
  </w:footnote>
  <w:footnote w:id="226">
    <w:p w14:paraId="02058653" w14:textId="7CE1E051" w:rsidR="00431A55" w:rsidRPr="00400C98" w:rsidRDefault="00431A55" w:rsidP="00AF4381">
      <w:pPr>
        <w:pStyle w:val="FootnoteText"/>
        <w:rPr>
          <w:sz w:val="20"/>
          <w:szCs w:val="20"/>
          <w:vertAlign w:val="baseline"/>
        </w:rPr>
      </w:pPr>
      <w:r w:rsidRPr="00400C98">
        <w:rPr>
          <w:rStyle w:val="FootnoteReference"/>
          <w:sz w:val="20"/>
          <w:szCs w:val="20"/>
        </w:rPr>
        <w:footnoteRef/>
      </w:r>
      <w:r w:rsidRPr="00400C98">
        <w:rPr>
          <w:sz w:val="20"/>
          <w:szCs w:val="20"/>
        </w:rPr>
        <w:t xml:space="preserve"> </w:t>
      </w:r>
      <w:r w:rsidRPr="00400C98">
        <w:rPr>
          <w:sz w:val="20"/>
          <w:szCs w:val="20"/>
          <w:vertAlign w:val="baseline"/>
        </w:rPr>
        <w:t xml:space="preserve">Norman Cohn, </w:t>
      </w:r>
      <w:r w:rsidRPr="00400C98">
        <w:rPr>
          <w:i/>
          <w:sz w:val="20"/>
          <w:szCs w:val="20"/>
          <w:vertAlign w:val="baseline"/>
        </w:rPr>
        <w:t xml:space="preserve">Europe’s Inner Demons </w:t>
      </w:r>
      <w:r>
        <w:rPr>
          <w:sz w:val="20"/>
          <w:szCs w:val="20"/>
          <w:vertAlign w:val="baseline"/>
        </w:rPr>
        <w:t>(New York 1975) 169</w:t>
      </w:r>
    </w:p>
  </w:footnote>
  <w:footnote w:id="227">
    <w:p w14:paraId="53B9D3C8" w14:textId="73D41CB3" w:rsidR="00431A55" w:rsidRPr="00C90406" w:rsidRDefault="00431A55" w:rsidP="00AF4381">
      <w:pPr>
        <w:pStyle w:val="FootnoteText"/>
        <w:rPr>
          <w:sz w:val="20"/>
          <w:szCs w:val="20"/>
          <w:vertAlign w:val="baseline"/>
        </w:rPr>
      </w:pPr>
      <w:r w:rsidRPr="00C90406">
        <w:rPr>
          <w:rStyle w:val="FootnoteReference"/>
          <w:sz w:val="20"/>
          <w:szCs w:val="20"/>
        </w:rPr>
        <w:footnoteRef/>
      </w:r>
      <w:r w:rsidRPr="00C90406">
        <w:rPr>
          <w:sz w:val="20"/>
          <w:szCs w:val="20"/>
        </w:rPr>
        <w:t xml:space="preserve"> </w:t>
      </w:r>
      <w:r w:rsidRPr="00C90406">
        <w:rPr>
          <w:sz w:val="20"/>
          <w:szCs w:val="20"/>
          <w:vertAlign w:val="baseline"/>
        </w:rPr>
        <w:t>Stark</w:t>
      </w:r>
      <w:r>
        <w:rPr>
          <w:sz w:val="20"/>
          <w:szCs w:val="20"/>
          <w:vertAlign w:val="baseline"/>
        </w:rPr>
        <w:t xml:space="preserve"> (n 127) 239</w:t>
      </w:r>
    </w:p>
  </w:footnote>
  <w:footnote w:id="228">
    <w:p w14:paraId="1AFE7EAB" w14:textId="3798A04D" w:rsidR="00431A55" w:rsidRPr="00C90406" w:rsidRDefault="00431A55" w:rsidP="00AF4381">
      <w:pPr>
        <w:pStyle w:val="FootnoteText"/>
        <w:rPr>
          <w:sz w:val="20"/>
          <w:szCs w:val="20"/>
          <w:vertAlign w:val="baseline"/>
        </w:rPr>
      </w:pPr>
      <w:r w:rsidRPr="00C90406">
        <w:rPr>
          <w:rStyle w:val="FootnoteReference"/>
          <w:sz w:val="20"/>
          <w:szCs w:val="20"/>
        </w:rPr>
        <w:footnoteRef/>
      </w:r>
      <w:r w:rsidRPr="00C90406">
        <w:rPr>
          <w:sz w:val="20"/>
          <w:szCs w:val="20"/>
          <w:vertAlign w:val="baseline"/>
        </w:rPr>
        <w:t xml:space="preserve"> </w:t>
      </w:r>
      <w:r>
        <w:rPr>
          <w:sz w:val="20"/>
          <w:szCs w:val="20"/>
          <w:vertAlign w:val="baseline"/>
        </w:rPr>
        <w:t>ibid</w:t>
      </w:r>
    </w:p>
  </w:footnote>
  <w:footnote w:id="229">
    <w:p w14:paraId="41103F0B" w14:textId="35C1B134" w:rsidR="00431A55" w:rsidRPr="00C90406" w:rsidRDefault="00431A55" w:rsidP="00AF4381">
      <w:pPr>
        <w:pStyle w:val="FootnoteText"/>
        <w:rPr>
          <w:sz w:val="20"/>
          <w:szCs w:val="20"/>
          <w:vertAlign w:val="baseline"/>
        </w:rPr>
      </w:pPr>
      <w:r w:rsidRPr="00C90406">
        <w:rPr>
          <w:rStyle w:val="FootnoteReference"/>
          <w:sz w:val="20"/>
          <w:szCs w:val="20"/>
        </w:rPr>
        <w:footnoteRef/>
      </w:r>
      <w:r w:rsidRPr="00C90406">
        <w:rPr>
          <w:sz w:val="20"/>
          <w:szCs w:val="20"/>
          <w:vertAlign w:val="baseline"/>
        </w:rPr>
        <w:t xml:space="preserve"> </w:t>
      </w:r>
      <w:r>
        <w:rPr>
          <w:sz w:val="20"/>
          <w:szCs w:val="20"/>
          <w:vertAlign w:val="baseline"/>
        </w:rPr>
        <w:t>ibid 246</w:t>
      </w:r>
    </w:p>
  </w:footnote>
  <w:footnote w:id="230">
    <w:p w14:paraId="274F7113" w14:textId="44C1901E" w:rsidR="00431A55" w:rsidRPr="00C90406" w:rsidRDefault="00431A55" w:rsidP="00AF4381">
      <w:pPr>
        <w:pStyle w:val="FootnoteText"/>
        <w:rPr>
          <w:sz w:val="20"/>
          <w:szCs w:val="20"/>
          <w:vertAlign w:val="baseline"/>
        </w:rPr>
      </w:pPr>
      <w:r w:rsidRPr="00C90406">
        <w:rPr>
          <w:rStyle w:val="FootnoteReference"/>
          <w:sz w:val="20"/>
          <w:szCs w:val="20"/>
        </w:rPr>
        <w:footnoteRef/>
      </w:r>
      <w:r w:rsidRPr="00C90406">
        <w:rPr>
          <w:sz w:val="20"/>
          <w:szCs w:val="20"/>
          <w:vertAlign w:val="baseline"/>
        </w:rPr>
        <w:t xml:space="preserve"> </w:t>
      </w:r>
      <w:r>
        <w:rPr>
          <w:sz w:val="20"/>
          <w:szCs w:val="20"/>
          <w:vertAlign w:val="baseline"/>
        </w:rPr>
        <w:t>ibid</w:t>
      </w:r>
    </w:p>
  </w:footnote>
  <w:footnote w:id="231">
    <w:p w14:paraId="2DB1A4D8" w14:textId="54382A35" w:rsidR="00431A55" w:rsidRDefault="00431A55" w:rsidP="00AF4381">
      <w:pPr>
        <w:pStyle w:val="FootnoteText"/>
      </w:pPr>
      <w:r w:rsidRPr="00C90406">
        <w:rPr>
          <w:rStyle w:val="FootnoteReference"/>
          <w:sz w:val="20"/>
          <w:szCs w:val="20"/>
        </w:rPr>
        <w:footnoteRef/>
      </w:r>
      <w:r w:rsidRPr="00C90406">
        <w:rPr>
          <w:sz w:val="20"/>
          <w:szCs w:val="20"/>
          <w:vertAlign w:val="baseline"/>
        </w:rPr>
        <w:t xml:space="preserve"> </w:t>
      </w:r>
      <w:r>
        <w:rPr>
          <w:sz w:val="20"/>
          <w:szCs w:val="20"/>
          <w:vertAlign w:val="baseline"/>
        </w:rPr>
        <w:t>ibid</w:t>
      </w:r>
    </w:p>
  </w:footnote>
  <w:footnote w:id="232">
    <w:p w14:paraId="130DBC20" w14:textId="6D6FF21B" w:rsidR="00431A55" w:rsidRPr="00234F7E" w:rsidRDefault="00431A55" w:rsidP="00AF4381">
      <w:pPr>
        <w:pStyle w:val="FootnoteText"/>
        <w:jc w:val="both"/>
        <w:rPr>
          <w:sz w:val="20"/>
          <w:szCs w:val="20"/>
          <w:vertAlign w:val="baseline"/>
        </w:rPr>
      </w:pPr>
      <w:r w:rsidRPr="00234F7E">
        <w:rPr>
          <w:rStyle w:val="FootnoteReference"/>
          <w:sz w:val="20"/>
          <w:szCs w:val="20"/>
        </w:rPr>
        <w:footnoteRef/>
      </w:r>
      <w:r w:rsidRPr="00234F7E">
        <w:rPr>
          <w:sz w:val="20"/>
          <w:szCs w:val="20"/>
        </w:rPr>
        <w:t xml:space="preserve"> </w:t>
      </w:r>
      <w:r>
        <w:rPr>
          <w:sz w:val="20"/>
          <w:szCs w:val="20"/>
          <w:vertAlign w:val="baseline"/>
        </w:rPr>
        <w:t xml:space="preserve"> See Glossary, 14</w:t>
      </w:r>
    </w:p>
  </w:footnote>
  <w:footnote w:id="233">
    <w:p w14:paraId="10F6E04F" w14:textId="4DF324C0" w:rsidR="00431A55" w:rsidRPr="00234F7E" w:rsidRDefault="00431A55" w:rsidP="00AF4381">
      <w:pPr>
        <w:pStyle w:val="FootnoteText"/>
        <w:rPr>
          <w:sz w:val="20"/>
          <w:szCs w:val="20"/>
          <w:vertAlign w:val="baseline"/>
        </w:rPr>
      </w:pPr>
      <w:r w:rsidRPr="00234F7E">
        <w:rPr>
          <w:rStyle w:val="FootnoteReference"/>
          <w:sz w:val="20"/>
          <w:szCs w:val="20"/>
        </w:rPr>
        <w:footnoteRef/>
      </w:r>
      <w:r>
        <w:rPr>
          <w:sz w:val="20"/>
          <w:szCs w:val="20"/>
          <w:vertAlign w:val="baseline"/>
        </w:rPr>
        <w:t xml:space="preserve"> </w:t>
      </w:r>
      <w:r w:rsidRPr="00234F7E">
        <w:rPr>
          <w:sz w:val="20"/>
          <w:szCs w:val="20"/>
          <w:vertAlign w:val="baseline"/>
        </w:rPr>
        <w:t>Stark</w:t>
      </w:r>
      <w:r>
        <w:rPr>
          <w:sz w:val="20"/>
          <w:szCs w:val="20"/>
          <w:vertAlign w:val="baseline"/>
        </w:rPr>
        <w:t xml:space="preserve"> (n 127) 251</w:t>
      </w:r>
    </w:p>
  </w:footnote>
  <w:footnote w:id="234">
    <w:p w14:paraId="6A07F184" w14:textId="29BA12E8" w:rsidR="00431A55" w:rsidRPr="00234F7E" w:rsidRDefault="00431A55" w:rsidP="00AF4381">
      <w:pPr>
        <w:pStyle w:val="FootnoteText"/>
        <w:rPr>
          <w:sz w:val="20"/>
          <w:szCs w:val="20"/>
          <w:vertAlign w:val="baseline"/>
        </w:rPr>
      </w:pPr>
      <w:r w:rsidRPr="00234F7E">
        <w:rPr>
          <w:rStyle w:val="FootnoteReference"/>
          <w:sz w:val="20"/>
          <w:szCs w:val="20"/>
        </w:rPr>
        <w:footnoteRef/>
      </w:r>
      <w:r>
        <w:rPr>
          <w:sz w:val="20"/>
          <w:szCs w:val="20"/>
          <w:vertAlign w:val="baseline"/>
        </w:rPr>
        <w:t xml:space="preserve"> Such as Switzerland</w:t>
      </w:r>
    </w:p>
  </w:footnote>
  <w:footnote w:id="235">
    <w:p w14:paraId="4DC94558" w14:textId="1CC1041C" w:rsidR="00431A55" w:rsidRPr="00234F7E" w:rsidRDefault="00431A55" w:rsidP="00AF4381">
      <w:pPr>
        <w:pStyle w:val="FootnoteText"/>
        <w:rPr>
          <w:sz w:val="20"/>
          <w:szCs w:val="20"/>
          <w:vertAlign w:val="baseline"/>
        </w:rPr>
      </w:pPr>
      <w:r w:rsidRPr="00234F7E">
        <w:rPr>
          <w:rStyle w:val="FootnoteReference"/>
          <w:sz w:val="20"/>
          <w:szCs w:val="20"/>
        </w:rPr>
        <w:footnoteRef/>
      </w:r>
      <w:r w:rsidRPr="00234F7E">
        <w:rPr>
          <w:sz w:val="20"/>
          <w:szCs w:val="20"/>
        </w:rPr>
        <w:t xml:space="preserve"> </w:t>
      </w:r>
      <w:r w:rsidRPr="00234F7E">
        <w:rPr>
          <w:sz w:val="20"/>
          <w:szCs w:val="20"/>
          <w:vertAlign w:val="baseline"/>
        </w:rPr>
        <w:t>Su</w:t>
      </w:r>
      <w:r>
        <w:rPr>
          <w:sz w:val="20"/>
          <w:szCs w:val="20"/>
          <w:vertAlign w:val="baseline"/>
        </w:rPr>
        <w:t>ch as Spain, England and France</w:t>
      </w:r>
    </w:p>
  </w:footnote>
  <w:footnote w:id="236">
    <w:p w14:paraId="3D762C7E" w14:textId="3BAD331E" w:rsidR="00431A55" w:rsidRPr="00234F7E" w:rsidRDefault="00431A55" w:rsidP="00AF4381">
      <w:pPr>
        <w:pStyle w:val="FootnoteText"/>
        <w:rPr>
          <w:sz w:val="20"/>
          <w:szCs w:val="20"/>
          <w:vertAlign w:val="baseline"/>
        </w:rPr>
      </w:pPr>
      <w:r w:rsidRPr="00234F7E">
        <w:rPr>
          <w:rStyle w:val="FootnoteReference"/>
          <w:sz w:val="20"/>
          <w:szCs w:val="20"/>
        </w:rPr>
        <w:footnoteRef/>
      </w:r>
      <w:r>
        <w:rPr>
          <w:sz w:val="20"/>
          <w:szCs w:val="20"/>
          <w:vertAlign w:val="baseline"/>
        </w:rPr>
        <w:t xml:space="preserve"> </w:t>
      </w:r>
      <w:r w:rsidRPr="00234F7E">
        <w:rPr>
          <w:sz w:val="20"/>
          <w:szCs w:val="20"/>
          <w:vertAlign w:val="baseline"/>
        </w:rPr>
        <w:t>Stark</w:t>
      </w:r>
      <w:r>
        <w:rPr>
          <w:sz w:val="20"/>
          <w:szCs w:val="20"/>
          <w:vertAlign w:val="baseline"/>
        </w:rPr>
        <w:t xml:space="preserve"> (n 127) 251</w:t>
      </w:r>
    </w:p>
  </w:footnote>
  <w:footnote w:id="237">
    <w:p w14:paraId="7995AA59" w14:textId="77777777" w:rsidR="00431A55" w:rsidRPr="00234F7E" w:rsidRDefault="00431A55" w:rsidP="00AF4381">
      <w:pPr>
        <w:pStyle w:val="FootnoteText"/>
        <w:rPr>
          <w:sz w:val="20"/>
          <w:szCs w:val="20"/>
          <w:vertAlign w:val="baseline"/>
        </w:rPr>
      </w:pPr>
      <w:r w:rsidRPr="00234F7E">
        <w:rPr>
          <w:rStyle w:val="FootnoteReference"/>
          <w:sz w:val="20"/>
          <w:szCs w:val="20"/>
        </w:rPr>
        <w:footnoteRef/>
      </w:r>
      <w:r w:rsidRPr="00234F7E">
        <w:rPr>
          <w:sz w:val="20"/>
          <w:szCs w:val="20"/>
        </w:rPr>
        <w:t xml:space="preserve"> </w:t>
      </w:r>
      <w:r w:rsidRPr="00234F7E">
        <w:rPr>
          <w:sz w:val="20"/>
          <w:szCs w:val="20"/>
          <w:vertAlign w:val="baseline"/>
        </w:rPr>
        <w:t>A necessary cause is a condition that is required for a particular outcome to occur, and, therefore, it is always associated with that outcome. If the condition is absent, the outcome cannot occur.</w:t>
      </w:r>
    </w:p>
  </w:footnote>
  <w:footnote w:id="238">
    <w:p w14:paraId="7DB50A98" w14:textId="4AA5C1C5" w:rsidR="00431A55" w:rsidRDefault="00431A55" w:rsidP="00AF4381">
      <w:pPr>
        <w:pStyle w:val="FootnoteText"/>
      </w:pPr>
      <w:r w:rsidRPr="00234F7E">
        <w:rPr>
          <w:rStyle w:val="FootnoteReference"/>
          <w:sz w:val="20"/>
          <w:szCs w:val="20"/>
        </w:rPr>
        <w:footnoteRef/>
      </w:r>
      <w:r w:rsidRPr="00234F7E">
        <w:rPr>
          <w:sz w:val="20"/>
          <w:szCs w:val="20"/>
          <w:vertAlign w:val="baseline"/>
        </w:rPr>
        <w:t xml:space="preserve"> A sufficient cause is a condition that by itself will produce a particular outcome, but it may not be the only cause of the outcome. The outcome, therefore, may occur without the condition if it is also caused by other exposures. Stark</w:t>
      </w:r>
      <w:r>
        <w:rPr>
          <w:sz w:val="20"/>
          <w:szCs w:val="20"/>
          <w:vertAlign w:val="baseline"/>
        </w:rPr>
        <w:t xml:space="preserve"> (n 127) </w:t>
      </w:r>
      <w:r w:rsidRPr="00234F7E">
        <w:rPr>
          <w:sz w:val="20"/>
          <w:szCs w:val="20"/>
          <w:vertAlign w:val="baseline"/>
        </w:rPr>
        <w:t>254</w:t>
      </w:r>
    </w:p>
  </w:footnote>
  <w:footnote w:id="239">
    <w:p w14:paraId="25646993" w14:textId="405E9AE2" w:rsidR="00431A55" w:rsidRPr="002D6848" w:rsidRDefault="00431A55" w:rsidP="00AF4381">
      <w:pPr>
        <w:pStyle w:val="FootnoteText"/>
        <w:rPr>
          <w:sz w:val="20"/>
          <w:szCs w:val="20"/>
          <w:vertAlign w:val="baseline"/>
        </w:rPr>
      </w:pPr>
      <w:r w:rsidRPr="002D6848">
        <w:rPr>
          <w:rStyle w:val="FootnoteReference"/>
          <w:sz w:val="20"/>
          <w:szCs w:val="20"/>
        </w:rPr>
        <w:footnoteRef/>
      </w:r>
      <w:r w:rsidRPr="002D6848">
        <w:rPr>
          <w:sz w:val="20"/>
          <w:szCs w:val="20"/>
        </w:rPr>
        <w:t xml:space="preserve"> </w:t>
      </w:r>
      <w:r w:rsidRPr="00234F7E">
        <w:rPr>
          <w:sz w:val="20"/>
          <w:szCs w:val="20"/>
          <w:vertAlign w:val="baseline"/>
        </w:rPr>
        <w:t>Stark</w:t>
      </w:r>
      <w:r>
        <w:rPr>
          <w:sz w:val="20"/>
          <w:szCs w:val="20"/>
          <w:vertAlign w:val="baseline"/>
        </w:rPr>
        <w:t xml:space="preserve"> (n 127) 254-5</w:t>
      </w:r>
    </w:p>
  </w:footnote>
  <w:footnote w:id="240">
    <w:p w14:paraId="1832E5BA" w14:textId="7101CCFC" w:rsidR="00431A55" w:rsidRPr="002D6848" w:rsidRDefault="00431A55" w:rsidP="00AF4381">
      <w:pPr>
        <w:pStyle w:val="FootnoteText"/>
        <w:rPr>
          <w:sz w:val="20"/>
          <w:szCs w:val="20"/>
          <w:vertAlign w:val="baseline"/>
        </w:rPr>
      </w:pPr>
      <w:r w:rsidRPr="002D6848">
        <w:rPr>
          <w:rStyle w:val="FootnoteReference"/>
          <w:sz w:val="20"/>
          <w:szCs w:val="20"/>
        </w:rPr>
        <w:footnoteRef/>
      </w:r>
      <w:r w:rsidRPr="002D6848">
        <w:rPr>
          <w:sz w:val="20"/>
          <w:szCs w:val="20"/>
        </w:rPr>
        <w:t xml:space="preserve"> </w:t>
      </w:r>
      <w:r>
        <w:rPr>
          <w:sz w:val="20"/>
          <w:szCs w:val="20"/>
          <w:vertAlign w:val="baseline"/>
        </w:rPr>
        <w:t>ibid 276</w:t>
      </w:r>
    </w:p>
  </w:footnote>
  <w:footnote w:id="241">
    <w:p w14:paraId="73A3C252" w14:textId="77777777" w:rsidR="00431A55" w:rsidRPr="002D6848" w:rsidRDefault="00431A55" w:rsidP="00AF4381">
      <w:pPr>
        <w:pStyle w:val="FootnoteText"/>
        <w:rPr>
          <w:sz w:val="20"/>
          <w:szCs w:val="20"/>
          <w:vertAlign w:val="baseline"/>
        </w:rPr>
      </w:pPr>
      <w:r w:rsidRPr="002D6848">
        <w:rPr>
          <w:rStyle w:val="FootnoteReference"/>
          <w:sz w:val="20"/>
          <w:szCs w:val="20"/>
        </w:rPr>
        <w:footnoteRef/>
      </w:r>
      <w:r w:rsidRPr="002D6848">
        <w:rPr>
          <w:sz w:val="20"/>
          <w:szCs w:val="20"/>
          <w:vertAlign w:val="baseline"/>
        </w:rPr>
        <w:t xml:space="preserve"> James Hannam, ‘The Decline and End of Witch Trials in Europe’ (2003) </w:t>
      </w:r>
      <w:r w:rsidRPr="002D6848">
        <w:rPr>
          <w:i/>
          <w:sz w:val="20"/>
          <w:szCs w:val="20"/>
          <w:vertAlign w:val="baseline"/>
        </w:rPr>
        <w:t>Bede’s Library</w:t>
      </w:r>
      <w:r w:rsidRPr="002D6848">
        <w:rPr>
          <w:sz w:val="20"/>
          <w:szCs w:val="20"/>
          <w:vertAlign w:val="baseline"/>
        </w:rPr>
        <w:t xml:space="preserve"> &lt;</w:t>
      </w:r>
      <w:hyperlink r:id="rId30" w:history="1">
        <w:r w:rsidRPr="002D6848">
          <w:rPr>
            <w:rStyle w:val="Hyperlink"/>
            <w:sz w:val="20"/>
            <w:szCs w:val="20"/>
            <w:vertAlign w:val="baseline"/>
          </w:rPr>
          <w:t>http://www.bede.org.uk/decline.htm</w:t>
        </w:r>
      </w:hyperlink>
      <w:r w:rsidRPr="002D6848">
        <w:rPr>
          <w:sz w:val="20"/>
          <w:szCs w:val="20"/>
          <w:vertAlign w:val="baseline"/>
        </w:rPr>
        <w:t>&gt; accessed 22 September 2014.</w:t>
      </w:r>
    </w:p>
  </w:footnote>
  <w:footnote w:id="242">
    <w:p w14:paraId="6C62B501" w14:textId="43FF7A1D" w:rsidR="00431A55" w:rsidRPr="002D6848" w:rsidRDefault="00431A55" w:rsidP="00AF4381">
      <w:pPr>
        <w:pStyle w:val="FootnoteText"/>
        <w:rPr>
          <w:sz w:val="20"/>
          <w:szCs w:val="20"/>
          <w:vertAlign w:val="baseline"/>
        </w:rPr>
      </w:pPr>
      <w:r w:rsidRPr="002D6848">
        <w:rPr>
          <w:rStyle w:val="FootnoteReference"/>
          <w:sz w:val="20"/>
          <w:szCs w:val="20"/>
        </w:rPr>
        <w:footnoteRef/>
      </w:r>
      <w:r w:rsidRPr="002D6848">
        <w:rPr>
          <w:sz w:val="20"/>
          <w:szCs w:val="20"/>
          <w:vertAlign w:val="baseline"/>
        </w:rPr>
        <w:t xml:space="preserve"> </w:t>
      </w:r>
      <w:r>
        <w:rPr>
          <w:sz w:val="20"/>
          <w:szCs w:val="20"/>
          <w:vertAlign w:val="baseline"/>
        </w:rPr>
        <w:t xml:space="preserve">ibid; </w:t>
      </w:r>
      <w:r w:rsidRPr="002D6848">
        <w:rPr>
          <w:sz w:val="20"/>
          <w:szCs w:val="20"/>
          <w:vertAlign w:val="baseline"/>
        </w:rPr>
        <w:t xml:space="preserve">See also James Hannam, </w:t>
      </w:r>
      <w:r w:rsidRPr="002D6848">
        <w:rPr>
          <w:i/>
          <w:sz w:val="20"/>
          <w:szCs w:val="20"/>
          <w:vertAlign w:val="baseline"/>
        </w:rPr>
        <w:t xml:space="preserve">The Genesis of Science: How the Christian Ages Launches the Scientific Revolution </w:t>
      </w:r>
      <w:r w:rsidRPr="002D6848">
        <w:rPr>
          <w:sz w:val="20"/>
          <w:szCs w:val="20"/>
          <w:vertAlign w:val="baseline"/>
        </w:rPr>
        <w:t xml:space="preserve">(Regnery Publishing 2011); James Hamman, </w:t>
      </w:r>
      <w:r w:rsidRPr="002D6848">
        <w:rPr>
          <w:i/>
          <w:sz w:val="20"/>
          <w:szCs w:val="20"/>
          <w:vertAlign w:val="baseline"/>
        </w:rPr>
        <w:t xml:space="preserve">God’s Philosophers: How the Medieval World Laid the Foundations of Modern Science </w:t>
      </w:r>
      <w:r w:rsidRPr="002D6848">
        <w:rPr>
          <w:sz w:val="20"/>
          <w:szCs w:val="20"/>
          <w:vertAlign w:val="baseline"/>
        </w:rPr>
        <w:t>(Icon Books 2009)</w:t>
      </w:r>
    </w:p>
  </w:footnote>
  <w:footnote w:id="243">
    <w:p w14:paraId="21C6D2E3" w14:textId="2FDF7029" w:rsidR="00431A55" w:rsidRPr="002D6848" w:rsidRDefault="00431A55" w:rsidP="00AF4381">
      <w:pPr>
        <w:pStyle w:val="FootnoteText"/>
        <w:rPr>
          <w:sz w:val="20"/>
          <w:szCs w:val="20"/>
          <w:vertAlign w:val="baseline"/>
        </w:rPr>
      </w:pPr>
      <w:r w:rsidRPr="002D6848">
        <w:rPr>
          <w:rStyle w:val="FootnoteReference"/>
          <w:sz w:val="20"/>
          <w:szCs w:val="20"/>
        </w:rPr>
        <w:footnoteRef/>
      </w:r>
      <w:r w:rsidRPr="002D6848">
        <w:rPr>
          <w:sz w:val="20"/>
          <w:szCs w:val="20"/>
          <w:vertAlign w:val="baseline"/>
        </w:rPr>
        <w:t xml:space="preserve"> </w:t>
      </w:r>
      <w:r w:rsidRPr="00234F7E">
        <w:rPr>
          <w:sz w:val="20"/>
          <w:szCs w:val="20"/>
          <w:vertAlign w:val="baseline"/>
        </w:rPr>
        <w:t>Stark</w:t>
      </w:r>
      <w:r>
        <w:rPr>
          <w:sz w:val="20"/>
          <w:szCs w:val="20"/>
          <w:vertAlign w:val="baseline"/>
        </w:rPr>
        <w:t xml:space="preserve"> (n 127)</w:t>
      </w:r>
    </w:p>
  </w:footnote>
  <w:footnote w:id="244">
    <w:p w14:paraId="63951B1D" w14:textId="5AC7ADBE" w:rsidR="00431A55" w:rsidRDefault="00431A55" w:rsidP="00AF4381">
      <w:pPr>
        <w:pStyle w:val="FootnoteText"/>
      </w:pPr>
      <w:r w:rsidRPr="002D6848">
        <w:rPr>
          <w:rStyle w:val="FootnoteReference"/>
          <w:sz w:val="20"/>
          <w:szCs w:val="20"/>
        </w:rPr>
        <w:footnoteRef/>
      </w:r>
      <w:r w:rsidRPr="002D6848">
        <w:rPr>
          <w:sz w:val="20"/>
          <w:szCs w:val="20"/>
        </w:rPr>
        <w:t xml:space="preserve"> </w:t>
      </w:r>
      <w:r>
        <w:rPr>
          <w:sz w:val="20"/>
          <w:szCs w:val="20"/>
          <w:vertAlign w:val="baseline"/>
        </w:rPr>
        <w:t>ibid</w:t>
      </w:r>
      <w:r w:rsidRPr="002D6848">
        <w:rPr>
          <w:sz w:val="20"/>
          <w:szCs w:val="20"/>
          <w:vertAlign w:val="baseline"/>
        </w:rPr>
        <w:t xml:space="preserve"> 282</w:t>
      </w:r>
    </w:p>
  </w:footnote>
  <w:footnote w:id="245">
    <w:p w14:paraId="6A3E20C4" w14:textId="556530EC" w:rsidR="00431A55" w:rsidRPr="00390B36" w:rsidRDefault="00431A55" w:rsidP="00AF4381">
      <w:pPr>
        <w:pStyle w:val="FootnoteText"/>
        <w:rPr>
          <w:sz w:val="20"/>
          <w:szCs w:val="20"/>
          <w:vertAlign w:val="baseline"/>
        </w:rPr>
      </w:pPr>
      <w:r w:rsidRPr="00390B36">
        <w:rPr>
          <w:rStyle w:val="FootnoteReference"/>
          <w:sz w:val="20"/>
          <w:szCs w:val="20"/>
        </w:rPr>
        <w:footnoteRef/>
      </w:r>
      <w:r w:rsidRPr="00390B36">
        <w:rPr>
          <w:sz w:val="20"/>
          <w:szCs w:val="20"/>
        </w:rPr>
        <w:t xml:space="preserve"> </w:t>
      </w:r>
      <w:r>
        <w:rPr>
          <w:sz w:val="20"/>
          <w:szCs w:val="20"/>
          <w:vertAlign w:val="baseline"/>
        </w:rPr>
        <w:t xml:space="preserve">Brian P </w:t>
      </w:r>
      <w:r w:rsidRPr="00390B36">
        <w:rPr>
          <w:sz w:val="20"/>
          <w:szCs w:val="20"/>
          <w:vertAlign w:val="baseline"/>
        </w:rPr>
        <w:t xml:space="preserve">Levack, </w:t>
      </w:r>
      <w:r w:rsidRPr="00390B36">
        <w:rPr>
          <w:i/>
          <w:sz w:val="20"/>
          <w:szCs w:val="20"/>
          <w:vertAlign w:val="baseline"/>
        </w:rPr>
        <w:t xml:space="preserve">The Witch-Hunt in Early Modern Europe </w:t>
      </w:r>
      <w:r>
        <w:rPr>
          <w:sz w:val="20"/>
          <w:szCs w:val="20"/>
          <w:vertAlign w:val="baseline"/>
        </w:rPr>
        <w:t>(2nd edn. Longman 1995) 240</w:t>
      </w:r>
    </w:p>
  </w:footnote>
  <w:footnote w:id="246">
    <w:p w14:paraId="432DAA50" w14:textId="715B228A" w:rsidR="00431A55" w:rsidRPr="00D677C1" w:rsidRDefault="00431A55" w:rsidP="007D11E4">
      <w:pPr>
        <w:pStyle w:val="FootnoteText"/>
        <w:rPr>
          <w:sz w:val="20"/>
          <w:szCs w:val="20"/>
          <w:vertAlign w:val="baseline"/>
        </w:rPr>
      </w:pPr>
      <w:r w:rsidRPr="00D677C1">
        <w:rPr>
          <w:rStyle w:val="FootnoteReference"/>
          <w:sz w:val="20"/>
          <w:szCs w:val="20"/>
        </w:rPr>
        <w:footnoteRef/>
      </w:r>
      <w:r w:rsidRPr="00D677C1">
        <w:rPr>
          <w:sz w:val="20"/>
          <w:szCs w:val="20"/>
          <w:vertAlign w:val="baseline"/>
        </w:rPr>
        <w:t xml:space="preserve"> However many Wiccans consider themselves removed from witchcraft </w:t>
      </w:r>
      <w:r w:rsidRPr="00D677C1">
        <w:rPr>
          <w:i/>
          <w:sz w:val="20"/>
          <w:szCs w:val="20"/>
          <w:vertAlign w:val="baseline"/>
        </w:rPr>
        <w:t xml:space="preserve">per se. </w:t>
      </w:r>
      <w:r w:rsidRPr="00D677C1">
        <w:rPr>
          <w:sz w:val="20"/>
          <w:szCs w:val="20"/>
          <w:vertAlign w:val="baseline"/>
        </w:rPr>
        <w:t>As noted in The Celtic Connection, ‘we would simply like to clarify that Witchcraft and Wicca, while similar in many respects, are not the same.  One can be a Witch, without being a Wiccan, just as a person can be a Christian, without being a Baptist. Wicca might best be described as a modern religion, based on ancient Witchcraft traditions. &lt;</w:t>
      </w:r>
      <w:hyperlink r:id="rId31" w:history="1">
        <w:r w:rsidRPr="00D677C1">
          <w:rPr>
            <w:rStyle w:val="Hyperlink"/>
            <w:sz w:val="20"/>
            <w:szCs w:val="20"/>
            <w:vertAlign w:val="baseline"/>
          </w:rPr>
          <w:t>http://wicca.com/celtic/wicca/wicca.htm</w:t>
        </w:r>
      </w:hyperlink>
      <w:r w:rsidRPr="00D677C1">
        <w:rPr>
          <w:sz w:val="20"/>
          <w:szCs w:val="20"/>
          <w:u w:val="single"/>
          <w:vertAlign w:val="baseline"/>
        </w:rPr>
        <w:t>&gt; accessed 8 January 2014</w:t>
      </w:r>
    </w:p>
  </w:footnote>
  <w:footnote w:id="247">
    <w:p w14:paraId="49EB948E" w14:textId="365CF0EF" w:rsidR="00431A55" w:rsidRPr="00D677C1" w:rsidRDefault="00431A55" w:rsidP="007D11E4">
      <w:pPr>
        <w:pStyle w:val="FootnoteText"/>
        <w:rPr>
          <w:sz w:val="20"/>
          <w:szCs w:val="20"/>
          <w:vertAlign w:val="baseline"/>
        </w:rPr>
      </w:pPr>
      <w:r w:rsidRPr="00D677C1">
        <w:rPr>
          <w:rStyle w:val="FootnoteReference"/>
          <w:sz w:val="20"/>
          <w:szCs w:val="20"/>
        </w:rPr>
        <w:footnoteRef/>
      </w:r>
      <w:r w:rsidRPr="00D677C1">
        <w:rPr>
          <w:sz w:val="20"/>
          <w:szCs w:val="20"/>
          <w:vertAlign w:val="baseline"/>
        </w:rPr>
        <w:t xml:space="preserve"> E.E. Evans-Pritchard, ‘Witchcraft’ 8(4) </w:t>
      </w:r>
      <w:r w:rsidRPr="00E25C36">
        <w:rPr>
          <w:sz w:val="20"/>
          <w:szCs w:val="20"/>
          <w:vertAlign w:val="baseline"/>
        </w:rPr>
        <w:t>Journal of the International African Institute</w:t>
      </w:r>
      <w:r>
        <w:rPr>
          <w:sz w:val="20"/>
          <w:szCs w:val="20"/>
          <w:vertAlign w:val="baseline"/>
        </w:rPr>
        <w:t xml:space="preserve"> (1935) 417</w:t>
      </w:r>
    </w:p>
  </w:footnote>
  <w:footnote w:id="248">
    <w:p w14:paraId="6DAEEF17" w14:textId="11BCB77C" w:rsidR="00431A55" w:rsidRPr="00D677C1" w:rsidRDefault="00431A55" w:rsidP="007D11E4">
      <w:pPr>
        <w:pStyle w:val="FootnoteText"/>
        <w:rPr>
          <w:sz w:val="20"/>
          <w:szCs w:val="20"/>
          <w:vertAlign w:val="baseline"/>
        </w:rPr>
      </w:pPr>
      <w:r w:rsidRPr="00D677C1">
        <w:rPr>
          <w:rStyle w:val="FootnoteReference"/>
          <w:sz w:val="20"/>
          <w:szCs w:val="20"/>
        </w:rPr>
        <w:footnoteRef/>
      </w:r>
      <w:r w:rsidRPr="00D677C1">
        <w:rPr>
          <w:sz w:val="20"/>
          <w:szCs w:val="20"/>
          <w:vertAlign w:val="baseline"/>
        </w:rPr>
        <w:t xml:space="preserve"> Walter E.A. van Beek, ‘The Escalation of Witchcraft Accusations’ in Gerrie Ter Haar, </w:t>
      </w:r>
      <w:r w:rsidRPr="00D677C1">
        <w:rPr>
          <w:i/>
          <w:sz w:val="20"/>
          <w:szCs w:val="20"/>
          <w:vertAlign w:val="baseline"/>
        </w:rPr>
        <w:t xml:space="preserve">Imagining Evil: Witchcraft Beliefs and Accusations in Contemporary Africa </w:t>
      </w:r>
      <w:r>
        <w:rPr>
          <w:sz w:val="20"/>
          <w:szCs w:val="20"/>
          <w:vertAlign w:val="baseline"/>
        </w:rPr>
        <w:t>(Africa 2007) 294</w:t>
      </w:r>
    </w:p>
  </w:footnote>
  <w:footnote w:id="249">
    <w:p w14:paraId="6B172796" w14:textId="4E8AC7E4" w:rsidR="00431A55" w:rsidRPr="005A29A1" w:rsidRDefault="00431A55" w:rsidP="007D11E4">
      <w:pPr>
        <w:pStyle w:val="FootnoteText"/>
        <w:rPr>
          <w:sz w:val="20"/>
          <w:szCs w:val="20"/>
          <w:vertAlign w:val="baseline"/>
        </w:rPr>
      </w:pPr>
      <w:r w:rsidRPr="00D677C1">
        <w:rPr>
          <w:rStyle w:val="FootnoteReference"/>
          <w:sz w:val="20"/>
          <w:szCs w:val="20"/>
        </w:rPr>
        <w:footnoteRef/>
      </w:r>
      <w:r>
        <w:rPr>
          <w:sz w:val="20"/>
          <w:szCs w:val="20"/>
          <w:vertAlign w:val="baseline"/>
        </w:rPr>
        <w:t xml:space="preserve"> Evans-Pritchard (n 135</w:t>
      </w:r>
      <w:r w:rsidRPr="00D677C1">
        <w:rPr>
          <w:sz w:val="20"/>
          <w:szCs w:val="20"/>
          <w:vertAlign w:val="baseline"/>
        </w:rPr>
        <w:t xml:space="preserve">); Mary Patterson, ‘Sorcery and witchcraft in Melanesia’ (1974) 45(2) </w:t>
      </w:r>
      <w:r w:rsidRPr="00D677C1">
        <w:rPr>
          <w:i/>
          <w:sz w:val="20"/>
          <w:szCs w:val="20"/>
          <w:vertAlign w:val="baseline"/>
        </w:rPr>
        <w:t>Oceania</w:t>
      </w:r>
      <w:r>
        <w:rPr>
          <w:sz w:val="20"/>
          <w:szCs w:val="20"/>
          <w:vertAlign w:val="baseline"/>
        </w:rPr>
        <w:t xml:space="preserve"> 132–160; </w:t>
      </w:r>
      <w:r w:rsidRPr="00D677C1">
        <w:rPr>
          <w:sz w:val="20"/>
          <w:szCs w:val="20"/>
          <w:vertAlign w:val="baseline"/>
        </w:rPr>
        <w:t>Meyer</w:t>
      </w:r>
      <w:r>
        <w:rPr>
          <w:sz w:val="20"/>
          <w:szCs w:val="20"/>
          <w:vertAlign w:val="baseline"/>
        </w:rPr>
        <w:t xml:space="preserve"> (n 93) </w:t>
      </w:r>
      <w:r w:rsidRPr="00D677C1">
        <w:rPr>
          <w:sz w:val="20"/>
          <w:szCs w:val="20"/>
          <w:vertAlign w:val="baseline"/>
        </w:rPr>
        <w:t xml:space="preserve">Alan Macfarlane, </w:t>
      </w:r>
      <w:r w:rsidRPr="00D677C1">
        <w:rPr>
          <w:i/>
          <w:sz w:val="20"/>
          <w:szCs w:val="20"/>
          <w:vertAlign w:val="baseline"/>
        </w:rPr>
        <w:t>Encounters with Witchcraft and Witches</w:t>
      </w:r>
      <w:r>
        <w:rPr>
          <w:sz w:val="20"/>
          <w:szCs w:val="20"/>
          <w:vertAlign w:val="baseline"/>
        </w:rPr>
        <w:t xml:space="preserve"> (Amazon 2013); </w:t>
      </w:r>
      <w:r w:rsidRPr="00D677C1">
        <w:rPr>
          <w:sz w:val="20"/>
          <w:szCs w:val="20"/>
          <w:vertAlign w:val="baseline"/>
        </w:rPr>
        <w:t>Favret-Saada</w:t>
      </w:r>
      <w:r>
        <w:rPr>
          <w:i/>
          <w:iCs/>
          <w:sz w:val="20"/>
          <w:szCs w:val="20"/>
          <w:vertAlign w:val="baseline"/>
        </w:rPr>
        <w:t xml:space="preserve"> </w:t>
      </w:r>
      <w:r>
        <w:rPr>
          <w:iCs/>
          <w:sz w:val="20"/>
          <w:szCs w:val="20"/>
          <w:vertAlign w:val="baseline"/>
        </w:rPr>
        <w:t>(n 94)</w:t>
      </w:r>
    </w:p>
  </w:footnote>
  <w:footnote w:id="250">
    <w:p w14:paraId="7256846C" w14:textId="27C80DBF" w:rsidR="00431A55" w:rsidRDefault="00431A55" w:rsidP="007D11E4">
      <w:pPr>
        <w:pStyle w:val="FootnoteText"/>
      </w:pPr>
      <w:r w:rsidRPr="00D677C1">
        <w:rPr>
          <w:rStyle w:val="FootnoteReference"/>
          <w:sz w:val="20"/>
          <w:szCs w:val="20"/>
        </w:rPr>
        <w:footnoteRef/>
      </w:r>
      <w:r w:rsidRPr="00D677C1">
        <w:rPr>
          <w:sz w:val="20"/>
          <w:szCs w:val="20"/>
        </w:rPr>
        <w:t xml:space="preserve"> </w:t>
      </w:r>
      <w:r w:rsidRPr="00D677C1">
        <w:rPr>
          <w:sz w:val="20"/>
          <w:szCs w:val="20"/>
          <w:vertAlign w:val="baseline"/>
        </w:rPr>
        <w:t xml:space="preserve">Isak Niehaus, </w:t>
      </w:r>
      <w:r w:rsidRPr="00D677C1">
        <w:rPr>
          <w:i/>
          <w:sz w:val="20"/>
          <w:szCs w:val="20"/>
          <w:vertAlign w:val="baseline"/>
        </w:rPr>
        <w:t>Witchcraft. In: Oxford Bibliographies Online</w:t>
      </w:r>
      <w:r w:rsidRPr="00D677C1">
        <w:rPr>
          <w:sz w:val="20"/>
          <w:szCs w:val="20"/>
          <w:vertAlign w:val="baseline"/>
        </w:rPr>
        <w:t xml:space="preserve"> (2012 Oxford University Press) 2</w:t>
      </w:r>
    </w:p>
  </w:footnote>
  <w:footnote w:id="251">
    <w:p w14:paraId="7C2328D4" w14:textId="40ADF96B" w:rsidR="00431A55" w:rsidRPr="0061277C" w:rsidRDefault="00431A55" w:rsidP="007D11E4">
      <w:pPr>
        <w:pStyle w:val="FootnoteText"/>
        <w:rPr>
          <w:sz w:val="20"/>
          <w:szCs w:val="20"/>
          <w:vertAlign w:val="baseline"/>
        </w:rPr>
      </w:pPr>
      <w:r w:rsidRPr="0061277C">
        <w:rPr>
          <w:rStyle w:val="FootnoteReference"/>
          <w:sz w:val="20"/>
          <w:szCs w:val="20"/>
        </w:rPr>
        <w:footnoteRef/>
      </w:r>
      <w:r w:rsidRPr="0061277C">
        <w:rPr>
          <w:sz w:val="20"/>
          <w:szCs w:val="20"/>
          <w:vertAlign w:val="baseline"/>
        </w:rPr>
        <w:t xml:space="preserve"> Witchcraft and Human Rights Information Network, ‘Report on the Violent Abuse and the breach of Human Rights as a Consequence of Spiritual Beliefs,’ presented to the UNH</w:t>
      </w:r>
      <w:r>
        <w:rPr>
          <w:sz w:val="20"/>
          <w:szCs w:val="20"/>
          <w:vertAlign w:val="baseline"/>
        </w:rPr>
        <w:t>RC in Geneva on 10th March 2014</w:t>
      </w:r>
    </w:p>
  </w:footnote>
  <w:footnote w:id="252">
    <w:p w14:paraId="6BE2481F" w14:textId="0E2D2F9D" w:rsidR="00431A55" w:rsidRDefault="00431A55" w:rsidP="007D11E4">
      <w:pPr>
        <w:pStyle w:val="FootnoteText"/>
      </w:pPr>
      <w:r w:rsidRPr="0061277C">
        <w:rPr>
          <w:rStyle w:val="FootnoteReference"/>
          <w:sz w:val="20"/>
          <w:szCs w:val="20"/>
        </w:rPr>
        <w:footnoteRef/>
      </w:r>
      <w:r w:rsidRPr="0061277C">
        <w:rPr>
          <w:sz w:val="20"/>
          <w:szCs w:val="20"/>
          <w:vertAlign w:val="baseline"/>
        </w:rPr>
        <w:t xml:space="preserve"> Reports documented in Africa: Nigeria, Kenya, Uganda, Zimbabwe, Zambia, Ghana, Gabon, Angola, Cameroon, DRC, Central African Republic, Liberia, Tanzania, Rwanda, Namibia, Malawi; South Africa; Asia: India, Nepal, Sri Lanka, Thailand, Philippines; Indonesia; Americas: USA, Canada, Chile; Middle East: Afghanistan, Dubai, Jordan, Saudi Arabia, Egypt; Egypt: UK, Sweden; Australia: Papua New Guinea.</w:t>
      </w:r>
      <w:r>
        <w:rPr>
          <w:sz w:val="20"/>
          <w:szCs w:val="20"/>
          <w:vertAlign w:val="baseline"/>
        </w:rPr>
        <w:t xml:space="preserve"> There are currently no further updated figures since 2013</w:t>
      </w:r>
    </w:p>
  </w:footnote>
  <w:footnote w:id="253">
    <w:p w14:paraId="079C453A" w14:textId="58CA988E" w:rsidR="00431A55" w:rsidRPr="00DA5DC5" w:rsidRDefault="00431A55" w:rsidP="007D11E4">
      <w:pPr>
        <w:pStyle w:val="FootnoteText"/>
        <w:rPr>
          <w:sz w:val="20"/>
          <w:szCs w:val="20"/>
          <w:vertAlign w:val="baseline"/>
        </w:rPr>
      </w:pPr>
      <w:r w:rsidRPr="00DA5DC5">
        <w:rPr>
          <w:rStyle w:val="FootnoteReference"/>
          <w:sz w:val="20"/>
          <w:szCs w:val="20"/>
        </w:rPr>
        <w:footnoteRef/>
      </w:r>
      <w:r w:rsidRPr="00DA5DC5">
        <w:rPr>
          <w:sz w:val="20"/>
          <w:szCs w:val="20"/>
          <w:vertAlign w:val="baseline"/>
        </w:rPr>
        <w:t xml:space="preserve"> Such fields include, but are not limited to, anthropology, history, law, sociology, folklore of magical be</w:t>
      </w:r>
      <w:r>
        <w:rPr>
          <w:sz w:val="20"/>
          <w:szCs w:val="20"/>
          <w:vertAlign w:val="baseline"/>
        </w:rPr>
        <w:t xml:space="preserve">liefs and practices, mythology; </w:t>
      </w:r>
      <w:r w:rsidRPr="00DA5DC5">
        <w:rPr>
          <w:sz w:val="20"/>
          <w:szCs w:val="20"/>
          <w:vertAlign w:val="baseline"/>
        </w:rPr>
        <w:t xml:space="preserve">Gabor Klaniczay, ‘Magic, Ritual, and Witchcraft,’ (2010) </w:t>
      </w:r>
      <w:r>
        <w:rPr>
          <w:sz w:val="20"/>
          <w:szCs w:val="20"/>
          <w:vertAlign w:val="baseline"/>
        </w:rPr>
        <w:t xml:space="preserve">5(2) </w:t>
      </w:r>
      <w:r w:rsidRPr="00DC4D23">
        <w:rPr>
          <w:sz w:val="20"/>
          <w:szCs w:val="20"/>
          <w:vertAlign w:val="baseline"/>
        </w:rPr>
        <w:t xml:space="preserve">Project Muse </w:t>
      </w:r>
      <w:r w:rsidRPr="00DA5DC5">
        <w:rPr>
          <w:sz w:val="20"/>
          <w:szCs w:val="20"/>
          <w:vertAlign w:val="baseline"/>
        </w:rPr>
        <w:t>188-212</w:t>
      </w:r>
    </w:p>
  </w:footnote>
  <w:footnote w:id="254">
    <w:p w14:paraId="7300666A" w14:textId="280D91CB" w:rsidR="00431A55" w:rsidRPr="00DA5DC5" w:rsidRDefault="00431A55" w:rsidP="007D11E4">
      <w:pPr>
        <w:pStyle w:val="FootnoteText"/>
        <w:rPr>
          <w:sz w:val="20"/>
          <w:szCs w:val="20"/>
          <w:vertAlign w:val="baseline"/>
        </w:rPr>
      </w:pPr>
      <w:r w:rsidRPr="00DA5DC5">
        <w:rPr>
          <w:rStyle w:val="FootnoteReference"/>
          <w:sz w:val="20"/>
          <w:szCs w:val="20"/>
        </w:rPr>
        <w:footnoteRef/>
      </w:r>
      <w:r>
        <w:rPr>
          <w:sz w:val="20"/>
          <w:szCs w:val="20"/>
          <w:vertAlign w:val="baseline"/>
        </w:rPr>
        <w:t xml:space="preserve"> </w:t>
      </w:r>
      <w:r w:rsidRPr="00DA5DC5">
        <w:rPr>
          <w:sz w:val="20"/>
          <w:szCs w:val="20"/>
          <w:vertAlign w:val="baseline"/>
        </w:rPr>
        <w:t>Niehaus</w:t>
      </w:r>
      <w:r>
        <w:rPr>
          <w:sz w:val="20"/>
          <w:szCs w:val="20"/>
          <w:vertAlign w:val="baseline"/>
        </w:rPr>
        <w:t xml:space="preserve"> (n 250) </w:t>
      </w:r>
      <w:r w:rsidRPr="00DA5DC5">
        <w:rPr>
          <w:sz w:val="20"/>
          <w:szCs w:val="20"/>
          <w:vertAlign w:val="baseline"/>
        </w:rPr>
        <w:t>1</w:t>
      </w:r>
    </w:p>
  </w:footnote>
  <w:footnote w:id="255">
    <w:p w14:paraId="7165F3C8" w14:textId="610A95E9" w:rsidR="00431A55" w:rsidRPr="00DA5DC5" w:rsidRDefault="00431A55" w:rsidP="007D11E4">
      <w:pPr>
        <w:pStyle w:val="FootnoteText"/>
        <w:rPr>
          <w:sz w:val="20"/>
          <w:szCs w:val="20"/>
          <w:vertAlign w:val="baseline"/>
        </w:rPr>
      </w:pPr>
      <w:r w:rsidRPr="00DA5DC5">
        <w:rPr>
          <w:rStyle w:val="FootnoteReference"/>
          <w:sz w:val="20"/>
          <w:szCs w:val="20"/>
        </w:rPr>
        <w:footnoteRef/>
      </w:r>
      <w:r w:rsidRPr="00DA5DC5">
        <w:rPr>
          <w:sz w:val="20"/>
          <w:szCs w:val="20"/>
          <w:vertAlign w:val="baseline"/>
        </w:rPr>
        <w:t xml:space="preserve"> </w:t>
      </w:r>
      <w:r w:rsidRPr="00DA5DC5">
        <w:rPr>
          <w:bCs/>
          <w:sz w:val="20"/>
          <w:szCs w:val="20"/>
          <w:vertAlign w:val="baseline"/>
        </w:rPr>
        <w:t xml:space="preserve">Malcolm Crick, ‘Anthropologists’ witchcraft: Symbolically defined or analytically undone?’ (1979) 10(3) </w:t>
      </w:r>
      <w:r w:rsidRPr="00E25C36">
        <w:rPr>
          <w:bCs/>
          <w:iCs/>
          <w:sz w:val="20"/>
          <w:szCs w:val="20"/>
          <w:vertAlign w:val="baseline"/>
        </w:rPr>
        <w:t>Journal of the Anthropological Society of Oxford</w:t>
      </w:r>
      <w:r w:rsidRPr="00E25C36">
        <w:rPr>
          <w:bCs/>
          <w:sz w:val="20"/>
          <w:szCs w:val="20"/>
          <w:vertAlign w:val="baseline"/>
        </w:rPr>
        <w:t> </w:t>
      </w:r>
      <w:r>
        <w:rPr>
          <w:bCs/>
          <w:sz w:val="20"/>
          <w:szCs w:val="20"/>
          <w:vertAlign w:val="baseline"/>
        </w:rPr>
        <w:t>139–146</w:t>
      </w:r>
    </w:p>
  </w:footnote>
  <w:footnote w:id="256">
    <w:p w14:paraId="6F46227C" w14:textId="5A0584BB" w:rsidR="00431A55" w:rsidRDefault="00431A55" w:rsidP="007D11E4">
      <w:pPr>
        <w:pStyle w:val="FootnoteText"/>
      </w:pPr>
      <w:r w:rsidRPr="00DA5DC5">
        <w:rPr>
          <w:rStyle w:val="FootnoteReference"/>
          <w:sz w:val="20"/>
          <w:szCs w:val="20"/>
        </w:rPr>
        <w:footnoteRef/>
      </w:r>
      <w:r>
        <w:rPr>
          <w:sz w:val="20"/>
          <w:szCs w:val="20"/>
          <w:vertAlign w:val="baseline"/>
        </w:rPr>
        <w:t xml:space="preserve"> </w:t>
      </w:r>
      <w:r w:rsidRPr="00DA5DC5">
        <w:rPr>
          <w:sz w:val="20"/>
          <w:szCs w:val="20"/>
          <w:vertAlign w:val="baseline"/>
        </w:rPr>
        <w:t>Me</w:t>
      </w:r>
      <w:r>
        <w:rPr>
          <w:sz w:val="20"/>
          <w:szCs w:val="20"/>
          <w:vertAlign w:val="baseline"/>
        </w:rPr>
        <w:t>yer (n 93)</w:t>
      </w:r>
    </w:p>
  </w:footnote>
  <w:footnote w:id="257">
    <w:p w14:paraId="2676D76A" w14:textId="77777777" w:rsidR="00431A55" w:rsidRPr="006579FE" w:rsidRDefault="00431A55" w:rsidP="007D11E4">
      <w:pPr>
        <w:pStyle w:val="FootnoteText"/>
        <w:rPr>
          <w:sz w:val="20"/>
          <w:szCs w:val="20"/>
          <w:vertAlign w:val="baseline"/>
        </w:rPr>
      </w:pPr>
      <w:r w:rsidRPr="006579FE">
        <w:rPr>
          <w:rStyle w:val="FootnoteReference"/>
          <w:sz w:val="20"/>
          <w:szCs w:val="20"/>
        </w:rPr>
        <w:footnoteRef/>
      </w:r>
      <w:r w:rsidRPr="006579FE">
        <w:rPr>
          <w:sz w:val="20"/>
          <w:szCs w:val="20"/>
          <w:vertAlign w:val="baseline"/>
        </w:rPr>
        <w:t xml:space="preserve"> Ronald Hutton, ‘Anthropological and Historical App-roaches to Witchcraft: Potential for a New Collaboration’ (2004) 47(2) </w:t>
      </w:r>
      <w:r w:rsidRPr="00E25C36">
        <w:rPr>
          <w:sz w:val="20"/>
          <w:szCs w:val="20"/>
          <w:vertAlign w:val="baseline"/>
        </w:rPr>
        <w:t>The Historical Journal</w:t>
      </w:r>
      <w:r w:rsidRPr="006579FE">
        <w:rPr>
          <w:sz w:val="20"/>
          <w:szCs w:val="20"/>
          <w:vertAlign w:val="baseline"/>
        </w:rPr>
        <w:t xml:space="preserve"> 420</w:t>
      </w:r>
    </w:p>
  </w:footnote>
  <w:footnote w:id="258">
    <w:p w14:paraId="3832D540" w14:textId="1644550C" w:rsidR="00431A55" w:rsidRPr="006579FE" w:rsidRDefault="00431A55" w:rsidP="007D11E4">
      <w:pPr>
        <w:pStyle w:val="FootnoteText"/>
        <w:rPr>
          <w:sz w:val="20"/>
          <w:szCs w:val="20"/>
          <w:vertAlign w:val="baseline"/>
        </w:rPr>
      </w:pPr>
      <w:r w:rsidRPr="006579FE">
        <w:rPr>
          <w:rStyle w:val="FootnoteReference"/>
          <w:sz w:val="20"/>
          <w:szCs w:val="20"/>
        </w:rPr>
        <w:footnoteRef/>
      </w:r>
      <w:r>
        <w:rPr>
          <w:sz w:val="20"/>
          <w:szCs w:val="20"/>
          <w:vertAlign w:val="baseline"/>
        </w:rPr>
        <w:t xml:space="preserve"> </w:t>
      </w:r>
      <w:r w:rsidRPr="006579FE">
        <w:rPr>
          <w:sz w:val="20"/>
          <w:szCs w:val="20"/>
          <w:vertAlign w:val="baseline"/>
        </w:rPr>
        <w:t>Broedel</w:t>
      </w:r>
      <w:r>
        <w:rPr>
          <w:sz w:val="20"/>
          <w:szCs w:val="20"/>
          <w:vertAlign w:val="baseline"/>
        </w:rPr>
        <w:t xml:space="preserve"> (n 224)</w:t>
      </w:r>
    </w:p>
  </w:footnote>
  <w:footnote w:id="259">
    <w:p w14:paraId="112BC6A1" w14:textId="322E4F4C" w:rsidR="00431A55" w:rsidRPr="006579FE" w:rsidRDefault="00431A55" w:rsidP="007D11E4">
      <w:pPr>
        <w:pStyle w:val="FootnoteText"/>
        <w:rPr>
          <w:sz w:val="20"/>
          <w:szCs w:val="20"/>
          <w:vertAlign w:val="baseline"/>
        </w:rPr>
      </w:pPr>
      <w:r w:rsidRPr="005A07C8">
        <w:rPr>
          <w:rStyle w:val="FootnoteReference"/>
          <w:sz w:val="20"/>
          <w:szCs w:val="20"/>
        </w:rPr>
        <w:footnoteRef/>
      </w:r>
      <w:r w:rsidRPr="006579FE">
        <w:rPr>
          <w:sz w:val="20"/>
          <w:szCs w:val="20"/>
          <w:vertAlign w:val="baseline"/>
        </w:rPr>
        <w:t xml:space="preserve"> </w:t>
      </w:r>
      <w:r>
        <w:rPr>
          <w:sz w:val="20"/>
          <w:szCs w:val="20"/>
          <w:vertAlign w:val="baseline"/>
        </w:rPr>
        <w:t>ibid</w:t>
      </w:r>
      <w:r w:rsidRPr="006579FE">
        <w:rPr>
          <w:sz w:val="20"/>
          <w:szCs w:val="20"/>
          <w:vertAlign w:val="baseline"/>
        </w:rPr>
        <w:t xml:space="preserve"> 3</w:t>
      </w:r>
    </w:p>
  </w:footnote>
  <w:footnote w:id="260">
    <w:p w14:paraId="576FC1D0" w14:textId="77777777" w:rsidR="00431A55" w:rsidRDefault="00431A55" w:rsidP="007D11E4">
      <w:pPr>
        <w:pStyle w:val="FootnoteText"/>
      </w:pPr>
      <w:r w:rsidRPr="006579FE">
        <w:rPr>
          <w:rStyle w:val="FootnoteReference"/>
          <w:sz w:val="20"/>
          <w:szCs w:val="20"/>
        </w:rPr>
        <w:footnoteRef/>
      </w:r>
      <w:r w:rsidRPr="006579FE">
        <w:rPr>
          <w:sz w:val="20"/>
          <w:szCs w:val="20"/>
          <w:vertAlign w:val="baseline"/>
        </w:rPr>
        <w:t xml:space="preserve"> The Oxford English Dictionary Online at </w:t>
      </w:r>
      <w:hyperlink r:id="rId32" w:anchor="eid" w:history="1">
        <w:r w:rsidRPr="006579FE">
          <w:rPr>
            <w:rStyle w:val="Hyperlink"/>
            <w:sz w:val="20"/>
            <w:szCs w:val="20"/>
            <w:vertAlign w:val="baseline"/>
          </w:rPr>
          <w:t>http://www.oed.com.ezproxy.lancs.ac.uk/view/Entry/229580?redirectedFrom=witchcraft#eid</w:t>
        </w:r>
      </w:hyperlink>
      <w:r w:rsidRPr="006579FE">
        <w:rPr>
          <w:sz w:val="20"/>
          <w:szCs w:val="20"/>
          <w:vertAlign w:val="baseline"/>
        </w:rPr>
        <w:t xml:space="preserve"> &lt;last viewed 19 November 2013&gt;</w:t>
      </w:r>
    </w:p>
  </w:footnote>
  <w:footnote w:id="261">
    <w:p w14:paraId="2C835F07" w14:textId="62648CE4" w:rsidR="00431A55" w:rsidRPr="00876800" w:rsidRDefault="00431A55" w:rsidP="007D11E4">
      <w:pPr>
        <w:pStyle w:val="FootnoteText"/>
        <w:rPr>
          <w:sz w:val="20"/>
          <w:szCs w:val="20"/>
          <w:vertAlign w:val="baseline"/>
        </w:rPr>
      </w:pPr>
      <w:r w:rsidRPr="00876800">
        <w:rPr>
          <w:rStyle w:val="FootnoteReference"/>
          <w:sz w:val="20"/>
          <w:szCs w:val="20"/>
        </w:rPr>
        <w:footnoteRef/>
      </w:r>
      <w:r>
        <w:rPr>
          <w:sz w:val="20"/>
          <w:szCs w:val="20"/>
          <w:vertAlign w:val="baseline"/>
        </w:rPr>
        <w:t xml:space="preserve"> </w:t>
      </w:r>
      <w:r w:rsidRPr="00876800">
        <w:rPr>
          <w:sz w:val="20"/>
          <w:szCs w:val="20"/>
          <w:vertAlign w:val="baseline"/>
        </w:rPr>
        <w:t xml:space="preserve">Stein </w:t>
      </w:r>
      <w:r>
        <w:rPr>
          <w:sz w:val="20"/>
          <w:szCs w:val="20"/>
          <w:vertAlign w:val="baseline"/>
        </w:rPr>
        <w:t>(n 179) 213</w:t>
      </w:r>
    </w:p>
  </w:footnote>
  <w:footnote w:id="262">
    <w:p w14:paraId="46E15D18" w14:textId="1973CFA2" w:rsidR="00431A55" w:rsidRPr="00876800" w:rsidRDefault="00431A55" w:rsidP="007D11E4">
      <w:pPr>
        <w:pStyle w:val="FootnoteText"/>
        <w:rPr>
          <w:sz w:val="20"/>
          <w:szCs w:val="20"/>
          <w:vertAlign w:val="baseline"/>
        </w:rPr>
      </w:pPr>
      <w:r w:rsidRPr="00876800">
        <w:rPr>
          <w:rStyle w:val="FootnoteReference"/>
          <w:sz w:val="20"/>
          <w:szCs w:val="20"/>
        </w:rPr>
        <w:footnoteRef/>
      </w:r>
      <w:r w:rsidRPr="00876800">
        <w:rPr>
          <w:sz w:val="20"/>
          <w:szCs w:val="20"/>
          <w:vertAlign w:val="baseline"/>
        </w:rPr>
        <w:t xml:space="preserve"> </w:t>
      </w:r>
      <w:r>
        <w:rPr>
          <w:sz w:val="20"/>
          <w:szCs w:val="20"/>
          <w:vertAlign w:val="baseline"/>
        </w:rPr>
        <w:t>ibid</w:t>
      </w:r>
    </w:p>
  </w:footnote>
  <w:footnote w:id="263">
    <w:p w14:paraId="6ED78400" w14:textId="77777777" w:rsidR="00431A55" w:rsidRPr="00876800" w:rsidRDefault="00431A55" w:rsidP="003E5AA7">
      <w:pPr>
        <w:pStyle w:val="FootnoteText"/>
        <w:rPr>
          <w:sz w:val="20"/>
          <w:szCs w:val="20"/>
          <w:vertAlign w:val="baseline"/>
        </w:rPr>
      </w:pPr>
      <w:r w:rsidRPr="00876800">
        <w:rPr>
          <w:rStyle w:val="FootnoteReference"/>
          <w:sz w:val="20"/>
          <w:szCs w:val="20"/>
        </w:rPr>
        <w:footnoteRef/>
      </w:r>
      <w:r w:rsidRPr="00876800">
        <w:rPr>
          <w:sz w:val="20"/>
          <w:szCs w:val="20"/>
        </w:rPr>
        <w:t xml:space="preserve"> </w:t>
      </w:r>
      <w:r w:rsidRPr="00876800">
        <w:rPr>
          <w:sz w:val="20"/>
          <w:szCs w:val="20"/>
          <w:vertAlign w:val="baseline"/>
        </w:rPr>
        <w:t>Roger Just, ‘E.E. Evans Pritchard’ (</w:t>
      </w:r>
      <w:r w:rsidRPr="00876800">
        <w:rPr>
          <w:i/>
          <w:sz w:val="20"/>
          <w:szCs w:val="20"/>
          <w:vertAlign w:val="baseline"/>
        </w:rPr>
        <w:t xml:space="preserve">Oxford Bibliographies, </w:t>
      </w:r>
      <w:r w:rsidRPr="00876800">
        <w:rPr>
          <w:sz w:val="20"/>
          <w:szCs w:val="20"/>
          <w:vertAlign w:val="baseline"/>
        </w:rPr>
        <w:t>1 November 2012) &lt;</w:t>
      </w:r>
      <w:hyperlink r:id="rId33" w:history="1">
        <w:r w:rsidRPr="00876800">
          <w:rPr>
            <w:rStyle w:val="Hyperlink"/>
            <w:sz w:val="20"/>
            <w:szCs w:val="20"/>
            <w:vertAlign w:val="baseline"/>
          </w:rPr>
          <w:t>http://www.oxfordbibliographies.com/view/document/obo-9780199766567/obo-9780199766567-0006.xml</w:t>
        </w:r>
      </w:hyperlink>
      <w:r w:rsidRPr="00876800">
        <w:rPr>
          <w:sz w:val="20"/>
          <w:szCs w:val="20"/>
          <w:vertAlign w:val="baseline"/>
        </w:rPr>
        <w:t>&gt; accessed 6 December 2013</w:t>
      </w:r>
    </w:p>
  </w:footnote>
  <w:footnote w:id="264">
    <w:p w14:paraId="29CB7943" w14:textId="124BFB69" w:rsidR="00431A55" w:rsidRPr="00876800" w:rsidRDefault="00431A55" w:rsidP="007D11E4">
      <w:pPr>
        <w:pStyle w:val="FootnoteText"/>
        <w:rPr>
          <w:sz w:val="20"/>
          <w:szCs w:val="20"/>
          <w:vertAlign w:val="baseline"/>
        </w:rPr>
      </w:pPr>
      <w:r w:rsidRPr="00876800">
        <w:rPr>
          <w:rStyle w:val="FootnoteReference"/>
          <w:sz w:val="20"/>
          <w:szCs w:val="20"/>
        </w:rPr>
        <w:footnoteRef/>
      </w:r>
      <w:r>
        <w:rPr>
          <w:sz w:val="20"/>
          <w:szCs w:val="20"/>
          <w:vertAlign w:val="baseline"/>
        </w:rPr>
        <w:t xml:space="preserve"> </w:t>
      </w:r>
      <w:r w:rsidRPr="00876800">
        <w:rPr>
          <w:sz w:val="20"/>
          <w:szCs w:val="20"/>
          <w:vertAlign w:val="baseline"/>
        </w:rPr>
        <w:t>Evans-Pritchard</w:t>
      </w:r>
      <w:r>
        <w:rPr>
          <w:sz w:val="20"/>
          <w:szCs w:val="20"/>
          <w:vertAlign w:val="baseline"/>
        </w:rPr>
        <w:t xml:space="preserve"> (n 135)</w:t>
      </w:r>
    </w:p>
  </w:footnote>
  <w:footnote w:id="265">
    <w:p w14:paraId="7DF7CD30" w14:textId="644F571D" w:rsidR="00431A55" w:rsidRDefault="00431A55" w:rsidP="007D11E4">
      <w:pPr>
        <w:pStyle w:val="FootnoteText"/>
      </w:pPr>
      <w:r w:rsidRPr="00876800">
        <w:rPr>
          <w:rStyle w:val="FootnoteReference"/>
          <w:sz w:val="20"/>
          <w:szCs w:val="20"/>
        </w:rPr>
        <w:footnoteRef/>
      </w:r>
      <w:r>
        <w:rPr>
          <w:sz w:val="20"/>
          <w:szCs w:val="20"/>
          <w:vertAlign w:val="baseline"/>
        </w:rPr>
        <w:t xml:space="preserve"> ibid </w:t>
      </w:r>
      <w:r w:rsidRPr="00876800">
        <w:rPr>
          <w:sz w:val="20"/>
          <w:szCs w:val="20"/>
          <w:vertAlign w:val="baseline"/>
        </w:rPr>
        <w:t>63</w:t>
      </w:r>
    </w:p>
  </w:footnote>
  <w:footnote w:id="266">
    <w:p w14:paraId="55F59CCC" w14:textId="368990D2" w:rsidR="00431A55" w:rsidRPr="00821115" w:rsidRDefault="00431A55">
      <w:pPr>
        <w:pStyle w:val="FootnoteText"/>
        <w:rPr>
          <w:sz w:val="20"/>
          <w:szCs w:val="20"/>
          <w:vertAlign w:val="baseline"/>
          <w:lang w:val="en-US"/>
        </w:rPr>
      </w:pPr>
      <w:r w:rsidRPr="00821115">
        <w:rPr>
          <w:rStyle w:val="FootnoteReference"/>
          <w:sz w:val="20"/>
          <w:szCs w:val="20"/>
        </w:rPr>
        <w:footnoteRef/>
      </w:r>
      <w:r w:rsidRPr="00821115">
        <w:rPr>
          <w:sz w:val="20"/>
          <w:szCs w:val="20"/>
        </w:rPr>
        <w:t xml:space="preserve"> </w:t>
      </w:r>
      <w:r>
        <w:rPr>
          <w:sz w:val="20"/>
          <w:szCs w:val="20"/>
          <w:vertAlign w:val="baseline"/>
        </w:rPr>
        <w:t>Section 2 Witchcraft Act 2002, Tanzania</w:t>
      </w:r>
    </w:p>
  </w:footnote>
  <w:footnote w:id="267">
    <w:p w14:paraId="2D2D95F1" w14:textId="50AF7C79" w:rsidR="00431A55" w:rsidRPr="00B848A7" w:rsidRDefault="00431A55">
      <w:pPr>
        <w:pStyle w:val="FootnoteText"/>
        <w:rPr>
          <w:sz w:val="20"/>
          <w:szCs w:val="20"/>
          <w:vertAlign w:val="baseline"/>
          <w:lang w:val="en-US"/>
        </w:rPr>
      </w:pPr>
      <w:r w:rsidRPr="00B848A7">
        <w:rPr>
          <w:rStyle w:val="FootnoteReference"/>
          <w:sz w:val="20"/>
          <w:szCs w:val="20"/>
        </w:rPr>
        <w:footnoteRef/>
      </w:r>
      <w:r w:rsidRPr="00B848A7">
        <w:rPr>
          <w:sz w:val="20"/>
          <w:szCs w:val="20"/>
        </w:rPr>
        <w:t xml:space="preserve"> </w:t>
      </w:r>
      <w:r>
        <w:rPr>
          <w:sz w:val="20"/>
          <w:szCs w:val="20"/>
          <w:vertAlign w:val="baseline"/>
        </w:rPr>
        <w:t xml:space="preserve"> Committee on the Elimination of Discrimination against Women and the Committee on the Rights of the Child, ‘Joint General Recommendation No.31 of the Committee on the Elimination of Discrimination against Women/ General Comment No. 18 of the Committee on the Rights of the Child on harmful practices’ 14 November 2014 CEDAW/C/GC/31-CRC/C/GC/18, Section V para 15</w:t>
      </w:r>
    </w:p>
  </w:footnote>
  <w:footnote w:id="268">
    <w:p w14:paraId="2687A014" w14:textId="1D2ED49D" w:rsidR="00431A55" w:rsidRPr="00AE67D8" w:rsidRDefault="00431A55" w:rsidP="007D11E4">
      <w:pPr>
        <w:pStyle w:val="FootnoteText"/>
        <w:rPr>
          <w:sz w:val="20"/>
          <w:szCs w:val="20"/>
          <w:vertAlign w:val="baseline"/>
        </w:rPr>
      </w:pPr>
      <w:r w:rsidRPr="00AE67D8">
        <w:rPr>
          <w:rStyle w:val="FootnoteReference"/>
          <w:sz w:val="20"/>
          <w:szCs w:val="20"/>
        </w:rPr>
        <w:footnoteRef/>
      </w:r>
      <w:r w:rsidRPr="00AE67D8">
        <w:rPr>
          <w:sz w:val="20"/>
          <w:szCs w:val="20"/>
        </w:rPr>
        <w:t xml:space="preserve"> </w:t>
      </w:r>
      <w:r>
        <w:rPr>
          <w:sz w:val="20"/>
          <w:szCs w:val="20"/>
          <w:vertAlign w:val="baseline"/>
        </w:rPr>
        <w:t>V</w:t>
      </w:r>
      <w:r w:rsidRPr="00AE67D8">
        <w:rPr>
          <w:sz w:val="20"/>
          <w:szCs w:val="20"/>
          <w:vertAlign w:val="baseline"/>
        </w:rPr>
        <w:t>an Beek</w:t>
      </w:r>
      <w:r>
        <w:rPr>
          <w:sz w:val="20"/>
          <w:szCs w:val="20"/>
          <w:vertAlign w:val="baseline"/>
        </w:rPr>
        <w:t xml:space="preserve"> (n 248) 299</w:t>
      </w:r>
    </w:p>
  </w:footnote>
  <w:footnote w:id="269">
    <w:p w14:paraId="3C14D9A3" w14:textId="6B70A2D3" w:rsidR="00431A55" w:rsidRPr="00AE67D8" w:rsidRDefault="00431A55" w:rsidP="007D11E4">
      <w:pPr>
        <w:pStyle w:val="FootnoteText"/>
        <w:rPr>
          <w:sz w:val="20"/>
          <w:szCs w:val="20"/>
          <w:vertAlign w:val="baseline"/>
        </w:rPr>
      </w:pPr>
      <w:r w:rsidRPr="00AE67D8">
        <w:rPr>
          <w:rStyle w:val="FootnoteReference"/>
          <w:sz w:val="20"/>
          <w:szCs w:val="20"/>
        </w:rPr>
        <w:footnoteRef/>
      </w:r>
      <w:r w:rsidRPr="00AE67D8">
        <w:rPr>
          <w:sz w:val="20"/>
          <w:szCs w:val="20"/>
          <w:vertAlign w:val="baseline"/>
        </w:rPr>
        <w:t xml:space="preserve"> </w:t>
      </w:r>
      <w:r w:rsidRPr="00876800">
        <w:rPr>
          <w:sz w:val="20"/>
          <w:szCs w:val="20"/>
          <w:vertAlign w:val="baseline"/>
        </w:rPr>
        <w:t>Evans-Pritchard</w:t>
      </w:r>
      <w:r>
        <w:rPr>
          <w:sz w:val="20"/>
          <w:szCs w:val="20"/>
          <w:vertAlign w:val="baseline"/>
        </w:rPr>
        <w:t xml:space="preserve"> (n 135) 63</w:t>
      </w:r>
    </w:p>
  </w:footnote>
  <w:footnote w:id="270">
    <w:p w14:paraId="6E8F3017" w14:textId="0739EA7E" w:rsidR="00431A55" w:rsidRPr="00AE67D8" w:rsidRDefault="00431A55" w:rsidP="00E25C36">
      <w:pPr>
        <w:pStyle w:val="FootnoteText"/>
        <w:rPr>
          <w:sz w:val="20"/>
          <w:szCs w:val="20"/>
          <w:vertAlign w:val="baseline"/>
        </w:rPr>
      </w:pPr>
      <w:r w:rsidRPr="00AE67D8">
        <w:rPr>
          <w:rStyle w:val="FootnoteReference"/>
          <w:sz w:val="20"/>
          <w:szCs w:val="20"/>
        </w:rPr>
        <w:footnoteRef/>
      </w:r>
      <w:r>
        <w:rPr>
          <w:sz w:val="20"/>
          <w:szCs w:val="20"/>
          <w:vertAlign w:val="baseline"/>
        </w:rPr>
        <w:t xml:space="preserve"> </w:t>
      </w:r>
      <w:r w:rsidRPr="00AE67D8">
        <w:rPr>
          <w:sz w:val="20"/>
          <w:szCs w:val="20"/>
          <w:vertAlign w:val="baseline"/>
        </w:rPr>
        <w:t>Macfarlane</w:t>
      </w:r>
      <w:r>
        <w:rPr>
          <w:sz w:val="20"/>
          <w:szCs w:val="20"/>
          <w:vertAlign w:val="baseline"/>
        </w:rPr>
        <w:t xml:space="preserve"> (n 249) 19</w:t>
      </w:r>
    </w:p>
  </w:footnote>
  <w:footnote w:id="271">
    <w:p w14:paraId="74D457FE" w14:textId="2CBA61AF" w:rsidR="00431A55" w:rsidRPr="00A23315" w:rsidRDefault="00431A55" w:rsidP="007D11E4">
      <w:pPr>
        <w:pStyle w:val="FootnoteText"/>
      </w:pPr>
      <w:r w:rsidRPr="00AE67D8">
        <w:rPr>
          <w:rStyle w:val="FootnoteReference"/>
          <w:sz w:val="20"/>
          <w:szCs w:val="20"/>
        </w:rPr>
        <w:footnoteRef/>
      </w:r>
      <w:r w:rsidRPr="00AE67D8">
        <w:rPr>
          <w:sz w:val="20"/>
          <w:szCs w:val="20"/>
          <w:vertAlign w:val="baseline"/>
        </w:rPr>
        <w:t xml:space="preserve"> </w:t>
      </w:r>
      <w:r>
        <w:rPr>
          <w:sz w:val="20"/>
          <w:szCs w:val="20"/>
          <w:vertAlign w:val="baseline"/>
        </w:rPr>
        <w:t>Kramer (n 221)</w:t>
      </w:r>
    </w:p>
  </w:footnote>
  <w:footnote w:id="272">
    <w:p w14:paraId="11409BF8" w14:textId="73B7D51D" w:rsidR="00431A55" w:rsidRPr="0012736B" w:rsidRDefault="00431A55" w:rsidP="007D11E4">
      <w:pPr>
        <w:pStyle w:val="FootnoteText"/>
        <w:rPr>
          <w:sz w:val="20"/>
          <w:szCs w:val="20"/>
          <w:vertAlign w:val="baseline"/>
        </w:rPr>
      </w:pPr>
      <w:r w:rsidRPr="0012736B">
        <w:rPr>
          <w:rStyle w:val="FootnoteReference"/>
          <w:sz w:val="20"/>
          <w:szCs w:val="20"/>
        </w:rPr>
        <w:footnoteRef/>
      </w:r>
      <w:r w:rsidRPr="0012736B">
        <w:rPr>
          <w:sz w:val="20"/>
          <w:szCs w:val="20"/>
        </w:rPr>
        <w:t xml:space="preserve"> </w:t>
      </w:r>
      <w:r w:rsidRPr="0012736B">
        <w:rPr>
          <w:sz w:val="20"/>
          <w:szCs w:val="20"/>
          <w:vertAlign w:val="baseline"/>
        </w:rPr>
        <w:t>Broedel</w:t>
      </w:r>
      <w:r>
        <w:rPr>
          <w:sz w:val="20"/>
          <w:szCs w:val="20"/>
          <w:vertAlign w:val="baseline"/>
        </w:rPr>
        <w:t xml:space="preserve"> (n 224) </w:t>
      </w:r>
      <w:r w:rsidRPr="0012736B">
        <w:rPr>
          <w:sz w:val="20"/>
          <w:szCs w:val="20"/>
          <w:vertAlign w:val="baseline"/>
        </w:rPr>
        <w:t>83</w:t>
      </w:r>
    </w:p>
  </w:footnote>
  <w:footnote w:id="273">
    <w:p w14:paraId="76AC33C2" w14:textId="2A383A72" w:rsidR="00431A55" w:rsidRPr="0012736B" w:rsidRDefault="00431A55" w:rsidP="007D11E4">
      <w:pPr>
        <w:pStyle w:val="FootnoteText"/>
        <w:rPr>
          <w:sz w:val="20"/>
          <w:szCs w:val="20"/>
          <w:vertAlign w:val="baseline"/>
        </w:rPr>
      </w:pPr>
      <w:r w:rsidRPr="0012736B">
        <w:rPr>
          <w:rStyle w:val="FootnoteReference"/>
          <w:sz w:val="20"/>
          <w:szCs w:val="20"/>
        </w:rPr>
        <w:footnoteRef/>
      </w:r>
      <w:r w:rsidRPr="0012736B">
        <w:rPr>
          <w:sz w:val="20"/>
          <w:szCs w:val="20"/>
        </w:rPr>
        <w:t xml:space="preserve"> </w:t>
      </w:r>
      <w:r>
        <w:rPr>
          <w:sz w:val="20"/>
          <w:szCs w:val="20"/>
          <w:vertAlign w:val="baseline"/>
        </w:rPr>
        <w:t>ibid</w:t>
      </w:r>
    </w:p>
  </w:footnote>
  <w:footnote w:id="274">
    <w:p w14:paraId="474AA24C" w14:textId="5B44CD7D" w:rsidR="00431A55" w:rsidRPr="0012736B" w:rsidRDefault="00431A55" w:rsidP="007D11E4">
      <w:pPr>
        <w:pStyle w:val="FootnoteText"/>
        <w:rPr>
          <w:sz w:val="20"/>
          <w:szCs w:val="20"/>
          <w:vertAlign w:val="baseline"/>
        </w:rPr>
      </w:pPr>
      <w:r w:rsidRPr="0012736B">
        <w:rPr>
          <w:rStyle w:val="FootnoteReference"/>
          <w:sz w:val="20"/>
          <w:szCs w:val="20"/>
        </w:rPr>
        <w:footnoteRef/>
      </w:r>
      <w:r w:rsidRPr="0012736B">
        <w:rPr>
          <w:sz w:val="20"/>
          <w:szCs w:val="20"/>
          <w:vertAlign w:val="baseline"/>
        </w:rPr>
        <w:t xml:space="preserve"> </w:t>
      </w:r>
      <w:r>
        <w:rPr>
          <w:sz w:val="20"/>
          <w:szCs w:val="20"/>
          <w:vertAlign w:val="baseline"/>
        </w:rPr>
        <w:t>Kramer (n 221) 131-2</w:t>
      </w:r>
    </w:p>
  </w:footnote>
  <w:footnote w:id="275">
    <w:p w14:paraId="15410B2A" w14:textId="63B66C7B" w:rsidR="00431A55" w:rsidRDefault="00431A55" w:rsidP="007D11E4">
      <w:pPr>
        <w:pStyle w:val="FootnoteText"/>
      </w:pPr>
      <w:r w:rsidRPr="0012736B">
        <w:rPr>
          <w:rStyle w:val="FootnoteReference"/>
          <w:sz w:val="20"/>
          <w:szCs w:val="20"/>
        </w:rPr>
        <w:footnoteRef/>
      </w:r>
      <w:r>
        <w:rPr>
          <w:sz w:val="20"/>
          <w:szCs w:val="20"/>
          <w:vertAlign w:val="baseline"/>
        </w:rPr>
        <w:t xml:space="preserve"> </w:t>
      </w:r>
      <w:r w:rsidRPr="0012736B">
        <w:rPr>
          <w:sz w:val="20"/>
          <w:szCs w:val="20"/>
          <w:vertAlign w:val="baseline"/>
        </w:rPr>
        <w:t xml:space="preserve">Evans-Pritchard, ‘Witchcraft’ </w:t>
      </w:r>
      <w:r>
        <w:rPr>
          <w:sz w:val="20"/>
          <w:szCs w:val="20"/>
          <w:vertAlign w:val="baseline"/>
        </w:rPr>
        <w:t xml:space="preserve">(n 247) </w:t>
      </w:r>
      <w:r w:rsidRPr="0012736B">
        <w:rPr>
          <w:sz w:val="20"/>
          <w:szCs w:val="20"/>
          <w:vertAlign w:val="baseline"/>
        </w:rPr>
        <w:t>418</w:t>
      </w:r>
    </w:p>
  </w:footnote>
  <w:footnote w:id="276">
    <w:p w14:paraId="7B55FDA8" w14:textId="2AAE9B00" w:rsidR="00431A55" w:rsidRPr="00BA1C82" w:rsidRDefault="00431A55" w:rsidP="007D11E4">
      <w:pPr>
        <w:pStyle w:val="FootnoteText"/>
        <w:rPr>
          <w:sz w:val="20"/>
          <w:szCs w:val="20"/>
          <w:vertAlign w:val="baseline"/>
        </w:rPr>
      </w:pPr>
      <w:r w:rsidRPr="00BA1C82">
        <w:rPr>
          <w:rStyle w:val="FootnoteReference"/>
          <w:sz w:val="20"/>
          <w:szCs w:val="20"/>
        </w:rPr>
        <w:footnoteRef/>
      </w:r>
      <w:r>
        <w:rPr>
          <w:sz w:val="20"/>
          <w:szCs w:val="20"/>
          <w:vertAlign w:val="baseline"/>
        </w:rPr>
        <w:t xml:space="preserve"> </w:t>
      </w:r>
      <w:r w:rsidRPr="00BA1C82">
        <w:rPr>
          <w:sz w:val="20"/>
          <w:szCs w:val="20"/>
          <w:vertAlign w:val="baseline"/>
        </w:rPr>
        <w:t>Macfarlane</w:t>
      </w:r>
      <w:r>
        <w:rPr>
          <w:sz w:val="20"/>
          <w:szCs w:val="20"/>
          <w:vertAlign w:val="baseline"/>
        </w:rPr>
        <w:t xml:space="preserve"> (n 249)</w:t>
      </w:r>
    </w:p>
  </w:footnote>
  <w:footnote w:id="277">
    <w:p w14:paraId="2CF10719" w14:textId="007884E8" w:rsidR="00431A55" w:rsidRPr="00BA1C82" w:rsidRDefault="00431A55" w:rsidP="007D11E4">
      <w:pPr>
        <w:pStyle w:val="FootnoteText"/>
        <w:rPr>
          <w:sz w:val="20"/>
          <w:szCs w:val="20"/>
          <w:vertAlign w:val="baseline"/>
        </w:rPr>
      </w:pPr>
      <w:r w:rsidRPr="00BA1C82">
        <w:rPr>
          <w:rStyle w:val="FootnoteReference"/>
          <w:sz w:val="20"/>
          <w:szCs w:val="20"/>
        </w:rPr>
        <w:footnoteRef/>
      </w:r>
      <w:r w:rsidRPr="00BA1C82">
        <w:rPr>
          <w:sz w:val="20"/>
          <w:szCs w:val="20"/>
          <w:vertAlign w:val="baseline"/>
        </w:rPr>
        <w:t xml:space="preserve"> </w:t>
      </w:r>
      <w:r>
        <w:rPr>
          <w:sz w:val="20"/>
          <w:szCs w:val="20"/>
          <w:vertAlign w:val="baseline"/>
        </w:rPr>
        <w:t xml:space="preserve">ibid </w:t>
      </w:r>
      <w:r w:rsidRPr="00BA1C82">
        <w:rPr>
          <w:sz w:val="20"/>
          <w:szCs w:val="20"/>
          <w:vertAlign w:val="baseline"/>
        </w:rPr>
        <w:t>1</w:t>
      </w:r>
      <w:r>
        <w:rPr>
          <w:sz w:val="20"/>
          <w:szCs w:val="20"/>
          <w:vertAlign w:val="baseline"/>
        </w:rPr>
        <w:t>23</w:t>
      </w:r>
    </w:p>
  </w:footnote>
  <w:footnote w:id="278">
    <w:p w14:paraId="35AA27AB" w14:textId="769BEC72" w:rsidR="00431A55" w:rsidRPr="00BA1C82" w:rsidRDefault="00431A55" w:rsidP="007D11E4">
      <w:pPr>
        <w:pStyle w:val="FootnoteText"/>
        <w:rPr>
          <w:sz w:val="20"/>
          <w:szCs w:val="20"/>
          <w:vertAlign w:val="baseline"/>
        </w:rPr>
      </w:pPr>
      <w:r w:rsidRPr="00BA1C82">
        <w:rPr>
          <w:rStyle w:val="FootnoteReference"/>
          <w:sz w:val="20"/>
          <w:szCs w:val="20"/>
        </w:rPr>
        <w:footnoteRef/>
      </w:r>
      <w:r w:rsidRPr="00BA1C82">
        <w:rPr>
          <w:sz w:val="20"/>
          <w:szCs w:val="20"/>
        </w:rPr>
        <w:t xml:space="preserve"> </w:t>
      </w:r>
      <w:r w:rsidRPr="00BA1C82">
        <w:rPr>
          <w:sz w:val="20"/>
          <w:szCs w:val="20"/>
          <w:vertAlign w:val="baseline"/>
        </w:rPr>
        <w:t>Evans-Pritchard</w:t>
      </w:r>
      <w:r>
        <w:rPr>
          <w:sz w:val="20"/>
          <w:szCs w:val="20"/>
          <w:vertAlign w:val="baseline"/>
        </w:rPr>
        <w:t xml:space="preserve"> (n 135) 69</w:t>
      </w:r>
    </w:p>
  </w:footnote>
  <w:footnote w:id="279">
    <w:p w14:paraId="5BC09FF0" w14:textId="1AF02D8C" w:rsidR="00431A55" w:rsidRDefault="00431A55" w:rsidP="007D11E4">
      <w:pPr>
        <w:pStyle w:val="FootnoteText"/>
      </w:pPr>
      <w:r w:rsidRPr="00BA1C82">
        <w:rPr>
          <w:rStyle w:val="FootnoteReference"/>
          <w:sz w:val="20"/>
          <w:szCs w:val="20"/>
        </w:rPr>
        <w:footnoteRef/>
      </w:r>
      <w:r w:rsidRPr="00BA1C82">
        <w:rPr>
          <w:sz w:val="20"/>
          <w:szCs w:val="20"/>
          <w:vertAlign w:val="baseline"/>
        </w:rPr>
        <w:t xml:space="preserve"> </w:t>
      </w:r>
      <w:r>
        <w:rPr>
          <w:sz w:val="20"/>
          <w:szCs w:val="20"/>
          <w:vertAlign w:val="baseline"/>
        </w:rPr>
        <w:t>ibid</w:t>
      </w:r>
    </w:p>
  </w:footnote>
  <w:footnote w:id="280">
    <w:p w14:paraId="07C4ABB5" w14:textId="6524CDD7" w:rsidR="00431A55" w:rsidRPr="00385802" w:rsidRDefault="00431A55" w:rsidP="007D11E4">
      <w:pPr>
        <w:pStyle w:val="FootnoteText"/>
        <w:rPr>
          <w:sz w:val="20"/>
          <w:szCs w:val="20"/>
          <w:vertAlign w:val="baseline"/>
        </w:rPr>
      </w:pPr>
      <w:r w:rsidRPr="00385802">
        <w:rPr>
          <w:rStyle w:val="FootnoteReference"/>
          <w:sz w:val="20"/>
          <w:szCs w:val="20"/>
        </w:rPr>
        <w:footnoteRef/>
      </w:r>
      <w:r w:rsidRPr="00385802">
        <w:rPr>
          <w:sz w:val="20"/>
          <w:szCs w:val="20"/>
        </w:rPr>
        <w:t xml:space="preserve"> </w:t>
      </w:r>
      <w:r w:rsidRPr="00385802">
        <w:rPr>
          <w:sz w:val="20"/>
          <w:szCs w:val="20"/>
          <w:vertAlign w:val="baseline"/>
        </w:rPr>
        <w:t>Macfarlane</w:t>
      </w:r>
      <w:r>
        <w:rPr>
          <w:sz w:val="20"/>
          <w:szCs w:val="20"/>
          <w:vertAlign w:val="baseline"/>
        </w:rPr>
        <w:t xml:space="preserve"> (n 249) 17</w:t>
      </w:r>
    </w:p>
  </w:footnote>
  <w:footnote w:id="281">
    <w:p w14:paraId="4399A6D2" w14:textId="2E1ABE5D" w:rsidR="00431A55" w:rsidRPr="00385802" w:rsidRDefault="00431A55" w:rsidP="007D11E4">
      <w:pPr>
        <w:pStyle w:val="FootnoteText"/>
        <w:rPr>
          <w:sz w:val="20"/>
          <w:szCs w:val="20"/>
          <w:vertAlign w:val="baseline"/>
        </w:rPr>
      </w:pPr>
      <w:r w:rsidRPr="00385802">
        <w:rPr>
          <w:rStyle w:val="FootnoteReference"/>
          <w:sz w:val="20"/>
          <w:szCs w:val="20"/>
        </w:rPr>
        <w:footnoteRef/>
      </w:r>
      <w:r w:rsidRPr="00385802">
        <w:rPr>
          <w:sz w:val="20"/>
          <w:szCs w:val="20"/>
          <w:vertAlign w:val="baseline"/>
        </w:rPr>
        <w:t xml:space="preserve"> </w:t>
      </w:r>
      <w:r>
        <w:rPr>
          <w:sz w:val="20"/>
          <w:szCs w:val="20"/>
          <w:vertAlign w:val="baseline"/>
        </w:rPr>
        <w:t>ibid</w:t>
      </w:r>
    </w:p>
  </w:footnote>
  <w:footnote w:id="282">
    <w:p w14:paraId="78A197CF" w14:textId="51054BBA" w:rsidR="00431A55" w:rsidRPr="00361F5D" w:rsidRDefault="00431A55" w:rsidP="007D11E4">
      <w:pPr>
        <w:pStyle w:val="FootnoteText"/>
      </w:pPr>
      <w:r w:rsidRPr="00385802">
        <w:rPr>
          <w:rStyle w:val="FootnoteReference"/>
          <w:sz w:val="20"/>
          <w:szCs w:val="20"/>
        </w:rPr>
        <w:footnoteRef/>
      </w:r>
      <w:r w:rsidRPr="00385802">
        <w:rPr>
          <w:sz w:val="20"/>
          <w:szCs w:val="20"/>
        </w:rPr>
        <w:t xml:space="preserve"> </w:t>
      </w:r>
      <w:r w:rsidRPr="00385802">
        <w:rPr>
          <w:sz w:val="20"/>
          <w:szCs w:val="20"/>
          <w:vertAlign w:val="baseline"/>
        </w:rPr>
        <w:t>Macfarlane</w:t>
      </w:r>
      <w:r>
        <w:rPr>
          <w:sz w:val="20"/>
          <w:szCs w:val="20"/>
          <w:vertAlign w:val="baseline"/>
        </w:rPr>
        <w:t xml:space="preserve"> (n 249); </w:t>
      </w:r>
      <w:r w:rsidRPr="00385802">
        <w:rPr>
          <w:sz w:val="20"/>
          <w:szCs w:val="20"/>
          <w:vertAlign w:val="baseline"/>
        </w:rPr>
        <w:t>Evans-Pritchard</w:t>
      </w:r>
      <w:r>
        <w:rPr>
          <w:sz w:val="20"/>
          <w:szCs w:val="20"/>
          <w:vertAlign w:val="baseline"/>
        </w:rPr>
        <w:t xml:space="preserve"> (n 135)</w:t>
      </w:r>
      <w:r w:rsidRPr="00385802">
        <w:rPr>
          <w:sz w:val="20"/>
          <w:szCs w:val="20"/>
          <w:vertAlign w:val="baseline"/>
        </w:rPr>
        <w:t xml:space="preserve">; Gerrie Ter Haar, </w:t>
      </w:r>
      <w:r w:rsidRPr="00385802">
        <w:rPr>
          <w:i/>
          <w:sz w:val="20"/>
          <w:szCs w:val="20"/>
          <w:vertAlign w:val="baseline"/>
        </w:rPr>
        <w:t xml:space="preserve">Imagining Evil: Witchcraft Beliefs and Accusations in Contemporary Africa </w:t>
      </w:r>
      <w:r>
        <w:rPr>
          <w:sz w:val="20"/>
          <w:szCs w:val="20"/>
          <w:vertAlign w:val="baseline"/>
        </w:rPr>
        <w:t xml:space="preserve">(Africa 2007); </w:t>
      </w:r>
      <w:r w:rsidRPr="00385802">
        <w:rPr>
          <w:sz w:val="20"/>
          <w:szCs w:val="20"/>
          <w:vertAlign w:val="baseline"/>
        </w:rPr>
        <w:t>Patterson</w:t>
      </w:r>
      <w:r>
        <w:rPr>
          <w:sz w:val="20"/>
          <w:szCs w:val="20"/>
          <w:vertAlign w:val="baseline"/>
        </w:rPr>
        <w:t xml:space="preserve"> (n 249); </w:t>
      </w:r>
      <w:r w:rsidRPr="00385802">
        <w:rPr>
          <w:sz w:val="20"/>
          <w:szCs w:val="20"/>
          <w:vertAlign w:val="baseline"/>
        </w:rPr>
        <w:t>Meyer</w:t>
      </w:r>
      <w:r>
        <w:rPr>
          <w:sz w:val="20"/>
          <w:szCs w:val="20"/>
          <w:vertAlign w:val="baseline"/>
        </w:rPr>
        <w:t xml:space="preserve"> (n 93); </w:t>
      </w:r>
      <w:r w:rsidRPr="00385802">
        <w:rPr>
          <w:sz w:val="20"/>
          <w:szCs w:val="20"/>
          <w:vertAlign w:val="baseline"/>
        </w:rPr>
        <w:t>Favret-Saad</w:t>
      </w:r>
      <w:r>
        <w:rPr>
          <w:sz w:val="20"/>
          <w:szCs w:val="20"/>
          <w:vertAlign w:val="baseline"/>
        </w:rPr>
        <w:t>a (n 94)</w:t>
      </w:r>
      <w:r w:rsidRPr="00385802">
        <w:rPr>
          <w:iCs/>
          <w:sz w:val="20"/>
          <w:szCs w:val="20"/>
          <w:vertAlign w:val="baseline"/>
        </w:rPr>
        <w:t xml:space="preserve">; C.W.Watson and Roy Ellen </w:t>
      </w:r>
      <w:r w:rsidRPr="00385802">
        <w:rPr>
          <w:i/>
          <w:iCs/>
          <w:sz w:val="20"/>
          <w:szCs w:val="20"/>
          <w:vertAlign w:val="baseline"/>
        </w:rPr>
        <w:t>Understanding Witchcraft and Sorcery in Southeast Asia</w:t>
      </w:r>
      <w:r w:rsidRPr="00385802">
        <w:rPr>
          <w:iCs/>
          <w:sz w:val="20"/>
          <w:szCs w:val="20"/>
          <w:vertAlign w:val="baseline"/>
        </w:rPr>
        <w:t xml:space="preserve"> (Hawaii 1993)</w:t>
      </w:r>
    </w:p>
  </w:footnote>
  <w:footnote w:id="283">
    <w:p w14:paraId="6A49D203" w14:textId="31FEBE93" w:rsidR="00431A55" w:rsidRPr="00134136" w:rsidRDefault="00431A55" w:rsidP="007D11E4">
      <w:pPr>
        <w:pStyle w:val="FootnoteText"/>
        <w:rPr>
          <w:sz w:val="20"/>
          <w:szCs w:val="20"/>
          <w:vertAlign w:val="baseline"/>
        </w:rPr>
      </w:pPr>
      <w:r w:rsidRPr="00134136">
        <w:rPr>
          <w:rStyle w:val="FootnoteReference"/>
          <w:sz w:val="20"/>
          <w:szCs w:val="20"/>
        </w:rPr>
        <w:footnoteRef/>
      </w:r>
      <w:r w:rsidRPr="00134136">
        <w:rPr>
          <w:sz w:val="20"/>
          <w:szCs w:val="20"/>
        </w:rPr>
        <w:t xml:space="preserve"> </w:t>
      </w:r>
      <w:r w:rsidRPr="00134136">
        <w:rPr>
          <w:sz w:val="20"/>
          <w:szCs w:val="20"/>
          <w:vertAlign w:val="baseline"/>
        </w:rPr>
        <w:t xml:space="preserve">Abraham Akrong, ‘A phenomenology of witchcraft in Ghana’ in Gerrie Ter Haar, </w:t>
      </w:r>
      <w:r w:rsidRPr="00134136">
        <w:rPr>
          <w:i/>
          <w:sz w:val="20"/>
          <w:szCs w:val="20"/>
          <w:vertAlign w:val="baseline"/>
        </w:rPr>
        <w:t xml:space="preserve">Imagining Evil: Witchcraft Beliefs and Accusations in Contemporary Africa </w:t>
      </w:r>
      <w:r>
        <w:rPr>
          <w:sz w:val="20"/>
          <w:szCs w:val="20"/>
          <w:vertAlign w:val="baseline"/>
        </w:rPr>
        <w:t>(Africa 2007) 57</w:t>
      </w:r>
    </w:p>
  </w:footnote>
  <w:footnote w:id="284">
    <w:p w14:paraId="2D0AB9FF" w14:textId="371B2219" w:rsidR="00431A55" w:rsidRPr="00134136" w:rsidRDefault="00431A55" w:rsidP="007D11E4">
      <w:pPr>
        <w:pStyle w:val="FootnoteText"/>
        <w:rPr>
          <w:sz w:val="20"/>
          <w:szCs w:val="20"/>
          <w:vertAlign w:val="baseline"/>
        </w:rPr>
      </w:pPr>
      <w:r w:rsidRPr="00134136">
        <w:rPr>
          <w:rStyle w:val="FootnoteReference"/>
          <w:sz w:val="20"/>
          <w:szCs w:val="20"/>
        </w:rPr>
        <w:footnoteRef/>
      </w:r>
      <w:r w:rsidRPr="00134136">
        <w:rPr>
          <w:sz w:val="20"/>
          <w:szCs w:val="20"/>
        </w:rPr>
        <w:t xml:space="preserve"> </w:t>
      </w:r>
      <w:r>
        <w:rPr>
          <w:sz w:val="20"/>
          <w:szCs w:val="20"/>
          <w:vertAlign w:val="baseline"/>
        </w:rPr>
        <w:t>ibid</w:t>
      </w:r>
    </w:p>
  </w:footnote>
  <w:footnote w:id="285">
    <w:p w14:paraId="0F8E3D9D" w14:textId="0D5805A4" w:rsidR="00431A55" w:rsidRPr="00134136" w:rsidRDefault="00431A55" w:rsidP="007D11E4">
      <w:pPr>
        <w:pStyle w:val="FootnoteText"/>
        <w:rPr>
          <w:sz w:val="20"/>
          <w:szCs w:val="20"/>
          <w:vertAlign w:val="baseline"/>
        </w:rPr>
      </w:pPr>
      <w:r w:rsidRPr="00134136">
        <w:rPr>
          <w:rStyle w:val="FootnoteReference"/>
          <w:sz w:val="20"/>
          <w:szCs w:val="20"/>
        </w:rPr>
        <w:footnoteRef/>
      </w:r>
      <w:r w:rsidRPr="00134136">
        <w:rPr>
          <w:sz w:val="20"/>
          <w:szCs w:val="20"/>
        </w:rPr>
        <w:t xml:space="preserve"> </w:t>
      </w:r>
      <w:r w:rsidRPr="00134136">
        <w:rPr>
          <w:sz w:val="20"/>
          <w:szCs w:val="20"/>
          <w:vertAlign w:val="baseline"/>
        </w:rPr>
        <w:t xml:space="preserve">Gerrie Ter Haar, </w:t>
      </w:r>
      <w:r w:rsidRPr="00134136">
        <w:rPr>
          <w:i/>
          <w:sz w:val="20"/>
          <w:szCs w:val="20"/>
          <w:vertAlign w:val="baseline"/>
        </w:rPr>
        <w:t xml:space="preserve">Imagining Evil: Witchcraft Beliefs and Accusations in Contemporary Africa </w:t>
      </w:r>
      <w:r>
        <w:rPr>
          <w:sz w:val="20"/>
          <w:szCs w:val="20"/>
          <w:vertAlign w:val="baseline"/>
        </w:rPr>
        <w:t>(Africa 2007) 21</w:t>
      </w:r>
    </w:p>
  </w:footnote>
  <w:footnote w:id="286">
    <w:p w14:paraId="5EDE5892" w14:textId="0B4CEB11" w:rsidR="00431A55" w:rsidRPr="00134136" w:rsidRDefault="00431A55" w:rsidP="007D11E4">
      <w:pPr>
        <w:pStyle w:val="FootnoteText"/>
        <w:rPr>
          <w:sz w:val="20"/>
          <w:szCs w:val="20"/>
          <w:vertAlign w:val="baseline"/>
        </w:rPr>
      </w:pPr>
      <w:r w:rsidRPr="00134136">
        <w:rPr>
          <w:rStyle w:val="FootnoteReference"/>
          <w:sz w:val="20"/>
          <w:szCs w:val="20"/>
        </w:rPr>
        <w:footnoteRef/>
      </w:r>
      <w:r w:rsidRPr="00134136">
        <w:rPr>
          <w:sz w:val="20"/>
          <w:szCs w:val="20"/>
          <w:vertAlign w:val="baseline"/>
        </w:rPr>
        <w:t xml:space="preserve"> </w:t>
      </w:r>
      <w:r>
        <w:rPr>
          <w:sz w:val="20"/>
          <w:szCs w:val="20"/>
          <w:vertAlign w:val="baseline"/>
        </w:rPr>
        <w:t>ibid</w:t>
      </w:r>
    </w:p>
  </w:footnote>
  <w:footnote w:id="287">
    <w:p w14:paraId="12F8BD25" w14:textId="4F47FEF5" w:rsidR="00431A55" w:rsidRPr="00134136" w:rsidRDefault="00431A55" w:rsidP="007D11E4">
      <w:pPr>
        <w:pStyle w:val="FootnoteText"/>
        <w:rPr>
          <w:sz w:val="20"/>
          <w:szCs w:val="20"/>
          <w:vertAlign w:val="baseline"/>
        </w:rPr>
      </w:pPr>
      <w:r w:rsidRPr="00134136">
        <w:rPr>
          <w:rStyle w:val="FootnoteReference"/>
          <w:sz w:val="20"/>
          <w:szCs w:val="20"/>
        </w:rPr>
        <w:footnoteRef/>
      </w:r>
      <w:r w:rsidRPr="00134136">
        <w:rPr>
          <w:sz w:val="20"/>
          <w:szCs w:val="20"/>
          <w:vertAlign w:val="baseline"/>
        </w:rPr>
        <w:t xml:space="preserve"> Riekje Pelgrim, ‘Witchcraft and policing: South Africa Police Service attitudes towards witchcraft and witchcraft-related crime in the Northern Province’ (2003) 72 </w:t>
      </w:r>
      <w:r w:rsidRPr="00134136">
        <w:rPr>
          <w:i/>
          <w:sz w:val="20"/>
          <w:szCs w:val="20"/>
          <w:vertAlign w:val="baseline"/>
        </w:rPr>
        <w:t>African Studies Centre Research Report</w:t>
      </w:r>
      <w:r>
        <w:rPr>
          <w:sz w:val="20"/>
          <w:szCs w:val="20"/>
          <w:vertAlign w:val="baseline"/>
        </w:rPr>
        <w:t xml:space="preserve"> 48</w:t>
      </w:r>
    </w:p>
  </w:footnote>
  <w:footnote w:id="288">
    <w:p w14:paraId="6B7D01B1" w14:textId="180CD20D" w:rsidR="00431A55" w:rsidRDefault="00431A55" w:rsidP="007D11E4">
      <w:pPr>
        <w:pStyle w:val="FootnoteText"/>
      </w:pPr>
      <w:r w:rsidRPr="00134136">
        <w:rPr>
          <w:rStyle w:val="FootnoteReference"/>
          <w:sz w:val="20"/>
          <w:szCs w:val="20"/>
        </w:rPr>
        <w:footnoteRef/>
      </w:r>
      <w:r w:rsidRPr="00134136">
        <w:rPr>
          <w:sz w:val="20"/>
          <w:szCs w:val="20"/>
        </w:rPr>
        <w:t xml:space="preserve"> </w:t>
      </w:r>
      <w:r w:rsidRPr="00134136">
        <w:rPr>
          <w:sz w:val="20"/>
          <w:szCs w:val="20"/>
          <w:vertAlign w:val="baseline"/>
        </w:rPr>
        <w:t xml:space="preserve">Thias Kgatla, ‘Witch-hunts in modern Africa and early modern Europe (1450-1750): a comparison’ (2012) 38(2) </w:t>
      </w:r>
      <w:r w:rsidRPr="00134136">
        <w:rPr>
          <w:i/>
          <w:sz w:val="20"/>
          <w:szCs w:val="20"/>
          <w:vertAlign w:val="baseline"/>
        </w:rPr>
        <w:t>Studia Historiae Ecclesiasticae</w:t>
      </w:r>
      <w:r w:rsidRPr="00134136">
        <w:rPr>
          <w:sz w:val="20"/>
          <w:szCs w:val="20"/>
          <w:vertAlign w:val="baseline"/>
        </w:rPr>
        <w:t xml:space="preserve"> 4</w:t>
      </w:r>
    </w:p>
  </w:footnote>
  <w:footnote w:id="289">
    <w:p w14:paraId="2846E567" w14:textId="199B05DC" w:rsidR="00431A55" w:rsidRPr="00771207" w:rsidRDefault="00431A55" w:rsidP="00D5101B">
      <w:pPr>
        <w:pStyle w:val="NoSpacing"/>
        <w:rPr>
          <w:vertAlign w:val="baseline"/>
        </w:rPr>
      </w:pPr>
      <w:r w:rsidRPr="00A02EA7">
        <w:rPr>
          <w:rStyle w:val="FootnoteReference"/>
        </w:rPr>
        <w:footnoteRef/>
      </w:r>
      <w:r w:rsidRPr="00A02EA7">
        <w:t xml:space="preserve"> </w:t>
      </w:r>
      <w:r>
        <w:t xml:space="preserve"> </w:t>
      </w:r>
      <w:r>
        <w:rPr>
          <w:vertAlign w:val="baseline"/>
        </w:rPr>
        <w:t xml:space="preserve">Kayleigh Lewis, ‘Gang burns seven people to death over witchcraft claims in Malawi’ </w:t>
      </w:r>
      <w:r>
        <w:rPr>
          <w:i/>
          <w:vertAlign w:val="baseline"/>
        </w:rPr>
        <w:t xml:space="preserve">The Independent </w:t>
      </w:r>
      <w:r>
        <w:rPr>
          <w:vertAlign w:val="baseline"/>
        </w:rPr>
        <w:t>(Africa, 2 March 2016)</w:t>
      </w:r>
      <w:r w:rsidRPr="00A02EA7">
        <w:t xml:space="preserve"> </w:t>
      </w:r>
      <w:r>
        <w:rPr>
          <w:vertAlign w:val="baseline"/>
        </w:rPr>
        <w:t>&lt;</w:t>
      </w:r>
      <w:r w:rsidRPr="00A02EA7">
        <w:rPr>
          <w:vertAlign w:val="baseline"/>
        </w:rPr>
        <w:t>http://www.independent.co.uk/news/world/africa/gang-burns-seven-people-death-witchcraft-human-bones-albino-malawi-a6907296.html</w:t>
      </w:r>
      <w:r>
        <w:rPr>
          <w:vertAlign w:val="baseline"/>
        </w:rPr>
        <w:t xml:space="preserve">&gt; accessed 29 April 2016; ‘Three burnt to death by Indian mob over human sacrifice rumours’ </w:t>
      </w:r>
      <w:r>
        <w:rPr>
          <w:i/>
          <w:vertAlign w:val="baseline"/>
        </w:rPr>
        <w:t xml:space="preserve">The National World </w:t>
      </w:r>
      <w:r>
        <w:rPr>
          <w:vertAlign w:val="baseline"/>
        </w:rPr>
        <w:t>(South Asia, 19 April 2016) &lt;</w:t>
      </w:r>
      <w:hyperlink r:id="rId34" w:history="1">
        <w:r w:rsidRPr="002674F8">
          <w:rPr>
            <w:rStyle w:val="Hyperlink"/>
            <w:vertAlign w:val="baseline"/>
          </w:rPr>
          <w:t>http://www.thenational.ae/world/south-asia/three-burnt-to-death-by-indian-mob-over-human-sacrifice-rumours</w:t>
        </w:r>
      </w:hyperlink>
      <w:r>
        <w:rPr>
          <w:vertAlign w:val="baseline"/>
        </w:rPr>
        <w:t>&gt; accessed 29 April 2016</w:t>
      </w:r>
    </w:p>
  </w:footnote>
  <w:footnote w:id="290">
    <w:p w14:paraId="35B6C78E" w14:textId="558AC084" w:rsidR="00431A55" w:rsidRPr="00D3159E" w:rsidRDefault="00431A55" w:rsidP="007D11E4">
      <w:pPr>
        <w:pStyle w:val="FootnoteText"/>
        <w:rPr>
          <w:sz w:val="20"/>
          <w:szCs w:val="20"/>
          <w:vertAlign w:val="baseline"/>
        </w:rPr>
      </w:pPr>
      <w:r w:rsidRPr="00D3159E">
        <w:rPr>
          <w:rStyle w:val="FootnoteReference"/>
          <w:sz w:val="20"/>
          <w:szCs w:val="20"/>
        </w:rPr>
        <w:footnoteRef/>
      </w:r>
      <w:r w:rsidRPr="00D3159E">
        <w:rPr>
          <w:sz w:val="20"/>
          <w:szCs w:val="20"/>
        </w:rPr>
        <w:t xml:space="preserve"> </w:t>
      </w:r>
      <w:r w:rsidRPr="00D3159E">
        <w:rPr>
          <w:sz w:val="20"/>
          <w:szCs w:val="20"/>
          <w:vertAlign w:val="baseline"/>
        </w:rPr>
        <w:t>Louise Jackson, ‘Witches, Wives and Mothers: witchcraft persecution and women’s confessions in seventeenth-century England’ (19</w:t>
      </w:r>
      <w:r>
        <w:rPr>
          <w:sz w:val="20"/>
          <w:szCs w:val="20"/>
          <w:vertAlign w:val="baseline"/>
        </w:rPr>
        <w:t>95) 4 (1) Women’s History Rev</w:t>
      </w:r>
      <w:r w:rsidRPr="00D3159E">
        <w:rPr>
          <w:sz w:val="20"/>
          <w:szCs w:val="20"/>
          <w:vertAlign w:val="baseline"/>
        </w:rPr>
        <w:t xml:space="preserve"> 63-84; Joshi SK, ‘Violence against women in Nepal: Role of health care workers’ (2009) 89 Kathmandu University Medic</w:t>
      </w:r>
      <w:r>
        <w:rPr>
          <w:sz w:val="20"/>
          <w:szCs w:val="20"/>
          <w:vertAlign w:val="baseline"/>
        </w:rPr>
        <w:t>al Journal 7(2) Issue 26, 89-90</w:t>
      </w:r>
    </w:p>
  </w:footnote>
  <w:footnote w:id="291">
    <w:p w14:paraId="25DC3D6A" w14:textId="3A251B9C" w:rsidR="00431A55" w:rsidRPr="00E17A75" w:rsidRDefault="00431A55">
      <w:pPr>
        <w:pStyle w:val="FootnoteText"/>
        <w:rPr>
          <w:sz w:val="20"/>
          <w:szCs w:val="20"/>
          <w:vertAlign w:val="baseline"/>
          <w:lang w:val="en-US"/>
        </w:rPr>
      </w:pPr>
      <w:r w:rsidRPr="00BD7C3B">
        <w:rPr>
          <w:rStyle w:val="FootnoteReference"/>
          <w:sz w:val="20"/>
          <w:szCs w:val="20"/>
        </w:rPr>
        <w:footnoteRef/>
      </w:r>
      <w:r w:rsidRPr="00BD7C3B">
        <w:rPr>
          <w:sz w:val="20"/>
          <w:szCs w:val="20"/>
        </w:rPr>
        <w:t xml:space="preserve"> </w:t>
      </w:r>
      <w:r>
        <w:rPr>
          <w:sz w:val="20"/>
          <w:szCs w:val="20"/>
          <w:vertAlign w:val="baseline"/>
        </w:rPr>
        <w:t xml:space="preserve"> Nick Fagge, ‘They accused me of killing and eating my grandmother’: Agony of the Congo’s 50,000 “child witches” who are brutally exorcised to “beat the devil out of them” </w:t>
      </w:r>
      <w:r>
        <w:rPr>
          <w:i/>
          <w:sz w:val="20"/>
          <w:szCs w:val="20"/>
          <w:vertAlign w:val="baseline"/>
        </w:rPr>
        <w:t xml:space="preserve">Daily Mail Online </w:t>
      </w:r>
      <w:r>
        <w:rPr>
          <w:sz w:val="20"/>
          <w:szCs w:val="20"/>
          <w:vertAlign w:val="baseline"/>
        </w:rPr>
        <w:t>(Democratic Republic of Congo, 19 October 2015) &lt;</w:t>
      </w:r>
      <w:hyperlink r:id="rId35" w:history="1">
        <w:r w:rsidRPr="002674F8">
          <w:rPr>
            <w:rStyle w:val="Hyperlink"/>
            <w:sz w:val="20"/>
            <w:szCs w:val="20"/>
            <w:vertAlign w:val="baseline"/>
          </w:rPr>
          <w:t>http://www.dailymail.co.uk/news/article-3276057/My-grandmother-died-said-witch-drink-salt-water-stuck-fingers-throat-pieces-said-d-eaten-Congo-s-child-witches-exorcised-devil-beaten-them.html</w:t>
        </w:r>
      </w:hyperlink>
      <w:r>
        <w:rPr>
          <w:sz w:val="20"/>
          <w:szCs w:val="20"/>
          <w:vertAlign w:val="baseline"/>
        </w:rPr>
        <w:t>&gt; accessed 29 April 2016</w:t>
      </w:r>
    </w:p>
  </w:footnote>
  <w:footnote w:id="292">
    <w:p w14:paraId="630B535F" w14:textId="2B9A2001" w:rsidR="00431A55" w:rsidRPr="00EC775D" w:rsidRDefault="00431A55">
      <w:pPr>
        <w:pStyle w:val="FootnoteText"/>
        <w:rPr>
          <w:lang w:val="en-US"/>
        </w:rPr>
      </w:pPr>
      <w:r w:rsidRPr="00EC775D">
        <w:rPr>
          <w:rStyle w:val="FootnoteReference"/>
          <w:sz w:val="20"/>
          <w:szCs w:val="20"/>
        </w:rPr>
        <w:footnoteRef/>
      </w:r>
      <w:r w:rsidRPr="00EC775D">
        <w:rPr>
          <w:sz w:val="20"/>
          <w:szCs w:val="20"/>
        </w:rPr>
        <w:t xml:space="preserve"> </w:t>
      </w:r>
      <w:r w:rsidRPr="00D3159E">
        <w:rPr>
          <w:sz w:val="20"/>
          <w:szCs w:val="20"/>
          <w:vertAlign w:val="baseline"/>
        </w:rPr>
        <w:t>United Nations International Children's Emergency Fund &lt;</w:t>
      </w:r>
      <w:hyperlink r:id="rId36" w:history="1">
        <w:r w:rsidRPr="00D3159E">
          <w:rPr>
            <w:rStyle w:val="Hyperlink"/>
            <w:sz w:val="20"/>
            <w:szCs w:val="20"/>
            <w:vertAlign w:val="baseline"/>
          </w:rPr>
          <w:t>http://www.unicef.org.uk</w:t>
        </w:r>
      </w:hyperlink>
      <w:r w:rsidRPr="00D3159E">
        <w:rPr>
          <w:sz w:val="20"/>
          <w:szCs w:val="20"/>
          <w:vertAlign w:val="baseline"/>
        </w:rPr>
        <w:t>&gt; accessed 17 April 2014.</w:t>
      </w:r>
    </w:p>
  </w:footnote>
  <w:footnote w:id="293">
    <w:p w14:paraId="6BFF3113" w14:textId="0A485DB9" w:rsidR="00431A55" w:rsidRPr="008F1D23" w:rsidRDefault="00431A55" w:rsidP="00EC775D">
      <w:pPr>
        <w:pStyle w:val="FootnoteText"/>
      </w:pPr>
      <w:r w:rsidRPr="00D3159E">
        <w:rPr>
          <w:rStyle w:val="FootnoteReference"/>
          <w:sz w:val="20"/>
          <w:szCs w:val="20"/>
        </w:rPr>
        <w:footnoteRef/>
      </w:r>
      <w:r w:rsidRPr="00D3159E">
        <w:rPr>
          <w:sz w:val="20"/>
          <w:szCs w:val="20"/>
        </w:rPr>
        <w:t xml:space="preserve"> </w:t>
      </w:r>
      <w:r w:rsidRPr="00D3159E">
        <w:rPr>
          <w:sz w:val="20"/>
          <w:szCs w:val="20"/>
          <w:vertAlign w:val="baseline"/>
        </w:rPr>
        <w:t xml:space="preserve">Aleksandra Cimpric, ‘Children Accused of Witchcraft: An anthropological study of contemporary practices in Africa’ (April 2010) </w:t>
      </w:r>
      <w:r w:rsidRPr="00D3159E">
        <w:rPr>
          <w:i/>
          <w:sz w:val="20"/>
          <w:szCs w:val="20"/>
          <w:vertAlign w:val="baseline"/>
        </w:rPr>
        <w:t>UNICEF</w:t>
      </w:r>
      <w:r w:rsidRPr="00D3159E">
        <w:rPr>
          <w:sz w:val="20"/>
          <w:szCs w:val="20"/>
          <w:vertAlign w:val="baseline"/>
        </w:rPr>
        <w:t xml:space="preserve"> 2</w:t>
      </w:r>
    </w:p>
  </w:footnote>
  <w:footnote w:id="294">
    <w:p w14:paraId="622B6D44" w14:textId="2542AF35" w:rsidR="00431A55" w:rsidRPr="00A721F5" w:rsidRDefault="00431A55" w:rsidP="007D11E4">
      <w:pPr>
        <w:pStyle w:val="FootnoteText"/>
        <w:rPr>
          <w:sz w:val="20"/>
          <w:szCs w:val="20"/>
          <w:vertAlign w:val="baseline"/>
        </w:rPr>
      </w:pPr>
      <w:r w:rsidRPr="00A721F5">
        <w:rPr>
          <w:rStyle w:val="FootnoteReference"/>
          <w:sz w:val="20"/>
          <w:szCs w:val="20"/>
        </w:rPr>
        <w:footnoteRef/>
      </w:r>
      <w:r w:rsidRPr="00A721F5">
        <w:rPr>
          <w:sz w:val="20"/>
          <w:szCs w:val="20"/>
        </w:rPr>
        <w:t xml:space="preserve"> </w:t>
      </w:r>
      <w:r>
        <w:rPr>
          <w:sz w:val="20"/>
          <w:szCs w:val="20"/>
          <w:vertAlign w:val="baseline"/>
        </w:rPr>
        <w:t>ibid</w:t>
      </w:r>
    </w:p>
  </w:footnote>
  <w:footnote w:id="295">
    <w:p w14:paraId="370BC5C9" w14:textId="5AA61443" w:rsidR="00431A55" w:rsidRPr="001652AB" w:rsidRDefault="00431A55" w:rsidP="007D11E4">
      <w:pPr>
        <w:pStyle w:val="FootnoteText"/>
        <w:rPr>
          <w:sz w:val="20"/>
          <w:szCs w:val="20"/>
          <w:vertAlign w:val="baseline"/>
        </w:rPr>
      </w:pPr>
      <w:r w:rsidRPr="001652AB">
        <w:rPr>
          <w:rStyle w:val="FootnoteReference"/>
          <w:sz w:val="20"/>
          <w:szCs w:val="20"/>
        </w:rPr>
        <w:footnoteRef/>
      </w:r>
      <w:r w:rsidRPr="001652AB">
        <w:rPr>
          <w:sz w:val="20"/>
          <w:szCs w:val="20"/>
        </w:rPr>
        <w:t xml:space="preserve"> </w:t>
      </w:r>
      <w:r w:rsidRPr="001652AB">
        <w:rPr>
          <w:sz w:val="20"/>
          <w:szCs w:val="20"/>
          <w:vertAlign w:val="baseline"/>
        </w:rPr>
        <w:t>NHS Choices, ‘Albinism’ (NHS, 6 November 2012) &lt;</w:t>
      </w:r>
      <w:hyperlink r:id="rId37" w:history="1">
        <w:r w:rsidRPr="001652AB">
          <w:rPr>
            <w:rStyle w:val="Hyperlink"/>
            <w:sz w:val="20"/>
            <w:szCs w:val="20"/>
            <w:vertAlign w:val="baseline"/>
          </w:rPr>
          <w:t>http://www.nhs.uk/conditions/albinism/Pages/introduction.aspx</w:t>
        </w:r>
      </w:hyperlink>
      <w:r>
        <w:rPr>
          <w:sz w:val="20"/>
          <w:szCs w:val="20"/>
          <w:vertAlign w:val="baseline"/>
        </w:rPr>
        <w:t>&gt; accessed 17 April 2014</w:t>
      </w:r>
    </w:p>
  </w:footnote>
  <w:footnote w:id="296">
    <w:p w14:paraId="59AF8211" w14:textId="11209373" w:rsidR="00431A55" w:rsidRPr="001652AB" w:rsidRDefault="00431A55" w:rsidP="007D11E4">
      <w:pPr>
        <w:pStyle w:val="FootnoteText"/>
        <w:rPr>
          <w:sz w:val="20"/>
          <w:szCs w:val="20"/>
          <w:vertAlign w:val="baseline"/>
        </w:rPr>
      </w:pPr>
      <w:r w:rsidRPr="001652AB">
        <w:rPr>
          <w:rStyle w:val="FootnoteReference"/>
          <w:sz w:val="20"/>
          <w:szCs w:val="20"/>
        </w:rPr>
        <w:footnoteRef/>
      </w:r>
      <w:r w:rsidRPr="001652AB">
        <w:rPr>
          <w:sz w:val="20"/>
          <w:szCs w:val="20"/>
        </w:rPr>
        <w:t xml:space="preserve"> </w:t>
      </w:r>
      <w:r w:rsidRPr="001652AB">
        <w:rPr>
          <w:sz w:val="20"/>
          <w:szCs w:val="20"/>
          <w:vertAlign w:val="baseline"/>
        </w:rPr>
        <w:t>Under the Same Sun &lt;</w:t>
      </w:r>
      <w:hyperlink r:id="rId38" w:history="1">
        <w:r w:rsidRPr="001652AB">
          <w:rPr>
            <w:rStyle w:val="Hyperlink"/>
            <w:sz w:val="20"/>
            <w:szCs w:val="20"/>
            <w:vertAlign w:val="baseline"/>
          </w:rPr>
          <w:t>http://www.underthesamesun.com/</w:t>
        </w:r>
      </w:hyperlink>
      <w:r>
        <w:rPr>
          <w:sz w:val="20"/>
          <w:szCs w:val="20"/>
          <w:vertAlign w:val="baseline"/>
        </w:rPr>
        <w:t>&gt; accessed 17 April 2014</w:t>
      </w:r>
    </w:p>
  </w:footnote>
  <w:footnote w:id="297">
    <w:p w14:paraId="02A3C34C" w14:textId="7DF24856" w:rsidR="00431A55" w:rsidRPr="00771207" w:rsidRDefault="00431A55">
      <w:pPr>
        <w:pStyle w:val="FootnoteText"/>
        <w:rPr>
          <w:sz w:val="20"/>
          <w:szCs w:val="20"/>
          <w:vertAlign w:val="baseline"/>
          <w:lang w:val="en-US"/>
        </w:rPr>
      </w:pPr>
      <w:r w:rsidRPr="00771207">
        <w:rPr>
          <w:rStyle w:val="FootnoteReference"/>
          <w:sz w:val="20"/>
          <w:szCs w:val="20"/>
        </w:rPr>
        <w:footnoteRef/>
      </w:r>
      <w:r w:rsidRPr="00771207">
        <w:rPr>
          <w:sz w:val="20"/>
          <w:szCs w:val="20"/>
        </w:rPr>
        <w:t xml:space="preserve"> </w:t>
      </w:r>
      <w:r>
        <w:rPr>
          <w:sz w:val="20"/>
          <w:szCs w:val="20"/>
          <w:vertAlign w:val="baseline"/>
        </w:rPr>
        <w:t>Again it must be noted here that due to the classification of people with albinism as a ‘vulnerable group’ accusations of witchcraft against them are not gendered</w:t>
      </w:r>
    </w:p>
  </w:footnote>
  <w:footnote w:id="298">
    <w:p w14:paraId="3D1D9C0B" w14:textId="0845264B" w:rsidR="00431A55" w:rsidRPr="001652AB" w:rsidRDefault="00431A55" w:rsidP="007D11E4">
      <w:pPr>
        <w:pStyle w:val="FootnoteText"/>
        <w:rPr>
          <w:sz w:val="20"/>
          <w:szCs w:val="20"/>
          <w:vertAlign w:val="baseline"/>
        </w:rPr>
      </w:pPr>
      <w:r w:rsidRPr="001652AB">
        <w:rPr>
          <w:rStyle w:val="FootnoteReference"/>
          <w:sz w:val="20"/>
          <w:szCs w:val="20"/>
        </w:rPr>
        <w:footnoteRef/>
      </w:r>
      <w:r w:rsidRPr="001652AB">
        <w:rPr>
          <w:sz w:val="20"/>
          <w:szCs w:val="20"/>
        </w:rPr>
        <w:t xml:space="preserve"> </w:t>
      </w:r>
      <w:r w:rsidRPr="001652AB">
        <w:rPr>
          <w:sz w:val="20"/>
          <w:szCs w:val="20"/>
          <w:vertAlign w:val="baseline"/>
        </w:rPr>
        <w:t xml:space="preserve">Joseph Tonda, </w:t>
      </w:r>
      <w:r w:rsidRPr="001652AB">
        <w:rPr>
          <w:i/>
          <w:sz w:val="20"/>
          <w:szCs w:val="20"/>
          <w:vertAlign w:val="baseline"/>
        </w:rPr>
        <w:t>Le Souverain modern: Le corps du pouvior en Afrique Centrale</w:t>
      </w:r>
      <w:r w:rsidRPr="001652AB">
        <w:rPr>
          <w:sz w:val="20"/>
          <w:szCs w:val="20"/>
          <w:vertAlign w:val="baseline"/>
        </w:rPr>
        <w:t xml:space="preserve"> (</w:t>
      </w:r>
      <w:r w:rsidRPr="001652AB">
        <w:rPr>
          <w:i/>
          <w:sz w:val="20"/>
          <w:szCs w:val="20"/>
          <w:vertAlign w:val="baseline"/>
        </w:rPr>
        <w:t>Modern Sovereign. The body of power in Central Africa)</w:t>
      </w:r>
      <w:r w:rsidRPr="001652AB">
        <w:rPr>
          <w:sz w:val="20"/>
          <w:szCs w:val="20"/>
          <w:vertAlign w:val="baseline"/>
        </w:rPr>
        <w:t xml:space="preserve"> </w:t>
      </w:r>
      <w:r w:rsidRPr="001652AB">
        <w:rPr>
          <w:i/>
          <w:sz w:val="20"/>
          <w:szCs w:val="20"/>
          <w:vertAlign w:val="baseline"/>
        </w:rPr>
        <w:t>(Congo, Gabon)</w:t>
      </w:r>
      <w:r w:rsidRPr="001652AB">
        <w:rPr>
          <w:sz w:val="20"/>
          <w:szCs w:val="20"/>
          <w:vertAlign w:val="baseline"/>
        </w:rPr>
        <w:t xml:space="preserve"> (Paris</w:t>
      </w:r>
      <w:r>
        <w:rPr>
          <w:sz w:val="20"/>
          <w:szCs w:val="20"/>
          <w:vertAlign w:val="baseline"/>
        </w:rPr>
        <w:t xml:space="preserve"> 2005) 297</w:t>
      </w:r>
    </w:p>
  </w:footnote>
  <w:footnote w:id="299">
    <w:p w14:paraId="33F831FB" w14:textId="63BA1194" w:rsidR="00431A55" w:rsidRPr="001652AB" w:rsidRDefault="00431A55" w:rsidP="007D11E4">
      <w:pPr>
        <w:pStyle w:val="FootnoteText"/>
        <w:rPr>
          <w:sz w:val="20"/>
          <w:szCs w:val="20"/>
          <w:vertAlign w:val="baseline"/>
        </w:rPr>
      </w:pPr>
      <w:r w:rsidRPr="001652AB">
        <w:rPr>
          <w:rStyle w:val="FootnoteReference"/>
          <w:sz w:val="20"/>
          <w:szCs w:val="20"/>
        </w:rPr>
        <w:footnoteRef/>
      </w:r>
      <w:r>
        <w:rPr>
          <w:sz w:val="20"/>
          <w:szCs w:val="20"/>
          <w:vertAlign w:val="baseline"/>
        </w:rPr>
        <w:t xml:space="preserve"> </w:t>
      </w:r>
      <w:r w:rsidRPr="001652AB">
        <w:rPr>
          <w:sz w:val="20"/>
          <w:szCs w:val="20"/>
          <w:vertAlign w:val="baseline"/>
        </w:rPr>
        <w:t>Cimpric</w:t>
      </w:r>
      <w:r>
        <w:rPr>
          <w:sz w:val="20"/>
          <w:szCs w:val="20"/>
          <w:vertAlign w:val="baseline"/>
        </w:rPr>
        <w:t xml:space="preserve"> (n 293) 28</w:t>
      </w:r>
    </w:p>
  </w:footnote>
  <w:footnote w:id="300">
    <w:p w14:paraId="53A237CF" w14:textId="2BEE95A7" w:rsidR="00431A55" w:rsidRPr="001652AB" w:rsidRDefault="00431A55" w:rsidP="007D11E4">
      <w:pPr>
        <w:pStyle w:val="FootnoteText"/>
        <w:rPr>
          <w:sz w:val="20"/>
          <w:szCs w:val="20"/>
          <w:vertAlign w:val="baseline"/>
        </w:rPr>
      </w:pPr>
      <w:r w:rsidRPr="001652AB">
        <w:rPr>
          <w:rStyle w:val="FootnoteReference"/>
          <w:sz w:val="20"/>
          <w:szCs w:val="20"/>
        </w:rPr>
        <w:footnoteRef/>
      </w:r>
      <w:r w:rsidRPr="001652AB">
        <w:rPr>
          <w:sz w:val="20"/>
          <w:szCs w:val="20"/>
        </w:rPr>
        <w:t xml:space="preserve"> </w:t>
      </w:r>
      <w:r>
        <w:rPr>
          <w:sz w:val="20"/>
          <w:szCs w:val="20"/>
          <w:vertAlign w:val="baseline"/>
        </w:rPr>
        <w:t>ibid 30</w:t>
      </w:r>
    </w:p>
  </w:footnote>
  <w:footnote w:id="301">
    <w:p w14:paraId="1143E0EF" w14:textId="619C8ABF" w:rsidR="00431A55" w:rsidRDefault="00431A55" w:rsidP="007D11E4">
      <w:pPr>
        <w:pStyle w:val="FootnoteText"/>
      </w:pPr>
      <w:r w:rsidRPr="001652AB">
        <w:rPr>
          <w:rStyle w:val="FootnoteReference"/>
          <w:sz w:val="20"/>
          <w:szCs w:val="20"/>
        </w:rPr>
        <w:footnoteRef/>
      </w:r>
      <w:r w:rsidRPr="001652AB">
        <w:rPr>
          <w:sz w:val="20"/>
          <w:szCs w:val="20"/>
          <w:vertAlign w:val="baseline"/>
        </w:rPr>
        <w:t xml:space="preserve"> </w:t>
      </w:r>
      <w:r>
        <w:rPr>
          <w:sz w:val="20"/>
          <w:szCs w:val="20"/>
          <w:vertAlign w:val="baseline"/>
        </w:rPr>
        <w:t>ibid</w:t>
      </w:r>
    </w:p>
  </w:footnote>
  <w:footnote w:id="302">
    <w:p w14:paraId="7418F767" w14:textId="074F102C" w:rsidR="00431A55" w:rsidRPr="00425BE1" w:rsidRDefault="00431A55" w:rsidP="007D11E4">
      <w:pPr>
        <w:pStyle w:val="FootnoteText"/>
        <w:rPr>
          <w:sz w:val="20"/>
          <w:szCs w:val="20"/>
          <w:vertAlign w:val="baseline"/>
        </w:rPr>
      </w:pPr>
      <w:r w:rsidRPr="00425BE1">
        <w:rPr>
          <w:rStyle w:val="FootnoteReference"/>
          <w:sz w:val="20"/>
          <w:szCs w:val="20"/>
        </w:rPr>
        <w:footnoteRef/>
      </w:r>
      <w:r w:rsidRPr="00425BE1">
        <w:rPr>
          <w:sz w:val="20"/>
          <w:szCs w:val="20"/>
        </w:rPr>
        <w:t xml:space="preserve"> </w:t>
      </w:r>
      <w:r w:rsidRPr="00425BE1">
        <w:rPr>
          <w:sz w:val="20"/>
          <w:szCs w:val="20"/>
          <w:vertAlign w:val="baseline"/>
        </w:rPr>
        <w:t>Ter Haar</w:t>
      </w:r>
      <w:r>
        <w:rPr>
          <w:sz w:val="20"/>
          <w:szCs w:val="20"/>
          <w:vertAlign w:val="baseline"/>
        </w:rPr>
        <w:t xml:space="preserve"> (n 285) 17</w:t>
      </w:r>
    </w:p>
  </w:footnote>
  <w:footnote w:id="303">
    <w:p w14:paraId="7CD82EAA" w14:textId="2F43A26F" w:rsidR="00431A55" w:rsidRPr="00911494" w:rsidRDefault="00431A55" w:rsidP="007D11E4">
      <w:pPr>
        <w:pStyle w:val="FootnoteText"/>
      </w:pPr>
      <w:r w:rsidRPr="00425BE1">
        <w:rPr>
          <w:rStyle w:val="FootnoteReference"/>
          <w:sz w:val="20"/>
          <w:szCs w:val="20"/>
        </w:rPr>
        <w:footnoteRef/>
      </w:r>
      <w:r w:rsidRPr="00425BE1">
        <w:rPr>
          <w:sz w:val="20"/>
          <w:szCs w:val="20"/>
        </w:rPr>
        <w:t xml:space="preserve"> </w:t>
      </w:r>
      <w:r w:rsidRPr="00425BE1">
        <w:rPr>
          <w:sz w:val="20"/>
          <w:szCs w:val="20"/>
          <w:vertAlign w:val="baseline"/>
        </w:rPr>
        <w:t>Kgatla</w:t>
      </w:r>
      <w:r>
        <w:rPr>
          <w:sz w:val="20"/>
          <w:szCs w:val="20"/>
          <w:vertAlign w:val="baseline"/>
        </w:rPr>
        <w:t xml:space="preserve"> (n 288) </w:t>
      </w:r>
      <w:r w:rsidRPr="00425BE1">
        <w:rPr>
          <w:sz w:val="20"/>
          <w:szCs w:val="20"/>
          <w:vertAlign w:val="baseline"/>
        </w:rPr>
        <w:t>6</w:t>
      </w:r>
    </w:p>
  </w:footnote>
  <w:footnote w:id="304">
    <w:p w14:paraId="1D839CC2" w14:textId="70A99E4F" w:rsidR="00431A55" w:rsidRPr="001E2EB3" w:rsidRDefault="00431A55" w:rsidP="007D11E4">
      <w:pPr>
        <w:pStyle w:val="FootnoteText"/>
        <w:rPr>
          <w:sz w:val="20"/>
          <w:szCs w:val="20"/>
          <w:vertAlign w:val="baseline"/>
        </w:rPr>
      </w:pPr>
      <w:r w:rsidRPr="001E2EB3">
        <w:rPr>
          <w:rStyle w:val="FootnoteReference"/>
          <w:sz w:val="20"/>
          <w:szCs w:val="20"/>
        </w:rPr>
        <w:footnoteRef/>
      </w:r>
      <w:r>
        <w:rPr>
          <w:sz w:val="20"/>
          <w:szCs w:val="20"/>
          <w:vertAlign w:val="baseline"/>
        </w:rPr>
        <w:t xml:space="preserve"> </w:t>
      </w:r>
      <w:r w:rsidRPr="001E2EB3">
        <w:rPr>
          <w:sz w:val="20"/>
          <w:szCs w:val="20"/>
          <w:vertAlign w:val="baseline"/>
        </w:rPr>
        <w:t>Favret-Saad</w:t>
      </w:r>
      <w:r>
        <w:rPr>
          <w:sz w:val="20"/>
          <w:szCs w:val="20"/>
          <w:vertAlign w:val="baseline"/>
        </w:rPr>
        <w:t xml:space="preserve">a (n 94) </w:t>
      </w:r>
      <w:r>
        <w:rPr>
          <w:iCs/>
          <w:sz w:val="20"/>
          <w:szCs w:val="20"/>
          <w:vertAlign w:val="baseline"/>
        </w:rPr>
        <w:t>9</w:t>
      </w:r>
    </w:p>
  </w:footnote>
  <w:footnote w:id="305">
    <w:p w14:paraId="5D217D6A" w14:textId="57A26C82" w:rsidR="00431A55" w:rsidRPr="001E2EB3" w:rsidRDefault="00431A55" w:rsidP="007D11E4">
      <w:pPr>
        <w:pStyle w:val="FootnoteText"/>
        <w:rPr>
          <w:sz w:val="20"/>
          <w:szCs w:val="20"/>
          <w:vertAlign w:val="baseline"/>
        </w:rPr>
      </w:pPr>
      <w:r w:rsidRPr="001E2EB3">
        <w:rPr>
          <w:rStyle w:val="FootnoteReference"/>
          <w:sz w:val="20"/>
          <w:szCs w:val="20"/>
        </w:rPr>
        <w:footnoteRef/>
      </w:r>
      <w:r>
        <w:rPr>
          <w:sz w:val="20"/>
          <w:szCs w:val="20"/>
          <w:vertAlign w:val="baseline"/>
        </w:rPr>
        <w:t xml:space="preserve"> </w:t>
      </w:r>
      <w:r w:rsidRPr="001E2EB3">
        <w:rPr>
          <w:sz w:val="20"/>
          <w:szCs w:val="20"/>
          <w:vertAlign w:val="baseline"/>
        </w:rPr>
        <w:t>Ter Haar</w:t>
      </w:r>
      <w:r>
        <w:rPr>
          <w:sz w:val="20"/>
          <w:szCs w:val="20"/>
          <w:vertAlign w:val="baseline"/>
        </w:rPr>
        <w:t xml:space="preserve"> (n 285) 16</w:t>
      </w:r>
    </w:p>
  </w:footnote>
  <w:footnote w:id="306">
    <w:p w14:paraId="68D53B86" w14:textId="04DCA356" w:rsidR="00431A55" w:rsidRPr="001E2EB3" w:rsidRDefault="00431A55" w:rsidP="007D11E4">
      <w:pPr>
        <w:pStyle w:val="FootnoteText"/>
        <w:rPr>
          <w:sz w:val="20"/>
          <w:szCs w:val="20"/>
          <w:vertAlign w:val="baseline"/>
        </w:rPr>
      </w:pPr>
      <w:r w:rsidRPr="001E2EB3">
        <w:rPr>
          <w:rStyle w:val="FootnoteReference"/>
          <w:sz w:val="20"/>
          <w:szCs w:val="20"/>
        </w:rPr>
        <w:footnoteRef/>
      </w:r>
      <w:r w:rsidRPr="001E2EB3">
        <w:rPr>
          <w:sz w:val="20"/>
          <w:szCs w:val="20"/>
          <w:vertAlign w:val="baseline"/>
        </w:rPr>
        <w:t xml:space="preserve"> </w:t>
      </w:r>
      <w:r>
        <w:rPr>
          <w:sz w:val="20"/>
          <w:szCs w:val="20"/>
          <w:vertAlign w:val="baseline"/>
        </w:rPr>
        <w:t>V</w:t>
      </w:r>
      <w:r w:rsidRPr="00AE67D8">
        <w:rPr>
          <w:sz w:val="20"/>
          <w:szCs w:val="20"/>
          <w:vertAlign w:val="baseline"/>
        </w:rPr>
        <w:t>an Beek</w:t>
      </w:r>
      <w:r>
        <w:rPr>
          <w:sz w:val="20"/>
          <w:szCs w:val="20"/>
          <w:vertAlign w:val="baseline"/>
        </w:rPr>
        <w:t xml:space="preserve"> (n 248) 300</w:t>
      </w:r>
    </w:p>
  </w:footnote>
  <w:footnote w:id="307">
    <w:p w14:paraId="1D930464" w14:textId="46600C03" w:rsidR="00431A55" w:rsidRDefault="00431A55" w:rsidP="007D11E4">
      <w:pPr>
        <w:pStyle w:val="FootnoteText"/>
      </w:pPr>
      <w:r w:rsidRPr="001E2EB3">
        <w:rPr>
          <w:rStyle w:val="FootnoteReference"/>
          <w:sz w:val="20"/>
          <w:szCs w:val="20"/>
        </w:rPr>
        <w:footnoteRef/>
      </w:r>
      <w:r w:rsidRPr="001E2EB3">
        <w:rPr>
          <w:sz w:val="20"/>
          <w:szCs w:val="20"/>
          <w:vertAlign w:val="baseline"/>
        </w:rPr>
        <w:t xml:space="preserve"> </w:t>
      </w:r>
      <w:r>
        <w:rPr>
          <w:sz w:val="20"/>
          <w:szCs w:val="20"/>
          <w:vertAlign w:val="baseline"/>
        </w:rPr>
        <w:t>ibid</w:t>
      </w:r>
      <w:r w:rsidRPr="001E2EB3">
        <w:rPr>
          <w:sz w:val="20"/>
          <w:szCs w:val="20"/>
          <w:vertAlign w:val="baseline"/>
        </w:rPr>
        <w:t xml:space="preserve"> 301</w:t>
      </w:r>
    </w:p>
  </w:footnote>
  <w:footnote w:id="308">
    <w:p w14:paraId="2C1C3A5C" w14:textId="1FC9107D" w:rsidR="00431A55" w:rsidRPr="005515FD" w:rsidRDefault="00431A55" w:rsidP="007D11E4">
      <w:pPr>
        <w:pStyle w:val="FootnoteText"/>
        <w:rPr>
          <w:sz w:val="20"/>
          <w:szCs w:val="20"/>
          <w:vertAlign w:val="baseline"/>
        </w:rPr>
      </w:pPr>
      <w:r w:rsidRPr="005515FD">
        <w:rPr>
          <w:rStyle w:val="FootnoteReference"/>
          <w:sz w:val="20"/>
          <w:szCs w:val="20"/>
        </w:rPr>
        <w:footnoteRef/>
      </w:r>
      <w:r w:rsidRPr="005515FD">
        <w:rPr>
          <w:sz w:val="20"/>
          <w:szCs w:val="20"/>
          <w:vertAlign w:val="baseline"/>
        </w:rPr>
        <w:t xml:space="preserve"> Jonathon Stadler, ‘Witches and Witch-hunters: Witchcraft, Generational Relations and the Life-cycle in a Lowveld Village’ (1996) 55 </w:t>
      </w:r>
      <w:r w:rsidRPr="001A3A59">
        <w:rPr>
          <w:sz w:val="20"/>
          <w:szCs w:val="20"/>
          <w:vertAlign w:val="baseline"/>
        </w:rPr>
        <w:t>African Studies</w:t>
      </w:r>
      <w:r>
        <w:rPr>
          <w:sz w:val="20"/>
          <w:szCs w:val="20"/>
          <w:vertAlign w:val="baseline"/>
        </w:rPr>
        <w:t xml:space="preserve"> 95</w:t>
      </w:r>
    </w:p>
  </w:footnote>
  <w:footnote w:id="309">
    <w:p w14:paraId="23D840B5" w14:textId="136770B7" w:rsidR="00431A55" w:rsidRPr="005515FD" w:rsidRDefault="00431A55" w:rsidP="007D11E4">
      <w:pPr>
        <w:pStyle w:val="FootnoteText"/>
        <w:rPr>
          <w:sz w:val="20"/>
          <w:szCs w:val="20"/>
          <w:vertAlign w:val="baseline"/>
        </w:rPr>
      </w:pPr>
      <w:r w:rsidRPr="005515FD">
        <w:rPr>
          <w:rStyle w:val="FootnoteReference"/>
          <w:sz w:val="20"/>
          <w:szCs w:val="20"/>
        </w:rPr>
        <w:footnoteRef/>
      </w:r>
      <w:r w:rsidRPr="005515FD">
        <w:rPr>
          <w:sz w:val="20"/>
          <w:szCs w:val="20"/>
        </w:rPr>
        <w:t xml:space="preserve"> </w:t>
      </w:r>
      <w:r>
        <w:rPr>
          <w:sz w:val="20"/>
          <w:szCs w:val="20"/>
          <w:vertAlign w:val="baseline"/>
        </w:rPr>
        <w:t>V</w:t>
      </w:r>
      <w:r w:rsidRPr="005515FD">
        <w:rPr>
          <w:sz w:val="20"/>
          <w:szCs w:val="20"/>
          <w:vertAlign w:val="baseline"/>
        </w:rPr>
        <w:t>an Beek</w:t>
      </w:r>
      <w:r>
        <w:rPr>
          <w:sz w:val="20"/>
          <w:szCs w:val="20"/>
          <w:vertAlign w:val="baseline"/>
        </w:rPr>
        <w:t xml:space="preserve"> (n 248) 302</w:t>
      </w:r>
    </w:p>
  </w:footnote>
  <w:footnote w:id="310">
    <w:p w14:paraId="3A372BA8" w14:textId="0B85B4EE" w:rsidR="00431A55" w:rsidRDefault="00431A55" w:rsidP="007D11E4">
      <w:pPr>
        <w:pStyle w:val="FootnoteText"/>
      </w:pPr>
      <w:r w:rsidRPr="005515FD">
        <w:rPr>
          <w:rStyle w:val="FootnoteReference"/>
          <w:sz w:val="20"/>
          <w:szCs w:val="20"/>
        </w:rPr>
        <w:footnoteRef/>
      </w:r>
      <w:r w:rsidRPr="005515FD">
        <w:rPr>
          <w:sz w:val="20"/>
          <w:szCs w:val="20"/>
          <w:vertAlign w:val="baseline"/>
        </w:rPr>
        <w:t xml:space="preserve"> </w:t>
      </w:r>
      <w:r>
        <w:rPr>
          <w:sz w:val="20"/>
          <w:szCs w:val="20"/>
          <w:vertAlign w:val="baseline"/>
        </w:rPr>
        <w:t xml:space="preserve">Ibid </w:t>
      </w:r>
      <w:r w:rsidRPr="005515FD">
        <w:rPr>
          <w:sz w:val="20"/>
          <w:szCs w:val="20"/>
          <w:vertAlign w:val="baseline"/>
        </w:rPr>
        <w:t>303</w:t>
      </w:r>
    </w:p>
  </w:footnote>
  <w:footnote w:id="311">
    <w:p w14:paraId="21F50D8E" w14:textId="0EFF873B" w:rsidR="00431A55" w:rsidRPr="00D56B3F" w:rsidRDefault="00431A55" w:rsidP="007D11E4">
      <w:pPr>
        <w:pStyle w:val="FootnoteText"/>
        <w:rPr>
          <w:sz w:val="20"/>
          <w:szCs w:val="20"/>
        </w:rPr>
      </w:pPr>
      <w:r w:rsidRPr="00D56B3F">
        <w:rPr>
          <w:rStyle w:val="FootnoteReference"/>
          <w:sz w:val="20"/>
          <w:szCs w:val="20"/>
        </w:rPr>
        <w:footnoteRef/>
      </w:r>
      <w:r w:rsidRPr="00D56B3F">
        <w:rPr>
          <w:sz w:val="20"/>
          <w:szCs w:val="20"/>
        </w:rPr>
        <w:t xml:space="preserve"> </w:t>
      </w:r>
      <w:r w:rsidRPr="00D56B3F">
        <w:rPr>
          <w:sz w:val="20"/>
          <w:szCs w:val="20"/>
          <w:vertAlign w:val="baseline"/>
        </w:rPr>
        <w:t>Selaelo Thias Kgatla, ‘Containment of Witchcraft Accusations in South Africa: A Search for a Transformational Approach</w:t>
      </w:r>
      <w:r>
        <w:rPr>
          <w:sz w:val="20"/>
          <w:szCs w:val="20"/>
          <w:vertAlign w:val="baseline"/>
        </w:rPr>
        <w:t xml:space="preserve"> to Curb the Problem’ in </w:t>
      </w:r>
      <w:r w:rsidRPr="00D56B3F">
        <w:rPr>
          <w:sz w:val="20"/>
          <w:szCs w:val="20"/>
          <w:vertAlign w:val="baseline"/>
        </w:rPr>
        <w:t>Ter Haar</w:t>
      </w:r>
      <w:r>
        <w:rPr>
          <w:sz w:val="20"/>
          <w:szCs w:val="20"/>
          <w:vertAlign w:val="baseline"/>
        </w:rPr>
        <w:t xml:space="preserve"> (n 285) </w:t>
      </w:r>
      <w:r w:rsidRPr="003C3733">
        <w:rPr>
          <w:sz w:val="20"/>
          <w:szCs w:val="20"/>
          <w:vertAlign w:val="baseline"/>
        </w:rPr>
        <w:t>286</w:t>
      </w:r>
    </w:p>
  </w:footnote>
  <w:footnote w:id="312">
    <w:p w14:paraId="4DBCE107" w14:textId="07D2BF41" w:rsidR="00431A55" w:rsidRPr="00D56B3F" w:rsidRDefault="00431A55" w:rsidP="007D11E4">
      <w:pPr>
        <w:pStyle w:val="FootnoteText"/>
        <w:rPr>
          <w:sz w:val="20"/>
          <w:szCs w:val="20"/>
          <w:vertAlign w:val="baseline"/>
        </w:rPr>
      </w:pPr>
      <w:r w:rsidRPr="00D56B3F">
        <w:rPr>
          <w:rStyle w:val="FootnoteReference"/>
          <w:sz w:val="20"/>
          <w:szCs w:val="20"/>
        </w:rPr>
        <w:footnoteRef/>
      </w:r>
      <w:r>
        <w:rPr>
          <w:sz w:val="20"/>
          <w:szCs w:val="20"/>
          <w:vertAlign w:val="baseline"/>
        </w:rPr>
        <w:t xml:space="preserve"> </w:t>
      </w:r>
      <w:r w:rsidRPr="00D56B3F">
        <w:rPr>
          <w:sz w:val="20"/>
          <w:szCs w:val="20"/>
          <w:vertAlign w:val="baseline"/>
        </w:rPr>
        <w:t>Pelgrim</w:t>
      </w:r>
      <w:r>
        <w:rPr>
          <w:sz w:val="20"/>
          <w:szCs w:val="20"/>
          <w:vertAlign w:val="baseline"/>
        </w:rPr>
        <w:t xml:space="preserve"> (n 287) 52</w:t>
      </w:r>
    </w:p>
  </w:footnote>
  <w:footnote w:id="313">
    <w:p w14:paraId="5C33DB90" w14:textId="3C642C43" w:rsidR="00431A55" w:rsidRPr="003A5B8E" w:rsidRDefault="00431A55" w:rsidP="007D11E4">
      <w:pPr>
        <w:pStyle w:val="FootnoteText"/>
      </w:pPr>
      <w:r w:rsidRPr="00D56B3F">
        <w:rPr>
          <w:rStyle w:val="FootnoteReference"/>
          <w:sz w:val="20"/>
          <w:szCs w:val="20"/>
        </w:rPr>
        <w:footnoteRef/>
      </w:r>
      <w:r w:rsidRPr="00D56B3F">
        <w:rPr>
          <w:sz w:val="20"/>
          <w:szCs w:val="20"/>
        </w:rPr>
        <w:t xml:space="preserve"> </w:t>
      </w:r>
      <w:r w:rsidRPr="00D56B3F">
        <w:rPr>
          <w:sz w:val="20"/>
          <w:szCs w:val="20"/>
          <w:vertAlign w:val="baseline"/>
        </w:rPr>
        <w:t>Kgatla</w:t>
      </w:r>
      <w:r>
        <w:rPr>
          <w:sz w:val="20"/>
          <w:szCs w:val="20"/>
          <w:vertAlign w:val="baseline"/>
        </w:rPr>
        <w:t xml:space="preserve">, ‘Witch Hunts’ (n 288) </w:t>
      </w:r>
      <w:r w:rsidRPr="00D56B3F">
        <w:rPr>
          <w:sz w:val="20"/>
          <w:szCs w:val="20"/>
          <w:vertAlign w:val="baseline"/>
        </w:rPr>
        <w:t>1</w:t>
      </w:r>
      <w:r>
        <w:t xml:space="preserve"> </w:t>
      </w:r>
    </w:p>
  </w:footnote>
  <w:footnote w:id="314">
    <w:p w14:paraId="4C7B028C" w14:textId="54537F17" w:rsidR="00431A55" w:rsidRPr="005442F4" w:rsidRDefault="00431A55" w:rsidP="007D11E4">
      <w:pPr>
        <w:pStyle w:val="FootnoteText"/>
        <w:rPr>
          <w:sz w:val="20"/>
          <w:szCs w:val="20"/>
          <w:vertAlign w:val="baseline"/>
        </w:rPr>
      </w:pPr>
      <w:r w:rsidRPr="005442F4">
        <w:rPr>
          <w:rStyle w:val="FootnoteReference"/>
          <w:sz w:val="20"/>
          <w:szCs w:val="20"/>
        </w:rPr>
        <w:footnoteRef/>
      </w:r>
      <w:r>
        <w:rPr>
          <w:sz w:val="20"/>
          <w:szCs w:val="20"/>
          <w:vertAlign w:val="baseline"/>
        </w:rPr>
        <w:t xml:space="preserve"> V</w:t>
      </w:r>
      <w:r w:rsidRPr="005442F4">
        <w:rPr>
          <w:sz w:val="20"/>
          <w:szCs w:val="20"/>
          <w:vertAlign w:val="baseline"/>
        </w:rPr>
        <w:t>an Beek</w:t>
      </w:r>
      <w:r>
        <w:rPr>
          <w:sz w:val="20"/>
          <w:szCs w:val="20"/>
          <w:vertAlign w:val="baseline"/>
        </w:rPr>
        <w:t xml:space="preserve"> (n 248) 295</w:t>
      </w:r>
    </w:p>
  </w:footnote>
  <w:footnote w:id="315">
    <w:p w14:paraId="261D8988" w14:textId="77777777" w:rsidR="00431A55" w:rsidRPr="005442F4" w:rsidRDefault="00431A55" w:rsidP="007D11E4">
      <w:pPr>
        <w:pStyle w:val="FootnoteText"/>
        <w:rPr>
          <w:i/>
          <w:sz w:val="20"/>
          <w:szCs w:val="20"/>
          <w:vertAlign w:val="baseline"/>
        </w:rPr>
      </w:pPr>
      <w:r w:rsidRPr="005442F4">
        <w:rPr>
          <w:rStyle w:val="FootnoteReference"/>
          <w:sz w:val="20"/>
          <w:szCs w:val="20"/>
        </w:rPr>
        <w:footnoteRef/>
      </w:r>
      <w:r w:rsidRPr="005442F4">
        <w:rPr>
          <w:sz w:val="20"/>
          <w:szCs w:val="20"/>
        </w:rPr>
        <w:t xml:space="preserve"> </w:t>
      </w:r>
      <w:r w:rsidRPr="005442F4">
        <w:rPr>
          <w:sz w:val="20"/>
          <w:szCs w:val="20"/>
          <w:vertAlign w:val="baseline"/>
        </w:rPr>
        <w:t xml:space="preserve">Peter Geschiere, </w:t>
      </w:r>
      <w:r w:rsidRPr="005442F4">
        <w:rPr>
          <w:i/>
          <w:sz w:val="20"/>
          <w:szCs w:val="20"/>
          <w:vertAlign w:val="baseline"/>
        </w:rPr>
        <w:t xml:space="preserve">The Modernity of Witchcraft, Politics and the Occult in </w:t>
      </w:r>
    </w:p>
    <w:p w14:paraId="5631E39F" w14:textId="20D3BEBB" w:rsidR="00431A55" w:rsidRPr="005442F4" w:rsidRDefault="00431A55" w:rsidP="007D11E4">
      <w:pPr>
        <w:pStyle w:val="FootnoteText"/>
        <w:rPr>
          <w:sz w:val="20"/>
          <w:szCs w:val="20"/>
          <w:vertAlign w:val="baseline"/>
        </w:rPr>
      </w:pPr>
      <w:r w:rsidRPr="005442F4">
        <w:rPr>
          <w:i/>
          <w:sz w:val="20"/>
          <w:szCs w:val="20"/>
          <w:vertAlign w:val="baseline"/>
        </w:rPr>
        <w:t xml:space="preserve">Postcolonial Africa </w:t>
      </w:r>
      <w:r>
        <w:rPr>
          <w:sz w:val="20"/>
          <w:szCs w:val="20"/>
          <w:vertAlign w:val="baseline"/>
        </w:rPr>
        <w:t>(London 1997) 219</w:t>
      </w:r>
    </w:p>
  </w:footnote>
  <w:footnote w:id="316">
    <w:p w14:paraId="52F633F6" w14:textId="03168C6E" w:rsidR="00431A55" w:rsidRDefault="00431A55" w:rsidP="007D11E4">
      <w:pPr>
        <w:pStyle w:val="FootnoteText"/>
      </w:pPr>
      <w:r w:rsidRPr="005442F4">
        <w:rPr>
          <w:rStyle w:val="FootnoteReference"/>
          <w:sz w:val="20"/>
          <w:szCs w:val="20"/>
        </w:rPr>
        <w:footnoteRef/>
      </w:r>
      <w:r w:rsidRPr="005442F4">
        <w:rPr>
          <w:sz w:val="20"/>
          <w:szCs w:val="20"/>
        </w:rPr>
        <w:t xml:space="preserve"> </w:t>
      </w:r>
      <w:r w:rsidRPr="005442F4">
        <w:rPr>
          <w:sz w:val="20"/>
          <w:szCs w:val="20"/>
          <w:vertAlign w:val="baseline"/>
        </w:rPr>
        <w:t>Pelgrim</w:t>
      </w:r>
      <w:r>
        <w:rPr>
          <w:sz w:val="20"/>
          <w:szCs w:val="20"/>
          <w:vertAlign w:val="baseline"/>
        </w:rPr>
        <w:t xml:space="preserve"> (n 287) </w:t>
      </w:r>
      <w:r w:rsidRPr="005442F4">
        <w:rPr>
          <w:sz w:val="20"/>
          <w:szCs w:val="20"/>
          <w:vertAlign w:val="baseline"/>
        </w:rPr>
        <w:t>45</w:t>
      </w:r>
    </w:p>
  </w:footnote>
  <w:footnote w:id="317">
    <w:p w14:paraId="5165C760" w14:textId="7557B151" w:rsidR="00431A55" w:rsidRPr="00BC71D6" w:rsidRDefault="00431A55" w:rsidP="007D11E4">
      <w:pPr>
        <w:pStyle w:val="FootnoteText"/>
        <w:rPr>
          <w:sz w:val="20"/>
          <w:szCs w:val="20"/>
          <w:vertAlign w:val="baseline"/>
        </w:rPr>
      </w:pPr>
      <w:r w:rsidRPr="00BC71D6">
        <w:rPr>
          <w:rStyle w:val="FootnoteReference"/>
          <w:sz w:val="20"/>
          <w:szCs w:val="20"/>
        </w:rPr>
        <w:footnoteRef/>
      </w:r>
      <w:r w:rsidRPr="00BC71D6">
        <w:rPr>
          <w:sz w:val="20"/>
          <w:szCs w:val="20"/>
        </w:rPr>
        <w:t xml:space="preserve"> </w:t>
      </w:r>
      <w:r>
        <w:rPr>
          <w:sz w:val="20"/>
          <w:szCs w:val="20"/>
          <w:vertAlign w:val="baseline"/>
        </w:rPr>
        <w:t>V</w:t>
      </w:r>
      <w:r w:rsidRPr="00BC71D6">
        <w:rPr>
          <w:sz w:val="20"/>
          <w:szCs w:val="20"/>
          <w:vertAlign w:val="baseline"/>
        </w:rPr>
        <w:t>an Beek</w:t>
      </w:r>
      <w:r>
        <w:rPr>
          <w:sz w:val="20"/>
          <w:szCs w:val="20"/>
          <w:vertAlign w:val="baseline"/>
        </w:rPr>
        <w:t xml:space="preserve"> (n 248) 307</w:t>
      </w:r>
    </w:p>
  </w:footnote>
  <w:footnote w:id="318">
    <w:p w14:paraId="347488D7" w14:textId="45293CC3" w:rsidR="00431A55" w:rsidRPr="0045177B" w:rsidRDefault="00431A55">
      <w:pPr>
        <w:pStyle w:val="FootnoteText"/>
        <w:rPr>
          <w:sz w:val="20"/>
          <w:szCs w:val="20"/>
          <w:vertAlign w:val="baseline"/>
          <w:lang w:val="en-US"/>
        </w:rPr>
      </w:pPr>
      <w:r w:rsidRPr="0045177B">
        <w:rPr>
          <w:rStyle w:val="FootnoteReference"/>
          <w:sz w:val="20"/>
          <w:szCs w:val="20"/>
        </w:rPr>
        <w:footnoteRef/>
      </w:r>
      <w:r w:rsidRPr="0045177B">
        <w:rPr>
          <w:sz w:val="20"/>
          <w:szCs w:val="20"/>
        </w:rPr>
        <w:t xml:space="preserve"> </w:t>
      </w:r>
      <w:r>
        <w:rPr>
          <w:sz w:val="20"/>
          <w:szCs w:val="20"/>
          <w:vertAlign w:val="baseline"/>
        </w:rPr>
        <w:t>ibid</w:t>
      </w:r>
    </w:p>
  </w:footnote>
  <w:footnote w:id="319">
    <w:p w14:paraId="489E7C2D" w14:textId="782BB7F7" w:rsidR="00431A55" w:rsidRPr="00BC71D6" w:rsidRDefault="00431A55" w:rsidP="007D11E4">
      <w:pPr>
        <w:pStyle w:val="FootnoteText"/>
        <w:rPr>
          <w:sz w:val="20"/>
          <w:szCs w:val="20"/>
          <w:vertAlign w:val="baseline"/>
        </w:rPr>
      </w:pPr>
      <w:r w:rsidRPr="00BC71D6">
        <w:rPr>
          <w:rStyle w:val="FootnoteReference"/>
          <w:sz w:val="20"/>
          <w:szCs w:val="20"/>
        </w:rPr>
        <w:footnoteRef/>
      </w:r>
      <w:r w:rsidRPr="00BC71D6">
        <w:rPr>
          <w:sz w:val="20"/>
          <w:szCs w:val="20"/>
        </w:rPr>
        <w:t xml:space="preserve"> </w:t>
      </w:r>
      <w:r w:rsidRPr="00BC71D6">
        <w:rPr>
          <w:sz w:val="20"/>
          <w:szCs w:val="20"/>
          <w:vertAlign w:val="baseline"/>
        </w:rPr>
        <w:t>The Baka are an ethnic tribe inhabiting the South Eastern rain forests of Cameroon, northern Republic of Congo, Northern Gabon, and South W</w:t>
      </w:r>
      <w:r>
        <w:rPr>
          <w:sz w:val="20"/>
          <w:szCs w:val="20"/>
          <w:vertAlign w:val="baseline"/>
        </w:rPr>
        <w:t>estern Central African Republic</w:t>
      </w:r>
    </w:p>
  </w:footnote>
  <w:footnote w:id="320">
    <w:p w14:paraId="030E9D13" w14:textId="403D8381" w:rsidR="00431A55" w:rsidRDefault="00431A55" w:rsidP="007D11E4">
      <w:pPr>
        <w:pStyle w:val="FootnoteText"/>
      </w:pPr>
      <w:r w:rsidRPr="00BC71D6">
        <w:rPr>
          <w:rStyle w:val="FootnoteReference"/>
          <w:sz w:val="20"/>
          <w:szCs w:val="20"/>
        </w:rPr>
        <w:footnoteRef/>
      </w:r>
      <w:r w:rsidRPr="00BC71D6">
        <w:rPr>
          <w:sz w:val="20"/>
          <w:szCs w:val="20"/>
        </w:rPr>
        <w:t xml:space="preserve"> </w:t>
      </w:r>
      <w:r w:rsidRPr="00BC71D6">
        <w:rPr>
          <w:sz w:val="20"/>
          <w:szCs w:val="20"/>
          <w:vertAlign w:val="baseline"/>
        </w:rPr>
        <w:t>The ǃKung San tribe live in the Kalahari Desert in Namibia, Botswana and in Angola</w:t>
      </w:r>
    </w:p>
  </w:footnote>
  <w:footnote w:id="321">
    <w:p w14:paraId="62AC8365" w14:textId="52EBE4DB" w:rsidR="00431A55" w:rsidRPr="006C5200" w:rsidRDefault="00431A55" w:rsidP="007D11E4">
      <w:pPr>
        <w:pStyle w:val="FootnoteText"/>
        <w:rPr>
          <w:sz w:val="20"/>
          <w:szCs w:val="20"/>
          <w:vertAlign w:val="baseline"/>
        </w:rPr>
      </w:pPr>
      <w:r w:rsidRPr="006C5200">
        <w:rPr>
          <w:rStyle w:val="FootnoteReference"/>
          <w:sz w:val="20"/>
          <w:szCs w:val="20"/>
        </w:rPr>
        <w:footnoteRef/>
      </w:r>
      <w:r w:rsidRPr="006C5200">
        <w:rPr>
          <w:sz w:val="20"/>
          <w:szCs w:val="20"/>
        </w:rPr>
        <w:t xml:space="preserve"> </w:t>
      </w:r>
      <w:r w:rsidRPr="006C5200">
        <w:rPr>
          <w:sz w:val="20"/>
          <w:szCs w:val="20"/>
          <w:vertAlign w:val="baseline"/>
        </w:rPr>
        <w:t>The Dogon are an ethnic tribe living in the central plateau region of t</w:t>
      </w:r>
      <w:r>
        <w:rPr>
          <w:sz w:val="20"/>
          <w:szCs w:val="20"/>
          <w:vertAlign w:val="baseline"/>
        </w:rPr>
        <w:t>he country of Mali, West Africa</w:t>
      </w:r>
    </w:p>
  </w:footnote>
  <w:footnote w:id="322">
    <w:p w14:paraId="0F399AF4" w14:textId="224E6A54" w:rsidR="00431A55" w:rsidRPr="006C5200" w:rsidRDefault="00431A55" w:rsidP="007D11E4">
      <w:pPr>
        <w:pStyle w:val="FootnoteText"/>
        <w:rPr>
          <w:sz w:val="20"/>
          <w:szCs w:val="20"/>
          <w:vertAlign w:val="baseline"/>
        </w:rPr>
      </w:pPr>
      <w:r w:rsidRPr="006C5200">
        <w:rPr>
          <w:rStyle w:val="FootnoteReference"/>
          <w:sz w:val="20"/>
          <w:szCs w:val="20"/>
        </w:rPr>
        <w:footnoteRef/>
      </w:r>
      <w:r w:rsidRPr="006C5200">
        <w:rPr>
          <w:sz w:val="20"/>
          <w:szCs w:val="20"/>
          <w:vertAlign w:val="baseline"/>
        </w:rPr>
        <w:t xml:space="preserve"> The Kapsiki are an ethnic group who live in the Mandara Mountains, in the</w:t>
      </w:r>
      <w:r>
        <w:rPr>
          <w:sz w:val="20"/>
          <w:szCs w:val="20"/>
          <w:vertAlign w:val="baseline"/>
        </w:rPr>
        <w:t xml:space="preserve"> Far North Province of Cameroon</w:t>
      </w:r>
    </w:p>
  </w:footnote>
  <w:footnote w:id="323">
    <w:p w14:paraId="2FFA4447" w14:textId="1D1C60F2" w:rsidR="00431A55" w:rsidRPr="006C5200" w:rsidRDefault="00431A55" w:rsidP="007D11E4">
      <w:pPr>
        <w:pStyle w:val="FootnoteText"/>
        <w:rPr>
          <w:sz w:val="20"/>
          <w:szCs w:val="20"/>
          <w:vertAlign w:val="baseline"/>
        </w:rPr>
      </w:pPr>
      <w:r w:rsidRPr="006C5200">
        <w:rPr>
          <w:rStyle w:val="FootnoteReference"/>
          <w:sz w:val="20"/>
          <w:szCs w:val="20"/>
        </w:rPr>
        <w:footnoteRef/>
      </w:r>
      <w:r w:rsidRPr="006C5200">
        <w:rPr>
          <w:sz w:val="20"/>
          <w:szCs w:val="20"/>
        </w:rPr>
        <w:t xml:space="preserve"> </w:t>
      </w:r>
      <w:r>
        <w:rPr>
          <w:sz w:val="20"/>
          <w:szCs w:val="20"/>
          <w:vertAlign w:val="baseline"/>
        </w:rPr>
        <w:t>V</w:t>
      </w:r>
      <w:r w:rsidRPr="006C5200">
        <w:rPr>
          <w:sz w:val="20"/>
          <w:szCs w:val="20"/>
          <w:vertAlign w:val="baseline"/>
        </w:rPr>
        <w:t>an Beek</w:t>
      </w:r>
      <w:r>
        <w:rPr>
          <w:sz w:val="20"/>
          <w:szCs w:val="20"/>
          <w:vertAlign w:val="baseline"/>
        </w:rPr>
        <w:t xml:space="preserve"> (n 248) 309</w:t>
      </w:r>
    </w:p>
  </w:footnote>
  <w:footnote w:id="324">
    <w:p w14:paraId="2F1A3621" w14:textId="511B921C" w:rsidR="00431A55" w:rsidRPr="006C5200" w:rsidRDefault="00431A55" w:rsidP="007D11E4">
      <w:pPr>
        <w:pStyle w:val="FootnoteText"/>
        <w:rPr>
          <w:sz w:val="20"/>
          <w:szCs w:val="20"/>
          <w:vertAlign w:val="baseline"/>
        </w:rPr>
      </w:pPr>
      <w:r w:rsidRPr="006C5200">
        <w:rPr>
          <w:rStyle w:val="FootnoteReference"/>
          <w:sz w:val="20"/>
          <w:szCs w:val="20"/>
        </w:rPr>
        <w:footnoteRef/>
      </w:r>
      <w:r w:rsidRPr="006C5200">
        <w:rPr>
          <w:sz w:val="20"/>
          <w:szCs w:val="20"/>
        </w:rPr>
        <w:t xml:space="preserve"> </w:t>
      </w:r>
      <w:r w:rsidRPr="006C5200">
        <w:rPr>
          <w:sz w:val="20"/>
          <w:szCs w:val="20"/>
          <w:vertAlign w:val="baseline"/>
        </w:rPr>
        <w:t>The Tiv people are an ethno-linguistic group, predominantly found i</w:t>
      </w:r>
      <w:r>
        <w:rPr>
          <w:sz w:val="20"/>
          <w:szCs w:val="20"/>
          <w:vertAlign w:val="baseline"/>
        </w:rPr>
        <w:t>n Nigeria, but also in Cameroon</w:t>
      </w:r>
      <w:r w:rsidRPr="006C5200">
        <w:rPr>
          <w:sz w:val="20"/>
          <w:szCs w:val="20"/>
          <w:vertAlign w:val="baseline"/>
        </w:rPr>
        <w:t xml:space="preserve"> </w:t>
      </w:r>
    </w:p>
  </w:footnote>
  <w:footnote w:id="325">
    <w:p w14:paraId="1B9B5DC4" w14:textId="29C12FDD" w:rsidR="00431A55" w:rsidRDefault="00431A55" w:rsidP="007D11E4">
      <w:pPr>
        <w:pStyle w:val="FootnoteText"/>
      </w:pPr>
      <w:r w:rsidRPr="006C5200">
        <w:rPr>
          <w:rStyle w:val="FootnoteReference"/>
          <w:sz w:val="20"/>
          <w:szCs w:val="20"/>
        </w:rPr>
        <w:footnoteRef/>
      </w:r>
      <w:r w:rsidRPr="006C5200">
        <w:rPr>
          <w:sz w:val="20"/>
          <w:szCs w:val="20"/>
        </w:rPr>
        <w:t xml:space="preserve"> </w:t>
      </w:r>
      <w:r w:rsidRPr="006C5200">
        <w:rPr>
          <w:sz w:val="20"/>
          <w:szCs w:val="20"/>
          <w:vertAlign w:val="baseline"/>
        </w:rPr>
        <w:t>The Gciriku are an ethnic tribe who live in the Kavango region in the Ndiyona Constituency of Namibia</w:t>
      </w:r>
    </w:p>
  </w:footnote>
  <w:footnote w:id="326">
    <w:p w14:paraId="3268F083" w14:textId="43D0C082" w:rsidR="00431A55" w:rsidRPr="00C22B54" w:rsidRDefault="00431A55" w:rsidP="007D11E4">
      <w:pPr>
        <w:pStyle w:val="FootnoteText"/>
        <w:rPr>
          <w:sz w:val="20"/>
          <w:szCs w:val="20"/>
          <w:vertAlign w:val="baseline"/>
        </w:rPr>
      </w:pPr>
      <w:r w:rsidRPr="00C22B54">
        <w:rPr>
          <w:rStyle w:val="FootnoteReference"/>
          <w:sz w:val="20"/>
          <w:szCs w:val="20"/>
        </w:rPr>
        <w:footnoteRef/>
      </w:r>
      <w:r w:rsidRPr="00C22B54">
        <w:rPr>
          <w:sz w:val="20"/>
          <w:szCs w:val="20"/>
        </w:rPr>
        <w:t xml:space="preserve"> </w:t>
      </w:r>
      <w:r w:rsidRPr="00C22B54">
        <w:rPr>
          <w:sz w:val="20"/>
          <w:szCs w:val="20"/>
          <w:vertAlign w:val="baseline"/>
        </w:rPr>
        <w:t>Criminal Procedure Act 2004 Schedule 3; Witchcraft Supp</w:t>
      </w:r>
      <w:r>
        <w:rPr>
          <w:sz w:val="20"/>
          <w:szCs w:val="20"/>
          <w:vertAlign w:val="baseline"/>
        </w:rPr>
        <w:t>ression Proclamation 27 of 1933</w:t>
      </w:r>
    </w:p>
  </w:footnote>
  <w:footnote w:id="327">
    <w:p w14:paraId="7EDF8FED" w14:textId="2F43C2AA" w:rsidR="00431A55" w:rsidRPr="00C22B54" w:rsidRDefault="00431A55" w:rsidP="007D11E4">
      <w:pPr>
        <w:pStyle w:val="FootnoteText"/>
        <w:rPr>
          <w:sz w:val="20"/>
          <w:szCs w:val="20"/>
          <w:vertAlign w:val="baseline"/>
        </w:rPr>
      </w:pPr>
      <w:r w:rsidRPr="00C22B54">
        <w:rPr>
          <w:rStyle w:val="FootnoteReference"/>
          <w:sz w:val="20"/>
          <w:szCs w:val="20"/>
        </w:rPr>
        <w:footnoteRef/>
      </w:r>
      <w:r>
        <w:rPr>
          <w:sz w:val="20"/>
          <w:szCs w:val="20"/>
          <w:vertAlign w:val="baseline"/>
        </w:rPr>
        <w:t xml:space="preserve"> V</w:t>
      </w:r>
      <w:r w:rsidRPr="00C22B54">
        <w:rPr>
          <w:sz w:val="20"/>
          <w:szCs w:val="20"/>
          <w:vertAlign w:val="baseline"/>
        </w:rPr>
        <w:t>an Beek</w:t>
      </w:r>
      <w:r>
        <w:rPr>
          <w:sz w:val="20"/>
          <w:szCs w:val="20"/>
          <w:vertAlign w:val="baseline"/>
        </w:rPr>
        <w:t xml:space="preserve"> (n 248) 311</w:t>
      </w:r>
    </w:p>
  </w:footnote>
  <w:footnote w:id="328">
    <w:p w14:paraId="61A17C18" w14:textId="4FC5813B" w:rsidR="00431A55" w:rsidRDefault="00431A55" w:rsidP="007D11E4">
      <w:pPr>
        <w:pStyle w:val="FootnoteText"/>
      </w:pPr>
      <w:r w:rsidRPr="00C22B54">
        <w:rPr>
          <w:rStyle w:val="FootnoteReference"/>
          <w:sz w:val="20"/>
          <w:szCs w:val="20"/>
        </w:rPr>
        <w:footnoteRef/>
      </w:r>
      <w:r w:rsidRPr="00C22B54">
        <w:rPr>
          <w:sz w:val="20"/>
          <w:szCs w:val="20"/>
          <w:vertAlign w:val="baseline"/>
        </w:rPr>
        <w:t xml:space="preserve"> </w:t>
      </w:r>
      <w:r>
        <w:rPr>
          <w:sz w:val="20"/>
          <w:szCs w:val="20"/>
          <w:vertAlign w:val="baseline"/>
        </w:rPr>
        <w:t>ibid</w:t>
      </w:r>
      <w:r w:rsidRPr="00C22B54">
        <w:rPr>
          <w:sz w:val="20"/>
          <w:szCs w:val="20"/>
          <w:vertAlign w:val="baseline"/>
        </w:rPr>
        <w:t xml:space="preserve"> 312</w:t>
      </w:r>
    </w:p>
  </w:footnote>
  <w:footnote w:id="329">
    <w:p w14:paraId="0B228E72" w14:textId="4DB0B128" w:rsidR="00431A55" w:rsidRPr="00B05414" w:rsidRDefault="00431A55" w:rsidP="007D11E4">
      <w:pPr>
        <w:pStyle w:val="FootnoteText"/>
        <w:rPr>
          <w:sz w:val="20"/>
          <w:szCs w:val="20"/>
          <w:vertAlign w:val="baseline"/>
        </w:rPr>
      </w:pPr>
      <w:r w:rsidRPr="00B05414">
        <w:rPr>
          <w:rStyle w:val="FootnoteReference"/>
          <w:sz w:val="20"/>
          <w:szCs w:val="20"/>
        </w:rPr>
        <w:footnoteRef/>
      </w:r>
      <w:r>
        <w:rPr>
          <w:sz w:val="20"/>
          <w:szCs w:val="20"/>
          <w:vertAlign w:val="baseline"/>
        </w:rPr>
        <w:t xml:space="preserve"> </w:t>
      </w:r>
      <w:r w:rsidRPr="00B05414">
        <w:rPr>
          <w:sz w:val="20"/>
          <w:szCs w:val="20"/>
          <w:vertAlign w:val="baseline"/>
        </w:rPr>
        <w:t>Pelgrim</w:t>
      </w:r>
      <w:r>
        <w:rPr>
          <w:sz w:val="20"/>
          <w:szCs w:val="20"/>
          <w:vertAlign w:val="baseline"/>
        </w:rPr>
        <w:t xml:space="preserve"> (n 287) 45</w:t>
      </w:r>
    </w:p>
  </w:footnote>
  <w:footnote w:id="330">
    <w:p w14:paraId="47BF6A34" w14:textId="2C40F9AE" w:rsidR="00431A55" w:rsidRPr="00B05414" w:rsidRDefault="00431A55" w:rsidP="007D11E4">
      <w:pPr>
        <w:pStyle w:val="FootnoteText"/>
        <w:rPr>
          <w:sz w:val="20"/>
          <w:szCs w:val="20"/>
          <w:vertAlign w:val="baseline"/>
        </w:rPr>
      </w:pPr>
      <w:r w:rsidRPr="00B05414">
        <w:rPr>
          <w:rStyle w:val="FootnoteReference"/>
          <w:sz w:val="20"/>
          <w:szCs w:val="20"/>
        </w:rPr>
        <w:footnoteRef/>
      </w:r>
      <w:r w:rsidRPr="00B05414">
        <w:rPr>
          <w:sz w:val="20"/>
          <w:szCs w:val="20"/>
        </w:rPr>
        <w:t xml:space="preserve"> </w:t>
      </w:r>
      <w:r>
        <w:rPr>
          <w:sz w:val="20"/>
          <w:szCs w:val="20"/>
          <w:vertAlign w:val="baseline"/>
        </w:rPr>
        <w:t xml:space="preserve">Gnani camp, Yendi; Kukuo camp, Bimbila; Bonyase camp, Central Gonja; Kpatinga camp, Kpatinga; Gambaga camp, Gambaga; Nabuli camp and </w:t>
      </w:r>
      <w:r w:rsidRPr="00B05414">
        <w:rPr>
          <w:sz w:val="20"/>
          <w:szCs w:val="20"/>
          <w:vertAlign w:val="baseline"/>
        </w:rPr>
        <w:t>Le</w:t>
      </w:r>
      <w:r>
        <w:rPr>
          <w:sz w:val="20"/>
          <w:szCs w:val="20"/>
          <w:vertAlign w:val="baseline"/>
        </w:rPr>
        <w:t>ili camp, Gushegu</w:t>
      </w:r>
    </w:p>
  </w:footnote>
  <w:footnote w:id="331">
    <w:p w14:paraId="3FC8D761" w14:textId="0EAF7646" w:rsidR="00431A55" w:rsidRPr="00B05414" w:rsidRDefault="00431A55" w:rsidP="007D11E4">
      <w:pPr>
        <w:pStyle w:val="FootnoteText"/>
        <w:rPr>
          <w:sz w:val="20"/>
          <w:szCs w:val="20"/>
          <w:vertAlign w:val="baseline"/>
        </w:rPr>
      </w:pPr>
      <w:r w:rsidRPr="00B05414">
        <w:rPr>
          <w:rStyle w:val="FootnoteReference"/>
          <w:sz w:val="20"/>
          <w:szCs w:val="20"/>
        </w:rPr>
        <w:footnoteRef/>
      </w:r>
      <w:r w:rsidRPr="00B05414">
        <w:rPr>
          <w:sz w:val="20"/>
          <w:szCs w:val="20"/>
        </w:rPr>
        <w:t xml:space="preserve"> </w:t>
      </w:r>
      <w:r w:rsidRPr="00B05414">
        <w:rPr>
          <w:sz w:val="20"/>
          <w:szCs w:val="20"/>
          <w:vertAlign w:val="baseline"/>
        </w:rPr>
        <w:t>Songtaba is a coalition comprised of 15 civil society and public institutions wor</w:t>
      </w:r>
      <w:r>
        <w:rPr>
          <w:sz w:val="20"/>
          <w:szCs w:val="20"/>
          <w:vertAlign w:val="baseline"/>
        </w:rPr>
        <w:t>king on women's rights in Ghana</w:t>
      </w:r>
    </w:p>
  </w:footnote>
  <w:footnote w:id="332">
    <w:p w14:paraId="16FB84AC" w14:textId="290747CE" w:rsidR="00431A55" w:rsidRDefault="00431A55" w:rsidP="007D11E4">
      <w:pPr>
        <w:pStyle w:val="FootnoteText"/>
      </w:pPr>
      <w:r w:rsidRPr="00B05414">
        <w:rPr>
          <w:rStyle w:val="FootnoteReference"/>
          <w:sz w:val="20"/>
          <w:szCs w:val="20"/>
        </w:rPr>
        <w:footnoteRef/>
      </w:r>
      <w:r w:rsidRPr="00B05414">
        <w:rPr>
          <w:sz w:val="20"/>
          <w:szCs w:val="20"/>
        </w:rPr>
        <w:t xml:space="preserve"> </w:t>
      </w:r>
      <w:r w:rsidRPr="00B05414">
        <w:rPr>
          <w:sz w:val="20"/>
          <w:szCs w:val="20"/>
          <w:vertAlign w:val="baseline"/>
        </w:rPr>
        <w:t xml:space="preserve">ActionAid, ‘Condemned without trial: women and witchcraft in Ghana’ (London, September 2012) </w:t>
      </w:r>
      <w:r>
        <w:rPr>
          <w:sz w:val="20"/>
          <w:szCs w:val="20"/>
          <w:vertAlign w:val="baseline"/>
        </w:rPr>
        <w:t xml:space="preserve">5 </w:t>
      </w:r>
    </w:p>
  </w:footnote>
  <w:footnote w:id="333">
    <w:p w14:paraId="4A1D8B8E" w14:textId="679885C1" w:rsidR="00431A55" w:rsidRPr="00B15175" w:rsidRDefault="00431A55" w:rsidP="007D11E4">
      <w:pPr>
        <w:pStyle w:val="FootnoteText"/>
        <w:rPr>
          <w:sz w:val="20"/>
          <w:szCs w:val="20"/>
          <w:vertAlign w:val="baseline"/>
        </w:rPr>
      </w:pPr>
      <w:r w:rsidRPr="00B15175">
        <w:rPr>
          <w:rStyle w:val="FootnoteReference"/>
          <w:sz w:val="20"/>
          <w:szCs w:val="20"/>
        </w:rPr>
        <w:footnoteRef/>
      </w:r>
      <w:r w:rsidRPr="00B15175">
        <w:rPr>
          <w:sz w:val="20"/>
          <w:szCs w:val="20"/>
        </w:rPr>
        <w:t xml:space="preserve"> </w:t>
      </w:r>
      <w:r w:rsidRPr="00B15175">
        <w:rPr>
          <w:sz w:val="20"/>
          <w:szCs w:val="20"/>
          <w:vertAlign w:val="baseline"/>
        </w:rPr>
        <w:t>Sujata Paudel, ‘NEPAL: Witchcraft as a Superstition and a form of violence against women in Nepal’ (Asian Human Rights Commission) &lt;</w:t>
      </w:r>
      <w:hyperlink r:id="rId39" w:history="1">
        <w:r w:rsidRPr="00B15175">
          <w:rPr>
            <w:rStyle w:val="Hyperlink"/>
            <w:sz w:val="20"/>
            <w:szCs w:val="20"/>
            <w:vertAlign w:val="baseline"/>
          </w:rPr>
          <w:t>http://www.humanrights.asia/opinions/columns/AHRC-ETC-056-2011</w:t>
        </w:r>
      </w:hyperlink>
      <w:r w:rsidRPr="00B15175">
        <w:rPr>
          <w:sz w:val="20"/>
          <w:szCs w:val="20"/>
          <w:vertAlign w:val="baseline"/>
        </w:rPr>
        <w:t>&gt; accessed 15 September 2014; ‘Bihar horror: Woman forced to eat human excreta on witchcraft charge’ (One India News, 13 August 2014) &lt;</w:t>
      </w:r>
      <w:hyperlink r:id="rId40" w:history="1">
        <w:r w:rsidRPr="00B15175">
          <w:rPr>
            <w:rStyle w:val="Hyperlink"/>
            <w:sz w:val="20"/>
            <w:szCs w:val="20"/>
            <w:vertAlign w:val="baseline"/>
          </w:rPr>
          <w:t>http://news.oneindia.in/india/woman-forced-to-eat-human-excreta-on-witchcraft-charge-1501754.html</w:t>
        </w:r>
      </w:hyperlink>
      <w:r w:rsidRPr="00B15175">
        <w:rPr>
          <w:sz w:val="20"/>
          <w:szCs w:val="20"/>
          <w:vertAlign w:val="baseline"/>
        </w:rPr>
        <w:t>&gt; accessed 15 September 2014; AHRC, ‘NEPAL: Dalit woman assaulted, publicly humiliated and forced to eat human excreta’ (Asian Human Rights Commission ,Urgent Appeals Programme, April 6 2009) &lt;</w:t>
      </w:r>
      <w:hyperlink r:id="rId41" w:history="1">
        <w:r w:rsidRPr="00B15175">
          <w:rPr>
            <w:rStyle w:val="Hyperlink"/>
            <w:sz w:val="20"/>
            <w:szCs w:val="20"/>
            <w:vertAlign w:val="baseline"/>
          </w:rPr>
          <w:t>http://www.humanrights.asia/opinions/news/urgent-appeals/AHRC-UAC-038-2009</w:t>
        </w:r>
      </w:hyperlink>
      <w:r>
        <w:rPr>
          <w:sz w:val="20"/>
          <w:szCs w:val="20"/>
          <w:vertAlign w:val="baseline"/>
        </w:rPr>
        <w:t>&gt; accessed 15 September 2014</w:t>
      </w:r>
    </w:p>
  </w:footnote>
  <w:footnote w:id="334">
    <w:p w14:paraId="6A7FB4F4" w14:textId="54412C19" w:rsidR="00431A55" w:rsidRPr="00B15175" w:rsidRDefault="00431A55" w:rsidP="007D11E4">
      <w:pPr>
        <w:pStyle w:val="FootnoteText"/>
        <w:rPr>
          <w:sz w:val="20"/>
          <w:szCs w:val="20"/>
          <w:vertAlign w:val="baseline"/>
        </w:rPr>
      </w:pPr>
      <w:r w:rsidRPr="00B15175">
        <w:rPr>
          <w:rStyle w:val="FootnoteReference"/>
          <w:sz w:val="20"/>
          <w:szCs w:val="20"/>
        </w:rPr>
        <w:footnoteRef/>
      </w:r>
      <w:r w:rsidRPr="00B15175">
        <w:rPr>
          <w:sz w:val="20"/>
          <w:szCs w:val="20"/>
        </w:rPr>
        <w:t xml:space="preserve"> </w:t>
      </w:r>
      <w:r w:rsidRPr="00B15175">
        <w:rPr>
          <w:sz w:val="20"/>
          <w:szCs w:val="20"/>
          <w:vertAlign w:val="baseline"/>
        </w:rPr>
        <w:t>Richard Shears, ‘Mother, 20, accused of being a 'witch' and 'killing a boy with sorcery' tortured and burned alive on pile of tyres’ (Daily Mail, 7 February 2013)</w:t>
      </w:r>
      <w:r>
        <w:rPr>
          <w:sz w:val="20"/>
          <w:szCs w:val="20"/>
          <w:vertAlign w:val="baseline"/>
        </w:rPr>
        <w:t xml:space="preserve">; </w:t>
      </w:r>
      <w:r w:rsidRPr="00B15175">
        <w:rPr>
          <w:sz w:val="20"/>
          <w:szCs w:val="20"/>
          <w:vertAlign w:val="baseline"/>
        </w:rPr>
        <w:t>Odhiambo Joseph, ‘Horror of Kenya’s ‘witch’ lynchings’ (BBC News, 26 June 2009); ‘Woman dubbed witch, burnt alive by distant relatives’ (The Times of India, 30 October 2012)</w:t>
      </w:r>
    </w:p>
  </w:footnote>
  <w:footnote w:id="335">
    <w:p w14:paraId="404DE3D6" w14:textId="1911E482" w:rsidR="00431A55" w:rsidRPr="00B15175" w:rsidRDefault="00431A55" w:rsidP="007D11E4">
      <w:pPr>
        <w:pStyle w:val="FootnoteText"/>
        <w:rPr>
          <w:sz w:val="20"/>
          <w:szCs w:val="20"/>
          <w:vertAlign w:val="baseline"/>
        </w:rPr>
      </w:pPr>
      <w:r w:rsidRPr="00B15175">
        <w:rPr>
          <w:rStyle w:val="FootnoteReference"/>
          <w:sz w:val="20"/>
          <w:szCs w:val="20"/>
        </w:rPr>
        <w:footnoteRef/>
      </w:r>
      <w:r w:rsidRPr="00B15175">
        <w:rPr>
          <w:sz w:val="20"/>
          <w:szCs w:val="20"/>
          <w:vertAlign w:val="baseline"/>
        </w:rPr>
        <w:t xml:space="preserve"> Narayan Dhungana, ‘Then they set her ablaze’ (Nepali Times, 24 February 2012)</w:t>
      </w:r>
    </w:p>
  </w:footnote>
  <w:footnote w:id="336">
    <w:p w14:paraId="072A5180" w14:textId="3FA4A005" w:rsidR="00431A55" w:rsidRDefault="00431A55" w:rsidP="007D11E4">
      <w:pPr>
        <w:pStyle w:val="FootnoteText"/>
      </w:pPr>
      <w:r w:rsidRPr="00B15175">
        <w:rPr>
          <w:rStyle w:val="FootnoteReference"/>
          <w:sz w:val="20"/>
          <w:szCs w:val="20"/>
        </w:rPr>
        <w:footnoteRef/>
      </w:r>
      <w:r w:rsidRPr="00B15175">
        <w:rPr>
          <w:sz w:val="20"/>
          <w:szCs w:val="20"/>
        </w:rPr>
        <w:t xml:space="preserve"> </w:t>
      </w:r>
      <w:r w:rsidRPr="00B15175">
        <w:rPr>
          <w:sz w:val="20"/>
          <w:szCs w:val="20"/>
          <w:vertAlign w:val="baseline"/>
        </w:rPr>
        <w:t>A</w:t>
      </w:r>
      <w:r>
        <w:rPr>
          <w:sz w:val="20"/>
          <w:szCs w:val="20"/>
          <w:vertAlign w:val="baseline"/>
        </w:rPr>
        <w:t xml:space="preserve">krong (n 283) </w:t>
      </w:r>
      <w:r w:rsidRPr="00B15175">
        <w:rPr>
          <w:sz w:val="20"/>
          <w:szCs w:val="20"/>
          <w:vertAlign w:val="baseline"/>
        </w:rPr>
        <w:t>63</w:t>
      </w:r>
    </w:p>
  </w:footnote>
  <w:footnote w:id="337">
    <w:p w14:paraId="7D855D49" w14:textId="6AFD79CB" w:rsidR="00431A55" w:rsidRPr="00653B8D" w:rsidRDefault="00431A55" w:rsidP="007D11E4">
      <w:pPr>
        <w:pStyle w:val="FootnoteText"/>
        <w:rPr>
          <w:sz w:val="20"/>
          <w:szCs w:val="20"/>
          <w:vertAlign w:val="baseline"/>
        </w:rPr>
      </w:pPr>
      <w:r w:rsidRPr="00653B8D">
        <w:rPr>
          <w:rStyle w:val="FootnoteReference"/>
          <w:sz w:val="20"/>
          <w:szCs w:val="20"/>
        </w:rPr>
        <w:footnoteRef/>
      </w:r>
      <w:r w:rsidRPr="00653B8D">
        <w:rPr>
          <w:sz w:val="20"/>
          <w:szCs w:val="20"/>
        </w:rPr>
        <w:t xml:space="preserve"> </w:t>
      </w:r>
      <w:r>
        <w:rPr>
          <w:sz w:val="20"/>
          <w:szCs w:val="20"/>
          <w:vertAlign w:val="baseline"/>
        </w:rPr>
        <w:t>Stein (n 179)</w:t>
      </w:r>
    </w:p>
  </w:footnote>
  <w:footnote w:id="338">
    <w:p w14:paraId="0058A5CC" w14:textId="49F8A9A1" w:rsidR="00431A55" w:rsidRPr="00653B8D" w:rsidRDefault="00431A55" w:rsidP="007D11E4">
      <w:pPr>
        <w:pStyle w:val="FootnoteText"/>
        <w:rPr>
          <w:sz w:val="20"/>
          <w:szCs w:val="20"/>
          <w:vertAlign w:val="baseline"/>
        </w:rPr>
      </w:pPr>
      <w:r w:rsidRPr="00653B8D">
        <w:rPr>
          <w:rStyle w:val="FootnoteReference"/>
          <w:sz w:val="20"/>
          <w:szCs w:val="20"/>
        </w:rPr>
        <w:footnoteRef/>
      </w:r>
      <w:r w:rsidRPr="00653B8D">
        <w:rPr>
          <w:sz w:val="20"/>
          <w:szCs w:val="20"/>
        </w:rPr>
        <w:t xml:space="preserve"> </w:t>
      </w:r>
      <w:r>
        <w:rPr>
          <w:sz w:val="20"/>
          <w:szCs w:val="20"/>
          <w:vertAlign w:val="baseline"/>
        </w:rPr>
        <w:t>ibid 119</w:t>
      </w:r>
    </w:p>
  </w:footnote>
  <w:footnote w:id="339">
    <w:p w14:paraId="357BCD16" w14:textId="1BA64F1E" w:rsidR="00431A55" w:rsidRDefault="00431A55" w:rsidP="007D11E4">
      <w:pPr>
        <w:pStyle w:val="FootnoteText"/>
      </w:pPr>
      <w:r w:rsidRPr="00653B8D">
        <w:rPr>
          <w:rStyle w:val="FootnoteReference"/>
          <w:sz w:val="20"/>
          <w:szCs w:val="20"/>
        </w:rPr>
        <w:footnoteRef/>
      </w:r>
      <w:r w:rsidRPr="00653B8D">
        <w:rPr>
          <w:sz w:val="20"/>
          <w:szCs w:val="20"/>
        </w:rPr>
        <w:t xml:space="preserve"> </w:t>
      </w:r>
      <w:r>
        <w:rPr>
          <w:sz w:val="20"/>
          <w:szCs w:val="20"/>
          <w:vertAlign w:val="baseline"/>
        </w:rPr>
        <w:t>ibid</w:t>
      </w:r>
      <w:r w:rsidRPr="00653B8D">
        <w:rPr>
          <w:sz w:val="20"/>
          <w:szCs w:val="20"/>
          <w:vertAlign w:val="baseline"/>
        </w:rPr>
        <w:t xml:space="preserve"> 127</w:t>
      </w:r>
    </w:p>
  </w:footnote>
  <w:footnote w:id="340">
    <w:p w14:paraId="6977868D" w14:textId="7039BCAD" w:rsidR="00431A55" w:rsidRPr="00B33030" w:rsidRDefault="00431A55" w:rsidP="007D11E4">
      <w:pPr>
        <w:pStyle w:val="FootnoteText"/>
        <w:jc w:val="both"/>
        <w:rPr>
          <w:sz w:val="20"/>
          <w:szCs w:val="20"/>
          <w:vertAlign w:val="baseline"/>
        </w:rPr>
      </w:pPr>
      <w:r w:rsidRPr="00B33030">
        <w:rPr>
          <w:rStyle w:val="FootnoteReference"/>
          <w:sz w:val="20"/>
          <w:szCs w:val="20"/>
        </w:rPr>
        <w:footnoteRef/>
      </w:r>
      <w:r w:rsidRPr="00B33030">
        <w:rPr>
          <w:sz w:val="20"/>
          <w:szCs w:val="20"/>
          <w:vertAlign w:val="baseline"/>
        </w:rPr>
        <w:t xml:space="preserve"> Sir Francis Bacon, </w:t>
      </w:r>
      <w:r w:rsidRPr="00B33030">
        <w:rPr>
          <w:i/>
          <w:sz w:val="20"/>
          <w:szCs w:val="20"/>
          <w:vertAlign w:val="baseline"/>
        </w:rPr>
        <w:t xml:space="preserve">Religious meditations of heresies </w:t>
      </w:r>
      <w:r>
        <w:rPr>
          <w:sz w:val="20"/>
          <w:szCs w:val="20"/>
          <w:vertAlign w:val="baseline"/>
        </w:rPr>
        <w:t>(London 1597)</w:t>
      </w:r>
    </w:p>
  </w:footnote>
  <w:footnote w:id="341">
    <w:p w14:paraId="2971CCF4" w14:textId="532CDEE3" w:rsidR="00431A55" w:rsidRPr="00B33030" w:rsidRDefault="00431A55" w:rsidP="007D11E4">
      <w:pPr>
        <w:pStyle w:val="FootnoteText"/>
        <w:rPr>
          <w:sz w:val="20"/>
          <w:szCs w:val="20"/>
          <w:vertAlign w:val="baseline"/>
        </w:rPr>
      </w:pPr>
      <w:r w:rsidRPr="00B33030">
        <w:rPr>
          <w:rStyle w:val="FootnoteReference"/>
          <w:sz w:val="20"/>
          <w:szCs w:val="20"/>
        </w:rPr>
        <w:footnoteRef/>
      </w:r>
      <w:r w:rsidRPr="00B33030">
        <w:rPr>
          <w:sz w:val="20"/>
          <w:szCs w:val="20"/>
          <w:vertAlign w:val="baseline"/>
        </w:rPr>
        <w:t xml:space="preserve"> </w:t>
      </w:r>
      <w:r>
        <w:rPr>
          <w:sz w:val="20"/>
          <w:szCs w:val="20"/>
          <w:vertAlign w:val="baseline"/>
        </w:rPr>
        <w:t>Stein (n 179) 131</w:t>
      </w:r>
    </w:p>
  </w:footnote>
  <w:footnote w:id="342">
    <w:p w14:paraId="12933C11" w14:textId="17DBEBA0" w:rsidR="00431A55" w:rsidRPr="00B33030" w:rsidRDefault="00431A55" w:rsidP="007D11E4">
      <w:pPr>
        <w:pStyle w:val="FootnoteText"/>
        <w:rPr>
          <w:sz w:val="20"/>
          <w:szCs w:val="20"/>
          <w:vertAlign w:val="baseline"/>
        </w:rPr>
      </w:pPr>
      <w:r w:rsidRPr="00B33030">
        <w:rPr>
          <w:rStyle w:val="FootnoteReference"/>
          <w:sz w:val="20"/>
          <w:szCs w:val="20"/>
        </w:rPr>
        <w:footnoteRef/>
      </w:r>
      <w:r w:rsidRPr="00B33030">
        <w:rPr>
          <w:sz w:val="20"/>
          <w:szCs w:val="20"/>
          <w:vertAlign w:val="baseline"/>
        </w:rPr>
        <w:t xml:space="preserve"> Berthold Laufer, ‘Origin of the Word Shaman’ (1917) 19(3) </w:t>
      </w:r>
      <w:r w:rsidRPr="00542C39">
        <w:rPr>
          <w:sz w:val="20"/>
          <w:szCs w:val="20"/>
          <w:vertAlign w:val="baseline"/>
        </w:rPr>
        <w:t>American Anthropologist</w:t>
      </w:r>
      <w:r>
        <w:rPr>
          <w:sz w:val="20"/>
          <w:szCs w:val="20"/>
          <w:vertAlign w:val="baseline"/>
        </w:rPr>
        <w:t xml:space="preserve"> 361-2</w:t>
      </w:r>
    </w:p>
  </w:footnote>
  <w:footnote w:id="343">
    <w:p w14:paraId="35741A0A" w14:textId="5F39AD9B" w:rsidR="00431A55" w:rsidRPr="00B33030" w:rsidRDefault="00431A55" w:rsidP="007D11E4">
      <w:pPr>
        <w:pStyle w:val="FootnoteText"/>
        <w:rPr>
          <w:sz w:val="20"/>
          <w:szCs w:val="20"/>
          <w:vertAlign w:val="baseline"/>
        </w:rPr>
      </w:pPr>
      <w:r w:rsidRPr="00B33030">
        <w:rPr>
          <w:rStyle w:val="FootnoteReference"/>
          <w:sz w:val="20"/>
          <w:szCs w:val="20"/>
        </w:rPr>
        <w:footnoteRef/>
      </w:r>
      <w:r w:rsidRPr="00B33030">
        <w:rPr>
          <w:sz w:val="20"/>
          <w:szCs w:val="20"/>
        </w:rPr>
        <w:t xml:space="preserve"> </w:t>
      </w:r>
      <w:r w:rsidRPr="00B33030">
        <w:rPr>
          <w:sz w:val="20"/>
          <w:szCs w:val="20"/>
          <w:vertAlign w:val="baseline"/>
        </w:rPr>
        <w:t xml:space="preserve">Max Muller, </w:t>
      </w:r>
      <w:r w:rsidRPr="00B33030">
        <w:rPr>
          <w:i/>
          <w:sz w:val="20"/>
          <w:szCs w:val="20"/>
          <w:vertAlign w:val="baseline"/>
        </w:rPr>
        <w:t xml:space="preserve">Chips from a German Workshop: Volume One Essays on the Science of Religion </w:t>
      </w:r>
      <w:r>
        <w:rPr>
          <w:sz w:val="20"/>
          <w:szCs w:val="20"/>
          <w:vertAlign w:val="baseline"/>
        </w:rPr>
        <w:t>(Oxford 1872) 233-234</w:t>
      </w:r>
    </w:p>
  </w:footnote>
  <w:footnote w:id="344">
    <w:p w14:paraId="4217BE82" w14:textId="33732C83" w:rsidR="00431A55" w:rsidRDefault="00431A55" w:rsidP="007D11E4">
      <w:pPr>
        <w:pStyle w:val="FootnoteText"/>
      </w:pPr>
      <w:r w:rsidRPr="00B33030">
        <w:rPr>
          <w:rStyle w:val="FootnoteReference"/>
          <w:sz w:val="20"/>
          <w:szCs w:val="20"/>
        </w:rPr>
        <w:footnoteRef/>
      </w:r>
      <w:r w:rsidRPr="00B33030">
        <w:rPr>
          <w:sz w:val="20"/>
          <w:szCs w:val="20"/>
        </w:rPr>
        <w:t xml:space="preserve"> </w:t>
      </w:r>
      <w:r>
        <w:rPr>
          <w:sz w:val="20"/>
          <w:szCs w:val="20"/>
          <w:vertAlign w:val="baseline"/>
        </w:rPr>
        <w:t xml:space="preserve">Such as </w:t>
      </w:r>
      <w:r w:rsidRPr="00B33030">
        <w:rPr>
          <w:sz w:val="20"/>
          <w:szCs w:val="20"/>
          <w:vertAlign w:val="baseline"/>
        </w:rPr>
        <w:t>Laufer</w:t>
      </w:r>
      <w:r>
        <w:rPr>
          <w:sz w:val="20"/>
          <w:szCs w:val="20"/>
          <w:vertAlign w:val="baseline"/>
        </w:rPr>
        <w:t xml:space="preserve"> (n 342)</w:t>
      </w:r>
    </w:p>
  </w:footnote>
  <w:footnote w:id="345">
    <w:p w14:paraId="23F46901" w14:textId="01A08596" w:rsidR="00431A55" w:rsidRPr="00765A92" w:rsidRDefault="00431A55" w:rsidP="007D11E4">
      <w:pPr>
        <w:pStyle w:val="FootnoteText"/>
        <w:rPr>
          <w:sz w:val="20"/>
          <w:szCs w:val="20"/>
          <w:vertAlign w:val="baseline"/>
        </w:rPr>
      </w:pPr>
      <w:r w:rsidRPr="00765A92">
        <w:rPr>
          <w:rStyle w:val="FootnoteReference"/>
          <w:sz w:val="20"/>
          <w:szCs w:val="20"/>
        </w:rPr>
        <w:footnoteRef/>
      </w:r>
      <w:r w:rsidRPr="00765A92">
        <w:rPr>
          <w:sz w:val="20"/>
          <w:szCs w:val="20"/>
          <w:vertAlign w:val="baseline"/>
        </w:rPr>
        <w:t xml:space="preserve"> </w:t>
      </w:r>
      <w:r>
        <w:rPr>
          <w:sz w:val="20"/>
          <w:szCs w:val="20"/>
          <w:vertAlign w:val="baseline"/>
        </w:rPr>
        <w:t>Stein (n 179)</w:t>
      </w:r>
    </w:p>
  </w:footnote>
  <w:footnote w:id="346">
    <w:p w14:paraId="726D14CA" w14:textId="63E16600" w:rsidR="00431A55" w:rsidRDefault="00431A55" w:rsidP="007D11E4">
      <w:pPr>
        <w:pStyle w:val="FootnoteText"/>
      </w:pPr>
      <w:r w:rsidRPr="00765A92">
        <w:rPr>
          <w:rStyle w:val="FootnoteReference"/>
          <w:sz w:val="20"/>
          <w:szCs w:val="20"/>
        </w:rPr>
        <w:footnoteRef/>
      </w:r>
      <w:r w:rsidRPr="00765A92">
        <w:rPr>
          <w:sz w:val="20"/>
          <w:szCs w:val="20"/>
        </w:rPr>
        <w:t xml:space="preserve"> </w:t>
      </w:r>
      <w:r>
        <w:rPr>
          <w:sz w:val="20"/>
          <w:szCs w:val="20"/>
          <w:vertAlign w:val="baseline"/>
        </w:rPr>
        <w:t>ibid</w:t>
      </w:r>
      <w:r w:rsidRPr="00765A92">
        <w:rPr>
          <w:sz w:val="20"/>
          <w:szCs w:val="20"/>
          <w:vertAlign w:val="baseline"/>
        </w:rPr>
        <w:t xml:space="preserve"> 131</w:t>
      </w:r>
    </w:p>
  </w:footnote>
  <w:footnote w:id="347">
    <w:p w14:paraId="5DC389E2" w14:textId="7C539808" w:rsidR="00431A55" w:rsidRPr="00E25AEB" w:rsidRDefault="00431A55" w:rsidP="007D11E4">
      <w:pPr>
        <w:pStyle w:val="FootnoteText"/>
        <w:rPr>
          <w:sz w:val="20"/>
          <w:szCs w:val="20"/>
          <w:vertAlign w:val="baseline"/>
        </w:rPr>
      </w:pPr>
      <w:r w:rsidRPr="00E25AEB">
        <w:rPr>
          <w:rStyle w:val="FootnoteReference"/>
          <w:sz w:val="20"/>
          <w:szCs w:val="20"/>
        </w:rPr>
        <w:footnoteRef/>
      </w:r>
      <w:r w:rsidRPr="00E25AEB">
        <w:rPr>
          <w:sz w:val="20"/>
          <w:szCs w:val="20"/>
        </w:rPr>
        <w:t xml:space="preserve"> </w:t>
      </w:r>
      <w:r w:rsidRPr="00E25AEB">
        <w:rPr>
          <w:sz w:val="20"/>
          <w:szCs w:val="20"/>
          <w:vertAlign w:val="baseline"/>
        </w:rPr>
        <w:t>Ewan Palmer, ‘Evil Fake Witch Doctor Juliette D'Souza Jailed for £1m Spiritual Healing Scam’ (International Business Times, 30 May 2014); Andrea Thompson, ‘Witchdoctors exposed’ (Daily Mail, 16 September 2014); Trevor S Baleke, ‘Uganda: Busoga Witch-Doctor Knows Origin of Jiggers’ (The Kampala Observer, 7 July 2013)</w:t>
      </w:r>
    </w:p>
  </w:footnote>
  <w:footnote w:id="348">
    <w:p w14:paraId="318D90B9" w14:textId="4073C7C7" w:rsidR="00431A55" w:rsidRPr="00E25AEB" w:rsidRDefault="00431A55" w:rsidP="007D11E4">
      <w:pPr>
        <w:pStyle w:val="FootnoteText"/>
        <w:rPr>
          <w:sz w:val="20"/>
          <w:szCs w:val="20"/>
          <w:vertAlign w:val="baseline"/>
        </w:rPr>
      </w:pPr>
      <w:r w:rsidRPr="00E25AEB">
        <w:rPr>
          <w:rStyle w:val="FootnoteReference"/>
          <w:sz w:val="20"/>
          <w:szCs w:val="20"/>
        </w:rPr>
        <w:footnoteRef/>
      </w:r>
      <w:r w:rsidRPr="00E25AEB">
        <w:rPr>
          <w:sz w:val="20"/>
          <w:szCs w:val="20"/>
        </w:rPr>
        <w:t xml:space="preserve"> </w:t>
      </w:r>
      <w:r w:rsidRPr="00E25AEB">
        <w:rPr>
          <w:sz w:val="20"/>
          <w:szCs w:val="20"/>
          <w:vertAlign w:val="baseline"/>
        </w:rPr>
        <w:t>Pelgrim</w:t>
      </w:r>
      <w:r>
        <w:rPr>
          <w:sz w:val="20"/>
          <w:szCs w:val="20"/>
          <w:vertAlign w:val="baseline"/>
        </w:rPr>
        <w:t xml:space="preserve"> (n 287) 38</w:t>
      </w:r>
    </w:p>
  </w:footnote>
  <w:footnote w:id="349">
    <w:p w14:paraId="1EF5D915" w14:textId="4AAE1E9C" w:rsidR="00431A55" w:rsidRDefault="00431A55" w:rsidP="007D11E4">
      <w:pPr>
        <w:pStyle w:val="FootnoteText"/>
      </w:pPr>
      <w:r w:rsidRPr="00E25AEB">
        <w:rPr>
          <w:rStyle w:val="FootnoteReference"/>
          <w:sz w:val="20"/>
          <w:szCs w:val="20"/>
        </w:rPr>
        <w:footnoteRef/>
      </w:r>
      <w:r w:rsidRPr="00E25AEB">
        <w:rPr>
          <w:sz w:val="20"/>
          <w:szCs w:val="20"/>
          <w:vertAlign w:val="baseline"/>
        </w:rPr>
        <w:t xml:space="preserve"> Stephen Nyoka Nyaga, ‘The impact of witchcraft beliefs and practices on the socio-economic development of the Abakwaya in Musoma – Rural District, </w:t>
      </w:r>
      <w:r>
        <w:rPr>
          <w:sz w:val="20"/>
          <w:szCs w:val="20"/>
          <w:vertAlign w:val="baseline"/>
        </w:rPr>
        <w:t xml:space="preserve">Tanzania’ in </w:t>
      </w:r>
      <w:r w:rsidRPr="00E25AEB">
        <w:rPr>
          <w:sz w:val="20"/>
          <w:szCs w:val="20"/>
          <w:vertAlign w:val="baseline"/>
        </w:rPr>
        <w:t>Ter Haar</w:t>
      </w:r>
      <w:r>
        <w:rPr>
          <w:sz w:val="20"/>
          <w:szCs w:val="20"/>
          <w:vertAlign w:val="baseline"/>
        </w:rPr>
        <w:t xml:space="preserve"> (n 285) </w:t>
      </w:r>
      <w:r w:rsidRPr="00E25AEB">
        <w:rPr>
          <w:sz w:val="20"/>
          <w:szCs w:val="20"/>
          <w:vertAlign w:val="baseline"/>
        </w:rPr>
        <w:t>261</w:t>
      </w:r>
    </w:p>
  </w:footnote>
  <w:footnote w:id="350">
    <w:p w14:paraId="5895C63B" w14:textId="35E06ABF" w:rsidR="00431A55" w:rsidRPr="00D3316F" w:rsidRDefault="00431A55" w:rsidP="007D11E4">
      <w:pPr>
        <w:pStyle w:val="FootnoteText"/>
        <w:rPr>
          <w:sz w:val="20"/>
          <w:szCs w:val="20"/>
          <w:vertAlign w:val="baseline"/>
        </w:rPr>
      </w:pPr>
      <w:r w:rsidRPr="00D3316F">
        <w:rPr>
          <w:rStyle w:val="FootnoteReference"/>
          <w:sz w:val="20"/>
          <w:szCs w:val="20"/>
        </w:rPr>
        <w:footnoteRef/>
      </w:r>
      <w:r w:rsidRPr="00D3316F">
        <w:rPr>
          <w:sz w:val="20"/>
          <w:szCs w:val="20"/>
        </w:rPr>
        <w:t xml:space="preserve"> </w:t>
      </w:r>
      <w:r>
        <w:rPr>
          <w:sz w:val="20"/>
          <w:szCs w:val="20"/>
          <w:vertAlign w:val="baseline"/>
        </w:rPr>
        <w:t>Stein (n 179) 121</w:t>
      </w:r>
    </w:p>
  </w:footnote>
  <w:footnote w:id="351">
    <w:p w14:paraId="069A5FDF" w14:textId="259ADD94" w:rsidR="00431A55" w:rsidRPr="00D3316F" w:rsidRDefault="00431A55" w:rsidP="007D11E4">
      <w:pPr>
        <w:pStyle w:val="FootnoteText"/>
        <w:rPr>
          <w:sz w:val="20"/>
          <w:szCs w:val="20"/>
          <w:vertAlign w:val="baseline"/>
        </w:rPr>
      </w:pPr>
      <w:r w:rsidRPr="00D3316F">
        <w:rPr>
          <w:rStyle w:val="FootnoteReference"/>
          <w:sz w:val="20"/>
          <w:szCs w:val="20"/>
        </w:rPr>
        <w:footnoteRef/>
      </w:r>
      <w:r w:rsidRPr="00D3316F">
        <w:rPr>
          <w:sz w:val="20"/>
          <w:szCs w:val="20"/>
          <w:vertAlign w:val="baseline"/>
        </w:rPr>
        <w:t xml:space="preserve"> Hugh A. Stayt, </w:t>
      </w:r>
      <w:r w:rsidRPr="00D3316F">
        <w:rPr>
          <w:i/>
          <w:sz w:val="20"/>
          <w:szCs w:val="20"/>
          <w:vertAlign w:val="baseline"/>
        </w:rPr>
        <w:t>The Bavenda</w:t>
      </w:r>
      <w:r>
        <w:rPr>
          <w:sz w:val="20"/>
          <w:szCs w:val="20"/>
          <w:vertAlign w:val="baseline"/>
        </w:rPr>
        <w:t xml:space="preserve"> (1968 London) 300</w:t>
      </w:r>
    </w:p>
  </w:footnote>
  <w:footnote w:id="352">
    <w:p w14:paraId="6B5C9B6A" w14:textId="64BFC8FC" w:rsidR="00431A55" w:rsidRDefault="00431A55" w:rsidP="007D11E4">
      <w:pPr>
        <w:pStyle w:val="FootnoteText"/>
      </w:pPr>
      <w:r w:rsidRPr="00D3316F">
        <w:rPr>
          <w:rStyle w:val="FootnoteReference"/>
          <w:sz w:val="20"/>
          <w:szCs w:val="20"/>
        </w:rPr>
        <w:footnoteRef/>
      </w:r>
      <w:r w:rsidRPr="00D3316F">
        <w:rPr>
          <w:sz w:val="20"/>
          <w:szCs w:val="20"/>
          <w:vertAlign w:val="baseline"/>
        </w:rPr>
        <w:t xml:space="preserve"> For example: Aloe vera Burns can heal wounds, cuts, eczema and skin allergies. The intake of aloe vera juice can heal digestive problems and appetite, chronic constipation and ulcerative colitis. Tea Tree can heal burns, fever, athlete’s foot, fatigue syndrome, vaginal infections, acne and warts, and insect bites. Ginseng is known for its natural ability to promote health and prolong the life. The roots can used to treat nervous disorders, increase metabolism, improved blood pressure, diet and immunity and increase hormone secretion. Valerian can be used as a sedative and can cure sleeping and anxiety problems, whilst St John’s Wort has been used to treat depression</w:t>
      </w:r>
    </w:p>
  </w:footnote>
  <w:footnote w:id="353">
    <w:p w14:paraId="5AC3348E" w14:textId="77777777" w:rsidR="00431A55" w:rsidRPr="00131744" w:rsidRDefault="00431A55" w:rsidP="007D11E4">
      <w:pPr>
        <w:pStyle w:val="FootnoteText"/>
        <w:rPr>
          <w:sz w:val="20"/>
          <w:szCs w:val="20"/>
          <w:vertAlign w:val="baseline"/>
        </w:rPr>
      </w:pPr>
      <w:r w:rsidRPr="00131744">
        <w:rPr>
          <w:rStyle w:val="FootnoteReference"/>
          <w:sz w:val="20"/>
          <w:szCs w:val="20"/>
        </w:rPr>
        <w:footnoteRef/>
      </w:r>
      <w:r w:rsidRPr="00131744">
        <w:rPr>
          <w:sz w:val="20"/>
          <w:szCs w:val="20"/>
          <w:vertAlign w:val="baseline"/>
        </w:rPr>
        <w:t xml:space="preserve"> Derren Brown, ‘Miracles for Sale’ screened 25 April 2011 &lt;</w:t>
      </w:r>
      <w:hyperlink r:id="rId42" w:history="1">
        <w:r w:rsidRPr="00131744">
          <w:rPr>
            <w:rStyle w:val="Hyperlink"/>
            <w:sz w:val="20"/>
            <w:szCs w:val="20"/>
            <w:vertAlign w:val="baseline"/>
          </w:rPr>
          <w:t>http://derrenbrown.co.uk/derren-brown-miracles-sale-tonight-9pm/</w:t>
        </w:r>
      </w:hyperlink>
      <w:r w:rsidRPr="00131744">
        <w:rPr>
          <w:sz w:val="20"/>
          <w:szCs w:val="20"/>
          <w:vertAlign w:val="baseline"/>
        </w:rPr>
        <w:t>&gt;</w:t>
      </w:r>
    </w:p>
  </w:footnote>
  <w:footnote w:id="354">
    <w:p w14:paraId="380A8A7D" w14:textId="5A4EE328" w:rsidR="00431A55" w:rsidRDefault="00431A55" w:rsidP="007D11E4">
      <w:pPr>
        <w:pStyle w:val="FootnoteText"/>
      </w:pPr>
      <w:r w:rsidRPr="00131744">
        <w:rPr>
          <w:rStyle w:val="FootnoteReference"/>
          <w:sz w:val="20"/>
          <w:szCs w:val="20"/>
        </w:rPr>
        <w:footnoteRef/>
      </w:r>
      <w:r>
        <w:rPr>
          <w:sz w:val="20"/>
          <w:szCs w:val="20"/>
          <w:vertAlign w:val="baseline"/>
        </w:rPr>
        <w:t xml:space="preserve"> </w:t>
      </w:r>
      <w:r w:rsidRPr="00131744">
        <w:rPr>
          <w:sz w:val="20"/>
          <w:szCs w:val="20"/>
          <w:vertAlign w:val="baseline"/>
        </w:rPr>
        <w:t>Pelgrim</w:t>
      </w:r>
      <w:r>
        <w:rPr>
          <w:sz w:val="20"/>
          <w:szCs w:val="20"/>
          <w:vertAlign w:val="baseline"/>
        </w:rPr>
        <w:t xml:space="preserve"> (n 287) </w:t>
      </w:r>
      <w:r w:rsidRPr="00131744">
        <w:rPr>
          <w:sz w:val="20"/>
          <w:szCs w:val="20"/>
          <w:vertAlign w:val="baseline"/>
        </w:rPr>
        <w:t>41</w:t>
      </w:r>
    </w:p>
  </w:footnote>
  <w:footnote w:id="355">
    <w:p w14:paraId="076FB5C1" w14:textId="061EAAC7" w:rsidR="00431A55" w:rsidRPr="00BA4DAD" w:rsidRDefault="00431A55" w:rsidP="007D11E4">
      <w:pPr>
        <w:pStyle w:val="FootnoteText"/>
        <w:rPr>
          <w:sz w:val="20"/>
          <w:szCs w:val="20"/>
          <w:vertAlign w:val="baseline"/>
        </w:rPr>
      </w:pPr>
      <w:r w:rsidRPr="00BA4DAD">
        <w:rPr>
          <w:rStyle w:val="FootnoteReference"/>
          <w:sz w:val="20"/>
          <w:szCs w:val="20"/>
        </w:rPr>
        <w:footnoteRef/>
      </w:r>
      <w:r w:rsidRPr="00BA4DAD">
        <w:rPr>
          <w:sz w:val="20"/>
          <w:szCs w:val="20"/>
        </w:rPr>
        <w:t xml:space="preserve"> </w:t>
      </w:r>
      <w:r w:rsidRPr="00BA4DAD">
        <w:rPr>
          <w:sz w:val="20"/>
          <w:szCs w:val="20"/>
          <w:vertAlign w:val="baseline"/>
        </w:rPr>
        <w:t>Skinner</w:t>
      </w:r>
      <w:r>
        <w:rPr>
          <w:sz w:val="20"/>
          <w:szCs w:val="20"/>
          <w:vertAlign w:val="baseline"/>
        </w:rPr>
        <w:t xml:space="preserve"> (n 110) 171</w:t>
      </w:r>
    </w:p>
  </w:footnote>
  <w:footnote w:id="356">
    <w:p w14:paraId="639C6682" w14:textId="43BDD9BC" w:rsidR="00431A55" w:rsidRPr="00BA4DAD" w:rsidRDefault="00431A55" w:rsidP="007D11E4">
      <w:pPr>
        <w:pStyle w:val="FootnoteText"/>
        <w:rPr>
          <w:sz w:val="20"/>
          <w:szCs w:val="20"/>
          <w:vertAlign w:val="baseline"/>
        </w:rPr>
      </w:pPr>
      <w:r w:rsidRPr="00BA4DAD">
        <w:rPr>
          <w:rStyle w:val="FootnoteReference"/>
          <w:sz w:val="20"/>
          <w:szCs w:val="20"/>
        </w:rPr>
        <w:footnoteRef/>
      </w:r>
      <w:r w:rsidRPr="00BA4DAD">
        <w:rPr>
          <w:sz w:val="20"/>
          <w:szCs w:val="20"/>
          <w:vertAlign w:val="baseline"/>
        </w:rPr>
        <w:t xml:space="preserve"> Oxford Dictionaries Online at &lt;</w:t>
      </w:r>
      <w:hyperlink r:id="rId43" w:history="1">
        <w:r w:rsidRPr="00BA4DAD">
          <w:rPr>
            <w:rStyle w:val="Hyperlink"/>
            <w:sz w:val="20"/>
            <w:szCs w:val="20"/>
            <w:vertAlign w:val="baseline"/>
          </w:rPr>
          <w:t>http://www.oxforddictionaries.com/definition/english/ritual</w:t>
        </w:r>
      </w:hyperlink>
      <w:r>
        <w:rPr>
          <w:sz w:val="20"/>
          <w:szCs w:val="20"/>
          <w:vertAlign w:val="baseline"/>
        </w:rPr>
        <w:t>&gt; accessed 12 June 2014</w:t>
      </w:r>
    </w:p>
  </w:footnote>
  <w:footnote w:id="357">
    <w:p w14:paraId="02156851" w14:textId="338748B8" w:rsidR="00431A55" w:rsidRDefault="00431A55" w:rsidP="007D11E4">
      <w:pPr>
        <w:pStyle w:val="FootnoteText"/>
      </w:pPr>
      <w:r w:rsidRPr="00BA4DAD">
        <w:rPr>
          <w:rStyle w:val="FootnoteReference"/>
          <w:sz w:val="20"/>
          <w:szCs w:val="20"/>
        </w:rPr>
        <w:footnoteRef/>
      </w:r>
      <w:r w:rsidRPr="00BA4DAD">
        <w:rPr>
          <w:sz w:val="20"/>
          <w:szCs w:val="20"/>
          <w:vertAlign w:val="baseline"/>
        </w:rPr>
        <w:t xml:space="preserve"> </w:t>
      </w:r>
      <w:r>
        <w:rPr>
          <w:sz w:val="20"/>
          <w:szCs w:val="20"/>
          <w:vertAlign w:val="baseline"/>
        </w:rPr>
        <w:t>Stein (n 179)</w:t>
      </w:r>
      <w:r w:rsidRPr="00BA4DAD">
        <w:rPr>
          <w:sz w:val="20"/>
          <w:szCs w:val="20"/>
          <w:vertAlign w:val="baseline"/>
        </w:rPr>
        <w:t xml:space="preserve"> 77</w:t>
      </w:r>
    </w:p>
  </w:footnote>
  <w:footnote w:id="358">
    <w:p w14:paraId="0A4F8BCC" w14:textId="50B3C0C1" w:rsidR="00431A55" w:rsidRPr="00D47C37" w:rsidRDefault="00431A55" w:rsidP="007D11E4">
      <w:pPr>
        <w:pStyle w:val="FootnoteText"/>
        <w:rPr>
          <w:sz w:val="20"/>
          <w:szCs w:val="20"/>
          <w:vertAlign w:val="baseline"/>
        </w:rPr>
      </w:pPr>
      <w:r w:rsidRPr="00D47C37">
        <w:rPr>
          <w:rStyle w:val="FootnoteReference"/>
          <w:sz w:val="20"/>
          <w:szCs w:val="20"/>
        </w:rPr>
        <w:footnoteRef/>
      </w:r>
      <w:r>
        <w:rPr>
          <w:sz w:val="20"/>
          <w:szCs w:val="20"/>
          <w:vertAlign w:val="baseline"/>
        </w:rPr>
        <w:t xml:space="preserve"> Anthony FC</w:t>
      </w:r>
      <w:r w:rsidRPr="00D47C37">
        <w:rPr>
          <w:sz w:val="20"/>
          <w:szCs w:val="20"/>
          <w:vertAlign w:val="baseline"/>
        </w:rPr>
        <w:t xml:space="preserve"> Wallace, </w:t>
      </w:r>
      <w:r w:rsidRPr="00D47C37">
        <w:rPr>
          <w:i/>
          <w:sz w:val="20"/>
          <w:szCs w:val="20"/>
          <w:vertAlign w:val="baseline"/>
        </w:rPr>
        <w:t xml:space="preserve">Religion: An Anthropological View </w:t>
      </w:r>
      <w:r>
        <w:rPr>
          <w:sz w:val="20"/>
          <w:szCs w:val="20"/>
          <w:vertAlign w:val="baseline"/>
        </w:rPr>
        <w:t>(New York 1966)</w:t>
      </w:r>
    </w:p>
  </w:footnote>
  <w:footnote w:id="359">
    <w:p w14:paraId="28B2D692" w14:textId="7EC59013" w:rsidR="00431A55" w:rsidRPr="00D47C37" w:rsidRDefault="00431A55" w:rsidP="007D11E4">
      <w:pPr>
        <w:pStyle w:val="FootnoteText"/>
        <w:rPr>
          <w:sz w:val="20"/>
          <w:szCs w:val="20"/>
          <w:vertAlign w:val="baseline"/>
        </w:rPr>
      </w:pPr>
      <w:r w:rsidRPr="00D47C37">
        <w:rPr>
          <w:rStyle w:val="FootnoteReference"/>
          <w:sz w:val="20"/>
          <w:szCs w:val="20"/>
        </w:rPr>
        <w:footnoteRef/>
      </w:r>
      <w:r w:rsidRPr="00D47C37">
        <w:rPr>
          <w:sz w:val="20"/>
          <w:szCs w:val="20"/>
        </w:rPr>
        <w:t xml:space="preserve"> </w:t>
      </w:r>
      <w:r>
        <w:rPr>
          <w:sz w:val="20"/>
          <w:szCs w:val="20"/>
          <w:vertAlign w:val="baseline"/>
        </w:rPr>
        <w:t>ibid</w:t>
      </w:r>
    </w:p>
  </w:footnote>
  <w:footnote w:id="360">
    <w:p w14:paraId="6FDE781E" w14:textId="029A7927" w:rsidR="00431A55" w:rsidRPr="00D47C37" w:rsidRDefault="00431A55" w:rsidP="007D11E4">
      <w:pPr>
        <w:pStyle w:val="FootnoteText"/>
        <w:rPr>
          <w:sz w:val="20"/>
          <w:szCs w:val="20"/>
          <w:vertAlign w:val="baseline"/>
        </w:rPr>
      </w:pPr>
      <w:r w:rsidRPr="00D47C37">
        <w:rPr>
          <w:rStyle w:val="FootnoteReference"/>
          <w:sz w:val="20"/>
          <w:szCs w:val="20"/>
        </w:rPr>
        <w:footnoteRef/>
      </w:r>
      <w:r w:rsidRPr="00D47C37">
        <w:rPr>
          <w:sz w:val="20"/>
          <w:szCs w:val="20"/>
        </w:rPr>
        <w:t xml:space="preserve"> </w:t>
      </w:r>
      <w:r>
        <w:rPr>
          <w:sz w:val="20"/>
          <w:szCs w:val="20"/>
          <w:vertAlign w:val="baseline"/>
        </w:rPr>
        <w:t>Stein (n 179) 84</w:t>
      </w:r>
    </w:p>
  </w:footnote>
  <w:footnote w:id="361">
    <w:p w14:paraId="2315FE7D" w14:textId="31C874CF" w:rsidR="00431A55" w:rsidRPr="00D47C37" w:rsidRDefault="00431A55" w:rsidP="007D11E4">
      <w:pPr>
        <w:pStyle w:val="FootnoteText"/>
        <w:rPr>
          <w:sz w:val="20"/>
          <w:szCs w:val="20"/>
          <w:vertAlign w:val="baseline"/>
        </w:rPr>
      </w:pPr>
      <w:r w:rsidRPr="00D47C37">
        <w:rPr>
          <w:rStyle w:val="FootnoteReference"/>
          <w:sz w:val="20"/>
          <w:szCs w:val="20"/>
        </w:rPr>
        <w:footnoteRef/>
      </w:r>
      <w:r w:rsidRPr="00D47C37">
        <w:rPr>
          <w:sz w:val="20"/>
          <w:szCs w:val="20"/>
        </w:rPr>
        <w:t xml:space="preserve"> </w:t>
      </w:r>
      <w:r w:rsidRPr="00D47C37">
        <w:rPr>
          <w:sz w:val="20"/>
          <w:szCs w:val="20"/>
          <w:vertAlign w:val="baseline"/>
        </w:rPr>
        <w:t xml:space="preserve">T. Abusch and D. Schwemer, </w:t>
      </w:r>
      <w:r w:rsidRPr="00D47C37">
        <w:rPr>
          <w:i/>
          <w:sz w:val="20"/>
          <w:szCs w:val="20"/>
          <w:vertAlign w:val="baseline"/>
        </w:rPr>
        <w:t>Corpus of Mesopotamian Anti-witchcraft Rituals: Volume One</w:t>
      </w:r>
      <w:r>
        <w:rPr>
          <w:sz w:val="20"/>
          <w:szCs w:val="20"/>
          <w:vertAlign w:val="baseline"/>
        </w:rPr>
        <w:t xml:space="preserve"> (Brill 2010) 3</w:t>
      </w:r>
    </w:p>
  </w:footnote>
  <w:footnote w:id="362">
    <w:p w14:paraId="1DD0D0FD" w14:textId="1C6D3053" w:rsidR="00431A55" w:rsidRPr="00D47C37" w:rsidRDefault="00431A55" w:rsidP="007D11E4">
      <w:pPr>
        <w:pStyle w:val="FootnoteText"/>
        <w:rPr>
          <w:sz w:val="20"/>
          <w:szCs w:val="20"/>
          <w:vertAlign w:val="baseline"/>
        </w:rPr>
      </w:pPr>
      <w:r w:rsidRPr="00D47C37">
        <w:rPr>
          <w:rStyle w:val="FootnoteReference"/>
          <w:sz w:val="20"/>
          <w:szCs w:val="20"/>
        </w:rPr>
        <w:footnoteRef/>
      </w:r>
      <w:r w:rsidRPr="00D47C37">
        <w:rPr>
          <w:sz w:val="20"/>
          <w:szCs w:val="20"/>
          <w:vertAlign w:val="baseline"/>
        </w:rPr>
        <w:t xml:space="preserve"> The Navajo territory is situated in the north-east of Arizona and </w:t>
      </w:r>
      <w:r>
        <w:rPr>
          <w:sz w:val="20"/>
          <w:szCs w:val="20"/>
          <w:vertAlign w:val="baseline"/>
        </w:rPr>
        <w:t>in the north-west of New Mexico</w:t>
      </w:r>
    </w:p>
  </w:footnote>
  <w:footnote w:id="363">
    <w:p w14:paraId="6EEE29A3" w14:textId="0DF15954" w:rsidR="00431A55" w:rsidRDefault="00431A55" w:rsidP="007D11E4">
      <w:pPr>
        <w:pStyle w:val="FootnoteText"/>
      </w:pPr>
      <w:r w:rsidRPr="00D47C37">
        <w:rPr>
          <w:rStyle w:val="FootnoteReference"/>
          <w:sz w:val="20"/>
          <w:szCs w:val="20"/>
        </w:rPr>
        <w:footnoteRef/>
      </w:r>
      <w:r w:rsidRPr="00D47C37">
        <w:rPr>
          <w:sz w:val="20"/>
          <w:szCs w:val="20"/>
          <w:vertAlign w:val="baseline"/>
        </w:rPr>
        <w:t xml:space="preserve"> </w:t>
      </w:r>
      <w:r>
        <w:rPr>
          <w:sz w:val="20"/>
          <w:szCs w:val="20"/>
          <w:vertAlign w:val="baseline"/>
        </w:rPr>
        <w:t>Stein (n 179)</w:t>
      </w:r>
      <w:r w:rsidRPr="00D47C37">
        <w:rPr>
          <w:sz w:val="20"/>
          <w:szCs w:val="20"/>
          <w:vertAlign w:val="baseline"/>
        </w:rPr>
        <w:t xml:space="preserve"> 85</w:t>
      </w:r>
    </w:p>
  </w:footnote>
  <w:footnote w:id="364">
    <w:p w14:paraId="41C0471A" w14:textId="25DA265B" w:rsidR="00431A55" w:rsidRPr="00525A99" w:rsidRDefault="00431A55" w:rsidP="007D11E4">
      <w:pPr>
        <w:pStyle w:val="FootnoteText"/>
        <w:rPr>
          <w:sz w:val="20"/>
          <w:szCs w:val="20"/>
          <w:vertAlign w:val="baseline"/>
        </w:rPr>
      </w:pPr>
      <w:r w:rsidRPr="00525A99">
        <w:rPr>
          <w:rStyle w:val="FootnoteReference"/>
          <w:sz w:val="20"/>
          <w:szCs w:val="20"/>
        </w:rPr>
        <w:footnoteRef/>
      </w:r>
      <w:r w:rsidRPr="00525A99">
        <w:rPr>
          <w:sz w:val="20"/>
          <w:szCs w:val="20"/>
          <w:vertAlign w:val="baseline"/>
        </w:rPr>
        <w:t xml:space="preserve"> Leo Igwe, ‘A Big Blow to Campaign against Witch Hunting in Africa’ (Ghana Web, 6 July 2014) at &lt;</w:t>
      </w:r>
      <w:hyperlink r:id="rId44" w:history="1">
        <w:r w:rsidRPr="00525A99">
          <w:rPr>
            <w:rStyle w:val="Hyperlink"/>
            <w:sz w:val="20"/>
            <w:szCs w:val="20"/>
            <w:vertAlign w:val="baseline"/>
          </w:rPr>
          <w:t>http://www.ghanaweb.com/GhanaHomePage/NewsArchive/artikel.php?ID=315659</w:t>
        </w:r>
      </w:hyperlink>
      <w:r>
        <w:rPr>
          <w:sz w:val="20"/>
          <w:szCs w:val="20"/>
          <w:vertAlign w:val="baseline"/>
        </w:rPr>
        <w:t>&gt; accessed 8 July 2014</w:t>
      </w:r>
    </w:p>
  </w:footnote>
  <w:footnote w:id="365">
    <w:p w14:paraId="08749813" w14:textId="70BD5FFC" w:rsidR="00431A55" w:rsidRPr="00525A99" w:rsidRDefault="00431A55" w:rsidP="007D11E4">
      <w:pPr>
        <w:pStyle w:val="FootnoteText"/>
        <w:rPr>
          <w:sz w:val="20"/>
          <w:szCs w:val="20"/>
          <w:vertAlign w:val="baseline"/>
        </w:rPr>
      </w:pPr>
      <w:r w:rsidRPr="00525A99">
        <w:rPr>
          <w:rStyle w:val="FootnoteReference"/>
          <w:sz w:val="20"/>
          <w:szCs w:val="20"/>
        </w:rPr>
        <w:footnoteRef/>
      </w:r>
      <w:r w:rsidRPr="00525A99">
        <w:rPr>
          <w:sz w:val="20"/>
          <w:szCs w:val="20"/>
          <w:vertAlign w:val="baseline"/>
        </w:rPr>
        <w:t xml:space="preserve"> ‘Vatican gives legal approval to exorcist group in sign of the Pope's concern about the devil’ (Fox News, 2 July 2014) </w:t>
      </w:r>
    </w:p>
  </w:footnote>
  <w:footnote w:id="366">
    <w:p w14:paraId="7BFACC64" w14:textId="6E17261C" w:rsidR="00431A55" w:rsidRDefault="00431A55" w:rsidP="007D11E4">
      <w:pPr>
        <w:pStyle w:val="FootnoteText"/>
      </w:pPr>
      <w:r w:rsidRPr="00525A99">
        <w:rPr>
          <w:rStyle w:val="FootnoteReference"/>
          <w:sz w:val="20"/>
          <w:szCs w:val="20"/>
        </w:rPr>
        <w:footnoteRef/>
      </w:r>
      <w:r>
        <w:rPr>
          <w:sz w:val="20"/>
          <w:szCs w:val="20"/>
          <w:vertAlign w:val="baseline"/>
        </w:rPr>
        <w:t xml:space="preserve"> ibid</w:t>
      </w:r>
    </w:p>
  </w:footnote>
  <w:footnote w:id="367">
    <w:p w14:paraId="5F802112" w14:textId="3C49C97F" w:rsidR="00431A55" w:rsidRPr="00525A99" w:rsidRDefault="00431A55" w:rsidP="007D11E4">
      <w:pPr>
        <w:pStyle w:val="FootnoteText"/>
        <w:rPr>
          <w:sz w:val="20"/>
          <w:szCs w:val="20"/>
          <w:vertAlign w:val="baseline"/>
        </w:rPr>
      </w:pPr>
      <w:r w:rsidRPr="00525A99">
        <w:rPr>
          <w:rStyle w:val="FootnoteReference"/>
          <w:sz w:val="20"/>
          <w:szCs w:val="20"/>
        </w:rPr>
        <w:footnoteRef/>
      </w:r>
      <w:r w:rsidRPr="00525A99">
        <w:rPr>
          <w:sz w:val="20"/>
          <w:szCs w:val="20"/>
          <w:vertAlign w:val="baseline"/>
        </w:rPr>
        <w:t xml:space="preserve"> </w:t>
      </w:r>
      <w:r>
        <w:rPr>
          <w:sz w:val="20"/>
          <w:szCs w:val="20"/>
          <w:vertAlign w:val="baseline"/>
        </w:rPr>
        <w:t>Stein (n 179) 136</w:t>
      </w:r>
    </w:p>
  </w:footnote>
  <w:footnote w:id="368">
    <w:p w14:paraId="6E8E2022" w14:textId="50BB1B91" w:rsidR="00431A55" w:rsidRPr="009F32C3" w:rsidRDefault="00431A55">
      <w:pPr>
        <w:pStyle w:val="FootnoteText"/>
        <w:rPr>
          <w:sz w:val="20"/>
          <w:szCs w:val="20"/>
          <w:vertAlign w:val="baseline"/>
        </w:rPr>
      </w:pPr>
      <w:r w:rsidRPr="009F32C3">
        <w:rPr>
          <w:rStyle w:val="FootnoteReference"/>
          <w:sz w:val="20"/>
          <w:szCs w:val="20"/>
        </w:rPr>
        <w:footnoteRef/>
      </w:r>
      <w:r w:rsidRPr="009F32C3">
        <w:rPr>
          <w:sz w:val="20"/>
          <w:szCs w:val="20"/>
        </w:rPr>
        <w:t xml:space="preserve"> </w:t>
      </w:r>
      <w:r>
        <w:rPr>
          <w:sz w:val="20"/>
          <w:szCs w:val="20"/>
          <w:vertAlign w:val="baseline"/>
        </w:rPr>
        <w:t>WHRIN, ‘Frequently asked Questions’ &lt;</w:t>
      </w:r>
      <w:hyperlink r:id="rId45" w:history="1">
        <w:r w:rsidRPr="004022A5">
          <w:rPr>
            <w:rStyle w:val="Hyperlink"/>
            <w:sz w:val="20"/>
            <w:szCs w:val="20"/>
            <w:vertAlign w:val="baseline"/>
          </w:rPr>
          <w:t>http://www.whrin.org/frequently-asked-questions/</w:t>
        </w:r>
      </w:hyperlink>
      <w:r>
        <w:rPr>
          <w:sz w:val="20"/>
          <w:szCs w:val="20"/>
          <w:vertAlign w:val="baseline"/>
        </w:rPr>
        <w:t>&gt; accessed 16 June 2014</w:t>
      </w:r>
    </w:p>
  </w:footnote>
  <w:footnote w:id="369">
    <w:p w14:paraId="0D8A08C9" w14:textId="37B29673" w:rsidR="00431A55" w:rsidRPr="00FD38BA" w:rsidRDefault="00431A55">
      <w:pPr>
        <w:pStyle w:val="FootnoteText"/>
        <w:rPr>
          <w:sz w:val="20"/>
          <w:szCs w:val="20"/>
          <w:vertAlign w:val="baseline"/>
          <w:lang w:val="en-US"/>
        </w:rPr>
      </w:pPr>
      <w:r w:rsidRPr="00FD38BA">
        <w:rPr>
          <w:rStyle w:val="FootnoteReference"/>
          <w:sz w:val="20"/>
          <w:szCs w:val="20"/>
        </w:rPr>
        <w:footnoteRef/>
      </w:r>
      <w:r w:rsidRPr="00FD38BA">
        <w:rPr>
          <w:sz w:val="20"/>
          <w:szCs w:val="20"/>
        </w:rPr>
        <w:t xml:space="preserve"> </w:t>
      </w:r>
      <w:r>
        <w:rPr>
          <w:sz w:val="20"/>
          <w:szCs w:val="20"/>
          <w:vertAlign w:val="baseline"/>
        </w:rPr>
        <w:t>ibid</w:t>
      </w:r>
    </w:p>
  </w:footnote>
  <w:footnote w:id="370">
    <w:p w14:paraId="745A3F0F" w14:textId="7AC012B0" w:rsidR="00431A55" w:rsidRPr="00525A99" w:rsidRDefault="00431A55" w:rsidP="007D11E4">
      <w:pPr>
        <w:pStyle w:val="FootnoteText"/>
        <w:rPr>
          <w:sz w:val="20"/>
          <w:szCs w:val="20"/>
          <w:vertAlign w:val="baseline"/>
        </w:rPr>
      </w:pPr>
      <w:r w:rsidRPr="00525A99">
        <w:rPr>
          <w:rStyle w:val="FootnoteReference"/>
          <w:sz w:val="20"/>
          <w:szCs w:val="20"/>
        </w:rPr>
        <w:footnoteRef/>
      </w:r>
      <w:r w:rsidRPr="00525A99">
        <w:rPr>
          <w:sz w:val="20"/>
          <w:szCs w:val="20"/>
        </w:rPr>
        <w:t xml:space="preserve"> </w:t>
      </w:r>
      <w:r w:rsidRPr="00525A99">
        <w:rPr>
          <w:sz w:val="20"/>
          <w:szCs w:val="20"/>
          <w:vertAlign w:val="baseline"/>
        </w:rPr>
        <w:t>Siddharth Kara as quoted in Selina Maard, ‘Juju Ritual and the Journey to Europe – A short introduction’ (Talk Trafficking, 4 April 2013) &lt;</w:t>
      </w:r>
      <w:hyperlink r:id="rId46" w:history="1">
        <w:r w:rsidRPr="00525A99">
          <w:rPr>
            <w:rStyle w:val="Hyperlink"/>
            <w:sz w:val="20"/>
            <w:szCs w:val="20"/>
            <w:vertAlign w:val="baseline"/>
          </w:rPr>
          <w:t>http://www.talktrafficking.org/wordpress/?p=565</w:t>
        </w:r>
      </w:hyperlink>
      <w:r w:rsidRPr="00525A99">
        <w:rPr>
          <w:sz w:val="20"/>
          <w:szCs w:val="20"/>
          <w:vertAlign w:val="baseline"/>
        </w:rPr>
        <w:t>&gt; accessed 1</w:t>
      </w:r>
      <w:r>
        <w:rPr>
          <w:sz w:val="20"/>
          <w:szCs w:val="20"/>
          <w:vertAlign w:val="baseline"/>
        </w:rPr>
        <w:t>6 June 2014</w:t>
      </w:r>
    </w:p>
  </w:footnote>
  <w:footnote w:id="371">
    <w:p w14:paraId="2DB34613" w14:textId="7C93EDBB" w:rsidR="00431A55" w:rsidRPr="00525A99" w:rsidRDefault="00431A55" w:rsidP="007D11E4">
      <w:pPr>
        <w:pStyle w:val="FootnoteText"/>
        <w:rPr>
          <w:sz w:val="20"/>
          <w:szCs w:val="20"/>
          <w:vertAlign w:val="baseline"/>
        </w:rPr>
      </w:pPr>
      <w:r w:rsidRPr="00525A99">
        <w:rPr>
          <w:rStyle w:val="FootnoteReference"/>
          <w:sz w:val="20"/>
          <w:szCs w:val="20"/>
        </w:rPr>
        <w:footnoteRef/>
      </w:r>
      <w:r w:rsidRPr="00525A99">
        <w:rPr>
          <w:sz w:val="20"/>
          <w:szCs w:val="20"/>
          <w:vertAlign w:val="baseline"/>
        </w:rPr>
        <w:t xml:space="preserve"> Sarah Bell, ‘Trafficked girls controlled by Juju magic rituals’ (BBC News, 7 July 2011)</w:t>
      </w:r>
    </w:p>
  </w:footnote>
  <w:footnote w:id="372">
    <w:p w14:paraId="51940D7C" w14:textId="77777777" w:rsidR="00431A55" w:rsidRPr="00525A99" w:rsidRDefault="00431A55" w:rsidP="007D11E4">
      <w:pPr>
        <w:pStyle w:val="FootnoteText"/>
        <w:rPr>
          <w:sz w:val="20"/>
          <w:szCs w:val="20"/>
          <w:vertAlign w:val="baseline"/>
        </w:rPr>
      </w:pPr>
      <w:r w:rsidRPr="00525A99">
        <w:rPr>
          <w:rStyle w:val="FootnoteReference"/>
          <w:sz w:val="20"/>
          <w:szCs w:val="20"/>
        </w:rPr>
        <w:footnoteRef/>
      </w:r>
      <w:r w:rsidRPr="00525A99">
        <w:rPr>
          <w:sz w:val="20"/>
          <w:szCs w:val="20"/>
        </w:rPr>
        <w:t xml:space="preserve"> </w:t>
      </w:r>
      <w:r w:rsidRPr="00525A99">
        <w:rPr>
          <w:sz w:val="20"/>
          <w:szCs w:val="20"/>
          <w:vertAlign w:val="baseline"/>
        </w:rPr>
        <w:t>Witchcraft and Human Rights Information Network, ‘21st Century Witchcraft Accusations and Persecution: 2013 Global Report’ (2013) &lt;</w:t>
      </w:r>
      <w:hyperlink r:id="rId47" w:history="1">
        <w:r w:rsidRPr="00525A99">
          <w:rPr>
            <w:rStyle w:val="Hyperlink"/>
            <w:sz w:val="20"/>
            <w:szCs w:val="20"/>
            <w:vertAlign w:val="baseline"/>
          </w:rPr>
          <w:t>http://www.whrin.org/wp-content/uploads/2014/03/WHRIN-UN-report_small-FINAL.pdf</w:t>
        </w:r>
      </w:hyperlink>
      <w:r w:rsidRPr="00525A99">
        <w:rPr>
          <w:sz w:val="20"/>
          <w:szCs w:val="20"/>
          <w:vertAlign w:val="baseline"/>
        </w:rPr>
        <w:t>&gt; accessed 16 June 2014.</w:t>
      </w:r>
    </w:p>
  </w:footnote>
  <w:footnote w:id="373">
    <w:p w14:paraId="33FDC081" w14:textId="7DD08012" w:rsidR="00431A55" w:rsidRPr="00E048B2" w:rsidRDefault="00431A55">
      <w:pPr>
        <w:pStyle w:val="FootnoteText"/>
        <w:rPr>
          <w:sz w:val="20"/>
          <w:szCs w:val="20"/>
          <w:vertAlign w:val="baseline"/>
          <w:lang w:val="en-US"/>
        </w:rPr>
      </w:pPr>
      <w:r w:rsidRPr="00E048B2">
        <w:rPr>
          <w:rStyle w:val="FootnoteReference"/>
          <w:sz w:val="20"/>
          <w:szCs w:val="20"/>
        </w:rPr>
        <w:footnoteRef/>
      </w:r>
      <w:r w:rsidRPr="00E048B2">
        <w:rPr>
          <w:sz w:val="20"/>
          <w:szCs w:val="20"/>
        </w:rPr>
        <w:t xml:space="preserve"> </w:t>
      </w:r>
      <w:r>
        <w:rPr>
          <w:sz w:val="20"/>
          <w:szCs w:val="20"/>
          <w:vertAlign w:val="baseline"/>
        </w:rPr>
        <w:t xml:space="preserve">WHRIN, ‘FAQ’ (n 352) </w:t>
      </w:r>
    </w:p>
  </w:footnote>
  <w:footnote w:id="374">
    <w:p w14:paraId="2E603A28" w14:textId="7C9AB557" w:rsidR="00431A55" w:rsidRDefault="00431A55" w:rsidP="007D11E4">
      <w:pPr>
        <w:pStyle w:val="FootnoteText"/>
      </w:pPr>
      <w:r w:rsidRPr="00525A99">
        <w:rPr>
          <w:rStyle w:val="FootnoteReference"/>
          <w:sz w:val="20"/>
          <w:szCs w:val="20"/>
        </w:rPr>
        <w:footnoteRef/>
      </w:r>
      <w:r w:rsidRPr="00525A99">
        <w:rPr>
          <w:sz w:val="20"/>
          <w:szCs w:val="20"/>
        </w:rPr>
        <w:t xml:space="preserve"> </w:t>
      </w:r>
      <w:r w:rsidRPr="00525A99">
        <w:rPr>
          <w:sz w:val="20"/>
          <w:szCs w:val="20"/>
          <w:vertAlign w:val="baseline"/>
        </w:rPr>
        <w:t xml:space="preserve">Tim Whewell, ‘Witch-doctors reveal the extent of child sacrifice in Uganda’ </w:t>
      </w:r>
      <w:r>
        <w:rPr>
          <w:sz w:val="20"/>
          <w:szCs w:val="20"/>
          <w:vertAlign w:val="baseline"/>
        </w:rPr>
        <w:t>(BBC Newsnight, 7 January 2010)</w:t>
      </w:r>
    </w:p>
  </w:footnote>
  <w:footnote w:id="375">
    <w:p w14:paraId="72B745FB" w14:textId="66B7740C" w:rsidR="00431A55" w:rsidRPr="004D036B" w:rsidRDefault="00431A55" w:rsidP="007D11E4">
      <w:pPr>
        <w:pStyle w:val="FootnoteText"/>
        <w:rPr>
          <w:sz w:val="20"/>
          <w:szCs w:val="20"/>
          <w:vertAlign w:val="baseline"/>
        </w:rPr>
      </w:pPr>
      <w:r w:rsidRPr="004D036B">
        <w:rPr>
          <w:rStyle w:val="FootnoteReference"/>
          <w:sz w:val="20"/>
          <w:szCs w:val="20"/>
        </w:rPr>
        <w:footnoteRef/>
      </w:r>
      <w:r w:rsidRPr="004D036B">
        <w:rPr>
          <w:sz w:val="20"/>
          <w:szCs w:val="20"/>
        </w:rPr>
        <w:t xml:space="preserve"> </w:t>
      </w:r>
      <w:r w:rsidRPr="004D036B">
        <w:rPr>
          <w:sz w:val="20"/>
          <w:szCs w:val="20"/>
          <w:vertAlign w:val="baseline"/>
        </w:rPr>
        <w:t xml:space="preserve">Leo Igwe, ‘Ritual Killing and Pseudoscience in Nigeria’ (2004) 14(2) </w:t>
      </w:r>
      <w:r w:rsidRPr="002914CC">
        <w:rPr>
          <w:sz w:val="20"/>
          <w:szCs w:val="20"/>
          <w:vertAlign w:val="baseline"/>
        </w:rPr>
        <w:t>The Committee for Skeptical Enquiry</w:t>
      </w:r>
      <w:r w:rsidRPr="004D036B">
        <w:rPr>
          <w:sz w:val="20"/>
          <w:szCs w:val="20"/>
          <w:vertAlign w:val="baseline"/>
        </w:rPr>
        <w:t xml:space="preserve"> </w:t>
      </w:r>
      <w:r>
        <w:rPr>
          <w:sz w:val="20"/>
          <w:szCs w:val="20"/>
          <w:vertAlign w:val="baseline"/>
        </w:rPr>
        <w:t>1</w:t>
      </w:r>
    </w:p>
  </w:footnote>
  <w:footnote w:id="376">
    <w:p w14:paraId="7C04A1F2" w14:textId="791EC3DE" w:rsidR="00431A55" w:rsidRPr="004D036B" w:rsidRDefault="00431A55" w:rsidP="007D11E4">
      <w:pPr>
        <w:pStyle w:val="FootnoteText"/>
        <w:rPr>
          <w:sz w:val="20"/>
          <w:szCs w:val="20"/>
          <w:vertAlign w:val="baseline"/>
        </w:rPr>
      </w:pPr>
      <w:r w:rsidRPr="004D036B">
        <w:rPr>
          <w:rStyle w:val="FootnoteReference"/>
          <w:sz w:val="20"/>
          <w:szCs w:val="20"/>
        </w:rPr>
        <w:footnoteRef/>
      </w:r>
      <w:r w:rsidRPr="004D036B">
        <w:rPr>
          <w:sz w:val="20"/>
          <w:szCs w:val="20"/>
        </w:rPr>
        <w:t xml:space="preserve"> </w:t>
      </w:r>
      <w:r>
        <w:rPr>
          <w:sz w:val="20"/>
          <w:szCs w:val="20"/>
          <w:vertAlign w:val="baseline"/>
        </w:rPr>
        <w:t>Stein (n 179) 131</w:t>
      </w:r>
    </w:p>
  </w:footnote>
  <w:footnote w:id="377">
    <w:p w14:paraId="58C5B32E" w14:textId="26B365B8" w:rsidR="00431A55" w:rsidRPr="004D036B" w:rsidRDefault="00431A55" w:rsidP="007D11E4">
      <w:pPr>
        <w:pStyle w:val="FootnoteText"/>
        <w:rPr>
          <w:sz w:val="20"/>
          <w:szCs w:val="20"/>
          <w:vertAlign w:val="baseline"/>
        </w:rPr>
      </w:pPr>
      <w:r w:rsidRPr="004D036B">
        <w:rPr>
          <w:rStyle w:val="FootnoteReference"/>
          <w:sz w:val="20"/>
          <w:szCs w:val="20"/>
        </w:rPr>
        <w:footnoteRef/>
      </w:r>
      <w:r w:rsidRPr="004D036B">
        <w:rPr>
          <w:sz w:val="20"/>
          <w:szCs w:val="20"/>
        </w:rPr>
        <w:t xml:space="preserve"> </w:t>
      </w:r>
      <w:r>
        <w:rPr>
          <w:sz w:val="20"/>
          <w:szCs w:val="20"/>
          <w:vertAlign w:val="baseline"/>
        </w:rPr>
        <w:t>ibid 148</w:t>
      </w:r>
    </w:p>
  </w:footnote>
  <w:footnote w:id="378">
    <w:p w14:paraId="3377C5B3" w14:textId="278461D8" w:rsidR="00431A55" w:rsidRPr="004D036B" w:rsidRDefault="00431A55" w:rsidP="007D11E4">
      <w:pPr>
        <w:pStyle w:val="FootnoteText"/>
        <w:rPr>
          <w:sz w:val="20"/>
          <w:szCs w:val="20"/>
          <w:vertAlign w:val="baseline"/>
        </w:rPr>
      </w:pPr>
      <w:r w:rsidRPr="004D036B">
        <w:rPr>
          <w:rStyle w:val="FootnoteReference"/>
          <w:sz w:val="20"/>
          <w:szCs w:val="20"/>
        </w:rPr>
        <w:footnoteRef/>
      </w:r>
      <w:r w:rsidRPr="004D036B">
        <w:rPr>
          <w:sz w:val="20"/>
          <w:szCs w:val="20"/>
        </w:rPr>
        <w:t xml:space="preserve"> </w:t>
      </w:r>
      <w:r>
        <w:rPr>
          <w:sz w:val="20"/>
          <w:szCs w:val="20"/>
          <w:vertAlign w:val="baseline"/>
        </w:rPr>
        <w:t>ibid 152</w:t>
      </w:r>
    </w:p>
  </w:footnote>
  <w:footnote w:id="379">
    <w:p w14:paraId="14E843A4" w14:textId="26589768" w:rsidR="00431A55" w:rsidRDefault="00431A55" w:rsidP="007D11E4">
      <w:pPr>
        <w:pStyle w:val="FootnoteText"/>
      </w:pPr>
      <w:r w:rsidRPr="004D036B">
        <w:rPr>
          <w:rStyle w:val="FootnoteReference"/>
          <w:sz w:val="20"/>
          <w:szCs w:val="20"/>
        </w:rPr>
        <w:footnoteRef/>
      </w:r>
      <w:r w:rsidRPr="004D036B">
        <w:rPr>
          <w:sz w:val="20"/>
          <w:szCs w:val="20"/>
          <w:vertAlign w:val="baseline"/>
        </w:rPr>
        <w:t xml:space="preserve"> ‘Oneiromancy’ (Merriam Webster Online Dictionary) &lt;</w:t>
      </w:r>
      <w:hyperlink r:id="rId48" w:history="1">
        <w:r w:rsidRPr="004D036B">
          <w:rPr>
            <w:rStyle w:val="Hyperlink"/>
            <w:sz w:val="20"/>
            <w:szCs w:val="20"/>
            <w:vertAlign w:val="baseline"/>
          </w:rPr>
          <w:t>http://www.merriam-webster.com/dictionary/oneiromancy</w:t>
        </w:r>
      </w:hyperlink>
      <w:r w:rsidRPr="004D036B">
        <w:rPr>
          <w:sz w:val="20"/>
          <w:szCs w:val="20"/>
          <w:vertAlign w:val="baseline"/>
        </w:rPr>
        <w:t>&gt; accessed 16 September 2014</w:t>
      </w:r>
    </w:p>
  </w:footnote>
  <w:footnote w:id="380">
    <w:p w14:paraId="2D77955D" w14:textId="6801B9B3" w:rsidR="00431A55" w:rsidRPr="00D50DC0" w:rsidRDefault="00431A55" w:rsidP="007D11E4">
      <w:pPr>
        <w:pStyle w:val="FootnoteText"/>
        <w:rPr>
          <w:sz w:val="20"/>
          <w:szCs w:val="20"/>
          <w:vertAlign w:val="baseline"/>
        </w:rPr>
      </w:pPr>
      <w:r w:rsidRPr="00D50DC0">
        <w:rPr>
          <w:rStyle w:val="FootnoteReference"/>
          <w:sz w:val="20"/>
          <w:szCs w:val="20"/>
        </w:rPr>
        <w:footnoteRef/>
      </w:r>
      <w:r w:rsidRPr="00D50DC0">
        <w:rPr>
          <w:sz w:val="20"/>
          <w:szCs w:val="20"/>
        </w:rPr>
        <w:t xml:space="preserve"> </w:t>
      </w:r>
      <w:r w:rsidRPr="00D50DC0">
        <w:rPr>
          <w:sz w:val="20"/>
          <w:szCs w:val="20"/>
          <w:vertAlign w:val="baseline"/>
        </w:rPr>
        <w:t>‘Necromancy’ (Merriam Webster Online Dictionary) &lt;</w:t>
      </w:r>
      <w:hyperlink r:id="rId49" w:history="1">
        <w:r w:rsidRPr="00D50DC0">
          <w:rPr>
            <w:rStyle w:val="Hyperlink"/>
            <w:sz w:val="20"/>
            <w:szCs w:val="20"/>
            <w:vertAlign w:val="baseline"/>
          </w:rPr>
          <w:t>http://www.merriam-webster.com/dictionary/necromancy?show=0&amp;t=1410864361</w:t>
        </w:r>
      </w:hyperlink>
      <w:r>
        <w:rPr>
          <w:sz w:val="20"/>
          <w:szCs w:val="20"/>
          <w:vertAlign w:val="baseline"/>
        </w:rPr>
        <w:t>&gt; accessed 16 September 2014</w:t>
      </w:r>
    </w:p>
  </w:footnote>
  <w:footnote w:id="381">
    <w:p w14:paraId="5FA9DFC2" w14:textId="5827D101" w:rsidR="00431A55" w:rsidRPr="00D50DC0" w:rsidRDefault="00431A55" w:rsidP="007D11E4">
      <w:pPr>
        <w:pStyle w:val="FootnoteText"/>
        <w:rPr>
          <w:sz w:val="20"/>
          <w:szCs w:val="20"/>
          <w:vertAlign w:val="baseline"/>
        </w:rPr>
      </w:pPr>
      <w:r w:rsidRPr="00D50DC0">
        <w:rPr>
          <w:rStyle w:val="FootnoteReference"/>
          <w:sz w:val="20"/>
          <w:szCs w:val="20"/>
        </w:rPr>
        <w:footnoteRef/>
      </w:r>
      <w:r w:rsidRPr="00D50DC0">
        <w:rPr>
          <w:sz w:val="20"/>
          <w:szCs w:val="20"/>
          <w:vertAlign w:val="baseline"/>
        </w:rPr>
        <w:t xml:space="preserve"> ‘Presentiments’ (Merriam Webster Online Dictionary) &lt;</w:t>
      </w:r>
      <w:hyperlink r:id="rId50" w:history="1">
        <w:r w:rsidRPr="00D50DC0">
          <w:rPr>
            <w:rStyle w:val="Hyperlink"/>
            <w:sz w:val="20"/>
            <w:szCs w:val="20"/>
            <w:vertAlign w:val="baseline"/>
          </w:rPr>
          <w:t>http://www.merriam-webster.com/dictionary/presentiments</w:t>
        </w:r>
      </w:hyperlink>
      <w:r>
        <w:rPr>
          <w:sz w:val="20"/>
          <w:szCs w:val="20"/>
          <w:vertAlign w:val="baseline"/>
        </w:rPr>
        <w:t>&gt; accessed 16 September 2014</w:t>
      </w:r>
    </w:p>
  </w:footnote>
  <w:footnote w:id="382">
    <w:p w14:paraId="12FA008D" w14:textId="2274EB80" w:rsidR="00431A55" w:rsidRPr="00D50DC0" w:rsidRDefault="00431A55" w:rsidP="007D11E4">
      <w:pPr>
        <w:pStyle w:val="FootnoteText"/>
        <w:rPr>
          <w:sz w:val="20"/>
          <w:szCs w:val="20"/>
          <w:vertAlign w:val="baseline"/>
        </w:rPr>
      </w:pPr>
      <w:r w:rsidRPr="00D50DC0">
        <w:rPr>
          <w:rStyle w:val="FootnoteReference"/>
          <w:sz w:val="20"/>
          <w:szCs w:val="20"/>
        </w:rPr>
        <w:footnoteRef/>
      </w:r>
      <w:r w:rsidRPr="00D50DC0">
        <w:rPr>
          <w:sz w:val="20"/>
          <w:szCs w:val="20"/>
        </w:rPr>
        <w:t xml:space="preserve"> </w:t>
      </w:r>
      <w:r>
        <w:rPr>
          <w:sz w:val="20"/>
          <w:szCs w:val="20"/>
          <w:vertAlign w:val="baseline"/>
        </w:rPr>
        <w:t>Stein (n 179) 149</w:t>
      </w:r>
    </w:p>
  </w:footnote>
  <w:footnote w:id="383">
    <w:p w14:paraId="1BF3EA5B" w14:textId="77777777" w:rsidR="00431A55" w:rsidRPr="00D50DC0" w:rsidRDefault="00431A55" w:rsidP="007D11E4">
      <w:pPr>
        <w:pStyle w:val="FootnoteText"/>
        <w:rPr>
          <w:sz w:val="20"/>
          <w:szCs w:val="20"/>
          <w:vertAlign w:val="baseline"/>
        </w:rPr>
      </w:pPr>
      <w:r w:rsidRPr="00D50DC0">
        <w:rPr>
          <w:rStyle w:val="FootnoteReference"/>
          <w:sz w:val="20"/>
          <w:szCs w:val="20"/>
        </w:rPr>
        <w:footnoteRef/>
      </w:r>
      <w:r w:rsidRPr="00D50DC0">
        <w:rPr>
          <w:sz w:val="20"/>
          <w:szCs w:val="20"/>
        </w:rPr>
        <w:t xml:space="preserve"> </w:t>
      </w:r>
      <w:r w:rsidRPr="00D50DC0">
        <w:rPr>
          <w:sz w:val="20"/>
          <w:szCs w:val="20"/>
          <w:vertAlign w:val="baseline"/>
        </w:rPr>
        <w:t>‘Prophecy’ (Merriam Webster Online Dictionary) &lt;</w:t>
      </w:r>
      <w:hyperlink r:id="rId51" w:history="1">
        <w:r w:rsidRPr="00D50DC0">
          <w:rPr>
            <w:rStyle w:val="Hyperlink"/>
            <w:sz w:val="20"/>
            <w:szCs w:val="20"/>
            <w:vertAlign w:val="baseline"/>
          </w:rPr>
          <w:t>http://www.merriam-webster.com/dictionary/prophecy</w:t>
        </w:r>
      </w:hyperlink>
      <w:r w:rsidRPr="00D50DC0">
        <w:rPr>
          <w:sz w:val="20"/>
          <w:szCs w:val="20"/>
          <w:vertAlign w:val="baseline"/>
        </w:rPr>
        <w:t>&gt; accessed 16 September 2014.</w:t>
      </w:r>
    </w:p>
  </w:footnote>
  <w:footnote w:id="384">
    <w:p w14:paraId="77726352" w14:textId="67A90F46" w:rsidR="00431A55" w:rsidRPr="00D50DC0" w:rsidRDefault="00431A55" w:rsidP="007D11E4">
      <w:pPr>
        <w:pStyle w:val="FootnoteText"/>
        <w:rPr>
          <w:sz w:val="20"/>
          <w:szCs w:val="20"/>
          <w:vertAlign w:val="baseline"/>
        </w:rPr>
      </w:pPr>
      <w:r w:rsidRPr="00D50DC0">
        <w:rPr>
          <w:rStyle w:val="FootnoteReference"/>
          <w:sz w:val="20"/>
          <w:szCs w:val="20"/>
        </w:rPr>
        <w:footnoteRef/>
      </w:r>
      <w:r w:rsidRPr="00D50DC0">
        <w:rPr>
          <w:sz w:val="20"/>
          <w:szCs w:val="20"/>
          <w:vertAlign w:val="baseline"/>
        </w:rPr>
        <w:t xml:space="preserve"> </w:t>
      </w:r>
      <w:r>
        <w:rPr>
          <w:sz w:val="20"/>
          <w:szCs w:val="20"/>
          <w:vertAlign w:val="baseline"/>
        </w:rPr>
        <w:t>Stein (n 179) 149</w:t>
      </w:r>
    </w:p>
  </w:footnote>
  <w:footnote w:id="385">
    <w:p w14:paraId="7A593ED1" w14:textId="2DA78DB7" w:rsidR="00431A55" w:rsidRPr="00D50DC0" w:rsidRDefault="00431A55" w:rsidP="007D11E4">
      <w:pPr>
        <w:pStyle w:val="FootnoteText"/>
        <w:rPr>
          <w:sz w:val="20"/>
          <w:szCs w:val="20"/>
          <w:vertAlign w:val="baseline"/>
        </w:rPr>
      </w:pPr>
      <w:r w:rsidRPr="00D50DC0">
        <w:rPr>
          <w:rStyle w:val="FootnoteReference"/>
          <w:sz w:val="20"/>
          <w:szCs w:val="20"/>
        </w:rPr>
        <w:footnoteRef/>
      </w:r>
      <w:r w:rsidRPr="00D50DC0">
        <w:rPr>
          <w:sz w:val="20"/>
          <w:szCs w:val="20"/>
          <w:vertAlign w:val="baseline"/>
        </w:rPr>
        <w:t xml:space="preserve"> </w:t>
      </w:r>
      <w:r>
        <w:rPr>
          <w:sz w:val="20"/>
          <w:szCs w:val="20"/>
          <w:vertAlign w:val="baseline"/>
        </w:rPr>
        <w:t>ibid</w:t>
      </w:r>
    </w:p>
  </w:footnote>
  <w:footnote w:id="386">
    <w:p w14:paraId="4CCBC5D8" w14:textId="77777777" w:rsidR="00431A55" w:rsidRPr="00D50DC0" w:rsidRDefault="00431A55" w:rsidP="007D11E4">
      <w:pPr>
        <w:pStyle w:val="FootnoteText"/>
        <w:rPr>
          <w:sz w:val="20"/>
          <w:szCs w:val="20"/>
          <w:vertAlign w:val="baseline"/>
        </w:rPr>
      </w:pPr>
      <w:r w:rsidRPr="00D50DC0">
        <w:rPr>
          <w:rStyle w:val="FootnoteReference"/>
          <w:sz w:val="20"/>
          <w:szCs w:val="20"/>
        </w:rPr>
        <w:footnoteRef/>
      </w:r>
      <w:r w:rsidRPr="00D50DC0">
        <w:rPr>
          <w:sz w:val="20"/>
          <w:szCs w:val="20"/>
        </w:rPr>
        <w:t xml:space="preserve"> </w:t>
      </w:r>
      <w:r w:rsidRPr="00D50DC0">
        <w:rPr>
          <w:sz w:val="20"/>
          <w:szCs w:val="20"/>
          <w:vertAlign w:val="baseline"/>
        </w:rPr>
        <w:t>Margaret H. Kerr, Richard D. Forsyth and Michael J. Plyley, ‘Cold Water and Hot Iron: Trial by Ordeal in England’ (1992) 22(4) The Journal of Interdisciplinary History 573-595.</w:t>
      </w:r>
    </w:p>
  </w:footnote>
  <w:footnote w:id="387">
    <w:p w14:paraId="4071DB4A" w14:textId="37C1008B" w:rsidR="00431A55" w:rsidRDefault="00431A55" w:rsidP="007D11E4">
      <w:pPr>
        <w:pStyle w:val="FootnoteText"/>
      </w:pPr>
      <w:r w:rsidRPr="004B2C3D">
        <w:rPr>
          <w:rStyle w:val="FootnoteReference"/>
          <w:sz w:val="20"/>
          <w:szCs w:val="20"/>
        </w:rPr>
        <w:footnoteRef/>
      </w:r>
      <w:r w:rsidRPr="004B2C3D">
        <w:rPr>
          <w:sz w:val="20"/>
          <w:szCs w:val="20"/>
        </w:rPr>
        <w:t xml:space="preserve"> </w:t>
      </w:r>
      <w:r>
        <w:rPr>
          <w:sz w:val="20"/>
          <w:szCs w:val="20"/>
          <w:vertAlign w:val="baseline"/>
        </w:rPr>
        <w:t>ibid</w:t>
      </w:r>
      <w:r w:rsidRPr="00D50DC0">
        <w:rPr>
          <w:sz w:val="20"/>
          <w:szCs w:val="20"/>
          <w:vertAlign w:val="baseline"/>
        </w:rPr>
        <w:t xml:space="preserve"> 573</w:t>
      </w:r>
    </w:p>
  </w:footnote>
  <w:footnote w:id="388">
    <w:p w14:paraId="6AF68E55" w14:textId="1708AA4E" w:rsidR="00431A55" w:rsidRPr="004B2C3D" w:rsidRDefault="00431A55" w:rsidP="007D11E4">
      <w:pPr>
        <w:pStyle w:val="FootnoteText"/>
        <w:rPr>
          <w:sz w:val="20"/>
          <w:szCs w:val="20"/>
          <w:vertAlign w:val="baseline"/>
        </w:rPr>
      </w:pPr>
      <w:r w:rsidRPr="004B2C3D">
        <w:rPr>
          <w:rStyle w:val="FootnoteReference"/>
          <w:sz w:val="20"/>
          <w:szCs w:val="20"/>
        </w:rPr>
        <w:footnoteRef/>
      </w:r>
      <w:r w:rsidRPr="004B2C3D">
        <w:rPr>
          <w:sz w:val="20"/>
          <w:szCs w:val="20"/>
        </w:rPr>
        <w:t xml:space="preserve"> </w:t>
      </w:r>
      <w:r>
        <w:rPr>
          <w:sz w:val="20"/>
          <w:szCs w:val="20"/>
          <w:vertAlign w:val="baseline"/>
        </w:rPr>
        <w:t>ibid 574-5</w:t>
      </w:r>
    </w:p>
  </w:footnote>
  <w:footnote w:id="389">
    <w:p w14:paraId="0FBF34AA" w14:textId="2BFB04C5" w:rsidR="00431A55" w:rsidRPr="004B2C3D" w:rsidRDefault="00431A55" w:rsidP="007D11E4">
      <w:pPr>
        <w:pStyle w:val="FootnoteText"/>
        <w:rPr>
          <w:sz w:val="20"/>
          <w:szCs w:val="20"/>
          <w:vertAlign w:val="baseline"/>
        </w:rPr>
      </w:pPr>
      <w:r w:rsidRPr="004B2C3D">
        <w:rPr>
          <w:rStyle w:val="FootnoteReference"/>
          <w:sz w:val="20"/>
          <w:szCs w:val="20"/>
        </w:rPr>
        <w:footnoteRef/>
      </w:r>
      <w:r w:rsidRPr="004B2C3D">
        <w:rPr>
          <w:sz w:val="20"/>
          <w:szCs w:val="20"/>
        </w:rPr>
        <w:t xml:space="preserve"> </w:t>
      </w:r>
      <w:r w:rsidRPr="004B2C3D">
        <w:rPr>
          <w:sz w:val="20"/>
          <w:szCs w:val="20"/>
          <w:vertAlign w:val="baseline"/>
        </w:rPr>
        <w:t xml:space="preserve">Ben Ijeoma Adigwe, </w:t>
      </w:r>
      <w:r w:rsidRPr="004B2C3D">
        <w:rPr>
          <w:i/>
          <w:sz w:val="20"/>
          <w:szCs w:val="20"/>
          <w:vertAlign w:val="baseline"/>
        </w:rPr>
        <w:t>Peculiar Crimes from Africa</w:t>
      </w:r>
      <w:r w:rsidRPr="004B2C3D">
        <w:rPr>
          <w:sz w:val="20"/>
          <w:szCs w:val="20"/>
          <w:vertAlign w:val="baseline"/>
        </w:rPr>
        <w:t xml:space="preserve"> (Trafford Publishing 2008) 7; Hans Dieter Neuwinge, </w:t>
      </w:r>
      <w:r w:rsidRPr="004B2C3D">
        <w:rPr>
          <w:i/>
          <w:sz w:val="20"/>
          <w:szCs w:val="20"/>
          <w:vertAlign w:val="baseline"/>
        </w:rPr>
        <w:t xml:space="preserve">African Ethnobotany: Poisons and Drugs: Chemistry, Pharmacology, Toxicology </w:t>
      </w:r>
      <w:r>
        <w:rPr>
          <w:sz w:val="20"/>
          <w:szCs w:val="20"/>
          <w:vertAlign w:val="baseline"/>
        </w:rPr>
        <w:t>(Chapman &amp; Hall 1994) 745</w:t>
      </w:r>
    </w:p>
  </w:footnote>
  <w:footnote w:id="390">
    <w:p w14:paraId="355412E2" w14:textId="15581FFD" w:rsidR="00431A55" w:rsidRPr="004B2C3D" w:rsidRDefault="00431A55" w:rsidP="007D11E4">
      <w:pPr>
        <w:pStyle w:val="FootnoteText"/>
        <w:rPr>
          <w:sz w:val="20"/>
          <w:szCs w:val="20"/>
          <w:vertAlign w:val="baseline"/>
        </w:rPr>
      </w:pPr>
      <w:r w:rsidRPr="004B2C3D">
        <w:rPr>
          <w:rStyle w:val="FootnoteReference"/>
          <w:sz w:val="20"/>
          <w:szCs w:val="20"/>
        </w:rPr>
        <w:footnoteRef/>
      </w:r>
      <w:r w:rsidRPr="004B2C3D">
        <w:rPr>
          <w:sz w:val="20"/>
          <w:szCs w:val="20"/>
        </w:rPr>
        <w:t xml:space="preserve"> </w:t>
      </w:r>
      <w:r w:rsidRPr="004B2C3D">
        <w:rPr>
          <w:sz w:val="20"/>
          <w:szCs w:val="20"/>
          <w:vertAlign w:val="baseline"/>
        </w:rPr>
        <w:t>UNHCR, ‘Aid worker calls for action to protect child "witches" from abuse’ (UNHCR, 8 April 2009)</w:t>
      </w:r>
    </w:p>
  </w:footnote>
  <w:footnote w:id="391">
    <w:p w14:paraId="7565399F" w14:textId="586EDDAB" w:rsidR="00431A55" w:rsidRPr="004B2C3D" w:rsidRDefault="00431A55" w:rsidP="007D11E4">
      <w:pPr>
        <w:pStyle w:val="FootnoteText"/>
        <w:tabs>
          <w:tab w:val="left" w:pos="1276"/>
        </w:tabs>
        <w:rPr>
          <w:sz w:val="20"/>
          <w:szCs w:val="20"/>
          <w:vertAlign w:val="baseline"/>
        </w:rPr>
      </w:pPr>
      <w:r w:rsidRPr="004B2C3D">
        <w:rPr>
          <w:rStyle w:val="FootnoteReference"/>
          <w:sz w:val="20"/>
          <w:szCs w:val="20"/>
        </w:rPr>
        <w:footnoteRef/>
      </w:r>
      <w:r w:rsidRPr="004B2C3D">
        <w:rPr>
          <w:sz w:val="20"/>
          <w:szCs w:val="20"/>
        </w:rPr>
        <w:t xml:space="preserve"> </w:t>
      </w:r>
      <w:r w:rsidRPr="004B2C3D">
        <w:rPr>
          <w:sz w:val="20"/>
          <w:szCs w:val="20"/>
          <w:vertAlign w:val="baseline"/>
        </w:rPr>
        <w:t xml:space="preserve">E.E. Evans Pritchard, ‘Oracle Magic of the Azande’ (1928) </w:t>
      </w:r>
      <w:r w:rsidRPr="001336B2">
        <w:rPr>
          <w:sz w:val="20"/>
          <w:szCs w:val="20"/>
          <w:vertAlign w:val="baseline"/>
        </w:rPr>
        <w:t>XI Sudan Notes and Records</w:t>
      </w:r>
      <w:r>
        <w:rPr>
          <w:sz w:val="20"/>
          <w:szCs w:val="20"/>
          <w:vertAlign w:val="baseline"/>
        </w:rPr>
        <w:t xml:space="preserve"> 2</w:t>
      </w:r>
    </w:p>
  </w:footnote>
  <w:footnote w:id="392">
    <w:p w14:paraId="47607A94" w14:textId="45D33FB5" w:rsidR="00431A55" w:rsidRPr="004B2C3D" w:rsidRDefault="00431A55" w:rsidP="007D11E4">
      <w:pPr>
        <w:pStyle w:val="FootnoteText"/>
        <w:rPr>
          <w:sz w:val="20"/>
          <w:szCs w:val="20"/>
          <w:vertAlign w:val="baseline"/>
        </w:rPr>
      </w:pPr>
      <w:r w:rsidRPr="004B2C3D">
        <w:rPr>
          <w:rStyle w:val="FootnoteReference"/>
          <w:sz w:val="20"/>
          <w:szCs w:val="20"/>
        </w:rPr>
        <w:footnoteRef/>
      </w:r>
      <w:r w:rsidRPr="004B2C3D">
        <w:rPr>
          <w:sz w:val="20"/>
          <w:szCs w:val="20"/>
        </w:rPr>
        <w:t xml:space="preserve"> </w:t>
      </w:r>
      <w:r>
        <w:rPr>
          <w:sz w:val="20"/>
          <w:szCs w:val="20"/>
          <w:vertAlign w:val="baseline"/>
        </w:rPr>
        <w:t>ibid</w:t>
      </w:r>
    </w:p>
  </w:footnote>
  <w:footnote w:id="393">
    <w:p w14:paraId="5B4B564E" w14:textId="3259C87E" w:rsidR="00431A55" w:rsidRDefault="00431A55" w:rsidP="007D11E4">
      <w:pPr>
        <w:pStyle w:val="FootnoteText"/>
      </w:pPr>
      <w:r w:rsidRPr="004B2C3D">
        <w:rPr>
          <w:rStyle w:val="FootnoteReference"/>
          <w:sz w:val="20"/>
          <w:szCs w:val="20"/>
        </w:rPr>
        <w:footnoteRef/>
      </w:r>
      <w:r w:rsidRPr="004B2C3D">
        <w:rPr>
          <w:sz w:val="20"/>
          <w:szCs w:val="20"/>
        </w:rPr>
        <w:t xml:space="preserve"> </w:t>
      </w:r>
      <w:r w:rsidRPr="004B2C3D">
        <w:rPr>
          <w:sz w:val="20"/>
          <w:szCs w:val="20"/>
          <w:vertAlign w:val="baseline"/>
        </w:rPr>
        <w:t>ActionAid, ‘Witchcraft in Ghana – the women cursed by superstition’ (ActionAid, 19 October 2010) &lt;</w:t>
      </w:r>
      <w:hyperlink r:id="rId52" w:history="1">
        <w:r w:rsidRPr="004B2C3D">
          <w:rPr>
            <w:rStyle w:val="Hyperlink"/>
            <w:sz w:val="20"/>
            <w:szCs w:val="20"/>
            <w:vertAlign w:val="baseline"/>
          </w:rPr>
          <w:t>http://www.actionaid.org.uk/news-and-views/witchcraft-in-ghana-the-women-cursed-by-superstition</w:t>
        </w:r>
      </w:hyperlink>
      <w:r w:rsidRPr="004B2C3D">
        <w:rPr>
          <w:sz w:val="20"/>
          <w:szCs w:val="20"/>
          <w:vertAlign w:val="baseline"/>
        </w:rPr>
        <w:t>&gt; accessed 16 September 2014.</w:t>
      </w:r>
    </w:p>
  </w:footnote>
  <w:footnote w:id="394">
    <w:p w14:paraId="743AE6AB" w14:textId="12EFCB39" w:rsidR="00431A55" w:rsidRPr="006515DE" w:rsidRDefault="00431A55" w:rsidP="007D11E4">
      <w:pPr>
        <w:pStyle w:val="FootnoteText"/>
        <w:rPr>
          <w:sz w:val="20"/>
          <w:szCs w:val="20"/>
          <w:vertAlign w:val="baseline"/>
        </w:rPr>
      </w:pPr>
      <w:r w:rsidRPr="006515DE">
        <w:rPr>
          <w:rStyle w:val="FootnoteReference"/>
          <w:sz w:val="20"/>
          <w:szCs w:val="20"/>
        </w:rPr>
        <w:footnoteRef/>
      </w:r>
      <w:r>
        <w:rPr>
          <w:sz w:val="20"/>
          <w:szCs w:val="20"/>
          <w:vertAlign w:val="baseline"/>
        </w:rPr>
        <w:t xml:space="preserve"> </w:t>
      </w:r>
      <w:r w:rsidRPr="006515DE">
        <w:rPr>
          <w:sz w:val="20"/>
          <w:szCs w:val="20"/>
          <w:vertAlign w:val="baseline"/>
        </w:rPr>
        <w:t>Adigwe</w:t>
      </w:r>
      <w:r>
        <w:rPr>
          <w:sz w:val="20"/>
          <w:szCs w:val="20"/>
          <w:vertAlign w:val="baseline"/>
        </w:rPr>
        <w:t xml:space="preserve"> (n 389) 8</w:t>
      </w:r>
    </w:p>
  </w:footnote>
  <w:footnote w:id="395">
    <w:p w14:paraId="12B02363" w14:textId="0137A17C" w:rsidR="00431A55" w:rsidRPr="006515DE" w:rsidRDefault="00431A55" w:rsidP="007D11E4">
      <w:pPr>
        <w:pStyle w:val="FootnoteText"/>
        <w:rPr>
          <w:sz w:val="20"/>
          <w:szCs w:val="20"/>
          <w:vertAlign w:val="baseline"/>
        </w:rPr>
      </w:pPr>
      <w:r w:rsidRPr="006515DE">
        <w:rPr>
          <w:rStyle w:val="FootnoteReference"/>
          <w:sz w:val="20"/>
          <w:szCs w:val="20"/>
        </w:rPr>
        <w:footnoteRef/>
      </w:r>
      <w:r w:rsidRPr="006515DE">
        <w:rPr>
          <w:sz w:val="20"/>
          <w:szCs w:val="20"/>
          <w:vertAlign w:val="baseline"/>
        </w:rPr>
        <w:t xml:space="preserve"> Kati Whitaker, ‘Ghana witch camps: Widows' lives in exile’ (BBC News, 1 September 2012)</w:t>
      </w:r>
    </w:p>
    <w:p w14:paraId="0A4A4AC9" w14:textId="77777777" w:rsidR="00431A55" w:rsidRDefault="00431A55" w:rsidP="007D11E4">
      <w:pPr>
        <w:pStyle w:val="FootnoteText"/>
      </w:pPr>
    </w:p>
  </w:footnote>
  <w:footnote w:id="396">
    <w:p w14:paraId="0C4567F7" w14:textId="77777777" w:rsidR="00431A55" w:rsidRPr="00DD78C6" w:rsidRDefault="00431A55" w:rsidP="005F7752">
      <w:pPr>
        <w:pStyle w:val="FootnoteText"/>
        <w:rPr>
          <w:sz w:val="20"/>
          <w:szCs w:val="20"/>
          <w:vertAlign w:val="baseline"/>
        </w:rPr>
      </w:pPr>
      <w:r w:rsidRPr="00DD78C6">
        <w:rPr>
          <w:rStyle w:val="FootnoteReference"/>
          <w:sz w:val="20"/>
          <w:szCs w:val="20"/>
        </w:rPr>
        <w:footnoteRef/>
      </w:r>
      <w:r w:rsidRPr="00DD78C6">
        <w:rPr>
          <w:sz w:val="20"/>
          <w:szCs w:val="20"/>
        </w:rPr>
        <w:t xml:space="preserve"> </w:t>
      </w:r>
      <w:r w:rsidRPr="00DD78C6">
        <w:rPr>
          <w:sz w:val="20"/>
          <w:szCs w:val="20"/>
          <w:vertAlign w:val="baseline"/>
        </w:rPr>
        <w:t xml:space="preserve">Carol F. Karlsen, </w:t>
      </w:r>
      <w:r w:rsidRPr="00DD78C6">
        <w:rPr>
          <w:i/>
          <w:sz w:val="20"/>
          <w:szCs w:val="20"/>
          <w:vertAlign w:val="baseline"/>
        </w:rPr>
        <w:t xml:space="preserve">The Devil in the Shape of a Woman </w:t>
      </w:r>
      <w:r w:rsidRPr="00DD78C6">
        <w:rPr>
          <w:sz w:val="20"/>
          <w:szCs w:val="20"/>
          <w:vertAlign w:val="baseline"/>
        </w:rPr>
        <w:t>(Norton 1987) xiii</w:t>
      </w:r>
    </w:p>
  </w:footnote>
  <w:footnote w:id="397">
    <w:p w14:paraId="5DB21B63" w14:textId="17ACFB6A" w:rsidR="00431A55" w:rsidRPr="00BD5CF8" w:rsidRDefault="00431A55" w:rsidP="005F7752">
      <w:pPr>
        <w:pStyle w:val="FootnoteText"/>
      </w:pPr>
      <w:r w:rsidRPr="00DD78C6">
        <w:rPr>
          <w:rStyle w:val="FootnoteReference"/>
          <w:sz w:val="20"/>
          <w:szCs w:val="20"/>
        </w:rPr>
        <w:footnoteRef/>
      </w:r>
      <w:r w:rsidRPr="00DD78C6">
        <w:rPr>
          <w:sz w:val="20"/>
          <w:szCs w:val="20"/>
        </w:rPr>
        <w:t xml:space="preserve"> </w:t>
      </w:r>
      <w:r w:rsidRPr="00DD78C6">
        <w:rPr>
          <w:sz w:val="20"/>
          <w:szCs w:val="20"/>
          <w:vertAlign w:val="baseline"/>
        </w:rPr>
        <w:t xml:space="preserve">Alan MacFarlane, </w:t>
      </w:r>
      <w:r w:rsidRPr="00DD78C6">
        <w:rPr>
          <w:i/>
          <w:sz w:val="20"/>
          <w:szCs w:val="20"/>
          <w:vertAlign w:val="baseline"/>
        </w:rPr>
        <w:t xml:space="preserve">Witchcraft in Tudor and Stuart England, a Regional and Comparative Study </w:t>
      </w:r>
      <w:r w:rsidRPr="00DD78C6">
        <w:rPr>
          <w:sz w:val="20"/>
          <w:szCs w:val="20"/>
          <w:vertAlign w:val="baseline"/>
        </w:rPr>
        <w:t>(Routledge 1970) 160</w:t>
      </w:r>
    </w:p>
  </w:footnote>
  <w:footnote w:id="398">
    <w:p w14:paraId="14D188B3" w14:textId="4B364BFF" w:rsidR="00431A55" w:rsidRPr="009D4430" w:rsidRDefault="00431A55" w:rsidP="005F7752">
      <w:pPr>
        <w:pStyle w:val="FootnoteText"/>
        <w:rPr>
          <w:sz w:val="20"/>
          <w:szCs w:val="20"/>
          <w:vertAlign w:val="baseline"/>
        </w:rPr>
      </w:pPr>
      <w:r w:rsidRPr="009D4430">
        <w:rPr>
          <w:rStyle w:val="FootnoteReference"/>
          <w:sz w:val="20"/>
          <w:szCs w:val="20"/>
        </w:rPr>
        <w:footnoteRef/>
      </w:r>
      <w:r w:rsidRPr="009D4430">
        <w:rPr>
          <w:sz w:val="20"/>
          <w:szCs w:val="20"/>
          <w:vertAlign w:val="baseline"/>
        </w:rPr>
        <w:t xml:space="preserve"> Marianne Hester, </w:t>
      </w:r>
      <w:r w:rsidRPr="009D4430">
        <w:rPr>
          <w:i/>
          <w:sz w:val="20"/>
          <w:szCs w:val="20"/>
          <w:vertAlign w:val="baseline"/>
        </w:rPr>
        <w:t>Lewd Women and Wicked Witches: A Study of the Dynamics of Male Domination</w:t>
      </w:r>
      <w:r>
        <w:rPr>
          <w:sz w:val="20"/>
          <w:szCs w:val="20"/>
          <w:vertAlign w:val="baseline"/>
        </w:rPr>
        <w:t xml:space="preserve"> (Routledge 1992) 107</w:t>
      </w:r>
    </w:p>
  </w:footnote>
  <w:footnote w:id="399">
    <w:p w14:paraId="4575E570" w14:textId="36CF1437" w:rsidR="00431A55" w:rsidRPr="009D4430" w:rsidRDefault="00431A55" w:rsidP="005F7752">
      <w:pPr>
        <w:pStyle w:val="FootnoteText"/>
        <w:rPr>
          <w:sz w:val="20"/>
          <w:szCs w:val="20"/>
          <w:vertAlign w:val="baseline"/>
        </w:rPr>
      </w:pPr>
      <w:r w:rsidRPr="009D4430">
        <w:rPr>
          <w:rStyle w:val="FootnoteReference"/>
          <w:sz w:val="20"/>
          <w:szCs w:val="20"/>
        </w:rPr>
        <w:footnoteRef/>
      </w:r>
      <w:r w:rsidRPr="009D4430">
        <w:rPr>
          <w:sz w:val="20"/>
          <w:szCs w:val="20"/>
        </w:rPr>
        <w:t xml:space="preserve"> </w:t>
      </w:r>
      <w:r>
        <w:rPr>
          <w:sz w:val="20"/>
          <w:szCs w:val="20"/>
          <w:vertAlign w:val="baseline"/>
        </w:rPr>
        <w:t>Section 2.8</w:t>
      </w:r>
    </w:p>
  </w:footnote>
  <w:footnote w:id="400">
    <w:p w14:paraId="56EFCC2F" w14:textId="453899A7" w:rsidR="00431A55" w:rsidRPr="009D4430" w:rsidRDefault="00431A55" w:rsidP="005F7752">
      <w:pPr>
        <w:pStyle w:val="NoSpacing"/>
        <w:rPr>
          <w:vertAlign w:val="baseline"/>
        </w:rPr>
      </w:pPr>
      <w:r w:rsidRPr="009D4430">
        <w:rPr>
          <w:rStyle w:val="FootnoteReference"/>
        </w:rPr>
        <w:footnoteRef/>
      </w:r>
      <w:r>
        <w:rPr>
          <w:vertAlign w:val="baseline"/>
        </w:rPr>
        <w:t xml:space="preserve"> Stark (n 127) 246-254</w:t>
      </w:r>
    </w:p>
  </w:footnote>
  <w:footnote w:id="401">
    <w:p w14:paraId="48790063" w14:textId="3A2DF9D1" w:rsidR="00431A55" w:rsidRPr="009D4430" w:rsidRDefault="00431A55" w:rsidP="005F7752">
      <w:pPr>
        <w:pStyle w:val="NoSpacing"/>
        <w:rPr>
          <w:vertAlign w:val="baseline"/>
        </w:rPr>
      </w:pPr>
      <w:r w:rsidRPr="009D4430">
        <w:rPr>
          <w:rStyle w:val="FootnoteReference"/>
        </w:rPr>
        <w:footnoteRef/>
      </w:r>
      <w:r w:rsidRPr="009D4430">
        <w:t xml:space="preserve"> </w:t>
      </w:r>
      <w:r w:rsidRPr="009D4430">
        <w:rPr>
          <w:vertAlign w:val="baseline"/>
        </w:rPr>
        <w:t xml:space="preserve">Anne L. Barstow, </w:t>
      </w:r>
      <w:r w:rsidRPr="009D4430">
        <w:rPr>
          <w:i/>
          <w:vertAlign w:val="baseline"/>
        </w:rPr>
        <w:t>Witchcraze: A New History of the European Witch Hunts</w:t>
      </w:r>
      <w:r>
        <w:rPr>
          <w:vertAlign w:val="baseline"/>
        </w:rPr>
        <w:t xml:space="preserve"> (HarperCollins 1995) 4</w:t>
      </w:r>
    </w:p>
  </w:footnote>
  <w:footnote w:id="402">
    <w:p w14:paraId="6510C395" w14:textId="5DDA1C18" w:rsidR="00431A55" w:rsidRDefault="00431A55" w:rsidP="005F7752">
      <w:pPr>
        <w:pStyle w:val="FootnoteText"/>
      </w:pPr>
      <w:r w:rsidRPr="009D4430">
        <w:rPr>
          <w:rStyle w:val="FootnoteReference"/>
          <w:sz w:val="20"/>
          <w:szCs w:val="20"/>
        </w:rPr>
        <w:footnoteRef/>
      </w:r>
      <w:r w:rsidRPr="009D4430">
        <w:rPr>
          <w:sz w:val="20"/>
          <w:szCs w:val="20"/>
        </w:rPr>
        <w:t xml:space="preserve"> </w:t>
      </w:r>
      <w:r w:rsidRPr="009D4430">
        <w:rPr>
          <w:sz w:val="20"/>
          <w:szCs w:val="20"/>
          <w:vertAlign w:val="baseline"/>
        </w:rPr>
        <w:t xml:space="preserve">For views on religious conflict see Keith Thomas, </w:t>
      </w:r>
      <w:r w:rsidRPr="009D4430">
        <w:rPr>
          <w:i/>
          <w:sz w:val="20"/>
          <w:szCs w:val="20"/>
          <w:vertAlign w:val="baseline"/>
        </w:rPr>
        <w:t>Religion and the Decline of Magic</w:t>
      </w:r>
      <w:r w:rsidRPr="009D4430">
        <w:rPr>
          <w:sz w:val="20"/>
          <w:szCs w:val="20"/>
          <w:vertAlign w:val="baseline"/>
        </w:rPr>
        <w:t xml:space="preserve"> (</w:t>
      </w:r>
      <w:r>
        <w:rPr>
          <w:sz w:val="20"/>
          <w:szCs w:val="20"/>
          <w:vertAlign w:val="baseline"/>
        </w:rPr>
        <w:t xml:space="preserve">Penguin 1971); Murray (n 181); </w:t>
      </w:r>
      <w:r w:rsidRPr="009D4430">
        <w:rPr>
          <w:sz w:val="20"/>
          <w:szCs w:val="20"/>
          <w:vertAlign w:val="baseline"/>
        </w:rPr>
        <w:t xml:space="preserve">on governance see Richard Kieckhefer, </w:t>
      </w:r>
      <w:r w:rsidRPr="009D4430">
        <w:rPr>
          <w:i/>
          <w:sz w:val="20"/>
          <w:szCs w:val="20"/>
          <w:vertAlign w:val="baseline"/>
        </w:rPr>
        <w:t>European Witch Trials: Their Foundations in Popular and Learned Culture, 1300-1500</w:t>
      </w:r>
      <w:r w:rsidRPr="009D4430">
        <w:rPr>
          <w:sz w:val="20"/>
          <w:szCs w:val="20"/>
          <w:vertAlign w:val="baseline"/>
        </w:rPr>
        <w:t xml:space="preserve"> (Taylor &amp; Francis 1976); Norman Cohn, </w:t>
      </w:r>
      <w:r w:rsidRPr="009D4430">
        <w:rPr>
          <w:i/>
          <w:sz w:val="20"/>
          <w:szCs w:val="20"/>
          <w:vertAlign w:val="baseline"/>
        </w:rPr>
        <w:t>Europe’s Inner Demons:</w:t>
      </w:r>
      <w:r w:rsidRPr="009D4430">
        <w:rPr>
          <w:sz w:val="20"/>
          <w:szCs w:val="20"/>
          <w:vertAlign w:val="baseline"/>
        </w:rPr>
        <w:t xml:space="preserve"> </w:t>
      </w:r>
      <w:r w:rsidRPr="009D4430">
        <w:rPr>
          <w:i/>
          <w:sz w:val="20"/>
          <w:szCs w:val="20"/>
          <w:vertAlign w:val="baseline"/>
        </w:rPr>
        <w:t>The Demonization of Christians In Medieval</w:t>
      </w:r>
      <w:r w:rsidRPr="009D4430">
        <w:rPr>
          <w:sz w:val="20"/>
          <w:szCs w:val="20"/>
          <w:vertAlign w:val="baseline"/>
        </w:rPr>
        <w:t xml:space="preserve"> </w:t>
      </w:r>
      <w:r w:rsidRPr="009D4430">
        <w:rPr>
          <w:i/>
          <w:sz w:val="20"/>
          <w:szCs w:val="20"/>
          <w:vertAlign w:val="baseline"/>
        </w:rPr>
        <w:t>Christendom</w:t>
      </w:r>
      <w:r w:rsidRPr="009D4430">
        <w:rPr>
          <w:sz w:val="20"/>
          <w:szCs w:val="20"/>
          <w:vertAlign w:val="baseline"/>
        </w:rPr>
        <w:t xml:space="preserve"> (Pimlico 1993); Carlo Ginzburg, </w:t>
      </w:r>
      <w:r w:rsidRPr="009D4430">
        <w:rPr>
          <w:i/>
          <w:sz w:val="20"/>
          <w:szCs w:val="20"/>
          <w:vertAlign w:val="baseline"/>
        </w:rPr>
        <w:t>The Night Battles: Witchcraft and Agrarian Cults in the Sixteenth and Seventeenth Centuries</w:t>
      </w:r>
      <w:r w:rsidRPr="009D4430">
        <w:rPr>
          <w:sz w:val="20"/>
          <w:szCs w:val="20"/>
          <w:vertAlign w:val="baseline"/>
        </w:rPr>
        <w:t xml:space="preserve"> (John &amp; Ann Tedeschi Tr, Routledge 2011); on the imposition of a secular state and legal system see Elliot P. Currie, ‘Crimes without Criminals: Witchcraft and its Control in Renaissa</w:t>
      </w:r>
      <w:r>
        <w:rPr>
          <w:sz w:val="20"/>
          <w:szCs w:val="20"/>
          <w:vertAlign w:val="baseline"/>
        </w:rPr>
        <w:t>nce Europe’ (1968) 3(1) L Soc Rev</w:t>
      </w:r>
      <w:r w:rsidRPr="009D4430">
        <w:rPr>
          <w:sz w:val="20"/>
          <w:szCs w:val="20"/>
          <w:vertAlign w:val="baseline"/>
        </w:rPr>
        <w:t xml:space="preserve"> 7-32; Christina Larner, </w:t>
      </w:r>
      <w:r w:rsidRPr="009D4430">
        <w:rPr>
          <w:i/>
          <w:sz w:val="20"/>
          <w:szCs w:val="20"/>
          <w:vertAlign w:val="baseline"/>
        </w:rPr>
        <w:t>Enemies of God</w:t>
      </w:r>
      <w:r w:rsidRPr="009D4430">
        <w:rPr>
          <w:sz w:val="20"/>
          <w:szCs w:val="20"/>
          <w:vertAlign w:val="baseline"/>
        </w:rPr>
        <w:t xml:space="preserve"> (Blackwell 1983)</w:t>
      </w:r>
    </w:p>
  </w:footnote>
  <w:footnote w:id="403">
    <w:p w14:paraId="4F2C215D" w14:textId="151A81C6" w:rsidR="00431A55" w:rsidRPr="009D4430" w:rsidRDefault="00431A55" w:rsidP="005F7752">
      <w:pPr>
        <w:pStyle w:val="NoSpacing"/>
        <w:rPr>
          <w:vertAlign w:val="baseline"/>
        </w:rPr>
      </w:pPr>
      <w:r w:rsidRPr="009D4430">
        <w:rPr>
          <w:rStyle w:val="FootnoteReference"/>
        </w:rPr>
        <w:footnoteRef/>
      </w:r>
      <w:r w:rsidRPr="009D4430">
        <w:rPr>
          <w:vertAlign w:val="baseline"/>
        </w:rPr>
        <w:t xml:space="preserve"> </w:t>
      </w:r>
      <w:r>
        <w:rPr>
          <w:vertAlign w:val="baseline"/>
        </w:rPr>
        <w:t>Barstow (n 401) 4</w:t>
      </w:r>
    </w:p>
  </w:footnote>
  <w:footnote w:id="404">
    <w:p w14:paraId="6B08DEC0" w14:textId="1533C993" w:rsidR="00431A55" w:rsidRPr="009D4430" w:rsidRDefault="00431A55" w:rsidP="005F7752">
      <w:pPr>
        <w:pStyle w:val="FootnoteText"/>
        <w:tabs>
          <w:tab w:val="left" w:pos="284"/>
        </w:tabs>
        <w:rPr>
          <w:sz w:val="20"/>
          <w:szCs w:val="20"/>
          <w:vertAlign w:val="baseline"/>
        </w:rPr>
      </w:pPr>
      <w:r w:rsidRPr="009D4430">
        <w:rPr>
          <w:rStyle w:val="FootnoteReference"/>
          <w:sz w:val="20"/>
          <w:szCs w:val="20"/>
        </w:rPr>
        <w:footnoteRef/>
      </w:r>
      <w:r w:rsidRPr="009D4430">
        <w:rPr>
          <w:sz w:val="20"/>
          <w:szCs w:val="20"/>
          <w:vertAlign w:val="baseline"/>
        </w:rPr>
        <w:t xml:space="preserve"> Neil Noddings, </w:t>
      </w:r>
      <w:r w:rsidRPr="009D4430">
        <w:rPr>
          <w:i/>
          <w:sz w:val="20"/>
          <w:szCs w:val="20"/>
          <w:vertAlign w:val="baseline"/>
        </w:rPr>
        <w:t xml:space="preserve">Women and Evil </w:t>
      </w:r>
      <w:r w:rsidRPr="009D4430">
        <w:rPr>
          <w:sz w:val="20"/>
          <w:szCs w:val="20"/>
          <w:vertAlign w:val="baseline"/>
        </w:rPr>
        <w:t>(Ca</w:t>
      </w:r>
      <w:r>
        <w:rPr>
          <w:sz w:val="20"/>
          <w:szCs w:val="20"/>
          <w:vertAlign w:val="baseline"/>
        </w:rPr>
        <w:t>lifornia Press 1989) 36. The ‘Fall of man’ is a Christian term</w:t>
      </w:r>
      <w:r w:rsidRPr="009D4430">
        <w:rPr>
          <w:sz w:val="20"/>
          <w:szCs w:val="20"/>
          <w:vertAlign w:val="baseline"/>
        </w:rPr>
        <w:t xml:space="preserve"> that refers to the notion of Original Sin, where Adam succumbed to temptation by eating the forbidden fruit. As a result it is believed that sin and death entered the world. The doctrine of Original Sin blames</w:t>
      </w:r>
      <w:r>
        <w:rPr>
          <w:sz w:val="20"/>
          <w:szCs w:val="20"/>
          <w:vertAlign w:val="baseline"/>
        </w:rPr>
        <w:t xml:space="preserve"> Eve for the temptation of Adam</w:t>
      </w:r>
    </w:p>
  </w:footnote>
  <w:footnote w:id="405">
    <w:p w14:paraId="4E565027" w14:textId="77777777" w:rsidR="00431A55" w:rsidRPr="009D4430" w:rsidRDefault="00431A55" w:rsidP="005F7752">
      <w:pPr>
        <w:pStyle w:val="FootnoteText"/>
        <w:rPr>
          <w:sz w:val="20"/>
          <w:szCs w:val="20"/>
          <w:vertAlign w:val="baseline"/>
        </w:rPr>
      </w:pPr>
      <w:r w:rsidRPr="009D4430">
        <w:rPr>
          <w:rStyle w:val="FootnoteReference"/>
          <w:sz w:val="20"/>
          <w:szCs w:val="20"/>
        </w:rPr>
        <w:footnoteRef/>
      </w:r>
      <w:r w:rsidRPr="009D4430">
        <w:rPr>
          <w:sz w:val="20"/>
          <w:szCs w:val="20"/>
          <w:vertAlign w:val="baseline"/>
        </w:rPr>
        <w:t xml:space="preserve"> Andre Tiraqueau, </w:t>
      </w:r>
      <w:r w:rsidRPr="009D4430">
        <w:rPr>
          <w:i/>
          <w:sz w:val="20"/>
          <w:szCs w:val="20"/>
          <w:vertAlign w:val="baseline"/>
        </w:rPr>
        <w:t>De legibus conubialibus</w:t>
      </w:r>
      <w:r w:rsidRPr="009D4430">
        <w:rPr>
          <w:sz w:val="20"/>
          <w:szCs w:val="20"/>
          <w:vertAlign w:val="baseline"/>
        </w:rPr>
        <w:t xml:space="preserve"> </w:t>
      </w:r>
      <w:r w:rsidRPr="009D4430">
        <w:rPr>
          <w:i/>
          <w:sz w:val="20"/>
          <w:szCs w:val="20"/>
          <w:vertAlign w:val="baseline"/>
        </w:rPr>
        <w:t xml:space="preserve">et iure naturali (Translated: The laws of marriage and the natural law) </w:t>
      </w:r>
      <w:r w:rsidRPr="009D4430">
        <w:rPr>
          <w:sz w:val="20"/>
          <w:szCs w:val="20"/>
          <w:vertAlign w:val="baseline"/>
        </w:rPr>
        <w:t>(France 1560)</w:t>
      </w:r>
    </w:p>
  </w:footnote>
  <w:footnote w:id="406">
    <w:p w14:paraId="604DD14A" w14:textId="502C0EA7" w:rsidR="00431A55" w:rsidRPr="009D4430" w:rsidRDefault="00431A55" w:rsidP="005F7752">
      <w:pPr>
        <w:pStyle w:val="FootnoteText"/>
        <w:rPr>
          <w:sz w:val="20"/>
          <w:szCs w:val="20"/>
          <w:vertAlign w:val="baseline"/>
        </w:rPr>
      </w:pPr>
      <w:r w:rsidRPr="009D4430">
        <w:rPr>
          <w:rStyle w:val="FootnoteReference"/>
          <w:sz w:val="20"/>
          <w:szCs w:val="20"/>
        </w:rPr>
        <w:footnoteRef/>
      </w:r>
      <w:r>
        <w:rPr>
          <w:sz w:val="20"/>
          <w:szCs w:val="20"/>
          <w:vertAlign w:val="baseline"/>
        </w:rPr>
        <w:t xml:space="preserve"> JA</w:t>
      </w:r>
      <w:r w:rsidRPr="009D4430">
        <w:rPr>
          <w:sz w:val="20"/>
          <w:szCs w:val="20"/>
          <w:vertAlign w:val="baseline"/>
        </w:rPr>
        <w:t xml:space="preserve"> Sharpe, ‘Witchcraft and women in seventeenth century England: some Northern evidence’ in Brian Levack, New Perspectives on Witchcraft, Magic and Demonology: Gender and Witchcraft</w:t>
      </w:r>
      <w:r>
        <w:rPr>
          <w:sz w:val="20"/>
          <w:szCs w:val="20"/>
          <w:vertAlign w:val="baseline"/>
        </w:rPr>
        <w:t xml:space="preserve"> (Vol 4, Routledge 2001) 155</w:t>
      </w:r>
    </w:p>
  </w:footnote>
  <w:footnote w:id="407">
    <w:p w14:paraId="2462FE05" w14:textId="6862BD4C" w:rsidR="00431A55" w:rsidRDefault="00431A55" w:rsidP="005F7752">
      <w:pPr>
        <w:pStyle w:val="FootnoteText"/>
      </w:pPr>
      <w:r w:rsidRPr="009D4430">
        <w:rPr>
          <w:rStyle w:val="FootnoteReference"/>
          <w:sz w:val="20"/>
          <w:szCs w:val="20"/>
        </w:rPr>
        <w:footnoteRef/>
      </w:r>
      <w:r w:rsidRPr="009D4430">
        <w:rPr>
          <w:sz w:val="20"/>
          <w:szCs w:val="20"/>
          <w:vertAlign w:val="baseline"/>
        </w:rPr>
        <w:t xml:space="preserve"> </w:t>
      </w:r>
      <w:r>
        <w:rPr>
          <w:sz w:val="20"/>
          <w:szCs w:val="20"/>
          <w:vertAlign w:val="baseline"/>
        </w:rPr>
        <w:t>ibid</w:t>
      </w:r>
    </w:p>
  </w:footnote>
  <w:footnote w:id="408">
    <w:p w14:paraId="04B7BC25" w14:textId="6B7C6AC4" w:rsidR="00431A55" w:rsidRPr="009D4430" w:rsidRDefault="00431A55" w:rsidP="005F7752">
      <w:pPr>
        <w:pStyle w:val="FootnoteText"/>
        <w:rPr>
          <w:sz w:val="20"/>
          <w:szCs w:val="20"/>
          <w:vertAlign w:val="baseline"/>
        </w:rPr>
      </w:pPr>
      <w:r w:rsidRPr="009D4430">
        <w:rPr>
          <w:rStyle w:val="FootnoteReference"/>
          <w:sz w:val="20"/>
          <w:szCs w:val="20"/>
        </w:rPr>
        <w:footnoteRef/>
      </w:r>
      <w:r w:rsidRPr="009D4430">
        <w:rPr>
          <w:sz w:val="20"/>
          <w:szCs w:val="20"/>
          <w:vertAlign w:val="baseline"/>
        </w:rPr>
        <w:t xml:space="preserve"> Stuart Clark, ‘The “Gendering” of Witchcraft’ in Brian Levack, </w:t>
      </w:r>
      <w:r w:rsidRPr="009D4430">
        <w:rPr>
          <w:i/>
          <w:sz w:val="20"/>
          <w:szCs w:val="20"/>
          <w:vertAlign w:val="baseline"/>
        </w:rPr>
        <w:t>New Perspectives on Witchcraft, Magic and Demonology: Gender and Witchcraft</w:t>
      </w:r>
      <w:r>
        <w:rPr>
          <w:sz w:val="20"/>
          <w:szCs w:val="20"/>
          <w:vertAlign w:val="baseline"/>
        </w:rPr>
        <w:t xml:space="preserve"> (Volume 4, Routledge 2001) 59</w:t>
      </w:r>
    </w:p>
  </w:footnote>
  <w:footnote w:id="409">
    <w:p w14:paraId="17B97F02" w14:textId="11330F13" w:rsidR="00431A55" w:rsidRPr="009D4430" w:rsidRDefault="00431A55" w:rsidP="005F7752">
      <w:pPr>
        <w:pStyle w:val="FootnoteText"/>
        <w:rPr>
          <w:sz w:val="20"/>
          <w:szCs w:val="20"/>
          <w:vertAlign w:val="baseline"/>
        </w:rPr>
      </w:pPr>
      <w:r w:rsidRPr="009D4430">
        <w:rPr>
          <w:rStyle w:val="FootnoteReference"/>
          <w:sz w:val="20"/>
          <w:szCs w:val="20"/>
        </w:rPr>
        <w:footnoteRef/>
      </w:r>
      <w:r w:rsidRPr="009D4430">
        <w:rPr>
          <w:sz w:val="20"/>
          <w:szCs w:val="20"/>
          <w:vertAlign w:val="baseline"/>
        </w:rPr>
        <w:t xml:space="preserve"> </w:t>
      </w:r>
      <w:r>
        <w:rPr>
          <w:sz w:val="20"/>
          <w:szCs w:val="20"/>
          <w:vertAlign w:val="baseline"/>
        </w:rPr>
        <w:t>Kramer (n 221)</w:t>
      </w:r>
    </w:p>
  </w:footnote>
  <w:footnote w:id="410">
    <w:p w14:paraId="424A1F9B" w14:textId="74AF6392" w:rsidR="00431A55" w:rsidRPr="009D4430" w:rsidRDefault="00431A55" w:rsidP="005F7752">
      <w:pPr>
        <w:pStyle w:val="FootnoteText"/>
        <w:rPr>
          <w:sz w:val="20"/>
          <w:szCs w:val="20"/>
          <w:vertAlign w:val="baseline"/>
        </w:rPr>
      </w:pPr>
      <w:r w:rsidRPr="009D4430">
        <w:rPr>
          <w:rStyle w:val="FootnoteReference"/>
          <w:sz w:val="20"/>
          <w:szCs w:val="20"/>
        </w:rPr>
        <w:footnoteRef/>
      </w:r>
      <w:r w:rsidRPr="009D4430">
        <w:rPr>
          <w:sz w:val="20"/>
          <w:szCs w:val="20"/>
          <w:vertAlign w:val="baseline"/>
        </w:rPr>
        <w:t xml:space="preserve"> The Pocket Oxford Latin Dictionary Latin-English (OUP 2005)</w:t>
      </w:r>
    </w:p>
  </w:footnote>
  <w:footnote w:id="411">
    <w:p w14:paraId="30AB59C5" w14:textId="73BD042A" w:rsidR="00431A55" w:rsidRPr="009D4430" w:rsidRDefault="00431A55" w:rsidP="005F7752">
      <w:pPr>
        <w:pStyle w:val="FootnoteText"/>
        <w:rPr>
          <w:sz w:val="20"/>
          <w:szCs w:val="20"/>
          <w:vertAlign w:val="baseline"/>
        </w:rPr>
      </w:pPr>
      <w:r w:rsidRPr="009D4430">
        <w:rPr>
          <w:rStyle w:val="FootnoteReference"/>
          <w:sz w:val="20"/>
          <w:szCs w:val="20"/>
        </w:rPr>
        <w:footnoteRef/>
      </w:r>
      <w:r w:rsidRPr="009D4430">
        <w:rPr>
          <w:sz w:val="20"/>
          <w:szCs w:val="20"/>
          <w:vertAlign w:val="baseline"/>
        </w:rPr>
        <w:t xml:space="preserve"> </w:t>
      </w:r>
      <w:r>
        <w:rPr>
          <w:sz w:val="20"/>
          <w:szCs w:val="20"/>
          <w:vertAlign w:val="baseline"/>
        </w:rPr>
        <w:t>ibid</w:t>
      </w:r>
    </w:p>
  </w:footnote>
  <w:footnote w:id="412">
    <w:p w14:paraId="389FB9F3" w14:textId="7F6B7871" w:rsidR="00431A55" w:rsidRPr="009D4430" w:rsidRDefault="00431A55" w:rsidP="005F7752">
      <w:pPr>
        <w:pStyle w:val="FootnoteText"/>
        <w:rPr>
          <w:sz w:val="20"/>
          <w:szCs w:val="20"/>
          <w:vertAlign w:val="baseline"/>
        </w:rPr>
      </w:pPr>
      <w:r w:rsidRPr="009D4430">
        <w:rPr>
          <w:rStyle w:val="FootnoteReference"/>
          <w:sz w:val="20"/>
          <w:szCs w:val="20"/>
        </w:rPr>
        <w:footnoteRef/>
      </w:r>
      <w:r w:rsidRPr="009D4430">
        <w:rPr>
          <w:sz w:val="20"/>
          <w:szCs w:val="20"/>
          <w:vertAlign w:val="baseline"/>
        </w:rPr>
        <w:t xml:space="preserve"> Broedel</w:t>
      </w:r>
      <w:r>
        <w:rPr>
          <w:sz w:val="20"/>
          <w:szCs w:val="20"/>
          <w:vertAlign w:val="baseline"/>
        </w:rPr>
        <w:t xml:space="preserve"> (n 224)</w:t>
      </w:r>
    </w:p>
  </w:footnote>
  <w:footnote w:id="413">
    <w:p w14:paraId="62AD81E2" w14:textId="6439807E" w:rsidR="00431A55" w:rsidRDefault="00431A55" w:rsidP="005F7752">
      <w:pPr>
        <w:pStyle w:val="FootnoteText"/>
      </w:pPr>
      <w:r w:rsidRPr="009D4430">
        <w:rPr>
          <w:rStyle w:val="FootnoteReference"/>
          <w:sz w:val="20"/>
          <w:szCs w:val="20"/>
        </w:rPr>
        <w:footnoteRef/>
      </w:r>
      <w:r w:rsidRPr="009D4430">
        <w:rPr>
          <w:sz w:val="20"/>
          <w:szCs w:val="20"/>
          <w:vertAlign w:val="baseline"/>
        </w:rPr>
        <w:t xml:space="preserve"> </w:t>
      </w:r>
      <w:r>
        <w:rPr>
          <w:sz w:val="20"/>
          <w:szCs w:val="20"/>
          <w:vertAlign w:val="baseline"/>
        </w:rPr>
        <w:t>ibid</w:t>
      </w:r>
      <w:r w:rsidRPr="009D4430">
        <w:rPr>
          <w:sz w:val="20"/>
          <w:szCs w:val="20"/>
          <w:vertAlign w:val="baseline"/>
        </w:rPr>
        <w:t xml:space="preserve"> 176</w:t>
      </w:r>
    </w:p>
  </w:footnote>
  <w:footnote w:id="414">
    <w:p w14:paraId="355C9671" w14:textId="24EC5BDC" w:rsidR="00431A55" w:rsidRPr="009D4430" w:rsidRDefault="00431A55" w:rsidP="005F7752">
      <w:pPr>
        <w:pStyle w:val="FootnoteText"/>
        <w:rPr>
          <w:sz w:val="20"/>
          <w:szCs w:val="20"/>
          <w:vertAlign w:val="baseline"/>
        </w:rPr>
      </w:pPr>
      <w:r w:rsidRPr="009D4430">
        <w:rPr>
          <w:rStyle w:val="FootnoteReference"/>
          <w:sz w:val="20"/>
          <w:szCs w:val="20"/>
        </w:rPr>
        <w:footnoteRef/>
      </w:r>
      <w:r>
        <w:rPr>
          <w:sz w:val="20"/>
          <w:szCs w:val="20"/>
          <w:vertAlign w:val="baseline"/>
        </w:rPr>
        <w:t xml:space="preserve"> </w:t>
      </w:r>
      <w:r w:rsidRPr="009D4430">
        <w:rPr>
          <w:sz w:val="20"/>
          <w:szCs w:val="20"/>
          <w:vertAlign w:val="baseline"/>
        </w:rPr>
        <w:t>Clark</w:t>
      </w:r>
      <w:r>
        <w:rPr>
          <w:sz w:val="20"/>
          <w:szCs w:val="20"/>
          <w:vertAlign w:val="baseline"/>
        </w:rPr>
        <w:t xml:space="preserve"> (n 408) 56</w:t>
      </w:r>
    </w:p>
  </w:footnote>
  <w:footnote w:id="415">
    <w:p w14:paraId="3C0430A3" w14:textId="07030AA8" w:rsidR="00431A55" w:rsidRPr="00EC7531" w:rsidRDefault="00431A55" w:rsidP="005F7752">
      <w:pPr>
        <w:pStyle w:val="FootnoteText"/>
        <w:rPr>
          <w:sz w:val="20"/>
          <w:szCs w:val="20"/>
          <w:vertAlign w:val="baseline"/>
        </w:rPr>
      </w:pPr>
      <w:r w:rsidRPr="00EC7531">
        <w:rPr>
          <w:rStyle w:val="FootnoteReference"/>
          <w:sz w:val="20"/>
          <w:szCs w:val="20"/>
        </w:rPr>
        <w:footnoteRef/>
      </w:r>
      <w:r w:rsidRPr="00EC7531">
        <w:rPr>
          <w:sz w:val="20"/>
          <w:szCs w:val="20"/>
          <w:vertAlign w:val="baseline"/>
        </w:rPr>
        <w:t xml:space="preserve"> </w:t>
      </w:r>
      <w:r>
        <w:rPr>
          <w:sz w:val="20"/>
          <w:szCs w:val="20"/>
          <w:vertAlign w:val="baseline"/>
        </w:rPr>
        <w:t>ibid</w:t>
      </w:r>
    </w:p>
  </w:footnote>
  <w:footnote w:id="416">
    <w:p w14:paraId="07CAB0EA" w14:textId="77777777" w:rsidR="00431A55" w:rsidRPr="00EC7531" w:rsidRDefault="00431A55" w:rsidP="005F7752">
      <w:pPr>
        <w:pStyle w:val="FootnoteText"/>
        <w:rPr>
          <w:sz w:val="20"/>
          <w:szCs w:val="20"/>
          <w:vertAlign w:val="baseline"/>
        </w:rPr>
      </w:pPr>
      <w:r w:rsidRPr="00EC7531">
        <w:rPr>
          <w:rStyle w:val="FootnoteReference"/>
          <w:sz w:val="20"/>
          <w:szCs w:val="20"/>
        </w:rPr>
        <w:footnoteRef/>
      </w:r>
      <w:r w:rsidRPr="00EC7531">
        <w:rPr>
          <w:sz w:val="20"/>
          <w:szCs w:val="20"/>
        </w:rPr>
        <w:t xml:space="preserve"> </w:t>
      </w:r>
      <w:r w:rsidRPr="00EC7531">
        <w:rPr>
          <w:sz w:val="20"/>
          <w:szCs w:val="20"/>
          <w:vertAlign w:val="baseline"/>
        </w:rPr>
        <w:t xml:space="preserve">Tertullian, </w:t>
      </w:r>
      <w:r w:rsidRPr="00EC7531">
        <w:rPr>
          <w:i/>
          <w:sz w:val="20"/>
          <w:szCs w:val="20"/>
          <w:vertAlign w:val="baseline"/>
        </w:rPr>
        <w:t>On the Apparel of Women</w:t>
      </w:r>
      <w:r w:rsidRPr="00EC7531">
        <w:rPr>
          <w:sz w:val="20"/>
          <w:szCs w:val="20"/>
          <w:vertAlign w:val="baseline"/>
        </w:rPr>
        <w:t xml:space="preserve"> (first published 202 C.E., Kessinger Publishing 2004)</w:t>
      </w:r>
    </w:p>
  </w:footnote>
  <w:footnote w:id="417">
    <w:p w14:paraId="05F1B05E" w14:textId="668100E2" w:rsidR="00431A55" w:rsidRPr="00EC7531" w:rsidRDefault="00431A55" w:rsidP="005F7752">
      <w:pPr>
        <w:pStyle w:val="FootnoteText"/>
        <w:rPr>
          <w:sz w:val="20"/>
          <w:szCs w:val="20"/>
          <w:vertAlign w:val="baseline"/>
        </w:rPr>
      </w:pPr>
      <w:r w:rsidRPr="00EC7531">
        <w:rPr>
          <w:rStyle w:val="FootnoteReference"/>
          <w:sz w:val="20"/>
          <w:szCs w:val="20"/>
        </w:rPr>
        <w:footnoteRef/>
      </w:r>
      <w:r w:rsidRPr="00EC7531">
        <w:rPr>
          <w:sz w:val="20"/>
          <w:szCs w:val="20"/>
        </w:rPr>
        <w:t xml:space="preserve"> </w:t>
      </w:r>
      <w:r>
        <w:rPr>
          <w:sz w:val="20"/>
          <w:szCs w:val="20"/>
          <w:vertAlign w:val="baseline"/>
        </w:rPr>
        <w:t>ibid 3</w:t>
      </w:r>
    </w:p>
  </w:footnote>
  <w:footnote w:id="418">
    <w:p w14:paraId="2407B1D5" w14:textId="24176DE0" w:rsidR="00431A55" w:rsidRPr="00EC7531" w:rsidRDefault="00431A55" w:rsidP="005F7752">
      <w:pPr>
        <w:pStyle w:val="FootnoteText"/>
        <w:rPr>
          <w:sz w:val="20"/>
          <w:szCs w:val="20"/>
          <w:vertAlign w:val="baseline"/>
        </w:rPr>
      </w:pPr>
      <w:r w:rsidRPr="00EC7531">
        <w:rPr>
          <w:rStyle w:val="FootnoteReference"/>
          <w:sz w:val="20"/>
          <w:szCs w:val="20"/>
        </w:rPr>
        <w:footnoteRef/>
      </w:r>
      <w:r w:rsidRPr="00EC7531">
        <w:rPr>
          <w:sz w:val="20"/>
          <w:szCs w:val="20"/>
        </w:rPr>
        <w:t xml:space="preserve"> </w:t>
      </w:r>
      <w:r>
        <w:rPr>
          <w:sz w:val="20"/>
          <w:szCs w:val="20"/>
          <w:vertAlign w:val="baseline"/>
        </w:rPr>
        <w:t>Kramer (n 221)</w:t>
      </w:r>
      <w:r>
        <w:rPr>
          <w:iCs/>
          <w:sz w:val="20"/>
          <w:szCs w:val="20"/>
          <w:vertAlign w:val="baseline"/>
        </w:rPr>
        <w:t xml:space="preserve"> 45</w:t>
      </w:r>
      <w:r w:rsidRPr="00EC7531">
        <w:rPr>
          <w:iCs/>
          <w:sz w:val="20"/>
          <w:szCs w:val="20"/>
          <w:vertAlign w:val="baseline"/>
        </w:rPr>
        <w:t xml:space="preserve"> </w:t>
      </w:r>
    </w:p>
  </w:footnote>
  <w:footnote w:id="419">
    <w:p w14:paraId="563E0E3F" w14:textId="296C4C74" w:rsidR="00431A55" w:rsidRDefault="00431A55" w:rsidP="005F7752">
      <w:pPr>
        <w:pStyle w:val="FootnoteText"/>
      </w:pPr>
      <w:r w:rsidRPr="00EC7531">
        <w:rPr>
          <w:rStyle w:val="FootnoteReference"/>
          <w:sz w:val="20"/>
          <w:szCs w:val="20"/>
        </w:rPr>
        <w:footnoteRef/>
      </w:r>
      <w:r w:rsidRPr="00EC7531">
        <w:rPr>
          <w:sz w:val="20"/>
          <w:szCs w:val="20"/>
        </w:rPr>
        <w:t xml:space="preserve"> </w:t>
      </w:r>
      <w:r w:rsidRPr="00EC7531">
        <w:rPr>
          <w:sz w:val="20"/>
          <w:szCs w:val="20"/>
          <w:vertAlign w:val="baseline"/>
        </w:rPr>
        <w:t>Clark</w:t>
      </w:r>
      <w:r>
        <w:rPr>
          <w:sz w:val="20"/>
          <w:szCs w:val="20"/>
          <w:vertAlign w:val="baseline"/>
        </w:rPr>
        <w:t xml:space="preserve"> (n 408) </w:t>
      </w:r>
      <w:r w:rsidRPr="00EC7531">
        <w:rPr>
          <w:sz w:val="20"/>
          <w:szCs w:val="20"/>
          <w:vertAlign w:val="baseline"/>
        </w:rPr>
        <w:t>56</w:t>
      </w:r>
    </w:p>
  </w:footnote>
  <w:footnote w:id="420">
    <w:p w14:paraId="25B566DF" w14:textId="77777777" w:rsidR="00431A55" w:rsidRPr="000D2680" w:rsidRDefault="00431A55" w:rsidP="005F7752">
      <w:pPr>
        <w:pStyle w:val="FootnoteText"/>
        <w:rPr>
          <w:sz w:val="20"/>
          <w:szCs w:val="20"/>
          <w:vertAlign w:val="baseline"/>
        </w:rPr>
      </w:pPr>
      <w:r w:rsidRPr="000D2680">
        <w:rPr>
          <w:rStyle w:val="FootnoteReference"/>
          <w:sz w:val="20"/>
          <w:szCs w:val="20"/>
        </w:rPr>
        <w:footnoteRef/>
      </w:r>
      <w:r w:rsidRPr="000D2680">
        <w:rPr>
          <w:sz w:val="20"/>
          <w:szCs w:val="20"/>
          <w:vertAlign w:val="baseline"/>
        </w:rPr>
        <w:t xml:space="preserve"> Christina Larner, </w:t>
      </w:r>
      <w:r w:rsidRPr="000D2680">
        <w:rPr>
          <w:i/>
          <w:sz w:val="20"/>
          <w:szCs w:val="20"/>
          <w:vertAlign w:val="baseline"/>
        </w:rPr>
        <w:t xml:space="preserve">The Enemies of God: Witch hunt in Scotland </w:t>
      </w:r>
      <w:r w:rsidRPr="000D2680">
        <w:rPr>
          <w:sz w:val="20"/>
          <w:szCs w:val="20"/>
          <w:vertAlign w:val="baseline"/>
        </w:rPr>
        <w:t>(Oxford 1983)</w:t>
      </w:r>
    </w:p>
  </w:footnote>
  <w:footnote w:id="421">
    <w:p w14:paraId="3B3846A3" w14:textId="118DD464" w:rsidR="00431A55" w:rsidRPr="000D2680" w:rsidRDefault="00431A55" w:rsidP="005F7752">
      <w:pPr>
        <w:pStyle w:val="FootnoteText"/>
        <w:rPr>
          <w:sz w:val="20"/>
          <w:szCs w:val="20"/>
          <w:vertAlign w:val="baseline"/>
        </w:rPr>
      </w:pPr>
      <w:r w:rsidRPr="000D2680">
        <w:rPr>
          <w:rStyle w:val="FootnoteReference"/>
          <w:sz w:val="20"/>
          <w:szCs w:val="20"/>
        </w:rPr>
        <w:footnoteRef/>
      </w:r>
      <w:r w:rsidRPr="000D2680">
        <w:rPr>
          <w:sz w:val="20"/>
          <w:szCs w:val="20"/>
          <w:vertAlign w:val="baseline"/>
        </w:rPr>
        <w:t xml:space="preserve"> </w:t>
      </w:r>
      <w:r>
        <w:rPr>
          <w:sz w:val="20"/>
          <w:szCs w:val="20"/>
          <w:vertAlign w:val="baseline"/>
        </w:rPr>
        <w:t>ibid</w:t>
      </w:r>
      <w:r w:rsidRPr="000D2680">
        <w:rPr>
          <w:sz w:val="20"/>
          <w:szCs w:val="20"/>
          <w:vertAlign w:val="baseline"/>
        </w:rPr>
        <w:t xml:space="preserve"> 92</w:t>
      </w:r>
    </w:p>
  </w:footnote>
  <w:footnote w:id="422">
    <w:p w14:paraId="78FABBF2" w14:textId="4FA36067" w:rsidR="00431A55" w:rsidRPr="000D2680" w:rsidRDefault="00431A55" w:rsidP="005F7752">
      <w:pPr>
        <w:pStyle w:val="FootnoteText"/>
        <w:rPr>
          <w:sz w:val="20"/>
          <w:szCs w:val="20"/>
          <w:vertAlign w:val="baseline"/>
        </w:rPr>
      </w:pPr>
      <w:r w:rsidRPr="000D2680">
        <w:rPr>
          <w:rStyle w:val="FootnoteReference"/>
          <w:sz w:val="20"/>
          <w:szCs w:val="20"/>
        </w:rPr>
        <w:footnoteRef/>
      </w:r>
      <w:r w:rsidRPr="000D2680">
        <w:rPr>
          <w:sz w:val="20"/>
          <w:szCs w:val="20"/>
          <w:vertAlign w:val="baseline"/>
        </w:rPr>
        <w:t xml:space="preserve"> </w:t>
      </w:r>
      <w:r>
        <w:rPr>
          <w:sz w:val="20"/>
          <w:szCs w:val="20"/>
          <w:vertAlign w:val="baseline"/>
        </w:rPr>
        <w:t>ibid</w:t>
      </w:r>
      <w:r w:rsidRPr="000D2680">
        <w:rPr>
          <w:sz w:val="20"/>
          <w:szCs w:val="20"/>
          <w:vertAlign w:val="baseline"/>
        </w:rPr>
        <w:t xml:space="preserve"> 100</w:t>
      </w:r>
    </w:p>
  </w:footnote>
  <w:footnote w:id="423">
    <w:p w14:paraId="46091FDC" w14:textId="6C651A21" w:rsidR="00431A55" w:rsidRDefault="00431A55" w:rsidP="005F7752">
      <w:pPr>
        <w:pStyle w:val="FootnoteText"/>
      </w:pPr>
      <w:r w:rsidRPr="000D2680">
        <w:rPr>
          <w:rStyle w:val="FootnoteReference"/>
          <w:sz w:val="20"/>
          <w:szCs w:val="20"/>
        </w:rPr>
        <w:footnoteRef/>
      </w:r>
      <w:r w:rsidRPr="000D2680">
        <w:rPr>
          <w:sz w:val="20"/>
          <w:szCs w:val="20"/>
          <w:vertAlign w:val="baseline"/>
        </w:rPr>
        <w:t xml:space="preserve"> </w:t>
      </w:r>
      <w:r>
        <w:rPr>
          <w:sz w:val="20"/>
          <w:szCs w:val="20"/>
          <w:vertAlign w:val="baseline"/>
        </w:rPr>
        <w:t>ibid</w:t>
      </w:r>
      <w:r w:rsidRPr="000D2680">
        <w:rPr>
          <w:sz w:val="20"/>
          <w:szCs w:val="20"/>
          <w:vertAlign w:val="baseline"/>
        </w:rPr>
        <w:t xml:space="preserve"> 92</w:t>
      </w:r>
    </w:p>
  </w:footnote>
  <w:footnote w:id="424">
    <w:p w14:paraId="671818F4" w14:textId="1DC6445F" w:rsidR="00431A55" w:rsidRPr="0071511A" w:rsidRDefault="00431A55" w:rsidP="005F7752">
      <w:pPr>
        <w:pStyle w:val="FootnoteText"/>
        <w:rPr>
          <w:sz w:val="20"/>
          <w:szCs w:val="20"/>
          <w:vertAlign w:val="baseline"/>
        </w:rPr>
      </w:pPr>
      <w:r w:rsidRPr="0071511A">
        <w:rPr>
          <w:rStyle w:val="FootnoteReference"/>
          <w:sz w:val="20"/>
          <w:szCs w:val="20"/>
        </w:rPr>
        <w:footnoteRef/>
      </w:r>
      <w:r>
        <w:rPr>
          <w:sz w:val="20"/>
          <w:szCs w:val="20"/>
          <w:vertAlign w:val="baseline"/>
        </w:rPr>
        <w:t xml:space="preserve"> </w:t>
      </w:r>
      <w:r w:rsidRPr="0071511A">
        <w:rPr>
          <w:sz w:val="20"/>
          <w:szCs w:val="20"/>
          <w:vertAlign w:val="baseline"/>
        </w:rPr>
        <w:t>Hester</w:t>
      </w:r>
      <w:r>
        <w:rPr>
          <w:sz w:val="20"/>
          <w:szCs w:val="20"/>
          <w:vertAlign w:val="baseline"/>
        </w:rPr>
        <w:t xml:space="preserve"> (n 398) 114</w:t>
      </w:r>
    </w:p>
  </w:footnote>
  <w:footnote w:id="425">
    <w:p w14:paraId="5498D5E2" w14:textId="3CC212C0" w:rsidR="00431A55" w:rsidRPr="00DD62D3" w:rsidRDefault="00431A55">
      <w:pPr>
        <w:pStyle w:val="FootnoteText"/>
        <w:rPr>
          <w:sz w:val="20"/>
          <w:szCs w:val="20"/>
          <w:vertAlign w:val="baseline"/>
          <w:lang w:val="en-US"/>
        </w:rPr>
      </w:pPr>
      <w:r w:rsidRPr="00DD62D3">
        <w:rPr>
          <w:rStyle w:val="FootnoteReference"/>
          <w:sz w:val="20"/>
          <w:szCs w:val="20"/>
        </w:rPr>
        <w:footnoteRef/>
      </w:r>
      <w:r w:rsidRPr="00DD62D3">
        <w:rPr>
          <w:sz w:val="20"/>
          <w:szCs w:val="20"/>
        </w:rPr>
        <w:t xml:space="preserve"> </w:t>
      </w:r>
      <w:r>
        <w:rPr>
          <w:sz w:val="20"/>
          <w:szCs w:val="20"/>
          <w:vertAlign w:val="baseline"/>
        </w:rPr>
        <w:t xml:space="preserve">See E.J.Kent, </w:t>
      </w:r>
      <w:r>
        <w:rPr>
          <w:i/>
          <w:sz w:val="20"/>
          <w:szCs w:val="20"/>
          <w:vertAlign w:val="baseline"/>
        </w:rPr>
        <w:t>Cases of Male Witchcraft in Old and New England, 1592-1692</w:t>
      </w:r>
      <w:r>
        <w:rPr>
          <w:sz w:val="20"/>
          <w:szCs w:val="20"/>
          <w:vertAlign w:val="baseline"/>
        </w:rPr>
        <w:t xml:space="preserve"> (Brepols 2013)</w:t>
      </w:r>
    </w:p>
  </w:footnote>
  <w:footnote w:id="426">
    <w:p w14:paraId="23B78019" w14:textId="1CF246B9" w:rsidR="00431A55" w:rsidRPr="00DD62D3" w:rsidRDefault="00431A55">
      <w:pPr>
        <w:pStyle w:val="FootnoteText"/>
        <w:rPr>
          <w:sz w:val="20"/>
          <w:szCs w:val="20"/>
          <w:vertAlign w:val="baseline"/>
          <w:lang w:val="en-US"/>
        </w:rPr>
      </w:pPr>
      <w:r w:rsidRPr="00DD62D3">
        <w:rPr>
          <w:rStyle w:val="FootnoteReference"/>
          <w:sz w:val="20"/>
          <w:szCs w:val="20"/>
        </w:rPr>
        <w:footnoteRef/>
      </w:r>
      <w:r w:rsidRPr="00DD62D3">
        <w:rPr>
          <w:sz w:val="20"/>
          <w:szCs w:val="20"/>
        </w:rPr>
        <w:t xml:space="preserve"> </w:t>
      </w:r>
      <w:r>
        <w:rPr>
          <w:sz w:val="20"/>
          <w:szCs w:val="20"/>
          <w:vertAlign w:val="baseline"/>
        </w:rPr>
        <w:t>E.J. Kent, ‘Raiding the Patriarch’s Toolbox: Reading Masculine Governance in Cases of Male Witchcraft, 1592-1692’ in Jacqueline Van Gent and Susan Broomhall, Governing Masculinities in the Early Modern Period’ (Ashgate 2011) 188</w:t>
      </w:r>
    </w:p>
  </w:footnote>
  <w:footnote w:id="427">
    <w:p w14:paraId="143B9127" w14:textId="610E0271" w:rsidR="00431A55" w:rsidRPr="00DD62D3" w:rsidRDefault="00431A55">
      <w:pPr>
        <w:pStyle w:val="FootnoteText"/>
        <w:rPr>
          <w:sz w:val="20"/>
          <w:szCs w:val="20"/>
          <w:vertAlign w:val="baseline"/>
          <w:lang w:val="en-US"/>
        </w:rPr>
      </w:pPr>
      <w:r w:rsidRPr="00DD62D3">
        <w:rPr>
          <w:rStyle w:val="FootnoteReference"/>
          <w:sz w:val="20"/>
          <w:szCs w:val="20"/>
        </w:rPr>
        <w:footnoteRef/>
      </w:r>
      <w:r w:rsidRPr="00DD62D3">
        <w:rPr>
          <w:sz w:val="20"/>
          <w:szCs w:val="20"/>
        </w:rPr>
        <w:t xml:space="preserve"> </w:t>
      </w:r>
      <w:r>
        <w:rPr>
          <w:sz w:val="20"/>
          <w:szCs w:val="20"/>
          <w:vertAlign w:val="baseline"/>
        </w:rPr>
        <w:t>See Glossary 14</w:t>
      </w:r>
    </w:p>
  </w:footnote>
  <w:footnote w:id="428">
    <w:p w14:paraId="2EC25F17" w14:textId="7EAB8D6C" w:rsidR="00431A55" w:rsidRPr="00DD62D3" w:rsidRDefault="00431A55">
      <w:pPr>
        <w:pStyle w:val="FootnoteText"/>
        <w:rPr>
          <w:i/>
          <w:sz w:val="20"/>
          <w:szCs w:val="20"/>
          <w:vertAlign w:val="baseline"/>
          <w:lang w:val="en-US"/>
        </w:rPr>
      </w:pPr>
      <w:r w:rsidRPr="00DD62D3">
        <w:rPr>
          <w:rStyle w:val="FootnoteReference"/>
          <w:sz w:val="20"/>
          <w:szCs w:val="20"/>
        </w:rPr>
        <w:footnoteRef/>
      </w:r>
      <w:r w:rsidRPr="00DD62D3">
        <w:rPr>
          <w:sz w:val="20"/>
          <w:szCs w:val="20"/>
        </w:rPr>
        <w:t xml:space="preserve"> </w:t>
      </w:r>
      <w:r>
        <w:rPr>
          <w:sz w:val="20"/>
          <w:szCs w:val="20"/>
          <w:vertAlign w:val="baseline"/>
        </w:rPr>
        <w:t xml:space="preserve"> Barstow (n 388) </w:t>
      </w:r>
      <w:r w:rsidRPr="00DD62D3">
        <w:rPr>
          <w:sz w:val="20"/>
          <w:szCs w:val="20"/>
          <w:vertAlign w:val="baseline"/>
        </w:rPr>
        <w:t>144</w:t>
      </w:r>
    </w:p>
  </w:footnote>
  <w:footnote w:id="429">
    <w:p w14:paraId="22824746" w14:textId="77777777" w:rsidR="00431A55" w:rsidRPr="0071511A" w:rsidRDefault="00431A55" w:rsidP="005F7752">
      <w:pPr>
        <w:pStyle w:val="FootnoteText"/>
        <w:rPr>
          <w:sz w:val="20"/>
          <w:szCs w:val="20"/>
          <w:vertAlign w:val="baseline"/>
        </w:rPr>
      </w:pPr>
      <w:r w:rsidRPr="0071511A">
        <w:rPr>
          <w:rStyle w:val="FootnoteReference"/>
          <w:sz w:val="20"/>
          <w:szCs w:val="20"/>
        </w:rPr>
        <w:footnoteRef/>
      </w:r>
      <w:r w:rsidRPr="0071511A">
        <w:rPr>
          <w:sz w:val="20"/>
          <w:szCs w:val="20"/>
          <w:vertAlign w:val="baseline"/>
        </w:rPr>
        <w:t xml:space="preserve"> Mary Daly, </w:t>
      </w:r>
      <w:r w:rsidRPr="0071511A">
        <w:rPr>
          <w:i/>
          <w:sz w:val="20"/>
          <w:szCs w:val="20"/>
          <w:vertAlign w:val="baseline"/>
        </w:rPr>
        <w:t xml:space="preserve">Gyn/Ecology: The Metaethics of Radical Feminism </w:t>
      </w:r>
      <w:r w:rsidRPr="0071511A">
        <w:rPr>
          <w:sz w:val="20"/>
          <w:szCs w:val="20"/>
          <w:vertAlign w:val="baseline"/>
        </w:rPr>
        <w:t>(Beacon Press 1978)</w:t>
      </w:r>
    </w:p>
  </w:footnote>
  <w:footnote w:id="430">
    <w:p w14:paraId="7AF4FADA" w14:textId="045FA2C6" w:rsidR="00431A55" w:rsidRPr="0071511A" w:rsidRDefault="00431A55" w:rsidP="005F7752">
      <w:pPr>
        <w:pStyle w:val="FootnoteText"/>
        <w:rPr>
          <w:sz w:val="20"/>
          <w:szCs w:val="20"/>
          <w:vertAlign w:val="baseline"/>
        </w:rPr>
      </w:pPr>
      <w:r w:rsidRPr="0071511A">
        <w:rPr>
          <w:rStyle w:val="FootnoteReference"/>
          <w:sz w:val="20"/>
          <w:szCs w:val="20"/>
        </w:rPr>
        <w:footnoteRef/>
      </w:r>
      <w:r w:rsidRPr="0071511A">
        <w:rPr>
          <w:sz w:val="20"/>
          <w:szCs w:val="20"/>
          <w:vertAlign w:val="baseline"/>
        </w:rPr>
        <w:t xml:space="preserve"> </w:t>
      </w:r>
      <w:r>
        <w:rPr>
          <w:sz w:val="20"/>
          <w:szCs w:val="20"/>
          <w:vertAlign w:val="baseline"/>
        </w:rPr>
        <w:t>ibid 118</w:t>
      </w:r>
    </w:p>
  </w:footnote>
  <w:footnote w:id="431">
    <w:p w14:paraId="234886C4" w14:textId="706351EF" w:rsidR="00431A55" w:rsidRPr="0071511A" w:rsidRDefault="00431A55" w:rsidP="005F7752">
      <w:pPr>
        <w:pStyle w:val="FootnoteText"/>
        <w:rPr>
          <w:sz w:val="20"/>
          <w:szCs w:val="20"/>
          <w:vertAlign w:val="baseline"/>
        </w:rPr>
      </w:pPr>
      <w:r w:rsidRPr="0071511A">
        <w:rPr>
          <w:rStyle w:val="FootnoteReference"/>
          <w:sz w:val="20"/>
          <w:szCs w:val="20"/>
        </w:rPr>
        <w:footnoteRef/>
      </w:r>
      <w:r>
        <w:rPr>
          <w:sz w:val="20"/>
          <w:szCs w:val="20"/>
          <w:vertAlign w:val="baseline"/>
        </w:rPr>
        <w:t xml:space="preserve"> </w:t>
      </w:r>
      <w:r w:rsidRPr="0071511A">
        <w:rPr>
          <w:sz w:val="20"/>
          <w:szCs w:val="20"/>
          <w:vertAlign w:val="baseline"/>
        </w:rPr>
        <w:t>Hester</w:t>
      </w:r>
      <w:r>
        <w:rPr>
          <w:sz w:val="20"/>
          <w:szCs w:val="20"/>
          <w:vertAlign w:val="baseline"/>
        </w:rPr>
        <w:t xml:space="preserve"> (n 398) </w:t>
      </w:r>
      <w:r w:rsidRPr="0071511A">
        <w:rPr>
          <w:sz w:val="20"/>
          <w:szCs w:val="20"/>
          <w:vertAlign w:val="baseline"/>
        </w:rPr>
        <w:t>119</w:t>
      </w:r>
    </w:p>
  </w:footnote>
  <w:footnote w:id="432">
    <w:p w14:paraId="3066D390" w14:textId="7DB51DE5" w:rsidR="00431A55" w:rsidRDefault="00431A55" w:rsidP="005F7752">
      <w:pPr>
        <w:pStyle w:val="FootnoteText"/>
      </w:pPr>
      <w:r w:rsidRPr="0071511A">
        <w:rPr>
          <w:rStyle w:val="FootnoteReference"/>
          <w:sz w:val="20"/>
          <w:szCs w:val="20"/>
        </w:rPr>
        <w:footnoteRef/>
      </w:r>
      <w:r w:rsidRPr="0071511A">
        <w:rPr>
          <w:sz w:val="20"/>
          <w:szCs w:val="20"/>
          <w:vertAlign w:val="baseline"/>
        </w:rPr>
        <w:t xml:space="preserve"> </w:t>
      </w:r>
      <w:r>
        <w:rPr>
          <w:sz w:val="20"/>
          <w:szCs w:val="20"/>
          <w:vertAlign w:val="baseline"/>
        </w:rPr>
        <w:t xml:space="preserve">Karlsen (n 396) </w:t>
      </w:r>
      <w:r w:rsidRPr="0071511A">
        <w:rPr>
          <w:sz w:val="20"/>
          <w:szCs w:val="20"/>
          <w:vertAlign w:val="baseline"/>
        </w:rPr>
        <w:t>181</w:t>
      </w:r>
    </w:p>
  </w:footnote>
  <w:footnote w:id="433">
    <w:p w14:paraId="73CF044A" w14:textId="3E0F02D6" w:rsidR="00431A55" w:rsidRPr="00F930C6" w:rsidRDefault="00431A55" w:rsidP="005F7752">
      <w:pPr>
        <w:pStyle w:val="FootnoteText"/>
        <w:rPr>
          <w:sz w:val="20"/>
          <w:szCs w:val="20"/>
          <w:vertAlign w:val="baseline"/>
        </w:rPr>
      </w:pPr>
      <w:r w:rsidRPr="00F930C6">
        <w:rPr>
          <w:rStyle w:val="FootnoteReference"/>
          <w:sz w:val="20"/>
          <w:szCs w:val="20"/>
        </w:rPr>
        <w:footnoteRef/>
      </w:r>
      <w:r w:rsidRPr="00F930C6">
        <w:rPr>
          <w:sz w:val="20"/>
          <w:szCs w:val="20"/>
          <w:vertAlign w:val="baseline"/>
        </w:rPr>
        <w:t xml:space="preserve"> </w:t>
      </w:r>
      <w:r>
        <w:rPr>
          <w:sz w:val="20"/>
          <w:szCs w:val="20"/>
          <w:vertAlign w:val="baseline"/>
        </w:rPr>
        <w:t xml:space="preserve">ibid </w:t>
      </w:r>
      <w:r w:rsidRPr="00F930C6">
        <w:rPr>
          <w:sz w:val="20"/>
          <w:szCs w:val="20"/>
          <w:vertAlign w:val="baseline"/>
        </w:rPr>
        <w:t>108</w:t>
      </w:r>
    </w:p>
  </w:footnote>
  <w:footnote w:id="434">
    <w:p w14:paraId="67E487F0" w14:textId="00028C4B" w:rsidR="00431A55" w:rsidRPr="00F930C6" w:rsidRDefault="00431A55" w:rsidP="005F7752">
      <w:pPr>
        <w:pStyle w:val="FootnoteText"/>
        <w:rPr>
          <w:sz w:val="20"/>
          <w:szCs w:val="20"/>
          <w:vertAlign w:val="baseline"/>
        </w:rPr>
      </w:pPr>
      <w:r w:rsidRPr="00F930C6">
        <w:rPr>
          <w:rStyle w:val="FootnoteReference"/>
          <w:sz w:val="20"/>
          <w:szCs w:val="20"/>
        </w:rPr>
        <w:footnoteRef/>
      </w:r>
      <w:r w:rsidRPr="00F930C6">
        <w:rPr>
          <w:sz w:val="20"/>
          <w:szCs w:val="20"/>
          <w:vertAlign w:val="baseline"/>
        </w:rPr>
        <w:t xml:space="preserve"> </w:t>
      </w:r>
      <w:r>
        <w:rPr>
          <w:sz w:val="20"/>
          <w:szCs w:val="20"/>
          <w:vertAlign w:val="baseline"/>
        </w:rPr>
        <w:t>ibid 137</w:t>
      </w:r>
    </w:p>
  </w:footnote>
  <w:footnote w:id="435">
    <w:p w14:paraId="453FE22C" w14:textId="51CE9961" w:rsidR="00431A55" w:rsidRPr="00F930C6" w:rsidRDefault="00431A55" w:rsidP="005F7752">
      <w:pPr>
        <w:pStyle w:val="FootnoteText"/>
        <w:rPr>
          <w:sz w:val="20"/>
          <w:szCs w:val="20"/>
          <w:vertAlign w:val="baseline"/>
        </w:rPr>
      </w:pPr>
      <w:r w:rsidRPr="00F930C6">
        <w:rPr>
          <w:rStyle w:val="FootnoteReference"/>
          <w:sz w:val="20"/>
          <w:szCs w:val="20"/>
        </w:rPr>
        <w:footnoteRef/>
      </w:r>
      <w:r w:rsidRPr="00F930C6">
        <w:rPr>
          <w:sz w:val="20"/>
          <w:szCs w:val="20"/>
          <w:vertAlign w:val="baseline"/>
        </w:rPr>
        <w:t xml:space="preserve"> </w:t>
      </w:r>
      <w:r>
        <w:rPr>
          <w:sz w:val="20"/>
          <w:szCs w:val="20"/>
          <w:vertAlign w:val="baseline"/>
        </w:rPr>
        <w:t>Kramer (n 221)</w:t>
      </w:r>
    </w:p>
  </w:footnote>
  <w:footnote w:id="436">
    <w:p w14:paraId="3ED47F9C" w14:textId="725AC707" w:rsidR="00431A55" w:rsidRPr="00F930C6" w:rsidRDefault="00431A55" w:rsidP="005F7752">
      <w:pPr>
        <w:pStyle w:val="FootnoteText"/>
        <w:rPr>
          <w:sz w:val="20"/>
          <w:szCs w:val="20"/>
          <w:vertAlign w:val="baseline"/>
        </w:rPr>
      </w:pPr>
      <w:r w:rsidRPr="00F930C6">
        <w:rPr>
          <w:rStyle w:val="FootnoteReference"/>
          <w:sz w:val="20"/>
          <w:szCs w:val="20"/>
        </w:rPr>
        <w:footnoteRef/>
      </w:r>
      <w:r w:rsidRPr="00F930C6">
        <w:rPr>
          <w:sz w:val="20"/>
          <w:szCs w:val="20"/>
          <w:vertAlign w:val="baseline"/>
        </w:rPr>
        <w:t xml:space="preserve"> </w:t>
      </w:r>
      <w:r>
        <w:rPr>
          <w:sz w:val="20"/>
          <w:szCs w:val="20"/>
          <w:vertAlign w:val="baseline"/>
        </w:rPr>
        <w:t>ibid</w:t>
      </w:r>
      <w:r>
        <w:rPr>
          <w:iCs/>
          <w:sz w:val="20"/>
          <w:szCs w:val="20"/>
          <w:vertAlign w:val="baseline"/>
        </w:rPr>
        <w:t xml:space="preserve"> 41</w:t>
      </w:r>
    </w:p>
  </w:footnote>
  <w:footnote w:id="437">
    <w:p w14:paraId="79306467" w14:textId="2FB8F080" w:rsidR="00431A55" w:rsidRPr="00F930C6" w:rsidRDefault="00431A55" w:rsidP="005F7752">
      <w:pPr>
        <w:pStyle w:val="FootnoteText"/>
        <w:rPr>
          <w:sz w:val="20"/>
          <w:szCs w:val="20"/>
          <w:vertAlign w:val="baseline"/>
        </w:rPr>
      </w:pPr>
      <w:r w:rsidRPr="00F930C6">
        <w:rPr>
          <w:rStyle w:val="FootnoteReference"/>
          <w:sz w:val="20"/>
          <w:szCs w:val="20"/>
        </w:rPr>
        <w:footnoteRef/>
      </w:r>
      <w:r w:rsidRPr="00F930C6">
        <w:rPr>
          <w:sz w:val="20"/>
          <w:szCs w:val="20"/>
          <w:vertAlign w:val="baseline"/>
        </w:rPr>
        <w:t xml:space="preserve"> </w:t>
      </w:r>
      <w:r>
        <w:rPr>
          <w:sz w:val="20"/>
          <w:szCs w:val="20"/>
          <w:vertAlign w:val="baseline"/>
        </w:rPr>
        <w:t>ibid</w:t>
      </w:r>
      <w:r w:rsidRPr="00F930C6">
        <w:rPr>
          <w:iCs/>
          <w:sz w:val="20"/>
          <w:szCs w:val="20"/>
          <w:vertAlign w:val="baseline"/>
        </w:rPr>
        <w:t xml:space="preserve"> </w:t>
      </w:r>
      <w:r>
        <w:rPr>
          <w:sz w:val="20"/>
          <w:szCs w:val="20"/>
          <w:vertAlign w:val="baseline"/>
        </w:rPr>
        <w:t>45-46, 52</w:t>
      </w:r>
    </w:p>
  </w:footnote>
  <w:footnote w:id="438">
    <w:p w14:paraId="5088B05D" w14:textId="51249D77" w:rsidR="00431A55" w:rsidRDefault="00431A55" w:rsidP="005F7752">
      <w:pPr>
        <w:pStyle w:val="FootnoteText"/>
      </w:pPr>
      <w:r w:rsidRPr="00F930C6">
        <w:rPr>
          <w:rStyle w:val="FootnoteReference"/>
          <w:sz w:val="20"/>
          <w:szCs w:val="20"/>
        </w:rPr>
        <w:footnoteRef/>
      </w:r>
      <w:r>
        <w:rPr>
          <w:sz w:val="20"/>
          <w:szCs w:val="20"/>
          <w:vertAlign w:val="baseline"/>
        </w:rPr>
        <w:t xml:space="preserve"> </w:t>
      </w:r>
      <w:r w:rsidRPr="00F930C6">
        <w:rPr>
          <w:sz w:val="20"/>
          <w:szCs w:val="20"/>
          <w:vertAlign w:val="baseline"/>
        </w:rPr>
        <w:t>Broedel</w:t>
      </w:r>
      <w:r>
        <w:rPr>
          <w:sz w:val="20"/>
          <w:szCs w:val="20"/>
          <w:vertAlign w:val="baseline"/>
        </w:rPr>
        <w:t xml:space="preserve"> (n 224) </w:t>
      </w:r>
      <w:r w:rsidRPr="00F930C6">
        <w:rPr>
          <w:sz w:val="20"/>
          <w:szCs w:val="20"/>
          <w:vertAlign w:val="baseline"/>
        </w:rPr>
        <w:t>178</w:t>
      </w:r>
    </w:p>
  </w:footnote>
  <w:footnote w:id="439">
    <w:p w14:paraId="26E2BDD2" w14:textId="376FA8B5" w:rsidR="00431A55" w:rsidRPr="0019748F" w:rsidRDefault="00431A55" w:rsidP="005F7752">
      <w:pPr>
        <w:pStyle w:val="FootnoteText"/>
        <w:rPr>
          <w:sz w:val="20"/>
          <w:szCs w:val="20"/>
          <w:vertAlign w:val="baseline"/>
        </w:rPr>
      </w:pPr>
      <w:r w:rsidRPr="0019748F">
        <w:rPr>
          <w:rStyle w:val="FootnoteReference"/>
          <w:sz w:val="20"/>
          <w:szCs w:val="20"/>
        </w:rPr>
        <w:footnoteRef/>
      </w:r>
      <w:r>
        <w:rPr>
          <w:sz w:val="20"/>
          <w:szCs w:val="20"/>
          <w:vertAlign w:val="baseline"/>
        </w:rPr>
        <w:t xml:space="preserve"> </w:t>
      </w:r>
      <w:r w:rsidRPr="0019748F">
        <w:rPr>
          <w:sz w:val="20"/>
          <w:szCs w:val="20"/>
          <w:vertAlign w:val="baseline"/>
        </w:rPr>
        <w:t>Hester</w:t>
      </w:r>
      <w:r>
        <w:rPr>
          <w:sz w:val="20"/>
          <w:szCs w:val="20"/>
          <w:vertAlign w:val="baseline"/>
        </w:rPr>
        <w:t xml:space="preserve"> (n 398) </w:t>
      </w:r>
      <w:r w:rsidRPr="0019748F">
        <w:rPr>
          <w:sz w:val="20"/>
          <w:szCs w:val="20"/>
          <w:vertAlign w:val="baseline"/>
        </w:rPr>
        <w:t xml:space="preserve">138; see also Sylvia Walby, </w:t>
      </w:r>
      <w:r w:rsidRPr="0019748F">
        <w:rPr>
          <w:i/>
          <w:sz w:val="20"/>
          <w:szCs w:val="20"/>
          <w:vertAlign w:val="baseline"/>
        </w:rPr>
        <w:t>Patriarchy at Work</w:t>
      </w:r>
      <w:r w:rsidRPr="0019748F">
        <w:rPr>
          <w:sz w:val="20"/>
          <w:szCs w:val="20"/>
          <w:vertAlign w:val="baseline"/>
        </w:rPr>
        <w:t xml:space="preserve"> (Polity Press 1986)</w:t>
      </w:r>
    </w:p>
  </w:footnote>
  <w:footnote w:id="440">
    <w:p w14:paraId="6398F98E" w14:textId="32A8B48B" w:rsidR="00431A55" w:rsidRPr="0019748F" w:rsidRDefault="00431A55" w:rsidP="005F7752">
      <w:pPr>
        <w:pStyle w:val="FootnoteText"/>
        <w:rPr>
          <w:sz w:val="20"/>
          <w:szCs w:val="20"/>
          <w:vertAlign w:val="baseline"/>
        </w:rPr>
      </w:pPr>
      <w:r w:rsidRPr="0019748F">
        <w:rPr>
          <w:rStyle w:val="FootnoteReference"/>
          <w:sz w:val="20"/>
          <w:szCs w:val="20"/>
        </w:rPr>
        <w:footnoteRef/>
      </w:r>
      <w:r w:rsidRPr="0019748F">
        <w:rPr>
          <w:sz w:val="20"/>
          <w:szCs w:val="20"/>
        </w:rPr>
        <w:t xml:space="preserve"> </w:t>
      </w:r>
      <w:r w:rsidRPr="0019748F">
        <w:rPr>
          <w:sz w:val="20"/>
          <w:szCs w:val="20"/>
          <w:vertAlign w:val="baseline"/>
        </w:rPr>
        <w:t>Hester</w:t>
      </w:r>
      <w:r>
        <w:rPr>
          <w:sz w:val="20"/>
          <w:szCs w:val="20"/>
          <w:vertAlign w:val="baseline"/>
        </w:rPr>
        <w:t xml:space="preserve"> (n 398)</w:t>
      </w:r>
      <w:r w:rsidRPr="0019748F">
        <w:rPr>
          <w:sz w:val="20"/>
          <w:szCs w:val="20"/>
          <w:vertAlign w:val="baseline"/>
        </w:rPr>
        <w:t xml:space="preserve"> 140</w:t>
      </w:r>
    </w:p>
  </w:footnote>
  <w:footnote w:id="441">
    <w:p w14:paraId="7EAA955F" w14:textId="77777777" w:rsidR="00431A55" w:rsidRPr="0019748F" w:rsidRDefault="00431A55" w:rsidP="005F7752">
      <w:pPr>
        <w:pStyle w:val="FootnoteText"/>
        <w:rPr>
          <w:sz w:val="20"/>
          <w:szCs w:val="20"/>
          <w:vertAlign w:val="baseline"/>
        </w:rPr>
      </w:pPr>
      <w:r w:rsidRPr="0019748F">
        <w:rPr>
          <w:rStyle w:val="FootnoteReference"/>
          <w:sz w:val="20"/>
          <w:szCs w:val="20"/>
        </w:rPr>
        <w:footnoteRef/>
      </w:r>
      <w:r w:rsidRPr="0019748F">
        <w:rPr>
          <w:sz w:val="20"/>
          <w:szCs w:val="20"/>
        </w:rPr>
        <w:t xml:space="preserve"> </w:t>
      </w:r>
      <w:r w:rsidRPr="0019748F">
        <w:rPr>
          <w:sz w:val="20"/>
          <w:szCs w:val="20"/>
          <w:vertAlign w:val="baseline"/>
        </w:rPr>
        <w:t xml:space="preserve">Kimberly B. Stratton, </w:t>
      </w:r>
      <w:r w:rsidRPr="0019748F">
        <w:rPr>
          <w:i/>
          <w:sz w:val="20"/>
          <w:szCs w:val="20"/>
          <w:vertAlign w:val="baseline"/>
        </w:rPr>
        <w:t>Naming the witch: Magic, Ideology &amp; Stereotype in the Ancient World</w:t>
      </w:r>
      <w:r w:rsidRPr="0019748F">
        <w:rPr>
          <w:sz w:val="20"/>
          <w:szCs w:val="20"/>
          <w:vertAlign w:val="baseline"/>
        </w:rPr>
        <w:t xml:space="preserve"> (Columbia University Press 2007) 180</w:t>
      </w:r>
    </w:p>
  </w:footnote>
  <w:footnote w:id="442">
    <w:p w14:paraId="71316714" w14:textId="4CF529DA" w:rsidR="00431A55" w:rsidRPr="0019748F" w:rsidRDefault="00431A55" w:rsidP="005F7752">
      <w:pPr>
        <w:pStyle w:val="FootnoteText"/>
        <w:rPr>
          <w:sz w:val="20"/>
          <w:szCs w:val="20"/>
          <w:vertAlign w:val="baseline"/>
        </w:rPr>
      </w:pPr>
      <w:r w:rsidRPr="0019748F">
        <w:rPr>
          <w:rStyle w:val="FootnoteReference"/>
          <w:sz w:val="20"/>
          <w:szCs w:val="20"/>
        </w:rPr>
        <w:footnoteRef/>
      </w:r>
      <w:r w:rsidRPr="0019748F">
        <w:rPr>
          <w:sz w:val="20"/>
          <w:szCs w:val="20"/>
        </w:rPr>
        <w:t xml:space="preserve"> </w:t>
      </w:r>
      <w:r w:rsidRPr="0019748F">
        <w:rPr>
          <w:sz w:val="20"/>
          <w:szCs w:val="20"/>
          <w:vertAlign w:val="baseline"/>
        </w:rPr>
        <w:t xml:space="preserve">Steven Seidmana, ‘Defilement and disgust: Theorizing the other’ (2005) 1 American </w:t>
      </w:r>
      <w:r>
        <w:rPr>
          <w:sz w:val="20"/>
          <w:szCs w:val="20"/>
          <w:vertAlign w:val="baseline"/>
        </w:rPr>
        <w:t>Journal of Cultural Sociology 3</w:t>
      </w:r>
    </w:p>
  </w:footnote>
  <w:footnote w:id="443">
    <w:p w14:paraId="0F4C56FD" w14:textId="77777777" w:rsidR="00431A55" w:rsidRPr="0019748F" w:rsidRDefault="00431A55" w:rsidP="005F7752">
      <w:pPr>
        <w:pStyle w:val="FootnoteText"/>
        <w:rPr>
          <w:sz w:val="20"/>
          <w:szCs w:val="20"/>
          <w:vertAlign w:val="baseline"/>
        </w:rPr>
      </w:pPr>
      <w:r w:rsidRPr="0019748F">
        <w:rPr>
          <w:rStyle w:val="FootnoteReference"/>
          <w:sz w:val="20"/>
          <w:szCs w:val="20"/>
        </w:rPr>
        <w:footnoteRef/>
      </w:r>
      <w:r w:rsidRPr="0019748F">
        <w:rPr>
          <w:sz w:val="20"/>
          <w:szCs w:val="20"/>
        </w:rPr>
        <w:t xml:space="preserve"> </w:t>
      </w:r>
      <w:r w:rsidRPr="0019748F">
        <w:rPr>
          <w:sz w:val="20"/>
          <w:szCs w:val="20"/>
          <w:vertAlign w:val="baseline"/>
        </w:rPr>
        <w:t xml:space="preserve">Simone de Beauvoir, </w:t>
      </w:r>
      <w:r w:rsidRPr="0019748F">
        <w:rPr>
          <w:i/>
          <w:sz w:val="20"/>
          <w:szCs w:val="20"/>
          <w:vertAlign w:val="baseline"/>
        </w:rPr>
        <w:t xml:space="preserve">The Second Sex </w:t>
      </w:r>
      <w:r w:rsidRPr="0019748F">
        <w:rPr>
          <w:sz w:val="20"/>
          <w:szCs w:val="20"/>
          <w:vertAlign w:val="baseline"/>
        </w:rPr>
        <w:t>(Vintage Publishing 1997)</w:t>
      </w:r>
    </w:p>
  </w:footnote>
  <w:footnote w:id="444">
    <w:p w14:paraId="7EB1F0F6" w14:textId="426A86A9" w:rsidR="00431A55" w:rsidRPr="0019748F" w:rsidRDefault="00431A55" w:rsidP="005F7752">
      <w:pPr>
        <w:pStyle w:val="FootnoteText"/>
        <w:rPr>
          <w:sz w:val="20"/>
          <w:szCs w:val="20"/>
          <w:vertAlign w:val="baseline"/>
        </w:rPr>
      </w:pPr>
      <w:r w:rsidRPr="0019748F">
        <w:rPr>
          <w:rStyle w:val="FootnoteReference"/>
          <w:sz w:val="20"/>
          <w:szCs w:val="20"/>
        </w:rPr>
        <w:footnoteRef/>
      </w:r>
      <w:r w:rsidRPr="0019748F">
        <w:rPr>
          <w:sz w:val="20"/>
          <w:szCs w:val="20"/>
        </w:rPr>
        <w:t xml:space="preserve"> </w:t>
      </w:r>
      <w:r>
        <w:rPr>
          <w:sz w:val="20"/>
          <w:szCs w:val="20"/>
          <w:vertAlign w:val="baseline"/>
        </w:rPr>
        <w:t>ibid</w:t>
      </w:r>
      <w:r w:rsidRPr="0019748F">
        <w:rPr>
          <w:sz w:val="20"/>
          <w:szCs w:val="20"/>
          <w:vertAlign w:val="baseline"/>
        </w:rPr>
        <w:t xml:space="preserve"> 16</w:t>
      </w:r>
    </w:p>
  </w:footnote>
  <w:footnote w:id="445">
    <w:p w14:paraId="0B761165" w14:textId="7C77B1BA" w:rsidR="00431A55" w:rsidRDefault="00431A55" w:rsidP="005F7752">
      <w:pPr>
        <w:pStyle w:val="FootnoteText"/>
      </w:pPr>
      <w:r w:rsidRPr="0019748F">
        <w:rPr>
          <w:rStyle w:val="FootnoteReference"/>
          <w:sz w:val="20"/>
          <w:szCs w:val="20"/>
        </w:rPr>
        <w:footnoteRef/>
      </w:r>
      <w:r w:rsidRPr="0019748F">
        <w:rPr>
          <w:sz w:val="20"/>
          <w:szCs w:val="20"/>
        </w:rPr>
        <w:t xml:space="preserve"> </w:t>
      </w:r>
      <w:r>
        <w:rPr>
          <w:sz w:val="20"/>
          <w:szCs w:val="20"/>
          <w:vertAlign w:val="baseline"/>
        </w:rPr>
        <w:t>Section 3.1</w:t>
      </w:r>
    </w:p>
  </w:footnote>
  <w:footnote w:id="446">
    <w:p w14:paraId="4B860544" w14:textId="02A79A7F" w:rsidR="00431A55" w:rsidRPr="003C6866" w:rsidRDefault="00431A55" w:rsidP="005F7752">
      <w:pPr>
        <w:pStyle w:val="FootnoteText"/>
        <w:rPr>
          <w:sz w:val="20"/>
          <w:szCs w:val="20"/>
          <w:vertAlign w:val="baseline"/>
        </w:rPr>
      </w:pPr>
      <w:r w:rsidRPr="00757C91">
        <w:rPr>
          <w:rStyle w:val="FootnoteReference"/>
          <w:sz w:val="20"/>
          <w:szCs w:val="20"/>
        </w:rPr>
        <w:footnoteRef/>
      </w:r>
      <w:r>
        <w:rPr>
          <w:sz w:val="20"/>
          <w:szCs w:val="20"/>
          <w:vertAlign w:val="baseline"/>
        </w:rPr>
        <w:t xml:space="preserve"> </w:t>
      </w:r>
      <w:r w:rsidRPr="00757C91">
        <w:rPr>
          <w:sz w:val="20"/>
          <w:szCs w:val="20"/>
          <w:vertAlign w:val="baseline"/>
        </w:rPr>
        <w:t>Evans-Pritchard</w:t>
      </w:r>
      <w:r>
        <w:rPr>
          <w:sz w:val="20"/>
          <w:szCs w:val="20"/>
          <w:vertAlign w:val="baseline"/>
        </w:rPr>
        <w:t xml:space="preserve"> (n 135); </w:t>
      </w:r>
      <w:r w:rsidRPr="00757C91">
        <w:rPr>
          <w:sz w:val="20"/>
          <w:szCs w:val="20"/>
          <w:vertAlign w:val="baseline"/>
        </w:rPr>
        <w:t>Patterson</w:t>
      </w:r>
      <w:r>
        <w:rPr>
          <w:sz w:val="20"/>
          <w:szCs w:val="20"/>
          <w:vertAlign w:val="baseline"/>
        </w:rPr>
        <w:t xml:space="preserve"> (n 249); </w:t>
      </w:r>
      <w:r w:rsidRPr="00757C91">
        <w:rPr>
          <w:sz w:val="20"/>
          <w:szCs w:val="20"/>
          <w:vertAlign w:val="baseline"/>
        </w:rPr>
        <w:t>Meyer</w:t>
      </w:r>
      <w:r>
        <w:rPr>
          <w:sz w:val="20"/>
          <w:szCs w:val="20"/>
          <w:vertAlign w:val="baseline"/>
        </w:rPr>
        <w:t xml:space="preserve"> (n 93); </w:t>
      </w:r>
      <w:r w:rsidRPr="00757C91">
        <w:rPr>
          <w:sz w:val="20"/>
          <w:szCs w:val="20"/>
          <w:vertAlign w:val="baseline"/>
        </w:rPr>
        <w:t>Macfarlane</w:t>
      </w:r>
      <w:r>
        <w:rPr>
          <w:sz w:val="20"/>
          <w:szCs w:val="20"/>
          <w:vertAlign w:val="baseline"/>
        </w:rPr>
        <w:t xml:space="preserve"> (n 249); </w:t>
      </w:r>
      <w:r w:rsidRPr="00757C91">
        <w:rPr>
          <w:sz w:val="20"/>
          <w:szCs w:val="20"/>
          <w:vertAlign w:val="baseline"/>
        </w:rPr>
        <w:t>Favret-Saada</w:t>
      </w:r>
      <w:r>
        <w:rPr>
          <w:i/>
          <w:iCs/>
          <w:sz w:val="20"/>
          <w:szCs w:val="20"/>
          <w:vertAlign w:val="baseline"/>
        </w:rPr>
        <w:t xml:space="preserve"> </w:t>
      </w:r>
      <w:r>
        <w:rPr>
          <w:iCs/>
          <w:sz w:val="20"/>
          <w:szCs w:val="20"/>
          <w:vertAlign w:val="baseline"/>
        </w:rPr>
        <w:t>(n 94)</w:t>
      </w:r>
    </w:p>
  </w:footnote>
  <w:footnote w:id="447">
    <w:p w14:paraId="6F84D6AB" w14:textId="09D62CCD" w:rsidR="00431A55" w:rsidRPr="00757C91" w:rsidRDefault="00431A55" w:rsidP="005F7752">
      <w:pPr>
        <w:pStyle w:val="FootnoteText"/>
        <w:rPr>
          <w:sz w:val="20"/>
          <w:szCs w:val="20"/>
          <w:vertAlign w:val="baseline"/>
        </w:rPr>
      </w:pPr>
      <w:r w:rsidRPr="00757C91">
        <w:rPr>
          <w:rStyle w:val="FootnoteReference"/>
          <w:sz w:val="20"/>
          <w:szCs w:val="20"/>
        </w:rPr>
        <w:footnoteRef/>
      </w:r>
      <w:r>
        <w:rPr>
          <w:sz w:val="20"/>
          <w:szCs w:val="20"/>
          <w:vertAlign w:val="baseline"/>
        </w:rPr>
        <w:t xml:space="preserve"> </w:t>
      </w:r>
      <w:r w:rsidRPr="00757C91">
        <w:rPr>
          <w:sz w:val="20"/>
          <w:szCs w:val="20"/>
          <w:vertAlign w:val="baseline"/>
        </w:rPr>
        <w:t>Niehaus</w:t>
      </w:r>
      <w:r>
        <w:rPr>
          <w:sz w:val="20"/>
          <w:szCs w:val="20"/>
          <w:vertAlign w:val="baseline"/>
        </w:rPr>
        <w:t xml:space="preserve"> (n 250) 2</w:t>
      </w:r>
    </w:p>
  </w:footnote>
  <w:footnote w:id="448">
    <w:p w14:paraId="562C5D93" w14:textId="691D0F1F" w:rsidR="00431A55" w:rsidRPr="00757C91" w:rsidRDefault="00431A55" w:rsidP="005F7752">
      <w:pPr>
        <w:pStyle w:val="FootnoteText"/>
        <w:rPr>
          <w:sz w:val="20"/>
          <w:szCs w:val="20"/>
          <w:vertAlign w:val="baseline"/>
        </w:rPr>
      </w:pPr>
      <w:r w:rsidRPr="00757C91">
        <w:rPr>
          <w:rStyle w:val="FootnoteReference"/>
          <w:sz w:val="20"/>
          <w:szCs w:val="20"/>
        </w:rPr>
        <w:footnoteRef/>
      </w:r>
      <w:r w:rsidRPr="00757C91">
        <w:rPr>
          <w:sz w:val="20"/>
          <w:szCs w:val="20"/>
        </w:rPr>
        <w:t xml:space="preserve"> </w:t>
      </w:r>
      <w:r w:rsidRPr="00757C91">
        <w:rPr>
          <w:sz w:val="20"/>
          <w:szCs w:val="20"/>
          <w:vertAlign w:val="baseline"/>
        </w:rPr>
        <w:t>Ter Ha</w:t>
      </w:r>
      <w:r>
        <w:rPr>
          <w:sz w:val="20"/>
          <w:szCs w:val="20"/>
          <w:vertAlign w:val="baseline"/>
        </w:rPr>
        <w:t>a</w:t>
      </w:r>
      <w:r w:rsidRPr="00757C91">
        <w:rPr>
          <w:sz w:val="20"/>
          <w:szCs w:val="20"/>
          <w:vertAlign w:val="baseline"/>
        </w:rPr>
        <w:t>r</w:t>
      </w:r>
      <w:r>
        <w:rPr>
          <w:sz w:val="20"/>
          <w:szCs w:val="20"/>
          <w:vertAlign w:val="baseline"/>
        </w:rPr>
        <w:t xml:space="preserve"> (n 285)</w:t>
      </w:r>
      <w:r w:rsidRPr="00757C91">
        <w:rPr>
          <w:i/>
          <w:sz w:val="20"/>
          <w:szCs w:val="20"/>
          <w:vertAlign w:val="baseline"/>
        </w:rPr>
        <w:t xml:space="preserve"> </w:t>
      </w:r>
      <w:r w:rsidRPr="00757C91">
        <w:rPr>
          <w:sz w:val="20"/>
          <w:szCs w:val="20"/>
          <w:vertAlign w:val="baseline"/>
        </w:rPr>
        <w:t>19</w:t>
      </w:r>
    </w:p>
  </w:footnote>
  <w:footnote w:id="449">
    <w:p w14:paraId="7F0EA930" w14:textId="39543CA6" w:rsidR="00431A55" w:rsidRPr="00757C91" w:rsidRDefault="00431A55" w:rsidP="005F7752">
      <w:pPr>
        <w:pStyle w:val="FootnoteText"/>
        <w:rPr>
          <w:sz w:val="20"/>
          <w:szCs w:val="20"/>
          <w:vertAlign w:val="baseline"/>
        </w:rPr>
      </w:pPr>
      <w:r w:rsidRPr="00757C91">
        <w:rPr>
          <w:rStyle w:val="FootnoteReference"/>
          <w:sz w:val="20"/>
          <w:szCs w:val="20"/>
        </w:rPr>
        <w:footnoteRef/>
      </w:r>
      <w:r w:rsidRPr="00757C91">
        <w:rPr>
          <w:sz w:val="20"/>
          <w:szCs w:val="20"/>
          <w:vertAlign w:val="baseline"/>
        </w:rPr>
        <w:t xml:space="preserve"> Stephen Ellis, ‘Witching-times: A theme in the histories </w:t>
      </w:r>
      <w:r>
        <w:rPr>
          <w:sz w:val="20"/>
          <w:szCs w:val="20"/>
          <w:vertAlign w:val="baseline"/>
        </w:rPr>
        <w:t xml:space="preserve">of Africa and Europe’ in </w:t>
      </w:r>
      <w:r w:rsidRPr="00757C91">
        <w:rPr>
          <w:sz w:val="20"/>
          <w:szCs w:val="20"/>
          <w:vertAlign w:val="baseline"/>
        </w:rPr>
        <w:t>Ter Ha</w:t>
      </w:r>
      <w:r>
        <w:rPr>
          <w:sz w:val="20"/>
          <w:szCs w:val="20"/>
          <w:vertAlign w:val="baseline"/>
        </w:rPr>
        <w:t>a</w:t>
      </w:r>
      <w:r w:rsidRPr="00757C91">
        <w:rPr>
          <w:sz w:val="20"/>
          <w:szCs w:val="20"/>
          <w:vertAlign w:val="baseline"/>
        </w:rPr>
        <w:t>r</w:t>
      </w:r>
      <w:r>
        <w:rPr>
          <w:sz w:val="20"/>
          <w:szCs w:val="20"/>
          <w:vertAlign w:val="baseline"/>
        </w:rPr>
        <w:t xml:space="preserve"> (n 285) </w:t>
      </w:r>
      <w:r w:rsidRPr="00757C91">
        <w:rPr>
          <w:sz w:val="20"/>
          <w:szCs w:val="20"/>
          <w:vertAlign w:val="baseline"/>
        </w:rPr>
        <w:t>48</w:t>
      </w:r>
    </w:p>
  </w:footnote>
  <w:footnote w:id="450">
    <w:p w14:paraId="707DA001" w14:textId="77777777" w:rsidR="00431A55" w:rsidRPr="0086386B" w:rsidRDefault="00431A55" w:rsidP="005F7752">
      <w:pPr>
        <w:pStyle w:val="FootnoteText"/>
        <w:rPr>
          <w:lang w:val="en-US"/>
        </w:rPr>
      </w:pPr>
      <w:r w:rsidRPr="00757C91">
        <w:rPr>
          <w:rStyle w:val="FootnoteReference"/>
          <w:sz w:val="20"/>
          <w:szCs w:val="20"/>
        </w:rPr>
        <w:footnoteRef/>
      </w:r>
      <w:r w:rsidRPr="00757C91">
        <w:rPr>
          <w:sz w:val="20"/>
          <w:szCs w:val="20"/>
          <w:vertAlign w:val="baseline"/>
        </w:rPr>
        <w:t xml:space="preserve"> </w:t>
      </w:r>
      <w:r w:rsidRPr="00757C91">
        <w:rPr>
          <w:sz w:val="20"/>
          <w:szCs w:val="20"/>
          <w:vertAlign w:val="baseline"/>
          <w:lang w:val="en-US"/>
        </w:rPr>
        <w:t>HRC, ‘</w:t>
      </w:r>
      <w:r w:rsidRPr="00757C91">
        <w:rPr>
          <w:rFonts w:eastAsia="Times New Roman" w:cs="Times New Roman"/>
          <w:sz w:val="20"/>
          <w:szCs w:val="20"/>
          <w:vertAlign w:val="baseline"/>
        </w:rPr>
        <w:t>Report of the Special Rapporteur on extrajudicial, summary or arbitrary executions, Philip Alston:</w:t>
      </w:r>
      <w:r w:rsidRPr="00757C91">
        <w:rPr>
          <w:rFonts w:ascii="Times New Roman" w:hAnsi="Times New Roman" w:cs="Times New Roman"/>
          <w:sz w:val="20"/>
          <w:szCs w:val="20"/>
          <w:vertAlign w:val="baseline"/>
        </w:rPr>
        <w:t xml:space="preserve"> </w:t>
      </w:r>
      <w:r w:rsidRPr="00757C91">
        <w:rPr>
          <w:rFonts w:cs="Times New Roman"/>
          <w:sz w:val="20"/>
          <w:szCs w:val="20"/>
          <w:vertAlign w:val="baseline"/>
        </w:rPr>
        <w:t>Promotion and Protection of All Human Rights, Civil Political, Economic, Social and Cultural Rights, including the Right to Development’ 27 May 2009, A/HRC/11/2</w:t>
      </w:r>
    </w:p>
  </w:footnote>
  <w:footnote w:id="451">
    <w:p w14:paraId="1E703316" w14:textId="67811509" w:rsidR="00431A55" w:rsidRPr="00813F20" w:rsidRDefault="00431A55" w:rsidP="005F7752">
      <w:pPr>
        <w:pStyle w:val="FootnoteText"/>
        <w:rPr>
          <w:sz w:val="20"/>
          <w:szCs w:val="20"/>
          <w:vertAlign w:val="baseline"/>
          <w:lang w:val="en-US"/>
        </w:rPr>
      </w:pPr>
      <w:r w:rsidRPr="00813F20">
        <w:rPr>
          <w:rStyle w:val="FootnoteReference"/>
          <w:sz w:val="20"/>
          <w:szCs w:val="20"/>
        </w:rPr>
        <w:footnoteRef/>
      </w:r>
      <w:r w:rsidRPr="00813F20">
        <w:rPr>
          <w:sz w:val="20"/>
          <w:szCs w:val="20"/>
        </w:rPr>
        <w:t xml:space="preserve"> </w:t>
      </w:r>
      <w:r>
        <w:rPr>
          <w:sz w:val="20"/>
          <w:szCs w:val="20"/>
          <w:vertAlign w:val="baseline"/>
          <w:lang w:val="en-US"/>
        </w:rPr>
        <w:t>ibid</w:t>
      </w:r>
    </w:p>
  </w:footnote>
  <w:footnote w:id="452">
    <w:p w14:paraId="51649C0C" w14:textId="30887E44" w:rsidR="00431A55" w:rsidRPr="00813F20" w:rsidRDefault="00431A55" w:rsidP="005F7752">
      <w:pPr>
        <w:pStyle w:val="FootnoteText"/>
        <w:rPr>
          <w:sz w:val="20"/>
          <w:szCs w:val="20"/>
          <w:vertAlign w:val="baseline"/>
          <w:lang w:val="en-US"/>
        </w:rPr>
      </w:pPr>
      <w:r w:rsidRPr="00813F20">
        <w:rPr>
          <w:rStyle w:val="FootnoteReference"/>
          <w:sz w:val="20"/>
          <w:szCs w:val="20"/>
        </w:rPr>
        <w:footnoteRef/>
      </w:r>
      <w:r w:rsidRPr="00813F20">
        <w:rPr>
          <w:sz w:val="20"/>
          <w:szCs w:val="20"/>
        </w:rPr>
        <w:t xml:space="preserve"> </w:t>
      </w:r>
      <w:r>
        <w:rPr>
          <w:sz w:val="20"/>
          <w:szCs w:val="20"/>
          <w:vertAlign w:val="baseline"/>
          <w:lang w:val="en-US"/>
        </w:rPr>
        <w:t xml:space="preserve">ibid </w:t>
      </w:r>
      <w:r>
        <w:rPr>
          <w:rFonts w:cs="Times New Roman"/>
          <w:sz w:val="20"/>
          <w:szCs w:val="20"/>
          <w:vertAlign w:val="baseline"/>
        </w:rPr>
        <w:t>section 2, para</w:t>
      </w:r>
      <w:r w:rsidRPr="00813F20">
        <w:rPr>
          <w:rFonts w:cs="Times New Roman"/>
          <w:sz w:val="20"/>
          <w:szCs w:val="20"/>
          <w:vertAlign w:val="baseline"/>
        </w:rPr>
        <w:t xml:space="preserve"> 49 – 59</w:t>
      </w:r>
    </w:p>
  </w:footnote>
  <w:footnote w:id="453">
    <w:p w14:paraId="1BC35606" w14:textId="1AD2C5A1" w:rsidR="00431A55" w:rsidRPr="00813F20" w:rsidRDefault="00431A55" w:rsidP="005F7752">
      <w:pPr>
        <w:pStyle w:val="FootnoteText"/>
        <w:rPr>
          <w:sz w:val="20"/>
          <w:szCs w:val="20"/>
          <w:vertAlign w:val="baseline"/>
          <w:lang w:val="en-US"/>
        </w:rPr>
      </w:pPr>
      <w:r w:rsidRPr="00813F20">
        <w:rPr>
          <w:rStyle w:val="FootnoteReference"/>
          <w:sz w:val="20"/>
          <w:szCs w:val="20"/>
        </w:rPr>
        <w:footnoteRef/>
      </w:r>
      <w:r w:rsidRPr="00813F20">
        <w:rPr>
          <w:sz w:val="20"/>
          <w:szCs w:val="20"/>
          <w:vertAlign w:val="baseline"/>
        </w:rPr>
        <w:t xml:space="preserve"> </w:t>
      </w:r>
      <w:r>
        <w:rPr>
          <w:sz w:val="20"/>
          <w:szCs w:val="20"/>
          <w:vertAlign w:val="baseline"/>
          <w:lang w:val="en-US"/>
        </w:rPr>
        <w:t xml:space="preserve">ibid </w:t>
      </w:r>
      <w:r w:rsidRPr="00813F20">
        <w:rPr>
          <w:rFonts w:cs="Times New Roman"/>
          <w:sz w:val="20"/>
          <w:szCs w:val="20"/>
          <w:vertAlign w:val="baseline"/>
        </w:rPr>
        <w:t>para 49</w:t>
      </w:r>
    </w:p>
  </w:footnote>
  <w:footnote w:id="454">
    <w:p w14:paraId="2FC7D99B" w14:textId="17394DBB" w:rsidR="00431A55" w:rsidRPr="00813F20" w:rsidRDefault="00431A55" w:rsidP="005F7752">
      <w:pPr>
        <w:pStyle w:val="FootnoteText"/>
        <w:rPr>
          <w:sz w:val="20"/>
          <w:szCs w:val="20"/>
          <w:vertAlign w:val="baseline"/>
          <w:lang w:val="en-US"/>
        </w:rPr>
      </w:pPr>
      <w:r w:rsidRPr="00813F20">
        <w:rPr>
          <w:rStyle w:val="FootnoteReference"/>
          <w:sz w:val="20"/>
          <w:szCs w:val="20"/>
        </w:rPr>
        <w:footnoteRef/>
      </w:r>
      <w:r w:rsidRPr="00813F20">
        <w:rPr>
          <w:sz w:val="20"/>
          <w:szCs w:val="20"/>
        </w:rPr>
        <w:t xml:space="preserve"> </w:t>
      </w:r>
      <w:r>
        <w:rPr>
          <w:sz w:val="20"/>
          <w:szCs w:val="20"/>
          <w:vertAlign w:val="baseline"/>
          <w:lang w:val="en-US"/>
        </w:rPr>
        <w:t>ibid</w:t>
      </w:r>
      <w:r w:rsidRPr="00813F20">
        <w:rPr>
          <w:rFonts w:cs="Times New Roman"/>
          <w:sz w:val="20"/>
          <w:szCs w:val="20"/>
          <w:vertAlign w:val="baseline"/>
        </w:rPr>
        <w:t xml:space="preserve"> para 51</w:t>
      </w:r>
    </w:p>
  </w:footnote>
  <w:footnote w:id="455">
    <w:p w14:paraId="20F3D658" w14:textId="1509726A" w:rsidR="00431A55" w:rsidRPr="009045BD" w:rsidRDefault="00431A55" w:rsidP="005F7752">
      <w:pPr>
        <w:pStyle w:val="FootnoteText"/>
      </w:pPr>
      <w:r w:rsidRPr="00813F20">
        <w:rPr>
          <w:rStyle w:val="FootnoteReference"/>
          <w:sz w:val="20"/>
          <w:szCs w:val="20"/>
        </w:rPr>
        <w:footnoteRef/>
      </w:r>
      <w:r w:rsidRPr="00813F20">
        <w:rPr>
          <w:sz w:val="20"/>
          <w:szCs w:val="20"/>
          <w:vertAlign w:val="baseline"/>
        </w:rPr>
        <w:t xml:space="preserve"> Mensah Adinkrah, ‘Witchcraft Accusations and Female Homicide Victimization in Contemporary Ghana’ (2004) 10(4) </w:t>
      </w:r>
      <w:r>
        <w:rPr>
          <w:sz w:val="20"/>
          <w:szCs w:val="20"/>
          <w:vertAlign w:val="baseline"/>
        </w:rPr>
        <w:t>VAW</w:t>
      </w:r>
      <w:r w:rsidRPr="00813F20">
        <w:rPr>
          <w:sz w:val="20"/>
          <w:szCs w:val="20"/>
          <w:vertAlign w:val="baseline"/>
        </w:rPr>
        <w:t xml:space="preserve"> 329</w:t>
      </w:r>
    </w:p>
  </w:footnote>
  <w:footnote w:id="456">
    <w:p w14:paraId="4572A8F0" w14:textId="678B0DC5" w:rsidR="00431A55" w:rsidRPr="00813F20" w:rsidRDefault="00431A55" w:rsidP="005F7752">
      <w:pPr>
        <w:pStyle w:val="FootnoteText"/>
        <w:rPr>
          <w:vertAlign w:val="baseline"/>
          <w:lang w:val="en-US"/>
        </w:rPr>
      </w:pPr>
      <w:r w:rsidRPr="00813F20">
        <w:rPr>
          <w:rStyle w:val="FootnoteReference"/>
          <w:sz w:val="20"/>
          <w:szCs w:val="20"/>
        </w:rPr>
        <w:footnoteRef/>
      </w:r>
      <w:r w:rsidRPr="00813F20">
        <w:rPr>
          <w:sz w:val="20"/>
          <w:szCs w:val="20"/>
        </w:rPr>
        <w:t xml:space="preserve"> </w:t>
      </w:r>
      <w:r w:rsidRPr="00813F20">
        <w:rPr>
          <w:sz w:val="20"/>
          <w:szCs w:val="20"/>
          <w:vertAlign w:val="baseline"/>
          <w:lang w:val="en-US"/>
        </w:rPr>
        <w:t>Akan ethic groups include the Ashanti, Akuapem, Akyem, Fante, Nzema, Bono, Ahanta and Kwahu tribes. They are estimated to make up 49.3% of the population of</w:t>
      </w:r>
      <w:r w:rsidRPr="00813F20">
        <w:rPr>
          <w:vertAlign w:val="baseline"/>
          <w:lang w:val="en-US"/>
        </w:rPr>
        <w:t xml:space="preserve"> </w:t>
      </w:r>
      <w:r w:rsidRPr="00813F20">
        <w:rPr>
          <w:sz w:val="20"/>
          <w:szCs w:val="20"/>
          <w:vertAlign w:val="baseline"/>
          <w:lang w:val="en-US"/>
        </w:rPr>
        <w:t>Ghana</w:t>
      </w:r>
      <w:r>
        <w:rPr>
          <w:sz w:val="20"/>
          <w:szCs w:val="20"/>
          <w:vertAlign w:val="baseline"/>
          <w:lang w:val="en-US"/>
        </w:rPr>
        <w:t xml:space="preserve"> </w:t>
      </w:r>
      <w:r w:rsidRPr="006375D9">
        <w:rPr>
          <w:sz w:val="20"/>
          <w:szCs w:val="20"/>
          <w:vertAlign w:val="baseline"/>
          <w:lang w:val="en-US"/>
        </w:rPr>
        <w:t>&lt;</w:t>
      </w:r>
      <w:hyperlink r:id="rId53" w:history="1">
        <w:r w:rsidRPr="006375D9">
          <w:rPr>
            <w:rStyle w:val="Hyperlink"/>
            <w:sz w:val="20"/>
            <w:szCs w:val="20"/>
            <w:vertAlign w:val="baseline"/>
            <w:lang w:val="en-US"/>
          </w:rPr>
          <w:t>http://www.ghanaweb.com/GhanaHomePage/tribes/akan.php</w:t>
        </w:r>
      </w:hyperlink>
      <w:r w:rsidRPr="006375D9">
        <w:rPr>
          <w:sz w:val="20"/>
          <w:szCs w:val="20"/>
          <w:vertAlign w:val="baseline"/>
          <w:lang w:val="en-US"/>
        </w:rPr>
        <w:t>&gt; accessed 13 August 2015</w:t>
      </w:r>
    </w:p>
  </w:footnote>
  <w:footnote w:id="457">
    <w:p w14:paraId="5AC7D727" w14:textId="62290000" w:rsidR="00431A55" w:rsidRPr="006375D9" w:rsidRDefault="00431A55" w:rsidP="005F7752">
      <w:pPr>
        <w:pStyle w:val="FootnoteText"/>
        <w:rPr>
          <w:sz w:val="20"/>
          <w:szCs w:val="20"/>
          <w:vertAlign w:val="baseline"/>
        </w:rPr>
      </w:pPr>
      <w:r w:rsidRPr="006375D9">
        <w:rPr>
          <w:rStyle w:val="FootnoteReference"/>
          <w:sz w:val="20"/>
          <w:szCs w:val="20"/>
        </w:rPr>
        <w:footnoteRef/>
      </w:r>
      <w:r w:rsidRPr="006375D9">
        <w:rPr>
          <w:sz w:val="20"/>
          <w:szCs w:val="20"/>
          <w:vertAlign w:val="baseline"/>
        </w:rPr>
        <w:t xml:space="preserve"> The Ewe occupies SE Ghana and parts</w:t>
      </w:r>
      <w:r>
        <w:rPr>
          <w:sz w:val="20"/>
          <w:szCs w:val="20"/>
          <w:vertAlign w:val="baseline"/>
        </w:rPr>
        <w:t xml:space="preserve"> of Togo and Benin, with an</w:t>
      </w:r>
      <w:r w:rsidRPr="006375D9">
        <w:rPr>
          <w:sz w:val="20"/>
          <w:szCs w:val="20"/>
          <w:vertAlign w:val="baseline"/>
        </w:rPr>
        <w:t xml:space="preserve"> estimated population </w:t>
      </w:r>
      <w:r>
        <w:rPr>
          <w:sz w:val="20"/>
          <w:szCs w:val="20"/>
          <w:vertAlign w:val="baseline"/>
        </w:rPr>
        <w:t>of 1,615,700 in Ghana (</w:t>
      </w:r>
      <w:r w:rsidRPr="006375D9">
        <w:rPr>
          <w:sz w:val="20"/>
          <w:szCs w:val="20"/>
          <w:vertAlign w:val="baseline"/>
        </w:rPr>
        <w:t>approximatel</w:t>
      </w:r>
      <w:r>
        <w:rPr>
          <w:sz w:val="20"/>
          <w:szCs w:val="20"/>
          <w:vertAlign w:val="baseline"/>
        </w:rPr>
        <w:t xml:space="preserve">y 11.7% of the total population) </w:t>
      </w:r>
      <w:r w:rsidRPr="006375D9">
        <w:rPr>
          <w:sz w:val="20"/>
          <w:szCs w:val="20"/>
          <w:vertAlign w:val="baseline"/>
        </w:rPr>
        <w:t>&lt;</w:t>
      </w:r>
      <w:hyperlink r:id="rId54" w:history="1">
        <w:r w:rsidRPr="006375D9">
          <w:rPr>
            <w:rStyle w:val="Hyperlink"/>
            <w:sz w:val="20"/>
            <w:szCs w:val="20"/>
            <w:vertAlign w:val="baseline"/>
          </w:rPr>
          <w:t>http://www.ghanaweb.com/GhanaHomePage/tribes/ewe.php</w:t>
        </w:r>
      </w:hyperlink>
      <w:r w:rsidRPr="006375D9">
        <w:rPr>
          <w:sz w:val="20"/>
          <w:szCs w:val="20"/>
          <w:vertAlign w:val="baseline"/>
        </w:rPr>
        <w:t>&gt; accessed 13 August 2015</w:t>
      </w:r>
    </w:p>
  </w:footnote>
  <w:footnote w:id="458">
    <w:p w14:paraId="3F95D673" w14:textId="71A07D8A" w:rsidR="00431A55" w:rsidRPr="006375D9" w:rsidRDefault="00431A55" w:rsidP="005F7752">
      <w:pPr>
        <w:pStyle w:val="NoSpacing"/>
        <w:rPr>
          <w:vertAlign w:val="baseline"/>
        </w:rPr>
      </w:pPr>
      <w:r w:rsidRPr="006375D9">
        <w:rPr>
          <w:rStyle w:val="FootnoteReference"/>
        </w:rPr>
        <w:footnoteRef/>
      </w:r>
      <w:r w:rsidRPr="006375D9">
        <w:rPr>
          <w:vertAlign w:val="baseline"/>
        </w:rPr>
        <w:t xml:space="preserve"> The Mole Dagbon are divided into </w:t>
      </w:r>
      <w:r>
        <w:rPr>
          <w:vertAlign w:val="baseline"/>
        </w:rPr>
        <w:t xml:space="preserve">two ethnic groups, the More </w:t>
      </w:r>
      <w:r w:rsidRPr="006375D9">
        <w:rPr>
          <w:vertAlign w:val="baseline"/>
        </w:rPr>
        <w:t xml:space="preserve">live in Burkina </w:t>
      </w:r>
      <w:r>
        <w:rPr>
          <w:vertAlign w:val="baseline"/>
        </w:rPr>
        <w:t>Faso and the Dagbamba (</w:t>
      </w:r>
      <w:r w:rsidRPr="006375D9">
        <w:rPr>
          <w:vertAlign w:val="baseline"/>
        </w:rPr>
        <w:t>split into three distinct ethnic sub-groups, the Dagbamb</w:t>
      </w:r>
      <w:r>
        <w:rPr>
          <w:vertAlign w:val="baseline"/>
        </w:rPr>
        <w:t>a, the Mamprusi and the Nanumba)</w:t>
      </w:r>
      <w:r w:rsidRPr="006375D9">
        <w:rPr>
          <w:vertAlign w:val="baseline"/>
        </w:rPr>
        <w:t xml:space="preserve"> They are estimated to represent 15.2% of the total population of and are based in the Dagbon area of Ghana &lt;</w:t>
      </w:r>
      <w:hyperlink r:id="rId55" w:history="1">
        <w:r w:rsidRPr="006375D9">
          <w:rPr>
            <w:rStyle w:val="Hyperlink"/>
            <w:vertAlign w:val="baseline"/>
          </w:rPr>
          <w:t>http://www.ghanaweb.com/GhanaHomePage/tribes/dagomba.php</w:t>
        </w:r>
      </w:hyperlink>
      <w:r w:rsidRPr="006375D9">
        <w:rPr>
          <w:vertAlign w:val="baseline"/>
        </w:rPr>
        <w:t>&gt;</w:t>
      </w:r>
      <w:r w:rsidRPr="006375D9">
        <w:rPr>
          <w:vertAlign w:val="baseline"/>
          <w:lang w:val="en-US"/>
        </w:rPr>
        <w:t xml:space="preserve"> accessed 13 August 2015</w:t>
      </w:r>
    </w:p>
  </w:footnote>
  <w:footnote w:id="459">
    <w:p w14:paraId="7250C71A" w14:textId="3E390CAC" w:rsidR="00431A55" w:rsidRPr="006375D9" w:rsidRDefault="00431A55" w:rsidP="005F7752">
      <w:pPr>
        <w:pStyle w:val="NoSpacing"/>
        <w:rPr>
          <w:rFonts w:eastAsia="Times New Roman" w:cs="Times New Roman"/>
          <w:vertAlign w:val="baseline"/>
        </w:rPr>
      </w:pPr>
      <w:r w:rsidRPr="006375D9">
        <w:rPr>
          <w:rStyle w:val="FootnoteReference"/>
        </w:rPr>
        <w:footnoteRef/>
      </w:r>
      <w:r w:rsidRPr="006375D9">
        <w:rPr>
          <w:vertAlign w:val="baseline"/>
        </w:rPr>
        <w:t xml:space="preserve"> The Guan have a wide distribution and are found in almost all areas of Ghana, however are generally found in the Volta Gorge, Northern, Central, Eastern </w:t>
      </w:r>
      <w:r>
        <w:rPr>
          <w:vertAlign w:val="baseline"/>
        </w:rPr>
        <w:t>and Brong Ahafo regions. S</w:t>
      </w:r>
      <w:r w:rsidRPr="006375D9">
        <w:rPr>
          <w:vertAlign w:val="baseline"/>
        </w:rPr>
        <w:t>ub-groups include the Gonja, the Efutu, the Anum-Boso, the Larteh and the Kyerepong. It is understood that the Guan were the first settlers in Ghana and can be traced back to the New Stone Age. They are estimated to</w:t>
      </w:r>
      <w:r>
        <w:rPr>
          <w:vertAlign w:val="baseline"/>
        </w:rPr>
        <w:t xml:space="preserve"> represent 4% of the population</w:t>
      </w:r>
    </w:p>
    <w:p w14:paraId="1FF31BAC" w14:textId="77777777" w:rsidR="00431A55" w:rsidRPr="006375D9" w:rsidRDefault="00431A55" w:rsidP="005F7752">
      <w:pPr>
        <w:pStyle w:val="NoSpacing"/>
        <w:rPr>
          <w:vertAlign w:val="baseline"/>
        </w:rPr>
      </w:pPr>
      <w:r w:rsidRPr="006375D9">
        <w:rPr>
          <w:vertAlign w:val="baseline"/>
        </w:rPr>
        <w:t>&lt;</w:t>
      </w:r>
      <w:hyperlink r:id="rId56" w:history="1">
        <w:r w:rsidRPr="006375D9">
          <w:rPr>
            <w:rStyle w:val="Hyperlink"/>
            <w:vertAlign w:val="baseline"/>
          </w:rPr>
          <w:t>http://www.ghanaweb.com/GhanaHomePage/tribes/guan.php</w:t>
        </w:r>
      </w:hyperlink>
      <w:r w:rsidRPr="006375D9">
        <w:rPr>
          <w:vertAlign w:val="baseline"/>
        </w:rPr>
        <w:t>&gt; accessed 13 August 2015</w:t>
      </w:r>
    </w:p>
  </w:footnote>
  <w:footnote w:id="460">
    <w:p w14:paraId="4C794643" w14:textId="5970C967" w:rsidR="00431A55" w:rsidRPr="006375D9" w:rsidRDefault="00431A55" w:rsidP="005F7752">
      <w:pPr>
        <w:pStyle w:val="NoSpacing"/>
        <w:rPr>
          <w:vertAlign w:val="baseline"/>
        </w:rPr>
      </w:pPr>
      <w:r w:rsidRPr="006375D9">
        <w:rPr>
          <w:rStyle w:val="FootnoteReference"/>
        </w:rPr>
        <w:footnoteRef/>
      </w:r>
      <w:r w:rsidRPr="006375D9">
        <w:rPr>
          <w:vertAlign w:val="baseline"/>
        </w:rPr>
        <w:t xml:space="preserve"> The Ga-Adangbe people live in the Accra Plains of Ghana and represent approximately 7.3% of the population. The Ga populates the East and the Adange occupy the West of the Accra Plains. Sub groups of the Adanbe include the Shai, La, Ningo, Kpone, Osudoku, Krobo, Gbugble and Ada groups. The Ga includes the Ga-Mashie, Akwame, Anecho and Akwapim groups. &lt;</w:t>
      </w:r>
      <w:hyperlink r:id="rId57" w:history="1">
        <w:r w:rsidRPr="006375D9">
          <w:rPr>
            <w:rStyle w:val="Hyperlink"/>
            <w:vertAlign w:val="baseline"/>
          </w:rPr>
          <w:t>http://www.ghanaweb.com/GhanaHomePage/tribes/adangbe.php</w:t>
        </w:r>
      </w:hyperlink>
      <w:r w:rsidRPr="006375D9">
        <w:rPr>
          <w:vertAlign w:val="baseline"/>
        </w:rPr>
        <w:t>&gt; accessed 13 August 2015</w:t>
      </w:r>
    </w:p>
  </w:footnote>
  <w:footnote w:id="461">
    <w:p w14:paraId="63895BB1" w14:textId="77777777" w:rsidR="00431A55" w:rsidRPr="006375D9" w:rsidRDefault="00431A55" w:rsidP="005F7752">
      <w:pPr>
        <w:pStyle w:val="NoSpacing"/>
        <w:rPr>
          <w:vertAlign w:val="baseline"/>
          <w:lang w:val="en-US"/>
        </w:rPr>
      </w:pPr>
      <w:r w:rsidRPr="006375D9">
        <w:rPr>
          <w:rStyle w:val="FootnoteReference"/>
        </w:rPr>
        <w:footnoteRef/>
      </w:r>
      <w:r w:rsidRPr="006375D9">
        <w:rPr>
          <w:vertAlign w:val="baseline"/>
        </w:rPr>
        <w:t xml:space="preserve"> GhanaWeb, ‘Ethnic Groups’ &lt;</w:t>
      </w:r>
      <w:hyperlink r:id="rId58" w:history="1">
        <w:r w:rsidRPr="006375D9">
          <w:rPr>
            <w:rStyle w:val="Hyperlink"/>
            <w:vertAlign w:val="baseline"/>
          </w:rPr>
          <w:t>http://www.ghanaweb.com/GhanaHomePage/tribes/</w:t>
        </w:r>
      </w:hyperlink>
      <w:r w:rsidRPr="006375D9">
        <w:rPr>
          <w:vertAlign w:val="baseline"/>
        </w:rPr>
        <w:t>&gt; accessed 13 August 2015</w:t>
      </w:r>
    </w:p>
  </w:footnote>
  <w:footnote w:id="462">
    <w:p w14:paraId="278F8FF6" w14:textId="0BB6000C" w:rsidR="00431A55" w:rsidRPr="006375D9" w:rsidRDefault="00431A55" w:rsidP="005F7752">
      <w:pPr>
        <w:pStyle w:val="NoSpacing"/>
        <w:rPr>
          <w:vertAlign w:val="baseline"/>
        </w:rPr>
      </w:pPr>
      <w:r w:rsidRPr="006375D9">
        <w:rPr>
          <w:rStyle w:val="FootnoteReference"/>
        </w:rPr>
        <w:footnoteRef/>
      </w:r>
      <w:r w:rsidRPr="006375D9">
        <w:rPr>
          <w:vertAlign w:val="baseline"/>
        </w:rPr>
        <w:t xml:space="preserve"> The Ba-ha’i is a religion which emphasises the spi</w:t>
      </w:r>
      <w:r>
        <w:rPr>
          <w:vertAlign w:val="baseline"/>
        </w:rPr>
        <w:t xml:space="preserve">ritual unity of mankind; Adinkrah (n 455) </w:t>
      </w:r>
      <w:r w:rsidRPr="006375D9">
        <w:rPr>
          <w:vertAlign w:val="baseline"/>
        </w:rPr>
        <w:t>329</w:t>
      </w:r>
    </w:p>
  </w:footnote>
  <w:footnote w:id="463">
    <w:p w14:paraId="4992911B" w14:textId="28B7C951" w:rsidR="00431A55" w:rsidRPr="006375D9" w:rsidRDefault="00431A55" w:rsidP="005F7752">
      <w:pPr>
        <w:pStyle w:val="NoSpacing"/>
        <w:rPr>
          <w:vertAlign w:val="baseline"/>
          <w:lang w:val="en-US"/>
        </w:rPr>
      </w:pPr>
      <w:r w:rsidRPr="006375D9">
        <w:rPr>
          <w:rStyle w:val="FootnoteReference"/>
        </w:rPr>
        <w:footnoteRef/>
      </w:r>
      <w:r>
        <w:t xml:space="preserve"> </w:t>
      </w:r>
      <w:r>
        <w:rPr>
          <w:vertAlign w:val="baseline"/>
        </w:rPr>
        <w:t xml:space="preserve">Adinkrah (n 455) </w:t>
      </w:r>
      <w:r w:rsidRPr="006375D9">
        <w:rPr>
          <w:vertAlign w:val="baseline"/>
        </w:rPr>
        <w:t>330</w:t>
      </w:r>
    </w:p>
  </w:footnote>
  <w:footnote w:id="464">
    <w:p w14:paraId="16D59041" w14:textId="742B6727" w:rsidR="00431A55" w:rsidRPr="006375D9" w:rsidRDefault="00431A55" w:rsidP="005F7752">
      <w:pPr>
        <w:pStyle w:val="NoSpacing"/>
        <w:rPr>
          <w:vertAlign w:val="baseline"/>
          <w:lang w:val="en-US"/>
        </w:rPr>
      </w:pPr>
      <w:r w:rsidRPr="006375D9">
        <w:rPr>
          <w:rStyle w:val="FootnoteReference"/>
        </w:rPr>
        <w:footnoteRef/>
      </w:r>
      <w:r w:rsidRPr="006375D9">
        <w:t xml:space="preserve"> </w:t>
      </w:r>
      <w:r>
        <w:rPr>
          <w:vertAlign w:val="baseline"/>
        </w:rPr>
        <w:t>ibid</w:t>
      </w:r>
    </w:p>
  </w:footnote>
  <w:footnote w:id="465">
    <w:p w14:paraId="4FD602B5" w14:textId="66BD94C1" w:rsidR="00431A55" w:rsidRPr="006E675A" w:rsidRDefault="00431A55" w:rsidP="005F7752">
      <w:pPr>
        <w:pStyle w:val="NoSpacing"/>
        <w:rPr>
          <w:vertAlign w:val="baseline"/>
          <w:lang w:val="en-US"/>
        </w:rPr>
      </w:pPr>
      <w:r w:rsidRPr="006E675A">
        <w:rPr>
          <w:rStyle w:val="FootnoteReference"/>
        </w:rPr>
        <w:footnoteRef/>
      </w:r>
      <w:r w:rsidRPr="006E675A">
        <w:rPr>
          <w:vertAlign w:val="baseline"/>
        </w:rPr>
        <w:t xml:space="preserve"> </w:t>
      </w:r>
      <w:r>
        <w:rPr>
          <w:vertAlign w:val="baseline"/>
        </w:rPr>
        <w:t>ibid</w:t>
      </w:r>
      <w:r w:rsidRPr="006E675A">
        <w:rPr>
          <w:vertAlign w:val="baseline"/>
        </w:rPr>
        <w:t xml:space="preserve"> 331</w:t>
      </w:r>
    </w:p>
  </w:footnote>
  <w:footnote w:id="466">
    <w:p w14:paraId="6032C25A" w14:textId="77777777" w:rsidR="00431A55" w:rsidRPr="006E675A" w:rsidRDefault="00431A55" w:rsidP="005F7752">
      <w:pPr>
        <w:pStyle w:val="NoSpacing"/>
        <w:rPr>
          <w:vertAlign w:val="baseline"/>
          <w:lang w:val="en-US"/>
        </w:rPr>
      </w:pPr>
      <w:r w:rsidRPr="006E675A">
        <w:rPr>
          <w:rStyle w:val="FootnoteReference"/>
        </w:rPr>
        <w:footnoteRef/>
      </w:r>
      <w:r w:rsidRPr="006E675A">
        <w:rPr>
          <w:vertAlign w:val="baseline"/>
        </w:rPr>
        <w:t xml:space="preserve"> Relating to, based on, or tracing descent through the maternal line a matrilineal society.</w:t>
      </w:r>
    </w:p>
  </w:footnote>
  <w:footnote w:id="467">
    <w:p w14:paraId="3D3513AC" w14:textId="58817C43" w:rsidR="00431A55" w:rsidRPr="00B10C72" w:rsidRDefault="00431A55" w:rsidP="00B10C72">
      <w:pPr>
        <w:pStyle w:val="NoSpacing"/>
        <w:rPr>
          <w:lang w:val="en-US"/>
        </w:rPr>
      </w:pPr>
      <w:r w:rsidRPr="00B10C72">
        <w:rPr>
          <w:rStyle w:val="FootnoteReference"/>
        </w:rPr>
        <w:footnoteRef/>
      </w:r>
      <w:r w:rsidRPr="00B10C72">
        <w:t xml:space="preserve"> </w:t>
      </w:r>
      <w:r w:rsidRPr="00B10C72">
        <w:rPr>
          <w:vertAlign w:val="baseline"/>
          <w:lang w:val="en-US"/>
        </w:rPr>
        <w:t>It must be emphasised here that the term matrilineal, which refer</w:t>
      </w:r>
      <w:r>
        <w:rPr>
          <w:vertAlign w:val="baseline"/>
          <w:lang w:val="en-US"/>
        </w:rPr>
        <w:t>s to inheritance and descent should</w:t>
      </w:r>
      <w:r w:rsidRPr="00B10C72">
        <w:rPr>
          <w:vertAlign w:val="baseline"/>
          <w:lang w:val="en-US"/>
        </w:rPr>
        <w:t xml:space="preserve"> not to be confused with the term matriarchal</w:t>
      </w:r>
      <w:r>
        <w:rPr>
          <w:vertAlign w:val="baseline"/>
          <w:lang w:val="en-US"/>
        </w:rPr>
        <w:t xml:space="preserve"> that refers to social systems in which</w:t>
      </w:r>
      <w:r w:rsidRPr="00B10C72">
        <w:rPr>
          <w:vertAlign w:val="baseline"/>
          <w:lang w:val="en-US"/>
        </w:rPr>
        <w:t xml:space="preserve"> women hold predominant roles of power</w:t>
      </w:r>
    </w:p>
  </w:footnote>
  <w:footnote w:id="468">
    <w:p w14:paraId="78AE5897" w14:textId="7296ED61" w:rsidR="00431A55" w:rsidRPr="00B54FB0" w:rsidRDefault="00431A55">
      <w:pPr>
        <w:pStyle w:val="FootnoteText"/>
        <w:rPr>
          <w:sz w:val="20"/>
          <w:szCs w:val="20"/>
          <w:vertAlign w:val="baseline"/>
          <w:lang w:val="en-US"/>
        </w:rPr>
      </w:pPr>
      <w:r w:rsidRPr="00B54FB0">
        <w:rPr>
          <w:rStyle w:val="FootnoteReference"/>
          <w:sz w:val="20"/>
          <w:szCs w:val="20"/>
        </w:rPr>
        <w:footnoteRef/>
      </w:r>
      <w:r w:rsidRPr="00B54FB0">
        <w:rPr>
          <w:sz w:val="20"/>
          <w:szCs w:val="20"/>
        </w:rPr>
        <w:t xml:space="preserve"> </w:t>
      </w:r>
      <w:r>
        <w:rPr>
          <w:sz w:val="20"/>
          <w:szCs w:val="20"/>
          <w:vertAlign w:val="baseline"/>
        </w:rPr>
        <w:t>Rose M. Amenga-Etego, ‘Categorisation of Women and Human Rights Issues’ (2013) CrossCurrents 144</w:t>
      </w:r>
    </w:p>
  </w:footnote>
  <w:footnote w:id="469">
    <w:p w14:paraId="156E734C" w14:textId="7FB92913" w:rsidR="00431A55" w:rsidRPr="00403C56" w:rsidRDefault="00431A55">
      <w:pPr>
        <w:pStyle w:val="FootnoteText"/>
        <w:rPr>
          <w:sz w:val="20"/>
          <w:szCs w:val="20"/>
          <w:lang w:val="en-US"/>
        </w:rPr>
      </w:pPr>
      <w:r w:rsidRPr="00403C56">
        <w:rPr>
          <w:rStyle w:val="FootnoteReference"/>
          <w:sz w:val="20"/>
          <w:szCs w:val="20"/>
        </w:rPr>
        <w:footnoteRef/>
      </w:r>
      <w:r w:rsidRPr="00403C56">
        <w:rPr>
          <w:sz w:val="20"/>
          <w:szCs w:val="20"/>
        </w:rPr>
        <w:t xml:space="preserve"> </w:t>
      </w:r>
      <w:r>
        <w:rPr>
          <w:sz w:val="20"/>
          <w:szCs w:val="20"/>
          <w:vertAlign w:val="baseline"/>
        </w:rPr>
        <w:t>ibid</w:t>
      </w:r>
    </w:p>
  </w:footnote>
  <w:footnote w:id="470">
    <w:p w14:paraId="264722D5" w14:textId="5C97E497" w:rsidR="00431A55" w:rsidRPr="00FA264A" w:rsidRDefault="00431A55">
      <w:pPr>
        <w:pStyle w:val="FootnoteText"/>
        <w:rPr>
          <w:lang w:val="en-US"/>
        </w:rPr>
      </w:pPr>
      <w:r w:rsidRPr="00FA264A">
        <w:rPr>
          <w:rStyle w:val="FootnoteReference"/>
          <w:sz w:val="20"/>
          <w:szCs w:val="20"/>
        </w:rPr>
        <w:footnoteRef/>
      </w:r>
      <w:r w:rsidRPr="00FA264A">
        <w:rPr>
          <w:sz w:val="20"/>
          <w:szCs w:val="20"/>
        </w:rPr>
        <w:t xml:space="preserve"> </w:t>
      </w:r>
      <w:r>
        <w:rPr>
          <w:sz w:val="20"/>
          <w:szCs w:val="20"/>
          <w:vertAlign w:val="baseline"/>
        </w:rPr>
        <w:t>ibid 145</w:t>
      </w:r>
    </w:p>
  </w:footnote>
  <w:footnote w:id="471">
    <w:p w14:paraId="1656E66B" w14:textId="465F6867" w:rsidR="00431A55" w:rsidRPr="006E675A" w:rsidRDefault="00431A55" w:rsidP="005F7752">
      <w:pPr>
        <w:pStyle w:val="NoSpacing"/>
        <w:rPr>
          <w:vertAlign w:val="baseline"/>
          <w:lang w:val="en-US"/>
        </w:rPr>
      </w:pPr>
      <w:r w:rsidRPr="006E675A">
        <w:rPr>
          <w:rStyle w:val="FootnoteReference"/>
        </w:rPr>
        <w:footnoteRef/>
      </w:r>
      <w:r>
        <w:rPr>
          <w:vertAlign w:val="baseline"/>
        </w:rPr>
        <w:t xml:space="preserve"> Adinkrah (n 455) </w:t>
      </w:r>
      <w:r w:rsidRPr="006E675A">
        <w:rPr>
          <w:vertAlign w:val="baseline"/>
        </w:rPr>
        <w:t>331</w:t>
      </w:r>
    </w:p>
  </w:footnote>
  <w:footnote w:id="472">
    <w:p w14:paraId="1ED243AE" w14:textId="26C9D035" w:rsidR="00431A55" w:rsidRPr="006E675A" w:rsidRDefault="00431A55" w:rsidP="005F7752">
      <w:pPr>
        <w:pStyle w:val="NoSpacing"/>
        <w:rPr>
          <w:rFonts w:ascii="Times" w:eastAsia="Times New Roman" w:hAnsi="Times" w:cs="Times New Roman"/>
          <w:vertAlign w:val="baseline"/>
        </w:rPr>
      </w:pPr>
      <w:r w:rsidRPr="006E675A">
        <w:rPr>
          <w:rStyle w:val="FootnoteReference"/>
        </w:rPr>
        <w:footnoteRef/>
      </w:r>
      <w:r w:rsidRPr="006E675A">
        <w:rPr>
          <w:vertAlign w:val="baseline"/>
        </w:rPr>
        <w:t xml:space="preserve"> </w:t>
      </w:r>
      <w:r>
        <w:rPr>
          <w:vertAlign w:val="baseline"/>
        </w:rPr>
        <w:t>ibid</w:t>
      </w:r>
      <w:r w:rsidRPr="006E675A">
        <w:rPr>
          <w:vertAlign w:val="baseline"/>
        </w:rPr>
        <w:t xml:space="preserve"> 325-356</w:t>
      </w:r>
      <w:r>
        <w:rPr>
          <w:vertAlign w:val="baseline"/>
        </w:rPr>
        <w:t>; see section 3.5 Re acknowledgement of male victims of WAP</w:t>
      </w:r>
    </w:p>
  </w:footnote>
  <w:footnote w:id="473">
    <w:p w14:paraId="037B3585" w14:textId="6FC44412" w:rsidR="00431A55" w:rsidRPr="006E675A" w:rsidRDefault="00431A55" w:rsidP="005F7752">
      <w:pPr>
        <w:pStyle w:val="NoSpacing"/>
        <w:rPr>
          <w:rFonts w:ascii="Times" w:eastAsia="Times New Roman" w:hAnsi="Times" w:cs="Times New Roman"/>
          <w:vertAlign w:val="baseline"/>
        </w:rPr>
      </w:pPr>
      <w:r w:rsidRPr="00C35FB0">
        <w:rPr>
          <w:rStyle w:val="FootnoteReference"/>
        </w:rPr>
        <w:footnoteRef/>
      </w:r>
      <w:r w:rsidRPr="00C35FB0">
        <w:t xml:space="preserve"> </w:t>
      </w:r>
      <w:r w:rsidRPr="006E675A">
        <w:rPr>
          <w:vertAlign w:val="baseline"/>
        </w:rPr>
        <w:t xml:space="preserve">Elizabeth </w:t>
      </w:r>
      <w:r w:rsidRPr="006E675A">
        <w:rPr>
          <w:rFonts w:eastAsia="Times New Roman" w:cs="Times New Roman"/>
          <w:vertAlign w:val="baseline"/>
        </w:rPr>
        <w:t xml:space="preserve">Amoah, ‘Violence and women’s bodies in African perspective’ in Mary John Mananzan, Mercy Amba Oduyoye, Elsa Tamez, J. Shannon Clarkson, Mary C. Grey, &amp; Letty M. Russell (eds), </w:t>
      </w:r>
      <w:r w:rsidRPr="006E675A">
        <w:rPr>
          <w:rFonts w:eastAsia="Times New Roman" w:cs="Times New Roman"/>
          <w:i/>
          <w:vertAlign w:val="baseline"/>
        </w:rPr>
        <w:t>Women resisting violence: Spirituality for Life</w:t>
      </w:r>
      <w:r w:rsidRPr="006E675A">
        <w:rPr>
          <w:rFonts w:eastAsia="Times New Roman" w:cs="Times New Roman"/>
          <w:vertAlign w:val="baseline"/>
        </w:rPr>
        <w:t xml:space="preserve"> (Wipf and Stock 2004) 80-86;</w:t>
      </w:r>
      <w:r>
        <w:rPr>
          <w:vertAlign w:val="baseline"/>
        </w:rPr>
        <w:t xml:space="preserve"> Adinkrah (n 455) </w:t>
      </w:r>
      <w:r w:rsidRPr="006E675A">
        <w:rPr>
          <w:vertAlign w:val="baseline"/>
        </w:rPr>
        <w:t>325-356</w:t>
      </w:r>
    </w:p>
  </w:footnote>
  <w:footnote w:id="474">
    <w:p w14:paraId="28C0D17C" w14:textId="77777777" w:rsidR="00431A55" w:rsidRDefault="00431A55" w:rsidP="005F7752">
      <w:pPr>
        <w:pStyle w:val="FootnoteText"/>
      </w:pPr>
      <w:r w:rsidRPr="00C35FB0">
        <w:rPr>
          <w:rStyle w:val="FootnoteReference"/>
          <w:sz w:val="20"/>
          <w:szCs w:val="20"/>
        </w:rPr>
        <w:footnoteRef/>
      </w:r>
      <w:r w:rsidRPr="00C35FB0">
        <w:rPr>
          <w:sz w:val="20"/>
          <w:szCs w:val="20"/>
        </w:rPr>
        <w:t xml:space="preserve"> </w:t>
      </w:r>
      <w:r w:rsidRPr="006E675A">
        <w:rPr>
          <w:sz w:val="20"/>
          <w:szCs w:val="20"/>
          <w:vertAlign w:val="baseline"/>
        </w:rPr>
        <w:t>UNDP, ‘Gender Inequality Index’ (</w:t>
      </w:r>
      <w:r w:rsidRPr="006E675A">
        <w:rPr>
          <w:i/>
          <w:sz w:val="20"/>
          <w:szCs w:val="20"/>
          <w:vertAlign w:val="baseline"/>
        </w:rPr>
        <w:t>Human Development Reports</w:t>
      </w:r>
      <w:r w:rsidRPr="006E675A">
        <w:rPr>
          <w:sz w:val="20"/>
          <w:szCs w:val="20"/>
          <w:vertAlign w:val="baseline"/>
        </w:rPr>
        <w:t xml:space="preserve"> 2013) &lt;</w:t>
      </w:r>
      <w:hyperlink r:id="rId59" w:history="1">
        <w:r w:rsidRPr="006E675A">
          <w:rPr>
            <w:rStyle w:val="Hyperlink"/>
            <w:sz w:val="20"/>
            <w:szCs w:val="20"/>
            <w:vertAlign w:val="baseline"/>
          </w:rPr>
          <w:t>http://hdr.undp.org/en/content/table-4-gender-inequality-index</w:t>
        </w:r>
      </w:hyperlink>
      <w:r w:rsidRPr="006E675A">
        <w:rPr>
          <w:sz w:val="20"/>
          <w:szCs w:val="20"/>
          <w:vertAlign w:val="baseline"/>
        </w:rPr>
        <w:t>&gt; accessed 9 February 2015</w:t>
      </w:r>
    </w:p>
  </w:footnote>
  <w:footnote w:id="475">
    <w:p w14:paraId="75B53116" w14:textId="77777777" w:rsidR="00431A55" w:rsidRPr="00C35FB0" w:rsidRDefault="00431A55" w:rsidP="00C35FB0">
      <w:pPr>
        <w:pStyle w:val="NoSpacing"/>
        <w:rPr>
          <w:vertAlign w:val="baseline"/>
          <w:lang w:val="en-US"/>
        </w:rPr>
      </w:pPr>
      <w:r w:rsidRPr="00C35FB0">
        <w:rPr>
          <w:rStyle w:val="FootnoteReference"/>
        </w:rPr>
        <w:footnoteRef/>
      </w:r>
      <w:r w:rsidRPr="00C35FB0">
        <w:t xml:space="preserve"> </w:t>
      </w:r>
      <w:r w:rsidRPr="00C35FB0">
        <w:rPr>
          <w:vertAlign w:val="baseline"/>
          <w:lang w:val="en-US"/>
        </w:rPr>
        <w:t>Womankind Worldwide, ‘Women’s Rights in Ghana’ &lt;</w:t>
      </w:r>
      <w:hyperlink r:id="rId60" w:history="1">
        <w:r w:rsidRPr="00C35FB0">
          <w:rPr>
            <w:rStyle w:val="Hyperlink"/>
            <w:vertAlign w:val="baseline"/>
            <w:lang w:val="en-US"/>
          </w:rPr>
          <w:t>http://www.womankind.org.uk/where-we-work/ghana/</w:t>
        </w:r>
      </w:hyperlink>
      <w:r w:rsidRPr="00C35FB0">
        <w:rPr>
          <w:vertAlign w:val="baseline"/>
          <w:lang w:val="en-US"/>
        </w:rPr>
        <w:t>&gt; accessed 12 August 2015</w:t>
      </w:r>
    </w:p>
  </w:footnote>
  <w:footnote w:id="476">
    <w:p w14:paraId="0831554C" w14:textId="77777777" w:rsidR="00431A55" w:rsidRPr="00C35FB0" w:rsidRDefault="00431A55" w:rsidP="005F7752">
      <w:pPr>
        <w:pStyle w:val="FootnoteText"/>
        <w:rPr>
          <w:sz w:val="20"/>
          <w:szCs w:val="20"/>
          <w:vertAlign w:val="baseline"/>
          <w:lang w:val="en-US"/>
        </w:rPr>
      </w:pPr>
      <w:r w:rsidRPr="00C35FB0">
        <w:rPr>
          <w:rStyle w:val="FootnoteReference"/>
          <w:sz w:val="20"/>
          <w:szCs w:val="20"/>
        </w:rPr>
        <w:footnoteRef/>
      </w:r>
      <w:r w:rsidRPr="00C35FB0">
        <w:rPr>
          <w:sz w:val="20"/>
          <w:szCs w:val="20"/>
        </w:rPr>
        <w:t xml:space="preserve"> </w:t>
      </w:r>
      <w:r w:rsidRPr="00C35FB0">
        <w:rPr>
          <w:sz w:val="20"/>
          <w:szCs w:val="20"/>
          <w:vertAlign w:val="baseline"/>
        </w:rPr>
        <w:t>HRC, ‘Report of the Special Rapporteur on violence against women, its causes and consequences, Yakin Erturk: Mission to Ghana’ 21 February 2008, A/HRC/7/6/Add.3; HRC, ‘</w:t>
      </w:r>
      <w:r w:rsidRPr="00C35FB0">
        <w:rPr>
          <w:rFonts w:eastAsia="Times New Roman" w:cs="Times New Roman"/>
          <w:sz w:val="20"/>
          <w:szCs w:val="20"/>
          <w:vertAlign w:val="baseline"/>
        </w:rPr>
        <w:t>Report by the Special Rapporteur on torture and other cruel, inhuman or degrading treatment or punishment, Juan E. Mendez: Mission to Ghana’ 5 March 2014, A/HRC/25/60/Add.1</w:t>
      </w:r>
    </w:p>
  </w:footnote>
  <w:footnote w:id="477">
    <w:p w14:paraId="67A1F084" w14:textId="752D5AEA" w:rsidR="00431A55" w:rsidRPr="00C35FB0" w:rsidRDefault="00431A55" w:rsidP="005F7752">
      <w:pPr>
        <w:pStyle w:val="FootnoteText"/>
        <w:rPr>
          <w:sz w:val="20"/>
          <w:szCs w:val="20"/>
          <w:vertAlign w:val="baseline"/>
          <w:lang w:val="en-US"/>
        </w:rPr>
      </w:pPr>
      <w:r w:rsidRPr="00C35FB0">
        <w:rPr>
          <w:rStyle w:val="FootnoteReference"/>
          <w:sz w:val="20"/>
          <w:szCs w:val="20"/>
        </w:rPr>
        <w:footnoteRef/>
      </w:r>
      <w:r w:rsidRPr="00C35FB0">
        <w:rPr>
          <w:sz w:val="20"/>
          <w:szCs w:val="20"/>
        </w:rPr>
        <w:t xml:space="preserve"> </w:t>
      </w:r>
      <w:r w:rsidRPr="00C35FB0">
        <w:rPr>
          <w:sz w:val="20"/>
          <w:szCs w:val="20"/>
          <w:vertAlign w:val="baseline"/>
        </w:rPr>
        <w:t>HRC, ‘Yakin Erturk: Mission to Ghana’</w:t>
      </w:r>
      <w:r>
        <w:rPr>
          <w:sz w:val="20"/>
          <w:szCs w:val="20"/>
          <w:vertAlign w:val="baseline"/>
        </w:rPr>
        <w:t xml:space="preserve"> (n 476) </w:t>
      </w:r>
      <w:r w:rsidRPr="00C35FB0">
        <w:rPr>
          <w:sz w:val="20"/>
          <w:szCs w:val="20"/>
          <w:vertAlign w:val="baseline"/>
        </w:rPr>
        <w:t>para 8</w:t>
      </w:r>
    </w:p>
  </w:footnote>
  <w:footnote w:id="478">
    <w:p w14:paraId="4A94E2BA" w14:textId="14614DE9" w:rsidR="00431A55" w:rsidRPr="006F3C65" w:rsidRDefault="00431A55" w:rsidP="005F7752">
      <w:pPr>
        <w:pStyle w:val="FootnoteText"/>
        <w:rPr>
          <w:lang w:val="en-US"/>
        </w:rPr>
      </w:pPr>
      <w:r w:rsidRPr="00C35FB0">
        <w:rPr>
          <w:rStyle w:val="FootnoteReference"/>
          <w:sz w:val="20"/>
          <w:szCs w:val="20"/>
        </w:rPr>
        <w:footnoteRef/>
      </w:r>
      <w:r w:rsidRPr="00C35FB0">
        <w:rPr>
          <w:sz w:val="20"/>
          <w:szCs w:val="20"/>
        </w:rPr>
        <w:t xml:space="preserve"> </w:t>
      </w:r>
      <w:r>
        <w:rPr>
          <w:sz w:val="20"/>
          <w:szCs w:val="20"/>
          <w:vertAlign w:val="baseline"/>
        </w:rPr>
        <w:t xml:space="preserve">ibid, </w:t>
      </w:r>
      <w:r w:rsidRPr="00C35FB0">
        <w:rPr>
          <w:sz w:val="20"/>
          <w:szCs w:val="20"/>
          <w:vertAlign w:val="baseline"/>
        </w:rPr>
        <w:t>para 9</w:t>
      </w:r>
    </w:p>
  </w:footnote>
  <w:footnote w:id="479">
    <w:p w14:paraId="4CCACD31" w14:textId="564DD248" w:rsidR="00431A55" w:rsidRPr="00E66BE7" w:rsidRDefault="00431A55" w:rsidP="005F7752">
      <w:pPr>
        <w:pStyle w:val="FootnoteText"/>
        <w:rPr>
          <w:sz w:val="20"/>
          <w:szCs w:val="20"/>
          <w:vertAlign w:val="baseline"/>
        </w:rPr>
      </w:pPr>
      <w:r w:rsidRPr="00E66BE7">
        <w:rPr>
          <w:rStyle w:val="FootnoteReference"/>
          <w:sz w:val="20"/>
          <w:szCs w:val="20"/>
        </w:rPr>
        <w:footnoteRef/>
      </w:r>
      <w:r>
        <w:rPr>
          <w:sz w:val="20"/>
          <w:szCs w:val="20"/>
          <w:vertAlign w:val="baseline"/>
        </w:rPr>
        <w:t xml:space="preserve"> </w:t>
      </w:r>
      <w:r w:rsidRPr="00E66BE7">
        <w:rPr>
          <w:sz w:val="20"/>
          <w:szCs w:val="20"/>
          <w:vertAlign w:val="baseline"/>
        </w:rPr>
        <w:t>Akrong</w:t>
      </w:r>
      <w:r>
        <w:rPr>
          <w:sz w:val="20"/>
          <w:szCs w:val="20"/>
          <w:vertAlign w:val="baseline"/>
        </w:rPr>
        <w:t xml:space="preserve"> (n 283) </w:t>
      </w:r>
      <w:r w:rsidRPr="00E66BE7">
        <w:rPr>
          <w:sz w:val="20"/>
          <w:szCs w:val="20"/>
          <w:vertAlign w:val="baseline"/>
        </w:rPr>
        <w:t>53</w:t>
      </w:r>
    </w:p>
  </w:footnote>
  <w:footnote w:id="480">
    <w:p w14:paraId="1B2E9F8E" w14:textId="6563CF91" w:rsidR="00431A55" w:rsidRPr="00E66BE7" w:rsidRDefault="00431A55" w:rsidP="005F7752">
      <w:pPr>
        <w:pStyle w:val="FootnoteText"/>
        <w:rPr>
          <w:sz w:val="20"/>
          <w:szCs w:val="20"/>
          <w:vertAlign w:val="baseline"/>
        </w:rPr>
      </w:pPr>
      <w:r w:rsidRPr="00E66BE7">
        <w:rPr>
          <w:rStyle w:val="FootnoteReference"/>
          <w:sz w:val="20"/>
          <w:szCs w:val="20"/>
        </w:rPr>
        <w:footnoteRef/>
      </w:r>
      <w:r w:rsidRPr="00E66BE7">
        <w:rPr>
          <w:sz w:val="20"/>
          <w:szCs w:val="20"/>
        </w:rPr>
        <w:t xml:space="preserve"> </w:t>
      </w:r>
      <w:r>
        <w:rPr>
          <w:sz w:val="20"/>
          <w:szCs w:val="20"/>
          <w:vertAlign w:val="baseline"/>
        </w:rPr>
        <w:t>ibid 54</w:t>
      </w:r>
    </w:p>
  </w:footnote>
  <w:footnote w:id="481">
    <w:p w14:paraId="66ABBA63" w14:textId="07119F4B" w:rsidR="00431A55" w:rsidRPr="00E66BE7" w:rsidRDefault="00431A55" w:rsidP="005F7752">
      <w:pPr>
        <w:pStyle w:val="FootnoteText"/>
        <w:rPr>
          <w:sz w:val="20"/>
          <w:szCs w:val="20"/>
          <w:vertAlign w:val="baseline"/>
        </w:rPr>
      </w:pPr>
      <w:r w:rsidRPr="00E66BE7">
        <w:rPr>
          <w:rStyle w:val="FootnoteReference"/>
          <w:sz w:val="20"/>
          <w:szCs w:val="20"/>
        </w:rPr>
        <w:footnoteRef/>
      </w:r>
      <w:r w:rsidRPr="00E66BE7">
        <w:rPr>
          <w:sz w:val="20"/>
          <w:szCs w:val="20"/>
          <w:vertAlign w:val="baseline"/>
        </w:rPr>
        <w:t xml:space="preserve"> Elom Dovlo, ‘Witchcraft in Contem</w:t>
      </w:r>
      <w:r>
        <w:rPr>
          <w:sz w:val="20"/>
          <w:szCs w:val="20"/>
          <w:vertAlign w:val="baseline"/>
        </w:rPr>
        <w:t xml:space="preserve">porary Ghana’ in Ter Haar (n 285) </w:t>
      </w:r>
      <w:r w:rsidRPr="00E66BE7">
        <w:rPr>
          <w:sz w:val="20"/>
          <w:szCs w:val="20"/>
          <w:vertAlign w:val="baseline"/>
        </w:rPr>
        <w:t>69</w:t>
      </w:r>
    </w:p>
  </w:footnote>
  <w:footnote w:id="482">
    <w:p w14:paraId="651A63D2" w14:textId="59028E1C" w:rsidR="00431A55" w:rsidRPr="00E66BE7" w:rsidRDefault="00431A55" w:rsidP="005F7752">
      <w:pPr>
        <w:pStyle w:val="FootnoteText"/>
        <w:rPr>
          <w:sz w:val="20"/>
          <w:szCs w:val="20"/>
          <w:vertAlign w:val="baseline"/>
        </w:rPr>
      </w:pPr>
      <w:r w:rsidRPr="00E66BE7">
        <w:rPr>
          <w:rStyle w:val="FootnoteReference"/>
          <w:sz w:val="20"/>
          <w:szCs w:val="20"/>
        </w:rPr>
        <w:footnoteRef/>
      </w:r>
      <w:r w:rsidRPr="00E66BE7">
        <w:rPr>
          <w:sz w:val="20"/>
          <w:szCs w:val="20"/>
          <w:vertAlign w:val="baseline"/>
        </w:rPr>
        <w:t xml:space="preserve"> Akrong</w:t>
      </w:r>
      <w:r>
        <w:rPr>
          <w:sz w:val="20"/>
          <w:szCs w:val="20"/>
          <w:vertAlign w:val="baseline"/>
        </w:rPr>
        <w:t xml:space="preserve"> (n 283) 54</w:t>
      </w:r>
    </w:p>
  </w:footnote>
  <w:footnote w:id="483">
    <w:p w14:paraId="407452CB" w14:textId="3442441F" w:rsidR="00431A55" w:rsidRDefault="00431A55" w:rsidP="005F7752">
      <w:pPr>
        <w:pStyle w:val="FootnoteText"/>
      </w:pPr>
      <w:r w:rsidRPr="00E66BE7">
        <w:rPr>
          <w:rStyle w:val="FootnoteReference"/>
          <w:sz w:val="20"/>
          <w:szCs w:val="20"/>
        </w:rPr>
        <w:footnoteRef/>
      </w:r>
      <w:r w:rsidRPr="00E66BE7">
        <w:rPr>
          <w:sz w:val="20"/>
          <w:szCs w:val="20"/>
          <w:vertAlign w:val="baseline"/>
        </w:rPr>
        <w:t xml:space="preserve"> </w:t>
      </w:r>
      <w:r>
        <w:rPr>
          <w:sz w:val="20"/>
          <w:szCs w:val="20"/>
          <w:vertAlign w:val="baseline"/>
        </w:rPr>
        <w:t>ibid</w:t>
      </w:r>
    </w:p>
  </w:footnote>
  <w:footnote w:id="484">
    <w:p w14:paraId="499917FA" w14:textId="3642837E" w:rsidR="00431A55" w:rsidRPr="007A3E2B" w:rsidRDefault="00431A55" w:rsidP="005F7752">
      <w:pPr>
        <w:pStyle w:val="FootnoteText"/>
        <w:rPr>
          <w:sz w:val="20"/>
          <w:szCs w:val="20"/>
          <w:vertAlign w:val="baseline"/>
        </w:rPr>
      </w:pPr>
      <w:r w:rsidRPr="008355D7">
        <w:rPr>
          <w:rStyle w:val="FootnoteReference"/>
          <w:sz w:val="20"/>
          <w:szCs w:val="20"/>
        </w:rPr>
        <w:footnoteRef/>
      </w:r>
      <w:r w:rsidRPr="007A3E2B">
        <w:rPr>
          <w:sz w:val="20"/>
          <w:szCs w:val="20"/>
          <w:vertAlign w:val="baseline"/>
        </w:rPr>
        <w:t xml:space="preserve"> </w:t>
      </w:r>
      <w:r>
        <w:rPr>
          <w:sz w:val="20"/>
          <w:szCs w:val="20"/>
          <w:vertAlign w:val="baseline"/>
        </w:rPr>
        <w:t>ibid</w:t>
      </w:r>
    </w:p>
  </w:footnote>
  <w:footnote w:id="485">
    <w:p w14:paraId="1139B0AF" w14:textId="1D90E062" w:rsidR="00431A55" w:rsidRPr="007A3E2B" w:rsidRDefault="00431A55" w:rsidP="005F7752">
      <w:pPr>
        <w:pStyle w:val="FootnoteText"/>
        <w:rPr>
          <w:sz w:val="20"/>
          <w:szCs w:val="20"/>
          <w:vertAlign w:val="baseline"/>
        </w:rPr>
      </w:pPr>
      <w:r w:rsidRPr="007A3E2B">
        <w:rPr>
          <w:rStyle w:val="FootnoteReference"/>
          <w:sz w:val="20"/>
          <w:szCs w:val="20"/>
        </w:rPr>
        <w:footnoteRef/>
      </w:r>
      <w:r w:rsidRPr="007A3E2B">
        <w:rPr>
          <w:sz w:val="20"/>
          <w:szCs w:val="20"/>
          <w:vertAlign w:val="baseline"/>
        </w:rPr>
        <w:t xml:space="preserve"> </w:t>
      </w:r>
      <w:r>
        <w:rPr>
          <w:sz w:val="20"/>
          <w:szCs w:val="20"/>
          <w:vertAlign w:val="baseline"/>
        </w:rPr>
        <w:t>ibid</w:t>
      </w:r>
      <w:r w:rsidRPr="007A3E2B">
        <w:rPr>
          <w:sz w:val="20"/>
          <w:szCs w:val="20"/>
          <w:vertAlign w:val="baseline"/>
        </w:rPr>
        <w:t xml:space="preserve"> 62</w:t>
      </w:r>
    </w:p>
  </w:footnote>
  <w:footnote w:id="486">
    <w:p w14:paraId="6D3BDB66" w14:textId="51252451" w:rsidR="00431A55" w:rsidRPr="007A3E2B" w:rsidRDefault="00431A55" w:rsidP="005F7752">
      <w:pPr>
        <w:pStyle w:val="FootnoteText"/>
        <w:rPr>
          <w:sz w:val="20"/>
          <w:szCs w:val="20"/>
          <w:vertAlign w:val="baseline"/>
        </w:rPr>
      </w:pPr>
      <w:r w:rsidRPr="007A3E2B">
        <w:rPr>
          <w:rStyle w:val="FootnoteReference"/>
          <w:sz w:val="20"/>
          <w:szCs w:val="20"/>
        </w:rPr>
        <w:footnoteRef/>
      </w:r>
      <w:r w:rsidRPr="007A3E2B">
        <w:rPr>
          <w:sz w:val="20"/>
          <w:szCs w:val="20"/>
        </w:rPr>
        <w:t xml:space="preserve"> </w:t>
      </w:r>
      <w:r>
        <w:rPr>
          <w:sz w:val="20"/>
          <w:szCs w:val="20"/>
          <w:vertAlign w:val="baseline"/>
        </w:rPr>
        <w:t>ibid</w:t>
      </w:r>
    </w:p>
  </w:footnote>
  <w:footnote w:id="487">
    <w:p w14:paraId="2C5CD03E" w14:textId="6E72A4FE" w:rsidR="00431A55" w:rsidRPr="00C773C9" w:rsidRDefault="00431A55" w:rsidP="005F7752">
      <w:pPr>
        <w:pStyle w:val="FootnoteText"/>
      </w:pPr>
      <w:r w:rsidRPr="007A3E2B">
        <w:rPr>
          <w:rStyle w:val="FootnoteReference"/>
          <w:sz w:val="20"/>
          <w:szCs w:val="20"/>
        </w:rPr>
        <w:footnoteRef/>
      </w:r>
      <w:r w:rsidRPr="007A3E2B">
        <w:rPr>
          <w:sz w:val="20"/>
          <w:szCs w:val="20"/>
          <w:vertAlign w:val="baseline"/>
        </w:rPr>
        <w:t xml:space="preserve"> Leo Igwe, ‘Witch-hunts in Black communities’ </w:t>
      </w:r>
      <w:r w:rsidRPr="007A3E2B">
        <w:rPr>
          <w:i/>
          <w:sz w:val="20"/>
          <w:szCs w:val="20"/>
          <w:vertAlign w:val="baseline"/>
        </w:rPr>
        <w:t xml:space="preserve">GhanaWeb </w:t>
      </w:r>
      <w:r w:rsidRPr="007A3E2B">
        <w:rPr>
          <w:sz w:val="20"/>
          <w:szCs w:val="20"/>
          <w:vertAlign w:val="baseline"/>
        </w:rPr>
        <w:t>(Ghana 17 August 2014) &lt;</w:t>
      </w:r>
      <w:hyperlink r:id="rId61" w:history="1">
        <w:r w:rsidRPr="007A3E2B">
          <w:rPr>
            <w:rStyle w:val="Hyperlink"/>
            <w:sz w:val="20"/>
            <w:szCs w:val="20"/>
            <w:vertAlign w:val="baseline"/>
          </w:rPr>
          <w:t>http://www.ghanaweb.com/GhanaHomePage/features/artikel.php?ID=321575</w:t>
        </w:r>
      </w:hyperlink>
      <w:r w:rsidRPr="007A3E2B">
        <w:rPr>
          <w:sz w:val="20"/>
          <w:szCs w:val="20"/>
          <w:vertAlign w:val="baseline"/>
        </w:rPr>
        <w:t>&gt; accessed 5 November</w:t>
      </w:r>
      <w:r>
        <w:rPr>
          <w:sz w:val="20"/>
          <w:szCs w:val="20"/>
          <w:vertAlign w:val="baseline"/>
        </w:rPr>
        <w:t xml:space="preserve"> 2014; ActionAid (n 393)</w:t>
      </w:r>
    </w:p>
  </w:footnote>
  <w:footnote w:id="488">
    <w:p w14:paraId="7FAD9B7C" w14:textId="472E7010" w:rsidR="00431A55" w:rsidRPr="007A3E2B" w:rsidRDefault="00431A55" w:rsidP="005F7752">
      <w:pPr>
        <w:pStyle w:val="FootnoteText"/>
        <w:rPr>
          <w:sz w:val="20"/>
          <w:szCs w:val="20"/>
          <w:vertAlign w:val="baseline"/>
        </w:rPr>
      </w:pPr>
      <w:r w:rsidRPr="007A3E2B">
        <w:rPr>
          <w:rStyle w:val="FootnoteReference"/>
          <w:sz w:val="20"/>
          <w:szCs w:val="20"/>
        </w:rPr>
        <w:footnoteRef/>
      </w:r>
      <w:r w:rsidRPr="007A3E2B">
        <w:rPr>
          <w:sz w:val="20"/>
          <w:szCs w:val="20"/>
        </w:rPr>
        <w:t xml:space="preserve"> </w:t>
      </w:r>
      <w:r>
        <w:rPr>
          <w:sz w:val="20"/>
          <w:szCs w:val="20"/>
          <w:vertAlign w:val="baseline"/>
        </w:rPr>
        <w:t>ActionAid</w:t>
      </w:r>
      <w:r w:rsidRPr="007A3E2B">
        <w:rPr>
          <w:sz w:val="20"/>
          <w:szCs w:val="20"/>
          <w:vertAlign w:val="baseline"/>
        </w:rPr>
        <w:t xml:space="preserve"> </w:t>
      </w:r>
      <w:r>
        <w:rPr>
          <w:sz w:val="20"/>
          <w:szCs w:val="20"/>
          <w:vertAlign w:val="baseline"/>
        </w:rPr>
        <w:t>(n 393)</w:t>
      </w:r>
    </w:p>
  </w:footnote>
  <w:footnote w:id="489">
    <w:p w14:paraId="4232D065" w14:textId="77777777" w:rsidR="00431A55" w:rsidRPr="00FD1118" w:rsidRDefault="00431A55" w:rsidP="005F7752">
      <w:pPr>
        <w:pStyle w:val="FootnoteText"/>
        <w:rPr>
          <w:sz w:val="20"/>
          <w:szCs w:val="20"/>
          <w:vertAlign w:val="baseline"/>
        </w:rPr>
      </w:pPr>
      <w:r w:rsidRPr="00FD1118">
        <w:rPr>
          <w:rStyle w:val="FootnoteReference"/>
          <w:sz w:val="20"/>
          <w:szCs w:val="20"/>
        </w:rPr>
        <w:footnoteRef/>
      </w:r>
      <w:r w:rsidRPr="00FD1118">
        <w:rPr>
          <w:sz w:val="20"/>
          <w:szCs w:val="20"/>
          <w:vertAlign w:val="baseline"/>
        </w:rPr>
        <w:t xml:space="preserve"> ‘CHRAJ, Others Condemn Burning Of Woman’  (</w:t>
      </w:r>
      <w:r w:rsidRPr="00FD1118">
        <w:rPr>
          <w:i/>
          <w:sz w:val="20"/>
          <w:szCs w:val="20"/>
          <w:vertAlign w:val="baseline"/>
        </w:rPr>
        <w:t xml:space="preserve">Modern Ghana </w:t>
      </w:r>
      <w:r w:rsidRPr="00FD1118">
        <w:rPr>
          <w:sz w:val="20"/>
          <w:szCs w:val="20"/>
          <w:vertAlign w:val="baseline"/>
        </w:rPr>
        <w:t>29 November 2010) &lt;</w:t>
      </w:r>
      <w:hyperlink r:id="rId62" w:history="1">
        <w:r w:rsidRPr="00FD1118">
          <w:rPr>
            <w:rStyle w:val="Hyperlink"/>
            <w:sz w:val="20"/>
            <w:szCs w:val="20"/>
            <w:vertAlign w:val="baseline"/>
          </w:rPr>
          <w:t>http://www.modernghana.com/news/306261/1/chraj-others-condemn-burning-of-woman.html</w:t>
        </w:r>
      </w:hyperlink>
      <w:r w:rsidRPr="00FD1118">
        <w:rPr>
          <w:sz w:val="20"/>
          <w:szCs w:val="20"/>
          <w:vertAlign w:val="baseline"/>
        </w:rPr>
        <w:t>&gt; accessed 27 October 2014</w:t>
      </w:r>
    </w:p>
  </w:footnote>
  <w:footnote w:id="490">
    <w:p w14:paraId="32717F58" w14:textId="193C7BA7" w:rsidR="00431A55" w:rsidRPr="00FD1118" w:rsidRDefault="00431A55" w:rsidP="005F7752">
      <w:pPr>
        <w:pStyle w:val="FootnoteText"/>
        <w:rPr>
          <w:sz w:val="20"/>
          <w:szCs w:val="20"/>
          <w:vertAlign w:val="baseline"/>
        </w:rPr>
      </w:pPr>
      <w:r w:rsidRPr="00FD1118">
        <w:rPr>
          <w:rStyle w:val="FootnoteReference"/>
          <w:sz w:val="20"/>
          <w:szCs w:val="20"/>
        </w:rPr>
        <w:footnoteRef/>
      </w:r>
      <w:r w:rsidRPr="00FD1118">
        <w:rPr>
          <w:sz w:val="20"/>
          <w:szCs w:val="20"/>
          <w:vertAlign w:val="baseline"/>
        </w:rPr>
        <w:t xml:space="preserve"> David Smith, ‘</w:t>
      </w:r>
      <w:r w:rsidRPr="00FD1118">
        <w:rPr>
          <w:sz w:val="20"/>
          <w:szCs w:val="20"/>
          <w:vertAlign w:val="baseline"/>
          <w:lang w:val="en"/>
        </w:rPr>
        <w:t xml:space="preserve">Ghanaian woman burned to death for being a witch' </w:t>
      </w:r>
      <w:r w:rsidRPr="00FD1118">
        <w:rPr>
          <w:i/>
          <w:sz w:val="20"/>
          <w:szCs w:val="20"/>
          <w:vertAlign w:val="baseline"/>
          <w:lang w:val="en"/>
        </w:rPr>
        <w:t>The Guardian</w:t>
      </w:r>
      <w:r w:rsidRPr="00FD1118">
        <w:rPr>
          <w:sz w:val="20"/>
          <w:szCs w:val="20"/>
          <w:vertAlign w:val="baseline"/>
          <w:lang w:val="en"/>
        </w:rPr>
        <w:t xml:space="preserve"> (London</w:t>
      </w:r>
      <w:r w:rsidRPr="00FD1118">
        <w:rPr>
          <w:i/>
          <w:sz w:val="20"/>
          <w:szCs w:val="20"/>
          <w:vertAlign w:val="baseline"/>
          <w:lang w:val="en"/>
        </w:rPr>
        <w:t xml:space="preserve"> </w:t>
      </w:r>
      <w:r w:rsidRPr="00FD1118">
        <w:rPr>
          <w:sz w:val="20"/>
          <w:szCs w:val="20"/>
          <w:vertAlign w:val="baseline"/>
          <w:lang w:val="en"/>
        </w:rPr>
        <w:t>29 November 2010)</w:t>
      </w:r>
    </w:p>
  </w:footnote>
  <w:footnote w:id="491">
    <w:p w14:paraId="472F25D7" w14:textId="7FACBC3F" w:rsidR="00431A55" w:rsidRPr="00FD1118" w:rsidRDefault="00431A55" w:rsidP="005F7752">
      <w:pPr>
        <w:pStyle w:val="FootnoteText"/>
        <w:rPr>
          <w:sz w:val="20"/>
          <w:szCs w:val="20"/>
          <w:vertAlign w:val="baseline"/>
        </w:rPr>
      </w:pPr>
      <w:r w:rsidRPr="00FD1118">
        <w:rPr>
          <w:rStyle w:val="FootnoteReference"/>
          <w:sz w:val="20"/>
          <w:szCs w:val="20"/>
        </w:rPr>
        <w:footnoteRef/>
      </w:r>
      <w:r w:rsidRPr="00FD1118">
        <w:rPr>
          <w:sz w:val="20"/>
          <w:szCs w:val="20"/>
          <w:vertAlign w:val="baseline"/>
        </w:rPr>
        <w:t xml:space="preserve"> </w:t>
      </w:r>
      <w:r>
        <w:rPr>
          <w:sz w:val="20"/>
          <w:szCs w:val="20"/>
          <w:vertAlign w:val="baseline"/>
        </w:rPr>
        <w:t>See (n 317)</w:t>
      </w:r>
    </w:p>
  </w:footnote>
  <w:footnote w:id="492">
    <w:p w14:paraId="76CB7EE5" w14:textId="6F8E8712" w:rsidR="00431A55" w:rsidRPr="00FD1118" w:rsidRDefault="00431A55" w:rsidP="005F7752">
      <w:pPr>
        <w:pStyle w:val="FootnoteText"/>
        <w:rPr>
          <w:sz w:val="20"/>
          <w:szCs w:val="20"/>
          <w:vertAlign w:val="baseline"/>
        </w:rPr>
      </w:pPr>
      <w:r w:rsidRPr="00FD1118">
        <w:rPr>
          <w:rStyle w:val="FootnoteReference"/>
          <w:sz w:val="20"/>
          <w:szCs w:val="20"/>
        </w:rPr>
        <w:footnoteRef/>
      </w:r>
      <w:r>
        <w:rPr>
          <w:sz w:val="20"/>
          <w:szCs w:val="20"/>
          <w:vertAlign w:val="baseline"/>
        </w:rPr>
        <w:t xml:space="preserve"> ActionAid</w:t>
      </w:r>
      <w:r w:rsidRPr="00FD1118">
        <w:rPr>
          <w:sz w:val="20"/>
          <w:szCs w:val="20"/>
          <w:vertAlign w:val="baseline"/>
        </w:rPr>
        <w:t xml:space="preserve"> </w:t>
      </w:r>
      <w:r>
        <w:rPr>
          <w:sz w:val="20"/>
          <w:szCs w:val="20"/>
          <w:vertAlign w:val="baseline"/>
        </w:rPr>
        <w:t>(n 393)</w:t>
      </w:r>
    </w:p>
  </w:footnote>
  <w:footnote w:id="493">
    <w:p w14:paraId="77D01691" w14:textId="4AA8B8B4" w:rsidR="00431A55" w:rsidRPr="00557154" w:rsidRDefault="00431A55" w:rsidP="005F7752">
      <w:pPr>
        <w:pStyle w:val="FootnoteText"/>
        <w:rPr>
          <w:sz w:val="20"/>
          <w:szCs w:val="20"/>
          <w:vertAlign w:val="baseline"/>
        </w:rPr>
      </w:pPr>
      <w:r w:rsidRPr="00FD1118">
        <w:rPr>
          <w:rStyle w:val="FootnoteReference"/>
          <w:sz w:val="20"/>
          <w:szCs w:val="20"/>
        </w:rPr>
        <w:footnoteRef/>
      </w:r>
      <w:r>
        <w:rPr>
          <w:sz w:val="20"/>
          <w:szCs w:val="20"/>
          <w:vertAlign w:val="baseline"/>
        </w:rPr>
        <w:t xml:space="preserve"> Lamnatu Adam as quoted in ActionAid</w:t>
      </w:r>
      <w:r w:rsidRPr="00FD1118">
        <w:rPr>
          <w:sz w:val="20"/>
          <w:szCs w:val="20"/>
          <w:vertAlign w:val="baseline"/>
        </w:rPr>
        <w:t xml:space="preserve"> (</w:t>
      </w:r>
      <w:r>
        <w:rPr>
          <w:sz w:val="20"/>
          <w:szCs w:val="20"/>
          <w:vertAlign w:val="baseline"/>
        </w:rPr>
        <w:t>n 393)</w:t>
      </w:r>
    </w:p>
  </w:footnote>
  <w:footnote w:id="494">
    <w:p w14:paraId="04FEB0CA" w14:textId="77777777" w:rsidR="00431A55" w:rsidRPr="001D192A" w:rsidRDefault="00431A55" w:rsidP="005F7752">
      <w:pPr>
        <w:pStyle w:val="FootnoteText"/>
      </w:pPr>
      <w:r w:rsidRPr="00FD1118">
        <w:rPr>
          <w:rStyle w:val="FootnoteReference"/>
          <w:sz w:val="20"/>
          <w:szCs w:val="20"/>
        </w:rPr>
        <w:footnoteRef/>
      </w:r>
      <w:r w:rsidRPr="00FD1118">
        <w:rPr>
          <w:sz w:val="20"/>
          <w:szCs w:val="20"/>
          <w:vertAlign w:val="baseline"/>
        </w:rPr>
        <w:t xml:space="preserve"> Government of Ghana, ‘About Ghana’ (</w:t>
      </w:r>
      <w:r w:rsidRPr="00FD1118">
        <w:rPr>
          <w:i/>
          <w:sz w:val="20"/>
          <w:szCs w:val="20"/>
          <w:vertAlign w:val="baseline"/>
        </w:rPr>
        <w:t xml:space="preserve">Government of Ghana Official Portal, </w:t>
      </w:r>
      <w:r w:rsidRPr="00FD1118">
        <w:rPr>
          <w:sz w:val="20"/>
          <w:szCs w:val="20"/>
          <w:vertAlign w:val="baseline"/>
        </w:rPr>
        <w:t>2014) &lt;</w:t>
      </w:r>
      <w:hyperlink r:id="rId63" w:history="1">
        <w:r w:rsidRPr="00FD1118">
          <w:rPr>
            <w:rStyle w:val="Hyperlink"/>
            <w:sz w:val="20"/>
            <w:szCs w:val="20"/>
            <w:vertAlign w:val="baseline"/>
          </w:rPr>
          <w:t>http://www.ghana.gov.gh/index.php/about-ghana/regions/northern</w:t>
        </w:r>
      </w:hyperlink>
      <w:r w:rsidRPr="00FD1118">
        <w:rPr>
          <w:sz w:val="20"/>
          <w:szCs w:val="20"/>
          <w:vertAlign w:val="baseline"/>
        </w:rPr>
        <w:t>&gt; accessed 5 November 2014</w:t>
      </w:r>
    </w:p>
  </w:footnote>
  <w:footnote w:id="495">
    <w:p w14:paraId="39D0EF74" w14:textId="5EAB6C10" w:rsidR="00431A55" w:rsidRPr="00A60606" w:rsidRDefault="00431A55" w:rsidP="005F7752">
      <w:pPr>
        <w:pStyle w:val="FootnoteText"/>
        <w:rPr>
          <w:sz w:val="20"/>
          <w:szCs w:val="20"/>
          <w:vertAlign w:val="baseline"/>
          <w:lang w:val="en-US"/>
        </w:rPr>
      </w:pPr>
      <w:r w:rsidRPr="00A60606">
        <w:rPr>
          <w:rStyle w:val="FootnoteReference"/>
          <w:sz w:val="20"/>
          <w:szCs w:val="20"/>
        </w:rPr>
        <w:footnoteRef/>
      </w:r>
      <w:r w:rsidRPr="00A60606">
        <w:rPr>
          <w:sz w:val="20"/>
          <w:szCs w:val="20"/>
          <w:vertAlign w:val="baseline"/>
        </w:rPr>
        <w:t xml:space="preserve"> CEDAW Committee, ‘List of issues and questions in relation to the combined sixth and seventh periodic reports of Ghana: Replies of Ghana’ 22 September 2014 C</w:t>
      </w:r>
      <w:r>
        <w:rPr>
          <w:sz w:val="20"/>
          <w:szCs w:val="20"/>
          <w:vertAlign w:val="baseline"/>
        </w:rPr>
        <w:t>EDAW/C/GHA/Q/6-7/Add.1, para 36</w:t>
      </w:r>
      <w:r w:rsidRPr="00A60606">
        <w:rPr>
          <w:sz w:val="20"/>
          <w:szCs w:val="20"/>
          <w:vertAlign w:val="baseline"/>
        </w:rPr>
        <w:t>(a)</w:t>
      </w:r>
    </w:p>
  </w:footnote>
  <w:footnote w:id="496">
    <w:p w14:paraId="1F7F0637" w14:textId="0DD55479" w:rsidR="00431A55" w:rsidRPr="00A60606" w:rsidRDefault="00431A55" w:rsidP="005F7752">
      <w:pPr>
        <w:pStyle w:val="FootnoteText"/>
        <w:rPr>
          <w:sz w:val="20"/>
          <w:szCs w:val="20"/>
          <w:vertAlign w:val="baseline"/>
          <w:lang w:val="en-US"/>
        </w:rPr>
      </w:pPr>
      <w:r w:rsidRPr="00A60606">
        <w:rPr>
          <w:rStyle w:val="FootnoteReference"/>
          <w:sz w:val="20"/>
          <w:szCs w:val="20"/>
        </w:rPr>
        <w:footnoteRef/>
      </w:r>
      <w:r>
        <w:rPr>
          <w:sz w:val="20"/>
          <w:szCs w:val="20"/>
          <w:vertAlign w:val="baseline"/>
        </w:rPr>
        <w:t xml:space="preserve"> ibid, para 36</w:t>
      </w:r>
      <w:r w:rsidRPr="00A60606">
        <w:rPr>
          <w:sz w:val="20"/>
          <w:szCs w:val="20"/>
          <w:vertAlign w:val="baseline"/>
        </w:rPr>
        <w:t>(b)</w:t>
      </w:r>
    </w:p>
  </w:footnote>
  <w:footnote w:id="497">
    <w:p w14:paraId="671E33FC" w14:textId="16276A7F" w:rsidR="00431A55" w:rsidRPr="00A60606" w:rsidRDefault="00431A55" w:rsidP="005F7752">
      <w:pPr>
        <w:pStyle w:val="FootnoteText"/>
        <w:rPr>
          <w:sz w:val="20"/>
          <w:szCs w:val="20"/>
          <w:vertAlign w:val="baseline"/>
          <w:lang w:val="en-US"/>
        </w:rPr>
      </w:pPr>
      <w:r w:rsidRPr="00A60606">
        <w:rPr>
          <w:rStyle w:val="FootnoteReference"/>
          <w:sz w:val="20"/>
          <w:szCs w:val="20"/>
        </w:rPr>
        <w:footnoteRef/>
      </w:r>
      <w:r w:rsidRPr="00A60606">
        <w:rPr>
          <w:sz w:val="20"/>
          <w:szCs w:val="20"/>
          <w:vertAlign w:val="baseline"/>
        </w:rPr>
        <w:t xml:space="preserve"> </w:t>
      </w:r>
      <w:r>
        <w:rPr>
          <w:sz w:val="20"/>
          <w:szCs w:val="20"/>
          <w:vertAlign w:val="baseline"/>
        </w:rPr>
        <w:t>ibid,</w:t>
      </w:r>
      <w:r w:rsidRPr="00A60606">
        <w:rPr>
          <w:sz w:val="20"/>
          <w:szCs w:val="20"/>
          <w:vertAlign w:val="baseline"/>
        </w:rPr>
        <w:t xml:space="preserve"> para 36 (c)</w:t>
      </w:r>
    </w:p>
  </w:footnote>
  <w:footnote w:id="498">
    <w:p w14:paraId="0CBD39BE" w14:textId="3F0648B1" w:rsidR="00431A55" w:rsidRPr="00A60606" w:rsidRDefault="00431A55" w:rsidP="005F7752">
      <w:pPr>
        <w:pStyle w:val="FootnoteText"/>
        <w:rPr>
          <w:sz w:val="20"/>
          <w:szCs w:val="20"/>
          <w:vertAlign w:val="baseline"/>
          <w:lang w:val="en-US"/>
        </w:rPr>
      </w:pPr>
      <w:r w:rsidRPr="00A60606">
        <w:rPr>
          <w:rStyle w:val="FootnoteReference"/>
          <w:sz w:val="20"/>
          <w:szCs w:val="20"/>
        </w:rPr>
        <w:footnoteRef/>
      </w:r>
      <w:r w:rsidRPr="00A60606">
        <w:rPr>
          <w:sz w:val="20"/>
          <w:szCs w:val="20"/>
        </w:rPr>
        <w:t xml:space="preserve"> </w:t>
      </w:r>
      <w:r>
        <w:rPr>
          <w:sz w:val="20"/>
          <w:szCs w:val="20"/>
          <w:vertAlign w:val="baseline"/>
        </w:rPr>
        <w:t>ibid,</w:t>
      </w:r>
      <w:r w:rsidRPr="00A60606">
        <w:rPr>
          <w:sz w:val="20"/>
          <w:szCs w:val="20"/>
          <w:vertAlign w:val="baseline"/>
        </w:rPr>
        <w:t xml:space="preserve"> para 36 (d)</w:t>
      </w:r>
    </w:p>
  </w:footnote>
  <w:footnote w:id="499">
    <w:p w14:paraId="525CF6C7" w14:textId="2680382F" w:rsidR="00431A55" w:rsidRPr="00A60606" w:rsidRDefault="00431A55" w:rsidP="005F7752">
      <w:pPr>
        <w:pStyle w:val="FootnoteText"/>
        <w:rPr>
          <w:sz w:val="20"/>
          <w:szCs w:val="20"/>
          <w:vertAlign w:val="baseline"/>
          <w:lang w:val="en-US"/>
        </w:rPr>
      </w:pPr>
      <w:r w:rsidRPr="00A60606">
        <w:rPr>
          <w:rStyle w:val="FootnoteReference"/>
          <w:sz w:val="20"/>
          <w:szCs w:val="20"/>
        </w:rPr>
        <w:footnoteRef/>
      </w:r>
      <w:r w:rsidRPr="00A60606">
        <w:rPr>
          <w:sz w:val="20"/>
          <w:szCs w:val="20"/>
          <w:vertAlign w:val="baseline"/>
        </w:rPr>
        <w:t xml:space="preserve"> </w:t>
      </w:r>
      <w:r>
        <w:rPr>
          <w:sz w:val="20"/>
          <w:szCs w:val="20"/>
          <w:vertAlign w:val="baseline"/>
        </w:rPr>
        <w:t>ibid,</w:t>
      </w:r>
      <w:r w:rsidRPr="00A60606">
        <w:rPr>
          <w:sz w:val="20"/>
          <w:szCs w:val="20"/>
          <w:vertAlign w:val="baseline"/>
        </w:rPr>
        <w:t xml:space="preserve"> para 36 (e)</w:t>
      </w:r>
    </w:p>
  </w:footnote>
  <w:footnote w:id="500">
    <w:p w14:paraId="53741871" w14:textId="0DB9578D" w:rsidR="00431A55" w:rsidRPr="00E45A41" w:rsidRDefault="00431A55" w:rsidP="005F7752">
      <w:pPr>
        <w:pStyle w:val="FootnoteText"/>
        <w:rPr>
          <w:lang w:val="en-US"/>
        </w:rPr>
      </w:pPr>
      <w:r w:rsidRPr="00604FEF">
        <w:rPr>
          <w:rStyle w:val="FootnoteReference"/>
          <w:sz w:val="20"/>
          <w:szCs w:val="20"/>
        </w:rPr>
        <w:footnoteRef/>
      </w:r>
      <w:r w:rsidRPr="00A60606">
        <w:rPr>
          <w:sz w:val="20"/>
          <w:szCs w:val="20"/>
          <w:vertAlign w:val="baseline"/>
        </w:rPr>
        <w:t xml:space="preserve"> </w:t>
      </w:r>
      <w:r>
        <w:rPr>
          <w:sz w:val="20"/>
          <w:szCs w:val="20"/>
          <w:vertAlign w:val="baseline"/>
        </w:rPr>
        <w:t xml:space="preserve">ibid, </w:t>
      </w:r>
      <w:r w:rsidRPr="00A60606">
        <w:rPr>
          <w:sz w:val="20"/>
          <w:szCs w:val="20"/>
          <w:vertAlign w:val="baseline"/>
        </w:rPr>
        <w:t>para 36 (f)</w:t>
      </w:r>
    </w:p>
  </w:footnote>
  <w:footnote w:id="501">
    <w:p w14:paraId="27DA9353" w14:textId="44AB4A59" w:rsidR="00431A55" w:rsidRPr="00604FEF" w:rsidRDefault="00431A55" w:rsidP="005F7752">
      <w:pPr>
        <w:pStyle w:val="FootnoteText"/>
        <w:rPr>
          <w:sz w:val="20"/>
          <w:szCs w:val="20"/>
          <w:vertAlign w:val="baseline"/>
        </w:rPr>
      </w:pPr>
      <w:r w:rsidRPr="00604FEF">
        <w:rPr>
          <w:rStyle w:val="FootnoteReference"/>
          <w:sz w:val="20"/>
          <w:szCs w:val="20"/>
        </w:rPr>
        <w:footnoteRef/>
      </w:r>
      <w:r>
        <w:rPr>
          <w:sz w:val="20"/>
          <w:szCs w:val="20"/>
          <w:vertAlign w:val="baseline"/>
        </w:rPr>
        <w:t xml:space="preserve"> </w:t>
      </w:r>
      <w:r w:rsidRPr="00604FEF">
        <w:rPr>
          <w:sz w:val="20"/>
          <w:szCs w:val="20"/>
          <w:vertAlign w:val="baseline"/>
        </w:rPr>
        <w:t>Whitaker</w:t>
      </w:r>
      <w:r>
        <w:rPr>
          <w:sz w:val="20"/>
          <w:szCs w:val="20"/>
          <w:vertAlign w:val="baseline"/>
        </w:rPr>
        <w:t xml:space="preserve"> (n 382)</w:t>
      </w:r>
    </w:p>
  </w:footnote>
  <w:footnote w:id="502">
    <w:p w14:paraId="07529CB1" w14:textId="57FEEA4E" w:rsidR="00431A55" w:rsidRPr="00604FEF" w:rsidRDefault="00431A55" w:rsidP="005F7752">
      <w:pPr>
        <w:pStyle w:val="FootnoteText"/>
        <w:rPr>
          <w:sz w:val="20"/>
          <w:szCs w:val="20"/>
          <w:vertAlign w:val="baseline"/>
        </w:rPr>
      </w:pPr>
      <w:r w:rsidRPr="00604FEF">
        <w:rPr>
          <w:rStyle w:val="FootnoteReference"/>
          <w:sz w:val="20"/>
          <w:szCs w:val="20"/>
        </w:rPr>
        <w:footnoteRef/>
      </w:r>
      <w:r w:rsidRPr="00604FEF">
        <w:rPr>
          <w:sz w:val="20"/>
          <w:szCs w:val="20"/>
        </w:rPr>
        <w:t xml:space="preserve"> </w:t>
      </w:r>
      <w:r>
        <w:rPr>
          <w:sz w:val="20"/>
          <w:szCs w:val="20"/>
          <w:vertAlign w:val="baseline"/>
        </w:rPr>
        <w:t>ActionAid</w:t>
      </w:r>
      <w:r w:rsidRPr="00604FEF">
        <w:rPr>
          <w:sz w:val="20"/>
          <w:szCs w:val="20"/>
          <w:vertAlign w:val="baseline"/>
        </w:rPr>
        <w:t xml:space="preserve"> (</w:t>
      </w:r>
      <w:r>
        <w:rPr>
          <w:sz w:val="20"/>
          <w:szCs w:val="20"/>
          <w:vertAlign w:val="baseline"/>
        </w:rPr>
        <w:t>n 393)</w:t>
      </w:r>
    </w:p>
  </w:footnote>
  <w:footnote w:id="503">
    <w:p w14:paraId="0751D4FF" w14:textId="48B2EE0A" w:rsidR="00431A55" w:rsidRPr="00604FEF" w:rsidRDefault="00431A55" w:rsidP="005F7752">
      <w:pPr>
        <w:pStyle w:val="FootnoteText"/>
        <w:rPr>
          <w:sz w:val="20"/>
          <w:szCs w:val="20"/>
          <w:vertAlign w:val="baseline"/>
        </w:rPr>
      </w:pPr>
      <w:r w:rsidRPr="00604FEF">
        <w:rPr>
          <w:rStyle w:val="FootnoteReference"/>
          <w:sz w:val="20"/>
          <w:szCs w:val="20"/>
        </w:rPr>
        <w:footnoteRef/>
      </w:r>
      <w:r w:rsidRPr="00604FEF">
        <w:rPr>
          <w:sz w:val="20"/>
          <w:szCs w:val="20"/>
        </w:rPr>
        <w:t xml:space="preserve"> </w:t>
      </w:r>
      <w:r>
        <w:rPr>
          <w:sz w:val="20"/>
          <w:szCs w:val="20"/>
          <w:vertAlign w:val="baseline"/>
        </w:rPr>
        <w:t>Male priests or camp leaders</w:t>
      </w:r>
    </w:p>
  </w:footnote>
  <w:footnote w:id="504">
    <w:p w14:paraId="6964F1EE" w14:textId="7650584D" w:rsidR="00431A55" w:rsidRPr="00365E60" w:rsidRDefault="00431A55" w:rsidP="005F7752">
      <w:pPr>
        <w:pStyle w:val="FootnoteText"/>
      </w:pPr>
      <w:r w:rsidRPr="00604FEF">
        <w:rPr>
          <w:rStyle w:val="FootnoteReference"/>
          <w:sz w:val="20"/>
          <w:szCs w:val="20"/>
        </w:rPr>
        <w:footnoteRef/>
      </w:r>
      <w:r w:rsidRPr="00604FEF">
        <w:rPr>
          <w:sz w:val="20"/>
          <w:szCs w:val="20"/>
          <w:vertAlign w:val="baseline"/>
        </w:rPr>
        <w:t xml:space="preserve"> ActionAid (</w:t>
      </w:r>
      <w:r>
        <w:rPr>
          <w:sz w:val="20"/>
          <w:szCs w:val="20"/>
          <w:vertAlign w:val="baseline"/>
        </w:rPr>
        <w:t>n 393)</w:t>
      </w:r>
    </w:p>
  </w:footnote>
  <w:footnote w:id="505">
    <w:p w14:paraId="60A2399C" w14:textId="038B12A3" w:rsidR="00431A55" w:rsidRPr="00482028" w:rsidRDefault="00431A55" w:rsidP="005F7752">
      <w:pPr>
        <w:pStyle w:val="FootnoteText"/>
        <w:rPr>
          <w:sz w:val="20"/>
          <w:szCs w:val="20"/>
          <w:vertAlign w:val="baseline"/>
        </w:rPr>
      </w:pPr>
      <w:r w:rsidRPr="00482028">
        <w:rPr>
          <w:rStyle w:val="FootnoteReference"/>
          <w:sz w:val="20"/>
          <w:szCs w:val="20"/>
        </w:rPr>
        <w:footnoteRef/>
      </w:r>
      <w:r w:rsidRPr="00482028">
        <w:rPr>
          <w:sz w:val="20"/>
          <w:szCs w:val="20"/>
          <w:vertAlign w:val="baseline"/>
        </w:rPr>
        <w:t xml:space="preserve"> </w:t>
      </w:r>
      <w:r>
        <w:rPr>
          <w:sz w:val="20"/>
          <w:szCs w:val="20"/>
          <w:vertAlign w:val="baseline"/>
        </w:rPr>
        <w:t>ibid</w:t>
      </w:r>
    </w:p>
  </w:footnote>
  <w:footnote w:id="506">
    <w:p w14:paraId="4A890311" w14:textId="5CD67A5C" w:rsidR="00431A55" w:rsidRPr="00482028" w:rsidRDefault="00431A55" w:rsidP="005F7752">
      <w:pPr>
        <w:pStyle w:val="FootnoteText"/>
        <w:rPr>
          <w:sz w:val="20"/>
          <w:szCs w:val="20"/>
          <w:vertAlign w:val="baseline"/>
        </w:rPr>
      </w:pPr>
      <w:r w:rsidRPr="00482028">
        <w:rPr>
          <w:rStyle w:val="FootnoteReference"/>
          <w:sz w:val="20"/>
          <w:szCs w:val="20"/>
        </w:rPr>
        <w:footnoteRef/>
      </w:r>
      <w:r w:rsidRPr="00482028">
        <w:rPr>
          <w:sz w:val="20"/>
          <w:szCs w:val="20"/>
        </w:rPr>
        <w:t xml:space="preserve"> </w:t>
      </w:r>
      <w:r>
        <w:rPr>
          <w:sz w:val="20"/>
          <w:szCs w:val="20"/>
          <w:vertAlign w:val="baseline"/>
        </w:rPr>
        <w:t>ibid</w:t>
      </w:r>
    </w:p>
  </w:footnote>
  <w:footnote w:id="507">
    <w:p w14:paraId="05478483" w14:textId="1BF4D737" w:rsidR="00431A55" w:rsidRPr="00482028" w:rsidRDefault="00431A55" w:rsidP="005F7752">
      <w:pPr>
        <w:pStyle w:val="FootnoteText"/>
        <w:rPr>
          <w:sz w:val="20"/>
          <w:szCs w:val="20"/>
          <w:vertAlign w:val="baseline"/>
          <w:lang w:val="en-US"/>
        </w:rPr>
      </w:pPr>
      <w:r w:rsidRPr="00482028">
        <w:rPr>
          <w:rStyle w:val="FootnoteReference"/>
          <w:sz w:val="20"/>
          <w:szCs w:val="20"/>
        </w:rPr>
        <w:footnoteRef/>
      </w:r>
      <w:r>
        <w:rPr>
          <w:sz w:val="20"/>
          <w:szCs w:val="20"/>
          <w:vertAlign w:val="baseline"/>
        </w:rPr>
        <w:t xml:space="preserve"> HRC, ‘</w:t>
      </w:r>
      <w:r w:rsidRPr="00482028">
        <w:rPr>
          <w:sz w:val="20"/>
          <w:szCs w:val="20"/>
          <w:vertAlign w:val="baseline"/>
        </w:rPr>
        <w:t>Yakin Erturk: Mission to Ghana’ 21 February 2008</w:t>
      </w:r>
      <w:r>
        <w:rPr>
          <w:sz w:val="20"/>
          <w:szCs w:val="20"/>
          <w:vertAlign w:val="baseline"/>
        </w:rPr>
        <w:t xml:space="preserve"> (n 476)</w:t>
      </w:r>
    </w:p>
  </w:footnote>
  <w:footnote w:id="508">
    <w:p w14:paraId="23B34732" w14:textId="7F2D0A97" w:rsidR="00431A55" w:rsidRPr="00482028" w:rsidRDefault="00431A55" w:rsidP="005F7752">
      <w:pPr>
        <w:pStyle w:val="FootnoteText"/>
        <w:rPr>
          <w:sz w:val="20"/>
          <w:szCs w:val="20"/>
          <w:vertAlign w:val="baseline"/>
          <w:lang w:val="en-US"/>
        </w:rPr>
      </w:pPr>
      <w:r w:rsidRPr="00482028">
        <w:rPr>
          <w:rStyle w:val="FootnoteReference"/>
          <w:sz w:val="20"/>
          <w:szCs w:val="20"/>
        </w:rPr>
        <w:footnoteRef/>
      </w:r>
      <w:r w:rsidRPr="00482028">
        <w:rPr>
          <w:sz w:val="20"/>
          <w:szCs w:val="20"/>
          <w:vertAlign w:val="baseline"/>
        </w:rPr>
        <w:t xml:space="preserve"> </w:t>
      </w:r>
      <w:r>
        <w:rPr>
          <w:sz w:val="20"/>
          <w:szCs w:val="20"/>
          <w:vertAlign w:val="baseline"/>
        </w:rPr>
        <w:t>ibid</w:t>
      </w:r>
      <w:r w:rsidRPr="00482028">
        <w:rPr>
          <w:sz w:val="20"/>
          <w:szCs w:val="20"/>
          <w:vertAlign w:val="baseline"/>
        </w:rPr>
        <w:t xml:space="preserve"> 2</w:t>
      </w:r>
    </w:p>
  </w:footnote>
  <w:footnote w:id="509">
    <w:p w14:paraId="2FBF0615" w14:textId="4F668210" w:rsidR="00431A55" w:rsidRPr="00C61684" w:rsidRDefault="00431A55" w:rsidP="005F7752">
      <w:pPr>
        <w:pStyle w:val="FootnoteText"/>
        <w:rPr>
          <w:lang w:val="en-US"/>
        </w:rPr>
      </w:pPr>
      <w:r w:rsidRPr="00482028">
        <w:rPr>
          <w:rStyle w:val="FootnoteReference"/>
          <w:sz w:val="20"/>
          <w:szCs w:val="20"/>
        </w:rPr>
        <w:footnoteRef/>
      </w:r>
      <w:r w:rsidRPr="00482028">
        <w:rPr>
          <w:sz w:val="20"/>
          <w:szCs w:val="20"/>
          <w:vertAlign w:val="baseline"/>
        </w:rPr>
        <w:t xml:space="preserve"> </w:t>
      </w:r>
      <w:r>
        <w:rPr>
          <w:sz w:val="20"/>
          <w:szCs w:val="20"/>
          <w:vertAlign w:val="baseline"/>
        </w:rPr>
        <w:t>ibid,</w:t>
      </w:r>
      <w:r w:rsidRPr="00482028">
        <w:rPr>
          <w:sz w:val="20"/>
          <w:szCs w:val="20"/>
          <w:vertAlign w:val="baseline"/>
        </w:rPr>
        <w:t xml:space="preserve"> para 62</w:t>
      </w:r>
    </w:p>
  </w:footnote>
  <w:footnote w:id="510">
    <w:p w14:paraId="4E5920F4" w14:textId="160F3914" w:rsidR="00431A55" w:rsidRPr="00C77120" w:rsidRDefault="00431A55" w:rsidP="005F7752">
      <w:pPr>
        <w:pStyle w:val="FootnoteText"/>
        <w:rPr>
          <w:sz w:val="20"/>
          <w:szCs w:val="20"/>
          <w:vertAlign w:val="baseline"/>
          <w:lang w:val="en-US"/>
        </w:rPr>
      </w:pPr>
      <w:r w:rsidRPr="00C77120">
        <w:rPr>
          <w:rStyle w:val="FootnoteReference"/>
          <w:sz w:val="20"/>
          <w:szCs w:val="20"/>
        </w:rPr>
        <w:footnoteRef/>
      </w:r>
      <w:r w:rsidRPr="00C77120">
        <w:rPr>
          <w:sz w:val="20"/>
          <w:szCs w:val="20"/>
        </w:rPr>
        <w:t xml:space="preserve"> </w:t>
      </w:r>
      <w:r>
        <w:rPr>
          <w:sz w:val="20"/>
          <w:szCs w:val="20"/>
          <w:vertAlign w:val="baseline"/>
        </w:rPr>
        <w:t>ibid,</w:t>
      </w:r>
      <w:r w:rsidRPr="00C77120">
        <w:rPr>
          <w:sz w:val="20"/>
          <w:szCs w:val="20"/>
          <w:vertAlign w:val="baseline"/>
        </w:rPr>
        <w:t xml:space="preserve"> para 68</w:t>
      </w:r>
    </w:p>
  </w:footnote>
  <w:footnote w:id="511">
    <w:p w14:paraId="4C521BDD" w14:textId="5DB5CEA3" w:rsidR="00431A55" w:rsidRPr="00C77120" w:rsidRDefault="00431A55" w:rsidP="005F7752">
      <w:pPr>
        <w:pStyle w:val="FootnoteText"/>
        <w:rPr>
          <w:sz w:val="20"/>
          <w:szCs w:val="20"/>
          <w:vertAlign w:val="baseline"/>
          <w:lang w:val="en-US"/>
        </w:rPr>
      </w:pPr>
      <w:r w:rsidRPr="00C77120">
        <w:rPr>
          <w:rStyle w:val="FootnoteReference"/>
          <w:sz w:val="20"/>
          <w:szCs w:val="20"/>
        </w:rPr>
        <w:footnoteRef/>
      </w:r>
      <w:r w:rsidRPr="00C77120">
        <w:rPr>
          <w:sz w:val="20"/>
          <w:szCs w:val="20"/>
          <w:vertAlign w:val="baseline"/>
        </w:rPr>
        <w:t xml:space="preserve"> </w:t>
      </w:r>
      <w:r>
        <w:rPr>
          <w:sz w:val="20"/>
          <w:szCs w:val="20"/>
          <w:vertAlign w:val="baseline"/>
        </w:rPr>
        <w:t>ibid,</w:t>
      </w:r>
      <w:r w:rsidRPr="00C77120">
        <w:rPr>
          <w:sz w:val="20"/>
          <w:szCs w:val="20"/>
          <w:vertAlign w:val="baseline"/>
        </w:rPr>
        <w:t xml:space="preserve"> para 90</w:t>
      </w:r>
    </w:p>
  </w:footnote>
  <w:footnote w:id="512">
    <w:p w14:paraId="0503C45B" w14:textId="46D8C6CB" w:rsidR="00431A55" w:rsidRPr="00C77120" w:rsidRDefault="00431A55" w:rsidP="005F7752">
      <w:pPr>
        <w:pStyle w:val="FootnoteText"/>
        <w:rPr>
          <w:sz w:val="20"/>
          <w:szCs w:val="20"/>
          <w:vertAlign w:val="baseline"/>
          <w:lang w:val="en-US"/>
        </w:rPr>
      </w:pPr>
      <w:r w:rsidRPr="00C77120">
        <w:rPr>
          <w:rStyle w:val="FootnoteReference"/>
          <w:sz w:val="20"/>
          <w:szCs w:val="20"/>
        </w:rPr>
        <w:footnoteRef/>
      </w:r>
      <w:r>
        <w:rPr>
          <w:sz w:val="20"/>
          <w:szCs w:val="20"/>
          <w:vertAlign w:val="baseline"/>
        </w:rPr>
        <w:t xml:space="preserve"> HRC, ‘</w:t>
      </w:r>
      <w:r w:rsidRPr="00C77120">
        <w:rPr>
          <w:rFonts w:eastAsia="Times New Roman" w:cs="Times New Roman"/>
          <w:sz w:val="20"/>
          <w:szCs w:val="20"/>
          <w:vertAlign w:val="baseline"/>
        </w:rPr>
        <w:t>Juan</w:t>
      </w:r>
      <w:r>
        <w:rPr>
          <w:rFonts w:eastAsia="Times New Roman" w:cs="Times New Roman"/>
          <w:sz w:val="20"/>
          <w:szCs w:val="20"/>
          <w:vertAlign w:val="baseline"/>
        </w:rPr>
        <w:t xml:space="preserve"> E. Mendez: Mission to Ghana’ (n 476) </w:t>
      </w:r>
      <w:r w:rsidRPr="00C77120">
        <w:rPr>
          <w:sz w:val="20"/>
          <w:szCs w:val="20"/>
          <w:vertAlign w:val="baseline"/>
          <w:lang w:val="en-US"/>
        </w:rPr>
        <w:t>para 107(e)</w:t>
      </w:r>
    </w:p>
  </w:footnote>
  <w:footnote w:id="513">
    <w:p w14:paraId="7C908D14" w14:textId="1854A8FC" w:rsidR="00431A55" w:rsidRPr="00C77120" w:rsidRDefault="00431A55" w:rsidP="005F7752">
      <w:pPr>
        <w:pStyle w:val="FootnoteText"/>
        <w:rPr>
          <w:sz w:val="20"/>
          <w:szCs w:val="20"/>
          <w:vertAlign w:val="baseline"/>
          <w:lang w:val="en-US"/>
        </w:rPr>
      </w:pPr>
      <w:r w:rsidRPr="00C77120">
        <w:rPr>
          <w:rStyle w:val="FootnoteReference"/>
          <w:sz w:val="20"/>
          <w:szCs w:val="20"/>
        </w:rPr>
        <w:footnoteRef/>
      </w:r>
      <w:r w:rsidRPr="00C77120">
        <w:rPr>
          <w:sz w:val="20"/>
          <w:szCs w:val="20"/>
          <w:vertAlign w:val="baseline"/>
        </w:rPr>
        <w:t xml:space="preserve"> HRC, ‘Yakin Erturk: Mis</w:t>
      </w:r>
      <w:r>
        <w:rPr>
          <w:sz w:val="20"/>
          <w:szCs w:val="20"/>
          <w:vertAlign w:val="baseline"/>
        </w:rPr>
        <w:t>sion to Ghana’ 21 February 2008 (n 476)</w:t>
      </w:r>
      <w:r w:rsidRPr="00C77120">
        <w:rPr>
          <w:sz w:val="20"/>
          <w:szCs w:val="20"/>
          <w:vertAlign w:val="baseline"/>
        </w:rPr>
        <w:t xml:space="preserve"> para 93</w:t>
      </w:r>
    </w:p>
  </w:footnote>
  <w:footnote w:id="514">
    <w:p w14:paraId="5081370B" w14:textId="572BF0F5" w:rsidR="00431A55" w:rsidRPr="00C77120" w:rsidRDefault="00431A55" w:rsidP="005F7752">
      <w:pPr>
        <w:pStyle w:val="FootnoteText"/>
        <w:rPr>
          <w:sz w:val="20"/>
          <w:szCs w:val="20"/>
          <w:vertAlign w:val="baseline"/>
          <w:lang w:val="en-US"/>
        </w:rPr>
      </w:pPr>
      <w:r w:rsidRPr="00C77120">
        <w:rPr>
          <w:rStyle w:val="FootnoteReference"/>
          <w:sz w:val="20"/>
          <w:szCs w:val="20"/>
        </w:rPr>
        <w:footnoteRef/>
      </w:r>
      <w:r w:rsidRPr="00C77120">
        <w:rPr>
          <w:sz w:val="20"/>
          <w:szCs w:val="20"/>
        </w:rPr>
        <w:t xml:space="preserve"> </w:t>
      </w:r>
      <w:r>
        <w:rPr>
          <w:sz w:val="20"/>
          <w:szCs w:val="20"/>
          <w:vertAlign w:val="baseline"/>
        </w:rPr>
        <w:t>ibid</w:t>
      </w:r>
    </w:p>
  </w:footnote>
  <w:footnote w:id="515">
    <w:p w14:paraId="082987BA" w14:textId="498B8CA6" w:rsidR="00431A55" w:rsidRPr="007B6340" w:rsidRDefault="00431A55" w:rsidP="005F7752">
      <w:pPr>
        <w:pStyle w:val="FootnoteText"/>
        <w:rPr>
          <w:lang w:val="en-US"/>
        </w:rPr>
      </w:pPr>
      <w:r w:rsidRPr="00C77120">
        <w:rPr>
          <w:rStyle w:val="FootnoteReference"/>
          <w:sz w:val="20"/>
          <w:szCs w:val="20"/>
        </w:rPr>
        <w:footnoteRef/>
      </w:r>
      <w:r w:rsidRPr="00C77120">
        <w:rPr>
          <w:sz w:val="20"/>
          <w:szCs w:val="20"/>
          <w:vertAlign w:val="baseline"/>
        </w:rPr>
        <w:t xml:space="preserve"> </w:t>
      </w:r>
      <w:r>
        <w:rPr>
          <w:sz w:val="20"/>
          <w:szCs w:val="20"/>
          <w:vertAlign w:val="baseline"/>
        </w:rPr>
        <w:t>ibid</w:t>
      </w:r>
    </w:p>
  </w:footnote>
  <w:footnote w:id="516">
    <w:p w14:paraId="3C489F2C" w14:textId="49A61CBC" w:rsidR="00431A55" w:rsidRPr="00B50189" w:rsidRDefault="00431A55" w:rsidP="005F7752">
      <w:pPr>
        <w:pStyle w:val="FootnoteText"/>
        <w:rPr>
          <w:sz w:val="20"/>
          <w:szCs w:val="20"/>
          <w:vertAlign w:val="baseline"/>
        </w:rPr>
      </w:pPr>
      <w:r w:rsidRPr="00B50189">
        <w:rPr>
          <w:rStyle w:val="FootnoteReference"/>
          <w:sz w:val="20"/>
          <w:szCs w:val="20"/>
        </w:rPr>
        <w:footnoteRef/>
      </w:r>
      <w:r w:rsidRPr="00B50189">
        <w:rPr>
          <w:sz w:val="20"/>
          <w:szCs w:val="20"/>
        </w:rPr>
        <w:t xml:space="preserve"> </w:t>
      </w:r>
      <w:r w:rsidRPr="00B50189">
        <w:rPr>
          <w:sz w:val="20"/>
          <w:szCs w:val="20"/>
          <w:vertAlign w:val="baseline"/>
        </w:rPr>
        <w:t>Dovlo</w:t>
      </w:r>
      <w:r>
        <w:rPr>
          <w:sz w:val="20"/>
          <w:szCs w:val="20"/>
          <w:vertAlign w:val="baseline"/>
        </w:rPr>
        <w:t xml:space="preserve"> (n 481) </w:t>
      </w:r>
      <w:r w:rsidRPr="00B50189">
        <w:rPr>
          <w:sz w:val="20"/>
          <w:szCs w:val="20"/>
          <w:vertAlign w:val="baseline"/>
        </w:rPr>
        <w:t>78</w:t>
      </w:r>
    </w:p>
  </w:footnote>
  <w:footnote w:id="517">
    <w:p w14:paraId="490F2217" w14:textId="7079E827" w:rsidR="00431A55" w:rsidRPr="00B50189" w:rsidRDefault="00431A55" w:rsidP="005F7752">
      <w:pPr>
        <w:pStyle w:val="FootnoteText"/>
        <w:rPr>
          <w:sz w:val="20"/>
          <w:szCs w:val="20"/>
          <w:vertAlign w:val="baseline"/>
        </w:rPr>
      </w:pPr>
      <w:r w:rsidRPr="00B50189">
        <w:rPr>
          <w:rStyle w:val="FootnoteReference"/>
          <w:sz w:val="20"/>
          <w:szCs w:val="20"/>
        </w:rPr>
        <w:footnoteRef/>
      </w:r>
      <w:r>
        <w:rPr>
          <w:sz w:val="20"/>
          <w:szCs w:val="20"/>
          <w:vertAlign w:val="baseline"/>
        </w:rPr>
        <w:t xml:space="preserve"> ibid</w:t>
      </w:r>
    </w:p>
  </w:footnote>
  <w:footnote w:id="518">
    <w:p w14:paraId="649BB4A7" w14:textId="217C16DE" w:rsidR="00431A55" w:rsidRPr="00B50189" w:rsidRDefault="00431A55" w:rsidP="005F7752">
      <w:pPr>
        <w:pStyle w:val="FootnoteText"/>
        <w:rPr>
          <w:sz w:val="20"/>
          <w:szCs w:val="20"/>
          <w:vertAlign w:val="baseline"/>
        </w:rPr>
      </w:pPr>
      <w:r w:rsidRPr="00B50189">
        <w:rPr>
          <w:rStyle w:val="FootnoteReference"/>
          <w:sz w:val="20"/>
          <w:szCs w:val="20"/>
        </w:rPr>
        <w:footnoteRef/>
      </w:r>
      <w:r w:rsidRPr="00B50189">
        <w:rPr>
          <w:sz w:val="20"/>
          <w:szCs w:val="20"/>
          <w:vertAlign w:val="baseline"/>
        </w:rPr>
        <w:t xml:space="preserve"> </w:t>
      </w:r>
      <w:r>
        <w:rPr>
          <w:sz w:val="20"/>
          <w:szCs w:val="20"/>
          <w:vertAlign w:val="baseline"/>
        </w:rPr>
        <w:t>ibid</w:t>
      </w:r>
    </w:p>
  </w:footnote>
  <w:footnote w:id="519">
    <w:p w14:paraId="446E64E0" w14:textId="77777777" w:rsidR="00431A55" w:rsidRPr="00B50189" w:rsidRDefault="00431A55" w:rsidP="005F7752">
      <w:pPr>
        <w:pStyle w:val="FootnoteText"/>
        <w:rPr>
          <w:sz w:val="20"/>
          <w:szCs w:val="20"/>
          <w:vertAlign w:val="baseline"/>
        </w:rPr>
      </w:pPr>
      <w:r w:rsidRPr="00B50189">
        <w:rPr>
          <w:rStyle w:val="FootnoteReference"/>
          <w:sz w:val="20"/>
          <w:szCs w:val="20"/>
        </w:rPr>
        <w:footnoteRef/>
      </w:r>
      <w:r w:rsidRPr="00B50189">
        <w:rPr>
          <w:sz w:val="20"/>
          <w:szCs w:val="20"/>
          <w:vertAlign w:val="baseline"/>
        </w:rPr>
        <w:t xml:space="preserve"> Cambridge Network, ‘Meningococcal meningitis outbreaks spreading from Ghana’ (</w:t>
      </w:r>
      <w:r w:rsidRPr="00B50189">
        <w:rPr>
          <w:i/>
          <w:sz w:val="20"/>
          <w:szCs w:val="20"/>
          <w:vertAlign w:val="baseline"/>
        </w:rPr>
        <w:t xml:space="preserve">Cambridge Network, </w:t>
      </w:r>
      <w:r w:rsidRPr="00B50189">
        <w:rPr>
          <w:sz w:val="20"/>
          <w:szCs w:val="20"/>
          <w:vertAlign w:val="baseline"/>
        </w:rPr>
        <w:t>26 March 2014) &lt;</w:t>
      </w:r>
      <w:hyperlink r:id="rId64" w:history="1">
        <w:r w:rsidRPr="00B50189">
          <w:rPr>
            <w:rStyle w:val="Hyperlink"/>
            <w:sz w:val="20"/>
            <w:szCs w:val="20"/>
            <w:vertAlign w:val="baseline"/>
          </w:rPr>
          <w:t>https://www.cambridgenetwork.co.uk/news/meningococcal-meningitis-outbreaks-spreading-from-ghana-news1704/</w:t>
        </w:r>
      </w:hyperlink>
      <w:r w:rsidRPr="00B50189">
        <w:rPr>
          <w:sz w:val="20"/>
          <w:szCs w:val="20"/>
          <w:vertAlign w:val="baseline"/>
        </w:rPr>
        <w:t>&gt; accessed 5 November 2014</w:t>
      </w:r>
    </w:p>
  </w:footnote>
  <w:footnote w:id="520">
    <w:p w14:paraId="5A20C907" w14:textId="201CBE00" w:rsidR="00431A55" w:rsidRDefault="00431A55" w:rsidP="005F7752">
      <w:pPr>
        <w:pStyle w:val="FootnoteText"/>
      </w:pPr>
      <w:r w:rsidRPr="00B50189">
        <w:rPr>
          <w:rStyle w:val="FootnoteReference"/>
          <w:sz w:val="20"/>
          <w:szCs w:val="20"/>
        </w:rPr>
        <w:footnoteRef/>
      </w:r>
      <w:r w:rsidRPr="00B50189">
        <w:rPr>
          <w:sz w:val="20"/>
          <w:szCs w:val="20"/>
          <w:vertAlign w:val="baseline"/>
        </w:rPr>
        <w:t xml:space="preserve"> Guinea worm disease is caused by the parasite </w:t>
      </w:r>
      <w:r w:rsidRPr="00B50189">
        <w:rPr>
          <w:i/>
          <w:sz w:val="20"/>
          <w:szCs w:val="20"/>
          <w:vertAlign w:val="baseline"/>
        </w:rPr>
        <w:t>Dracunculus medinensis</w:t>
      </w:r>
      <w:r>
        <w:rPr>
          <w:sz w:val="20"/>
          <w:szCs w:val="20"/>
          <w:vertAlign w:val="baseline"/>
        </w:rPr>
        <w:t xml:space="preserve"> and </w:t>
      </w:r>
      <w:r w:rsidRPr="00B50189">
        <w:rPr>
          <w:sz w:val="20"/>
          <w:szCs w:val="20"/>
          <w:vertAlign w:val="baseline"/>
        </w:rPr>
        <w:t>affects poor communities in remote parts of Africa. Guinea worm disease is transmitted by drinking unfiltered water from ponds and other stagnant surface water sources. There is no drug treatment for Guinea worm disease or a vaccine to prevent it. In 1989, Ghana was ranked to have the second highest number of cases of Guinea worm disease in the world &lt;</w:t>
      </w:r>
      <w:hyperlink r:id="rId65" w:history="1">
        <w:r w:rsidRPr="00B50189">
          <w:rPr>
            <w:rStyle w:val="Hyperlink"/>
            <w:sz w:val="20"/>
            <w:szCs w:val="20"/>
            <w:vertAlign w:val="baseline"/>
          </w:rPr>
          <w:t>http://www.cartercenter.org/countries/ghana-health-guinea-worm.html</w:t>
        </w:r>
      </w:hyperlink>
      <w:r w:rsidRPr="00B50189">
        <w:rPr>
          <w:sz w:val="20"/>
          <w:szCs w:val="20"/>
          <w:vertAlign w:val="baseline"/>
        </w:rPr>
        <w:t>&gt;</w:t>
      </w:r>
    </w:p>
  </w:footnote>
  <w:footnote w:id="521">
    <w:p w14:paraId="36CD01B6" w14:textId="430A6814" w:rsidR="00431A55" w:rsidRPr="006906F5" w:rsidRDefault="00431A55" w:rsidP="005F7752">
      <w:pPr>
        <w:pStyle w:val="FootnoteText"/>
        <w:rPr>
          <w:sz w:val="20"/>
          <w:szCs w:val="20"/>
          <w:vertAlign w:val="baseline"/>
          <w:lang w:val="en-US"/>
        </w:rPr>
      </w:pPr>
      <w:r w:rsidRPr="006906F5">
        <w:rPr>
          <w:rStyle w:val="FootnoteReference"/>
          <w:sz w:val="20"/>
          <w:szCs w:val="20"/>
        </w:rPr>
        <w:footnoteRef/>
      </w:r>
      <w:r w:rsidRPr="006906F5">
        <w:rPr>
          <w:sz w:val="20"/>
          <w:szCs w:val="20"/>
        </w:rPr>
        <w:t xml:space="preserve"> </w:t>
      </w:r>
      <w:r w:rsidRPr="006906F5">
        <w:rPr>
          <w:sz w:val="20"/>
          <w:szCs w:val="20"/>
          <w:vertAlign w:val="baseline"/>
          <w:lang w:val="en-US"/>
        </w:rPr>
        <w:t xml:space="preserve">Union Territories are states within India that are directly governed by central government. The 7 Union Territories of India are: Andaman and Nicobar Islands, Chandigarh, Dadra and Nagar Haveli, Daman and Diu, </w:t>
      </w:r>
      <w:r>
        <w:rPr>
          <w:sz w:val="20"/>
          <w:szCs w:val="20"/>
          <w:vertAlign w:val="baseline"/>
          <w:lang w:val="en-US"/>
        </w:rPr>
        <w:t>Lakshadweep, Delhi, Pondicherry</w:t>
      </w:r>
    </w:p>
  </w:footnote>
  <w:footnote w:id="522">
    <w:p w14:paraId="71C779BB" w14:textId="77777777" w:rsidR="00431A55" w:rsidRPr="006906F5" w:rsidRDefault="00431A55" w:rsidP="005F7752">
      <w:pPr>
        <w:pStyle w:val="FootnoteText"/>
        <w:rPr>
          <w:sz w:val="20"/>
          <w:szCs w:val="20"/>
          <w:vertAlign w:val="baseline"/>
          <w:lang w:val="en-US"/>
        </w:rPr>
      </w:pPr>
      <w:r w:rsidRPr="006906F5">
        <w:rPr>
          <w:rStyle w:val="FootnoteReference"/>
          <w:sz w:val="20"/>
          <w:szCs w:val="20"/>
        </w:rPr>
        <w:footnoteRef/>
      </w:r>
      <w:r w:rsidRPr="006906F5">
        <w:rPr>
          <w:sz w:val="20"/>
          <w:szCs w:val="20"/>
        </w:rPr>
        <w:t xml:space="preserve"> </w:t>
      </w:r>
      <w:r w:rsidRPr="006906F5">
        <w:rPr>
          <w:sz w:val="20"/>
          <w:szCs w:val="20"/>
          <w:vertAlign w:val="baseline"/>
          <w:lang w:val="en-US"/>
        </w:rPr>
        <w:t>Estimated population as of July 2014 was 1,236,322,631, ‘India demographics profile 2014’ (</w:t>
      </w:r>
      <w:r w:rsidRPr="006906F5">
        <w:rPr>
          <w:i/>
          <w:sz w:val="20"/>
          <w:szCs w:val="20"/>
          <w:vertAlign w:val="baseline"/>
          <w:lang w:val="en-US"/>
        </w:rPr>
        <w:t>index mundi</w:t>
      </w:r>
      <w:r w:rsidRPr="006906F5">
        <w:rPr>
          <w:sz w:val="20"/>
          <w:szCs w:val="20"/>
          <w:vertAlign w:val="baseline"/>
          <w:lang w:val="en-US"/>
        </w:rPr>
        <w:t>, 30 June 2015) &lt;</w:t>
      </w:r>
      <w:hyperlink r:id="rId66" w:history="1">
        <w:r w:rsidRPr="006906F5">
          <w:rPr>
            <w:rStyle w:val="Hyperlink"/>
            <w:sz w:val="20"/>
            <w:szCs w:val="20"/>
            <w:vertAlign w:val="baseline"/>
            <w:lang w:val="en-US"/>
          </w:rPr>
          <w:t>http://www.indexmundi.com/india/demographics_profile.html</w:t>
        </w:r>
      </w:hyperlink>
      <w:r w:rsidRPr="006906F5">
        <w:rPr>
          <w:sz w:val="20"/>
          <w:szCs w:val="20"/>
          <w:vertAlign w:val="baseline"/>
          <w:lang w:val="en-US"/>
        </w:rPr>
        <w:t>&gt; accessed 25 August 2015</w:t>
      </w:r>
    </w:p>
  </w:footnote>
  <w:footnote w:id="523">
    <w:p w14:paraId="0C95FA3D" w14:textId="77777777" w:rsidR="00431A55" w:rsidRPr="006906F5" w:rsidRDefault="00431A55" w:rsidP="005F7752">
      <w:pPr>
        <w:pStyle w:val="FootnoteText"/>
        <w:rPr>
          <w:sz w:val="20"/>
          <w:szCs w:val="20"/>
          <w:vertAlign w:val="baseline"/>
        </w:rPr>
      </w:pPr>
      <w:r w:rsidRPr="006906F5">
        <w:rPr>
          <w:rStyle w:val="FootnoteReference"/>
          <w:sz w:val="20"/>
          <w:szCs w:val="20"/>
        </w:rPr>
        <w:footnoteRef/>
      </w:r>
      <w:r w:rsidRPr="006906F5">
        <w:rPr>
          <w:sz w:val="20"/>
          <w:szCs w:val="20"/>
        </w:rPr>
        <w:t xml:space="preserve"> </w:t>
      </w:r>
      <w:r w:rsidRPr="006906F5">
        <w:rPr>
          <w:sz w:val="20"/>
          <w:szCs w:val="20"/>
          <w:vertAlign w:val="baseline"/>
        </w:rPr>
        <w:t xml:space="preserve">Hindi and English are both official languages of India, however, India does not have a national language. The six main languages spoken are Hindi, Bengali, Telugu, Marathi, Tamil and Urdu; </w:t>
      </w:r>
      <w:r w:rsidRPr="006906F5">
        <w:rPr>
          <w:sz w:val="20"/>
          <w:szCs w:val="20"/>
          <w:vertAlign w:val="baseline"/>
          <w:lang w:val="en-US"/>
        </w:rPr>
        <w:t xml:space="preserve">Sam Miller, ‘Ten ‘big facts’ about India’ </w:t>
      </w:r>
      <w:r w:rsidRPr="006906F5">
        <w:rPr>
          <w:i/>
          <w:sz w:val="20"/>
          <w:szCs w:val="20"/>
          <w:vertAlign w:val="baseline"/>
          <w:lang w:val="en-US"/>
        </w:rPr>
        <w:t>BBC News Asia</w:t>
      </w:r>
      <w:r w:rsidRPr="006906F5">
        <w:rPr>
          <w:sz w:val="20"/>
          <w:szCs w:val="20"/>
          <w:vertAlign w:val="baseline"/>
          <w:lang w:val="en-US"/>
        </w:rPr>
        <w:t xml:space="preserve"> (India, 18 February 2014) &lt;</w:t>
      </w:r>
      <w:hyperlink r:id="rId67" w:history="1">
        <w:r w:rsidRPr="006906F5">
          <w:rPr>
            <w:rStyle w:val="Hyperlink"/>
            <w:sz w:val="20"/>
            <w:szCs w:val="20"/>
            <w:vertAlign w:val="baseline"/>
            <w:lang w:val="en-US"/>
          </w:rPr>
          <w:t>http://www.bbc.co.uk/news/world-asia-25881705</w:t>
        </w:r>
      </w:hyperlink>
      <w:r w:rsidRPr="006906F5">
        <w:rPr>
          <w:sz w:val="20"/>
          <w:szCs w:val="20"/>
          <w:vertAlign w:val="baseline"/>
          <w:lang w:val="en-US"/>
        </w:rPr>
        <w:t>&gt; accessed 25 August 2015</w:t>
      </w:r>
    </w:p>
  </w:footnote>
  <w:footnote w:id="524">
    <w:p w14:paraId="70ADC103" w14:textId="77777777" w:rsidR="00431A55" w:rsidRPr="006906F5" w:rsidRDefault="00431A55" w:rsidP="005F7752">
      <w:pPr>
        <w:rPr>
          <w:rFonts w:eastAsia="Times New Roman" w:cs="Arial"/>
          <w:shd w:val="clear" w:color="auto" w:fill="FFFFFF"/>
          <w:vertAlign w:val="baseline"/>
        </w:rPr>
      </w:pPr>
      <w:r w:rsidRPr="006906F5">
        <w:rPr>
          <w:rStyle w:val="FootnoteReference"/>
        </w:rPr>
        <w:footnoteRef/>
      </w:r>
      <w:r w:rsidRPr="006906F5">
        <w:rPr>
          <w:vertAlign w:val="baseline"/>
        </w:rPr>
        <w:t xml:space="preserve"> Census of India: Religion &lt;</w:t>
      </w:r>
      <w:hyperlink r:id="rId68" w:history="1">
        <w:r w:rsidRPr="006906F5">
          <w:rPr>
            <w:rStyle w:val="Hyperlink"/>
            <w:vertAlign w:val="baseline"/>
          </w:rPr>
          <w:t>http://www.</w:t>
        </w:r>
        <w:r w:rsidRPr="006906F5">
          <w:rPr>
            <w:rStyle w:val="Hyperlink"/>
            <w:rFonts w:eastAsia="Times New Roman" w:cs="Arial"/>
            <w:shd w:val="clear" w:color="auto" w:fill="FFFFFF"/>
            <w:vertAlign w:val="baseline"/>
          </w:rPr>
          <w:t>census</w:t>
        </w:r>
        <w:r w:rsidRPr="006906F5">
          <w:rPr>
            <w:rStyle w:val="Hyperlink"/>
            <w:rFonts w:eastAsia="Times New Roman" w:cs="Arial"/>
            <w:bCs/>
            <w:shd w:val="clear" w:color="auto" w:fill="FFFFFF"/>
            <w:vertAlign w:val="baseline"/>
          </w:rPr>
          <w:t>india</w:t>
        </w:r>
        <w:r w:rsidRPr="006906F5">
          <w:rPr>
            <w:rStyle w:val="Hyperlink"/>
            <w:rFonts w:eastAsia="Times New Roman" w:cs="Arial"/>
            <w:shd w:val="clear" w:color="auto" w:fill="FFFFFF"/>
            <w:vertAlign w:val="baseline"/>
          </w:rPr>
          <w:t>.gov.in/Census_And_You/</w:t>
        </w:r>
        <w:r w:rsidRPr="006906F5">
          <w:rPr>
            <w:rStyle w:val="Hyperlink"/>
            <w:rFonts w:eastAsia="Times New Roman" w:cs="Arial"/>
            <w:bCs/>
            <w:shd w:val="clear" w:color="auto" w:fill="FFFFFF"/>
            <w:vertAlign w:val="baseline"/>
          </w:rPr>
          <w:t>religion</w:t>
        </w:r>
        <w:r w:rsidRPr="006906F5">
          <w:rPr>
            <w:rStyle w:val="Hyperlink"/>
            <w:rFonts w:eastAsia="Times New Roman" w:cs="Arial"/>
            <w:shd w:val="clear" w:color="auto" w:fill="FFFFFF"/>
            <w:vertAlign w:val="baseline"/>
          </w:rPr>
          <w:t>.aspx</w:t>
        </w:r>
      </w:hyperlink>
      <w:r w:rsidRPr="006906F5">
        <w:rPr>
          <w:vertAlign w:val="baseline"/>
        </w:rPr>
        <w:t>&gt; accessed 25 August 2015</w:t>
      </w:r>
    </w:p>
  </w:footnote>
  <w:footnote w:id="525">
    <w:p w14:paraId="54D27B89" w14:textId="77777777" w:rsidR="00431A55" w:rsidRPr="006906F5" w:rsidRDefault="00431A55" w:rsidP="005F7752">
      <w:pPr>
        <w:pStyle w:val="FootnoteText"/>
        <w:rPr>
          <w:sz w:val="20"/>
          <w:szCs w:val="20"/>
          <w:vertAlign w:val="baseline"/>
          <w:lang w:val="en-US"/>
        </w:rPr>
      </w:pPr>
      <w:r w:rsidRPr="006906F5">
        <w:rPr>
          <w:rStyle w:val="FootnoteReference"/>
          <w:sz w:val="20"/>
          <w:szCs w:val="20"/>
        </w:rPr>
        <w:footnoteRef/>
      </w:r>
      <w:r w:rsidRPr="006906F5">
        <w:rPr>
          <w:sz w:val="20"/>
          <w:szCs w:val="20"/>
          <w:vertAlign w:val="baseline"/>
        </w:rPr>
        <w:t xml:space="preserve"> R.K. Pruthi, </w:t>
      </w:r>
      <w:r w:rsidRPr="006906F5">
        <w:rPr>
          <w:i/>
          <w:sz w:val="20"/>
          <w:szCs w:val="20"/>
          <w:vertAlign w:val="baseline"/>
        </w:rPr>
        <w:t>Indian Caste System</w:t>
      </w:r>
      <w:r w:rsidRPr="006906F5">
        <w:rPr>
          <w:sz w:val="20"/>
          <w:szCs w:val="20"/>
          <w:vertAlign w:val="baseline"/>
        </w:rPr>
        <w:t xml:space="preserve"> (Discovery Publishing House, 2004) 5</w:t>
      </w:r>
    </w:p>
  </w:footnote>
  <w:footnote w:id="526">
    <w:p w14:paraId="29DA22E5" w14:textId="4A651F17" w:rsidR="00431A55" w:rsidRPr="006906F5" w:rsidRDefault="00431A55" w:rsidP="005F7752">
      <w:pPr>
        <w:pStyle w:val="FootnoteText"/>
        <w:rPr>
          <w:sz w:val="20"/>
          <w:szCs w:val="20"/>
          <w:vertAlign w:val="baseline"/>
          <w:lang w:val="en-US"/>
        </w:rPr>
      </w:pPr>
      <w:r w:rsidRPr="006906F5">
        <w:rPr>
          <w:rStyle w:val="FootnoteReference"/>
          <w:sz w:val="20"/>
          <w:szCs w:val="20"/>
        </w:rPr>
        <w:footnoteRef/>
      </w:r>
      <w:r w:rsidRPr="006906F5">
        <w:rPr>
          <w:sz w:val="20"/>
          <w:szCs w:val="20"/>
          <w:vertAlign w:val="baseline"/>
        </w:rPr>
        <w:t xml:space="preserve"> </w:t>
      </w:r>
      <w:r>
        <w:rPr>
          <w:sz w:val="20"/>
          <w:szCs w:val="20"/>
          <w:vertAlign w:val="baseline"/>
        </w:rPr>
        <w:t xml:space="preserve">ibid </w:t>
      </w:r>
      <w:r w:rsidRPr="006906F5">
        <w:rPr>
          <w:sz w:val="20"/>
          <w:szCs w:val="20"/>
          <w:vertAlign w:val="baseline"/>
        </w:rPr>
        <w:t>5 - 25</w:t>
      </w:r>
    </w:p>
  </w:footnote>
  <w:footnote w:id="527">
    <w:p w14:paraId="307962CA" w14:textId="77777777" w:rsidR="00431A55" w:rsidRPr="000003DB" w:rsidRDefault="00431A55" w:rsidP="005F7752">
      <w:pPr>
        <w:pStyle w:val="FootnoteText"/>
        <w:rPr>
          <w:lang w:val="en-US"/>
        </w:rPr>
      </w:pPr>
      <w:r w:rsidRPr="000A6FED">
        <w:rPr>
          <w:rStyle w:val="FootnoteReference"/>
          <w:sz w:val="20"/>
          <w:szCs w:val="20"/>
        </w:rPr>
        <w:footnoteRef/>
      </w:r>
      <w:r w:rsidRPr="006906F5">
        <w:rPr>
          <w:sz w:val="20"/>
          <w:szCs w:val="20"/>
          <w:vertAlign w:val="baseline"/>
        </w:rPr>
        <w:t xml:space="preserve"> </w:t>
      </w:r>
      <w:r w:rsidRPr="006906F5">
        <w:rPr>
          <w:sz w:val="20"/>
          <w:szCs w:val="20"/>
          <w:vertAlign w:val="baseline"/>
          <w:lang w:val="en-US"/>
        </w:rPr>
        <w:t>Jay Elwes, ‘How does India’s caste system work’ (</w:t>
      </w:r>
      <w:r w:rsidRPr="006906F5">
        <w:rPr>
          <w:i/>
          <w:sz w:val="20"/>
          <w:szCs w:val="20"/>
          <w:vertAlign w:val="baseline"/>
          <w:lang w:val="en-US"/>
        </w:rPr>
        <w:t xml:space="preserve">Prospect, </w:t>
      </w:r>
      <w:r w:rsidRPr="006906F5">
        <w:rPr>
          <w:sz w:val="20"/>
          <w:szCs w:val="20"/>
          <w:vertAlign w:val="baseline"/>
          <w:lang w:val="en-US"/>
        </w:rPr>
        <w:t>13 November 2014) &lt;</w:t>
      </w:r>
      <w:hyperlink r:id="rId69" w:history="1">
        <w:r w:rsidRPr="006906F5">
          <w:rPr>
            <w:rStyle w:val="Hyperlink"/>
            <w:sz w:val="20"/>
            <w:szCs w:val="20"/>
            <w:vertAlign w:val="baseline"/>
            <w:lang w:val="en-US"/>
          </w:rPr>
          <w:t>http://www.prospectmagazine.co.uk/features/how-does-indias-caste-system-work</w:t>
        </w:r>
      </w:hyperlink>
      <w:r w:rsidRPr="006906F5">
        <w:rPr>
          <w:sz w:val="20"/>
          <w:szCs w:val="20"/>
          <w:vertAlign w:val="baseline"/>
          <w:lang w:val="en-US"/>
        </w:rPr>
        <w:t>&gt; accessed 25 August 2015</w:t>
      </w:r>
    </w:p>
  </w:footnote>
  <w:footnote w:id="528">
    <w:p w14:paraId="3571EF6B" w14:textId="46103C58" w:rsidR="00431A55" w:rsidRPr="00AE427B" w:rsidRDefault="00431A55" w:rsidP="005F7752">
      <w:pPr>
        <w:pStyle w:val="FootnoteText"/>
        <w:rPr>
          <w:sz w:val="20"/>
          <w:szCs w:val="20"/>
          <w:vertAlign w:val="baseline"/>
        </w:rPr>
      </w:pPr>
      <w:r w:rsidRPr="000A6FED">
        <w:rPr>
          <w:rStyle w:val="FootnoteReference"/>
          <w:sz w:val="20"/>
          <w:szCs w:val="20"/>
        </w:rPr>
        <w:footnoteRef/>
      </w:r>
      <w:r w:rsidRPr="000A6FED">
        <w:rPr>
          <w:sz w:val="20"/>
          <w:szCs w:val="20"/>
        </w:rPr>
        <w:t xml:space="preserve"> </w:t>
      </w:r>
      <w:r>
        <w:rPr>
          <w:sz w:val="20"/>
          <w:szCs w:val="20"/>
          <w:vertAlign w:val="baseline"/>
        </w:rPr>
        <w:t>HRW, Hidden Apartheid: Discrimination against India’s “Untouchables” (</w:t>
      </w:r>
      <w:r w:rsidRPr="00AE427B">
        <w:rPr>
          <w:i/>
          <w:sz w:val="20"/>
          <w:szCs w:val="20"/>
          <w:vertAlign w:val="baseline"/>
        </w:rPr>
        <w:t>HRW</w:t>
      </w:r>
      <w:r>
        <w:rPr>
          <w:sz w:val="20"/>
          <w:szCs w:val="20"/>
          <w:vertAlign w:val="baseline"/>
        </w:rPr>
        <w:t xml:space="preserve"> 12 February 2007)</w:t>
      </w:r>
    </w:p>
    <w:p w14:paraId="3BCFB0AE" w14:textId="16581CF9" w:rsidR="00431A55" w:rsidRPr="00AE427B" w:rsidRDefault="00431A55" w:rsidP="005F7752">
      <w:pPr>
        <w:pStyle w:val="FootnoteText"/>
        <w:rPr>
          <w:sz w:val="20"/>
          <w:szCs w:val="20"/>
          <w:vertAlign w:val="baseline"/>
        </w:rPr>
      </w:pPr>
      <w:hyperlink r:id="rId70" w:history="1">
        <w:r w:rsidRPr="000A6FED">
          <w:rPr>
            <w:rStyle w:val="Hyperlink"/>
            <w:sz w:val="20"/>
            <w:szCs w:val="20"/>
            <w:vertAlign w:val="baseline"/>
          </w:rPr>
          <w:t>https://www.hrw.org/report/2007/02/12/hidden-apartheid/caste-discrimination-against-indias-untouchables</w:t>
        </w:r>
      </w:hyperlink>
      <w:r>
        <w:rPr>
          <w:rStyle w:val="Hyperlink"/>
          <w:sz w:val="20"/>
          <w:szCs w:val="20"/>
          <w:vertAlign w:val="baseline"/>
        </w:rPr>
        <w:t xml:space="preserve"> </w:t>
      </w:r>
      <w:r>
        <w:rPr>
          <w:rStyle w:val="Hyperlink"/>
          <w:color w:val="auto"/>
          <w:sz w:val="20"/>
          <w:szCs w:val="20"/>
          <w:u w:val="none"/>
          <w:vertAlign w:val="baseline"/>
        </w:rPr>
        <w:t>accessed 25 August 2015</w:t>
      </w:r>
    </w:p>
  </w:footnote>
  <w:footnote w:id="529">
    <w:p w14:paraId="29B9E020" w14:textId="77777777" w:rsidR="00431A55" w:rsidRPr="000A6FED" w:rsidRDefault="00431A55" w:rsidP="005F7752">
      <w:pPr>
        <w:pStyle w:val="FootnoteText"/>
        <w:rPr>
          <w:sz w:val="20"/>
          <w:szCs w:val="20"/>
          <w:vertAlign w:val="baseline"/>
        </w:rPr>
      </w:pPr>
      <w:r w:rsidRPr="000A6FED">
        <w:rPr>
          <w:rStyle w:val="FootnoteReference"/>
          <w:sz w:val="20"/>
          <w:szCs w:val="20"/>
        </w:rPr>
        <w:footnoteRef/>
      </w:r>
      <w:r w:rsidRPr="000A6FED">
        <w:rPr>
          <w:sz w:val="20"/>
          <w:szCs w:val="20"/>
        </w:rPr>
        <w:t xml:space="preserve"> </w:t>
      </w:r>
      <w:r w:rsidRPr="000A6FED">
        <w:rPr>
          <w:sz w:val="20"/>
          <w:szCs w:val="20"/>
          <w:vertAlign w:val="baseline"/>
        </w:rPr>
        <w:t>Thomson Reuters Foundation &lt;</w:t>
      </w:r>
      <w:hyperlink r:id="rId71" w:history="1">
        <w:r w:rsidRPr="000A6FED">
          <w:rPr>
            <w:rStyle w:val="Hyperlink"/>
            <w:sz w:val="20"/>
            <w:szCs w:val="20"/>
            <w:vertAlign w:val="baseline"/>
          </w:rPr>
          <w:t>http://www.trust.org/</w:t>
        </w:r>
      </w:hyperlink>
      <w:r w:rsidRPr="000A6FED">
        <w:rPr>
          <w:sz w:val="20"/>
          <w:szCs w:val="20"/>
          <w:vertAlign w:val="baseline"/>
        </w:rPr>
        <w:t>&gt; accessed 25 August 2015</w:t>
      </w:r>
    </w:p>
  </w:footnote>
  <w:footnote w:id="530">
    <w:p w14:paraId="5AD7E817" w14:textId="77777777" w:rsidR="00431A55" w:rsidRPr="000A6FED" w:rsidRDefault="00431A55" w:rsidP="005F7752">
      <w:pPr>
        <w:pStyle w:val="FootnoteText"/>
        <w:rPr>
          <w:sz w:val="20"/>
          <w:szCs w:val="20"/>
          <w:vertAlign w:val="baseline"/>
        </w:rPr>
      </w:pPr>
      <w:r w:rsidRPr="000A6FED">
        <w:rPr>
          <w:rStyle w:val="FootnoteReference"/>
          <w:sz w:val="20"/>
          <w:szCs w:val="20"/>
        </w:rPr>
        <w:footnoteRef/>
      </w:r>
      <w:r w:rsidRPr="000A6FED">
        <w:rPr>
          <w:sz w:val="20"/>
          <w:szCs w:val="20"/>
        </w:rPr>
        <w:t xml:space="preserve"> </w:t>
      </w:r>
      <w:r w:rsidRPr="000A6FED">
        <w:rPr>
          <w:sz w:val="20"/>
          <w:szCs w:val="20"/>
          <w:vertAlign w:val="baseline"/>
        </w:rPr>
        <w:t xml:space="preserve"> Trust Law, ‘FACTSHEET – The world’s most dangerous countries for women’ (</w:t>
      </w:r>
      <w:r w:rsidRPr="000A6FED">
        <w:rPr>
          <w:i/>
          <w:sz w:val="20"/>
          <w:szCs w:val="20"/>
          <w:vertAlign w:val="baseline"/>
        </w:rPr>
        <w:t xml:space="preserve">Trust Law, </w:t>
      </w:r>
      <w:r w:rsidRPr="000A6FED">
        <w:rPr>
          <w:sz w:val="20"/>
          <w:szCs w:val="20"/>
          <w:vertAlign w:val="baseline"/>
        </w:rPr>
        <w:t>15 June 2011) &lt;</w:t>
      </w:r>
      <w:hyperlink r:id="rId72" w:history="1">
        <w:r w:rsidRPr="000A6FED">
          <w:rPr>
            <w:rStyle w:val="Hyperlink"/>
            <w:sz w:val="20"/>
            <w:szCs w:val="20"/>
            <w:vertAlign w:val="baseline"/>
          </w:rPr>
          <w:t>http://www.trust.org/item/20110615000000-hurik/?source=spotlight</w:t>
        </w:r>
      </w:hyperlink>
      <w:r w:rsidRPr="000A6FED">
        <w:rPr>
          <w:sz w:val="20"/>
          <w:szCs w:val="20"/>
          <w:vertAlign w:val="baseline"/>
        </w:rPr>
        <w:t>&gt; accessed 25 August 2015</w:t>
      </w:r>
    </w:p>
  </w:footnote>
  <w:footnote w:id="531">
    <w:p w14:paraId="27EFAA9A" w14:textId="77777777" w:rsidR="00431A55" w:rsidRPr="000A6FED" w:rsidRDefault="00431A55" w:rsidP="005F7752">
      <w:pPr>
        <w:pStyle w:val="FootnoteText"/>
        <w:rPr>
          <w:sz w:val="20"/>
          <w:szCs w:val="20"/>
          <w:vertAlign w:val="baseline"/>
          <w:lang w:val="en-US"/>
        </w:rPr>
      </w:pPr>
      <w:r w:rsidRPr="000A6FED">
        <w:rPr>
          <w:rStyle w:val="FootnoteReference"/>
          <w:sz w:val="20"/>
          <w:szCs w:val="20"/>
        </w:rPr>
        <w:footnoteRef/>
      </w:r>
      <w:r w:rsidRPr="000A6FED">
        <w:rPr>
          <w:sz w:val="20"/>
          <w:szCs w:val="20"/>
          <w:vertAlign w:val="baseline"/>
        </w:rPr>
        <w:t xml:space="preserve"> </w:t>
      </w:r>
      <w:r w:rsidRPr="000A6FED">
        <w:rPr>
          <w:sz w:val="20"/>
          <w:szCs w:val="20"/>
          <w:vertAlign w:val="baseline"/>
          <w:lang w:val="en-US"/>
        </w:rPr>
        <w:t>1. Afghanistan 2. Congo 3. Pakistan 4. India 5. Somalia</w:t>
      </w:r>
    </w:p>
  </w:footnote>
  <w:footnote w:id="532">
    <w:p w14:paraId="30708D2B" w14:textId="24668D40" w:rsidR="00431A55" w:rsidRPr="000A6FED" w:rsidRDefault="00431A55" w:rsidP="005F7752">
      <w:pPr>
        <w:pStyle w:val="FootnoteText"/>
        <w:rPr>
          <w:sz w:val="20"/>
          <w:szCs w:val="20"/>
          <w:vertAlign w:val="baseline"/>
          <w:lang w:val="en-US"/>
        </w:rPr>
      </w:pPr>
      <w:r w:rsidRPr="000A6FED">
        <w:rPr>
          <w:rStyle w:val="FootnoteReference"/>
          <w:sz w:val="20"/>
          <w:szCs w:val="20"/>
        </w:rPr>
        <w:footnoteRef/>
      </w:r>
      <w:r w:rsidRPr="000A6FED">
        <w:rPr>
          <w:sz w:val="20"/>
          <w:szCs w:val="20"/>
        </w:rPr>
        <w:t xml:space="preserve"> </w:t>
      </w:r>
      <w:r w:rsidRPr="000A6FED">
        <w:rPr>
          <w:sz w:val="20"/>
          <w:szCs w:val="20"/>
          <w:vertAlign w:val="baseline"/>
          <w:lang w:val="en-US"/>
        </w:rPr>
        <w:t>Graham Peebles, ‘Gender and caste discrimination in India’ (</w:t>
      </w:r>
      <w:r w:rsidRPr="000A6FED">
        <w:rPr>
          <w:i/>
          <w:sz w:val="20"/>
          <w:szCs w:val="20"/>
          <w:vertAlign w:val="baseline"/>
          <w:lang w:val="en-US"/>
        </w:rPr>
        <w:t xml:space="preserve">Redress Information &amp; Analysis, </w:t>
      </w:r>
      <w:r w:rsidRPr="000A6FED">
        <w:rPr>
          <w:sz w:val="20"/>
          <w:szCs w:val="20"/>
          <w:vertAlign w:val="baseline"/>
          <w:lang w:val="en-US"/>
        </w:rPr>
        <w:t>16 March 2014) &lt;</w:t>
      </w:r>
      <w:hyperlink r:id="rId73" w:history="1">
        <w:r w:rsidRPr="000A6FED">
          <w:rPr>
            <w:rStyle w:val="Hyperlink"/>
            <w:sz w:val="20"/>
            <w:szCs w:val="20"/>
            <w:vertAlign w:val="baseline"/>
            <w:lang w:val="en-US"/>
          </w:rPr>
          <w:t>http://www.redressonline.com/2014/03/gender-and-caste-discrimination-in-india/</w:t>
        </w:r>
      </w:hyperlink>
      <w:r w:rsidRPr="000A6FED">
        <w:rPr>
          <w:sz w:val="20"/>
          <w:szCs w:val="20"/>
          <w:vertAlign w:val="baseline"/>
          <w:lang w:val="en-US"/>
        </w:rPr>
        <w:t>&gt; accessed 25 August 2015</w:t>
      </w:r>
    </w:p>
  </w:footnote>
  <w:footnote w:id="533">
    <w:p w14:paraId="68E47F70" w14:textId="129A1987" w:rsidR="00431A55" w:rsidRPr="00453F39" w:rsidRDefault="00431A55" w:rsidP="005F7752">
      <w:pPr>
        <w:pStyle w:val="FootnoteText"/>
      </w:pPr>
      <w:r w:rsidRPr="0053683C">
        <w:rPr>
          <w:rStyle w:val="FootnoteReference"/>
          <w:sz w:val="20"/>
          <w:szCs w:val="20"/>
        </w:rPr>
        <w:footnoteRef/>
      </w:r>
      <w:r>
        <w:rPr>
          <w:sz w:val="20"/>
          <w:szCs w:val="20"/>
          <w:vertAlign w:val="baseline"/>
        </w:rPr>
        <w:t xml:space="preserve"> WHRIN, ‘</w:t>
      </w:r>
      <w:r w:rsidRPr="000A6FED">
        <w:rPr>
          <w:sz w:val="20"/>
          <w:szCs w:val="20"/>
          <w:vertAlign w:val="baseline"/>
        </w:rPr>
        <w:t>2013 Global Report’ (</w:t>
      </w:r>
      <w:r>
        <w:rPr>
          <w:sz w:val="20"/>
          <w:szCs w:val="20"/>
          <w:vertAlign w:val="baseline"/>
        </w:rPr>
        <w:t>n 372)</w:t>
      </w:r>
    </w:p>
  </w:footnote>
  <w:footnote w:id="534">
    <w:p w14:paraId="20F9DD35" w14:textId="403EE096" w:rsidR="00431A55" w:rsidRPr="0053683C" w:rsidRDefault="00431A55" w:rsidP="005F7752">
      <w:pPr>
        <w:pStyle w:val="FootnoteText"/>
        <w:rPr>
          <w:sz w:val="20"/>
          <w:szCs w:val="20"/>
          <w:vertAlign w:val="baseline"/>
        </w:rPr>
      </w:pPr>
      <w:r w:rsidRPr="0053683C">
        <w:rPr>
          <w:rStyle w:val="FootnoteReference"/>
          <w:sz w:val="20"/>
          <w:szCs w:val="20"/>
        </w:rPr>
        <w:footnoteRef/>
      </w:r>
      <w:r w:rsidRPr="0053683C">
        <w:rPr>
          <w:sz w:val="20"/>
          <w:szCs w:val="20"/>
        </w:rPr>
        <w:t xml:space="preserve"> </w:t>
      </w:r>
      <w:r w:rsidRPr="0053683C">
        <w:rPr>
          <w:sz w:val="20"/>
          <w:szCs w:val="20"/>
          <w:vertAlign w:val="baseline"/>
        </w:rPr>
        <w:t>UNDP, ‘Gender Inequality Index’</w:t>
      </w:r>
      <w:r>
        <w:rPr>
          <w:sz w:val="20"/>
          <w:szCs w:val="20"/>
          <w:vertAlign w:val="baseline"/>
        </w:rPr>
        <w:t xml:space="preserve"> (n 474)</w:t>
      </w:r>
    </w:p>
  </w:footnote>
  <w:footnote w:id="535">
    <w:p w14:paraId="2CA7F4D9" w14:textId="77777777" w:rsidR="00431A55" w:rsidRPr="0053683C" w:rsidRDefault="00431A55" w:rsidP="005F7752">
      <w:pPr>
        <w:pStyle w:val="FootnoteText"/>
        <w:rPr>
          <w:sz w:val="20"/>
          <w:szCs w:val="20"/>
          <w:vertAlign w:val="baseline"/>
        </w:rPr>
      </w:pPr>
      <w:r w:rsidRPr="0053683C">
        <w:rPr>
          <w:rStyle w:val="FootnoteReference"/>
          <w:sz w:val="20"/>
          <w:szCs w:val="20"/>
        </w:rPr>
        <w:footnoteRef/>
      </w:r>
      <w:r w:rsidRPr="0053683C">
        <w:rPr>
          <w:sz w:val="20"/>
          <w:szCs w:val="20"/>
        </w:rPr>
        <w:t xml:space="preserve"> </w:t>
      </w:r>
      <w:r w:rsidRPr="0053683C">
        <w:rPr>
          <w:sz w:val="20"/>
          <w:szCs w:val="20"/>
          <w:vertAlign w:val="baseline"/>
        </w:rPr>
        <w:t>Dr Dinesh Mishra is an ophthalmologist and renowned campaigner against superstition and witchcraft beliefs in India.</w:t>
      </w:r>
    </w:p>
  </w:footnote>
  <w:footnote w:id="536">
    <w:p w14:paraId="42690452" w14:textId="55D7E853" w:rsidR="00431A55" w:rsidRPr="0053683C" w:rsidRDefault="00431A55" w:rsidP="005F7752">
      <w:pPr>
        <w:pStyle w:val="FootnoteText"/>
        <w:rPr>
          <w:sz w:val="20"/>
          <w:szCs w:val="20"/>
          <w:vertAlign w:val="baseline"/>
        </w:rPr>
      </w:pPr>
      <w:r w:rsidRPr="0053683C">
        <w:rPr>
          <w:rStyle w:val="FootnoteReference"/>
          <w:sz w:val="20"/>
          <w:szCs w:val="20"/>
        </w:rPr>
        <w:footnoteRef/>
      </w:r>
      <w:r w:rsidRPr="0053683C">
        <w:rPr>
          <w:sz w:val="20"/>
          <w:szCs w:val="20"/>
        </w:rPr>
        <w:t xml:space="preserve"> </w:t>
      </w:r>
      <w:r w:rsidRPr="0053683C">
        <w:rPr>
          <w:sz w:val="20"/>
          <w:szCs w:val="20"/>
          <w:vertAlign w:val="baseline"/>
        </w:rPr>
        <w:t>Rakesh K Singh, ‘Witch-hunting: Alive and Kicking’ (2011) 17(1) Women’s Link 16</w:t>
      </w:r>
    </w:p>
  </w:footnote>
  <w:footnote w:id="537">
    <w:p w14:paraId="51D78F4F" w14:textId="77777777" w:rsidR="00431A55" w:rsidRPr="0053683C" w:rsidRDefault="00431A55" w:rsidP="005F7752">
      <w:pPr>
        <w:pStyle w:val="FootnoteText"/>
        <w:rPr>
          <w:sz w:val="20"/>
          <w:szCs w:val="20"/>
          <w:vertAlign w:val="baseline"/>
        </w:rPr>
      </w:pPr>
      <w:r w:rsidRPr="0053683C">
        <w:rPr>
          <w:rStyle w:val="FootnoteReference"/>
          <w:sz w:val="20"/>
          <w:szCs w:val="20"/>
        </w:rPr>
        <w:footnoteRef/>
      </w:r>
      <w:r w:rsidRPr="0053683C">
        <w:rPr>
          <w:sz w:val="20"/>
          <w:szCs w:val="20"/>
        </w:rPr>
        <w:t xml:space="preserve"> </w:t>
      </w:r>
      <w:r w:rsidRPr="0053683C">
        <w:rPr>
          <w:sz w:val="20"/>
          <w:szCs w:val="20"/>
          <w:vertAlign w:val="baseline"/>
        </w:rPr>
        <w:t>Ajay Skaria, ‘Women, Witchcraft and Gratuitous Violence in Colonial Western India’ (1997) 155 Past &amp; Present 109-141</w:t>
      </w:r>
    </w:p>
  </w:footnote>
  <w:footnote w:id="538">
    <w:p w14:paraId="55A1BB84" w14:textId="4EFEFEC4" w:rsidR="00431A55" w:rsidRPr="0053683C" w:rsidRDefault="00431A55" w:rsidP="005F7752">
      <w:pPr>
        <w:pStyle w:val="FootnoteText"/>
        <w:rPr>
          <w:sz w:val="20"/>
          <w:szCs w:val="20"/>
          <w:vertAlign w:val="baseline"/>
        </w:rPr>
      </w:pPr>
      <w:r w:rsidRPr="0053683C">
        <w:rPr>
          <w:rStyle w:val="FootnoteReference"/>
          <w:sz w:val="20"/>
          <w:szCs w:val="20"/>
        </w:rPr>
        <w:footnoteRef/>
      </w:r>
      <w:r w:rsidRPr="0053683C">
        <w:rPr>
          <w:sz w:val="20"/>
          <w:szCs w:val="20"/>
        </w:rPr>
        <w:t xml:space="preserve"> </w:t>
      </w:r>
      <w:r>
        <w:rPr>
          <w:sz w:val="20"/>
          <w:szCs w:val="20"/>
          <w:vertAlign w:val="baseline"/>
        </w:rPr>
        <w:t xml:space="preserve">Singh (n 536) </w:t>
      </w:r>
      <w:r w:rsidRPr="0053683C">
        <w:rPr>
          <w:sz w:val="20"/>
          <w:szCs w:val="20"/>
          <w:vertAlign w:val="baseline"/>
        </w:rPr>
        <w:t>17</w:t>
      </w:r>
    </w:p>
  </w:footnote>
  <w:footnote w:id="539">
    <w:p w14:paraId="38A38D6C" w14:textId="1B1A00DF" w:rsidR="00431A55" w:rsidRDefault="00431A55" w:rsidP="005F7752">
      <w:pPr>
        <w:pStyle w:val="FootnoteText"/>
      </w:pPr>
      <w:r w:rsidRPr="0053683C">
        <w:rPr>
          <w:rStyle w:val="FootnoteReference"/>
          <w:sz w:val="20"/>
          <w:szCs w:val="20"/>
        </w:rPr>
        <w:footnoteRef/>
      </w:r>
      <w:r w:rsidRPr="0053683C">
        <w:rPr>
          <w:sz w:val="20"/>
          <w:szCs w:val="20"/>
        </w:rPr>
        <w:t xml:space="preserve"> </w:t>
      </w:r>
      <w:r>
        <w:rPr>
          <w:sz w:val="20"/>
          <w:szCs w:val="20"/>
          <w:vertAlign w:val="baseline"/>
        </w:rPr>
        <w:t>ibid</w:t>
      </w:r>
      <w:r w:rsidRPr="0053683C">
        <w:rPr>
          <w:sz w:val="20"/>
          <w:szCs w:val="20"/>
          <w:vertAlign w:val="baseline"/>
        </w:rPr>
        <w:t xml:space="preserve"> 18</w:t>
      </w:r>
    </w:p>
  </w:footnote>
  <w:footnote w:id="540">
    <w:p w14:paraId="7575333C" w14:textId="77777777" w:rsidR="00431A55" w:rsidRPr="001D7609" w:rsidRDefault="00431A55" w:rsidP="005F7752">
      <w:pPr>
        <w:pStyle w:val="FootnoteText"/>
        <w:rPr>
          <w:sz w:val="20"/>
          <w:szCs w:val="20"/>
          <w:vertAlign w:val="baseline"/>
        </w:rPr>
      </w:pPr>
      <w:r w:rsidRPr="001D7609">
        <w:rPr>
          <w:rStyle w:val="FootnoteReference"/>
          <w:sz w:val="20"/>
          <w:szCs w:val="20"/>
        </w:rPr>
        <w:footnoteRef/>
      </w:r>
      <w:r w:rsidRPr="001D7609">
        <w:rPr>
          <w:sz w:val="20"/>
          <w:szCs w:val="20"/>
        </w:rPr>
        <w:t xml:space="preserve"> </w:t>
      </w:r>
      <w:r w:rsidRPr="001D7609">
        <w:rPr>
          <w:sz w:val="20"/>
          <w:szCs w:val="20"/>
          <w:vertAlign w:val="baseline"/>
        </w:rPr>
        <w:t>Jharkhand, Haryana, Andhra Pradesh, Orissa, Madhya Pradesh, Chhattisgarh, Maharashtra, West Bengal and Meghalaya.</w:t>
      </w:r>
    </w:p>
  </w:footnote>
  <w:footnote w:id="541">
    <w:p w14:paraId="2C3B7E2F" w14:textId="0AF21401" w:rsidR="00431A55" w:rsidRPr="001D7609" w:rsidRDefault="00431A55" w:rsidP="005F7752">
      <w:pPr>
        <w:pStyle w:val="FootnoteText"/>
        <w:rPr>
          <w:sz w:val="20"/>
          <w:szCs w:val="20"/>
          <w:vertAlign w:val="baseline"/>
        </w:rPr>
      </w:pPr>
      <w:r w:rsidRPr="001D7609">
        <w:rPr>
          <w:rStyle w:val="FootnoteReference"/>
          <w:sz w:val="20"/>
          <w:szCs w:val="20"/>
        </w:rPr>
        <w:footnoteRef/>
      </w:r>
      <w:r w:rsidRPr="001D7609">
        <w:rPr>
          <w:sz w:val="20"/>
          <w:szCs w:val="20"/>
        </w:rPr>
        <w:t xml:space="preserve"> </w:t>
      </w:r>
      <w:r>
        <w:rPr>
          <w:sz w:val="20"/>
          <w:szCs w:val="20"/>
          <w:vertAlign w:val="baseline"/>
        </w:rPr>
        <w:t xml:space="preserve">Singh (n 536) </w:t>
      </w:r>
      <w:r w:rsidRPr="001D7609">
        <w:rPr>
          <w:sz w:val="20"/>
          <w:szCs w:val="20"/>
          <w:vertAlign w:val="baseline"/>
        </w:rPr>
        <w:t>16</w:t>
      </w:r>
    </w:p>
  </w:footnote>
  <w:footnote w:id="542">
    <w:p w14:paraId="01648E72" w14:textId="076834B7" w:rsidR="00431A55" w:rsidRPr="001D7609" w:rsidRDefault="00431A55" w:rsidP="005F7752">
      <w:pPr>
        <w:pStyle w:val="FootnoteText"/>
        <w:rPr>
          <w:sz w:val="20"/>
          <w:szCs w:val="20"/>
          <w:vertAlign w:val="baseline"/>
        </w:rPr>
      </w:pPr>
      <w:r w:rsidRPr="001D7609">
        <w:rPr>
          <w:rStyle w:val="FootnoteReference"/>
          <w:sz w:val="20"/>
          <w:szCs w:val="20"/>
        </w:rPr>
        <w:footnoteRef/>
      </w:r>
      <w:r w:rsidRPr="001D7609">
        <w:rPr>
          <w:sz w:val="20"/>
          <w:szCs w:val="20"/>
        </w:rPr>
        <w:t xml:space="preserve"> </w:t>
      </w:r>
      <w:r>
        <w:rPr>
          <w:sz w:val="20"/>
          <w:szCs w:val="20"/>
          <w:vertAlign w:val="baseline"/>
        </w:rPr>
        <w:t>ibid</w:t>
      </w:r>
    </w:p>
  </w:footnote>
  <w:footnote w:id="543">
    <w:p w14:paraId="09B955D4" w14:textId="3C1F1F7B" w:rsidR="00431A55" w:rsidRPr="001D7609" w:rsidRDefault="00431A55" w:rsidP="005F7752">
      <w:pPr>
        <w:pStyle w:val="FootnoteText"/>
        <w:rPr>
          <w:sz w:val="20"/>
          <w:szCs w:val="20"/>
          <w:vertAlign w:val="baseline"/>
        </w:rPr>
      </w:pPr>
      <w:r w:rsidRPr="001D7609">
        <w:rPr>
          <w:rStyle w:val="FootnoteReference"/>
          <w:sz w:val="20"/>
          <w:szCs w:val="20"/>
        </w:rPr>
        <w:footnoteRef/>
      </w:r>
      <w:r w:rsidRPr="001D7609">
        <w:rPr>
          <w:sz w:val="20"/>
          <w:szCs w:val="20"/>
          <w:vertAlign w:val="baseline"/>
        </w:rPr>
        <w:t xml:space="preserve"> ‘India women killed in witch-hunt’ </w:t>
      </w:r>
      <w:r w:rsidRPr="001D7609">
        <w:rPr>
          <w:i/>
          <w:sz w:val="20"/>
          <w:szCs w:val="20"/>
          <w:vertAlign w:val="baseline"/>
        </w:rPr>
        <w:t xml:space="preserve">BBC </w:t>
      </w:r>
      <w:r w:rsidRPr="001D7609">
        <w:rPr>
          <w:sz w:val="20"/>
          <w:szCs w:val="20"/>
          <w:vertAlign w:val="baseline"/>
        </w:rPr>
        <w:t>News (London 27 October 2014)</w:t>
      </w:r>
    </w:p>
  </w:footnote>
  <w:footnote w:id="544">
    <w:p w14:paraId="261E5227" w14:textId="6B29D236" w:rsidR="00431A55" w:rsidRDefault="00431A55" w:rsidP="005F7752">
      <w:pPr>
        <w:pStyle w:val="FootnoteText"/>
      </w:pPr>
      <w:r w:rsidRPr="001D7609">
        <w:rPr>
          <w:rStyle w:val="FootnoteReference"/>
          <w:sz w:val="20"/>
          <w:szCs w:val="20"/>
        </w:rPr>
        <w:footnoteRef/>
      </w:r>
      <w:r w:rsidRPr="001D7609">
        <w:rPr>
          <w:sz w:val="20"/>
          <w:szCs w:val="20"/>
        </w:rPr>
        <w:t xml:space="preserve"> </w:t>
      </w:r>
      <w:r w:rsidRPr="001D7609">
        <w:rPr>
          <w:sz w:val="20"/>
          <w:szCs w:val="20"/>
          <w:vertAlign w:val="baseline"/>
        </w:rPr>
        <w:t xml:space="preserve">‘India villagers kill two for 'witchcraft' </w:t>
      </w:r>
      <w:r w:rsidRPr="001D7609">
        <w:rPr>
          <w:i/>
          <w:sz w:val="20"/>
          <w:szCs w:val="20"/>
          <w:vertAlign w:val="baseline"/>
        </w:rPr>
        <w:t>The Telegraph</w:t>
      </w:r>
      <w:r w:rsidRPr="001D7609">
        <w:rPr>
          <w:sz w:val="20"/>
          <w:szCs w:val="20"/>
          <w:vertAlign w:val="baseline"/>
        </w:rPr>
        <w:t xml:space="preserve"> (London 14 June 2014)</w:t>
      </w:r>
    </w:p>
  </w:footnote>
  <w:footnote w:id="545">
    <w:p w14:paraId="7442609E" w14:textId="77777777" w:rsidR="00431A55" w:rsidRPr="00666B4D" w:rsidRDefault="00431A55" w:rsidP="005F7752">
      <w:pPr>
        <w:pStyle w:val="FootnoteText"/>
        <w:rPr>
          <w:sz w:val="20"/>
          <w:szCs w:val="20"/>
          <w:vertAlign w:val="baseline"/>
        </w:rPr>
      </w:pPr>
      <w:r w:rsidRPr="00666B4D">
        <w:rPr>
          <w:rStyle w:val="FootnoteReference"/>
          <w:sz w:val="20"/>
          <w:szCs w:val="20"/>
        </w:rPr>
        <w:footnoteRef/>
      </w:r>
      <w:r w:rsidRPr="00666B4D">
        <w:rPr>
          <w:sz w:val="20"/>
          <w:szCs w:val="20"/>
          <w:vertAlign w:val="baseline"/>
        </w:rPr>
        <w:t xml:space="preserve"> National Crime Records Bureau, ‘Crime in India 2013 Compendium’ (</w:t>
      </w:r>
      <w:r w:rsidRPr="00666B4D">
        <w:rPr>
          <w:i/>
          <w:sz w:val="20"/>
          <w:szCs w:val="20"/>
          <w:vertAlign w:val="baseline"/>
        </w:rPr>
        <w:t>Ministry of Home Affairs,</w:t>
      </w:r>
      <w:r w:rsidRPr="00666B4D">
        <w:rPr>
          <w:sz w:val="20"/>
          <w:szCs w:val="20"/>
          <w:vertAlign w:val="baseline"/>
        </w:rPr>
        <w:t xml:space="preserve"> 16 June 2014) &lt;</w:t>
      </w:r>
      <w:hyperlink r:id="rId74" w:history="1">
        <w:r w:rsidRPr="00666B4D">
          <w:rPr>
            <w:rStyle w:val="Hyperlink"/>
            <w:sz w:val="20"/>
            <w:szCs w:val="20"/>
            <w:vertAlign w:val="baseline"/>
          </w:rPr>
          <w:t>http://ncrb.gov.in/CD-CII2013/compendium%202013.pdf</w:t>
        </w:r>
      </w:hyperlink>
      <w:r w:rsidRPr="00666B4D">
        <w:rPr>
          <w:sz w:val="20"/>
          <w:szCs w:val="20"/>
          <w:vertAlign w:val="baseline"/>
        </w:rPr>
        <w:t>&gt; accessed 6 November 2014</w:t>
      </w:r>
    </w:p>
  </w:footnote>
  <w:footnote w:id="546">
    <w:p w14:paraId="318189AB" w14:textId="663C4B6F" w:rsidR="00431A55" w:rsidRPr="00666B4D" w:rsidRDefault="00431A55" w:rsidP="005F7752">
      <w:pPr>
        <w:pStyle w:val="FootnoteText"/>
        <w:rPr>
          <w:sz w:val="20"/>
          <w:szCs w:val="20"/>
          <w:vertAlign w:val="baseline"/>
        </w:rPr>
      </w:pPr>
      <w:r w:rsidRPr="00666B4D">
        <w:rPr>
          <w:rStyle w:val="FootnoteReference"/>
          <w:sz w:val="20"/>
          <w:szCs w:val="20"/>
        </w:rPr>
        <w:footnoteRef/>
      </w:r>
      <w:r w:rsidRPr="00666B4D">
        <w:rPr>
          <w:sz w:val="20"/>
          <w:szCs w:val="20"/>
          <w:vertAlign w:val="baseline"/>
        </w:rPr>
        <w:t xml:space="preserve"> </w:t>
      </w:r>
      <w:r>
        <w:rPr>
          <w:sz w:val="20"/>
          <w:szCs w:val="20"/>
          <w:vertAlign w:val="baseline"/>
        </w:rPr>
        <w:t>ibid 56</w:t>
      </w:r>
    </w:p>
  </w:footnote>
  <w:footnote w:id="547">
    <w:p w14:paraId="518B3585" w14:textId="77777777" w:rsidR="00431A55" w:rsidRPr="00666B4D" w:rsidRDefault="00431A55" w:rsidP="005F7752">
      <w:pPr>
        <w:pStyle w:val="FootnoteText"/>
        <w:rPr>
          <w:sz w:val="20"/>
          <w:szCs w:val="20"/>
          <w:vertAlign w:val="baseline"/>
          <w:lang w:val="en-US"/>
        </w:rPr>
      </w:pPr>
      <w:r w:rsidRPr="00666B4D">
        <w:rPr>
          <w:rStyle w:val="FootnoteReference"/>
          <w:sz w:val="20"/>
          <w:szCs w:val="20"/>
        </w:rPr>
        <w:footnoteRef/>
      </w:r>
      <w:r w:rsidRPr="00666B4D">
        <w:rPr>
          <w:sz w:val="20"/>
          <w:szCs w:val="20"/>
        </w:rPr>
        <w:t xml:space="preserve"> </w:t>
      </w:r>
      <w:r w:rsidRPr="00666B4D">
        <w:rPr>
          <w:sz w:val="20"/>
          <w:szCs w:val="20"/>
          <w:vertAlign w:val="baseline"/>
          <w:lang w:val="en-US"/>
        </w:rPr>
        <w:t xml:space="preserve">Juan E. Mendez as quoted in ‘Not adverse to visits by UN Special Rapporteurs: India’ </w:t>
      </w:r>
      <w:r w:rsidRPr="00666B4D">
        <w:rPr>
          <w:i/>
          <w:sz w:val="20"/>
          <w:szCs w:val="20"/>
          <w:vertAlign w:val="baseline"/>
          <w:lang w:val="en-US"/>
        </w:rPr>
        <w:t xml:space="preserve">The Economic Times </w:t>
      </w:r>
      <w:r w:rsidRPr="00666B4D">
        <w:rPr>
          <w:sz w:val="20"/>
          <w:szCs w:val="20"/>
          <w:vertAlign w:val="baseline"/>
          <w:lang w:val="en-US"/>
        </w:rPr>
        <w:t>(India, 12 March 2015) &lt;</w:t>
      </w:r>
      <w:hyperlink r:id="rId75" w:history="1">
        <w:r w:rsidRPr="00666B4D">
          <w:rPr>
            <w:rStyle w:val="Hyperlink"/>
            <w:sz w:val="20"/>
            <w:szCs w:val="20"/>
            <w:vertAlign w:val="baseline"/>
            <w:lang w:val="en-US"/>
          </w:rPr>
          <w:t>http://articles.economictimes.indiatimes.com/2015-03-12/news/60047860_1_requests-india-human-rights-council</w:t>
        </w:r>
      </w:hyperlink>
      <w:r w:rsidRPr="00666B4D">
        <w:rPr>
          <w:sz w:val="20"/>
          <w:szCs w:val="20"/>
          <w:vertAlign w:val="baseline"/>
          <w:lang w:val="en-US"/>
        </w:rPr>
        <w:t>&gt; accessed 29 June 2015</w:t>
      </w:r>
    </w:p>
  </w:footnote>
  <w:footnote w:id="548">
    <w:p w14:paraId="64910555" w14:textId="77777777" w:rsidR="00431A55" w:rsidRPr="00666B4D" w:rsidRDefault="00431A55" w:rsidP="005F7752">
      <w:pPr>
        <w:jc w:val="both"/>
        <w:rPr>
          <w:rFonts w:cs="Times New Roman"/>
          <w:vertAlign w:val="baseline"/>
        </w:rPr>
      </w:pPr>
      <w:r w:rsidRPr="00666B4D">
        <w:rPr>
          <w:rStyle w:val="FootnoteReference"/>
        </w:rPr>
        <w:footnoteRef/>
      </w:r>
      <w:r w:rsidRPr="00666B4D">
        <w:t xml:space="preserve"> </w:t>
      </w:r>
      <w:r w:rsidRPr="00666B4D">
        <w:rPr>
          <w:vertAlign w:val="baseline"/>
        </w:rPr>
        <w:t>HRC, ‘</w:t>
      </w:r>
      <w:r w:rsidRPr="00666B4D">
        <w:rPr>
          <w:rFonts w:cs="Times New Roman"/>
          <w:vertAlign w:val="baseline"/>
        </w:rPr>
        <w:t>Report of the Special Rapporteur on violence against women, its causes and consequences, Rashida Manjoo: Mission to India’ 1 April 2014,</w:t>
      </w:r>
      <w:r w:rsidRPr="00666B4D">
        <w:rPr>
          <w:vertAlign w:val="baseline"/>
        </w:rPr>
        <w:t xml:space="preserve"> </w:t>
      </w:r>
      <w:r w:rsidRPr="00666B4D">
        <w:rPr>
          <w:rFonts w:cs="Times New Roman"/>
          <w:vertAlign w:val="baseline"/>
        </w:rPr>
        <w:t>A/HRC/26/38/Add.1</w:t>
      </w:r>
    </w:p>
  </w:footnote>
  <w:footnote w:id="549">
    <w:p w14:paraId="2A867BCD" w14:textId="1931EA15" w:rsidR="00431A55" w:rsidRPr="00C85FE4" w:rsidRDefault="00431A55" w:rsidP="005F7752">
      <w:pPr>
        <w:pStyle w:val="FootnoteText"/>
        <w:rPr>
          <w:lang w:val="en-US"/>
        </w:rPr>
      </w:pPr>
      <w:r w:rsidRPr="00666B4D">
        <w:rPr>
          <w:rStyle w:val="FootnoteReference"/>
          <w:sz w:val="20"/>
          <w:szCs w:val="20"/>
        </w:rPr>
        <w:footnoteRef/>
      </w:r>
      <w:r w:rsidRPr="00666B4D">
        <w:rPr>
          <w:sz w:val="20"/>
          <w:szCs w:val="20"/>
        </w:rPr>
        <w:t xml:space="preserve"> </w:t>
      </w:r>
      <w:r>
        <w:rPr>
          <w:sz w:val="20"/>
          <w:szCs w:val="20"/>
          <w:vertAlign w:val="baseline"/>
        </w:rPr>
        <w:t>ibid,</w:t>
      </w:r>
      <w:r w:rsidRPr="00666B4D">
        <w:rPr>
          <w:rFonts w:cs="Times New Roman"/>
          <w:sz w:val="20"/>
          <w:szCs w:val="20"/>
          <w:vertAlign w:val="baseline"/>
        </w:rPr>
        <w:t xml:space="preserve"> para 22</w:t>
      </w:r>
    </w:p>
  </w:footnote>
  <w:footnote w:id="550">
    <w:p w14:paraId="04482CDC" w14:textId="05B5C18C" w:rsidR="00431A55" w:rsidRPr="00703833" w:rsidRDefault="00431A55" w:rsidP="005F7752">
      <w:pPr>
        <w:pStyle w:val="FootnoteText"/>
        <w:rPr>
          <w:sz w:val="20"/>
          <w:szCs w:val="20"/>
          <w:vertAlign w:val="baseline"/>
          <w:lang w:val="en-US"/>
        </w:rPr>
      </w:pPr>
      <w:r w:rsidRPr="00703833">
        <w:rPr>
          <w:rStyle w:val="FootnoteReference"/>
          <w:sz w:val="20"/>
          <w:szCs w:val="20"/>
        </w:rPr>
        <w:footnoteRef/>
      </w:r>
      <w:r w:rsidRPr="00703833">
        <w:rPr>
          <w:sz w:val="20"/>
          <w:szCs w:val="20"/>
        </w:rPr>
        <w:t xml:space="preserve"> </w:t>
      </w:r>
      <w:r>
        <w:rPr>
          <w:sz w:val="20"/>
          <w:szCs w:val="20"/>
          <w:vertAlign w:val="baseline"/>
        </w:rPr>
        <w:t>ibid</w:t>
      </w:r>
    </w:p>
  </w:footnote>
  <w:footnote w:id="551">
    <w:p w14:paraId="5FEDAF0A" w14:textId="71235B3F" w:rsidR="00431A55" w:rsidRPr="00703833" w:rsidRDefault="00431A55" w:rsidP="005F7752">
      <w:pPr>
        <w:pStyle w:val="FootnoteText"/>
        <w:rPr>
          <w:sz w:val="20"/>
          <w:szCs w:val="20"/>
          <w:vertAlign w:val="baseline"/>
          <w:lang w:val="en-US"/>
        </w:rPr>
      </w:pPr>
      <w:r w:rsidRPr="00703833">
        <w:rPr>
          <w:rStyle w:val="FootnoteReference"/>
          <w:sz w:val="20"/>
          <w:szCs w:val="20"/>
        </w:rPr>
        <w:footnoteRef/>
      </w:r>
      <w:r>
        <w:rPr>
          <w:sz w:val="20"/>
          <w:szCs w:val="20"/>
          <w:vertAlign w:val="baseline"/>
        </w:rPr>
        <w:t xml:space="preserve"> ibid, </w:t>
      </w:r>
      <w:r w:rsidRPr="00703833">
        <w:rPr>
          <w:rFonts w:cs="Times New Roman"/>
          <w:sz w:val="20"/>
          <w:szCs w:val="20"/>
          <w:vertAlign w:val="baseline"/>
        </w:rPr>
        <w:t>para 7</w:t>
      </w:r>
    </w:p>
  </w:footnote>
  <w:footnote w:id="552">
    <w:p w14:paraId="3C60F889" w14:textId="17039151" w:rsidR="00431A55" w:rsidRPr="00703833" w:rsidRDefault="00431A55" w:rsidP="005F7752">
      <w:pPr>
        <w:pStyle w:val="FootnoteText"/>
        <w:rPr>
          <w:sz w:val="20"/>
          <w:szCs w:val="20"/>
          <w:vertAlign w:val="baseline"/>
          <w:lang w:val="en-US"/>
        </w:rPr>
      </w:pPr>
      <w:r w:rsidRPr="00703833">
        <w:rPr>
          <w:rStyle w:val="FootnoteReference"/>
          <w:sz w:val="20"/>
          <w:szCs w:val="20"/>
        </w:rPr>
        <w:footnoteRef/>
      </w:r>
      <w:r w:rsidRPr="00703833">
        <w:rPr>
          <w:sz w:val="20"/>
          <w:szCs w:val="20"/>
          <w:vertAlign w:val="baseline"/>
        </w:rPr>
        <w:t xml:space="preserve"> </w:t>
      </w:r>
      <w:r>
        <w:rPr>
          <w:sz w:val="20"/>
          <w:szCs w:val="20"/>
          <w:vertAlign w:val="baseline"/>
        </w:rPr>
        <w:t>ibid,</w:t>
      </w:r>
      <w:r w:rsidRPr="00703833">
        <w:rPr>
          <w:rFonts w:cs="Times New Roman"/>
          <w:sz w:val="20"/>
          <w:szCs w:val="20"/>
          <w:vertAlign w:val="baseline"/>
        </w:rPr>
        <w:t xml:space="preserve"> para 80</w:t>
      </w:r>
    </w:p>
  </w:footnote>
  <w:footnote w:id="553">
    <w:p w14:paraId="6F2B7ACE" w14:textId="04ED10F1" w:rsidR="00431A55" w:rsidRPr="00703833" w:rsidRDefault="00431A55" w:rsidP="005F7752">
      <w:pPr>
        <w:pStyle w:val="FootnoteText"/>
        <w:rPr>
          <w:sz w:val="20"/>
          <w:szCs w:val="20"/>
          <w:vertAlign w:val="baseline"/>
          <w:lang w:val="en-US"/>
        </w:rPr>
      </w:pPr>
      <w:r w:rsidRPr="00703833">
        <w:rPr>
          <w:rStyle w:val="FootnoteReference"/>
          <w:sz w:val="20"/>
          <w:szCs w:val="20"/>
        </w:rPr>
        <w:footnoteRef/>
      </w:r>
      <w:r w:rsidRPr="00703833">
        <w:rPr>
          <w:sz w:val="20"/>
          <w:szCs w:val="20"/>
          <w:vertAlign w:val="baseline"/>
        </w:rPr>
        <w:t xml:space="preserve"> </w:t>
      </w:r>
      <w:r>
        <w:rPr>
          <w:sz w:val="20"/>
          <w:szCs w:val="20"/>
          <w:vertAlign w:val="baseline"/>
        </w:rPr>
        <w:t>ibid,</w:t>
      </w:r>
      <w:r w:rsidRPr="00703833">
        <w:rPr>
          <w:rFonts w:cs="Times New Roman"/>
          <w:sz w:val="20"/>
          <w:szCs w:val="20"/>
          <w:vertAlign w:val="baseline"/>
        </w:rPr>
        <w:t xml:space="preserve"> para 80 (a)</w:t>
      </w:r>
    </w:p>
  </w:footnote>
  <w:footnote w:id="554">
    <w:p w14:paraId="72132546" w14:textId="0B5FF6A3" w:rsidR="00431A55" w:rsidRPr="00703833" w:rsidRDefault="00431A55" w:rsidP="005F7752">
      <w:pPr>
        <w:pStyle w:val="FootnoteText"/>
        <w:rPr>
          <w:sz w:val="20"/>
          <w:szCs w:val="20"/>
          <w:vertAlign w:val="baseline"/>
          <w:lang w:val="en-US"/>
        </w:rPr>
      </w:pPr>
      <w:r w:rsidRPr="00703833">
        <w:rPr>
          <w:rStyle w:val="FootnoteReference"/>
          <w:sz w:val="20"/>
          <w:szCs w:val="20"/>
        </w:rPr>
        <w:footnoteRef/>
      </w:r>
      <w:r w:rsidRPr="00703833">
        <w:rPr>
          <w:sz w:val="20"/>
          <w:szCs w:val="20"/>
          <w:vertAlign w:val="baseline"/>
        </w:rPr>
        <w:t xml:space="preserve"> </w:t>
      </w:r>
      <w:r>
        <w:rPr>
          <w:sz w:val="20"/>
          <w:szCs w:val="20"/>
          <w:vertAlign w:val="baseline"/>
        </w:rPr>
        <w:t>ibid,</w:t>
      </w:r>
      <w:r w:rsidRPr="00703833">
        <w:rPr>
          <w:rFonts w:cs="Times New Roman"/>
          <w:sz w:val="20"/>
          <w:szCs w:val="20"/>
          <w:vertAlign w:val="baseline"/>
        </w:rPr>
        <w:t xml:space="preserve"> para 80 (b)</w:t>
      </w:r>
    </w:p>
  </w:footnote>
  <w:footnote w:id="555">
    <w:p w14:paraId="6389D2C2" w14:textId="49FB6DC0" w:rsidR="00431A55" w:rsidRPr="00703833" w:rsidRDefault="00431A55" w:rsidP="005F7752">
      <w:pPr>
        <w:pStyle w:val="FootnoteText"/>
        <w:rPr>
          <w:sz w:val="20"/>
          <w:szCs w:val="20"/>
          <w:vertAlign w:val="baseline"/>
          <w:lang w:val="en-US"/>
        </w:rPr>
      </w:pPr>
      <w:r w:rsidRPr="00703833">
        <w:rPr>
          <w:rStyle w:val="FootnoteReference"/>
          <w:sz w:val="20"/>
          <w:szCs w:val="20"/>
        </w:rPr>
        <w:footnoteRef/>
      </w:r>
      <w:r w:rsidRPr="00703833">
        <w:rPr>
          <w:sz w:val="20"/>
          <w:szCs w:val="20"/>
          <w:vertAlign w:val="baseline"/>
        </w:rPr>
        <w:t xml:space="preserve"> </w:t>
      </w:r>
      <w:r>
        <w:rPr>
          <w:sz w:val="20"/>
          <w:szCs w:val="20"/>
          <w:vertAlign w:val="baseline"/>
        </w:rPr>
        <w:t>ibid,</w:t>
      </w:r>
      <w:r w:rsidRPr="00703833">
        <w:rPr>
          <w:rFonts w:cs="Times New Roman"/>
          <w:sz w:val="20"/>
          <w:szCs w:val="20"/>
          <w:vertAlign w:val="baseline"/>
        </w:rPr>
        <w:t xml:space="preserve"> para 80 (c)</w:t>
      </w:r>
    </w:p>
  </w:footnote>
  <w:footnote w:id="556">
    <w:p w14:paraId="39673EB5" w14:textId="4C43512F" w:rsidR="00431A55" w:rsidRPr="00B14C2C" w:rsidRDefault="00431A55" w:rsidP="005F7752">
      <w:pPr>
        <w:pStyle w:val="FootnoteText"/>
        <w:rPr>
          <w:lang w:val="en-US"/>
        </w:rPr>
      </w:pPr>
      <w:r w:rsidRPr="00703833">
        <w:rPr>
          <w:rStyle w:val="FootnoteReference"/>
          <w:sz w:val="20"/>
          <w:szCs w:val="20"/>
        </w:rPr>
        <w:footnoteRef/>
      </w:r>
      <w:r>
        <w:rPr>
          <w:sz w:val="20"/>
          <w:szCs w:val="20"/>
          <w:vertAlign w:val="baseline"/>
        </w:rPr>
        <w:t xml:space="preserve"> ibid, </w:t>
      </w:r>
      <w:r w:rsidRPr="00703833">
        <w:rPr>
          <w:rFonts w:cs="Times New Roman"/>
          <w:sz w:val="20"/>
          <w:szCs w:val="20"/>
          <w:vertAlign w:val="baseline"/>
        </w:rPr>
        <w:t>para 80 (d)</w:t>
      </w:r>
    </w:p>
  </w:footnote>
  <w:footnote w:id="557">
    <w:p w14:paraId="48DD849D" w14:textId="77777777" w:rsidR="00431A55" w:rsidRPr="001656F9" w:rsidRDefault="00431A55" w:rsidP="005F7752">
      <w:pPr>
        <w:pStyle w:val="FootnoteText"/>
        <w:rPr>
          <w:sz w:val="20"/>
          <w:szCs w:val="20"/>
          <w:vertAlign w:val="baseline"/>
          <w:lang w:val="en-US"/>
        </w:rPr>
      </w:pPr>
      <w:r w:rsidRPr="001656F9">
        <w:rPr>
          <w:rStyle w:val="FootnoteReference"/>
          <w:sz w:val="20"/>
          <w:szCs w:val="20"/>
        </w:rPr>
        <w:footnoteRef/>
      </w:r>
      <w:r w:rsidRPr="001656F9">
        <w:rPr>
          <w:sz w:val="20"/>
          <w:szCs w:val="20"/>
        </w:rPr>
        <w:t xml:space="preserve"> </w:t>
      </w:r>
      <w:r w:rsidRPr="001656F9">
        <w:rPr>
          <w:sz w:val="20"/>
          <w:szCs w:val="20"/>
          <w:vertAlign w:val="baseline"/>
        </w:rPr>
        <w:t>HRC, ‘</w:t>
      </w:r>
      <w:r w:rsidRPr="001656F9">
        <w:rPr>
          <w:rFonts w:cs="Times New Roman"/>
          <w:sz w:val="20"/>
          <w:szCs w:val="20"/>
          <w:vertAlign w:val="baseline"/>
        </w:rPr>
        <w:t>Report of the Special Rapporteur on violence against women, its causes and consequences, Rashida Manjoo: Mission to India: comments by the State on the report of the Special Rapporteur’ 6 June 2014, A/HRC/26/38/Add.4</w:t>
      </w:r>
    </w:p>
  </w:footnote>
  <w:footnote w:id="558">
    <w:p w14:paraId="75355339" w14:textId="77777777" w:rsidR="00431A55" w:rsidRPr="001656F9" w:rsidRDefault="00431A55" w:rsidP="005F7752">
      <w:pPr>
        <w:pStyle w:val="FootnoteText"/>
        <w:rPr>
          <w:sz w:val="20"/>
          <w:szCs w:val="20"/>
          <w:vertAlign w:val="baseline"/>
          <w:lang w:val="en-US"/>
        </w:rPr>
      </w:pPr>
      <w:r w:rsidRPr="001656F9">
        <w:rPr>
          <w:rStyle w:val="FootnoteReference"/>
          <w:sz w:val="20"/>
          <w:szCs w:val="20"/>
        </w:rPr>
        <w:footnoteRef/>
      </w:r>
      <w:r w:rsidRPr="001656F9">
        <w:rPr>
          <w:sz w:val="20"/>
          <w:szCs w:val="20"/>
          <w:vertAlign w:val="baseline"/>
        </w:rPr>
        <w:t xml:space="preserve"> HRC, ‘</w:t>
      </w:r>
      <w:r w:rsidRPr="001656F9">
        <w:rPr>
          <w:rFonts w:cs="Times New Roman"/>
          <w:sz w:val="20"/>
          <w:szCs w:val="20"/>
          <w:vertAlign w:val="baseline"/>
        </w:rPr>
        <w:t>Report of the Special Rapporteur on violence against women, its causes and consequences, Rashida Manjoo: Mission to India: comments by the State on the report of the Special Rapporteur’ 6 June 2014, A/HRC/26/38/Add.4, para 3</w:t>
      </w:r>
    </w:p>
  </w:footnote>
  <w:footnote w:id="559">
    <w:p w14:paraId="19C6A9E5" w14:textId="58D2B666" w:rsidR="00431A55" w:rsidRPr="001656F9" w:rsidRDefault="00431A55" w:rsidP="005F7752">
      <w:pPr>
        <w:pStyle w:val="FootnoteText"/>
        <w:rPr>
          <w:sz w:val="20"/>
          <w:szCs w:val="20"/>
          <w:vertAlign w:val="baseline"/>
          <w:lang w:val="en-US"/>
        </w:rPr>
      </w:pPr>
      <w:r w:rsidRPr="001656F9">
        <w:rPr>
          <w:rStyle w:val="FootnoteReference"/>
          <w:sz w:val="20"/>
          <w:szCs w:val="20"/>
        </w:rPr>
        <w:footnoteRef/>
      </w:r>
      <w:r w:rsidRPr="001656F9">
        <w:rPr>
          <w:sz w:val="20"/>
          <w:szCs w:val="20"/>
          <w:vertAlign w:val="baseline"/>
        </w:rPr>
        <w:t xml:space="preserve"> HRC, ‘</w:t>
      </w:r>
      <w:r w:rsidRPr="001656F9">
        <w:rPr>
          <w:rFonts w:cs="Times New Roman"/>
          <w:sz w:val="20"/>
          <w:szCs w:val="20"/>
          <w:vertAlign w:val="baseline"/>
        </w:rPr>
        <w:t>Rashida Manjoo:</w:t>
      </w:r>
      <w:r>
        <w:rPr>
          <w:rFonts w:cs="Times New Roman"/>
          <w:sz w:val="20"/>
          <w:szCs w:val="20"/>
          <w:vertAlign w:val="baseline"/>
        </w:rPr>
        <w:t xml:space="preserve"> Mission to India’ 1 April 2014 (n 557)</w:t>
      </w:r>
      <w:r w:rsidRPr="001656F9">
        <w:rPr>
          <w:rFonts w:cs="Times New Roman"/>
          <w:sz w:val="20"/>
          <w:szCs w:val="20"/>
          <w:vertAlign w:val="baseline"/>
        </w:rPr>
        <w:t xml:space="preserve"> para 22</w:t>
      </w:r>
    </w:p>
  </w:footnote>
  <w:footnote w:id="560">
    <w:p w14:paraId="75707727" w14:textId="3CD479BD" w:rsidR="00431A55" w:rsidRPr="001656F9" w:rsidRDefault="00431A55" w:rsidP="005F7752">
      <w:pPr>
        <w:pStyle w:val="FootnoteText"/>
        <w:rPr>
          <w:sz w:val="20"/>
          <w:szCs w:val="20"/>
          <w:vertAlign w:val="baseline"/>
          <w:lang w:val="en-US"/>
        </w:rPr>
      </w:pPr>
      <w:r w:rsidRPr="001656F9">
        <w:rPr>
          <w:rStyle w:val="FootnoteReference"/>
          <w:sz w:val="20"/>
          <w:szCs w:val="20"/>
        </w:rPr>
        <w:footnoteRef/>
      </w:r>
      <w:r w:rsidRPr="001656F9">
        <w:rPr>
          <w:sz w:val="20"/>
          <w:szCs w:val="20"/>
          <w:vertAlign w:val="baseline"/>
        </w:rPr>
        <w:t xml:space="preserve"> HRC, ‘</w:t>
      </w:r>
      <w:r w:rsidRPr="001656F9">
        <w:rPr>
          <w:rFonts w:cs="Times New Roman"/>
          <w:sz w:val="20"/>
          <w:szCs w:val="20"/>
          <w:vertAlign w:val="baseline"/>
        </w:rPr>
        <w:t>Rashida Manjoo: Mission to Indi</w:t>
      </w:r>
      <w:r>
        <w:rPr>
          <w:rFonts w:cs="Times New Roman"/>
          <w:sz w:val="20"/>
          <w:szCs w:val="20"/>
          <w:vertAlign w:val="baseline"/>
        </w:rPr>
        <w:t>a: comments by the State</w:t>
      </w:r>
      <w:r w:rsidRPr="001656F9">
        <w:rPr>
          <w:rFonts w:cs="Times New Roman"/>
          <w:sz w:val="20"/>
          <w:szCs w:val="20"/>
          <w:vertAlign w:val="baseline"/>
        </w:rPr>
        <w:t xml:space="preserve">’ </w:t>
      </w:r>
      <w:r>
        <w:rPr>
          <w:rFonts w:cs="Times New Roman"/>
          <w:sz w:val="20"/>
          <w:szCs w:val="20"/>
          <w:vertAlign w:val="baseline"/>
        </w:rPr>
        <w:t xml:space="preserve">6 June 2014 (n 558) </w:t>
      </w:r>
      <w:r w:rsidRPr="001656F9">
        <w:rPr>
          <w:rFonts w:cs="Times New Roman"/>
          <w:sz w:val="20"/>
          <w:szCs w:val="20"/>
          <w:vertAlign w:val="baseline"/>
        </w:rPr>
        <w:t>para 6</w:t>
      </w:r>
    </w:p>
  </w:footnote>
  <w:footnote w:id="561">
    <w:p w14:paraId="7697FF83" w14:textId="77777777" w:rsidR="00431A55" w:rsidRPr="006847DD" w:rsidRDefault="00431A55" w:rsidP="005F7752">
      <w:pPr>
        <w:pStyle w:val="FootnoteText"/>
        <w:rPr>
          <w:lang w:val="en-US"/>
        </w:rPr>
      </w:pPr>
      <w:r w:rsidRPr="001656F9">
        <w:rPr>
          <w:rStyle w:val="FootnoteReference"/>
          <w:sz w:val="20"/>
          <w:szCs w:val="20"/>
        </w:rPr>
        <w:footnoteRef/>
      </w:r>
      <w:r w:rsidRPr="001656F9">
        <w:rPr>
          <w:sz w:val="20"/>
          <w:szCs w:val="20"/>
          <w:vertAlign w:val="baseline"/>
        </w:rPr>
        <w:t xml:space="preserve"> HRC, ‘</w:t>
      </w:r>
      <w:r w:rsidRPr="001656F9">
        <w:rPr>
          <w:rFonts w:eastAsia="Times New Roman" w:cs="Times New Roman"/>
          <w:sz w:val="20"/>
          <w:szCs w:val="20"/>
          <w:vertAlign w:val="baseline"/>
        </w:rPr>
        <w:t>Report of the Special Rapporteur on extrajudicial, summary or arbitrary executions, Christof Heyns: Mission to India’ 26 April 2013, A/HRC/23/47/Add.1</w:t>
      </w:r>
    </w:p>
  </w:footnote>
  <w:footnote w:id="562">
    <w:p w14:paraId="4032379B" w14:textId="2835B9ED" w:rsidR="00431A55" w:rsidRPr="00E45F63" w:rsidRDefault="00431A55" w:rsidP="005F7752">
      <w:pPr>
        <w:pStyle w:val="FootnoteText"/>
        <w:rPr>
          <w:sz w:val="20"/>
          <w:szCs w:val="20"/>
          <w:vertAlign w:val="baseline"/>
          <w:lang w:val="en-US"/>
        </w:rPr>
      </w:pPr>
      <w:r w:rsidRPr="00E45F63">
        <w:rPr>
          <w:rStyle w:val="FootnoteReference"/>
          <w:sz w:val="20"/>
          <w:szCs w:val="20"/>
        </w:rPr>
        <w:footnoteRef/>
      </w:r>
      <w:r w:rsidRPr="00E45F63">
        <w:rPr>
          <w:sz w:val="20"/>
          <w:szCs w:val="20"/>
          <w:vertAlign w:val="baseline"/>
        </w:rPr>
        <w:t xml:space="preserve"> </w:t>
      </w:r>
      <w:r>
        <w:rPr>
          <w:sz w:val="20"/>
          <w:szCs w:val="20"/>
          <w:vertAlign w:val="baseline"/>
        </w:rPr>
        <w:t>ibid</w:t>
      </w:r>
    </w:p>
  </w:footnote>
  <w:footnote w:id="563">
    <w:p w14:paraId="618C0841" w14:textId="6988130F" w:rsidR="00431A55" w:rsidRPr="00E45F63" w:rsidRDefault="00431A55" w:rsidP="005F7752">
      <w:pPr>
        <w:pStyle w:val="FootnoteText"/>
        <w:rPr>
          <w:sz w:val="20"/>
          <w:szCs w:val="20"/>
          <w:vertAlign w:val="baseline"/>
          <w:lang w:val="en-US"/>
        </w:rPr>
      </w:pPr>
      <w:r w:rsidRPr="00E45F63">
        <w:rPr>
          <w:rStyle w:val="FootnoteReference"/>
          <w:sz w:val="20"/>
          <w:szCs w:val="20"/>
        </w:rPr>
        <w:footnoteRef/>
      </w:r>
      <w:r w:rsidRPr="00E45F63">
        <w:rPr>
          <w:sz w:val="20"/>
          <w:szCs w:val="20"/>
          <w:vertAlign w:val="baseline"/>
        </w:rPr>
        <w:t xml:space="preserve"> </w:t>
      </w:r>
      <w:r>
        <w:rPr>
          <w:sz w:val="20"/>
          <w:szCs w:val="20"/>
          <w:vertAlign w:val="baseline"/>
        </w:rPr>
        <w:t>ibid</w:t>
      </w:r>
      <w:r w:rsidRPr="00E45F63">
        <w:rPr>
          <w:rFonts w:eastAsia="Times New Roman" w:cs="Times New Roman"/>
          <w:sz w:val="20"/>
          <w:szCs w:val="20"/>
          <w:vertAlign w:val="baseline"/>
        </w:rPr>
        <w:t>, section 3</w:t>
      </w:r>
    </w:p>
  </w:footnote>
  <w:footnote w:id="564">
    <w:p w14:paraId="54258260" w14:textId="77C359C1" w:rsidR="00431A55" w:rsidRPr="00E45F63" w:rsidRDefault="00431A55" w:rsidP="005F7752">
      <w:pPr>
        <w:pStyle w:val="FootnoteText"/>
        <w:rPr>
          <w:sz w:val="20"/>
          <w:szCs w:val="20"/>
          <w:vertAlign w:val="baseline"/>
          <w:lang w:val="en-US"/>
        </w:rPr>
      </w:pPr>
      <w:r w:rsidRPr="00E45F63">
        <w:rPr>
          <w:rStyle w:val="FootnoteReference"/>
          <w:sz w:val="20"/>
          <w:szCs w:val="20"/>
        </w:rPr>
        <w:footnoteRef/>
      </w:r>
      <w:r>
        <w:rPr>
          <w:sz w:val="20"/>
          <w:szCs w:val="20"/>
          <w:vertAlign w:val="baseline"/>
        </w:rPr>
        <w:t xml:space="preserve"> ibid, </w:t>
      </w:r>
      <w:r w:rsidRPr="00E45F63">
        <w:rPr>
          <w:rFonts w:eastAsia="Times New Roman" w:cs="Times New Roman"/>
          <w:sz w:val="20"/>
          <w:szCs w:val="20"/>
          <w:vertAlign w:val="baseline"/>
        </w:rPr>
        <w:t>para 61</w:t>
      </w:r>
    </w:p>
  </w:footnote>
  <w:footnote w:id="565">
    <w:p w14:paraId="3E0771C5" w14:textId="56DF7B4C" w:rsidR="00431A55" w:rsidRPr="00E45F63" w:rsidRDefault="00431A55" w:rsidP="005F7752">
      <w:pPr>
        <w:pStyle w:val="FootnoteText"/>
        <w:rPr>
          <w:sz w:val="20"/>
          <w:szCs w:val="20"/>
          <w:vertAlign w:val="baseline"/>
          <w:lang w:val="en-US"/>
        </w:rPr>
      </w:pPr>
      <w:r w:rsidRPr="00E45F63">
        <w:rPr>
          <w:rStyle w:val="FootnoteReference"/>
          <w:sz w:val="20"/>
          <w:szCs w:val="20"/>
        </w:rPr>
        <w:footnoteRef/>
      </w:r>
      <w:r w:rsidRPr="00E45F63">
        <w:rPr>
          <w:sz w:val="20"/>
          <w:szCs w:val="20"/>
          <w:vertAlign w:val="baseline"/>
        </w:rPr>
        <w:t xml:space="preserve"> </w:t>
      </w:r>
      <w:r>
        <w:rPr>
          <w:sz w:val="20"/>
          <w:szCs w:val="20"/>
          <w:vertAlign w:val="baseline"/>
        </w:rPr>
        <w:t>ibid</w:t>
      </w:r>
      <w:r w:rsidRPr="00E45F63">
        <w:rPr>
          <w:rFonts w:eastAsia="Times New Roman" w:cs="Times New Roman"/>
          <w:sz w:val="20"/>
          <w:szCs w:val="20"/>
          <w:vertAlign w:val="baseline"/>
        </w:rPr>
        <w:t>, para 62</w:t>
      </w:r>
    </w:p>
  </w:footnote>
  <w:footnote w:id="566">
    <w:p w14:paraId="3EA464B0" w14:textId="77777777" w:rsidR="00431A55" w:rsidRPr="00E45F63" w:rsidRDefault="00431A55" w:rsidP="005F7752">
      <w:pPr>
        <w:pStyle w:val="FootnoteText"/>
        <w:rPr>
          <w:sz w:val="20"/>
          <w:szCs w:val="20"/>
          <w:vertAlign w:val="baseline"/>
          <w:lang w:val="en-US"/>
        </w:rPr>
      </w:pPr>
      <w:r w:rsidRPr="00E45F63">
        <w:rPr>
          <w:rStyle w:val="FootnoteReference"/>
          <w:sz w:val="20"/>
          <w:szCs w:val="20"/>
        </w:rPr>
        <w:footnoteRef/>
      </w:r>
      <w:r w:rsidRPr="00E45F63">
        <w:rPr>
          <w:sz w:val="20"/>
          <w:szCs w:val="20"/>
          <w:vertAlign w:val="baseline"/>
        </w:rPr>
        <w:t xml:space="preserve"> </w:t>
      </w:r>
      <w:r w:rsidRPr="00E45F63">
        <w:rPr>
          <w:sz w:val="20"/>
          <w:szCs w:val="20"/>
          <w:vertAlign w:val="baseline"/>
          <w:lang w:val="en-US"/>
        </w:rPr>
        <w:t>HRC, ‘</w:t>
      </w:r>
      <w:r w:rsidRPr="00E45F63">
        <w:rPr>
          <w:rFonts w:eastAsia="Times New Roman" w:cs="Times New Roman"/>
          <w:sz w:val="20"/>
          <w:szCs w:val="20"/>
          <w:vertAlign w:val="baseline"/>
        </w:rPr>
        <w:t>Report of the Special Rapporteur on extrajudicial, summary or arbitrary executions, Christof Heyns: Mission to India: comments by the State on the report of the Special rapporteur’ 27 May 2013, A/HRC/23/47, Add.7</w:t>
      </w:r>
    </w:p>
  </w:footnote>
  <w:footnote w:id="567">
    <w:p w14:paraId="43B790C6" w14:textId="7BC8088D" w:rsidR="00431A55" w:rsidRPr="00E45F63" w:rsidRDefault="00431A55" w:rsidP="005F7752">
      <w:pPr>
        <w:pStyle w:val="FootnoteText"/>
        <w:rPr>
          <w:sz w:val="20"/>
          <w:szCs w:val="20"/>
          <w:vertAlign w:val="baseline"/>
          <w:lang w:val="en-US"/>
        </w:rPr>
      </w:pPr>
      <w:r w:rsidRPr="00E45F63">
        <w:rPr>
          <w:rStyle w:val="FootnoteReference"/>
          <w:sz w:val="20"/>
          <w:szCs w:val="20"/>
        </w:rPr>
        <w:footnoteRef/>
      </w:r>
      <w:r w:rsidRPr="00E45F63">
        <w:rPr>
          <w:sz w:val="20"/>
          <w:szCs w:val="20"/>
          <w:vertAlign w:val="baseline"/>
        </w:rPr>
        <w:t xml:space="preserve"> HRC, ‘</w:t>
      </w:r>
      <w:r w:rsidRPr="00E45F63">
        <w:rPr>
          <w:rFonts w:eastAsia="Times New Roman" w:cs="Times New Roman"/>
          <w:sz w:val="20"/>
          <w:szCs w:val="20"/>
          <w:vertAlign w:val="baseline"/>
        </w:rPr>
        <w:t xml:space="preserve">Christof Heyns: Mission to India’ </w:t>
      </w:r>
      <w:r>
        <w:rPr>
          <w:rFonts w:eastAsia="Times New Roman" w:cs="Times New Roman"/>
          <w:sz w:val="20"/>
          <w:szCs w:val="20"/>
          <w:vertAlign w:val="baseline"/>
        </w:rPr>
        <w:t>26 April 2013 (n 561)</w:t>
      </w:r>
      <w:r w:rsidRPr="00E45F63">
        <w:rPr>
          <w:rFonts w:eastAsia="Times New Roman" w:cs="Times New Roman"/>
          <w:sz w:val="20"/>
          <w:szCs w:val="20"/>
          <w:vertAlign w:val="baseline"/>
        </w:rPr>
        <w:t xml:space="preserve"> para 63</w:t>
      </w:r>
    </w:p>
  </w:footnote>
  <w:footnote w:id="568">
    <w:p w14:paraId="7439D7CA" w14:textId="795C7AA8" w:rsidR="00431A55" w:rsidRPr="00DD554A" w:rsidRDefault="00431A55" w:rsidP="005F7752">
      <w:pPr>
        <w:pStyle w:val="FootnoteText"/>
        <w:rPr>
          <w:lang w:val="en-US"/>
        </w:rPr>
      </w:pPr>
      <w:r w:rsidRPr="00E45F63">
        <w:rPr>
          <w:rStyle w:val="FootnoteReference"/>
          <w:sz w:val="20"/>
          <w:szCs w:val="20"/>
        </w:rPr>
        <w:footnoteRef/>
      </w:r>
      <w:r w:rsidRPr="00E45F63">
        <w:rPr>
          <w:sz w:val="20"/>
          <w:szCs w:val="20"/>
          <w:vertAlign w:val="baseline"/>
        </w:rPr>
        <w:t xml:space="preserve"> </w:t>
      </w:r>
      <w:r>
        <w:rPr>
          <w:sz w:val="20"/>
          <w:szCs w:val="20"/>
          <w:vertAlign w:val="baseline"/>
        </w:rPr>
        <w:t>ibid,</w:t>
      </w:r>
      <w:r w:rsidRPr="00E45F63">
        <w:rPr>
          <w:rFonts w:eastAsia="Times New Roman" w:cs="Times New Roman"/>
          <w:sz w:val="20"/>
          <w:szCs w:val="20"/>
          <w:vertAlign w:val="baseline"/>
        </w:rPr>
        <w:t xml:space="preserve"> para 62</w:t>
      </w:r>
    </w:p>
  </w:footnote>
  <w:footnote w:id="569">
    <w:p w14:paraId="6A1854BF" w14:textId="37FE0659" w:rsidR="00431A55" w:rsidRPr="00580FD7" w:rsidRDefault="00431A55" w:rsidP="005F7752">
      <w:pPr>
        <w:pStyle w:val="FootnoteText"/>
        <w:rPr>
          <w:sz w:val="20"/>
          <w:szCs w:val="20"/>
          <w:vertAlign w:val="baseline"/>
          <w:lang w:val="en-US"/>
        </w:rPr>
      </w:pPr>
      <w:r w:rsidRPr="00580FD7">
        <w:rPr>
          <w:rStyle w:val="FootnoteReference"/>
          <w:sz w:val="20"/>
          <w:szCs w:val="20"/>
        </w:rPr>
        <w:footnoteRef/>
      </w:r>
      <w:r w:rsidRPr="00580FD7">
        <w:rPr>
          <w:sz w:val="20"/>
          <w:szCs w:val="20"/>
          <w:vertAlign w:val="baseline"/>
        </w:rPr>
        <w:t xml:space="preserve"> </w:t>
      </w:r>
      <w:r>
        <w:rPr>
          <w:sz w:val="20"/>
          <w:szCs w:val="20"/>
          <w:vertAlign w:val="baseline"/>
        </w:rPr>
        <w:t>ibid</w:t>
      </w:r>
      <w:r w:rsidRPr="00580FD7">
        <w:rPr>
          <w:rFonts w:eastAsia="Times New Roman" w:cs="Times New Roman"/>
          <w:sz w:val="20"/>
          <w:szCs w:val="20"/>
          <w:vertAlign w:val="baseline"/>
        </w:rPr>
        <w:t>, para 78</w:t>
      </w:r>
    </w:p>
  </w:footnote>
  <w:footnote w:id="570">
    <w:p w14:paraId="427800AC" w14:textId="50DCB810" w:rsidR="00431A55" w:rsidRPr="00580FD7" w:rsidRDefault="00431A55" w:rsidP="005F7752">
      <w:pPr>
        <w:pStyle w:val="FootnoteText"/>
        <w:rPr>
          <w:sz w:val="20"/>
          <w:szCs w:val="20"/>
          <w:vertAlign w:val="baseline"/>
          <w:lang w:val="en-US"/>
        </w:rPr>
      </w:pPr>
      <w:r w:rsidRPr="00580FD7">
        <w:rPr>
          <w:rStyle w:val="FootnoteReference"/>
          <w:sz w:val="20"/>
          <w:szCs w:val="20"/>
        </w:rPr>
        <w:footnoteRef/>
      </w:r>
      <w:r w:rsidRPr="00580FD7">
        <w:rPr>
          <w:sz w:val="20"/>
          <w:szCs w:val="20"/>
          <w:vertAlign w:val="baseline"/>
        </w:rPr>
        <w:t xml:space="preserve"> </w:t>
      </w:r>
      <w:r>
        <w:rPr>
          <w:sz w:val="20"/>
          <w:szCs w:val="20"/>
          <w:vertAlign w:val="baseline"/>
        </w:rPr>
        <w:t>ibid</w:t>
      </w:r>
      <w:r w:rsidRPr="00580FD7">
        <w:rPr>
          <w:rFonts w:eastAsia="Times New Roman" w:cs="Times New Roman"/>
          <w:sz w:val="20"/>
          <w:szCs w:val="20"/>
          <w:vertAlign w:val="baseline"/>
        </w:rPr>
        <w:t>, para 118</w:t>
      </w:r>
    </w:p>
  </w:footnote>
  <w:footnote w:id="571">
    <w:p w14:paraId="10BEA5CC" w14:textId="6C031547" w:rsidR="00431A55" w:rsidRPr="00580FD7" w:rsidRDefault="00431A55" w:rsidP="005F7752">
      <w:pPr>
        <w:pStyle w:val="FootnoteText"/>
        <w:rPr>
          <w:sz w:val="20"/>
          <w:szCs w:val="20"/>
          <w:vertAlign w:val="baseline"/>
          <w:lang w:val="en-US"/>
        </w:rPr>
      </w:pPr>
      <w:r w:rsidRPr="00580FD7">
        <w:rPr>
          <w:rStyle w:val="FootnoteReference"/>
          <w:sz w:val="20"/>
          <w:szCs w:val="20"/>
        </w:rPr>
        <w:footnoteRef/>
      </w:r>
      <w:r w:rsidRPr="00580FD7">
        <w:rPr>
          <w:sz w:val="20"/>
          <w:szCs w:val="20"/>
          <w:vertAlign w:val="baseline"/>
        </w:rPr>
        <w:t xml:space="preserve"> </w:t>
      </w:r>
      <w:r>
        <w:rPr>
          <w:sz w:val="20"/>
          <w:szCs w:val="20"/>
          <w:vertAlign w:val="baseline"/>
        </w:rPr>
        <w:t>ibid</w:t>
      </w:r>
      <w:r w:rsidRPr="00580FD7">
        <w:rPr>
          <w:rFonts w:eastAsia="Times New Roman" w:cs="Times New Roman"/>
          <w:sz w:val="20"/>
          <w:szCs w:val="20"/>
          <w:vertAlign w:val="baseline"/>
        </w:rPr>
        <w:t>, para 91</w:t>
      </w:r>
    </w:p>
  </w:footnote>
  <w:footnote w:id="572">
    <w:p w14:paraId="7CEB3861" w14:textId="329A76F9" w:rsidR="00431A55" w:rsidRPr="00580FD7" w:rsidRDefault="00431A55" w:rsidP="005F7752">
      <w:pPr>
        <w:pStyle w:val="FootnoteText"/>
        <w:rPr>
          <w:sz w:val="20"/>
          <w:szCs w:val="20"/>
          <w:vertAlign w:val="baseline"/>
          <w:lang w:val="en-US"/>
        </w:rPr>
      </w:pPr>
      <w:r w:rsidRPr="00580FD7">
        <w:rPr>
          <w:rStyle w:val="FootnoteReference"/>
          <w:sz w:val="20"/>
          <w:szCs w:val="20"/>
        </w:rPr>
        <w:footnoteRef/>
      </w:r>
      <w:r w:rsidRPr="00580FD7">
        <w:rPr>
          <w:sz w:val="20"/>
          <w:szCs w:val="20"/>
          <w:vertAlign w:val="baseline"/>
        </w:rPr>
        <w:t xml:space="preserve"> </w:t>
      </w:r>
      <w:r>
        <w:rPr>
          <w:sz w:val="20"/>
          <w:szCs w:val="20"/>
          <w:vertAlign w:val="baseline"/>
        </w:rPr>
        <w:t>ibid</w:t>
      </w:r>
      <w:r w:rsidRPr="00580FD7">
        <w:rPr>
          <w:rFonts w:eastAsia="Times New Roman" w:cs="Times New Roman"/>
          <w:sz w:val="20"/>
          <w:szCs w:val="20"/>
          <w:vertAlign w:val="baseline"/>
        </w:rPr>
        <w:t>, para 91</w:t>
      </w:r>
    </w:p>
  </w:footnote>
  <w:footnote w:id="573">
    <w:p w14:paraId="66DEE70F" w14:textId="395766CC" w:rsidR="00431A55" w:rsidRPr="00580FD7" w:rsidRDefault="00431A55" w:rsidP="005F7752">
      <w:pPr>
        <w:pStyle w:val="FootnoteText"/>
        <w:rPr>
          <w:sz w:val="20"/>
          <w:szCs w:val="20"/>
          <w:vertAlign w:val="baseline"/>
          <w:lang w:val="en-US"/>
        </w:rPr>
      </w:pPr>
      <w:r w:rsidRPr="00580FD7">
        <w:rPr>
          <w:rStyle w:val="FootnoteReference"/>
          <w:sz w:val="20"/>
          <w:szCs w:val="20"/>
        </w:rPr>
        <w:footnoteRef/>
      </w:r>
      <w:r w:rsidRPr="00580FD7">
        <w:rPr>
          <w:sz w:val="20"/>
          <w:szCs w:val="20"/>
          <w:vertAlign w:val="baseline"/>
        </w:rPr>
        <w:t xml:space="preserve"> </w:t>
      </w:r>
      <w:r>
        <w:rPr>
          <w:sz w:val="20"/>
          <w:szCs w:val="20"/>
          <w:vertAlign w:val="baseline"/>
        </w:rPr>
        <w:t>ibid</w:t>
      </w:r>
      <w:r w:rsidRPr="00580FD7">
        <w:rPr>
          <w:rFonts w:eastAsia="Times New Roman" w:cs="Times New Roman"/>
          <w:sz w:val="20"/>
          <w:szCs w:val="20"/>
          <w:vertAlign w:val="baseline"/>
        </w:rPr>
        <w:t>, para 119</w:t>
      </w:r>
    </w:p>
  </w:footnote>
  <w:footnote w:id="574">
    <w:p w14:paraId="1053142D" w14:textId="39D4BAF2" w:rsidR="00431A55" w:rsidRPr="00580FD7" w:rsidRDefault="00431A55" w:rsidP="005F7752">
      <w:pPr>
        <w:pStyle w:val="FootnoteText"/>
        <w:rPr>
          <w:sz w:val="20"/>
          <w:szCs w:val="20"/>
          <w:vertAlign w:val="baseline"/>
          <w:lang w:val="en-US"/>
        </w:rPr>
      </w:pPr>
      <w:r w:rsidRPr="00580FD7">
        <w:rPr>
          <w:rStyle w:val="FootnoteReference"/>
          <w:sz w:val="20"/>
          <w:szCs w:val="20"/>
        </w:rPr>
        <w:footnoteRef/>
      </w:r>
      <w:r w:rsidRPr="00580FD7">
        <w:rPr>
          <w:sz w:val="20"/>
          <w:szCs w:val="20"/>
          <w:vertAlign w:val="baseline"/>
        </w:rPr>
        <w:t xml:space="preserve"> </w:t>
      </w:r>
      <w:r>
        <w:rPr>
          <w:sz w:val="20"/>
          <w:szCs w:val="20"/>
          <w:vertAlign w:val="baseline"/>
        </w:rPr>
        <w:t>ibid</w:t>
      </w:r>
      <w:r>
        <w:rPr>
          <w:rFonts w:eastAsia="Times New Roman" w:cs="Times New Roman"/>
          <w:sz w:val="20"/>
          <w:szCs w:val="20"/>
          <w:vertAlign w:val="baseline"/>
        </w:rPr>
        <w:t>, para</w:t>
      </w:r>
      <w:r w:rsidRPr="00580FD7">
        <w:rPr>
          <w:rFonts w:eastAsia="Times New Roman" w:cs="Times New Roman"/>
          <w:sz w:val="20"/>
          <w:szCs w:val="20"/>
          <w:vertAlign w:val="baseline"/>
        </w:rPr>
        <w:t xml:space="preserve"> 97-98, 105</w:t>
      </w:r>
    </w:p>
  </w:footnote>
  <w:footnote w:id="575">
    <w:p w14:paraId="5E39C123" w14:textId="77777777" w:rsidR="00431A55" w:rsidRPr="006A000F" w:rsidRDefault="00431A55" w:rsidP="005F7752">
      <w:pPr>
        <w:pStyle w:val="FootnoteText"/>
        <w:rPr>
          <w:lang w:val="en-US"/>
        </w:rPr>
      </w:pPr>
      <w:r w:rsidRPr="00580FD7">
        <w:rPr>
          <w:rStyle w:val="FootnoteReference"/>
          <w:sz w:val="20"/>
          <w:szCs w:val="20"/>
        </w:rPr>
        <w:footnoteRef/>
      </w:r>
      <w:r w:rsidRPr="00580FD7">
        <w:rPr>
          <w:sz w:val="20"/>
          <w:szCs w:val="20"/>
          <w:vertAlign w:val="baseline"/>
        </w:rPr>
        <w:t xml:space="preserve"> HRC, ‘</w:t>
      </w:r>
      <w:r w:rsidRPr="00580FD7">
        <w:rPr>
          <w:rFonts w:eastAsia="Times New Roman" w:cs="Times New Roman"/>
          <w:sz w:val="20"/>
          <w:szCs w:val="20"/>
          <w:vertAlign w:val="baseline"/>
        </w:rPr>
        <w:t>Report of the Special Rapporteur on extrajudicial, summary or arbitrary executions, Christof Heyns: Follow-up to country recommendations: India’ 6 May 2015, A/HRC/29/37/Add.3</w:t>
      </w:r>
    </w:p>
  </w:footnote>
  <w:footnote w:id="576">
    <w:p w14:paraId="68B33DCB" w14:textId="78CECA19" w:rsidR="00431A55" w:rsidRPr="005918D7" w:rsidRDefault="00431A55" w:rsidP="005F7752">
      <w:pPr>
        <w:pStyle w:val="FootnoteText"/>
        <w:rPr>
          <w:sz w:val="20"/>
          <w:szCs w:val="20"/>
          <w:vertAlign w:val="baseline"/>
          <w:lang w:val="en-US"/>
        </w:rPr>
      </w:pPr>
      <w:r w:rsidRPr="005918D7">
        <w:rPr>
          <w:rStyle w:val="FootnoteReference"/>
          <w:sz w:val="20"/>
          <w:szCs w:val="20"/>
        </w:rPr>
        <w:footnoteRef/>
      </w:r>
      <w:r w:rsidRPr="005918D7">
        <w:rPr>
          <w:sz w:val="20"/>
          <w:szCs w:val="20"/>
        </w:rPr>
        <w:t xml:space="preserve"> </w:t>
      </w:r>
      <w:r>
        <w:rPr>
          <w:sz w:val="20"/>
          <w:szCs w:val="20"/>
          <w:vertAlign w:val="baseline"/>
        </w:rPr>
        <w:t>ibid,</w:t>
      </w:r>
      <w:r w:rsidRPr="005918D7">
        <w:rPr>
          <w:rFonts w:eastAsia="Times New Roman" w:cs="Times New Roman"/>
          <w:sz w:val="20"/>
          <w:szCs w:val="20"/>
          <w:vertAlign w:val="baseline"/>
        </w:rPr>
        <w:t xml:space="preserve"> para 37</w:t>
      </w:r>
    </w:p>
  </w:footnote>
  <w:footnote w:id="577">
    <w:p w14:paraId="3F568C08" w14:textId="514C2DBC" w:rsidR="00431A55" w:rsidRPr="005918D7" w:rsidRDefault="00431A55" w:rsidP="005F7752">
      <w:pPr>
        <w:pStyle w:val="FootnoteText"/>
        <w:rPr>
          <w:sz w:val="20"/>
          <w:szCs w:val="20"/>
          <w:vertAlign w:val="baseline"/>
          <w:lang w:val="en-US"/>
        </w:rPr>
      </w:pPr>
      <w:r w:rsidRPr="005918D7">
        <w:rPr>
          <w:rStyle w:val="FootnoteReference"/>
          <w:sz w:val="20"/>
          <w:szCs w:val="20"/>
        </w:rPr>
        <w:footnoteRef/>
      </w:r>
      <w:r>
        <w:rPr>
          <w:sz w:val="20"/>
          <w:szCs w:val="20"/>
          <w:vertAlign w:val="baseline"/>
        </w:rPr>
        <w:t xml:space="preserve"> ibid</w:t>
      </w:r>
      <w:r w:rsidRPr="005918D7">
        <w:rPr>
          <w:rFonts w:eastAsia="Times New Roman" w:cs="Times New Roman"/>
          <w:sz w:val="20"/>
          <w:szCs w:val="20"/>
          <w:vertAlign w:val="baseline"/>
        </w:rPr>
        <w:t>, para 38</w:t>
      </w:r>
    </w:p>
  </w:footnote>
  <w:footnote w:id="578">
    <w:p w14:paraId="7646EF56" w14:textId="5A295155" w:rsidR="00431A55" w:rsidRPr="005918D7" w:rsidRDefault="00431A55" w:rsidP="005F7752">
      <w:pPr>
        <w:pStyle w:val="FootnoteText"/>
        <w:rPr>
          <w:sz w:val="20"/>
          <w:szCs w:val="20"/>
          <w:vertAlign w:val="baseline"/>
          <w:lang w:val="en-US"/>
        </w:rPr>
      </w:pPr>
      <w:r w:rsidRPr="005918D7">
        <w:rPr>
          <w:rStyle w:val="FootnoteReference"/>
          <w:sz w:val="20"/>
          <w:szCs w:val="20"/>
        </w:rPr>
        <w:footnoteRef/>
      </w:r>
      <w:r w:rsidRPr="005918D7">
        <w:rPr>
          <w:sz w:val="20"/>
          <w:szCs w:val="20"/>
          <w:vertAlign w:val="baseline"/>
        </w:rPr>
        <w:t xml:space="preserve"> HRC, ‘</w:t>
      </w:r>
      <w:r w:rsidRPr="005918D7">
        <w:rPr>
          <w:rFonts w:cs="Times New Roman"/>
          <w:sz w:val="20"/>
          <w:szCs w:val="20"/>
          <w:vertAlign w:val="baseline"/>
        </w:rPr>
        <w:t>Rashida Manjoo: Mission to Indi</w:t>
      </w:r>
      <w:r>
        <w:rPr>
          <w:rFonts w:cs="Times New Roman"/>
          <w:sz w:val="20"/>
          <w:szCs w:val="20"/>
          <w:vertAlign w:val="baseline"/>
        </w:rPr>
        <w:t>a: comments by the State</w:t>
      </w:r>
      <w:r w:rsidRPr="005918D7">
        <w:rPr>
          <w:rFonts w:cs="Times New Roman"/>
          <w:sz w:val="20"/>
          <w:szCs w:val="20"/>
          <w:vertAlign w:val="baseline"/>
        </w:rPr>
        <w:t xml:space="preserve">’ </w:t>
      </w:r>
      <w:r>
        <w:rPr>
          <w:rFonts w:cs="Times New Roman"/>
          <w:sz w:val="20"/>
          <w:szCs w:val="20"/>
          <w:vertAlign w:val="baseline"/>
        </w:rPr>
        <w:t xml:space="preserve">6 June 2014 (n 558) </w:t>
      </w:r>
      <w:r w:rsidRPr="005918D7">
        <w:rPr>
          <w:rFonts w:cs="Times New Roman"/>
          <w:sz w:val="20"/>
          <w:szCs w:val="20"/>
          <w:vertAlign w:val="baseline"/>
        </w:rPr>
        <w:t>para 6</w:t>
      </w:r>
    </w:p>
  </w:footnote>
  <w:footnote w:id="579">
    <w:p w14:paraId="1A58ADAE" w14:textId="00120306" w:rsidR="00431A55" w:rsidRPr="005918D7" w:rsidRDefault="00431A55" w:rsidP="005F7752">
      <w:pPr>
        <w:pStyle w:val="FootnoteText"/>
        <w:rPr>
          <w:sz w:val="20"/>
          <w:szCs w:val="20"/>
          <w:vertAlign w:val="baseline"/>
          <w:lang w:val="en-US"/>
        </w:rPr>
      </w:pPr>
      <w:r w:rsidRPr="005918D7">
        <w:rPr>
          <w:rStyle w:val="FootnoteReference"/>
          <w:sz w:val="20"/>
          <w:szCs w:val="20"/>
        </w:rPr>
        <w:footnoteRef/>
      </w:r>
      <w:r w:rsidRPr="005918D7">
        <w:rPr>
          <w:sz w:val="20"/>
          <w:szCs w:val="20"/>
          <w:vertAlign w:val="baseline"/>
        </w:rPr>
        <w:t xml:space="preserve"> </w:t>
      </w:r>
      <w:r w:rsidRPr="005918D7">
        <w:rPr>
          <w:sz w:val="20"/>
          <w:szCs w:val="20"/>
          <w:vertAlign w:val="baseline"/>
          <w:lang w:val="en-US"/>
        </w:rPr>
        <w:t xml:space="preserve">Rashmi Drolia, ‘210 women tortured to death for ‘witchcraft’ in Chhattisgarh, many await justice’ </w:t>
      </w:r>
      <w:r w:rsidRPr="005918D7">
        <w:rPr>
          <w:i/>
          <w:sz w:val="20"/>
          <w:szCs w:val="20"/>
          <w:vertAlign w:val="baseline"/>
          <w:lang w:val="en-US"/>
        </w:rPr>
        <w:t xml:space="preserve">Times of India </w:t>
      </w:r>
      <w:r w:rsidRPr="005918D7">
        <w:rPr>
          <w:sz w:val="20"/>
          <w:szCs w:val="20"/>
          <w:vertAlign w:val="baseline"/>
          <w:lang w:val="en-US"/>
        </w:rPr>
        <w:t>(India, 6 December 2014) &lt;</w:t>
      </w:r>
      <w:hyperlink r:id="rId76" w:history="1">
        <w:r w:rsidRPr="005918D7">
          <w:rPr>
            <w:rStyle w:val="Hyperlink"/>
            <w:sz w:val="20"/>
            <w:szCs w:val="20"/>
            <w:vertAlign w:val="baseline"/>
            <w:lang w:val="en-US"/>
          </w:rPr>
          <w:t>http://timesofindia.indiatimes.com/india/210-women-tortured-to-death-for-witchcraft-in-Chhattisgarh-many-await-justice/articleshow/45397113.cms</w:t>
        </w:r>
      </w:hyperlink>
      <w:r w:rsidRPr="005918D7">
        <w:rPr>
          <w:sz w:val="20"/>
          <w:szCs w:val="20"/>
          <w:vertAlign w:val="baseline"/>
          <w:lang w:val="en-US"/>
        </w:rPr>
        <w:t>&gt; accessed 29 June 2015</w:t>
      </w:r>
    </w:p>
  </w:footnote>
  <w:footnote w:id="580">
    <w:p w14:paraId="570BB45E" w14:textId="77777777" w:rsidR="00431A55" w:rsidRPr="00CE7BAB" w:rsidRDefault="00431A55" w:rsidP="005F7752">
      <w:pPr>
        <w:pStyle w:val="FootnoteText"/>
      </w:pPr>
      <w:r w:rsidRPr="005918D7">
        <w:rPr>
          <w:rStyle w:val="FootnoteReference"/>
          <w:sz w:val="20"/>
          <w:szCs w:val="20"/>
        </w:rPr>
        <w:footnoteRef/>
      </w:r>
      <w:r w:rsidRPr="005918D7">
        <w:rPr>
          <w:sz w:val="20"/>
          <w:szCs w:val="20"/>
          <w:vertAlign w:val="baseline"/>
        </w:rPr>
        <w:t xml:space="preserve"> ‘About Nepal’ (</w:t>
      </w:r>
      <w:r w:rsidRPr="005918D7">
        <w:rPr>
          <w:i/>
          <w:sz w:val="20"/>
          <w:szCs w:val="20"/>
          <w:vertAlign w:val="baseline"/>
        </w:rPr>
        <w:t xml:space="preserve">UNDP, </w:t>
      </w:r>
      <w:r w:rsidRPr="005918D7">
        <w:rPr>
          <w:sz w:val="20"/>
          <w:szCs w:val="20"/>
          <w:vertAlign w:val="baseline"/>
        </w:rPr>
        <w:t>2013) &lt;</w:t>
      </w:r>
      <w:hyperlink r:id="rId77" w:history="1">
        <w:r w:rsidRPr="005918D7">
          <w:rPr>
            <w:rStyle w:val="Hyperlink"/>
            <w:sz w:val="20"/>
            <w:szCs w:val="20"/>
            <w:vertAlign w:val="baseline"/>
          </w:rPr>
          <w:t>http://www.np.undp.org/content/nepal/en/home/countryinfo.html</w:t>
        </w:r>
      </w:hyperlink>
      <w:r w:rsidRPr="005918D7">
        <w:rPr>
          <w:sz w:val="20"/>
          <w:szCs w:val="20"/>
          <w:vertAlign w:val="baseline"/>
        </w:rPr>
        <w:t>&gt; accessed 26 August 2015</w:t>
      </w:r>
    </w:p>
  </w:footnote>
  <w:footnote w:id="581">
    <w:p w14:paraId="771350EA" w14:textId="77777777" w:rsidR="00431A55" w:rsidRPr="00A3192A" w:rsidRDefault="00431A55" w:rsidP="005F7752">
      <w:pPr>
        <w:pStyle w:val="FootnoteText"/>
        <w:rPr>
          <w:sz w:val="20"/>
          <w:szCs w:val="20"/>
          <w:vertAlign w:val="baseline"/>
        </w:rPr>
      </w:pPr>
      <w:r w:rsidRPr="00A3192A">
        <w:rPr>
          <w:rStyle w:val="FootnoteReference"/>
          <w:sz w:val="20"/>
          <w:szCs w:val="20"/>
        </w:rPr>
        <w:footnoteRef/>
      </w:r>
      <w:r w:rsidRPr="00A3192A">
        <w:rPr>
          <w:sz w:val="20"/>
          <w:szCs w:val="20"/>
        </w:rPr>
        <w:t xml:space="preserve"> </w:t>
      </w:r>
      <w:r w:rsidRPr="00A3192A">
        <w:rPr>
          <w:sz w:val="20"/>
          <w:szCs w:val="20"/>
          <w:vertAlign w:val="baseline"/>
        </w:rPr>
        <w:t>‘Nepal’s People and Ethnic Groups’ (</w:t>
      </w:r>
      <w:r w:rsidRPr="00A3192A">
        <w:rPr>
          <w:i/>
          <w:sz w:val="20"/>
          <w:szCs w:val="20"/>
          <w:vertAlign w:val="baseline"/>
        </w:rPr>
        <w:t xml:space="preserve">Visit Nepal, </w:t>
      </w:r>
      <w:r w:rsidRPr="00A3192A">
        <w:rPr>
          <w:sz w:val="20"/>
          <w:szCs w:val="20"/>
          <w:vertAlign w:val="baseline"/>
        </w:rPr>
        <w:t>2012) &lt;</w:t>
      </w:r>
      <w:hyperlink r:id="rId78" w:history="1">
        <w:r w:rsidRPr="00A3192A">
          <w:rPr>
            <w:rStyle w:val="Hyperlink"/>
            <w:sz w:val="20"/>
            <w:szCs w:val="20"/>
            <w:vertAlign w:val="baseline"/>
          </w:rPr>
          <w:t>http://www.visitnepal.com/nepal_information/people.php</w:t>
        </w:r>
      </w:hyperlink>
      <w:r w:rsidRPr="00A3192A">
        <w:rPr>
          <w:sz w:val="20"/>
          <w:szCs w:val="20"/>
          <w:vertAlign w:val="baseline"/>
        </w:rPr>
        <w:t>&gt; accessed 26 August 2015</w:t>
      </w:r>
    </w:p>
  </w:footnote>
  <w:footnote w:id="582">
    <w:p w14:paraId="3B1407E3" w14:textId="77777777" w:rsidR="00431A55" w:rsidRPr="00A3192A" w:rsidRDefault="00431A55" w:rsidP="005F7752">
      <w:pPr>
        <w:pStyle w:val="FootnoteText"/>
        <w:rPr>
          <w:sz w:val="20"/>
          <w:szCs w:val="20"/>
          <w:vertAlign w:val="baseline"/>
          <w:lang w:val="en-US"/>
        </w:rPr>
      </w:pPr>
      <w:r w:rsidRPr="00A3192A">
        <w:rPr>
          <w:rStyle w:val="FootnoteReference"/>
          <w:sz w:val="20"/>
          <w:szCs w:val="20"/>
        </w:rPr>
        <w:footnoteRef/>
      </w:r>
      <w:r w:rsidRPr="00A3192A">
        <w:rPr>
          <w:sz w:val="20"/>
          <w:szCs w:val="20"/>
          <w:vertAlign w:val="baseline"/>
        </w:rPr>
        <w:t xml:space="preserve"> </w:t>
      </w:r>
      <w:r w:rsidRPr="00A3192A">
        <w:rPr>
          <w:sz w:val="20"/>
          <w:szCs w:val="20"/>
          <w:vertAlign w:val="baseline"/>
          <w:lang w:val="en-US"/>
        </w:rPr>
        <w:t>Himalayan groups include: Sherpas, Dolpa people, Larke and Siar People, Manang Bas, Lo Pas of Mustang and the Olanchung People. Hill groups include: Brahman and Chhetris, Kirati, Newars, Tamangs, Magars, Gurungs and Thakalis. Terai groups include: Brahman and Rajputs, Tharus, Rajbansis, Satars and Masalmans.</w:t>
      </w:r>
    </w:p>
  </w:footnote>
  <w:footnote w:id="583">
    <w:p w14:paraId="0A7F5214" w14:textId="77777777" w:rsidR="00431A55" w:rsidRPr="00A3192A" w:rsidRDefault="00431A55" w:rsidP="005F7752">
      <w:pPr>
        <w:pStyle w:val="FootnoteText"/>
        <w:rPr>
          <w:sz w:val="20"/>
          <w:szCs w:val="20"/>
          <w:vertAlign w:val="baseline"/>
        </w:rPr>
      </w:pPr>
      <w:r w:rsidRPr="00A3192A">
        <w:rPr>
          <w:rStyle w:val="FootnoteReference"/>
          <w:sz w:val="20"/>
          <w:szCs w:val="20"/>
        </w:rPr>
        <w:footnoteRef/>
      </w:r>
      <w:r w:rsidRPr="00A3192A">
        <w:rPr>
          <w:sz w:val="20"/>
          <w:szCs w:val="20"/>
          <w:vertAlign w:val="baseline"/>
        </w:rPr>
        <w:t xml:space="preserve"> Government of Nepal, </w:t>
      </w:r>
      <w:r w:rsidRPr="00A3192A">
        <w:rPr>
          <w:i/>
          <w:sz w:val="20"/>
          <w:szCs w:val="20"/>
          <w:vertAlign w:val="baseline"/>
        </w:rPr>
        <w:t>National Population and Housing Census 2011</w:t>
      </w:r>
      <w:r w:rsidRPr="00A3192A">
        <w:rPr>
          <w:sz w:val="20"/>
          <w:szCs w:val="20"/>
          <w:vertAlign w:val="baseline"/>
        </w:rPr>
        <w:t xml:space="preserve"> (Central Bureau of Statistics, November 2012) &lt;</w:t>
      </w:r>
      <w:hyperlink r:id="rId79" w:history="1">
        <w:r w:rsidRPr="00A3192A">
          <w:rPr>
            <w:rStyle w:val="Hyperlink"/>
            <w:sz w:val="20"/>
            <w:szCs w:val="20"/>
            <w:vertAlign w:val="baseline"/>
          </w:rPr>
          <w:t>http://cbs.gov.np/wp-content/uploads/2012/11/National%20Report.pdf</w:t>
        </w:r>
      </w:hyperlink>
      <w:r w:rsidRPr="00A3192A">
        <w:rPr>
          <w:sz w:val="20"/>
          <w:szCs w:val="20"/>
          <w:vertAlign w:val="baseline"/>
        </w:rPr>
        <w:t>&gt; accessed 26 August 2015</w:t>
      </w:r>
    </w:p>
  </w:footnote>
  <w:footnote w:id="584">
    <w:p w14:paraId="517C8F19" w14:textId="32DBDEFC" w:rsidR="00431A55" w:rsidRPr="00A3192A" w:rsidRDefault="00431A55" w:rsidP="005F7752">
      <w:pPr>
        <w:pStyle w:val="FootnoteText"/>
        <w:rPr>
          <w:sz w:val="20"/>
          <w:szCs w:val="20"/>
          <w:vertAlign w:val="baseline"/>
          <w:lang w:val="en-US"/>
        </w:rPr>
      </w:pPr>
      <w:r w:rsidRPr="00A3192A">
        <w:rPr>
          <w:rStyle w:val="FootnoteReference"/>
          <w:sz w:val="20"/>
          <w:szCs w:val="20"/>
        </w:rPr>
        <w:footnoteRef/>
      </w:r>
      <w:r w:rsidRPr="00A3192A">
        <w:rPr>
          <w:sz w:val="20"/>
          <w:szCs w:val="20"/>
          <w:vertAlign w:val="baseline"/>
        </w:rPr>
        <w:t xml:space="preserve"> </w:t>
      </w:r>
      <w:r w:rsidRPr="00A3192A">
        <w:rPr>
          <w:sz w:val="20"/>
          <w:szCs w:val="20"/>
          <w:vertAlign w:val="baseline"/>
          <w:lang w:val="en-US"/>
        </w:rPr>
        <w:t xml:space="preserve">The remainder consists of Kirat, Christianity, Prakriti, </w:t>
      </w:r>
      <w:r>
        <w:rPr>
          <w:sz w:val="20"/>
          <w:szCs w:val="20"/>
          <w:vertAlign w:val="baseline"/>
          <w:lang w:val="en-US"/>
        </w:rPr>
        <w:t>Bon, Jainism, Bahai and Sikhism</w:t>
      </w:r>
    </w:p>
  </w:footnote>
  <w:footnote w:id="585">
    <w:p w14:paraId="328A9703" w14:textId="77777777" w:rsidR="00431A55" w:rsidRPr="00A3192A" w:rsidRDefault="00431A55" w:rsidP="005F7752">
      <w:pPr>
        <w:pStyle w:val="FootnoteText"/>
        <w:rPr>
          <w:sz w:val="20"/>
          <w:szCs w:val="20"/>
          <w:vertAlign w:val="baseline"/>
        </w:rPr>
      </w:pPr>
      <w:r w:rsidRPr="00A3192A">
        <w:rPr>
          <w:rStyle w:val="FootnoteReference"/>
          <w:sz w:val="20"/>
          <w:szCs w:val="20"/>
        </w:rPr>
        <w:footnoteRef/>
      </w:r>
      <w:r w:rsidRPr="00A3192A">
        <w:rPr>
          <w:sz w:val="20"/>
          <w:szCs w:val="20"/>
          <w:vertAlign w:val="baseline"/>
        </w:rPr>
        <w:t xml:space="preserve"> ‘Nepal: Witch Tag Only on Dalits, Minorities’ (</w:t>
      </w:r>
      <w:r w:rsidRPr="00A3192A">
        <w:rPr>
          <w:i/>
          <w:sz w:val="20"/>
          <w:szCs w:val="20"/>
          <w:vertAlign w:val="baseline"/>
        </w:rPr>
        <w:t xml:space="preserve">Violence is not our culture, </w:t>
      </w:r>
      <w:r w:rsidRPr="00A3192A">
        <w:rPr>
          <w:sz w:val="20"/>
          <w:szCs w:val="20"/>
          <w:vertAlign w:val="baseline"/>
        </w:rPr>
        <w:t>13 December 2009) &lt;</w:t>
      </w:r>
      <w:hyperlink r:id="rId80" w:history="1">
        <w:r w:rsidRPr="00A3192A">
          <w:rPr>
            <w:rStyle w:val="Hyperlink"/>
            <w:sz w:val="20"/>
            <w:szCs w:val="20"/>
            <w:vertAlign w:val="baseline"/>
          </w:rPr>
          <w:t>http://www.violenceisnotourculture.org/content/nepal-witch-tag-only-dalits-minorities</w:t>
        </w:r>
      </w:hyperlink>
      <w:r w:rsidRPr="00A3192A">
        <w:rPr>
          <w:sz w:val="20"/>
          <w:szCs w:val="20"/>
          <w:vertAlign w:val="baseline"/>
        </w:rPr>
        <w:t>&gt; accessed 26 August 2015</w:t>
      </w:r>
    </w:p>
  </w:footnote>
  <w:footnote w:id="586">
    <w:p w14:paraId="09D01B45" w14:textId="77777777" w:rsidR="00431A55" w:rsidRPr="00A3192A" w:rsidRDefault="00431A55" w:rsidP="005F7752">
      <w:pPr>
        <w:pStyle w:val="FootnoteText"/>
        <w:rPr>
          <w:sz w:val="20"/>
          <w:szCs w:val="20"/>
          <w:vertAlign w:val="baseline"/>
        </w:rPr>
      </w:pPr>
      <w:r w:rsidRPr="00A3192A">
        <w:rPr>
          <w:rStyle w:val="FootnoteReference"/>
          <w:sz w:val="20"/>
          <w:szCs w:val="20"/>
        </w:rPr>
        <w:footnoteRef/>
      </w:r>
      <w:r w:rsidRPr="00A3192A">
        <w:rPr>
          <w:sz w:val="20"/>
          <w:szCs w:val="20"/>
          <w:vertAlign w:val="baseline"/>
        </w:rPr>
        <w:t xml:space="preserve"> ‘About the Hackathon’ (</w:t>
      </w:r>
      <w:r w:rsidRPr="00A3192A">
        <w:rPr>
          <w:i/>
          <w:sz w:val="20"/>
          <w:szCs w:val="20"/>
          <w:vertAlign w:val="baseline"/>
        </w:rPr>
        <w:t>VAWHackathon</w:t>
      </w:r>
      <w:r w:rsidRPr="00A3192A">
        <w:rPr>
          <w:sz w:val="20"/>
          <w:szCs w:val="20"/>
          <w:vertAlign w:val="baseline"/>
        </w:rPr>
        <w:t>, 16 June 2013) &lt;</w:t>
      </w:r>
      <w:hyperlink r:id="rId81" w:history="1">
        <w:r w:rsidRPr="00A3192A">
          <w:rPr>
            <w:rStyle w:val="Hyperlink"/>
            <w:sz w:val="20"/>
            <w:szCs w:val="20"/>
            <w:vertAlign w:val="baseline"/>
          </w:rPr>
          <w:t>http://www.vawhack.org/about-hackathon</w:t>
        </w:r>
      </w:hyperlink>
      <w:r w:rsidRPr="00A3192A">
        <w:rPr>
          <w:sz w:val="20"/>
          <w:szCs w:val="20"/>
          <w:vertAlign w:val="baseline"/>
        </w:rPr>
        <w:t>&gt; accessed 26 August 2015</w:t>
      </w:r>
    </w:p>
  </w:footnote>
  <w:footnote w:id="587">
    <w:p w14:paraId="0FB2DCFE" w14:textId="5620A1A9" w:rsidR="00431A55" w:rsidRPr="00E67660" w:rsidRDefault="00431A55" w:rsidP="005F7752">
      <w:pPr>
        <w:pStyle w:val="FootnoteText"/>
        <w:rPr>
          <w:lang w:val="en-US"/>
        </w:rPr>
      </w:pPr>
      <w:r w:rsidRPr="00A3192A">
        <w:rPr>
          <w:rStyle w:val="FootnoteReference"/>
          <w:sz w:val="20"/>
          <w:szCs w:val="20"/>
        </w:rPr>
        <w:footnoteRef/>
      </w:r>
      <w:r w:rsidRPr="00A3192A">
        <w:rPr>
          <w:sz w:val="20"/>
          <w:szCs w:val="20"/>
          <w:vertAlign w:val="baseline"/>
        </w:rPr>
        <w:t xml:space="preserve"> </w:t>
      </w:r>
      <w:r w:rsidRPr="00A3192A">
        <w:rPr>
          <w:sz w:val="20"/>
          <w:szCs w:val="20"/>
          <w:vertAlign w:val="baseline"/>
          <w:lang w:val="en-US"/>
        </w:rPr>
        <w:t xml:space="preserve">Sujata Paudel, ‘Women’s concerns within Nepal’s patriarchal justice system’ (2011) 5(6) Ethics in Action </w:t>
      </w:r>
      <w:r>
        <w:rPr>
          <w:sz w:val="20"/>
          <w:szCs w:val="20"/>
          <w:vertAlign w:val="baseline"/>
          <w:lang w:val="en-US"/>
        </w:rPr>
        <w:t>1</w:t>
      </w:r>
    </w:p>
  </w:footnote>
  <w:footnote w:id="588">
    <w:p w14:paraId="5BD4B538" w14:textId="74640A41" w:rsidR="00431A55" w:rsidRPr="00CA3ADF" w:rsidRDefault="00431A55" w:rsidP="005F7752">
      <w:pPr>
        <w:pStyle w:val="NoSpacing"/>
        <w:rPr>
          <w:vertAlign w:val="baseline"/>
        </w:rPr>
      </w:pPr>
      <w:r w:rsidRPr="00CA3ADF">
        <w:rPr>
          <w:rStyle w:val="FootnoteReference"/>
        </w:rPr>
        <w:footnoteRef/>
      </w:r>
      <w:r w:rsidRPr="00CA3ADF">
        <w:rPr>
          <w:vertAlign w:val="baseline"/>
        </w:rPr>
        <w:t xml:space="preserve"> WHRIN, ‘Witchcraft Accusations &amp; Persecution in Nepal: 2014 Country Report’ (</w:t>
      </w:r>
      <w:r w:rsidRPr="00CA3ADF">
        <w:rPr>
          <w:i/>
          <w:vertAlign w:val="baseline"/>
        </w:rPr>
        <w:t xml:space="preserve">WHRIN, </w:t>
      </w:r>
      <w:r w:rsidRPr="00CA3ADF">
        <w:rPr>
          <w:vertAlign w:val="baseline"/>
        </w:rPr>
        <w:t>2014)</w:t>
      </w:r>
    </w:p>
  </w:footnote>
  <w:footnote w:id="589">
    <w:p w14:paraId="0A3900FC" w14:textId="34893701" w:rsidR="00431A55" w:rsidRPr="00CA3ADF" w:rsidRDefault="00431A55" w:rsidP="005F7752">
      <w:pPr>
        <w:pStyle w:val="FootnoteText"/>
        <w:rPr>
          <w:sz w:val="20"/>
          <w:szCs w:val="20"/>
          <w:vertAlign w:val="baseline"/>
        </w:rPr>
      </w:pPr>
      <w:r w:rsidRPr="00CA3ADF">
        <w:rPr>
          <w:rStyle w:val="FootnoteReference"/>
          <w:sz w:val="20"/>
          <w:szCs w:val="20"/>
        </w:rPr>
        <w:footnoteRef/>
      </w:r>
      <w:r w:rsidRPr="00CA3ADF">
        <w:rPr>
          <w:sz w:val="20"/>
          <w:szCs w:val="20"/>
          <w:vertAlign w:val="baseline"/>
        </w:rPr>
        <w:t xml:space="preserve"> UNDP, ‘Gender Inequality Index’ </w:t>
      </w:r>
      <w:r>
        <w:rPr>
          <w:sz w:val="20"/>
          <w:szCs w:val="20"/>
          <w:vertAlign w:val="baseline"/>
        </w:rPr>
        <w:t>(n 474)</w:t>
      </w:r>
    </w:p>
  </w:footnote>
  <w:footnote w:id="590">
    <w:p w14:paraId="47E77CA4" w14:textId="77777777" w:rsidR="00431A55" w:rsidRPr="00CA3ADF" w:rsidRDefault="00431A55" w:rsidP="005F7752">
      <w:pPr>
        <w:pStyle w:val="FootnoteText"/>
        <w:rPr>
          <w:sz w:val="20"/>
          <w:szCs w:val="20"/>
          <w:vertAlign w:val="baseline"/>
        </w:rPr>
      </w:pPr>
      <w:r w:rsidRPr="00CA3ADF">
        <w:rPr>
          <w:rStyle w:val="FootnoteReference"/>
          <w:sz w:val="20"/>
          <w:szCs w:val="20"/>
        </w:rPr>
        <w:footnoteRef/>
      </w:r>
      <w:r w:rsidRPr="00CA3ADF">
        <w:rPr>
          <w:sz w:val="20"/>
          <w:szCs w:val="20"/>
          <w:vertAlign w:val="baseline"/>
        </w:rPr>
        <w:t xml:space="preserve"> Rajendra Ghimire, Executive Director of PPR Nepal (Forum for the Protection of People’s Rights, Nepal) &lt;</w:t>
      </w:r>
      <w:hyperlink r:id="rId82" w:history="1">
        <w:r w:rsidRPr="00CA3ADF">
          <w:rPr>
            <w:rStyle w:val="Hyperlink"/>
            <w:sz w:val="20"/>
            <w:szCs w:val="20"/>
            <w:vertAlign w:val="baseline"/>
          </w:rPr>
          <w:t>http://www.pprnepal.org.np/index.php?option=com_content&amp;view=article&amp;id=36&amp;Itemid=19</w:t>
        </w:r>
      </w:hyperlink>
      <w:r w:rsidRPr="00CA3ADF">
        <w:rPr>
          <w:sz w:val="20"/>
          <w:szCs w:val="20"/>
          <w:vertAlign w:val="baseline"/>
        </w:rPr>
        <w:t>&gt; accessed 6 November 2014</w:t>
      </w:r>
    </w:p>
  </w:footnote>
  <w:footnote w:id="591">
    <w:p w14:paraId="16A58928" w14:textId="3BA02B99" w:rsidR="00431A55" w:rsidRPr="00CA3ADF" w:rsidRDefault="00431A55" w:rsidP="005F7752">
      <w:pPr>
        <w:pStyle w:val="FootnoteText"/>
        <w:rPr>
          <w:sz w:val="20"/>
          <w:szCs w:val="20"/>
          <w:vertAlign w:val="baseline"/>
        </w:rPr>
      </w:pPr>
      <w:r w:rsidRPr="00CA3ADF">
        <w:rPr>
          <w:rStyle w:val="FootnoteReference"/>
          <w:sz w:val="20"/>
          <w:szCs w:val="20"/>
        </w:rPr>
        <w:footnoteRef/>
      </w:r>
      <w:r w:rsidRPr="00CA3ADF">
        <w:rPr>
          <w:sz w:val="20"/>
          <w:szCs w:val="20"/>
          <w:vertAlign w:val="baseline"/>
        </w:rPr>
        <w:t xml:space="preserve"> </w:t>
      </w:r>
      <w:r>
        <w:rPr>
          <w:sz w:val="20"/>
          <w:szCs w:val="20"/>
          <w:vertAlign w:val="baseline"/>
        </w:rPr>
        <w:t>ibid</w:t>
      </w:r>
    </w:p>
  </w:footnote>
  <w:footnote w:id="592">
    <w:p w14:paraId="20467FD7" w14:textId="77777777" w:rsidR="00431A55" w:rsidRPr="0012339F" w:rsidRDefault="00431A55" w:rsidP="00906788">
      <w:pPr>
        <w:pStyle w:val="NoSpacing"/>
        <w:rPr>
          <w:vertAlign w:val="baseline"/>
        </w:rPr>
      </w:pPr>
      <w:r w:rsidRPr="0012339F">
        <w:rPr>
          <w:rStyle w:val="FootnoteReference"/>
        </w:rPr>
        <w:footnoteRef/>
      </w:r>
      <w:r w:rsidRPr="0012339F">
        <w:t xml:space="preserve"> </w:t>
      </w:r>
      <w:r w:rsidRPr="0012339F">
        <w:rPr>
          <w:vertAlign w:val="baseline"/>
        </w:rPr>
        <w:t>UNDP, ‘Human Development Index and its components’ (</w:t>
      </w:r>
      <w:r w:rsidRPr="0012339F">
        <w:rPr>
          <w:i/>
          <w:vertAlign w:val="baseline"/>
        </w:rPr>
        <w:t>Human Development Reports</w:t>
      </w:r>
      <w:r w:rsidRPr="0012339F">
        <w:rPr>
          <w:vertAlign w:val="baseline"/>
        </w:rPr>
        <w:t xml:space="preserve"> 2013) &lt; &lt;</w:t>
      </w:r>
      <w:hyperlink r:id="rId83" w:history="1">
        <w:r w:rsidRPr="0012339F">
          <w:rPr>
            <w:rStyle w:val="Hyperlink"/>
            <w:vertAlign w:val="baseline"/>
          </w:rPr>
          <w:t>http://hdr.undp.org/en/content/table-1-human-development-index-and-its-components</w:t>
        </w:r>
      </w:hyperlink>
      <w:r w:rsidRPr="0012339F">
        <w:rPr>
          <w:vertAlign w:val="baseline"/>
        </w:rPr>
        <w:t>&gt; accessed 9 February 2015</w:t>
      </w:r>
    </w:p>
  </w:footnote>
  <w:footnote w:id="593">
    <w:p w14:paraId="4BA314E0" w14:textId="77777777" w:rsidR="00431A55" w:rsidRPr="00086019" w:rsidRDefault="00431A55" w:rsidP="00906788">
      <w:pPr>
        <w:pStyle w:val="FootnoteText"/>
      </w:pPr>
      <w:r w:rsidRPr="0012339F">
        <w:rPr>
          <w:rStyle w:val="FootnoteReference"/>
          <w:sz w:val="20"/>
          <w:szCs w:val="20"/>
        </w:rPr>
        <w:footnoteRef/>
      </w:r>
      <w:r w:rsidRPr="0012339F">
        <w:rPr>
          <w:sz w:val="20"/>
          <w:szCs w:val="20"/>
        </w:rPr>
        <w:t xml:space="preserve"> </w:t>
      </w:r>
      <w:r w:rsidRPr="0012339F">
        <w:rPr>
          <w:sz w:val="20"/>
          <w:szCs w:val="20"/>
          <w:vertAlign w:val="baseline"/>
        </w:rPr>
        <w:t>IFAD, ‘Rural Poverty in Nepal’ (</w:t>
      </w:r>
      <w:r w:rsidRPr="0012339F">
        <w:rPr>
          <w:i/>
          <w:sz w:val="20"/>
          <w:szCs w:val="20"/>
          <w:vertAlign w:val="baseline"/>
        </w:rPr>
        <w:t>Rural Poverty Portal</w:t>
      </w:r>
      <w:r w:rsidRPr="0012339F">
        <w:rPr>
          <w:sz w:val="20"/>
          <w:szCs w:val="20"/>
          <w:vertAlign w:val="baseline"/>
        </w:rPr>
        <w:t xml:space="preserve"> 2013) &lt;</w:t>
      </w:r>
      <w:hyperlink r:id="rId84" w:history="1">
        <w:r w:rsidRPr="0012339F">
          <w:rPr>
            <w:rStyle w:val="Hyperlink"/>
            <w:sz w:val="20"/>
            <w:szCs w:val="20"/>
            <w:vertAlign w:val="baseline"/>
          </w:rPr>
          <w:t>http://www.ruralpovertyportal.org/country/home/tags/nepal</w:t>
        </w:r>
      </w:hyperlink>
      <w:r w:rsidRPr="0012339F">
        <w:rPr>
          <w:sz w:val="20"/>
          <w:szCs w:val="20"/>
          <w:vertAlign w:val="baseline"/>
        </w:rPr>
        <w:t>&gt; accessed 9 February 2015</w:t>
      </w:r>
    </w:p>
  </w:footnote>
  <w:footnote w:id="594">
    <w:p w14:paraId="678B7462" w14:textId="77777777" w:rsidR="00431A55" w:rsidRPr="003445D4" w:rsidRDefault="00431A55" w:rsidP="005F7752">
      <w:pPr>
        <w:pStyle w:val="FootnoteText"/>
      </w:pPr>
      <w:r w:rsidRPr="00CA3ADF">
        <w:rPr>
          <w:rStyle w:val="FootnoteReference"/>
          <w:sz w:val="20"/>
          <w:szCs w:val="20"/>
        </w:rPr>
        <w:footnoteRef/>
      </w:r>
      <w:r w:rsidRPr="00CA3ADF">
        <w:rPr>
          <w:sz w:val="20"/>
          <w:szCs w:val="20"/>
          <w:vertAlign w:val="baseline"/>
        </w:rPr>
        <w:t xml:space="preserve"> PPR Nepal, ‘Anti-Witchcraft’ (</w:t>
      </w:r>
      <w:r w:rsidRPr="00CA3ADF">
        <w:rPr>
          <w:i/>
          <w:sz w:val="20"/>
          <w:szCs w:val="20"/>
          <w:vertAlign w:val="baseline"/>
        </w:rPr>
        <w:t xml:space="preserve">PPR Nepal, </w:t>
      </w:r>
      <w:r w:rsidRPr="00CA3ADF">
        <w:rPr>
          <w:sz w:val="20"/>
          <w:szCs w:val="20"/>
          <w:vertAlign w:val="baseline"/>
        </w:rPr>
        <w:t>2014) &lt;</w:t>
      </w:r>
      <w:hyperlink r:id="rId85" w:history="1">
        <w:r w:rsidRPr="00CA3ADF">
          <w:rPr>
            <w:rStyle w:val="Hyperlink"/>
            <w:sz w:val="20"/>
            <w:szCs w:val="20"/>
            <w:vertAlign w:val="baseline"/>
          </w:rPr>
          <w:t>http://www.pprnepal.org.np/index.php?option=com_content&amp;view=article&amp;id=36&amp;Itemid=19</w:t>
        </w:r>
      </w:hyperlink>
      <w:r w:rsidRPr="00CA3ADF">
        <w:rPr>
          <w:sz w:val="20"/>
          <w:szCs w:val="20"/>
          <w:vertAlign w:val="baseline"/>
        </w:rPr>
        <w:t>&gt; accessed 6 November 2014</w:t>
      </w:r>
    </w:p>
  </w:footnote>
  <w:footnote w:id="595">
    <w:p w14:paraId="6BFCBDEC" w14:textId="47BE3ED3" w:rsidR="00431A55" w:rsidRPr="00E37017" w:rsidRDefault="00431A55" w:rsidP="005F7752">
      <w:pPr>
        <w:pStyle w:val="FootnoteText"/>
        <w:rPr>
          <w:sz w:val="20"/>
          <w:szCs w:val="20"/>
          <w:vertAlign w:val="baseline"/>
        </w:rPr>
      </w:pPr>
      <w:r w:rsidRPr="00E37017">
        <w:rPr>
          <w:rStyle w:val="FootnoteReference"/>
          <w:sz w:val="20"/>
          <w:szCs w:val="20"/>
        </w:rPr>
        <w:footnoteRef/>
      </w:r>
      <w:r w:rsidRPr="00E37017">
        <w:rPr>
          <w:sz w:val="20"/>
          <w:szCs w:val="20"/>
          <w:vertAlign w:val="baseline"/>
        </w:rPr>
        <w:t xml:space="preserve"> </w:t>
      </w:r>
      <w:r>
        <w:rPr>
          <w:sz w:val="20"/>
          <w:szCs w:val="20"/>
          <w:vertAlign w:val="baseline"/>
        </w:rPr>
        <w:t>ibid</w:t>
      </w:r>
    </w:p>
  </w:footnote>
  <w:footnote w:id="596">
    <w:p w14:paraId="36B43FAB" w14:textId="1E6FB71F" w:rsidR="00431A55" w:rsidRPr="00152210" w:rsidRDefault="00431A55">
      <w:pPr>
        <w:pStyle w:val="FootnoteText"/>
        <w:rPr>
          <w:vertAlign w:val="baseline"/>
          <w:lang w:val="en-US"/>
        </w:rPr>
      </w:pPr>
      <w:r w:rsidRPr="00152210">
        <w:rPr>
          <w:rStyle w:val="FootnoteReference"/>
          <w:sz w:val="20"/>
          <w:szCs w:val="20"/>
        </w:rPr>
        <w:footnoteRef/>
      </w:r>
      <w:r w:rsidRPr="00152210">
        <w:rPr>
          <w:sz w:val="20"/>
          <w:szCs w:val="20"/>
        </w:rPr>
        <w:t xml:space="preserve"> </w:t>
      </w:r>
      <w:r>
        <w:rPr>
          <w:sz w:val="20"/>
          <w:szCs w:val="20"/>
          <w:vertAlign w:val="baseline"/>
        </w:rPr>
        <w:t>ibid</w:t>
      </w:r>
    </w:p>
  </w:footnote>
  <w:footnote w:id="597">
    <w:p w14:paraId="5A0EFD45" w14:textId="7AAE99B8" w:rsidR="00431A55" w:rsidRPr="00E37017" w:rsidRDefault="00431A55" w:rsidP="005F7752">
      <w:pPr>
        <w:pStyle w:val="FootnoteText"/>
        <w:rPr>
          <w:sz w:val="20"/>
          <w:szCs w:val="20"/>
          <w:vertAlign w:val="baseline"/>
        </w:rPr>
      </w:pPr>
      <w:r w:rsidRPr="00E37017">
        <w:rPr>
          <w:rStyle w:val="FootnoteReference"/>
          <w:sz w:val="20"/>
          <w:szCs w:val="20"/>
        </w:rPr>
        <w:footnoteRef/>
      </w:r>
      <w:r>
        <w:rPr>
          <w:sz w:val="20"/>
          <w:szCs w:val="20"/>
          <w:vertAlign w:val="baseline"/>
        </w:rPr>
        <w:t xml:space="preserve"> Section 3.6.4</w:t>
      </w:r>
    </w:p>
  </w:footnote>
  <w:footnote w:id="598">
    <w:p w14:paraId="0C1727B2" w14:textId="0D6B4654" w:rsidR="00431A55" w:rsidRPr="00E37017" w:rsidRDefault="00431A55" w:rsidP="005F7752">
      <w:pPr>
        <w:pStyle w:val="FootnoteText"/>
        <w:rPr>
          <w:sz w:val="20"/>
          <w:szCs w:val="20"/>
          <w:vertAlign w:val="baseline"/>
        </w:rPr>
      </w:pPr>
      <w:r w:rsidRPr="00E37017">
        <w:rPr>
          <w:rStyle w:val="FootnoteReference"/>
          <w:sz w:val="20"/>
          <w:szCs w:val="20"/>
        </w:rPr>
        <w:footnoteRef/>
      </w:r>
      <w:r w:rsidRPr="00E37017">
        <w:rPr>
          <w:sz w:val="20"/>
          <w:szCs w:val="20"/>
          <w:vertAlign w:val="baseline"/>
        </w:rPr>
        <w:t xml:space="preserve"> ‘Nepal mob burns 'witch' alive in horrifying attack’ </w:t>
      </w:r>
      <w:r w:rsidRPr="00E37017">
        <w:rPr>
          <w:i/>
          <w:sz w:val="20"/>
          <w:szCs w:val="20"/>
          <w:vertAlign w:val="baseline"/>
        </w:rPr>
        <w:t xml:space="preserve">The Telegraph </w:t>
      </w:r>
      <w:r w:rsidRPr="00E37017">
        <w:rPr>
          <w:sz w:val="20"/>
          <w:szCs w:val="20"/>
          <w:vertAlign w:val="baseline"/>
        </w:rPr>
        <w:t>(London 17 February 2012)</w:t>
      </w:r>
    </w:p>
  </w:footnote>
  <w:footnote w:id="599">
    <w:p w14:paraId="6F5A9328" w14:textId="2CD36192" w:rsidR="00431A55" w:rsidRDefault="00431A55" w:rsidP="005F7752">
      <w:pPr>
        <w:pStyle w:val="FootnoteText"/>
      </w:pPr>
      <w:r w:rsidRPr="00E37017">
        <w:rPr>
          <w:rStyle w:val="FootnoteReference"/>
          <w:sz w:val="20"/>
          <w:szCs w:val="20"/>
        </w:rPr>
        <w:footnoteRef/>
      </w:r>
      <w:r w:rsidRPr="00E37017">
        <w:rPr>
          <w:sz w:val="20"/>
          <w:szCs w:val="20"/>
          <w:vertAlign w:val="baseline"/>
        </w:rPr>
        <w:t xml:space="preserve"> ‘Woman thrashed on witchcraft charge’ Himalayan</w:t>
      </w:r>
      <w:r w:rsidRPr="00E37017">
        <w:rPr>
          <w:i/>
          <w:sz w:val="20"/>
          <w:szCs w:val="20"/>
          <w:vertAlign w:val="baseline"/>
        </w:rPr>
        <w:t xml:space="preserve"> Times </w:t>
      </w:r>
      <w:r w:rsidRPr="00E37017">
        <w:rPr>
          <w:sz w:val="20"/>
          <w:szCs w:val="20"/>
          <w:vertAlign w:val="baseline"/>
        </w:rPr>
        <w:t xml:space="preserve">(Kathmandu 19 August 2014) </w:t>
      </w:r>
    </w:p>
  </w:footnote>
  <w:footnote w:id="600">
    <w:p w14:paraId="00CC47EB" w14:textId="395ED990" w:rsidR="00431A55" w:rsidRPr="006319F5" w:rsidRDefault="00431A55" w:rsidP="005F7752">
      <w:pPr>
        <w:pStyle w:val="FootnoteText"/>
        <w:rPr>
          <w:sz w:val="20"/>
          <w:szCs w:val="20"/>
          <w:vertAlign w:val="baseline"/>
        </w:rPr>
      </w:pPr>
      <w:r w:rsidRPr="006319F5">
        <w:rPr>
          <w:rStyle w:val="FootnoteReference"/>
          <w:sz w:val="20"/>
          <w:szCs w:val="20"/>
        </w:rPr>
        <w:footnoteRef/>
      </w:r>
      <w:r w:rsidRPr="006319F5">
        <w:rPr>
          <w:sz w:val="20"/>
          <w:szCs w:val="20"/>
          <w:vertAlign w:val="baseline"/>
        </w:rPr>
        <w:t xml:space="preserve"> ‘Woman killed for witchcraft’ </w:t>
      </w:r>
      <w:r w:rsidRPr="006319F5">
        <w:rPr>
          <w:i/>
          <w:sz w:val="20"/>
          <w:szCs w:val="20"/>
          <w:vertAlign w:val="baseline"/>
        </w:rPr>
        <w:t xml:space="preserve">Himalayan Times </w:t>
      </w:r>
      <w:r w:rsidRPr="006319F5">
        <w:rPr>
          <w:sz w:val="20"/>
          <w:szCs w:val="20"/>
          <w:vertAlign w:val="baseline"/>
        </w:rPr>
        <w:t>(Kathmandu 26 December 2013)</w:t>
      </w:r>
    </w:p>
  </w:footnote>
  <w:footnote w:id="601">
    <w:p w14:paraId="7F3A78DE" w14:textId="4E5BAB36" w:rsidR="00431A55" w:rsidRPr="006319F5" w:rsidRDefault="00431A55" w:rsidP="005F7752">
      <w:pPr>
        <w:pStyle w:val="FootnoteText"/>
        <w:rPr>
          <w:sz w:val="20"/>
          <w:szCs w:val="20"/>
          <w:vertAlign w:val="baseline"/>
          <w:lang w:val="en-US"/>
        </w:rPr>
      </w:pPr>
      <w:r w:rsidRPr="006319F5">
        <w:rPr>
          <w:rStyle w:val="FootnoteReference"/>
          <w:sz w:val="20"/>
          <w:szCs w:val="20"/>
        </w:rPr>
        <w:footnoteRef/>
      </w:r>
      <w:r w:rsidRPr="006319F5">
        <w:rPr>
          <w:sz w:val="20"/>
          <w:szCs w:val="20"/>
          <w:vertAlign w:val="baseline"/>
        </w:rPr>
        <w:t xml:space="preserve"> </w:t>
      </w:r>
      <w:r w:rsidRPr="006319F5">
        <w:rPr>
          <w:sz w:val="20"/>
          <w:szCs w:val="20"/>
          <w:vertAlign w:val="baseline"/>
          <w:lang w:val="en-US"/>
        </w:rPr>
        <w:t>HRC, ‘Report of the Special Rapporteur on violence against women, its causes and consequenc</w:t>
      </w:r>
      <w:r>
        <w:rPr>
          <w:sz w:val="20"/>
          <w:szCs w:val="20"/>
          <w:vertAlign w:val="baseline"/>
          <w:lang w:val="en-US"/>
        </w:rPr>
        <w:t>es, Ms. Radhika Coomaraswamy</w:t>
      </w:r>
      <w:r w:rsidRPr="006319F5">
        <w:rPr>
          <w:sz w:val="20"/>
          <w:szCs w:val="20"/>
          <w:vertAlign w:val="baseline"/>
          <w:lang w:val="en-US"/>
        </w:rPr>
        <w:t>: Mission to Bangladesh, Nepal and India on the issue of trafficking of women and gir</w:t>
      </w:r>
      <w:r>
        <w:rPr>
          <w:sz w:val="20"/>
          <w:szCs w:val="20"/>
          <w:vertAlign w:val="baseline"/>
          <w:lang w:val="en-US"/>
        </w:rPr>
        <w:t>ls</w:t>
      </w:r>
      <w:r w:rsidRPr="006319F5">
        <w:rPr>
          <w:sz w:val="20"/>
          <w:szCs w:val="20"/>
          <w:vertAlign w:val="baseline"/>
          <w:lang w:val="en-US"/>
        </w:rPr>
        <w:t>’ 6 February 2001, E/CN.4/2001/73/Add.2</w:t>
      </w:r>
    </w:p>
  </w:footnote>
  <w:footnote w:id="602">
    <w:p w14:paraId="013BDCEE" w14:textId="77777777" w:rsidR="00431A55" w:rsidRPr="006319F5" w:rsidRDefault="00431A55" w:rsidP="005F7752">
      <w:pPr>
        <w:rPr>
          <w:rFonts w:ascii="Times" w:eastAsia="Times New Roman" w:hAnsi="Times" w:cs="Times New Roman"/>
          <w:vertAlign w:val="baseline"/>
        </w:rPr>
      </w:pPr>
      <w:r w:rsidRPr="006319F5">
        <w:rPr>
          <w:rStyle w:val="FootnoteReference"/>
        </w:rPr>
        <w:footnoteRef/>
      </w:r>
      <w:r w:rsidRPr="006319F5">
        <w:rPr>
          <w:vertAlign w:val="baseline"/>
        </w:rPr>
        <w:t xml:space="preserve"> HRC, ‘</w:t>
      </w:r>
      <w:r w:rsidRPr="006319F5">
        <w:rPr>
          <w:rFonts w:eastAsia="Times New Roman" w:cs="Times New Roman"/>
          <w:vertAlign w:val="baseline"/>
        </w:rPr>
        <w:t>Report by the Special Rapporteur on torture and other cruel, inhuman or degrading treatment or punishment, Manfred Nowak: Mission to Nepal’ 9 January 2006, E/CN.4/2006/6/Add.5</w:t>
      </w:r>
    </w:p>
  </w:footnote>
  <w:footnote w:id="603">
    <w:p w14:paraId="709748BC" w14:textId="77777777" w:rsidR="00431A55" w:rsidRPr="006319F5" w:rsidRDefault="00431A55" w:rsidP="005F7752">
      <w:pPr>
        <w:pStyle w:val="NoSpacing"/>
        <w:rPr>
          <w:rFonts w:ascii="Times" w:hAnsi="Times"/>
          <w:vertAlign w:val="baseline"/>
        </w:rPr>
      </w:pPr>
      <w:r w:rsidRPr="006319F5">
        <w:rPr>
          <w:rStyle w:val="FootnoteReference"/>
        </w:rPr>
        <w:footnoteRef/>
      </w:r>
      <w:r w:rsidRPr="006319F5">
        <w:rPr>
          <w:vertAlign w:val="baseline"/>
        </w:rPr>
        <w:t xml:space="preserve"> HRC, ‘Report of the Special Rapporteur on extrajudicial, summary or arbitrary executions, Ms. Asma Jahangir, submitted pursuant to Commission on Human Rights resolution 2000/31: Mission to Nepal’ 9 August 2001, E/CN.4/2001/9/Add.2</w:t>
      </w:r>
    </w:p>
  </w:footnote>
  <w:footnote w:id="604">
    <w:p w14:paraId="76CE4FED" w14:textId="144BCB89" w:rsidR="00431A55" w:rsidRPr="00201BED" w:rsidRDefault="00431A55" w:rsidP="005F7752">
      <w:pPr>
        <w:pStyle w:val="FootnoteText"/>
        <w:rPr>
          <w:lang w:val="en-US"/>
        </w:rPr>
      </w:pPr>
      <w:r w:rsidRPr="006319F5">
        <w:rPr>
          <w:rStyle w:val="FootnoteReference"/>
          <w:sz w:val="20"/>
          <w:szCs w:val="20"/>
        </w:rPr>
        <w:footnoteRef/>
      </w:r>
      <w:r w:rsidRPr="006319F5">
        <w:rPr>
          <w:sz w:val="20"/>
          <w:szCs w:val="20"/>
          <w:vertAlign w:val="baseline"/>
        </w:rPr>
        <w:t xml:space="preserve"> </w:t>
      </w:r>
      <w:r>
        <w:rPr>
          <w:sz w:val="20"/>
          <w:szCs w:val="20"/>
          <w:vertAlign w:val="baseline"/>
        </w:rPr>
        <w:t>ibid,</w:t>
      </w:r>
      <w:r w:rsidRPr="006319F5">
        <w:rPr>
          <w:sz w:val="20"/>
          <w:szCs w:val="20"/>
          <w:vertAlign w:val="baseline"/>
        </w:rPr>
        <w:t xml:space="preserve"> para 67</w:t>
      </w:r>
    </w:p>
  </w:footnote>
  <w:footnote w:id="605">
    <w:p w14:paraId="63DD3799" w14:textId="77777777" w:rsidR="00431A55" w:rsidRPr="00A05C4F" w:rsidRDefault="00431A55" w:rsidP="005F7752">
      <w:pPr>
        <w:pStyle w:val="FootnoteText"/>
        <w:rPr>
          <w:sz w:val="20"/>
          <w:szCs w:val="20"/>
          <w:vertAlign w:val="baseline"/>
          <w:lang w:val="en-US"/>
        </w:rPr>
      </w:pPr>
      <w:r w:rsidRPr="00A05C4F">
        <w:rPr>
          <w:rStyle w:val="FootnoteReference"/>
          <w:sz w:val="20"/>
          <w:szCs w:val="20"/>
        </w:rPr>
        <w:footnoteRef/>
      </w:r>
      <w:r w:rsidRPr="00A05C4F">
        <w:rPr>
          <w:sz w:val="20"/>
          <w:szCs w:val="20"/>
          <w:vertAlign w:val="baseline"/>
        </w:rPr>
        <w:t xml:space="preserve"> Australian Government Department of Foreign Affairs and Trade, ‘Papua New Guinea Country Brief’ &lt;</w:t>
      </w:r>
      <w:hyperlink r:id="rId86" w:history="1">
        <w:r w:rsidRPr="00A05C4F">
          <w:rPr>
            <w:rStyle w:val="Hyperlink"/>
            <w:sz w:val="20"/>
            <w:szCs w:val="20"/>
            <w:vertAlign w:val="baseline"/>
          </w:rPr>
          <w:t>http://dfat.gov.au/geo/papua-new-guinea/pages/papua-new-guinea-country-brief.aspx</w:t>
        </w:r>
      </w:hyperlink>
      <w:r w:rsidRPr="00A05C4F">
        <w:rPr>
          <w:sz w:val="20"/>
          <w:szCs w:val="20"/>
          <w:vertAlign w:val="baseline"/>
        </w:rPr>
        <w:t>&gt; accessed 26 August 2015</w:t>
      </w:r>
    </w:p>
  </w:footnote>
  <w:footnote w:id="606">
    <w:p w14:paraId="38AAD634" w14:textId="77777777" w:rsidR="00431A55" w:rsidRPr="00A05C4F" w:rsidRDefault="00431A55" w:rsidP="005F7752">
      <w:pPr>
        <w:pStyle w:val="FootnoteText"/>
        <w:rPr>
          <w:sz w:val="20"/>
          <w:szCs w:val="20"/>
          <w:vertAlign w:val="baseline"/>
          <w:lang w:val="en-US"/>
        </w:rPr>
      </w:pPr>
      <w:r w:rsidRPr="00A05C4F">
        <w:rPr>
          <w:rStyle w:val="FootnoteReference"/>
          <w:sz w:val="20"/>
          <w:szCs w:val="20"/>
        </w:rPr>
        <w:footnoteRef/>
      </w:r>
      <w:r w:rsidRPr="00A05C4F">
        <w:rPr>
          <w:sz w:val="20"/>
          <w:szCs w:val="20"/>
          <w:vertAlign w:val="baseline"/>
        </w:rPr>
        <w:t xml:space="preserve"> Bureau of Democracy, Human Rights and Labour, </w:t>
      </w:r>
      <w:r w:rsidRPr="00A05C4F">
        <w:rPr>
          <w:sz w:val="20"/>
          <w:szCs w:val="20"/>
          <w:vertAlign w:val="baseline"/>
          <w:lang w:val="en-US"/>
        </w:rPr>
        <w:t>‘Papua New Guinea International Religious Freedom Report’ (2012) US Department of State &lt;</w:t>
      </w:r>
      <w:hyperlink r:id="rId87" w:history="1">
        <w:r w:rsidRPr="00A05C4F">
          <w:rPr>
            <w:rStyle w:val="Hyperlink"/>
            <w:sz w:val="20"/>
            <w:szCs w:val="20"/>
            <w:vertAlign w:val="baseline"/>
            <w:lang w:val="en-US"/>
          </w:rPr>
          <w:t>http://www.state.gov/documents/organization/208470.pdf</w:t>
        </w:r>
      </w:hyperlink>
      <w:r w:rsidRPr="00A05C4F">
        <w:rPr>
          <w:sz w:val="20"/>
          <w:szCs w:val="20"/>
          <w:vertAlign w:val="baseline"/>
          <w:lang w:val="en-US"/>
        </w:rPr>
        <w:t>&gt; accessed 26 August 2015</w:t>
      </w:r>
    </w:p>
  </w:footnote>
  <w:footnote w:id="607">
    <w:p w14:paraId="0CE858C5" w14:textId="77777777" w:rsidR="00431A55" w:rsidRPr="00A05C4F" w:rsidRDefault="00431A55" w:rsidP="005F7752">
      <w:pPr>
        <w:pStyle w:val="FootnoteText"/>
        <w:rPr>
          <w:sz w:val="20"/>
          <w:szCs w:val="20"/>
          <w:vertAlign w:val="baseline"/>
          <w:lang w:val="en-US"/>
        </w:rPr>
      </w:pPr>
      <w:r w:rsidRPr="00A05C4F">
        <w:rPr>
          <w:rStyle w:val="FootnoteReference"/>
          <w:sz w:val="20"/>
          <w:szCs w:val="20"/>
        </w:rPr>
        <w:footnoteRef/>
      </w:r>
      <w:r w:rsidRPr="00A05C4F">
        <w:rPr>
          <w:sz w:val="20"/>
          <w:szCs w:val="20"/>
          <w:vertAlign w:val="baseline"/>
        </w:rPr>
        <w:t xml:space="preserve"> </w:t>
      </w:r>
      <w:r w:rsidRPr="00A05C4F">
        <w:rPr>
          <w:sz w:val="20"/>
          <w:szCs w:val="20"/>
          <w:vertAlign w:val="baseline"/>
          <w:lang w:val="en-US"/>
        </w:rPr>
        <w:t xml:space="preserve">Divided up as 27% Roman Catholic, 20% Evangelical Lutheran, 12% United Church, 10 % Seventh-day Adventist, 9% Pentecostal, 5% Evangelical Alliance, 3% Anglican, 3% Baptist. Other groups including The Mormons, Jehovah’s Witnesses and the Salvation Army comprise of 9%. </w:t>
      </w:r>
    </w:p>
  </w:footnote>
  <w:footnote w:id="608">
    <w:p w14:paraId="48A222CE" w14:textId="0D033C67" w:rsidR="00431A55" w:rsidRPr="00A05C4F" w:rsidRDefault="00431A55" w:rsidP="005F7752">
      <w:pPr>
        <w:pStyle w:val="FootnoteText"/>
        <w:rPr>
          <w:sz w:val="20"/>
          <w:szCs w:val="20"/>
          <w:vertAlign w:val="baseline"/>
          <w:lang w:val="en-US"/>
        </w:rPr>
      </w:pPr>
      <w:r w:rsidRPr="00A05C4F">
        <w:rPr>
          <w:rStyle w:val="FootnoteReference"/>
          <w:sz w:val="20"/>
          <w:szCs w:val="20"/>
        </w:rPr>
        <w:footnoteRef/>
      </w:r>
      <w:r w:rsidRPr="00A05C4F">
        <w:rPr>
          <w:sz w:val="20"/>
          <w:szCs w:val="20"/>
          <w:vertAlign w:val="baseline"/>
        </w:rPr>
        <w:t xml:space="preserve"> Bureau of Democracy</w:t>
      </w:r>
      <w:r>
        <w:rPr>
          <w:sz w:val="20"/>
          <w:szCs w:val="20"/>
          <w:vertAlign w:val="baseline"/>
        </w:rPr>
        <w:t xml:space="preserve"> (n 593)</w:t>
      </w:r>
    </w:p>
  </w:footnote>
  <w:footnote w:id="609">
    <w:p w14:paraId="0F1E1D3E" w14:textId="77777777" w:rsidR="00431A55" w:rsidRPr="00A05C4F" w:rsidRDefault="00431A55" w:rsidP="005F7752">
      <w:pPr>
        <w:pStyle w:val="FootnoteText"/>
        <w:rPr>
          <w:sz w:val="20"/>
          <w:szCs w:val="20"/>
          <w:vertAlign w:val="baseline"/>
          <w:lang w:val="en-US"/>
        </w:rPr>
      </w:pPr>
      <w:r w:rsidRPr="00A05C4F">
        <w:rPr>
          <w:rStyle w:val="FootnoteReference"/>
          <w:sz w:val="20"/>
          <w:szCs w:val="20"/>
        </w:rPr>
        <w:footnoteRef/>
      </w:r>
      <w:r w:rsidRPr="00A05C4F">
        <w:rPr>
          <w:sz w:val="20"/>
          <w:szCs w:val="20"/>
          <w:vertAlign w:val="baseline"/>
        </w:rPr>
        <w:t xml:space="preserve"> </w:t>
      </w:r>
      <w:r w:rsidRPr="00A05C4F">
        <w:rPr>
          <w:sz w:val="20"/>
          <w:szCs w:val="20"/>
          <w:vertAlign w:val="baseline"/>
          <w:lang w:val="en-US"/>
        </w:rPr>
        <w:t xml:space="preserve">Bruce Hill, ‘PNG police lack manpower to fight escalating tribal violence in Hela province, commander says’ </w:t>
      </w:r>
      <w:r w:rsidRPr="00A05C4F">
        <w:rPr>
          <w:i/>
          <w:sz w:val="20"/>
          <w:szCs w:val="20"/>
          <w:vertAlign w:val="baseline"/>
          <w:lang w:val="en-US"/>
        </w:rPr>
        <w:t xml:space="preserve">ABC News </w:t>
      </w:r>
      <w:r w:rsidRPr="00A05C4F">
        <w:rPr>
          <w:sz w:val="20"/>
          <w:szCs w:val="20"/>
          <w:vertAlign w:val="baseline"/>
          <w:lang w:val="en-US"/>
        </w:rPr>
        <w:t>(PNG, 13 November 2014) &lt;</w:t>
      </w:r>
      <w:hyperlink r:id="rId88" w:history="1">
        <w:r w:rsidRPr="00A05C4F">
          <w:rPr>
            <w:rStyle w:val="Hyperlink"/>
            <w:sz w:val="20"/>
            <w:szCs w:val="20"/>
            <w:vertAlign w:val="baseline"/>
            <w:lang w:val="en-US"/>
          </w:rPr>
          <w:t>http://www.abc.net.au/news/2014-11-13/png-police-lack-manpower-to-halt-escalating-tribal-war/5889886</w:t>
        </w:r>
      </w:hyperlink>
      <w:r w:rsidRPr="00A05C4F">
        <w:rPr>
          <w:sz w:val="20"/>
          <w:szCs w:val="20"/>
          <w:vertAlign w:val="baseline"/>
          <w:lang w:val="en-US"/>
        </w:rPr>
        <w:t>&gt; accessed 26 August 2015; Frederik Kok, ‘Papua New Guinea: invisible and neglected protracted displacement’ (</w:t>
      </w:r>
      <w:r w:rsidRPr="00A05C4F">
        <w:rPr>
          <w:i/>
          <w:sz w:val="20"/>
          <w:szCs w:val="20"/>
          <w:vertAlign w:val="baseline"/>
          <w:lang w:val="en-US"/>
        </w:rPr>
        <w:t xml:space="preserve">Internal Displacement Monitoring Centre, </w:t>
      </w:r>
      <w:r w:rsidRPr="00A05C4F">
        <w:rPr>
          <w:sz w:val="20"/>
          <w:szCs w:val="20"/>
          <w:vertAlign w:val="baseline"/>
          <w:lang w:val="en-US"/>
        </w:rPr>
        <w:t xml:space="preserve"> 11 December 2014) &lt;</w:t>
      </w:r>
      <w:hyperlink r:id="rId89" w:history="1">
        <w:r w:rsidRPr="00A05C4F">
          <w:rPr>
            <w:rStyle w:val="Hyperlink"/>
            <w:sz w:val="20"/>
            <w:szCs w:val="20"/>
            <w:vertAlign w:val="baseline"/>
            <w:lang w:val="en-US"/>
          </w:rPr>
          <w:t>http://www.internal-displacement.org/south-and-south-east-asia/papua-new-guinea/2014/papua-new-guinea-invisible-and-neglected-protracted-displacement</w:t>
        </w:r>
      </w:hyperlink>
      <w:r w:rsidRPr="00A05C4F">
        <w:rPr>
          <w:sz w:val="20"/>
          <w:szCs w:val="20"/>
          <w:vertAlign w:val="baseline"/>
          <w:lang w:val="en-US"/>
        </w:rPr>
        <w:t>&gt; accessed 26 August 2015</w:t>
      </w:r>
    </w:p>
  </w:footnote>
  <w:footnote w:id="610">
    <w:p w14:paraId="1154964A" w14:textId="77777777" w:rsidR="00431A55" w:rsidRPr="007A7F88" w:rsidRDefault="00431A55" w:rsidP="005F7752">
      <w:pPr>
        <w:pStyle w:val="FootnoteText"/>
        <w:rPr>
          <w:lang w:val="en-US"/>
        </w:rPr>
      </w:pPr>
      <w:r w:rsidRPr="00A05C4F">
        <w:rPr>
          <w:rStyle w:val="FootnoteReference"/>
          <w:sz w:val="20"/>
          <w:szCs w:val="20"/>
        </w:rPr>
        <w:footnoteRef/>
      </w:r>
      <w:r w:rsidRPr="00A05C4F">
        <w:rPr>
          <w:sz w:val="20"/>
          <w:szCs w:val="20"/>
          <w:vertAlign w:val="baseline"/>
        </w:rPr>
        <w:t xml:space="preserve"> </w:t>
      </w:r>
      <w:r w:rsidRPr="00A05C4F">
        <w:rPr>
          <w:sz w:val="20"/>
          <w:szCs w:val="20"/>
          <w:vertAlign w:val="baseline"/>
          <w:lang w:val="en-US"/>
        </w:rPr>
        <w:t>Jo Chandler, ‘Violence against women in PNG: How men are getting away with murder’ (</w:t>
      </w:r>
      <w:r w:rsidRPr="00A05C4F">
        <w:rPr>
          <w:i/>
          <w:sz w:val="20"/>
          <w:szCs w:val="20"/>
          <w:vertAlign w:val="baseline"/>
          <w:lang w:val="en-US"/>
        </w:rPr>
        <w:t xml:space="preserve">Lowry Institute for International Policy, </w:t>
      </w:r>
      <w:r w:rsidRPr="00A05C4F">
        <w:rPr>
          <w:sz w:val="20"/>
          <w:szCs w:val="20"/>
          <w:vertAlign w:val="baseline"/>
          <w:lang w:val="en-US"/>
        </w:rPr>
        <w:t>29 August 2014) &lt;</w:t>
      </w:r>
      <w:hyperlink r:id="rId90" w:history="1">
        <w:r w:rsidRPr="00A05C4F">
          <w:rPr>
            <w:rStyle w:val="Hyperlink"/>
            <w:sz w:val="20"/>
            <w:szCs w:val="20"/>
            <w:vertAlign w:val="baseline"/>
            <w:lang w:val="en-US"/>
          </w:rPr>
          <w:t>http://www.lowyinstitute.org/publications/violence-against-women-png-how-men-are-getting-away-murder</w:t>
        </w:r>
      </w:hyperlink>
      <w:r w:rsidRPr="00A05C4F">
        <w:rPr>
          <w:sz w:val="20"/>
          <w:szCs w:val="20"/>
          <w:vertAlign w:val="baseline"/>
          <w:lang w:val="en-US"/>
        </w:rPr>
        <w:t>&gt; accessed 26 August 2015</w:t>
      </w:r>
    </w:p>
  </w:footnote>
  <w:footnote w:id="611">
    <w:p w14:paraId="75164249" w14:textId="5F7117E9" w:rsidR="00431A55" w:rsidRPr="00414218" w:rsidRDefault="00431A55" w:rsidP="005F7752">
      <w:pPr>
        <w:pStyle w:val="FootnoteText"/>
        <w:rPr>
          <w:sz w:val="20"/>
          <w:szCs w:val="20"/>
          <w:vertAlign w:val="baseline"/>
          <w:lang w:val="en-US"/>
        </w:rPr>
      </w:pPr>
      <w:r w:rsidRPr="00414218">
        <w:rPr>
          <w:rStyle w:val="FootnoteReference"/>
          <w:sz w:val="20"/>
          <w:szCs w:val="20"/>
        </w:rPr>
        <w:footnoteRef/>
      </w:r>
      <w:r w:rsidRPr="00414218">
        <w:rPr>
          <w:sz w:val="20"/>
          <w:szCs w:val="20"/>
          <w:vertAlign w:val="baseline"/>
        </w:rPr>
        <w:t xml:space="preserve"> </w:t>
      </w:r>
      <w:r>
        <w:rPr>
          <w:sz w:val="20"/>
          <w:szCs w:val="20"/>
          <w:vertAlign w:val="baseline"/>
        </w:rPr>
        <w:t xml:space="preserve">Human Rights Watch, </w:t>
      </w:r>
      <w:r w:rsidRPr="00414218">
        <w:rPr>
          <w:sz w:val="20"/>
          <w:szCs w:val="20"/>
          <w:vertAlign w:val="baseline"/>
          <w:lang w:val="en-US"/>
        </w:rPr>
        <w:t>‘World Report 2015: Papua New Guinea’ (</w:t>
      </w:r>
      <w:r>
        <w:rPr>
          <w:sz w:val="20"/>
          <w:szCs w:val="20"/>
          <w:vertAlign w:val="baseline"/>
          <w:lang w:val="en-US"/>
        </w:rPr>
        <w:t xml:space="preserve">HRW 2015) </w:t>
      </w:r>
      <w:r w:rsidRPr="00414218">
        <w:rPr>
          <w:sz w:val="20"/>
          <w:szCs w:val="20"/>
          <w:vertAlign w:val="baseline"/>
          <w:lang w:val="en-US"/>
        </w:rPr>
        <w:t>&lt;</w:t>
      </w:r>
      <w:hyperlink r:id="rId91" w:history="1">
        <w:r w:rsidRPr="00414218">
          <w:rPr>
            <w:rStyle w:val="Hyperlink"/>
            <w:sz w:val="20"/>
            <w:szCs w:val="20"/>
            <w:vertAlign w:val="baseline"/>
            <w:lang w:val="en-US"/>
          </w:rPr>
          <w:t>https://www.hrw.org/world-report/2015/country-chapters/papua-new-guinea</w:t>
        </w:r>
      </w:hyperlink>
      <w:r w:rsidRPr="00414218">
        <w:rPr>
          <w:sz w:val="20"/>
          <w:szCs w:val="20"/>
          <w:vertAlign w:val="baseline"/>
          <w:lang w:val="en-US"/>
        </w:rPr>
        <w:t>&gt; accessed 26 August 2015</w:t>
      </w:r>
    </w:p>
  </w:footnote>
  <w:footnote w:id="612">
    <w:p w14:paraId="71F9ED91" w14:textId="2D3FFCB7" w:rsidR="00431A55" w:rsidRPr="00414218" w:rsidRDefault="00431A55" w:rsidP="005F7752">
      <w:pPr>
        <w:pStyle w:val="FootnoteText"/>
        <w:rPr>
          <w:sz w:val="20"/>
          <w:szCs w:val="20"/>
          <w:vertAlign w:val="baseline"/>
          <w:lang w:val="en-US"/>
        </w:rPr>
      </w:pPr>
      <w:r w:rsidRPr="00414218">
        <w:rPr>
          <w:rStyle w:val="FootnoteReference"/>
          <w:sz w:val="20"/>
          <w:szCs w:val="20"/>
        </w:rPr>
        <w:footnoteRef/>
      </w:r>
      <w:r w:rsidRPr="00414218">
        <w:rPr>
          <w:sz w:val="20"/>
          <w:szCs w:val="20"/>
          <w:vertAlign w:val="baseline"/>
        </w:rPr>
        <w:t xml:space="preserve"> </w:t>
      </w:r>
      <w:r>
        <w:rPr>
          <w:sz w:val="20"/>
          <w:szCs w:val="20"/>
          <w:vertAlign w:val="baseline"/>
        </w:rPr>
        <w:t xml:space="preserve">Amnesty International, </w:t>
      </w:r>
      <w:r w:rsidRPr="00414218">
        <w:rPr>
          <w:sz w:val="20"/>
          <w:szCs w:val="20"/>
          <w:vertAlign w:val="baseline"/>
          <w:lang w:val="en-US"/>
        </w:rPr>
        <w:t>‘Papua New Guinea Update to the Briefing to the UN Committee on the Elimination of Discrimination Against Women: Violence against Women’ (</w:t>
      </w:r>
      <w:r w:rsidRPr="0005295C">
        <w:rPr>
          <w:sz w:val="20"/>
          <w:szCs w:val="20"/>
          <w:vertAlign w:val="baseline"/>
          <w:lang w:val="en-US"/>
        </w:rPr>
        <w:t>Amnesty International</w:t>
      </w:r>
      <w:r w:rsidRPr="00414218">
        <w:rPr>
          <w:sz w:val="20"/>
          <w:szCs w:val="20"/>
          <w:vertAlign w:val="baseline"/>
          <w:lang w:val="en-US"/>
        </w:rPr>
        <w:t xml:space="preserve"> 2010)</w:t>
      </w:r>
    </w:p>
  </w:footnote>
  <w:footnote w:id="613">
    <w:p w14:paraId="1C1BC80B" w14:textId="5A441824" w:rsidR="00431A55" w:rsidRPr="00EC5BF6" w:rsidRDefault="00431A55" w:rsidP="005F7752">
      <w:pPr>
        <w:pStyle w:val="FootnoteText"/>
        <w:rPr>
          <w:sz w:val="20"/>
          <w:szCs w:val="20"/>
          <w:vertAlign w:val="baseline"/>
        </w:rPr>
      </w:pPr>
      <w:r w:rsidRPr="00414218">
        <w:rPr>
          <w:rStyle w:val="FootnoteReference"/>
          <w:sz w:val="20"/>
          <w:szCs w:val="20"/>
        </w:rPr>
        <w:footnoteRef/>
      </w:r>
      <w:r w:rsidRPr="00414218">
        <w:rPr>
          <w:sz w:val="20"/>
          <w:szCs w:val="20"/>
          <w:vertAlign w:val="baseline"/>
        </w:rPr>
        <w:t xml:space="preserve"> </w:t>
      </w:r>
      <w:r>
        <w:rPr>
          <w:sz w:val="20"/>
          <w:szCs w:val="20"/>
          <w:vertAlign w:val="baseline"/>
        </w:rPr>
        <w:t>HRC</w:t>
      </w:r>
      <w:r w:rsidRPr="00414218">
        <w:rPr>
          <w:sz w:val="20"/>
          <w:szCs w:val="20"/>
          <w:vertAlign w:val="baseline"/>
        </w:rPr>
        <w:t xml:space="preserve">, </w:t>
      </w:r>
      <w:r w:rsidRPr="00EC5BF6">
        <w:rPr>
          <w:sz w:val="20"/>
          <w:szCs w:val="20"/>
          <w:vertAlign w:val="baseline"/>
        </w:rPr>
        <w:t xml:space="preserve">Report of the Special Rapporteur on torture and other cruel, </w:t>
      </w:r>
    </w:p>
    <w:p w14:paraId="70D604EA" w14:textId="72367EC0" w:rsidR="00431A55" w:rsidRPr="00414218" w:rsidRDefault="00431A55" w:rsidP="005F7752">
      <w:pPr>
        <w:pStyle w:val="FootnoteText"/>
        <w:rPr>
          <w:sz w:val="20"/>
          <w:szCs w:val="20"/>
          <w:vertAlign w:val="baseline"/>
        </w:rPr>
      </w:pPr>
      <w:r w:rsidRPr="00EC5BF6">
        <w:rPr>
          <w:sz w:val="20"/>
          <w:szCs w:val="20"/>
          <w:vertAlign w:val="baseline"/>
        </w:rPr>
        <w:t>inhuman or degrading treatment or punishment: Mission to Papua New Guinea</w:t>
      </w:r>
      <w:r w:rsidRPr="00414218">
        <w:rPr>
          <w:sz w:val="20"/>
          <w:szCs w:val="20"/>
          <w:vertAlign w:val="baseline"/>
        </w:rPr>
        <w:t xml:space="preserve"> (Human Rights Council A/HRC/16/52/Add 5, 7 February 2011) </w:t>
      </w:r>
    </w:p>
  </w:footnote>
  <w:footnote w:id="614">
    <w:p w14:paraId="5D878AAE" w14:textId="73C2E472" w:rsidR="00431A55" w:rsidRPr="00414218" w:rsidRDefault="00431A55" w:rsidP="005F7752">
      <w:pPr>
        <w:pStyle w:val="FootnoteText"/>
        <w:rPr>
          <w:sz w:val="20"/>
          <w:szCs w:val="20"/>
          <w:vertAlign w:val="baseline"/>
        </w:rPr>
      </w:pPr>
      <w:r w:rsidRPr="00414218">
        <w:rPr>
          <w:rStyle w:val="FootnoteReference"/>
          <w:sz w:val="20"/>
          <w:szCs w:val="20"/>
        </w:rPr>
        <w:footnoteRef/>
      </w:r>
      <w:r w:rsidRPr="00414218">
        <w:rPr>
          <w:sz w:val="20"/>
          <w:szCs w:val="20"/>
          <w:vertAlign w:val="baseline"/>
        </w:rPr>
        <w:t xml:space="preserve"> UNDP, ‘Gender Inequality Index’ </w:t>
      </w:r>
      <w:r>
        <w:rPr>
          <w:sz w:val="20"/>
          <w:szCs w:val="20"/>
          <w:vertAlign w:val="baseline"/>
        </w:rPr>
        <w:t>(n 474)</w:t>
      </w:r>
    </w:p>
  </w:footnote>
  <w:footnote w:id="615">
    <w:p w14:paraId="33E010D9" w14:textId="038A800F" w:rsidR="00431A55" w:rsidRPr="00414218" w:rsidRDefault="00431A55" w:rsidP="005F7752">
      <w:pPr>
        <w:pStyle w:val="FootnoteText"/>
        <w:rPr>
          <w:i/>
          <w:sz w:val="20"/>
          <w:szCs w:val="20"/>
          <w:vertAlign w:val="baseline"/>
        </w:rPr>
      </w:pPr>
      <w:r w:rsidRPr="00414218">
        <w:rPr>
          <w:rStyle w:val="FootnoteReference"/>
          <w:sz w:val="20"/>
          <w:szCs w:val="20"/>
        </w:rPr>
        <w:footnoteRef/>
      </w:r>
      <w:r w:rsidRPr="00414218">
        <w:rPr>
          <w:sz w:val="20"/>
          <w:szCs w:val="20"/>
          <w:vertAlign w:val="baseline"/>
        </w:rPr>
        <w:t xml:space="preserve"> </w:t>
      </w:r>
      <w:r>
        <w:rPr>
          <w:sz w:val="20"/>
          <w:szCs w:val="20"/>
          <w:vertAlign w:val="baseline"/>
        </w:rPr>
        <w:t>HRC</w:t>
      </w:r>
      <w:r w:rsidRPr="00414218">
        <w:rPr>
          <w:sz w:val="20"/>
          <w:szCs w:val="20"/>
          <w:vertAlign w:val="baseline"/>
        </w:rPr>
        <w:t xml:space="preserve">, </w:t>
      </w:r>
      <w:r w:rsidRPr="00414218">
        <w:rPr>
          <w:i/>
          <w:sz w:val="20"/>
          <w:szCs w:val="20"/>
          <w:vertAlign w:val="baseline"/>
        </w:rPr>
        <w:t xml:space="preserve">Report of the Special Rapporteur on torture and other cruel, </w:t>
      </w:r>
    </w:p>
    <w:p w14:paraId="35F3344B" w14:textId="2D8CB982" w:rsidR="00431A55" w:rsidRDefault="00431A55" w:rsidP="005F7752">
      <w:pPr>
        <w:pStyle w:val="FootnoteText"/>
      </w:pPr>
      <w:r w:rsidRPr="00414218">
        <w:rPr>
          <w:i/>
          <w:sz w:val="20"/>
          <w:szCs w:val="20"/>
          <w:vertAlign w:val="baseline"/>
        </w:rPr>
        <w:t>inhuman or degrading treatment or punishment: Mission to Papua New Guinea</w:t>
      </w:r>
      <w:r w:rsidRPr="00414218">
        <w:rPr>
          <w:sz w:val="20"/>
          <w:szCs w:val="20"/>
          <w:vertAlign w:val="baseline"/>
        </w:rPr>
        <w:t xml:space="preserve"> </w:t>
      </w:r>
      <w:r>
        <w:rPr>
          <w:sz w:val="20"/>
          <w:szCs w:val="20"/>
          <w:vertAlign w:val="baseline"/>
        </w:rPr>
        <w:t>7 Feb 2011 (n 593)</w:t>
      </w:r>
      <w:r w:rsidRPr="00414218">
        <w:rPr>
          <w:sz w:val="20"/>
          <w:szCs w:val="20"/>
          <w:vertAlign w:val="baseline"/>
        </w:rPr>
        <w:t xml:space="preserve"> 9</w:t>
      </w:r>
    </w:p>
  </w:footnote>
  <w:footnote w:id="616">
    <w:p w14:paraId="4E29E475" w14:textId="193B4B6C" w:rsidR="00431A55" w:rsidRPr="000D7FA8" w:rsidRDefault="00431A55" w:rsidP="005F7752">
      <w:pPr>
        <w:pStyle w:val="FootnoteText"/>
        <w:rPr>
          <w:sz w:val="20"/>
          <w:szCs w:val="20"/>
          <w:vertAlign w:val="baseline"/>
        </w:rPr>
      </w:pPr>
      <w:r w:rsidRPr="000D7FA8">
        <w:rPr>
          <w:rStyle w:val="FootnoteReference"/>
          <w:sz w:val="20"/>
          <w:szCs w:val="20"/>
        </w:rPr>
        <w:footnoteRef/>
      </w:r>
      <w:r w:rsidRPr="000D7FA8">
        <w:rPr>
          <w:sz w:val="20"/>
          <w:szCs w:val="20"/>
          <w:vertAlign w:val="baseline"/>
        </w:rPr>
        <w:t xml:space="preserve"> Amnesty In</w:t>
      </w:r>
      <w:r>
        <w:rPr>
          <w:sz w:val="20"/>
          <w:szCs w:val="20"/>
          <w:vertAlign w:val="baseline"/>
        </w:rPr>
        <w:t>ternational, ‘Papua New Guinea’ (n 599)</w:t>
      </w:r>
    </w:p>
  </w:footnote>
  <w:footnote w:id="617">
    <w:p w14:paraId="382E33B9" w14:textId="665417D1" w:rsidR="00431A55" w:rsidRPr="000D7FA8" w:rsidRDefault="00431A55" w:rsidP="005F7752">
      <w:pPr>
        <w:pStyle w:val="FootnoteText"/>
        <w:rPr>
          <w:sz w:val="20"/>
          <w:szCs w:val="20"/>
          <w:vertAlign w:val="baseline"/>
        </w:rPr>
      </w:pPr>
      <w:r w:rsidRPr="000D7FA8">
        <w:rPr>
          <w:rStyle w:val="FootnoteReference"/>
          <w:sz w:val="20"/>
          <w:szCs w:val="20"/>
        </w:rPr>
        <w:footnoteRef/>
      </w:r>
      <w:r w:rsidRPr="000D7FA8">
        <w:rPr>
          <w:sz w:val="20"/>
          <w:szCs w:val="20"/>
          <w:vertAlign w:val="baseline"/>
        </w:rPr>
        <w:t xml:space="preserve"> Richard Eves and Angela Kelly-Hanku, ‘Witch-Hunts in Papua New Guinea’s Eastern Highlands Province: A Fieldwork Report’ (2014) 4 State, Society and Governance in Melanesia 1</w:t>
      </w:r>
    </w:p>
  </w:footnote>
  <w:footnote w:id="618">
    <w:p w14:paraId="5F83042A" w14:textId="0087CB38" w:rsidR="00431A55" w:rsidRPr="00371A61" w:rsidRDefault="00431A55" w:rsidP="005F7752">
      <w:pPr>
        <w:pStyle w:val="FootnoteText"/>
        <w:rPr>
          <w:sz w:val="20"/>
          <w:szCs w:val="20"/>
          <w:vertAlign w:val="baseline"/>
        </w:rPr>
      </w:pPr>
      <w:r w:rsidRPr="000D7FA8">
        <w:rPr>
          <w:rStyle w:val="FootnoteReference"/>
          <w:sz w:val="20"/>
          <w:szCs w:val="20"/>
        </w:rPr>
        <w:footnoteRef/>
      </w:r>
      <w:r w:rsidRPr="000D7FA8">
        <w:rPr>
          <w:sz w:val="20"/>
          <w:szCs w:val="20"/>
          <w:vertAlign w:val="baseline"/>
        </w:rPr>
        <w:t xml:space="preserve"> Amnesty In</w:t>
      </w:r>
      <w:r>
        <w:rPr>
          <w:sz w:val="20"/>
          <w:szCs w:val="20"/>
          <w:vertAlign w:val="baseline"/>
        </w:rPr>
        <w:t xml:space="preserve">ternational, ‘Papua New Guinea’ </w:t>
      </w:r>
      <w:r w:rsidRPr="000D7FA8">
        <w:rPr>
          <w:sz w:val="20"/>
          <w:szCs w:val="20"/>
          <w:vertAlign w:val="baseline"/>
        </w:rPr>
        <w:t>(</w:t>
      </w:r>
      <w:r>
        <w:rPr>
          <w:sz w:val="20"/>
          <w:szCs w:val="20"/>
          <w:vertAlign w:val="baseline"/>
        </w:rPr>
        <w:t>n 612)</w:t>
      </w:r>
    </w:p>
  </w:footnote>
  <w:footnote w:id="619">
    <w:p w14:paraId="4043B5CB" w14:textId="327DF652" w:rsidR="00431A55" w:rsidRDefault="00431A55" w:rsidP="005F7752">
      <w:pPr>
        <w:pStyle w:val="FootnoteText"/>
      </w:pPr>
      <w:r w:rsidRPr="000D7FA8">
        <w:rPr>
          <w:rStyle w:val="FootnoteReference"/>
          <w:sz w:val="20"/>
          <w:szCs w:val="20"/>
        </w:rPr>
        <w:footnoteRef/>
      </w:r>
      <w:r>
        <w:rPr>
          <w:sz w:val="20"/>
          <w:szCs w:val="20"/>
          <w:vertAlign w:val="baseline"/>
        </w:rPr>
        <w:t xml:space="preserve"> Eves and Kelly-Hanku (n 617)</w:t>
      </w:r>
    </w:p>
  </w:footnote>
  <w:footnote w:id="620">
    <w:p w14:paraId="64EEA2A0" w14:textId="57794326" w:rsidR="00431A55" w:rsidRPr="00AA4F0B" w:rsidRDefault="00431A55" w:rsidP="005F7752">
      <w:pPr>
        <w:pStyle w:val="FootnoteText"/>
        <w:rPr>
          <w:sz w:val="20"/>
          <w:szCs w:val="20"/>
          <w:vertAlign w:val="baseline"/>
        </w:rPr>
      </w:pPr>
      <w:r w:rsidRPr="00AA4F0B">
        <w:rPr>
          <w:rStyle w:val="FootnoteReference"/>
          <w:sz w:val="20"/>
          <w:szCs w:val="20"/>
        </w:rPr>
        <w:footnoteRef/>
      </w:r>
      <w:r>
        <w:rPr>
          <w:sz w:val="20"/>
          <w:szCs w:val="20"/>
          <w:vertAlign w:val="baseline"/>
        </w:rPr>
        <w:t xml:space="preserve"> </w:t>
      </w:r>
      <w:r w:rsidRPr="00AA4F0B">
        <w:rPr>
          <w:sz w:val="20"/>
          <w:szCs w:val="20"/>
          <w:vertAlign w:val="baseline"/>
        </w:rPr>
        <w:t>Shears</w:t>
      </w:r>
      <w:r>
        <w:rPr>
          <w:sz w:val="20"/>
          <w:szCs w:val="20"/>
          <w:vertAlign w:val="baseline"/>
        </w:rPr>
        <w:t xml:space="preserve"> (n 334)</w:t>
      </w:r>
    </w:p>
  </w:footnote>
  <w:footnote w:id="621">
    <w:p w14:paraId="31E1BEC0" w14:textId="1E058531" w:rsidR="00431A55" w:rsidRPr="00AA4F0B" w:rsidRDefault="00431A55" w:rsidP="005F7752">
      <w:pPr>
        <w:pStyle w:val="FootnoteText"/>
        <w:rPr>
          <w:sz w:val="20"/>
          <w:szCs w:val="20"/>
          <w:vertAlign w:val="baseline"/>
        </w:rPr>
      </w:pPr>
      <w:r w:rsidRPr="00AA4F0B">
        <w:rPr>
          <w:rStyle w:val="FootnoteReference"/>
          <w:sz w:val="20"/>
          <w:szCs w:val="20"/>
        </w:rPr>
        <w:footnoteRef/>
      </w:r>
      <w:r w:rsidRPr="00AA4F0B">
        <w:rPr>
          <w:sz w:val="20"/>
          <w:szCs w:val="20"/>
          <w:vertAlign w:val="baseline"/>
        </w:rPr>
        <w:t xml:space="preserve"> Jessica Chasmar, ‘Teacher publicly tortured, beheaded for witchcraft in Papua New Guinea’ </w:t>
      </w:r>
      <w:r w:rsidRPr="00AA4F0B">
        <w:rPr>
          <w:i/>
          <w:sz w:val="20"/>
          <w:szCs w:val="20"/>
          <w:vertAlign w:val="baseline"/>
        </w:rPr>
        <w:t>The Washington Times</w:t>
      </w:r>
      <w:r w:rsidRPr="00AA4F0B">
        <w:rPr>
          <w:sz w:val="20"/>
          <w:szCs w:val="20"/>
          <w:vertAlign w:val="baseline"/>
        </w:rPr>
        <w:t xml:space="preserve"> (Washington 10 June 2013)</w:t>
      </w:r>
    </w:p>
  </w:footnote>
  <w:footnote w:id="622">
    <w:p w14:paraId="3C5F9CE6" w14:textId="6AA59362" w:rsidR="00431A55" w:rsidRPr="00AA4F0B" w:rsidRDefault="00431A55" w:rsidP="005F7752">
      <w:pPr>
        <w:pStyle w:val="FootnoteText"/>
        <w:rPr>
          <w:sz w:val="20"/>
          <w:szCs w:val="20"/>
          <w:vertAlign w:val="baseline"/>
        </w:rPr>
      </w:pPr>
      <w:r w:rsidRPr="00AA4F0B">
        <w:rPr>
          <w:rStyle w:val="FootnoteReference"/>
          <w:sz w:val="20"/>
          <w:szCs w:val="20"/>
        </w:rPr>
        <w:footnoteRef/>
      </w:r>
      <w:r w:rsidRPr="00AA4F0B">
        <w:rPr>
          <w:sz w:val="20"/>
          <w:szCs w:val="20"/>
          <w:vertAlign w:val="baseline"/>
        </w:rPr>
        <w:t xml:space="preserve"> </w:t>
      </w:r>
      <w:r>
        <w:rPr>
          <w:sz w:val="20"/>
          <w:szCs w:val="20"/>
          <w:vertAlign w:val="baseline"/>
        </w:rPr>
        <w:t>ibid</w:t>
      </w:r>
    </w:p>
  </w:footnote>
  <w:footnote w:id="623">
    <w:p w14:paraId="3B12F288" w14:textId="29F995BF" w:rsidR="00431A55" w:rsidRPr="00F63080" w:rsidRDefault="00431A55" w:rsidP="005F7752">
      <w:pPr>
        <w:pStyle w:val="FootnoteText"/>
      </w:pPr>
      <w:r w:rsidRPr="00AA4F0B">
        <w:rPr>
          <w:rStyle w:val="FootnoteReference"/>
          <w:sz w:val="20"/>
          <w:szCs w:val="20"/>
        </w:rPr>
        <w:footnoteRef/>
      </w:r>
      <w:r>
        <w:rPr>
          <w:sz w:val="20"/>
          <w:szCs w:val="20"/>
          <w:vertAlign w:val="baseline"/>
        </w:rPr>
        <w:t xml:space="preserve"> Signe Poulsen </w:t>
      </w:r>
      <w:r w:rsidRPr="00AA4F0B">
        <w:rPr>
          <w:sz w:val="20"/>
          <w:szCs w:val="20"/>
          <w:vertAlign w:val="baseline"/>
        </w:rPr>
        <w:t>as quoted in Gabriel Dominguez, ‘UN urges Papua New Guinea to halt ‘witch hunting’ (</w:t>
      </w:r>
      <w:r w:rsidRPr="00AA4F0B">
        <w:rPr>
          <w:i/>
          <w:sz w:val="20"/>
          <w:szCs w:val="20"/>
          <w:vertAlign w:val="baseline"/>
        </w:rPr>
        <w:t>Deutsche Welle</w:t>
      </w:r>
      <w:r w:rsidRPr="00AA4F0B">
        <w:rPr>
          <w:sz w:val="20"/>
          <w:szCs w:val="20"/>
          <w:vertAlign w:val="baseline"/>
        </w:rPr>
        <w:t xml:space="preserve"> 16 June 2014) &lt;</w:t>
      </w:r>
      <w:hyperlink r:id="rId92" w:history="1">
        <w:r w:rsidRPr="00AA4F0B">
          <w:rPr>
            <w:rStyle w:val="Hyperlink"/>
            <w:sz w:val="20"/>
            <w:szCs w:val="20"/>
            <w:vertAlign w:val="baseline"/>
          </w:rPr>
          <w:t>http://www.dw.de/un-urges-papua-new-guinea-to-halt-witch-hunting/a-17709745</w:t>
        </w:r>
      </w:hyperlink>
      <w:r w:rsidRPr="00AA4F0B">
        <w:rPr>
          <w:sz w:val="20"/>
          <w:szCs w:val="20"/>
          <w:vertAlign w:val="baseline"/>
        </w:rPr>
        <w:t>&gt; accessed 6 November 2014</w:t>
      </w:r>
    </w:p>
  </w:footnote>
  <w:footnote w:id="624">
    <w:p w14:paraId="60EF101D" w14:textId="65D222AA" w:rsidR="00431A55" w:rsidRPr="00FE5F41" w:rsidRDefault="00431A55" w:rsidP="005F7752">
      <w:pPr>
        <w:pStyle w:val="FootnoteText"/>
        <w:rPr>
          <w:sz w:val="20"/>
          <w:szCs w:val="20"/>
          <w:vertAlign w:val="baseline"/>
        </w:rPr>
      </w:pPr>
      <w:r w:rsidRPr="00FE5F41">
        <w:rPr>
          <w:rStyle w:val="FootnoteReference"/>
          <w:sz w:val="20"/>
          <w:szCs w:val="20"/>
        </w:rPr>
        <w:footnoteRef/>
      </w:r>
      <w:r>
        <w:rPr>
          <w:sz w:val="20"/>
          <w:szCs w:val="20"/>
          <w:vertAlign w:val="baseline"/>
        </w:rPr>
        <w:t xml:space="preserve"> Helen Hakena as quoted in </w:t>
      </w:r>
      <w:r w:rsidRPr="00FE5F41">
        <w:rPr>
          <w:sz w:val="20"/>
          <w:szCs w:val="20"/>
          <w:vertAlign w:val="baseline"/>
        </w:rPr>
        <w:t>Chasmar</w:t>
      </w:r>
      <w:r>
        <w:rPr>
          <w:sz w:val="20"/>
          <w:szCs w:val="20"/>
          <w:vertAlign w:val="baseline"/>
        </w:rPr>
        <w:t xml:space="preserve"> (n 621)</w:t>
      </w:r>
    </w:p>
  </w:footnote>
  <w:footnote w:id="625">
    <w:p w14:paraId="20A7085D" w14:textId="78D14126" w:rsidR="00431A55" w:rsidRPr="004756D3" w:rsidRDefault="00431A55" w:rsidP="00FB5CA9">
      <w:pPr>
        <w:pStyle w:val="FootnoteText"/>
        <w:rPr>
          <w:sz w:val="20"/>
          <w:szCs w:val="20"/>
          <w:vertAlign w:val="baseline"/>
          <w:lang w:val="en-US"/>
        </w:rPr>
      </w:pPr>
      <w:r w:rsidRPr="004756D3">
        <w:rPr>
          <w:rStyle w:val="FootnoteReference"/>
          <w:sz w:val="20"/>
          <w:szCs w:val="20"/>
        </w:rPr>
        <w:footnoteRef/>
      </w:r>
      <w:r w:rsidRPr="004756D3">
        <w:rPr>
          <w:sz w:val="20"/>
          <w:szCs w:val="20"/>
          <w:vertAlign w:val="baseline"/>
        </w:rPr>
        <w:t xml:space="preserve"> HRC, ‘</w:t>
      </w:r>
      <w:r w:rsidRPr="004756D3">
        <w:rPr>
          <w:rFonts w:eastAsia="Times New Roman" w:cs="Times New Roman"/>
          <w:sz w:val="20"/>
          <w:szCs w:val="20"/>
          <w:vertAlign w:val="baseline"/>
        </w:rPr>
        <w:t>Report of the Special Rapporteur on torture and other cruel, inhuman or degrading treatment or punishment: Mission to Papu</w:t>
      </w:r>
      <w:r>
        <w:rPr>
          <w:rFonts w:eastAsia="Times New Roman" w:cs="Times New Roman"/>
          <w:sz w:val="20"/>
          <w:szCs w:val="20"/>
          <w:vertAlign w:val="baseline"/>
        </w:rPr>
        <w:t>a New Guinea’ 7 February 2011 (n 613)</w:t>
      </w:r>
    </w:p>
  </w:footnote>
  <w:footnote w:id="626">
    <w:p w14:paraId="42F89620" w14:textId="2CBC0A1B" w:rsidR="00431A55" w:rsidRPr="004756D3" w:rsidRDefault="00431A55" w:rsidP="00FB5CA9">
      <w:pPr>
        <w:pStyle w:val="FootnoteText"/>
        <w:rPr>
          <w:sz w:val="20"/>
          <w:szCs w:val="20"/>
          <w:vertAlign w:val="baseline"/>
          <w:lang w:val="en-US"/>
        </w:rPr>
      </w:pPr>
      <w:r w:rsidRPr="004756D3">
        <w:rPr>
          <w:rStyle w:val="FootnoteReference"/>
          <w:sz w:val="20"/>
          <w:szCs w:val="20"/>
        </w:rPr>
        <w:footnoteRef/>
      </w:r>
      <w:r w:rsidRPr="004756D3">
        <w:rPr>
          <w:sz w:val="20"/>
          <w:szCs w:val="20"/>
          <w:vertAlign w:val="baseline"/>
        </w:rPr>
        <w:t xml:space="preserve"> </w:t>
      </w:r>
      <w:r>
        <w:rPr>
          <w:sz w:val="20"/>
          <w:szCs w:val="20"/>
          <w:vertAlign w:val="baseline"/>
        </w:rPr>
        <w:t>ibid</w:t>
      </w:r>
      <w:r w:rsidRPr="004756D3">
        <w:rPr>
          <w:rFonts w:eastAsia="Times New Roman" w:cs="Times New Roman"/>
          <w:sz w:val="20"/>
          <w:szCs w:val="20"/>
          <w:vertAlign w:val="baseline"/>
        </w:rPr>
        <w:t>, para 36</w:t>
      </w:r>
    </w:p>
  </w:footnote>
  <w:footnote w:id="627">
    <w:p w14:paraId="55A42842" w14:textId="2CCF4C38" w:rsidR="00431A55" w:rsidRPr="004756D3" w:rsidRDefault="00431A55" w:rsidP="00FB5CA9">
      <w:pPr>
        <w:pStyle w:val="FootnoteText"/>
        <w:rPr>
          <w:sz w:val="20"/>
          <w:szCs w:val="20"/>
          <w:vertAlign w:val="baseline"/>
          <w:lang w:val="en-US"/>
        </w:rPr>
      </w:pPr>
      <w:r w:rsidRPr="004756D3">
        <w:rPr>
          <w:rStyle w:val="FootnoteReference"/>
          <w:sz w:val="20"/>
          <w:szCs w:val="20"/>
        </w:rPr>
        <w:footnoteRef/>
      </w:r>
      <w:r w:rsidRPr="004756D3">
        <w:rPr>
          <w:sz w:val="20"/>
          <w:szCs w:val="20"/>
          <w:vertAlign w:val="baseline"/>
        </w:rPr>
        <w:t xml:space="preserve"> </w:t>
      </w:r>
      <w:r>
        <w:rPr>
          <w:sz w:val="20"/>
          <w:szCs w:val="20"/>
          <w:vertAlign w:val="baseline"/>
        </w:rPr>
        <w:t>ibid</w:t>
      </w:r>
    </w:p>
  </w:footnote>
  <w:footnote w:id="628">
    <w:p w14:paraId="15A955A1" w14:textId="2200952B" w:rsidR="00431A55" w:rsidRPr="00FE3027" w:rsidRDefault="00431A55" w:rsidP="00FB5CA9">
      <w:pPr>
        <w:pStyle w:val="FootnoteText"/>
        <w:rPr>
          <w:lang w:val="en-US"/>
        </w:rPr>
      </w:pPr>
      <w:r w:rsidRPr="004756D3">
        <w:rPr>
          <w:rStyle w:val="FootnoteReference"/>
          <w:sz w:val="20"/>
          <w:szCs w:val="20"/>
        </w:rPr>
        <w:footnoteRef/>
      </w:r>
      <w:r>
        <w:rPr>
          <w:sz w:val="20"/>
          <w:szCs w:val="20"/>
          <w:vertAlign w:val="baseline"/>
        </w:rPr>
        <w:t xml:space="preserve"> ibid</w:t>
      </w:r>
      <w:r w:rsidRPr="004756D3">
        <w:rPr>
          <w:rFonts w:eastAsia="Times New Roman" w:cs="Times New Roman"/>
          <w:sz w:val="20"/>
          <w:szCs w:val="20"/>
          <w:vertAlign w:val="baseline"/>
        </w:rPr>
        <w:t xml:space="preserve"> 39</w:t>
      </w:r>
    </w:p>
  </w:footnote>
  <w:footnote w:id="629">
    <w:p w14:paraId="1C46B950" w14:textId="69865B12" w:rsidR="00431A55" w:rsidRPr="00C26637" w:rsidRDefault="00431A55" w:rsidP="00FB5CA9">
      <w:pPr>
        <w:pStyle w:val="FootnoteText"/>
        <w:rPr>
          <w:sz w:val="20"/>
          <w:szCs w:val="20"/>
          <w:vertAlign w:val="baseline"/>
          <w:lang w:val="en-US"/>
        </w:rPr>
      </w:pPr>
      <w:r w:rsidRPr="00C26637">
        <w:rPr>
          <w:rStyle w:val="FootnoteReference"/>
          <w:sz w:val="20"/>
          <w:szCs w:val="20"/>
        </w:rPr>
        <w:footnoteRef/>
      </w:r>
      <w:r w:rsidRPr="00C26637">
        <w:rPr>
          <w:sz w:val="20"/>
          <w:szCs w:val="20"/>
          <w:vertAlign w:val="baseline"/>
        </w:rPr>
        <w:t xml:space="preserve"> </w:t>
      </w:r>
      <w:r>
        <w:rPr>
          <w:sz w:val="20"/>
          <w:szCs w:val="20"/>
          <w:vertAlign w:val="baseline"/>
        </w:rPr>
        <w:t>ibid</w:t>
      </w:r>
    </w:p>
  </w:footnote>
  <w:footnote w:id="630">
    <w:p w14:paraId="603FF1E6" w14:textId="77777777" w:rsidR="00431A55" w:rsidRPr="00C26637" w:rsidRDefault="00431A55" w:rsidP="00FB5CA9">
      <w:pPr>
        <w:pStyle w:val="FootnoteText"/>
        <w:rPr>
          <w:sz w:val="20"/>
          <w:szCs w:val="20"/>
          <w:vertAlign w:val="baseline"/>
          <w:lang w:val="en-US"/>
        </w:rPr>
      </w:pPr>
      <w:r w:rsidRPr="00C26637">
        <w:rPr>
          <w:rStyle w:val="FootnoteReference"/>
          <w:sz w:val="20"/>
          <w:szCs w:val="20"/>
        </w:rPr>
        <w:footnoteRef/>
      </w:r>
      <w:r w:rsidRPr="00C26637">
        <w:rPr>
          <w:sz w:val="20"/>
          <w:szCs w:val="20"/>
          <w:vertAlign w:val="baseline"/>
        </w:rPr>
        <w:t xml:space="preserve"> HRC, ‘</w:t>
      </w:r>
      <w:r w:rsidRPr="00C26637">
        <w:rPr>
          <w:rFonts w:eastAsia="Times New Roman" w:cs="Times New Roman"/>
          <w:sz w:val="20"/>
          <w:szCs w:val="20"/>
          <w:vertAlign w:val="baseline"/>
        </w:rPr>
        <w:t>Report of the Special Rapporteur on extrajudicial, summary or arbitrary executions, Christof Heyns: Mission to Papua New Guinea (3 to 14 March 2014)’ 30 March 2015, A/HRC/29/37/Add.1, VII (A)</w:t>
      </w:r>
    </w:p>
  </w:footnote>
  <w:footnote w:id="631">
    <w:p w14:paraId="13D8166A" w14:textId="77777777" w:rsidR="00431A55" w:rsidRPr="00C70C9E" w:rsidRDefault="00431A55" w:rsidP="00FB5CA9">
      <w:pPr>
        <w:pStyle w:val="FootnoteText"/>
        <w:rPr>
          <w:lang w:val="en-US"/>
        </w:rPr>
      </w:pPr>
      <w:r w:rsidRPr="00D21789">
        <w:rPr>
          <w:rStyle w:val="FootnoteReference"/>
          <w:sz w:val="20"/>
          <w:szCs w:val="20"/>
        </w:rPr>
        <w:footnoteRef/>
      </w:r>
      <w:r w:rsidRPr="00D21789">
        <w:rPr>
          <w:sz w:val="20"/>
          <w:szCs w:val="20"/>
          <w:vertAlign w:val="baseline"/>
        </w:rPr>
        <w:t xml:space="preserve"> </w:t>
      </w:r>
      <w:r w:rsidRPr="00D21789">
        <w:rPr>
          <w:sz w:val="20"/>
          <w:szCs w:val="20"/>
          <w:vertAlign w:val="baseline"/>
          <w:lang w:val="en-US"/>
        </w:rPr>
        <w:t>Wantok translates as ‘one-talk’ relating to the language of a particular tribe or clan one belongs to</w:t>
      </w:r>
    </w:p>
  </w:footnote>
  <w:footnote w:id="632">
    <w:p w14:paraId="102FFB78" w14:textId="10E2E229" w:rsidR="00431A55" w:rsidRPr="00C26637" w:rsidRDefault="00431A55" w:rsidP="00FB5CA9">
      <w:pPr>
        <w:pStyle w:val="FootnoteText"/>
        <w:rPr>
          <w:sz w:val="20"/>
          <w:szCs w:val="20"/>
          <w:vertAlign w:val="baseline"/>
          <w:lang w:val="en-US"/>
        </w:rPr>
      </w:pPr>
      <w:r w:rsidRPr="00C26637">
        <w:rPr>
          <w:rStyle w:val="FootnoteReference"/>
          <w:sz w:val="20"/>
          <w:szCs w:val="20"/>
        </w:rPr>
        <w:footnoteRef/>
      </w:r>
      <w:r w:rsidRPr="00C26637">
        <w:rPr>
          <w:sz w:val="20"/>
          <w:szCs w:val="20"/>
          <w:vertAlign w:val="baseline"/>
        </w:rPr>
        <w:t xml:space="preserve"> HRC, ‘</w:t>
      </w:r>
      <w:r w:rsidRPr="00C26637">
        <w:rPr>
          <w:rFonts w:eastAsia="Times New Roman" w:cs="Times New Roman"/>
          <w:sz w:val="20"/>
          <w:szCs w:val="20"/>
          <w:vertAlign w:val="baseline"/>
        </w:rPr>
        <w:t>Christof Hey</w:t>
      </w:r>
      <w:r>
        <w:rPr>
          <w:rFonts w:eastAsia="Times New Roman" w:cs="Times New Roman"/>
          <w:sz w:val="20"/>
          <w:szCs w:val="20"/>
          <w:vertAlign w:val="baseline"/>
        </w:rPr>
        <w:t xml:space="preserve">ns: Mission to Papua New Guinea’ (n 630), </w:t>
      </w:r>
      <w:r w:rsidRPr="00C26637">
        <w:rPr>
          <w:rFonts w:eastAsia="Times New Roman" w:cs="Times New Roman"/>
          <w:sz w:val="20"/>
          <w:szCs w:val="20"/>
          <w:vertAlign w:val="baseline"/>
        </w:rPr>
        <w:t>para 15</w:t>
      </w:r>
    </w:p>
  </w:footnote>
  <w:footnote w:id="633">
    <w:p w14:paraId="1BCEE830" w14:textId="1DD42149" w:rsidR="00431A55" w:rsidRPr="00B80EAD" w:rsidRDefault="00431A55" w:rsidP="00FB5CA9">
      <w:pPr>
        <w:pStyle w:val="FootnoteText"/>
        <w:rPr>
          <w:rFonts w:eastAsia="Times New Roman" w:cs="Times New Roman"/>
        </w:rPr>
      </w:pPr>
      <w:r w:rsidRPr="00C26637">
        <w:rPr>
          <w:rStyle w:val="FootnoteReference"/>
          <w:sz w:val="20"/>
          <w:szCs w:val="20"/>
        </w:rPr>
        <w:footnoteRef/>
      </w:r>
      <w:r w:rsidRPr="00C26637">
        <w:rPr>
          <w:sz w:val="20"/>
          <w:szCs w:val="20"/>
          <w:vertAlign w:val="baseline"/>
        </w:rPr>
        <w:t xml:space="preserve"> </w:t>
      </w:r>
      <w:r>
        <w:rPr>
          <w:sz w:val="20"/>
          <w:szCs w:val="20"/>
          <w:vertAlign w:val="baseline"/>
        </w:rPr>
        <w:t>ibid,</w:t>
      </w:r>
      <w:r w:rsidRPr="00C26637">
        <w:rPr>
          <w:rFonts w:eastAsia="Times New Roman" w:cs="Times New Roman"/>
          <w:sz w:val="20"/>
          <w:szCs w:val="20"/>
          <w:vertAlign w:val="baseline"/>
        </w:rPr>
        <w:t xml:space="preserve"> para 50</w:t>
      </w:r>
    </w:p>
  </w:footnote>
  <w:footnote w:id="634">
    <w:p w14:paraId="4E4A1807" w14:textId="77777777" w:rsidR="00431A55" w:rsidRPr="00FE5F41" w:rsidRDefault="00431A55" w:rsidP="005F7752">
      <w:pPr>
        <w:rPr>
          <w:rFonts w:ascii="Times" w:eastAsia="Times New Roman" w:hAnsi="Times" w:cs="Times New Roman"/>
          <w:vertAlign w:val="baseline"/>
        </w:rPr>
      </w:pPr>
      <w:r w:rsidRPr="00FE5F41">
        <w:rPr>
          <w:rStyle w:val="FootnoteReference"/>
        </w:rPr>
        <w:footnoteRef/>
      </w:r>
      <w:r w:rsidRPr="00FE5F41">
        <w:rPr>
          <w:vertAlign w:val="baseline"/>
        </w:rPr>
        <w:t xml:space="preserve"> HRC, ‘</w:t>
      </w:r>
      <w:r w:rsidRPr="00FE5F41">
        <w:rPr>
          <w:rFonts w:eastAsia="Times New Roman" w:cs="Times New Roman"/>
          <w:vertAlign w:val="baseline"/>
        </w:rPr>
        <w:t xml:space="preserve">Report of the Special Rapporteur on violence against women, its causes and consequences, Rashida Manjoo’ 18 March 2013, A/HRC/23/49/Add.2 </w:t>
      </w:r>
    </w:p>
  </w:footnote>
  <w:footnote w:id="635">
    <w:p w14:paraId="0B88A92D" w14:textId="69CF4DA6" w:rsidR="00431A55" w:rsidRPr="00FE5F41" w:rsidRDefault="00431A55" w:rsidP="005F7752">
      <w:pPr>
        <w:pStyle w:val="FootnoteText"/>
        <w:rPr>
          <w:sz w:val="20"/>
          <w:szCs w:val="20"/>
          <w:vertAlign w:val="baseline"/>
          <w:lang w:val="en-US"/>
        </w:rPr>
      </w:pPr>
      <w:r w:rsidRPr="00FE5F41">
        <w:rPr>
          <w:rStyle w:val="FootnoteReference"/>
          <w:sz w:val="20"/>
          <w:szCs w:val="20"/>
        </w:rPr>
        <w:footnoteRef/>
      </w:r>
      <w:r w:rsidRPr="00FE5F41">
        <w:rPr>
          <w:sz w:val="20"/>
          <w:szCs w:val="20"/>
          <w:vertAlign w:val="baseline"/>
        </w:rPr>
        <w:t xml:space="preserve"> </w:t>
      </w:r>
      <w:r>
        <w:rPr>
          <w:sz w:val="20"/>
          <w:szCs w:val="20"/>
          <w:vertAlign w:val="baseline"/>
        </w:rPr>
        <w:t>ibid</w:t>
      </w:r>
    </w:p>
  </w:footnote>
  <w:footnote w:id="636">
    <w:p w14:paraId="14CED4A7" w14:textId="2604CCD6" w:rsidR="00431A55" w:rsidRPr="00FE5F41" w:rsidRDefault="00431A55" w:rsidP="005F7752">
      <w:pPr>
        <w:pStyle w:val="FootnoteText"/>
        <w:rPr>
          <w:sz w:val="20"/>
          <w:szCs w:val="20"/>
          <w:vertAlign w:val="baseline"/>
          <w:lang w:val="en-US"/>
        </w:rPr>
      </w:pPr>
      <w:r w:rsidRPr="00FE5F41">
        <w:rPr>
          <w:rStyle w:val="FootnoteReference"/>
          <w:sz w:val="20"/>
          <w:szCs w:val="20"/>
        </w:rPr>
        <w:footnoteRef/>
      </w:r>
      <w:r w:rsidRPr="00FE5F41">
        <w:rPr>
          <w:sz w:val="20"/>
          <w:szCs w:val="20"/>
          <w:vertAlign w:val="baseline"/>
        </w:rPr>
        <w:t xml:space="preserve"> </w:t>
      </w:r>
      <w:r>
        <w:rPr>
          <w:sz w:val="20"/>
          <w:szCs w:val="20"/>
          <w:vertAlign w:val="baseline"/>
        </w:rPr>
        <w:t>ibid,</w:t>
      </w:r>
      <w:r w:rsidRPr="00FE5F41">
        <w:rPr>
          <w:rFonts w:eastAsia="Times New Roman" w:cs="Times New Roman"/>
          <w:sz w:val="20"/>
          <w:szCs w:val="20"/>
          <w:vertAlign w:val="baseline"/>
        </w:rPr>
        <w:t xml:space="preserve"> para 31</w:t>
      </w:r>
    </w:p>
  </w:footnote>
  <w:footnote w:id="637">
    <w:p w14:paraId="5DC0D213" w14:textId="3BB707D2" w:rsidR="00431A55" w:rsidRPr="00F40BD1" w:rsidRDefault="00431A55" w:rsidP="005F7752">
      <w:pPr>
        <w:pStyle w:val="FootnoteText"/>
        <w:rPr>
          <w:lang w:val="en-US"/>
        </w:rPr>
      </w:pPr>
      <w:r w:rsidRPr="00FE5F41">
        <w:rPr>
          <w:rStyle w:val="FootnoteReference"/>
          <w:sz w:val="20"/>
          <w:szCs w:val="20"/>
        </w:rPr>
        <w:footnoteRef/>
      </w:r>
      <w:r w:rsidRPr="00FE5F41">
        <w:rPr>
          <w:sz w:val="20"/>
          <w:szCs w:val="20"/>
          <w:vertAlign w:val="baseline"/>
        </w:rPr>
        <w:t xml:space="preserve"> </w:t>
      </w:r>
      <w:r>
        <w:rPr>
          <w:sz w:val="20"/>
          <w:szCs w:val="20"/>
          <w:vertAlign w:val="baseline"/>
        </w:rPr>
        <w:t>ibid</w:t>
      </w:r>
    </w:p>
  </w:footnote>
  <w:footnote w:id="638">
    <w:p w14:paraId="494800B6" w14:textId="4FA92BB9" w:rsidR="00431A55" w:rsidRPr="006D14C1" w:rsidRDefault="00431A55" w:rsidP="005F7752">
      <w:pPr>
        <w:pStyle w:val="FootnoteText"/>
        <w:rPr>
          <w:sz w:val="20"/>
          <w:szCs w:val="20"/>
          <w:vertAlign w:val="baseline"/>
          <w:lang w:val="en-US"/>
        </w:rPr>
      </w:pPr>
      <w:r w:rsidRPr="006D14C1">
        <w:rPr>
          <w:rStyle w:val="FootnoteReference"/>
          <w:sz w:val="20"/>
          <w:szCs w:val="20"/>
        </w:rPr>
        <w:footnoteRef/>
      </w:r>
      <w:r w:rsidRPr="006D14C1">
        <w:rPr>
          <w:sz w:val="20"/>
          <w:szCs w:val="20"/>
          <w:vertAlign w:val="baseline"/>
        </w:rPr>
        <w:t xml:space="preserve"> </w:t>
      </w:r>
      <w:r>
        <w:rPr>
          <w:sz w:val="20"/>
          <w:szCs w:val="20"/>
          <w:vertAlign w:val="baseline"/>
        </w:rPr>
        <w:t>ibid,</w:t>
      </w:r>
      <w:r w:rsidRPr="006D14C1">
        <w:rPr>
          <w:rFonts w:eastAsia="Times New Roman" w:cs="Times New Roman"/>
          <w:sz w:val="20"/>
          <w:szCs w:val="20"/>
          <w:vertAlign w:val="baseline"/>
        </w:rPr>
        <w:t xml:space="preserve"> para 32</w:t>
      </w:r>
    </w:p>
  </w:footnote>
  <w:footnote w:id="639">
    <w:p w14:paraId="6A502FD7" w14:textId="02A8D9A0" w:rsidR="00431A55" w:rsidRPr="006D14C1" w:rsidRDefault="00431A55" w:rsidP="005F7752">
      <w:pPr>
        <w:pStyle w:val="FootnoteText"/>
        <w:rPr>
          <w:sz w:val="20"/>
          <w:szCs w:val="20"/>
          <w:vertAlign w:val="baseline"/>
          <w:lang w:val="en-US"/>
        </w:rPr>
      </w:pPr>
      <w:r w:rsidRPr="006D14C1">
        <w:rPr>
          <w:rStyle w:val="FootnoteReference"/>
          <w:sz w:val="20"/>
          <w:szCs w:val="20"/>
        </w:rPr>
        <w:footnoteRef/>
      </w:r>
      <w:r w:rsidRPr="006D14C1">
        <w:rPr>
          <w:sz w:val="20"/>
          <w:szCs w:val="20"/>
          <w:vertAlign w:val="baseline"/>
        </w:rPr>
        <w:t xml:space="preserve"> </w:t>
      </w:r>
      <w:r>
        <w:rPr>
          <w:sz w:val="20"/>
          <w:szCs w:val="20"/>
          <w:vertAlign w:val="baseline"/>
        </w:rPr>
        <w:t>ibid</w:t>
      </w:r>
      <w:r w:rsidRPr="006D14C1">
        <w:rPr>
          <w:rFonts w:eastAsia="Times New Roman" w:cs="Times New Roman"/>
          <w:sz w:val="20"/>
          <w:szCs w:val="20"/>
          <w:vertAlign w:val="baseline"/>
        </w:rPr>
        <w:t>, Appendix B</w:t>
      </w:r>
    </w:p>
  </w:footnote>
  <w:footnote w:id="640">
    <w:p w14:paraId="21483043" w14:textId="77777777" w:rsidR="00431A55" w:rsidRPr="006D14C1" w:rsidRDefault="00431A55" w:rsidP="005F7752">
      <w:pPr>
        <w:rPr>
          <w:rFonts w:ascii="Times" w:eastAsia="Times New Roman" w:hAnsi="Times" w:cs="Times New Roman"/>
          <w:vertAlign w:val="baseline"/>
        </w:rPr>
      </w:pPr>
      <w:r w:rsidRPr="006D14C1">
        <w:rPr>
          <w:rStyle w:val="FootnoteReference"/>
        </w:rPr>
        <w:footnoteRef/>
      </w:r>
      <w:r w:rsidRPr="006D14C1">
        <w:rPr>
          <w:vertAlign w:val="baseline"/>
        </w:rPr>
        <w:t xml:space="preserve"> </w:t>
      </w:r>
      <w:r w:rsidRPr="006D14C1">
        <w:rPr>
          <w:rFonts w:eastAsia="Times New Roman" w:cs="Times New Roman"/>
          <w:vertAlign w:val="baseline"/>
        </w:rPr>
        <w:t>A hausman is a house specifically for males in the Highlands of Papua New Guinea. They are kept away from the female population found in the main village and are very significant to every village, clan and tribe, where elders teach cultural norms and values.</w:t>
      </w:r>
    </w:p>
  </w:footnote>
  <w:footnote w:id="641">
    <w:p w14:paraId="6970360E" w14:textId="2145728D" w:rsidR="00431A55" w:rsidRPr="006D14C1" w:rsidRDefault="00431A55" w:rsidP="005F7752">
      <w:pPr>
        <w:pStyle w:val="FootnoteText"/>
        <w:rPr>
          <w:sz w:val="20"/>
          <w:szCs w:val="20"/>
          <w:vertAlign w:val="baseline"/>
          <w:lang w:val="en-US"/>
        </w:rPr>
      </w:pPr>
      <w:r w:rsidRPr="006D14C1">
        <w:rPr>
          <w:rStyle w:val="FootnoteReference"/>
          <w:sz w:val="20"/>
          <w:szCs w:val="20"/>
        </w:rPr>
        <w:footnoteRef/>
      </w:r>
      <w:r w:rsidRPr="006D14C1">
        <w:rPr>
          <w:sz w:val="20"/>
          <w:szCs w:val="20"/>
          <w:vertAlign w:val="baseline"/>
        </w:rPr>
        <w:t xml:space="preserve"> HRC, ‘</w:t>
      </w:r>
      <w:r w:rsidRPr="006D14C1">
        <w:rPr>
          <w:rFonts w:eastAsia="Times New Roman" w:cs="Times New Roman"/>
          <w:sz w:val="20"/>
          <w:szCs w:val="20"/>
          <w:vertAlign w:val="baseline"/>
        </w:rPr>
        <w:t>Report of the Special Rapporteur on violence against women, its causes and consequences</w:t>
      </w:r>
      <w:r>
        <w:rPr>
          <w:rFonts w:eastAsia="Times New Roman" w:cs="Times New Roman"/>
          <w:sz w:val="20"/>
          <w:szCs w:val="20"/>
          <w:vertAlign w:val="baseline"/>
        </w:rPr>
        <w:t>, Rashida Manjoo’ (n 634)</w:t>
      </w:r>
      <w:r w:rsidRPr="006D14C1">
        <w:rPr>
          <w:rFonts w:eastAsia="Times New Roman" w:cs="Times New Roman"/>
          <w:sz w:val="20"/>
          <w:szCs w:val="20"/>
          <w:vertAlign w:val="baseline"/>
        </w:rPr>
        <w:t xml:space="preserve"> Appendix B (6)</w:t>
      </w:r>
    </w:p>
  </w:footnote>
  <w:footnote w:id="642">
    <w:p w14:paraId="10D6AE60" w14:textId="128B5C58" w:rsidR="00431A55" w:rsidRPr="0051519D" w:rsidRDefault="00431A55" w:rsidP="005F7752">
      <w:pPr>
        <w:pStyle w:val="FootnoteText"/>
        <w:rPr>
          <w:lang w:val="en-US"/>
        </w:rPr>
      </w:pPr>
      <w:r w:rsidRPr="006D14C1">
        <w:rPr>
          <w:rStyle w:val="FootnoteReference"/>
          <w:sz w:val="20"/>
          <w:szCs w:val="20"/>
        </w:rPr>
        <w:footnoteRef/>
      </w:r>
      <w:r w:rsidRPr="006D14C1">
        <w:rPr>
          <w:sz w:val="20"/>
          <w:szCs w:val="20"/>
          <w:vertAlign w:val="baseline"/>
        </w:rPr>
        <w:t xml:space="preserve"> </w:t>
      </w:r>
      <w:r>
        <w:rPr>
          <w:sz w:val="20"/>
          <w:szCs w:val="20"/>
          <w:vertAlign w:val="baseline"/>
        </w:rPr>
        <w:t>ibid</w:t>
      </w:r>
      <w:r w:rsidRPr="006D14C1">
        <w:rPr>
          <w:rFonts w:eastAsia="Times New Roman" w:cs="Times New Roman"/>
          <w:sz w:val="20"/>
          <w:szCs w:val="20"/>
          <w:vertAlign w:val="baseline"/>
        </w:rPr>
        <w:t>, Appendix B (7)</w:t>
      </w:r>
    </w:p>
  </w:footnote>
  <w:footnote w:id="643">
    <w:p w14:paraId="16EC52F2" w14:textId="4BE2A1B5" w:rsidR="00431A55" w:rsidRPr="00D21789" w:rsidRDefault="00431A55" w:rsidP="005F7752">
      <w:pPr>
        <w:pStyle w:val="FootnoteText"/>
        <w:rPr>
          <w:sz w:val="20"/>
          <w:szCs w:val="20"/>
          <w:vertAlign w:val="baseline"/>
          <w:lang w:val="en-US"/>
        </w:rPr>
      </w:pPr>
      <w:r w:rsidRPr="00D21789">
        <w:rPr>
          <w:rStyle w:val="FootnoteReference"/>
          <w:sz w:val="20"/>
          <w:szCs w:val="20"/>
        </w:rPr>
        <w:footnoteRef/>
      </w:r>
      <w:r w:rsidRPr="00D21789">
        <w:rPr>
          <w:sz w:val="20"/>
          <w:szCs w:val="20"/>
          <w:vertAlign w:val="baseline"/>
        </w:rPr>
        <w:t xml:space="preserve"> </w:t>
      </w:r>
      <w:r>
        <w:rPr>
          <w:sz w:val="20"/>
          <w:szCs w:val="20"/>
          <w:vertAlign w:val="baseline"/>
        </w:rPr>
        <w:t>ibid,</w:t>
      </w:r>
      <w:r w:rsidRPr="00D21789">
        <w:rPr>
          <w:rFonts w:eastAsia="Times New Roman" w:cs="Times New Roman"/>
          <w:sz w:val="20"/>
          <w:szCs w:val="20"/>
          <w:vertAlign w:val="baseline"/>
        </w:rPr>
        <w:t xml:space="preserve"> para 33</w:t>
      </w:r>
    </w:p>
  </w:footnote>
  <w:footnote w:id="644">
    <w:p w14:paraId="0336DEFE" w14:textId="6F801374" w:rsidR="00431A55" w:rsidRPr="00D21789" w:rsidRDefault="00431A55" w:rsidP="005F7752">
      <w:pPr>
        <w:pStyle w:val="FootnoteText"/>
        <w:rPr>
          <w:sz w:val="20"/>
          <w:szCs w:val="20"/>
          <w:vertAlign w:val="baseline"/>
          <w:lang w:val="en-US"/>
        </w:rPr>
      </w:pPr>
      <w:r w:rsidRPr="00D21789">
        <w:rPr>
          <w:rStyle w:val="FootnoteReference"/>
          <w:sz w:val="20"/>
          <w:szCs w:val="20"/>
        </w:rPr>
        <w:footnoteRef/>
      </w:r>
      <w:r w:rsidRPr="00D21789">
        <w:rPr>
          <w:sz w:val="20"/>
          <w:szCs w:val="20"/>
          <w:vertAlign w:val="baseline"/>
        </w:rPr>
        <w:t xml:space="preserve"> </w:t>
      </w:r>
      <w:r>
        <w:rPr>
          <w:sz w:val="20"/>
          <w:szCs w:val="20"/>
          <w:vertAlign w:val="baseline"/>
        </w:rPr>
        <w:t>ibid</w:t>
      </w:r>
      <w:r w:rsidRPr="00D21789">
        <w:rPr>
          <w:rFonts w:eastAsia="Times New Roman" w:cs="Times New Roman"/>
          <w:sz w:val="20"/>
          <w:szCs w:val="20"/>
          <w:vertAlign w:val="baseline"/>
        </w:rPr>
        <w:t>, para 34</w:t>
      </w:r>
    </w:p>
  </w:footnote>
  <w:footnote w:id="645">
    <w:p w14:paraId="6B1557EA" w14:textId="3BB62434" w:rsidR="00431A55" w:rsidRPr="00D21789" w:rsidRDefault="00431A55" w:rsidP="005F7752">
      <w:pPr>
        <w:pStyle w:val="FootnoteText"/>
        <w:rPr>
          <w:sz w:val="20"/>
          <w:szCs w:val="20"/>
          <w:vertAlign w:val="baseline"/>
          <w:lang w:val="en-US"/>
        </w:rPr>
      </w:pPr>
      <w:r w:rsidRPr="00D21789">
        <w:rPr>
          <w:rStyle w:val="FootnoteReference"/>
          <w:sz w:val="20"/>
          <w:szCs w:val="20"/>
        </w:rPr>
        <w:footnoteRef/>
      </w:r>
      <w:r w:rsidRPr="00D21789">
        <w:rPr>
          <w:sz w:val="20"/>
          <w:szCs w:val="20"/>
          <w:vertAlign w:val="baseline"/>
        </w:rPr>
        <w:t xml:space="preserve"> </w:t>
      </w:r>
      <w:r>
        <w:rPr>
          <w:sz w:val="20"/>
          <w:szCs w:val="20"/>
          <w:vertAlign w:val="baseline"/>
        </w:rPr>
        <w:t>ibid,</w:t>
      </w:r>
      <w:r w:rsidRPr="00D21789">
        <w:rPr>
          <w:rFonts w:eastAsia="Times New Roman" w:cs="Times New Roman"/>
          <w:sz w:val="20"/>
          <w:szCs w:val="20"/>
          <w:vertAlign w:val="baseline"/>
        </w:rPr>
        <w:t xml:space="preserve"> para 35</w:t>
      </w:r>
    </w:p>
  </w:footnote>
  <w:footnote w:id="646">
    <w:p w14:paraId="5980F9B9" w14:textId="77777777" w:rsidR="00431A55" w:rsidRPr="004756D3" w:rsidRDefault="00431A55" w:rsidP="005F7752">
      <w:pPr>
        <w:pStyle w:val="FootnoteText"/>
        <w:rPr>
          <w:sz w:val="20"/>
          <w:szCs w:val="20"/>
          <w:vertAlign w:val="baseline"/>
          <w:lang w:val="en-US"/>
        </w:rPr>
      </w:pPr>
      <w:r w:rsidRPr="004756D3">
        <w:rPr>
          <w:rStyle w:val="FootnoteReference"/>
          <w:sz w:val="20"/>
          <w:szCs w:val="20"/>
        </w:rPr>
        <w:footnoteRef/>
      </w:r>
      <w:r w:rsidRPr="004756D3">
        <w:rPr>
          <w:sz w:val="20"/>
          <w:szCs w:val="20"/>
          <w:vertAlign w:val="baseline"/>
        </w:rPr>
        <w:t xml:space="preserve"> </w:t>
      </w:r>
      <w:r w:rsidRPr="004756D3">
        <w:rPr>
          <w:sz w:val="20"/>
          <w:szCs w:val="20"/>
          <w:vertAlign w:val="baseline"/>
          <w:lang w:val="en-US"/>
        </w:rPr>
        <w:t>Amnesty International, ‘Papua New Guinea: Vicious ‘sorcery’ killing leaves two more at risk’ (Amnesty International 27 May 2015)</w:t>
      </w:r>
    </w:p>
  </w:footnote>
  <w:footnote w:id="647">
    <w:p w14:paraId="493F0521" w14:textId="77777777" w:rsidR="00431A55" w:rsidRPr="00DE75B8" w:rsidRDefault="00431A55" w:rsidP="0031723A">
      <w:pPr>
        <w:pStyle w:val="FootnoteText"/>
        <w:rPr>
          <w:lang w:val="en-US"/>
        </w:rPr>
      </w:pPr>
      <w:r w:rsidRPr="00E828DE">
        <w:rPr>
          <w:rStyle w:val="FootnoteReference"/>
          <w:sz w:val="20"/>
          <w:szCs w:val="20"/>
        </w:rPr>
        <w:footnoteRef/>
      </w:r>
      <w:r w:rsidRPr="00E828DE">
        <w:rPr>
          <w:sz w:val="20"/>
          <w:szCs w:val="20"/>
          <w:vertAlign w:val="baseline"/>
        </w:rPr>
        <w:t xml:space="preserve"> </w:t>
      </w:r>
      <w:r w:rsidRPr="00E828DE">
        <w:rPr>
          <w:sz w:val="20"/>
          <w:szCs w:val="20"/>
          <w:vertAlign w:val="baseline"/>
          <w:lang w:val="en-US"/>
        </w:rPr>
        <w:t>UNICEF, ‘Nepal: Statistics’ (</w:t>
      </w:r>
      <w:r w:rsidRPr="00E828DE">
        <w:rPr>
          <w:i/>
          <w:sz w:val="20"/>
          <w:szCs w:val="20"/>
          <w:vertAlign w:val="baseline"/>
          <w:lang w:val="en-US"/>
        </w:rPr>
        <w:t xml:space="preserve">UNICEF, </w:t>
      </w:r>
      <w:r w:rsidRPr="00E828DE">
        <w:rPr>
          <w:sz w:val="20"/>
          <w:szCs w:val="20"/>
          <w:vertAlign w:val="baseline"/>
          <w:lang w:val="en-US"/>
        </w:rPr>
        <w:t>27 December 2013) &lt;</w:t>
      </w:r>
      <w:hyperlink r:id="rId93" w:history="1">
        <w:r w:rsidRPr="00E828DE">
          <w:rPr>
            <w:rStyle w:val="Hyperlink"/>
            <w:sz w:val="20"/>
            <w:szCs w:val="20"/>
            <w:vertAlign w:val="baseline"/>
            <w:lang w:val="en-US"/>
          </w:rPr>
          <w:t>http://www.unicef.org/infobycountry/nepal_nepal_statistics.html</w:t>
        </w:r>
      </w:hyperlink>
      <w:r w:rsidRPr="00E828DE">
        <w:rPr>
          <w:sz w:val="20"/>
          <w:szCs w:val="20"/>
          <w:vertAlign w:val="baseline"/>
          <w:lang w:val="en-US"/>
        </w:rPr>
        <w:t>&gt; accessed 26 August 2015</w:t>
      </w:r>
    </w:p>
  </w:footnote>
  <w:footnote w:id="648">
    <w:p w14:paraId="51DD08F9" w14:textId="084B6BEC" w:rsidR="00431A55" w:rsidRPr="00B932F6" w:rsidRDefault="00431A55" w:rsidP="00945F4C">
      <w:pPr>
        <w:pStyle w:val="FootnoteText"/>
        <w:rPr>
          <w:sz w:val="20"/>
          <w:szCs w:val="20"/>
          <w:vertAlign w:val="baseline"/>
        </w:rPr>
      </w:pPr>
      <w:r w:rsidRPr="00B932F6">
        <w:rPr>
          <w:rStyle w:val="FootnoteReference"/>
          <w:sz w:val="20"/>
          <w:szCs w:val="20"/>
        </w:rPr>
        <w:footnoteRef/>
      </w:r>
      <w:r w:rsidRPr="00B932F6">
        <w:rPr>
          <w:sz w:val="20"/>
          <w:szCs w:val="20"/>
        </w:rPr>
        <w:t xml:space="preserve"> </w:t>
      </w:r>
      <w:r>
        <w:rPr>
          <w:sz w:val="20"/>
          <w:szCs w:val="20"/>
          <w:vertAlign w:val="baseline"/>
        </w:rPr>
        <w:t>D</w:t>
      </w:r>
      <w:r w:rsidRPr="00B932F6">
        <w:rPr>
          <w:sz w:val="20"/>
          <w:szCs w:val="20"/>
          <w:vertAlign w:val="baseline"/>
        </w:rPr>
        <w:t>e Beauvoir</w:t>
      </w:r>
      <w:r>
        <w:rPr>
          <w:sz w:val="20"/>
          <w:szCs w:val="20"/>
          <w:vertAlign w:val="baseline"/>
        </w:rPr>
        <w:t xml:space="preserve"> (n 430) </w:t>
      </w:r>
      <w:r w:rsidRPr="00B932F6">
        <w:rPr>
          <w:sz w:val="20"/>
          <w:szCs w:val="20"/>
          <w:vertAlign w:val="baseline"/>
        </w:rPr>
        <w:t>16</w:t>
      </w:r>
    </w:p>
  </w:footnote>
  <w:footnote w:id="649">
    <w:p w14:paraId="1A45C5DB" w14:textId="02857A71" w:rsidR="00431A55" w:rsidRPr="00162B03" w:rsidRDefault="00431A55">
      <w:pPr>
        <w:pStyle w:val="FootnoteText"/>
        <w:rPr>
          <w:sz w:val="20"/>
          <w:szCs w:val="20"/>
          <w:vertAlign w:val="baseline"/>
          <w:lang w:val="en-US"/>
        </w:rPr>
      </w:pPr>
      <w:r w:rsidRPr="00162B03">
        <w:rPr>
          <w:rStyle w:val="FootnoteReference"/>
          <w:sz w:val="20"/>
          <w:szCs w:val="20"/>
        </w:rPr>
        <w:footnoteRef/>
      </w:r>
      <w:r w:rsidRPr="00162B03">
        <w:rPr>
          <w:sz w:val="20"/>
          <w:szCs w:val="20"/>
        </w:rPr>
        <w:t xml:space="preserve"> </w:t>
      </w:r>
      <w:r>
        <w:rPr>
          <w:sz w:val="20"/>
          <w:szCs w:val="20"/>
          <w:vertAlign w:val="baseline"/>
        </w:rPr>
        <w:t xml:space="preserve">Ana Monteiro Ferreira, ‘Patriarchy’ in Molefi Kete Asante and Ama Mazama, </w:t>
      </w:r>
      <w:r w:rsidRPr="00162B03">
        <w:rPr>
          <w:i/>
          <w:sz w:val="20"/>
          <w:szCs w:val="20"/>
          <w:vertAlign w:val="baseline"/>
        </w:rPr>
        <w:t>Encyclopedia of Black Studies</w:t>
      </w:r>
      <w:r>
        <w:rPr>
          <w:sz w:val="20"/>
          <w:szCs w:val="20"/>
          <w:vertAlign w:val="baseline"/>
        </w:rPr>
        <w:t xml:space="preserve"> (Sage 2005)</w:t>
      </w:r>
      <w:r w:rsidRPr="00162B03">
        <w:rPr>
          <w:i/>
          <w:sz w:val="20"/>
          <w:szCs w:val="20"/>
          <w:vertAlign w:val="baseline"/>
        </w:rPr>
        <w:t xml:space="preserve"> </w:t>
      </w:r>
      <w:r>
        <w:rPr>
          <w:sz w:val="20"/>
          <w:szCs w:val="20"/>
          <w:vertAlign w:val="baseline"/>
        </w:rPr>
        <w:t xml:space="preserve">395 </w:t>
      </w:r>
    </w:p>
  </w:footnote>
  <w:footnote w:id="650">
    <w:p w14:paraId="7269C8AB" w14:textId="0B38BFCD" w:rsidR="00431A55" w:rsidRPr="00AB6D4B" w:rsidRDefault="00431A55">
      <w:pPr>
        <w:pStyle w:val="FootnoteText"/>
        <w:rPr>
          <w:sz w:val="20"/>
          <w:szCs w:val="20"/>
          <w:vertAlign w:val="baseline"/>
          <w:lang w:val="en-US"/>
        </w:rPr>
      </w:pPr>
      <w:r w:rsidRPr="00AB6D4B">
        <w:rPr>
          <w:rStyle w:val="FootnoteReference"/>
          <w:sz w:val="20"/>
          <w:szCs w:val="20"/>
        </w:rPr>
        <w:footnoteRef/>
      </w:r>
      <w:r w:rsidRPr="00AB6D4B">
        <w:rPr>
          <w:sz w:val="20"/>
          <w:szCs w:val="20"/>
        </w:rPr>
        <w:t xml:space="preserve"> </w:t>
      </w:r>
      <w:r>
        <w:rPr>
          <w:sz w:val="20"/>
          <w:szCs w:val="20"/>
          <w:vertAlign w:val="baseline"/>
        </w:rPr>
        <w:t xml:space="preserve">Section 4.4.1 </w:t>
      </w:r>
    </w:p>
  </w:footnote>
  <w:footnote w:id="651">
    <w:p w14:paraId="612C5CC0" w14:textId="2133AFE8" w:rsidR="00431A55" w:rsidRPr="00B932F6" w:rsidRDefault="00431A55" w:rsidP="005F7752">
      <w:pPr>
        <w:pStyle w:val="FootnoteText"/>
        <w:rPr>
          <w:sz w:val="20"/>
          <w:szCs w:val="20"/>
          <w:vertAlign w:val="baseline"/>
        </w:rPr>
      </w:pPr>
      <w:r w:rsidRPr="00B932F6">
        <w:rPr>
          <w:rStyle w:val="FootnoteReference"/>
          <w:sz w:val="20"/>
          <w:szCs w:val="20"/>
        </w:rPr>
        <w:footnoteRef/>
      </w:r>
      <w:r w:rsidRPr="00B932F6">
        <w:rPr>
          <w:sz w:val="20"/>
          <w:szCs w:val="20"/>
          <w:vertAlign w:val="baseline"/>
        </w:rPr>
        <w:t xml:space="preserve"> Edward Miguel, ‘Poverty and Witch Killing’ (2005) 72 R</w:t>
      </w:r>
      <w:r>
        <w:rPr>
          <w:sz w:val="20"/>
          <w:szCs w:val="20"/>
          <w:vertAlign w:val="baseline"/>
        </w:rPr>
        <w:t>ev Econ</w:t>
      </w:r>
      <w:r w:rsidRPr="00B932F6">
        <w:rPr>
          <w:sz w:val="20"/>
          <w:szCs w:val="20"/>
          <w:vertAlign w:val="baseline"/>
        </w:rPr>
        <w:t xml:space="preserve"> Studies 1153-1172</w:t>
      </w:r>
    </w:p>
  </w:footnote>
  <w:footnote w:id="652">
    <w:p w14:paraId="7DEF0A76" w14:textId="66F152FF" w:rsidR="00431A55" w:rsidRPr="006472E5" w:rsidRDefault="00431A55" w:rsidP="005F7752">
      <w:pPr>
        <w:pStyle w:val="FootnoteText"/>
      </w:pPr>
      <w:r w:rsidRPr="00B932F6">
        <w:rPr>
          <w:rStyle w:val="FootnoteReference"/>
          <w:sz w:val="20"/>
          <w:szCs w:val="20"/>
        </w:rPr>
        <w:footnoteRef/>
      </w:r>
      <w:r w:rsidRPr="00B932F6">
        <w:rPr>
          <w:sz w:val="20"/>
          <w:szCs w:val="20"/>
          <w:vertAlign w:val="baseline"/>
        </w:rPr>
        <w:t xml:space="preserve"> UNDP, ‘Human Developme</w:t>
      </w:r>
      <w:r>
        <w:rPr>
          <w:sz w:val="20"/>
          <w:szCs w:val="20"/>
          <w:vertAlign w:val="baseline"/>
        </w:rPr>
        <w:t>nt Index</w:t>
      </w:r>
      <w:r w:rsidRPr="00B932F6">
        <w:rPr>
          <w:sz w:val="20"/>
          <w:szCs w:val="20"/>
          <w:vertAlign w:val="baseline"/>
        </w:rPr>
        <w:t>’ (</w:t>
      </w:r>
      <w:r>
        <w:rPr>
          <w:sz w:val="20"/>
          <w:szCs w:val="20"/>
          <w:vertAlign w:val="baseline"/>
        </w:rPr>
        <w:t>n 579)</w:t>
      </w:r>
    </w:p>
  </w:footnote>
  <w:footnote w:id="653">
    <w:p w14:paraId="56715377" w14:textId="77777777" w:rsidR="00431A55" w:rsidRPr="00E42027" w:rsidRDefault="00431A55" w:rsidP="005F7752">
      <w:pPr>
        <w:pStyle w:val="FootnoteText"/>
        <w:rPr>
          <w:sz w:val="20"/>
          <w:szCs w:val="20"/>
          <w:vertAlign w:val="baseline"/>
        </w:rPr>
      </w:pPr>
      <w:r w:rsidRPr="00E42027">
        <w:rPr>
          <w:rStyle w:val="FootnoteReference"/>
          <w:sz w:val="20"/>
          <w:szCs w:val="20"/>
        </w:rPr>
        <w:footnoteRef/>
      </w:r>
      <w:r w:rsidRPr="00E42027">
        <w:rPr>
          <w:sz w:val="20"/>
          <w:szCs w:val="20"/>
          <w:vertAlign w:val="baseline"/>
        </w:rPr>
        <w:t xml:space="preserve"> UNDP, ‘Multidimensional Poverty Index 2013’ (UNDP 2013) </w:t>
      </w:r>
      <w:hyperlink r:id="rId94" w:history="1">
        <w:r w:rsidRPr="00E42027">
          <w:rPr>
            <w:rStyle w:val="Hyperlink"/>
            <w:sz w:val="20"/>
            <w:szCs w:val="20"/>
            <w:vertAlign w:val="baseline"/>
          </w:rPr>
          <w:t>http://hdr.undp.org/en/content/table-6-multidimensional-poverty-index-mpi</w:t>
        </w:r>
      </w:hyperlink>
      <w:r w:rsidRPr="00E42027">
        <w:rPr>
          <w:sz w:val="20"/>
          <w:szCs w:val="20"/>
          <w:vertAlign w:val="baseline"/>
        </w:rPr>
        <w:t xml:space="preserve"> &lt;accessed 12 February 2015&gt;</w:t>
      </w:r>
    </w:p>
  </w:footnote>
  <w:footnote w:id="654">
    <w:p w14:paraId="549BED25" w14:textId="77777777" w:rsidR="00431A55" w:rsidRPr="00E42027" w:rsidRDefault="00431A55" w:rsidP="005F7752">
      <w:pPr>
        <w:pStyle w:val="FootnoteText"/>
        <w:rPr>
          <w:sz w:val="20"/>
          <w:szCs w:val="20"/>
          <w:vertAlign w:val="baseline"/>
        </w:rPr>
      </w:pPr>
      <w:r w:rsidRPr="00E42027">
        <w:rPr>
          <w:rStyle w:val="FootnoteReference"/>
          <w:sz w:val="20"/>
          <w:szCs w:val="20"/>
        </w:rPr>
        <w:footnoteRef/>
      </w:r>
      <w:r w:rsidRPr="00E42027">
        <w:rPr>
          <w:sz w:val="20"/>
          <w:szCs w:val="20"/>
          <w:vertAlign w:val="baseline"/>
        </w:rPr>
        <w:t xml:space="preserve"> The World Bank, ‘Tackling Poverty in Northern Ghana’ (</w:t>
      </w:r>
      <w:r w:rsidRPr="00E42027">
        <w:rPr>
          <w:i/>
          <w:sz w:val="20"/>
          <w:szCs w:val="20"/>
          <w:vertAlign w:val="baseline"/>
        </w:rPr>
        <w:t xml:space="preserve">The World Bank </w:t>
      </w:r>
      <w:r w:rsidRPr="00E42027">
        <w:rPr>
          <w:sz w:val="20"/>
          <w:szCs w:val="20"/>
          <w:vertAlign w:val="baseline"/>
        </w:rPr>
        <w:t>March 2011) &lt;</w:t>
      </w:r>
      <w:hyperlink r:id="rId95" w:history="1">
        <w:r w:rsidRPr="00E42027">
          <w:rPr>
            <w:rStyle w:val="Hyperlink"/>
            <w:sz w:val="20"/>
            <w:szCs w:val="20"/>
            <w:vertAlign w:val="baseline"/>
          </w:rPr>
          <w:t>http://documents.worldbank.org/curated/en/2011/03/14238095/tackling-poverty-northern-ghana</w:t>
        </w:r>
      </w:hyperlink>
      <w:r w:rsidRPr="00E42027">
        <w:rPr>
          <w:sz w:val="20"/>
          <w:szCs w:val="20"/>
          <w:vertAlign w:val="baseline"/>
        </w:rPr>
        <w:t>&gt; accessed 6 February 2015; Maria Caluag, ‘Poverty in Ghana’ (</w:t>
      </w:r>
      <w:r w:rsidRPr="00E42027">
        <w:rPr>
          <w:i/>
          <w:sz w:val="20"/>
          <w:szCs w:val="20"/>
          <w:vertAlign w:val="baseline"/>
        </w:rPr>
        <w:t xml:space="preserve">The Borgen Project </w:t>
      </w:r>
      <w:r w:rsidRPr="00E42027">
        <w:rPr>
          <w:sz w:val="20"/>
          <w:szCs w:val="20"/>
          <w:vertAlign w:val="baseline"/>
        </w:rPr>
        <w:t>July 2013) &lt;</w:t>
      </w:r>
      <w:hyperlink r:id="rId96" w:history="1">
        <w:r w:rsidRPr="00E42027">
          <w:rPr>
            <w:rStyle w:val="Hyperlink"/>
            <w:sz w:val="20"/>
            <w:szCs w:val="20"/>
            <w:vertAlign w:val="baseline"/>
          </w:rPr>
          <w:t>http://borgenproject.org/poverty-in-ghana/</w:t>
        </w:r>
      </w:hyperlink>
      <w:r w:rsidRPr="00E42027">
        <w:rPr>
          <w:sz w:val="20"/>
          <w:szCs w:val="20"/>
          <w:vertAlign w:val="baseline"/>
        </w:rPr>
        <w:t>&gt; accessed 6 February 2015.</w:t>
      </w:r>
    </w:p>
  </w:footnote>
  <w:footnote w:id="655">
    <w:p w14:paraId="7CE59A60" w14:textId="276F08A1" w:rsidR="00431A55" w:rsidRPr="00E42027" w:rsidRDefault="00431A55" w:rsidP="005F7752">
      <w:pPr>
        <w:pStyle w:val="FootnoteText"/>
        <w:rPr>
          <w:sz w:val="20"/>
          <w:szCs w:val="20"/>
          <w:vertAlign w:val="baseline"/>
        </w:rPr>
      </w:pPr>
      <w:r w:rsidRPr="00E42027">
        <w:rPr>
          <w:rStyle w:val="FootnoteReference"/>
          <w:sz w:val="20"/>
          <w:szCs w:val="20"/>
        </w:rPr>
        <w:footnoteRef/>
      </w:r>
      <w:r w:rsidRPr="00E42027">
        <w:rPr>
          <w:sz w:val="20"/>
          <w:szCs w:val="20"/>
        </w:rPr>
        <w:t xml:space="preserve"> </w:t>
      </w:r>
      <w:r>
        <w:rPr>
          <w:sz w:val="20"/>
          <w:szCs w:val="20"/>
          <w:vertAlign w:val="baseline"/>
        </w:rPr>
        <w:t>The World Bank (n 654)</w:t>
      </w:r>
    </w:p>
  </w:footnote>
  <w:footnote w:id="656">
    <w:p w14:paraId="0F605156" w14:textId="471B6C75" w:rsidR="00431A55" w:rsidRDefault="00431A55" w:rsidP="005F7752">
      <w:pPr>
        <w:pStyle w:val="FootnoteText"/>
      </w:pPr>
      <w:r w:rsidRPr="00E42027">
        <w:rPr>
          <w:rStyle w:val="FootnoteReference"/>
          <w:sz w:val="20"/>
          <w:szCs w:val="20"/>
        </w:rPr>
        <w:footnoteRef/>
      </w:r>
      <w:r w:rsidRPr="00E42027">
        <w:rPr>
          <w:sz w:val="20"/>
          <w:szCs w:val="20"/>
        </w:rPr>
        <w:t xml:space="preserve"> </w:t>
      </w:r>
      <w:r>
        <w:rPr>
          <w:sz w:val="20"/>
          <w:szCs w:val="20"/>
          <w:vertAlign w:val="baseline"/>
        </w:rPr>
        <w:t>ibid</w:t>
      </w:r>
    </w:p>
  </w:footnote>
  <w:footnote w:id="657">
    <w:p w14:paraId="7D1CF87A" w14:textId="76A35D5D" w:rsidR="00431A55" w:rsidRPr="0014586C" w:rsidRDefault="00431A55" w:rsidP="005F7752">
      <w:pPr>
        <w:pStyle w:val="FootnoteText"/>
        <w:rPr>
          <w:sz w:val="20"/>
          <w:szCs w:val="20"/>
          <w:vertAlign w:val="baseline"/>
        </w:rPr>
      </w:pPr>
      <w:r w:rsidRPr="0014586C">
        <w:rPr>
          <w:rStyle w:val="FootnoteReference"/>
          <w:sz w:val="20"/>
          <w:szCs w:val="20"/>
        </w:rPr>
        <w:footnoteRef/>
      </w:r>
      <w:r>
        <w:rPr>
          <w:sz w:val="20"/>
          <w:szCs w:val="20"/>
          <w:vertAlign w:val="baseline"/>
        </w:rPr>
        <w:t xml:space="preserve"> ActionAid</w:t>
      </w:r>
      <w:r w:rsidRPr="0014586C">
        <w:rPr>
          <w:sz w:val="20"/>
          <w:szCs w:val="20"/>
          <w:vertAlign w:val="baseline"/>
        </w:rPr>
        <w:t xml:space="preserve"> </w:t>
      </w:r>
      <w:r>
        <w:rPr>
          <w:sz w:val="20"/>
          <w:szCs w:val="20"/>
          <w:vertAlign w:val="baseline"/>
        </w:rPr>
        <w:t>(n 393)</w:t>
      </w:r>
    </w:p>
  </w:footnote>
  <w:footnote w:id="658">
    <w:p w14:paraId="5B754EEA" w14:textId="77777777" w:rsidR="00431A55" w:rsidRPr="0014586C" w:rsidRDefault="00431A55" w:rsidP="005F7752">
      <w:pPr>
        <w:pStyle w:val="FootnoteText"/>
        <w:rPr>
          <w:sz w:val="20"/>
          <w:szCs w:val="20"/>
          <w:vertAlign w:val="baseline"/>
        </w:rPr>
      </w:pPr>
      <w:r w:rsidRPr="0014586C">
        <w:rPr>
          <w:rStyle w:val="FootnoteReference"/>
          <w:sz w:val="20"/>
          <w:szCs w:val="20"/>
        </w:rPr>
        <w:footnoteRef/>
      </w:r>
      <w:r w:rsidRPr="0014586C">
        <w:rPr>
          <w:sz w:val="20"/>
          <w:szCs w:val="20"/>
          <w:vertAlign w:val="baseline"/>
        </w:rPr>
        <w:t xml:space="preserve"> Dev Nathan, Govind Kelkar and Shivani Satija, ‘Witches: Through Changing Contexts Women Remain the Target’ (Institute for Working Development New Delhi WP004, 2013) 7</w:t>
      </w:r>
    </w:p>
  </w:footnote>
  <w:footnote w:id="659">
    <w:p w14:paraId="3E6144BE" w14:textId="055939C3" w:rsidR="00431A55" w:rsidRPr="0014586C" w:rsidRDefault="00431A55" w:rsidP="005F7752">
      <w:pPr>
        <w:pStyle w:val="FootnoteText"/>
        <w:rPr>
          <w:sz w:val="20"/>
          <w:szCs w:val="20"/>
          <w:vertAlign w:val="baseline"/>
        </w:rPr>
      </w:pPr>
      <w:r w:rsidRPr="0014586C">
        <w:rPr>
          <w:rStyle w:val="FootnoteReference"/>
          <w:sz w:val="20"/>
          <w:szCs w:val="20"/>
        </w:rPr>
        <w:footnoteRef/>
      </w:r>
      <w:r w:rsidRPr="0014586C">
        <w:rPr>
          <w:sz w:val="20"/>
          <w:szCs w:val="20"/>
          <w:vertAlign w:val="baseline"/>
        </w:rPr>
        <w:t xml:space="preserve"> </w:t>
      </w:r>
      <w:r>
        <w:rPr>
          <w:sz w:val="20"/>
          <w:szCs w:val="20"/>
          <w:vertAlign w:val="baseline"/>
        </w:rPr>
        <w:t>ibid</w:t>
      </w:r>
    </w:p>
  </w:footnote>
  <w:footnote w:id="660">
    <w:p w14:paraId="34970FC8" w14:textId="4D307E92" w:rsidR="00431A55" w:rsidRPr="0014586C" w:rsidRDefault="00431A55" w:rsidP="005F7752">
      <w:pPr>
        <w:pStyle w:val="FootnoteText"/>
        <w:rPr>
          <w:sz w:val="20"/>
          <w:szCs w:val="20"/>
          <w:vertAlign w:val="baseline"/>
        </w:rPr>
      </w:pPr>
      <w:r w:rsidRPr="0014586C">
        <w:rPr>
          <w:rStyle w:val="FootnoteReference"/>
          <w:sz w:val="20"/>
          <w:szCs w:val="20"/>
        </w:rPr>
        <w:footnoteRef/>
      </w:r>
      <w:r w:rsidRPr="0014586C">
        <w:rPr>
          <w:sz w:val="20"/>
          <w:szCs w:val="20"/>
          <w:vertAlign w:val="baseline"/>
        </w:rPr>
        <w:t xml:space="preserve"> </w:t>
      </w:r>
      <w:r>
        <w:rPr>
          <w:sz w:val="20"/>
          <w:szCs w:val="20"/>
          <w:vertAlign w:val="baseline"/>
        </w:rPr>
        <w:t>ibid</w:t>
      </w:r>
    </w:p>
  </w:footnote>
  <w:footnote w:id="661">
    <w:p w14:paraId="22452E92" w14:textId="072AF8CE" w:rsidR="00431A55" w:rsidRDefault="00431A55" w:rsidP="005F7752">
      <w:pPr>
        <w:pStyle w:val="FootnoteText"/>
      </w:pPr>
      <w:r w:rsidRPr="0014586C">
        <w:rPr>
          <w:rStyle w:val="FootnoteReference"/>
          <w:sz w:val="20"/>
          <w:szCs w:val="20"/>
        </w:rPr>
        <w:footnoteRef/>
      </w:r>
      <w:r w:rsidRPr="0014586C">
        <w:rPr>
          <w:sz w:val="20"/>
          <w:szCs w:val="20"/>
          <w:vertAlign w:val="baseline"/>
        </w:rPr>
        <w:t xml:space="preserve"> </w:t>
      </w:r>
      <w:r>
        <w:rPr>
          <w:sz w:val="20"/>
          <w:szCs w:val="20"/>
          <w:vertAlign w:val="baseline"/>
        </w:rPr>
        <w:t>ibid</w:t>
      </w:r>
      <w:r w:rsidRPr="0014586C">
        <w:rPr>
          <w:sz w:val="20"/>
          <w:szCs w:val="20"/>
          <w:vertAlign w:val="baseline"/>
        </w:rPr>
        <w:t xml:space="preserve"> 8</w:t>
      </w:r>
    </w:p>
  </w:footnote>
  <w:footnote w:id="662">
    <w:p w14:paraId="53185262" w14:textId="521D3FDD" w:rsidR="00431A55" w:rsidRPr="0012339F" w:rsidRDefault="00431A55" w:rsidP="005F7752">
      <w:pPr>
        <w:pStyle w:val="FootnoteText"/>
        <w:rPr>
          <w:sz w:val="20"/>
          <w:szCs w:val="20"/>
          <w:vertAlign w:val="baseline"/>
        </w:rPr>
      </w:pPr>
      <w:r w:rsidRPr="0012339F">
        <w:rPr>
          <w:rStyle w:val="FootnoteReference"/>
          <w:sz w:val="20"/>
          <w:szCs w:val="20"/>
        </w:rPr>
        <w:footnoteRef/>
      </w:r>
      <w:r w:rsidRPr="0012339F">
        <w:rPr>
          <w:sz w:val="20"/>
          <w:szCs w:val="20"/>
          <w:vertAlign w:val="baseline"/>
        </w:rPr>
        <w:t xml:space="preserve"> </w:t>
      </w:r>
      <w:r>
        <w:rPr>
          <w:sz w:val="20"/>
          <w:szCs w:val="20"/>
          <w:vertAlign w:val="baseline"/>
        </w:rPr>
        <w:t>ibid</w:t>
      </w:r>
    </w:p>
  </w:footnote>
  <w:footnote w:id="663">
    <w:p w14:paraId="671D4E0B" w14:textId="62416770" w:rsidR="00431A55" w:rsidRPr="0012339F" w:rsidRDefault="00431A55" w:rsidP="005F7752">
      <w:pPr>
        <w:pStyle w:val="FootnoteText"/>
        <w:rPr>
          <w:sz w:val="20"/>
          <w:szCs w:val="20"/>
          <w:vertAlign w:val="baseline"/>
        </w:rPr>
      </w:pPr>
      <w:r w:rsidRPr="0012339F">
        <w:rPr>
          <w:rStyle w:val="FootnoteReference"/>
          <w:sz w:val="20"/>
          <w:szCs w:val="20"/>
        </w:rPr>
        <w:footnoteRef/>
      </w:r>
      <w:r w:rsidRPr="0012339F">
        <w:rPr>
          <w:sz w:val="20"/>
          <w:szCs w:val="20"/>
        </w:rPr>
        <w:t xml:space="preserve"> </w:t>
      </w:r>
      <w:r>
        <w:rPr>
          <w:sz w:val="20"/>
          <w:szCs w:val="20"/>
          <w:vertAlign w:val="baseline"/>
        </w:rPr>
        <w:t>ibid</w:t>
      </w:r>
    </w:p>
  </w:footnote>
  <w:footnote w:id="664">
    <w:p w14:paraId="08EDFA49" w14:textId="57DF8E8C" w:rsidR="00431A55" w:rsidRPr="00E94130" w:rsidRDefault="00431A55" w:rsidP="00AB486A">
      <w:pPr>
        <w:pStyle w:val="FootnoteText"/>
        <w:rPr>
          <w:sz w:val="20"/>
          <w:szCs w:val="20"/>
          <w:vertAlign w:val="baseline"/>
        </w:rPr>
      </w:pPr>
      <w:r w:rsidRPr="00E94130">
        <w:rPr>
          <w:rStyle w:val="FootnoteReference"/>
          <w:sz w:val="20"/>
          <w:szCs w:val="20"/>
        </w:rPr>
        <w:footnoteRef/>
      </w:r>
      <w:r w:rsidRPr="00E94130">
        <w:rPr>
          <w:sz w:val="20"/>
          <w:szCs w:val="20"/>
          <w:vertAlign w:val="baseline"/>
        </w:rPr>
        <w:t xml:space="preserve"> Cambridge Network</w:t>
      </w:r>
      <w:r>
        <w:rPr>
          <w:sz w:val="20"/>
          <w:szCs w:val="20"/>
          <w:vertAlign w:val="baseline"/>
        </w:rPr>
        <w:t xml:space="preserve"> (n 519)</w:t>
      </w:r>
    </w:p>
  </w:footnote>
  <w:footnote w:id="665">
    <w:p w14:paraId="2CA76DAE" w14:textId="7751D1B0" w:rsidR="00431A55" w:rsidRPr="00E94130" w:rsidRDefault="00431A55" w:rsidP="00AB486A">
      <w:pPr>
        <w:pStyle w:val="FootnoteText"/>
        <w:rPr>
          <w:sz w:val="20"/>
          <w:szCs w:val="20"/>
          <w:vertAlign w:val="baseline"/>
        </w:rPr>
      </w:pPr>
      <w:r w:rsidRPr="00E94130">
        <w:rPr>
          <w:rStyle w:val="FootnoteReference"/>
          <w:sz w:val="20"/>
          <w:szCs w:val="20"/>
        </w:rPr>
        <w:footnoteRef/>
      </w:r>
      <w:r w:rsidRPr="00E94130">
        <w:rPr>
          <w:sz w:val="20"/>
          <w:szCs w:val="20"/>
          <w:vertAlign w:val="baseline"/>
        </w:rPr>
        <w:t xml:space="preserve"> </w:t>
      </w:r>
      <w:r>
        <w:rPr>
          <w:sz w:val="20"/>
          <w:szCs w:val="20"/>
          <w:vertAlign w:val="baseline"/>
        </w:rPr>
        <w:t>See (n 520)</w:t>
      </w:r>
    </w:p>
  </w:footnote>
  <w:footnote w:id="666">
    <w:p w14:paraId="2E2777AA" w14:textId="09FF39A8" w:rsidR="00431A55" w:rsidRPr="00E94130" w:rsidRDefault="00431A55" w:rsidP="00AB486A">
      <w:pPr>
        <w:pStyle w:val="FootnoteText"/>
        <w:rPr>
          <w:sz w:val="20"/>
          <w:szCs w:val="20"/>
          <w:vertAlign w:val="baseline"/>
          <w:lang w:val="en-US"/>
        </w:rPr>
      </w:pPr>
      <w:r w:rsidRPr="00E94130">
        <w:rPr>
          <w:rStyle w:val="FootnoteReference"/>
          <w:sz w:val="20"/>
          <w:szCs w:val="20"/>
        </w:rPr>
        <w:footnoteRef/>
      </w:r>
      <w:r w:rsidRPr="00E94130">
        <w:rPr>
          <w:sz w:val="20"/>
          <w:szCs w:val="20"/>
          <w:vertAlign w:val="baseline"/>
        </w:rPr>
        <w:t xml:space="preserve"> UNDP, ‘Human Developme</w:t>
      </w:r>
      <w:r>
        <w:rPr>
          <w:sz w:val="20"/>
          <w:szCs w:val="20"/>
          <w:vertAlign w:val="baseline"/>
        </w:rPr>
        <w:t>nt Index</w:t>
      </w:r>
      <w:r w:rsidRPr="00E94130">
        <w:rPr>
          <w:sz w:val="20"/>
          <w:szCs w:val="20"/>
          <w:vertAlign w:val="baseline"/>
        </w:rPr>
        <w:t xml:space="preserve">’ </w:t>
      </w:r>
      <w:r>
        <w:rPr>
          <w:sz w:val="20"/>
          <w:szCs w:val="20"/>
          <w:vertAlign w:val="baseline"/>
        </w:rPr>
        <w:t>(n 579)</w:t>
      </w:r>
    </w:p>
  </w:footnote>
  <w:footnote w:id="667">
    <w:p w14:paraId="3B268B3A" w14:textId="7E342CE5" w:rsidR="00431A55" w:rsidRPr="00E94130" w:rsidRDefault="00431A55" w:rsidP="00AB486A">
      <w:pPr>
        <w:pStyle w:val="FootnoteText"/>
        <w:rPr>
          <w:sz w:val="20"/>
          <w:szCs w:val="20"/>
          <w:vertAlign w:val="baseline"/>
          <w:lang w:val="en-US"/>
        </w:rPr>
      </w:pPr>
      <w:r w:rsidRPr="00E94130">
        <w:rPr>
          <w:rStyle w:val="FootnoteReference"/>
          <w:sz w:val="20"/>
          <w:szCs w:val="20"/>
        </w:rPr>
        <w:footnoteRef/>
      </w:r>
      <w:r w:rsidRPr="00E94130">
        <w:rPr>
          <w:sz w:val="20"/>
          <w:szCs w:val="20"/>
        </w:rPr>
        <w:t xml:space="preserve"> </w:t>
      </w:r>
      <w:r>
        <w:rPr>
          <w:sz w:val="20"/>
          <w:szCs w:val="20"/>
          <w:vertAlign w:val="baseline"/>
          <w:lang w:val="en-US"/>
        </w:rPr>
        <w:t>OHCHR</w:t>
      </w:r>
      <w:r w:rsidRPr="00E94130">
        <w:rPr>
          <w:sz w:val="20"/>
          <w:szCs w:val="20"/>
          <w:vertAlign w:val="baseline"/>
          <w:lang w:val="en-US"/>
        </w:rPr>
        <w:t>, ‘Armed Tribal Conflict and Sorcery in the Highla</w:t>
      </w:r>
      <w:r>
        <w:rPr>
          <w:sz w:val="20"/>
          <w:szCs w:val="20"/>
          <w:vertAlign w:val="baseline"/>
          <w:lang w:val="en-US"/>
        </w:rPr>
        <w:t>nds of Papua New Guinea’ (</w:t>
      </w:r>
      <w:r w:rsidRPr="00E94130">
        <w:rPr>
          <w:sz w:val="20"/>
          <w:szCs w:val="20"/>
          <w:vertAlign w:val="baseline"/>
          <w:lang w:val="en-US"/>
        </w:rPr>
        <w:t xml:space="preserve">New York </w:t>
      </w:r>
      <w:r>
        <w:rPr>
          <w:sz w:val="20"/>
          <w:szCs w:val="20"/>
          <w:vertAlign w:val="baseline"/>
          <w:lang w:val="en-US"/>
        </w:rPr>
        <w:t xml:space="preserve">October </w:t>
      </w:r>
      <w:r w:rsidRPr="00E94130">
        <w:rPr>
          <w:sz w:val="20"/>
          <w:szCs w:val="20"/>
          <w:vertAlign w:val="baseline"/>
          <w:lang w:val="en-US"/>
        </w:rPr>
        <w:t>2010)</w:t>
      </w:r>
    </w:p>
  </w:footnote>
  <w:footnote w:id="668">
    <w:p w14:paraId="50B7FB13" w14:textId="77777777" w:rsidR="00431A55" w:rsidRPr="00E94130" w:rsidRDefault="00431A55" w:rsidP="00AB486A">
      <w:pPr>
        <w:pStyle w:val="NoSpacing"/>
        <w:rPr>
          <w:vertAlign w:val="baseline"/>
        </w:rPr>
      </w:pPr>
      <w:r w:rsidRPr="00E94130">
        <w:rPr>
          <w:rStyle w:val="FootnoteReference"/>
        </w:rPr>
        <w:footnoteRef/>
      </w:r>
      <w:r w:rsidRPr="00E94130">
        <w:rPr>
          <w:vertAlign w:val="baseline"/>
        </w:rPr>
        <w:t xml:space="preserve"> R Varolli, ‘Papua New Guinea Apologizes for CEDAW Record,’ (</w:t>
      </w:r>
      <w:r w:rsidRPr="00E94130">
        <w:rPr>
          <w:i/>
          <w:vertAlign w:val="baseline"/>
        </w:rPr>
        <w:t>Women’s eNews</w:t>
      </w:r>
      <w:r w:rsidRPr="00E94130">
        <w:rPr>
          <w:vertAlign w:val="baseline"/>
        </w:rPr>
        <w:t xml:space="preserve"> 2 August 2010) &lt;</w:t>
      </w:r>
      <w:hyperlink r:id="rId97" w:history="1">
        <w:r w:rsidRPr="00E94130">
          <w:rPr>
            <w:rStyle w:val="Hyperlink"/>
            <w:vertAlign w:val="baseline"/>
          </w:rPr>
          <w:t>http://womenenews.org/story/international-policyunited-nations/100730/papua-new-guinea-apologizescedaw-record</w:t>
        </w:r>
      </w:hyperlink>
      <w:r w:rsidRPr="00E94130">
        <w:rPr>
          <w:vertAlign w:val="baseline"/>
        </w:rPr>
        <w:t>&gt; accessed 13 February 2015</w:t>
      </w:r>
    </w:p>
  </w:footnote>
  <w:footnote w:id="669">
    <w:p w14:paraId="3D27DAEC" w14:textId="7237BCAD" w:rsidR="00431A55" w:rsidRPr="002743C5" w:rsidRDefault="00431A55" w:rsidP="00AB486A">
      <w:pPr>
        <w:pStyle w:val="FootnoteText"/>
        <w:rPr>
          <w:lang w:val="en-US"/>
        </w:rPr>
      </w:pPr>
      <w:r w:rsidRPr="000E5AFA">
        <w:rPr>
          <w:rStyle w:val="FootnoteReference"/>
          <w:sz w:val="20"/>
          <w:szCs w:val="20"/>
        </w:rPr>
        <w:footnoteRef/>
      </w:r>
      <w:r w:rsidRPr="00E94130">
        <w:rPr>
          <w:sz w:val="20"/>
          <w:szCs w:val="20"/>
          <w:vertAlign w:val="baseline"/>
        </w:rPr>
        <w:t xml:space="preserve"> </w:t>
      </w:r>
      <w:r w:rsidRPr="00E94130">
        <w:rPr>
          <w:sz w:val="20"/>
          <w:szCs w:val="20"/>
          <w:vertAlign w:val="baseline"/>
          <w:lang w:val="en-US"/>
        </w:rPr>
        <w:t>Oxfam International, ‘Sorcery beliefs and practices in Gumine: a source of conflict and insecurity’ (</w:t>
      </w:r>
      <w:r w:rsidRPr="00E94130">
        <w:rPr>
          <w:i/>
          <w:sz w:val="20"/>
          <w:szCs w:val="20"/>
          <w:vertAlign w:val="baseline"/>
          <w:lang w:val="en-US"/>
        </w:rPr>
        <w:t xml:space="preserve">Oxfam International </w:t>
      </w:r>
      <w:r w:rsidRPr="00E94130">
        <w:rPr>
          <w:sz w:val="20"/>
          <w:szCs w:val="20"/>
          <w:vertAlign w:val="baseline"/>
          <w:lang w:val="en-US"/>
        </w:rPr>
        <w:t>15 October 2010)</w:t>
      </w:r>
    </w:p>
  </w:footnote>
  <w:footnote w:id="670">
    <w:p w14:paraId="3D067377" w14:textId="77777777" w:rsidR="00431A55" w:rsidRPr="000E5AFA" w:rsidRDefault="00431A55" w:rsidP="00AB486A">
      <w:pPr>
        <w:pStyle w:val="FootnoteText"/>
        <w:rPr>
          <w:sz w:val="20"/>
          <w:szCs w:val="20"/>
          <w:vertAlign w:val="baseline"/>
        </w:rPr>
      </w:pPr>
      <w:r w:rsidRPr="000E5AFA">
        <w:rPr>
          <w:rStyle w:val="FootnoteReference"/>
          <w:sz w:val="20"/>
          <w:szCs w:val="20"/>
        </w:rPr>
        <w:footnoteRef/>
      </w:r>
      <w:r w:rsidRPr="000E5AFA">
        <w:rPr>
          <w:sz w:val="20"/>
          <w:szCs w:val="20"/>
          <w:vertAlign w:val="baseline"/>
        </w:rPr>
        <w:t xml:space="preserve"> UNAIDS, ‘Papua New Guinea: HIV and AIDS estimates 2013’ (</w:t>
      </w:r>
      <w:r w:rsidRPr="000E5AFA">
        <w:rPr>
          <w:i/>
          <w:sz w:val="20"/>
          <w:szCs w:val="20"/>
          <w:vertAlign w:val="baseline"/>
        </w:rPr>
        <w:t>UNAID</w:t>
      </w:r>
      <w:r w:rsidRPr="000E5AFA">
        <w:rPr>
          <w:sz w:val="20"/>
          <w:szCs w:val="20"/>
          <w:vertAlign w:val="baseline"/>
        </w:rPr>
        <w:t xml:space="preserve"> 2013) &lt;</w:t>
      </w:r>
      <w:hyperlink r:id="rId98" w:history="1">
        <w:r w:rsidRPr="000E5AFA">
          <w:rPr>
            <w:rStyle w:val="Hyperlink"/>
            <w:sz w:val="20"/>
            <w:szCs w:val="20"/>
            <w:vertAlign w:val="baseline"/>
          </w:rPr>
          <w:t>http://www.unaids.org/en/regionscountries/countries/papuanewguinea</w:t>
        </w:r>
      </w:hyperlink>
      <w:r w:rsidRPr="000E5AFA">
        <w:rPr>
          <w:sz w:val="20"/>
          <w:szCs w:val="20"/>
          <w:vertAlign w:val="baseline"/>
        </w:rPr>
        <w:t>&gt; accessed 16 February 2015</w:t>
      </w:r>
    </w:p>
  </w:footnote>
  <w:footnote w:id="671">
    <w:p w14:paraId="3B886D01" w14:textId="1E878383" w:rsidR="00431A55" w:rsidRPr="000E5AFA" w:rsidRDefault="00431A55" w:rsidP="00AB486A">
      <w:pPr>
        <w:pStyle w:val="NoSpacing"/>
        <w:rPr>
          <w:vertAlign w:val="baseline"/>
        </w:rPr>
      </w:pPr>
      <w:r w:rsidRPr="000E5AFA">
        <w:rPr>
          <w:rStyle w:val="FootnoteReference"/>
        </w:rPr>
        <w:footnoteRef/>
      </w:r>
      <w:r w:rsidRPr="000E5AFA">
        <w:rPr>
          <w:vertAlign w:val="baseline"/>
        </w:rPr>
        <w:t xml:space="preserve"> UNAIDs, ‘Interim Global AIDS Response Progress &amp; Universal Access Reports Papua New Guinea, Reporting period January –December 2013’ (</w:t>
      </w:r>
      <w:r w:rsidRPr="000E5AFA">
        <w:rPr>
          <w:i/>
          <w:vertAlign w:val="baseline"/>
        </w:rPr>
        <w:t xml:space="preserve">UNAIDS </w:t>
      </w:r>
      <w:r w:rsidRPr="000E5AFA">
        <w:rPr>
          <w:vertAlign w:val="baseline"/>
        </w:rPr>
        <w:t>31st March 2014)</w:t>
      </w:r>
    </w:p>
  </w:footnote>
  <w:footnote w:id="672">
    <w:p w14:paraId="7BCA91DB" w14:textId="23175670" w:rsidR="00431A55" w:rsidRPr="00E578D4" w:rsidRDefault="00431A55" w:rsidP="00AB486A">
      <w:pPr>
        <w:pStyle w:val="NoSpacing"/>
      </w:pPr>
      <w:r w:rsidRPr="000E5AFA">
        <w:rPr>
          <w:rStyle w:val="FootnoteReference"/>
        </w:rPr>
        <w:footnoteRef/>
      </w:r>
      <w:r w:rsidRPr="000E5AFA">
        <w:rPr>
          <w:vertAlign w:val="baseline"/>
        </w:rPr>
        <w:t xml:space="preserve"> Amnesty Inte</w:t>
      </w:r>
      <w:r>
        <w:rPr>
          <w:vertAlign w:val="baseline"/>
        </w:rPr>
        <w:t>rnational, ‘Papua New Guinea’ (n 592)</w:t>
      </w:r>
    </w:p>
  </w:footnote>
  <w:footnote w:id="673">
    <w:p w14:paraId="67D45F5A" w14:textId="77777777" w:rsidR="00431A55" w:rsidRPr="00852FAD" w:rsidRDefault="00431A55" w:rsidP="005F7752">
      <w:pPr>
        <w:pStyle w:val="FootnoteText"/>
        <w:rPr>
          <w:sz w:val="20"/>
          <w:szCs w:val="20"/>
          <w:vertAlign w:val="baseline"/>
        </w:rPr>
      </w:pPr>
      <w:r w:rsidRPr="00852FAD">
        <w:rPr>
          <w:rStyle w:val="FootnoteReference"/>
          <w:sz w:val="20"/>
          <w:szCs w:val="20"/>
        </w:rPr>
        <w:footnoteRef/>
      </w:r>
      <w:r w:rsidRPr="00852FAD">
        <w:rPr>
          <w:sz w:val="20"/>
          <w:szCs w:val="20"/>
          <w:vertAlign w:val="baseline"/>
        </w:rPr>
        <w:t xml:space="preserve"> Kachan Mathur as quoted in ‘Witch Hunting in India: Poor, Low Caste and Widows Main Targets’ (</w:t>
      </w:r>
      <w:r w:rsidRPr="00852FAD">
        <w:rPr>
          <w:i/>
          <w:sz w:val="20"/>
          <w:szCs w:val="20"/>
          <w:vertAlign w:val="baseline"/>
        </w:rPr>
        <w:t>International Business Times</w:t>
      </w:r>
      <w:r w:rsidRPr="00852FAD">
        <w:rPr>
          <w:sz w:val="20"/>
          <w:szCs w:val="20"/>
          <w:vertAlign w:val="baseline"/>
        </w:rPr>
        <w:t xml:space="preserve"> 22 July 2014) &lt;</w:t>
      </w:r>
      <w:hyperlink r:id="rId99" w:history="1">
        <w:r w:rsidRPr="00852FAD">
          <w:rPr>
            <w:rStyle w:val="Hyperlink"/>
            <w:sz w:val="20"/>
            <w:szCs w:val="20"/>
            <w:vertAlign w:val="baseline"/>
          </w:rPr>
          <w:t>http://www.ibtimes.co.uk/witch-hunting-india-poor-low-caste-widows-main-targets-145709</w:t>
        </w:r>
      </w:hyperlink>
      <w:r w:rsidRPr="00852FAD">
        <w:rPr>
          <w:sz w:val="20"/>
          <w:szCs w:val="20"/>
          <w:vertAlign w:val="baseline"/>
        </w:rPr>
        <w:t>&gt; accessed 6 February 2015</w:t>
      </w:r>
    </w:p>
  </w:footnote>
  <w:footnote w:id="674">
    <w:p w14:paraId="595AF34F" w14:textId="77777777" w:rsidR="00431A55" w:rsidRPr="00852FAD" w:rsidRDefault="00431A55" w:rsidP="005F7752">
      <w:pPr>
        <w:pStyle w:val="FootnoteText"/>
        <w:rPr>
          <w:sz w:val="20"/>
          <w:szCs w:val="20"/>
          <w:vertAlign w:val="baseline"/>
        </w:rPr>
      </w:pPr>
      <w:r w:rsidRPr="00852FAD">
        <w:rPr>
          <w:rStyle w:val="FootnoteReference"/>
          <w:sz w:val="20"/>
          <w:szCs w:val="20"/>
        </w:rPr>
        <w:footnoteRef/>
      </w:r>
      <w:r w:rsidRPr="00852FAD">
        <w:rPr>
          <w:sz w:val="20"/>
          <w:szCs w:val="20"/>
        </w:rPr>
        <w:t xml:space="preserve"> </w:t>
      </w:r>
      <w:r w:rsidRPr="00852FAD">
        <w:rPr>
          <w:sz w:val="20"/>
          <w:szCs w:val="20"/>
          <w:vertAlign w:val="baseline"/>
        </w:rPr>
        <w:t>Women’s News Network &lt;</w:t>
      </w:r>
      <w:hyperlink r:id="rId100" w:history="1">
        <w:r w:rsidRPr="00852FAD">
          <w:rPr>
            <w:rStyle w:val="Hyperlink"/>
            <w:sz w:val="20"/>
            <w:szCs w:val="20"/>
            <w:vertAlign w:val="baseline"/>
          </w:rPr>
          <w:t>http://womennewsnetwork.net/</w:t>
        </w:r>
      </w:hyperlink>
      <w:r w:rsidRPr="00852FAD">
        <w:rPr>
          <w:sz w:val="20"/>
          <w:szCs w:val="20"/>
          <w:vertAlign w:val="baseline"/>
        </w:rPr>
        <w:t>&gt; accessed 6 February 2015</w:t>
      </w:r>
    </w:p>
  </w:footnote>
  <w:footnote w:id="675">
    <w:p w14:paraId="113501F5" w14:textId="77777777" w:rsidR="00431A55" w:rsidRPr="00CC29AF" w:rsidRDefault="00431A55" w:rsidP="005F7752">
      <w:pPr>
        <w:pStyle w:val="FootnoteText"/>
        <w:rPr>
          <w:sz w:val="20"/>
          <w:szCs w:val="20"/>
          <w:vertAlign w:val="baseline"/>
        </w:rPr>
      </w:pPr>
      <w:r w:rsidRPr="00852FAD">
        <w:rPr>
          <w:rStyle w:val="FootnoteReference"/>
          <w:sz w:val="20"/>
          <w:szCs w:val="20"/>
        </w:rPr>
        <w:footnoteRef/>
      </w:r>
      <w:r w:rsidRPr="00852FAD">
        <w:rPr>
          <w:sz w:val="20"/>
          <w:szCs w:val="20"/>
          <w:vertAlign w:val="baseline"/>
        </w:rPr>
        <w:t xml:space="preserve"> ‘Witch Hunting in India: Poor, Low Caste and Widows Main Targets’ (</w:t>
      </w:r>
      <w:r w:rsidRPr="00852FAD">
        <w:rPr>
          <w:i/>
          <w:sz w:val="20"/>
          <w:szCs w:val="20"/>
          <w:vertAlign w:val="baseline"/>
        </w:rPr>
        <w:t>International Business Times</w:t>
      </w:r>
      <w:r w:rsidRPr="00852FAD">
        <w:rPr>
          <w:sz w:val="20"/>
          <w:szCs w:val="20"/>
          <w:vertAlign w:val="baseline"/>
        </w:rPr>
        <w:t xml:space="preserve"> 22 July 2014) &lt;</w:t>
      </w:r>
      <w:hyperlink r:id="rId101" w:history="1">
        <w:r w:rsidRPr="00CC29AF">
          <w:rPr>
            <w:rStyle w:val="Hyperlink"/>
            <w:sz w:val="20"/>
            <w:szCs w:val="20"/>
            <w:vertAlign w:val="baseline"/>
          </w:rPr>
          <w:t>http://www.ibtimes.co.uk/witch-hunting-india-poor-low-caste-widows-main-targets-1457809</w:t>
        </w:r>
      </w:hyperlink>
      <w:r w:rsidRPr="00CC29AF">
        <w:rPr>
          <w:sz w:val="20"/>
          <w:szCs w:val="20"/>
          <w:vertAlign w:val="baseline"/>
        </w:rPr>
        <w:t>&gt; accessed 6 February 2015</w:t>
      </w:r>
    </w:p>
  </w:footnote>
  <w:footnote w:id="676">
    <w:p w14:paraId="3998C8D4" w14:textId="77777777" w:rsidR="00431A55" w:rsidRPr="00CC29AF" w:rsidRDefault="00431A55" w:rsidP="005F7752">
      <w:pPr>
        <w:pStyle w:val="FootnoteText"/>
        <w:rPr>
          <w:sz w:val="20"/>
          <w:szCs w:val="20"/>
          <w:vertAlign w:val="baseline"/>
        </w:rPr>
      </w:pPr>
      <w:r w:rsidRPr="00CC29AF">
        <w:rPr>
          <w:rStyle w:val="FootnoteReference"/>
          <w:sz w:val="20"/>
          <w:szCs w:val="20"/>
        </w:rPr>
        <w:footnoteRef/>
      </w:r>
      <w:r w:rsidRPr="00CC29AF">
        <w:rPr>
          <w:sz w:val="20"/>
          <w:szCs w:val="20"/>
          <w:vertAlign w:val="baseline"/>
        </w:rPr>
        <w:t xml:space="preserve"> Indu Pant, Gender Advisor at CARE Nepal, as quoted in Mallika Aryal, ‘Nepal: Witch Tag Only on Dalits, Minorities’ (</w:t>
      </w:r>
      <w:r w:rsidRPr="00CC29AF">
        <w:rPr>
          <w:i/>
          <w:sz w:val="20"/>
          <w:szCs w:val="20"/>
          <w:vertAlign w:val="baseline"/>
        </w:rPr>
        <w:t>Inter Press Service</w:t>
      </w:r>
      <w:r w:rsidRPr="00CC29AF">
        <w:rPr>
          <w:sz w:val="20"/>
          <w:szCs w:val="20"/>
          <w:vertAlign w:val="baseline"/>
        </w:rPr>
        <w:t xml:space="preserve"> 23 December 2003) &lt;</w:t>
      </w:r>
      <w:hyperlink r:id="rId102" w:history="1">
        <w:r w:rsidRPr="00CC29AF">
          <w:rPr>
            <w:rStyle w:val="Hyperlink"/>
            <w:sz w:val="20"/>
            <w:szCs w:val="20"/>
            <w:vertAlign w:val="baseline"/>
          </w:rPr>
          <w:t>http://www.ipsnews.net/2009/12/nepal-witch-tag-only-on-dalits-minorities/</w:t>
        </w:r>
      </w:hyperlink>
      <w:r w:rsidRPr="00CC29AF">
        <w:rPr>
          <w:sz w:val="20"/>
          <w:szCs w:val="20"/>
          <w:vertAlign w:val="baseline"/>
        </w:rPr>
        <w:t>&gt; accessed 6 February 2015</w:t>
      </w:r>
    </w:p>
  </w:footnote>
  <w:footnote w:id="677">
    <w:p w14:paraId="355D4907" w14:textId="77777777" w:rsidR="00431A55" w:rsidRPr="00CC29AF" w:rsidRDefault="00431A55" w:rsidP="005F7752">
      <w:pPr>
        <w:pStyle w:val="NoSpacing"/>
        <w:rPr>
          <w:shd w:val="clear" w:color="auto" w:fill="FFFFFF"/>
          <w:vertAlign w:val="baseline"/>
        </w:rPr>
      </w:pPr>
      <w:r w:rsidRPr="00CC29AF">
        <w:rPr>
          <w:rStyle w:val="FootnoteReference"/>
        </w:rPr>
        <w:footnoteRef/>
      </w:r>
      <w:r w:rsidRPr="00CC29AF">
        <w:rPr>
          <w:vertAlign w:val="baseline"/>
        </w:rPr>
        <w:t xml:space="preserve"> </w:t>
      </w:r>
      <w:r w:rsidRPr="00CC29AF">
        <w:rPr>
          <w:shd w:val="clear" w:color="auto" w:fill="FFFFFF"/>
          <w:vertAlign w:val="baseline"/>
        </w:rPr>
        <w:t>Urmila Bishwakarma is a member of the Dalit media group, Jagaran Media Centre</w:t>
      </w:r>
    </w:p>
  </w:footnote>
  <w:footnote w:id="678">
    <w:p w14:paraId="56C76D7B" w14:textId="56D987DC" w:rsidR="00431A55" w:rsidRPr="00F37A8E" w:rsidRDefault="00431A55" w:rsidP="005F7752">
      <w:pPr>
        <w:pStyle w:val="NoSpacing"/>
        <w:rPr>
          <w:shd w:val="clear" w:color="auto" w:fill="FFFFFF"/>
        </w:rPr>
      </w:pPr>
      <w:r w:rsidRPr="00CC29AF">
        <w:rPr>
          <w:rStyle w:val="FootnoteReference"/>
        </w:rPr>
        <w:footnoteRef/>
      </w:r>
      <w:r w:rsidRPr="00CC29AF">
        <w:rPr>
          <w:vertAlign w:val="baseline"/>
        </w:rPr>
        <w:t xml:space="preserve"> </w:t>
      </w:r>
      <w:r w:rsidRPr="00CC29AF">
        <w:rPr>
          <w:shd w:val="clear" w:color="auto" w:fill="FFFFFF"/>
          <w:vertAlign w:val="baseline"/>
        </w:rPr>
        <w:t>B</w:t>
      </w:r>
      <w:r>
        <w:rPr>
          <w:shd w:val="clear" w:color="auto" w:fill="FFFFFF"/>
          <w:vertAlign w:val="baseline"/>
        </w:rPr>
        <w:t>ishwakarma as quoted in Aryal (n 676)</w:t>
      </w:r>
    </w:p>
  </w:footnote>
  <w:footnote w:id="679">
    <w:p w14:paraId="5C766868" w14:textId="642D9A3B" w:rsidR="00431A55" w:rsidRPr="00CD6578" w:rsidRDefault="00431A55" w:rsidP="005F7752">
      <w:pPr>
        <w:pStyle w:val="FootnoteText"/>
        <w:rPr>
          <w:sz w:val="20"/>
          <w:szCs w:val="20"/>
          <w:vertAlign w:val="baseline"/>
        </w:rPr>
      </w:pPr>
      <w:r w:rsidRPr="00CD6578">
        <w:rPr>
          <w:rStyle w:val="FootnoteReference"/>
          <w:sz w:val="20"/>
          <w:szCs w:val="20"/>
        </w:rPr>
        <w:footnoteRef/>
      </w:r>
      <w:r w:rsidRPr="00CD6578">
        <w:rPr>
          <w:sz w:val="20"/>
          <w:szCs w:val="20"/>
          <w:vertAlign w:val="baseline"/>
        </w:rPr>
        <w:t xml:space="preserve"> ‘Nepal mob burns 'witch' alive in horrifying attack’ </w:t>
      </w:r>
      <w:r w:rsidRPr="00CD6578">
        <w:rPr>
          <w:i/>
          <w:sz w:val="20"/>
          <w:szCs w:val="20"/>
          <w:vertAlign w:val="baseline"/>
        </w:rPr>
        <w:t>The Telegraph</w:t>
      </w:r>
      <w:r w:rsidRPr="00CD6578">
        <w:rPr>
          <w:sz w:val="20"/>
          <w:szCs w:val="20"/>
          <w:vertAlign w:val="baseline"/>
        </w:rPr>
        <w:t xml:space="preserve"> (London, 17 February 2012); </w:t>
      </w:r>
      <w:r w:rsidRPr="00AA4F0B">
        <w:rPr>
          <w:sz w:val="20"/>
          <w:szCs w:val="20"/>
          <w:vertAlign w:val="baseline"/>
        </w:rPr>
        <w:t>Shears</w:t>
      </w:r>
      <w:r>
        <w:rPr>
          <w:sz w:val="20"/>
          <w:szCs w:val="20"/>
          <w:vertAlign w:val="baseline"/>
        </w:rPr>
        <w:t xml:space="preserve"> (n 334); </w:t>
      </w:r>
      <w:r w:rsidRPr="00CD6578">
        <w:rPr>
          <w:sz w:val="20"/>
          <w:szCs w:val="20"/>
          <w:vertAlign w:val="baseline"/>
        </w:rPr>
        <w:t xml:space="preserve">Faisal Mohammed Ali, ‘Indian villages ‘killed witch’ </w:t>
      </w:r>
      <w:r w:rsidRPr="00CD6578">
        <w:rPr>
          <w:i/>
          <w:sz w:val="20"/>
          <w:szCs w:val="20"/>
          <w:vertAlign w:val="baseline"/>
        </w:rPr>
        <w:t xml:space="preserve">BBC News </w:t>
      </w:r>
      <w:r w:rsidRPr="00CD6578">
        <w:rPr>
          <w:sz w:val="20"/>
          <w:szCs w:val="20"/>
          <w:vertAlign w:val="baseline"/>
        </w:rPr>
        <w:t>(London, 27 March 2008)</w:t>
      </w:r>
      <w:r>
        <w:rPr>
          <w:sz w:val="20"/>
          <w:szCs w:val="20"/>
          <w:vertAlign w:val="baseline"/>
        </w:rPr>
        <w:t>;</w:t>
      </w:r>
      <w:r w:rsidRPr="00CD6578">
        <w:rPr>
          <w:sz w:val="20"/>
          <w:szCs w:val="20"/>
          <w:vertAlign w:val="baseline"/>
        </w:rPr>
        <w:t xml:space="preserve"> David Smith, ‘Ghanaian women burned to death for being a ‘witch’ </w:t>
      </w:r>
      <w:r w:rsidRPr="00CD6578">
        <w:rPr>
          <w:i/>
          <w:sz w:val="20"/>
          <w:szCs w:val="20"/>
          <w:vertAlign w:val="baseline"/>
        </w:rPr>
        <w:t xml:space="preserve">The Guardian </w:t>
      </w:r>
      <w:r w:rsidRPr="00CD6578">
        <w:rPr>
          <w:sz w:val="20"/>
          <w:szCs w:val="20"/>
          <w:vertAlign w:val="baseline"/>
        </w:rPr>
        <w:t>(London, 29 November 2010)</w:t>
      </w:r>
    </w:p>
  </w:footnote>
  <w:footnote w:id="680">
    <w:p w14:paraId="45903AC4" w14:textId="6E59C211" w:rsidR="00431A55" w:rsidRPr="00546EC6" w:rsidRDefault="00431A55" w:rsidP="005F7752">
      <w:pPr>
        <w:pStyle w:val="FootnoteText"/>
        <w:rPr>
          <w:sz w:val="20"/>
          <w:szCs w:val="20"/>
          <w:vertAlign w:val="baseline"/>
        </w:rPr>
      </w:pPr>
      <w:r w:rsidRPr="00546EC6">
        <w:rPr>
          <w:rStyle w:val="FootnoteReference"/>
          <w:sz w:val="20"/>
          <w:szCs w:val="20"/>
        </w:rPr>
        <w:footnoteRef/>
      </w:r>
      <w:r w:rsidRPr="00546EC6">
        <w:rPr>
          <w:sz w:val="20"/>
          <w:szCs w:val="20"/>
          <w:vertAlign w:val="baseline"/>
        </w:rPr>
        <w:t xml:space="preserve"> Ravi Dahal, ‘Widow branded as witch‚ fed human excreta’ </w:t>
      </w:r>
      <w:r w:rsidRPr="00546EC6">
        <w:rPr>
          <w:i/>
          <w:sz w:val="20"/>
          <w:szCs w:val="20"/>
          <w:vertAlign w:val="baseline"/>
        </w:rPr>
        <w:t xml:space="preserve">Himalayan Times </w:t>
      </w:r>
      <w:r w:rsidRPr="00546EC6">
        <w:rPr>
          <w:sz w:val="20"/>
          <w:szCs w:val="20"/>
          <w:vertAlign w:val="baseline"/>
        </w:rPr>
        <w:t>(London 7 August 2013); ‘Nepal police fail to charge those accused who accused a Dalit women of witchcraft and forced her to eat human excreta’ (Lawyers</w:t>
      </w:r>
      <w:r w:rsidRPr="00546EC6">
        <w:rPr>
          <w:i/>
          <w:sz w:val="20"/>
          <w:szCs w:val="20"/>
          <w:vertAlign w:val="baseline"/>
        </w:rPr>
        <w:t xml:space="preserve"> Nepal</w:t>
      </w:r>
      <w:r w:rsidRPr="00546EC6">
        <w:rPr>
          <w:sz w:val="20"/>
          <w:szCs w:val="20"/>
          <w:vertAlign w:val="baseline"/>
        </w:rPr>
        <w:t>, 13 November 2009) &lt;</w:t>
      </w:r>
      <w:hyperlink r:id="rId103" w:history="1">
        <w:r w:rsidRPr="00546EC6">
          <w:rPr>
            <w:rStyle w:val="Hyperlink"/>
            <w:sz w:val="20"/>
            <w:szCs w:val="20"/>
            <w:vertAlign w:val="baseline"/>
          </w:rPr>
          <w:t>http://lawyersnepal.wordpress.com/2009/12/28/nepal-police-fail-to-charge-those-who-accused-a-dalit-woman-of-witchcraft-and-forced-her-to-eat-human-excreta/</w:t>
        </w:r>
      </w:hyperlink>
      <w:r w:rsidRPr="00546EC6">
        <w:rPr>
          <w:sz w:val="20"/>
          <w:szCs w:val="20"/>
          <w:vertAlign w:val="baseline"/>
        </w:rPr>
        <w:t>&gt; accessed 21 November 2014</w:t>
      </w:r>
    </w:p>
  </w:footnote>
  <w:footnote w:id="681">
    <w:p w14:paraId="492B5B00" w14:textId="77777777" w:rsidR="00431A55" w:rsidRPr="00905760" w:rsidRDefault="00431A55" w:rsidP="005F7752">
      <w:pPr>
        <w:pStyle w:val="FootnoteText"/>
        <w:rPr>
          <w:lang w:val="en-US"/>
        </w:rPr>
      </w:pPr>
      <w:r w:rsidRPr="00546EC6">
        <w:rPr>
          <w:rStyle w:val="FootnoteReference"/>
          <w:sz w:val="20"/>
          <w:szCs w:val="20"/>
        </w:rPr>
        <w:footnoteRef/>
      </w:r>
      <w:r w:rsidRPr="00546EC6">
        <w:rPr>
          <w:sz w:val="20"/>
          <w:szCs w:val="20"/>
          <w:vertAlign w:val="baseline"/>
        </w:rPr>
        <w:t xml:space="preserve"> </w:t>
      </w:r>
      <w:r w:rsidRPr="00546EC6">
        <w:rPr>
          <w:sz w:val="20"/>
          <w:szCs w:val="20"/>
          <w:vertAlign w:val="baseline"/>
          <w:lang w:val="en-US"/>
        </w:rPr>
        <w:t>Rachana Shrestha, ‘Witch-hunting: A study of cultural violence against women with reference to Nepal and India’ (2004) Institute of Social Studies 14-16</w:t>
      </w:r>
    </w:p>
  </w:footnote>
  <w:footnote w:id="682">
    <w:p w14:paraId="1F4EFB20" w14:textId="582F406B" w:rsidR="00431A55" w:rsidRPr="0012097A" w:rsidRDefault="00431A55" w:rsidP="005F7752">
      <w:pPr>
        <w:pStyle w:val="FootnoteText"/>
        <w:rPr>
          <w:sz w:val="20"/>
          <w:szCs w:val="20"/>
          <w:lang w:val="en-US"/>
        </w:rPr>
      </w:pPr>
      <w:r w:rsidRPr="0012097A">
        <w:rPr>
          <w:rStyle w:val="FootnoteReference"/>
          <w:sz w:val="20"/>
          <w:szCs w:val="20"/>
        </w:rPr>
        <w:footnoteRef/>
      </w:r>
      <w:r w:rsidRPr="0012097A">
        <w:rPr>
          <w:sz w:val="20"/>
          <w:szCs w:val="20"/>
        </w:rPr>
        <w:t xml:space="preserve"> </w:t>
      </w:r>
      <w:r>
        <w:rPr>
          <w:sz w:val="20"/>
          <w:szCs w:val="20"/>
          <w:vertAlign w:val="baseline"/>
          <w:lang w:val="en-US"/>
        </w:rPr>
        <w:t>See Section 4.5.1</w:t>
      </w:r>
    </w:p>
  </w:footnote>
  <w:footnote w:id="683">
    <w:p w14:paraId="354EE5C8" w14:textId="6FD8D915" w:rsidR="00431A55" w:rsidRPr="00E27AF0" w:rsidRDefault="00431A55" w:rsidP="001C6724">
      <w:pPr>
        <w:pStyle w:val="NoSpacing"/>
        <w:rPr>
          <w:rFonts w:ascii="Calibri" w:hAnsi="Calibri" w:cs="Times New Roman"/>
          <w:vertAlign w:val="baseline"/>
        </w:rPr>
      </w:pPr>
      <w:r w:rsidRPr="00E27AF0">
        <w:rPr>
          <w:rStyle w:val="FootnoteReference"/>
          <w:rFonts w:ascii="Calibri" w:hAnsi="Calibri" w:cs="Times New Roman"/>
        </w:rPr>
        <w:footnoteRef/>
      </w:r>
      <w:r>
        <w:rPr>
          <w:rFonts w:ascii="Calibri" w:hAnsi="Calibri" w:cs="Times New Roman"/>
          <w:vertAlign w:val="baseline"/>
        </w:rPr>
        <w:t xml:space="preserve"> </w:t>
      </w:r>
      <w:r w:rsidRPr="00E27AF0">
        <w:rPr>
          <w:rFonts w:ascii="Calibri" w:hAnsi="Calibri" w:cs="Times New Roman"/>
          <w:vertAlign w:val="baseline"/>
        </w:rPr>
        <w:t>Office of the High Commissioner for Human Rights (UNHR 2015) &lt;</w:t>
      </w:r>
      <w:hyperlink r:id="rId104" w:history="1">
        <w:r w:rsidRPr="00E27AF0">
          <w:rPr>
            <w:rStyle w:val="Hyperlink"/>
            <w:rFonts w:ascii="Calibri" w:hAnsi="Calibri" w:cs="Times New Roman"/>
            <w:vertAlign w:val="baseline"/>
          </w:rPr>
          <w:t>http://www.ohchr.org/EN/Issues/Pages/WhatareHumanRights.aspx</w:t>
        </w:r>
      </w:hyperlink>
      <w:r w:rsidRPr="00E27AF0">
        <w:rPr>
          <w:rFonts w:ascii="Calibri" w:hAnsi="Calibri" w:cs="Times New Roman"/>
          <w:vertAlign w:val="baseline"/>
        </w:rPr>
        <w:t>&gt; accessed 30 April 2015</w:t>
      </w:r>
    </w:p>
  </w:footnote>
  <w:footnote w:id="684">
    <w:p w14:paraId="2ED2018C" w14:textId="77777777" w:rsidR="00431A55" w:rsidRPr="00424F5C" w:rsidRDefault="00431A55" w:rsidP="001C6724">
      <w:pPr>
        <w:pStyle w:val="NoSpacing"/>
        <w:rPr>
          <w:rFonts w:ascii="Calibri" w:hAnsi="Calibri" w:cs="Times New Roman"/>
          <w:vertAlign w:val="baseline"/>
        </w:rPr>
      </w:pPr>
      <w:r w:rsidRPr="00424F5C">
        <w:rPr>
          <w:rStyle w:val="FootnoteReference"/>
          <w:rFonts w:ascii="Calibri" w:hAnsi="Calibri" w:cs="Times New Roman"/>
        </w:rPr>
        <w:footnoteRef/>
      </w:r>
      <w:r w:rsidRPr="00424F5C">
        <w:rPr>
          <w:rFonts w:ascii="Calibri" w:hAnsi="Calibri" w:cs="Times New Roman"/>
          <w:vertAlign w:val="baseline"/>
        </w:rPr>
        <w:t xml:space="preserve"> Universal Declaration of Human Rights (adopted 10 December 1948</w:t>
      </w:r>
    </w:p>
    <w:p w14:paraId="4992342C" w14:textId="7FF4B9D5" w:rsidR="00431A55" w:rsidRPr="00424F5C" w:rsidRDefault="00431A55" w:rsidP="001C6724">
      <w:pPr>
        <w:pStyle w:val="NoSpacing"/>
        <w:rPr>
          <w:rFonts w:ascii="Times New Roman" w:hAnsi="Times New Roman" w:cs="Times New Roman"/>
          <w:vertAlign w:val="baseline"/>
        </w:rPr>
      </w:pPr>
      <w:r w:rsidRPr="00424F5C">
        <w:rPr>
          <w:rFonts w:ascii="Calibri" w:hAnsi="Calibri" w:cs="Times New Roman"/>
          <w:vertAlign w:val="baseline"/>
        </w:rPr>
        <w:t>UNGA Res 217 A (III) (UDHR)</w:t>
      </w:r>
    </w:p>
  </w:footnote>
  <w:footnote w:id="685">
    <w:p w14:paraId="08E84D6F" w14:textId="77777777" w:rsidR="00431A55" w:rsidRPr="00424F5C" w:rsidRDefault="00431A55" w:rsidP="001C6724">
      <w:pPr>
        <w:pStyle w:val="NoSpacing"/>
        <w:rPr>
          <w:rFonts w:ascii="Calibri" w:eastAsia="Times New Roman" w:hAnsi="Calibri" w:cs="Times New Roman"/>
          <w:color w:val="3F3F3F"/>
          <w:vertAlign w:val="baseline"/>
        </w:rPr>
      </w:pPr>
      <w:r w:rsidRPr="00424F5C">
        <w:rPr>
          <w:rStyle w:val="FootnoteReference"/>
          <w:rFonts w:ascii="Calibri" w:hAnsi="Calibri" w:cs="Times New Roman"/>
        </w:rPr>
        <w:footnoteRef/>
      </w:r>
      <w:r w:rsidRPr="00424F5C">
        <w:rPr>
          <w:rFonts w:ascii="Calibri" w:hAnsi="Calibri" w:cs="Times New Roman"/>
          <w:vertAlign w:val="baseline"/>
        </w:rPr>
        <w:t xml:space="preserve"> </w:t>
      </w:r>
      <w:r w:rsidRPr="00424F5C">
        <w:rPr>
          <w:rFonts w:ascii="Calibri" w:eastAsia="Times New Roman" w:hAnsi="Calibri" w:cs="Times New Roman"/>
          <w:color w:val="3F3F3F"/>
          <w:vertAlign w:val="baseline"/>
        </w:rPr>
        <w:t>International Covenant on Civil and Political Rights (adopted 16 December</w:t>
      </w:r>
    </w:p>
    <w:p w14:paraId="52EF5FCF" w14:textId="77777777" w:rsidR="00431A55" w:rsidRPr="00424F5C" w:rsidRDefault="00431A55" w:rsidP="001C6724">
      <w:pPr>
        <w:pStyle w:val="NoSpacing"/>
        <w:rPr>
          <w:rFonts w:ascii="Calibri" w:eastAsia="Times New Roman" w:hAnsi="Calibri" w:cs="Times New Roman"/>
          <w:color w:val="3F3F3F"/>
          <w:vertAlign w:val="baseline"/>
        </w:rPr>
      </w:pPr>
      <w:r w:rsidRPr="00424F5C">
        <w:rPr>
          <w:rFonts w:ascii="Calibri" w:eastAsia="Times New Roman" w:hAnsi="Calibri" w:cs="Times New Roman"/>
          <w:color w:val="3F3F3F"/>
          <w:vertAlign w:val="baseline"/>
        </w:rPr>
        <w:t>1966, entered into force 23 March 1976) 999 UNTS 171 (ICCPR)</w:t>
      </w:r>
    </w:p>
  </w:footnote>
  <w:footnote w:id="686">
    <w:p w14:paraId="443B62CA" w14:textId="77777777" w:rsidR="00431A55" w:rsidRPr="00424F5C" w:rsidRDefault="00431A55" w:rsidP="001C6724">
      <w:pPr>
        <w:rPr>
          <w:rFonts w:ascii="Calibri" w:eastAsia="Times New Roman" w:hAnsi="Calibri" w:cs="Times New Roman"/>
          <w:vertAlign w:val="baseline"/>
        </w:rPr>
      </w:pPr>
      <w:r w:rsidRPr="00424F5C">
        <w:rPr>
          <w:rStyle w:val="FootnoteReference"/>
          <w:rFonts w:ascii="Calibri" w:hAnsi="Calibri"/>
        </w:rPr>
        <w:footnoteRef/>
      </w:r>
      <w:r w:rsidRPr="00424F5C">
        <w:rPr>
          <w:rFonts w:ascii="Calibri" w:hAnsi="Calibri"/>
          <w:vertAlign w:val="baseline"/>
        </w:rPr>
        <w:t xml:space="preserve"> </w:t>
      </w:r>
      <w:r w:rsidRPr="00424F5C">
        <w:rPr>
          <w:rFonts w:ascii="Calibri" w:eastAsia="Times New Roman" w:hAnsi="Calibri" w:cs="Times New Roman"/>
          <w:iCs/>
          <w:color w:val="3F3F3F"/>
          <w:vertAlign w:val="baseline"/>
        </w:rPr>
        <w:t>International Covenant on Economic, Social and Cultural Rights</w:t>
      </w:r>
      <w:r w:rsidRPr="00424F5C">
        <w:rPr>
          <w:rFonts w:ascii="Calibri" w:eastAsia="Times New Roman" w:hAnsi="Calibri" w:cs="Times New Roman"/>
          <w:color w:val="3F3F3F"/>
          <w:vertAlign w:val="baseline"/>
        </w:rPr>
        <w:t xml:space="preserve"> (adopted 16 December 1966, entered into force 3 January 1976) 993 UNTS 3 (ICESCR) </w:t>
      </w:r>
    </w:p>
  </w:footnote>
  <w:footnote w:id="687">
    <w:p w14:paraId="3549AA03" w14:textId="630378D7" w:rsidR="00431A55" w:rsidRPr="00424F5C" w:rsidRDefault="00431A55" w:rsidP="001C6724">
      <w:pPr>
        <w:pStyle w:val="FootnoteText"/>
        <w:rPr>
          <w:sz w:val="20"/>
          <w:szCs w:val="20"/>
          <w:vertAlign w:val="baseline"/>
          <w:lang w:val="en-US"/>
        </w:rPr>
      </w:pPr>
      <w:r w:rsidRPr="00424F5C">
        <w:rPr>
          <w:rStyle w:val="FootnoteReference"/>
          <w:sz w:val="20"/>
          <w:szCs w:val="20"/>
        </w:rPr>
        <w:footnoteRef/>
      </w:r>
      <w:r w:rsidRPr="00424F5C">
        <w:rPr>
          <w:sz w:val="20"/>
          <w:szCs w:val="20"/>
          <w:vertAlign w:val="baseline"/>
        </w:rPr>
        <w:t xml:space="preserve"> </w:t>
      </w:r>
      <w:r>
        <w:rPr>
          <w:sz w:val="20"/>
          <w:szCs w:val="20"/>
          <w:vertAlign w:val="baseline"/>
          <w:lang w:val="en-US"/>
        </w:rPr>
        <w:t>See Section 1.2</w:t>
      </w:r>
    </w:p>
  </w:footnote>
  <w:footnote w:id="688">
    <w:p w14:paraId="660C0BA1" w14:textId="03EE11FB" w:rsidR="00431A55" w:rsidRPr="00424F5C" w:rsidRDefault="00431A55" w:rsidP="001C6724">
      <w:pPr>
        <w:pStyle w:val="FootnoteText"/>
        <w:rPr>
          <w:sz w:val="20"/>
          <w:szCs w:val="20"/>
          <w:vertAlign w:val="baseline"/>
          <w:lang w:val="en-US"/>
        </w:rPr>
      </w:pPr>
      <w:r w:rsidRPr="00424F5C">
        <w:rPr>
          <w:rStyle w:val="FootnoteReference"/>
          <w:sz w:val="20"/>
          <w:szCs w:val="20"/>
        </w:rPr>
        <w:footnoteRef/>
      </w:r>
      <w:r w:rsidRPr="00424F5C">
        <w:rPr>
          <w:sz w:val="20"/>
          <w:szCs w:val="20"/>
          <w:vertAlign w:val="baseline"/>
        </w:rPr>
        <w:t xml:space="preserve"> </w:t>
      </w:r>
      <w:r>
        <w:rPr>
          <w:sz w:val="20"/>
          <w:szCs w:val="20"/>
          <w:vertAlign w:val="baseline"/>
          <w:lang w:val="en-US"/>
        </w:rPr>
        <w:t>ibid</w:t>
      </w:r>
    </w:p>
  </w:footnote>
  <w:footnote w:id="689">
    <w:p w14:paraId="772717D2" w14:textId="7D40FCFE" w:rsidR="00431A55" w:rsidRPr="00424F5C" w:rsidRDefault="00431A55" w:rsidP="001C6724">
      <w:pPr>
        <w:pStyle w:val="FootnoteText"/>
        <w:rPr>
          <w:sz w:val="20"/>
          <w:szCs w:val="20"/>
          <w:vertAlign w:val="baseline"/>
          <w:lang w:val="en-US"/>
        </w:rPr>
      </w:pPr>
      <w:r w:rsidRPr="00424F5C">
        <w:rPr>
          <w:rStyle w:val="FootnoteReference"/>
          <w:sz w:val="20"/>
          <w:szCs w:val="20"/>
        </w:rPr>
        <w:footnoteRef/>
      </w:r>
      <w:r w:rsidRPr="00424F5C">
        <w:rPr>
          <w:sz w:val="20"/>
          <w:szCs w:val="20"/>
        </w:rPr>
        <w:t xml:space="preserve"> </w:t>
      </w:r>
      <w:r>
        <w:rPr>
          <w:sz w:val="20"/>
          <w:szCs w:val="20"/>
          <w:vertAlign w:val="baseline"/>
          <w:lang w:val="en-US"/>
        </w:rPr>
        <w:t>ibid</w:t>
      </w:r>
    </w:p>
  </w:footnote>
  <w:footnote w:id="690">
    <w:p w14:paraId="31C9C88E" w14:textId="77777777" w:rsidR="00431A55" w:rsidRPr="0045360F" w:rsidRDefault="00431A55" w:rsidP="001C6724">
      <w:pPr>
        <w:pStyle w:val="FootnoteText"/>
        <w:rPr>
          <w:i/>
          <w:lang w:val="en-US"/>
        </w:rPr>
      </w:pPr>
      <w:r w:rsidRPr="00424F5C">
        <w:rPr>
          <w:rStyle w:val="FootnoteReference"/>
          <w:sz w:val="20"/>
          <w:szCs w:val="20"/>
        </w:rPr>
        <w:footnoteRef/>
      </w:r>
      <w:r w:rsidRPr="00424F5C">
        <w:rPr>
          <w:sz w:val="20"/>
          <w:szCs w:val="20"/>
          <w:lang w:val="en-US"/>
        </w:rPr>
        <w:t xml:space="preserve"> </w:t>
      </w:r>
      <w:r w:rsidRPr="00424F5C">
        <w:rPr>
          <w:sz w:val="20"/>
          <w:szCs w:val="20"/>
          <w:vertAlign w:val="baseline"/>
          <w:lang w:val="en-US"/>
        </w:rPr>
        <w:t>Shazia Qureshi, ‘The Recognition of Violence against Women as a Violation of Human Rights in the United Nations System’ (2013) 28(1) Research Journal of South Asian Studies 187</w:t>
      </w:r>
    </w:p>
  </w:footnote>
  <w:footnote w:id="691">
    <w:p w14:paraId="2010FFB6" w14:textId="77777777" w:rsidR="00431A55" w:rsidRPr="00334EE1" w:rsidRDefault="00431A55" w:rsidP="00515D8E">
      <w:pPr>
        <w:pStyle w:val="FootnoteText"/>
        <w:rPr>
          <w:sz w:val="20"/>
          <w:szCs w:val="20"/>
          <w:vertAlign w:val="baseline"/>
          <w:lang w:val="en-US"/>
        </w:rPr>
      </w:pPr>
      <w:r w:rsidRPr="00346F57">
        <w:rPr>
          <w:rStyle w:val="FootnoteReference"/>
          <w:sz w:val="20"/>
          <w:szCs w:val="20"/>
        </w:rPr>
        <w:footnoteRef/>
      </w:r>
      <w:r w:rsidRPr="00346F57">
        <w:rPr>
          <w:sz w:val="20"/>
          <w:szCs w:val="20"/>
        </w:rPr>
        <w:t xml:space="preserve"> </w:t>
      </w:r>
      <w:r>
        <w:rPr>
          <w:sz w:val="20"/>
          <w:szCs w:val="20"/>
          <w:vertAlign w:val="baseline"/>
        </w:rPr>
        <w:t xml:space="preserve">Judith Dueck, Manuel Guzman and Bert Versappen, </w:t>
      </w:r>
      <w:r>
        <w:rPr>
          <w:i/>
          <w:sz w:val="20"/>
          <w:szCs w:val="20"/>
          <w:vertAlign w:val="baseline"/>
        </w:rPr>
        <w:t xml:space="preserve">A Tool for Documenting Human Rights </w:t>
      </w:r>
      <w:r w:rsidRPr="00334EE1">
        <w:rPr>
          <w:i/>
          <w:sz w:val="20"/>
          <w:szCs w:val="20"/>
          <w:vertAlign w:val="baseline"/>
        </w:rPr>
        <w:t>Violations</w:t>
      </w:r>
      <w:r w:rsidRPr="00334EE1">
        <w:rPr>
          <w:sz w:val="20"/>
          <w:szCs w:val="20"/>
          <w:vertAlign w:val="baseline"/>
        </w:rPr>
        <w:t xml:space="preserve"> (HURIDOCS 2001) 5 </w:t>
      </w:r>
    </w:p>
  </w:footnote>
  <w:footnote w:id="692">
    <w:p w14:paraId="472E9F24" w14:textId="77777777" w:rsidR="00431A55" w:rsidRPr="00955534" w:rsidRDefault="00431A55" w:rsidP="00515D8E">
      <w:pPr>
        <w:pStyle w:val="FootnoteText"/>
        <w:rPr>
          <w:sz w:val="20"/>
          <w:szCs w:val="20"/>
          <w:lang w:val="en-US"/>
        </w:rPr>
      </w:pPr>
      <w:r w:rsidRPr="00955534">
        <w:rPr>
          <w:rStyle w:val="FootnoteReference"/>
          <w:sz w:val="20"/>
          <w:szCs w:val="20"/>
        </w:rPr>
        <w:footnoteRef/>
      </w:r>
      <w:r w:rsidRPr="00955534">
        <w:rPr>
          <w:sz w:val="20"/>
          <w:szCs w:val="20"/>
        </w:rPr>
        <w:t xml:space="preserve"> </w:t>
      </w:r>
      <w:r w:rsidRPr="00955534">
        <w:rPr>
          <w:sz w:val="20"/>
          <w:szCs w:val="20"/>
          <w:vertAlign w:val="baseline"/>
          <w:lang w:val="en-US"/>
        </w:rPr>
        <w:t>Progressive realization clauses can also be found in article 4 Convention on the Rights of the Child and article 4(2) Convention on the Rights of Persons with Disabilities</w:t>
      </w:r>
    </w:p>
  </w:footnote>
  <w:footnote w:id="693">
    <w:p w14:paraId="629C007E" w14:textId="77777777" w:rsidR="00431A55" w:rsidRPr="00334EE1" w:rsidRDefault="00431A55" w:rsidP="00515D8E">
      <w:pPr>
        <w:pStyle w:val="FootnoteText"/>
        <w:rPr>
          <w:lang w:val="en-US"/>
        </w:rPr>
      </w:pPr>
      <w:r w:rsidRPr="00334EE1">
        <w:rPr>
          <w:rStyle w:val="FootnoteReference"/>
          <w:sz w:val="20"/>
          <w:szCs w:val="20"/>
        </w:rPr>
        <w:footnoteRef/>
      </w:r>
      <w:r w:rsidRPr="00334EE1">
        <w:rPr>
          <w:sz w:val="20"/>
          <w:szCs w:val="20"/>
        </w:rPr>
        <w:t xml:space="preserve"> </w:t>
      </w:r>
      <w:r w:rsidRPr="00334EE1">
        <w:rPr>
          <w:sz w:val="20"/>
          <w:szCs w:val="20"/>
          <w:vertAlign w:val="baseline"/>
          <w:lang w:val="en-US"/>
        </w:rPr>
        <w:t>Article 2(1) ICESCR</w:t>
      </w:r>
    </w:p>
  </w:footnote>
  <w:footnote w:id="694">
    <w:p w14:paraId="15CBC881" w14:textId="32AB21DF" w:rsidR="00431A55" w:rsidRPr="00511DAE" w:rsidRDefault="00431A55" w:rsidP="00515D8E">
      <w:pPr>
        <w:pStyle w:val="FootnoteText"/>
        <w:rPr>
          <w:sz w:val="20"/>
          <w:szCs w:val="20"/>
          <w:vertAlign w:val="baseline"/>
          <w:lang w:val="en-US"/>
        </w:rPr>
      </w:pPr>
      <w:r w:rsidRPr="00511DAE">
        <w:rPr>
          <w:rStyle w:val="FootnoteReference"/>
          <w:sz w:val="20"/>
          <w:szCs w:val="20"/>
        </w:rPr>
        <w:footnoteRef/>
      </w:r>
      <w:r w:rsidRPr="00511DAE">
        <w:rPr>
          <w:sz w:val="20"/>
          <w:szCs w:val="20"/>
        </w:rPr>
        <w:t xml:space="preserve"> </w:t>
      </w:r>
      <w:r>
        <w:rPr>
          <w:sz w:val="20"/>
          <w:szCs w:val="20"/>
          <w:vertAlign w:val="baseline"/>
        </w:rPr>
        <w:t xml:space="preserve">Dueck, Guzman and </w:t>
      </w:r>
      <w:r w:rsidRPr="00511DAE">
        <w:rPr>
          <w:sz w:val="20"/>
          <w:szCs w:val="20"/>
          <w:vertAlign w:val="baseline"/>
        </w:rPr>
        <w:t>Versappen</w:t>
      </w:r>
      <w:r>
        <w:rPr>
          <w:sz w:val="20"/>
          <w:szCs w:val="20"/>
          <w:vertAlign w:val="baseline"/>
        </w:rPr>
        <w:t xml:space="preserve"> (n 691) </w:t>
      </w:r>
      <w:r w:rsidRPr="00511DAE">
        <w:rPr>
          <w:sz w:val="20"/>
          <w:szCs w:val="20"/>
          <w:vertAlign w:val="baseline"/>
        </w:rPr>
        <w:t>6</w:t>
      </w:r>
    </w:p>
  </w:footnote>
  <w:footnote w:id="695">
    <w:p w14:paraId="7EBFE955" w14:textId="2B94C251" w:rsidR="00431A55" w:rsidRPr="00337D21" w:rsidRDefault="00431A55" w:rsidP="00337D21">
      <w:pPr>
        <w:rPr>
          <w:rFonts w:ascii="Times" w:eastAsia="Times New Roman" w:hAnsi="Times" w:cs="Times New Roman"/>
          <w:vertAlign w:val="baseline"/>
        </w:rPr>
      </w:pPr>
      <w:r w:rsidRPr="00511DAE">
        <w:rPr>
          <w:rStyle w:val="FootnoteReference"/>
        </w:rPr>
        <w:footnoteRef/>
      </w:r>
      <w:r w:rsidRPr="00511DAE">
        <w:t xml:space="preserve"> </w:t>
      </w:r>
      <w:r w:rsidRPr="008C4A0C">
        <w:rPr>
          <w:rFonts w:cs="Times New Roman"/>
          <w:vertAlign w:val="baseline"/>
        </w:rPr>
        <w:t>The Limburg Principles on the Implementation of</w:t>
      </w:r>
      <w:r>
        <w:rPr>
          <w:rFonts w:ascii="Times New Roman" w:hAnsi="Times New Roman" w:cs="Times New Roman"/>
          <w:sz w:val="24"/>
          <w:szCs w:val="24"/>
          <w:vertAlign w:val="baseline"/>
        </w:rPr>
        <w:t xml:space="preserve"> </w:t>
      </w:r>
      <w:r>
        <w:rPr>
          <w:vertAlign w:val="baseline"/>
        </w:rPr>
        <w:t xml:space="preserve">the International Covenant on Economic Social and Cultural Rights (1987) </w:t>
      </w:r>
      <w:r w:rsidRPr="00511DAE">
        <w:rPr>
          <w:vertAlign w:val="baseline"/>
        </w:rPr>
        <w:t>E/CN.4/1987/17</w:t>
      </w:r>
      <w:r>
        <w:rPr>
          <w:vertAlign w:val="baseline"/>
        </w:rPr>
        <w:t>, Annex</w:t>
      </w:r>
      <w:r w:rsidRPr="00511DAE">
        <w:t xml:space="preserve"> </w:t>
      </w:r>
    </w:p>
  </w:footnote>
  <w:footnote w:id="696">
    <w:p w14:paraId="2367708B" w14:textId="17B15B2A" w:rsidR="00431A55" w:rsidRPr="00083FD9" w:rsidRDefault="00431A55" w:rsidP="00515D8E">
      <w:pPr>
        <w:pStyle w:val="FootnoteText"/>
        <w:rPr>
          <w:sz w:val="20"/>
          <w:szCs w:val="20"/>
          <w:vertAlign w:val="baseline"/>
          <w:lang w:val="en-US"/>
        </w:rPr>
      </w:pPr>
      <w:r w:rsidRPr="00083FD9">
        <w:rPr>
          <w:rStyle w:val="FootnoteReference"/>
          <w:sz w:val="20"/>
          <w:szCs w:val="20"/>
        </w:rPr>
        <w:footnoteRef/>
      </w:r>
      <w:r w:rsidRPr="00083FD9">
        <w:rPr>
          <w:sz w:val="20"/>
          <w:szCs w:val="20"/>
        </w:rPr>
        <w:t xml:space="preserve"> </w:t>
      </w:r>
      <w:r>
        <w:rPr>
          <w:sz w:val="20"/>
          <w:szCs w:val="20"/>
          <w:vertAlign w:val="baseline"/>
        </w:rPr>
        <w:t xml:space="preserve">Dueck, Guzman and </w:t>
      </w:r>
      <w:r w:rsidRPr="00511DAE">
        <w:rPr>
          <w:sz w:val="20"/>
          <w:szCs w:val="20"/>
          <w:vertAlign w:val="baseline"/>
        </w:rPr>
        <w:t>Versappen</w:t>
      </w:r>
      <w:r>
        <w:rPr>
          <w:sz w:val="20"/>
          <w:szCs w:val="20"/>
          <w:vertAlign w:val="baseline"/>
        </w:rPr>
        <w:t xml:space="preserve"> (n 691) </w:t>
      </w:r>
      <w:r w:rsidRPr="00511DAE">
        <w:rPr>
          <w:sz w:val="20"/>
          <w:szCs w:val="20"/>
          <w:vertAlign w:val="baseline"/>
        </w:rPr>
        <w:t>6</w:t>
      </w:r>
    </w:p>
  </w:footnote>
  <w:footnote w:id="697">
    <w:p w14:paraId="52555857" w14:textId="77777777" w:rsidR="00431A55" w:rsidRPr="00760B2D" w:rsidRDefault="00431A55" w:rsidP="00515D8E">
      <w:pPr>
        <w:pStyle w:val="FootnoteText"/>
        <w:rPr>
          <w:sz w:val="20"/>
          <w:szCs w:val="20"/>
          <w:vertAlign w:val="baseline"/>
          <w:lang w:val="en-US"/>
        </w:rPr>
      </w:pPr>
      <w:r w:rsidRPr="00760B2D">
        <w:rPr>
          <w:rStyle w:val="FootnoteReference"/>
          <w:sz w:val="20"/>
          <w:szCs w:val="20"/>
        </w:rPr>
        <w:footnoteRef/>
      </w:r>
      <w:r w:rsidRPr="00760B2D">
        <w:rPr>
          <w:sz w:val="20"/>
          <w:szCs w:val="20"/>
        </w:rPr>
        <w:t xml:space="preserve"> </w:t>
      </w:r>
      <w:r>
        <w:rPr>
          <w:sz w:val="20"/>
          <w:szCs w:val="20"/>
          <w:vertAlign w:val="baseline"/>
        </w:rPr>
        <w:t>The Maastricht Guidelines on Violations of Economic, Social and Cultural Rights (1998) 20 Human Rights Quarterly 691</w:t>
      </w:r>
    </w:p>
  </w:footnote>
  <w:footnote w:id="698">
    <w:p w14:paraId="2F2AE543" w14:textId="5417B6E6" w:rsidR="00431A55" w:rsidRPr="005C25F2" w:rsidRDefault="00431A55" w:rsidP="00515D8E">
      <w:pPr>
        <w:pStyle w:val="FootnoteText"/>
        <w:rPr>
          <w:sz w:val="20"/>
          <w:szCs w:val="20"/>
          <w:vertAlign w:val="baseline"/>
          <w:lang w:val="en-US"/>
        </w:rPr>
      </w:pPr>
      <w:r w:rsidRPr="005C25F2">
        <w:rPr>
          <w:rStyle w:val="FootnoteReference"/>
          <w:sz w:val="20"/>
          <w:szCs w:val="20"/>
        </w:rPr>
        <w:footnoteRef/>
      </w:r>
      <w:r w:rsidRPr="005C25F2">
        <w:rPr>
          <w:sz w:val="20"/>
          <w:szCs w:val="20"/>
        </w:rPr>
        <w:t xml:space="preserve"> </w:t>
      </w:r>
      <w:r>
        <w:rPr>
          <w:sz w:val="20"/>
          <w:szCs w:val="20"/>
          <w:vertAlign w:val="baseline"/>
        </w:rPr>
        <w:t>ibid, para 14</w:t>
      </w:r>
    </w:p>
  </w:footnote>
  <w:footnote w:id="699">
    <w:p w14:paraId="1BAA0526" w14:textId="553131A3" w:rsidR="00431A55" w:rsidRPr="008350EB" w:rsidRDefault="00431A55" w:rsidP="00515D8E">
      <w:pPr>
        <w:pStyle w:val="FootnoteText"/>
        <w:rPr>
          <w:sz w:val="20"/>
          <w:szCs w:val="20"/>
          <w:vertAlign w:val="baseline"/>
          <w:lang w:val="en-US"/>
        </w:rPr>
      </w:pPr>
      <w:r w:rsidRPr="008350EB">
        <w:rPr>
          <w:rStyle w:val="FootnoteReference"/>
          <w:sz w:val="20"/>
          <w:szCs w:val="20"/>
        </w:rPr>
        <w:footnoteRef/>
      </w:r>
      <w:r w:rsidRPr="008350EB">
        <w:rPr>
          <w:sz w:val="20"/>
          <w:szCs w:val="20"/>
        </w:rPr>
        <w:t xml:space="preserve"> </w:t>
      </w:r>
      <w:r>
        <w:rPr>
          <w:sz w:val="20"/>
          <w:szCs w:val="20"/>
          <w:vertAlign w:val="baseline"/>
        </w:rPr>
        <w:t>ibid, para 15</w:t>
      </w:r>
    </w:p>
  </w:footnote>
  <w:footnote w:id="700">
    <w:p w14:paraId="6494330E" w14:textId="328EB2D5" w:rsidR="00431A55" w:rsidRPr="000B26B0" w:rsidRDefault="00431A55" w:rsidP="00515D8E">
      <w:pPr>
        <w:pStyle w:val="FootnoteText"/>
        <w:rPr>
          <w:lang w:val="en-US"/>
        </w:rPr>
      </w:pPr>
      <w:r w:rsidRPr="000B26B0">
        <w:rPr>
          <w:rStyle w:val="FootnoteReference"/>
          <w:sz w:val="20"/>
          <w:szCs w:val="20"/>
        </w:rPr>
        <w:footnoteRef/>
      </w:r>
      <w:r w:rsidRPr="000B26B0">
        <w:rPr>
          <w:sz w:val="20"/>
          <w:szCs w:val="20"/>
        </w:rPr>
        <w:t xml:space="preserve"> </w:t>
      </w:r>
      <w:r>
        <w:rPr>
          <w:sz w:val="20"/>
          <w:szCs w:val="20"/>
          <w:vertAlign w:val="baseline"/>
        </w:rPr>
        <w:t xml:space="preserve">Dueck, Guzman and </w:t>
      </w:r>
      <w:r w:rsidRPr="00511DAE">
        <w:rPr>
          <w:sz w:val="20"/>
          <w:szCs w:val="20"/>
          <w:vertAlign w:val="baseline"/>
        </w:rPr>
        <w:t>Versappen</w:t>
      </w:r>
      <w:r>
        <w:rPr>
          <w:sz w:val="20"/>
          <w:szCs w:val="20"/>
          <w:vertAlign w:val="baseline"/>
        </w:rPr>
        <w:t xml:space="preserve"> (n 691) </w:t>
      </w:r>
      <w:r w:rsidRPr="00511DAE">
        <w:rPr>
          <w:sz w:val="20"/>
          <w:szCs w:val="20"/>
          <w:vertAlign w:val="baseline"/>
        </w:rPr>
        <w:t>6</w:t>
      </w:r>
    </w:p>
  </w:footnote>
  <w:footnote w:id="701">
    <w:p w14:paraId="24779F64" w14:textId="7CD3C302" w:rsidR="00431A55" w:rsidRPr="000B26B0" w:rsidRDefault="00431A55" w:rsidP="00515D8E">
      <w:pPr>
        <w:pStyle w:val="FootnoteText"/>
        <w:rPr>
          <w:lang w:val="en-US"/>
        </w:rPr>
      </w:pPr>
      <w:r w:rsidRPr="000B26B0">
        <w:rPr>
          <w:rStyle w:val="FootnoteReference"/>
          <w:sz w:val="20"/>
          <w:szCs w:val="20"/>
        </w:rPr>
        <w:footnoteRef/>
      </w:r>
      <w:r>
        <w:t xml:space="preserve"> </w:t>
      </w:r>
      <w:r>
        <w:rPr>
          <w:sz w:val="20"/>
          <w:szCs w:val="20"/>
          <w:vertAlign w:val="baseline"/>
        </w:rPr>
        <w:t>ibid</w:t>
      </w:r>
    </w:p>
  </w:footnote>
  <w:footnote w:id="702">
    <w:p w14:paraId="1C2A8A1C" w14:textId="3D1E0381" w:rsidR="00431A55" w:rsidRPr="000B26B0" w:rsidRDefault="00431A55" w:rsidP="00515D8E">
      <w:pPr>
        <w:pStyle w:val="FootnoteText"/>
        <w:rPr>
          <w:lang w:val="en-US"/>
        </w:rPr>
      </w:pPr>
      <w:r w:rsidRPr="000B26B0">
        <w:rPr>
          <w:rStyle w:val="FootnoteReference"/>
          <w:sz w:val="20"/>
          <w:szCs w:val="20"/>
        </w:rPr>
        <w:footnoteRef/>
      </w:r>
      <w:r w:rsidRPr="000B26B0">
        <w:rPr>
          <w:sz w:val="20"/>
          <w:szCs w:val="20"/>
        </w:rPr>
        <w:t xml:space="preserve"> </w:t>
      </w:r>
      <w:r>
        <w:rPr>
          <w:sz w:val="20"/>
          <w:szCs w:val="20"/>
          <w:vertAlign w:val="baseline"/>
        </w:rPr>
        <w:t>ibid</w:t>
      </w:r>
    </w:p>
  </w:footnote>
  <w:footnote w:id="703">
    <w:p w14:paraId="6F90488F" w14:textId="10645A88" w:rsidR="00431A55" w:rsidRPr="004273E2" w:rsidRDefault="00431A55">
      <w:pPr>
        <w:pStyle w:val="FootnoteText"/>
        <w:rPr>
          <w:sz w:val="20"/>
          <w:szCs w:val="20"/>
          <w:vertAlign w:val="baseline"/>
          <w:lang w:val="en-US"/>
        </w:rPr>
      </w:pPr>
      <w:r w:rsidRPr="004273E2">
        <w:rPr>
          <w:rStyle w:val="FootnoteReference"/>
          <w:sz w:val="20"/>
          <w:szCs w:val="20"/>
        </w:rPr>
        <w:footnoteRef/>
      </w:r>
      <w:r w:rsidRPr="004273E2">
        <w:rPr>
          <w:sz w:val="20"/>
          <w:szCs w:val="20"/>
        </w:rPr>
        <w:t xml:space="preserve"> </w:t>
      </w:r>
      <w:r>
        <w:rPr>
          <w:sz w:val="20"/>
          <w:szCs w:val="20"/>
          <w:vertAlign w:val="baseline"/>
        </w:rPr>
        <w:t>ibid</w:t>
      </w:r>
    </w:p>
  </w:footnote>
  <w:footnote w:id="704">
    <w:p w14:paraId="13AFFB92" w14:textId="461803F0" w:rsidR="00431A55" w:rsidRPr="004273E2" w:rsidRDefault="00431A55">
      <w:pPr>
        <w:pStyle w:val="FootnoteText"/>
        <w:rPr>
          <w:sz w:val="20"/>
          <w:szCs w:val="20"/>
          <w:vertAlign w:val="baseline"/>
        </w:rPr>
      </w:pPr>
      <w:r w:rsidRPr="004273E2">
        <w:rPr>
          <w:rStyle w:val="FootnoteReference"/>
          <w:sz w:val="20"/>
          <w:szCs w:val="20"/>
        </w:rPr>
        <w:footnoteRef/>
      </w:r>
      <w:r w:rsidRPr="004273E2">
        <w:rPr>
          <w:sz w:val="20"/>
          <w:szCs w:val="20"/>
        </w:rPr>
        <w:t xml:space="preserve"> </w:t>
      </w:r>
      <w:r>
        <w:rPr>
          <w:sz w:val="20"/>
          <w:szCs w:val="20"/>
          <w:vertAlign w:val="baseline"/>
        </w:rPr>
        <w:t>See methodology 28</w:t>
      </w:r>
    </w:p>
  </w:footnote>
  <w:footnote w:id="705">
    <w:p w14:paraId="5B53CE08" w14:textId="10E7546B" w:rsidR="00431A55" w:rsidRPr="004273E2" w:rsidRDefault="00431A55">
      <w:pPr>
        <w:pStyle w:val="FootnoteText"/>
        <w:rPr>
          <w:sz w:val="20"/>
          <w:szCs w:val="20"/>
          <w:vertAlign w:val="baseline"/>
          <w:lang w:val="en-US"/>
        </w:rPr>
      </w:pPr>
      <w:r w:rsidRPr="004273E2">
        <w:rPr>
          <w:rStyle w:val="FootnoteReference"/>
          <w:sz w:val="20"/>
          <w:szCs w:val="20"/>
        </w:rPr>
        <w:footnoteRef/>
      </w:r>
      <w:r w:rsidRPr="004273E2">
        <w:rPr>
          <w:sz w:val="20"/>
          <w:szCs w:val="20"/>
        </w:rPr>
        <w:t xml:space="preserve"> </w:t>
      </w:r>
      <w:r>
        <w:rPr>
          <w:sz w:val="20"/>
          <w:szCs w:val="20"/>
          <w:vertAlign w:val="baseline"/>
        </w:rPr>
        <w:t>ibid</w:t>
      </w:r>
    </w:p>
  </w:footnote>
  <w:footnote w:id="706">
    <w:p w14:paraId="10C0F4CD" w14:textId="159E3EDA" w:rsidR="00431A55" w:rsidRPr="004273E2" w:rsidRDefault="00431A55">
      <w:pPr>
        <w:pStyle w:val="FootnoteText"/>
        <w:rPr>
          <w:sz w:val="20"/>
          <w:szCs w:val="20"/>
          <w:vertAlign w:val="baseline"/>
          <w:lang w:val="en-US"/>
        </w:rPr>
      </w:pPr>
      <w:r w:rsidRPr="004273E2">
        <w:rPr>
          <w:rStyle w:val="FootnoteReference"/>
          <w:sz w:val="20"/>
          <w:szCs w:val="20"/>
        </w:rPr>
        <w:footnoteRef/>
      </w:r>
      <w:r w:rsidRPr="004273E2">
        <w:rPr>
          <w:sz w:val="20"/>
          <w:szCs w:val="20"/>
        </w:rPr>
        <w:t xml:space="preserve"> </w:t>
      </w:r>
      <w:r>
        <w:rPr>
          <w:sz w:val="20"/>
          <w:szCs w:val="20"/>
          <w:vertAlign w:val="baseline"/>
        </w:rPr>
        <w:t>ibid</w:t>
      </w:r>
    </w:p>
  </w:footnote>
  <w:footnote w:id="707">
    <w:p w14:paraId="251FAD67" w14:textId="77777777" w:rsidR="00431A55" w:rsidRPr="000B047E" w:rsidRDefault="00431A55" w:rsidP="001C6724">
      <w:pPr>
        <w:pStyle w:val="FootnoteText"/>
        <w:rPr>
          <w:sz w:val="20"/>
          <w:szCs w:val="20"/>
          <w:vertAlign w:val="baseline"/>
          <w:lang w:val="en-US"/>
        </w:rPr>
      </w:pPr>
      <w:r w:rsidRPr="000B047E">
        <w:rPr>
          <w:rStyle w:val="FootnoteReference"/>
          <w:sz w:val="20"/>
          <w:szCs w:val="20"/>
        </w:rPr>
        <w:footnoteRef/>
      </w:r>
      <w:r w:rsidRPr="000B047E">
        <w:rPr>
          <w:sz w:val="20"/>
          <w:szCs w:val="20"/>
          <w:vertAlign w:val="baseline"/>
          <w:lang w:val="en-US"/>
        </w:rPr>
        <w:t xml:space="preserve"> Commonly known as the United Nations Decade for Women (1970-1980)</w:t>
      </w:r>
    </w:p>
  </w:footnote>
  <w:footnote w:id="708">
    <w:p w14:paraId="4B4C1CA3" w14:textId="77777777" w:rsidR="00431A55" w:rsidRPr="000B047E" w:rsidRDefault="00431A55" w:rsidP="001C6724">
      <w:pPr>
        <w:rPr>
          <w:rFonts w:ascii="Times" w:eastAsia="Times New Roman" w:hAnsi="Times" w:cs="Times New Roman"/>
          <w:vertAlign w:val="baseline"/>
        </w:rPr>
      </w:pPr>
      <w:r w:rsidRPr="000B047E">
        <w:rPr>
          <w:rStyle w:val="FootnoteReference"/>
        </w:rPr>
        <w:footnoteRef/>
      </w:r>
      <w:r w:rsidRPr="000B047E">
        <w:rPr>
          <w:vertAlign w:val="baseline"/>
        </w:rPr>
        <w:t xml:space="preserve"> Convention on the Elimination of Discrimination Against Women (adopted 18 December 1979, entered into force 3 December 1981) 1249 UNTS 13 (CEDAW)</w:t>
      </w:r>
    </w:p>
  </w:footnote>
  <w:footnote w:id="709">
    <w:p w14:paraId="41F37959" w14:textId="77777777" w:rsidR="00431A55" w:rsidRPr="00944819" w:rsidRDefault="00431A55" w:rsidP="001C6724">
      <w:pPr>
        <w:pStyle w:val="FootnoteText"/>
        <w:rPr>
          <w:lang w:val="en-US"/>
        </w:rPr>
      </w:pPr>
      <w:r w:rsidRPr="000B047E">
        <w:rPr>
          <w:rStyle w:val="FootnoteReference"/>
          <w:sz w:val="20"/>
          <w:szCs w:val="20"/>
        </w:rPr>
        <w:footnoteRef/>
      </w:r>
      <w:r w:rsidRPr="000B047E">
        <w:rPr>
          <w:sz w:val="20"/>
          <w:szCs w:val="20"/>
          <w:vertAlign w:val="baseline"/>
        </w:rPr>
        <w:t xml:space="preserve"> </w:t>
      </w:r>
      <w:r w:rsidRPr="000B047E">
        <w:rPr>
          <w:sz w:val="20"/>
          <w:szCs w:val="20"/>
          <w:vertAlign w:val="baseline"/>
          <w:lang w:val="en-US"/>
        </w:rPr>
        <w:t>International Women’s Rights Action Watch Asia Pacific, ‘The Validity of the Reservations and Declarations to CEDAW: The Indian Experience’ (</w:t>
      </w:r>
      <w:r w:rsidRPr="000B047E">
        <w:rPr>
          <w:i/>
          <w:sz w:val="20"/>
          <w:szCs w:val="20"/>
          <w:vertAlign w:val="baseline"/>
          <w:lang w:val="en-US"/>
        </w:rPr>
        <w:t>IWRAW Asia Pacific Occasional Papers Series No.5</w:t>
      </w:r>
      <w:r w:rsidRPr="000B047E">
        <w:rPr>
          <w:sz w:val="20"/>
          <w:szCs w:val="20"/>
          <w:vertAlign w:val="baseline"/>
          <w:lang w:val="en-US"/>
        </w:rPr>
        <w:t>, September 2013)</w:t>
      </w:r>
      <w:r>
        <w:rPr>
          <w:lang w:val="en-US"/>
        </w:rPr>
        <w:t xml:space="preserve"> </w:t>
      </w:r>
    </w:p>
  </w:footnote>
  <w:footnote w:id="710">
    <w:p w14:paraId="348326E5" w14:textId="77777777" w:rsidR="00431A55" w:rsidRPr="00237478" w:rsidRDefault="00431A55" w:rsidP="001C6724">
      <w:pPr>
        <w:pStyle w:val="FootnoteText"/>
        <w:rPr>
          <w:sz w:val="20"/>
          <w:szCs w:val="20"/>
          <w:vertAlign w:val="baseline"/>
          <w:lang w:val="en-US"/>
        </w:rPr>
      </w:pPr>
      <w:r w:rsidRPr="00237478">
        <w:rPr>
          <w:rStyle w:val="FootnoteReference"/>
          <w:sz w:val="20"/>
          <w:szCs w:val="20"/>
        </w:rPr>
        <w:footnoteRef/>
      </w:r>
      <w:r w:rsidRPr="00237478">
        <w:rPr>
          <w:sz w:val="20"/>
          <w:szCs w:val="20"/>
          <w:vertAlign w:val="baseline"/>
        </w:rPr>
        <w:t xml:space="preserve"> </w:t>
      </w:r>
      <w:r w:rsidRPr="00237478">
        <w:rPr>
          <w:sz w:val="20"/>
          <w:szCs w:val="20"/>
          <w:vertAlign w:val="baseline"/>
          <w:lang w:val="en-US"/>
        </w:rPr>
        <w:t>Anu Saksena, ‘CEDAW: Mandate for Substantive Equality’ (2007) 14(3) Indian Journal Gender Studies 483</w:t>
      </w:r>
    </w:p>
  </w:footnote>
  <w:footnote w:id="711">
    <w:p w14:paraId="2677F7AF" w14:textId="77777777" w:rsidR="00431A55" w:rsidRPr="00237478" w:rsidRDefault="00431A55" w:rsidP="001C6724">
      <w:pPr>
        <w:pStyle w:val="FootnoteText"/>
        <w:rPr>
          <w:sz w:val="20"/>
          <w:szCs w:val="20"/>
          <w:vertAlign w:val="baseline"/>
          <w:lang w:val="en-US"/>
        </w:rPr>
      </w:pPr>
      <w:r w:rsidRPr="00237478">
        <w:rPr>
          <w:rStyle w:val="FootnoteReference"/>
          <w:sz w:val="20"/>
          <w:szCs w:val="20"/>
        </w:rPr>
        <w:footnoteRef/>
      </w:r>
      <w:r w:rsidRPr="00237478">
        <w:rPr>
          <w:sz w:val="20"/>
          <w:szCs w:val="20"/>
          <w:vertAlign w:val="baseline"/>
        </w:rPr>
        <w:t xml:space="preserve"> </w:t>
      </w:r>
      <w:r w:rsidRPr="00237478">
        <w:rPr>
          <w:sz w:val="20"/>
          <w:szCs w:val="20"/>
          <w:vertAlign w:val="baseline"/>
          <w:lang w:val="en-US"/>
        </w:rPr>
        <w:t>PART I: Discrimination (Article 1) Policy Measures (Article 2) Guarantee of Basic Human Rights and Fundamental Freedoms (Article 3) Special Measures (Article 4) Sex Role Stereotyping and Prejudice (Article 5) Prostitution (Article 6)</w:t>
      </w:r>
    </w:p>
    <w:p w14:paraId="6365BBE7" w14:textId="77777777" w:rsidR="00431A55" w:rsidRPr="00237478" w:rsidRDefault="00431A55" w:rsidP="001C6724">
      <w:pPr>
        <w:pStyle w:val="FootnoteText"/>
        <w:rPr>
          <w:sz w:val="20"/>
          <w:szCs w:val="20"/>
          <w:vertAlign w:val="baseline"/>
          <w:lang w:val="en-US"/>
        </w:rPr>
      </w:pPr>
      <w:r w:rsidRPr="00237478">
        <w:rPr>
          <w:sz w:val="20"/>
          <w:szCs w:val="20"/>
          <w:vertAlign w:val="baseline"/>
          <w:lang w:val="en-US"/>
        </w:rPr>
        <w:t>PART II: Political and Public Life (Article 7) Representation (Article 8) Nationality (Article 9)</w:t>
      </w:r>
    </w:p>
    <w:p w14:paraId="50E68A1F" w14:textId="77777777" w:rsidR="00431A55" w:rsidRPr="00237478" w:rsidRDefault="00431A55" w:rsidP="001C6724">
      <w:pPr>
        <w:pStyle w:val="FootnoteText"/>
        <w:rPr>
          <w:sz w:val="20"/>
          <w:szCs w:val="20"/>
          <w:vertAlign w:val="baseline"/>
          <w:lang w:val="en-US"/>
        </w:rPr>
      </w:pPr>
      <w:r w:rsidRPr="00237478">
        <w:rPr>
          <w:sz w:val="20"/>
          <w:szCs w:val="20"/>
          <w:vertAlign w:val="baseline"/>
          <w:lang w:val="en-US"/>
        </w:rPr>
        <w:t>PART III: Education (Article 10) Employment (Article 11) Health (Article 12) Economic and Social Benefits (Article 13) Rural Women (Article 14)</w:t>
      </w:r>
    </w:p>
    <w:p w14:paraId="374DB51C" w14:textId="77777777" w:rsidR="00431A55" w:rsidRPr="00237478" w:rsidRDefault="00431A55" w:rsidP="001C6724">
      <w:pPr>
        <w:pStyle w:val="FootnoteText"/>
        <w:rPr>
          <w:sz w:val="20"/>
          <w:szCs w:val="20"/>
          <w:vertAlign w:val="baseline"/>
          <w:lang w:val="en-US"/>
        </w:rPr>
      </w:pPr>
      <w:r w:rsidRPr="00237478">
        <w:rPr>
          <w:sz w:val="20"/>
          <w:szCs w:val="20"/>
          <w:vertAlign w:val="baseline"/>
          <w:lang w:val="en-US"/>
        </w:rPr>
        <w:t>PART IV: Law (Article 15) Marriage and Family Life (Article 16)</w:t>
      </w:r>
    </w:p>
    <w:p w14:paraId="3B29B196" w14:textId="77777777" w:rsidR="00431A55" w:rsidRPr="00237478" w:rsidRDefault="00431A55" w:rsidP="001C6724">
      <w:pPr>
        <w:pStyle w:val="FootnoteText"/>
        <w:rPr>
          <w:sz w:val="20"/>
          <w:szCs w:val="20"/>
          <w:vertAlign w:val="baseline"/>
          <w:lang w:val="en-US"/>
        </w:rPr>
      </w:pPr>
      <w:r w:rsidRPr="00237478">
        <w:rPr>
          <w:sz w:val="20"/>
          <w:szCs w:val="20"/>
          <w:vertAlign w:val="baseline"/>
          <w:lang w:val="en-US"/>
        </w:rPr>
        <w:t>PART V: Committee on the Elimination of Discrimination against Women (Article 17) National Reports (Article 18) Rules of Procedure (Article 19) Committee Meetings (Article 20) Committee Reports (Article 21) Role of Specialised Agencies (Article 22)</w:t>
      </w:r>
    </w:p>
    <w:p w14:paraId="498EAD18" w14:textId="77777777" w:rsidR="00431A55" w:rsidRPr="00237478" w:rsidRDefault="00431A55" w:rsidP="001C6724">
      <w:pPr>
        <w:pStyle w:val="FootnoteText"/>
        <w:rPr>
          <w:sz w:val="20"/>
          <w:szCs w:val="20"/>
          <w:vertAlign w:val="baseline"/>
          <w:lang w:val="en-US"/>
        </w:rPr>
      </w:pPr>
      <w:r w:rsidRPr="00237478">
        <w:rPr>
          <w:sz w:val="20"/>
          <w:szCs w:val="20"/>
          <w:vertAlign w:val="baseline"/>
          <w:lang w:val="en-US"/>
        </w:rPr>
        <w:t>PART VI: Effect on Other Treaties (Article 23) Commitment of States Parties (Article 24) Administration of the Convention (Articles 25-30)</w:t>
      </w:r>
    </w:p>
  </w:footnote>
  <w:footnote w:id="712">
    <w:p w14:paraId="01935740" w14:textId="59489243" w:rsidR="00431A55" w:rsidRPr="00237478" w:rsidRDefault="00431A55" w:rsidP="001C6724">
      <w:pPr>
        <w:pStyle w:val="FootnoteText"/>
        <w:rPr>
          <w:sz w:val="20"/>
          <w:szCs w:val="20"/>
          <w:vertAlign w:val="baseline"/>
          <w:lang w:val="en-US"/>
        </w:rPr>
      </w:pPr>
      <w:r w:rsidRPr="00237478">
        <w:rPr>
          <w:rStyle w:val="FootnoteReference"/>
          <w:sz w:val="20"/>
          <w:szCs w:val="20"/>
        </w:rPr>
        <w:footnoteRef/>
      </w:r>
      <w:r w:rsidRPr="00237478">
        <w:rPr>
          <w:sz w:val="20"/>
          <w:szCs w:val="20"/>
          <w:vertAlign w:val="baseline"/>
        </w:rPr>
        <w:t xml:space="preserve"> </w:t>
      </w:r>
      <w:r>
        <w:rPr>
          <w:sz w:val="20"/>
          <w:szCs w:val="20"/>
          <w:vertAlign w:val="baseline"/>
          <w:lang w:val="en-US"/>
        </w:rPr>
        <w:t xml:space="preserve">Saksena (n 710) </w:t>
      </w:r>
      <w:r w:rsidRPr="00237478">
        <w:rPr>
          <w:sz w:val="20"/>
          <w:szCs w:val="20"/>
          <w:vertAlign w:val="baseline"/>
          <w:lang w:val="en-US"/>
        </w:rPr>
        <w:t>483</w:t>
      </w:r>
    </w:p>
  </w:footnote>
  <w:footnote w:id="713">
    <w:p w14:paraId="0C86EA73" w14:textId="719E5FA3" w:rsidR="00431A55" w:rsidRPr="00237478" w:rsidRDefault="00431A55" w:rsidP="001C6724">
      <w:pPr>
        <w:pStyle w:val="FootnoteText"/>
        <w:rPr>
          <w:sz w:val="20"/>
          <w:szCs w:val="20"/>
          <w:vertAlign w:val="baseline"/>
          <w:lang w:val="en-US"/>
        </w:rPr>
      </w:pPr>
      <w:r w:rsidRPr="00237478">
        <w:rPr>
          <w:rStyle w:val="FootnoteReference"/>
          <w:sz w:val="20"/>
          <w:szCs w:val="20"/>
        </w:rPr>
        <w:footnoteRef/>
      </w:r>
      <w:r w:rsidRPr="00237478">
        <w:rPr>
          <w:sz w:val="20"/>
          <w:szCs w:val="20"/>
          <w:vertAlign w:val="baseline"/>
        </w:rPr>
        <w:t xml:space="preserve"> </w:t>
      </w:r>
      <w:r>
        <w:rPr>
          <w:sz w:val="20"/>
          <w:szCs w:val="20"/>
          <w:vertAlign w:val="baseline"/>
        </w:rPr>
        <w:t>CEDAW</w:t>
      </w:r>
      <w:r w:rsidRPr="00237478">
        <w:rPr>
          <w:sz w:val="20"/>
          <w:szCs w:val="20"/>
          <w:vertAlign w:val="baseline"/>
        </w:rPr>
        <w:t xml:space="preserve"> </w:t>
      </w:r>
      <w:r w:rsidRPr="00237478">
        <w:rPr>
          <w:sz w:val="20"/>
          <w:szCs w:val="20"/>
          <w:vertAlign w:val="baseline"/>
          <w:lang w:val="en-US"/>
        </w:rPr>
        <w:t>Article 1.</w:t>
      </w:r>
    </w:p>
  </w:footnote>
  <w:footnote w:id="714">
    <w:p w14:paraId="2EDCFA19" w14:textId="13D6B08B" w:rsidR="00431A55" w:rsidRPr="00613703" w:rsidRDefault="00431A55" w:rsidP="001C6724">
      <w:pPr>
        <w:pStyle w:val="FootnoteText"/>
        <w:rPr>
          <w:sz w:val="20"/>
          <w:szCs w:val="20"/>
          <w:vertAlign w:val="baseline"/>
          <w:lang w:val="en-US"/>
        </w:rPr>
      </w:pPr>
      <w:r w:rsidRPr="00237478">
        <w:rPr>
          <w:rStyle w:val="FootnoteReference"/>
          <w:sz w:val="20"/>
          <w:szCs w:val="20"/>
        </w:rPr>
        <w:footnoteRef/>
      </w:r>
      <w:r w:rsidRPr="00237478">
        <w:rPr>
          <w:sz w:val="20"/>
          <w:szCs w:val="20"/>
          <w:vertAlign w:val="baseline"/>
        </w:rPr>
        <w:t xml:space="preserve"> </w:t>
      </w:r>
      <w:r w:rsidRPr="00237478">
        <w:rPr>
          <w:sz w:val="20"/>
          <w:szCs w:val="20"/>
          <w:vertAlign w:val="baseline"/>
          <w:lang w:val="en-US"/>
        </w:rPr>
        <w:t>CEDAW Article 2 stat</w:t>
      </w:r>
      <w:r>
        <w:rPr>
          <w:sz w:val="20"/>
          <w:szCs w:val="20"/>
          <w:vertAlign w:val="baseline"/>
          <w:lang w:val="en-US"/>
        </w:rPr>
        <w:t>es State Parties should take steps to ‘</w:t>
      </w:r>
      <w:r w:rsidRPr="00237478">
        <w:rPr>
          <w:sz w:val="20"/>
          <w:szCs w:val="20"/>
          <w:vertAlign w:val="baseline"/>
          <w:lang w:val="en-US"/>
        </w:rPr>
        <w:t xml:space="preserve">(a) To embody the principle of the equality of men and women in their national constitutions or other appropriate means, the practical realization of this principle; (b) To adopt appropriate legislative and other measures, including sanctions where appropriate, prohibiting all discrimination against women; (c) To establish legal protection of the rights of women on an equal basis with men and to ensure through competent </w:t>
      </w:r>
      <w:r w:rsidRPr="00613703">
        <w:rPr>
          <w:sz w:val="20"/>
          <w:szCs w:val="20"/>
          <w:vertAlign w:val="baseline"/>
          <w:lang w:val="en-US"/>
        </w:rPr>
        <w:t xml:space="preserve">national tribunals and other public institutions the effective protection of women against any act od discrimination; (d) To refrain from engaging in any act or practice of discrimination against women and to ensure that public authorities and institutions shall act in conformity with this obligation; (e) To take all appropriate measures to eliminate discrimination against women by any person, organization or enterprise; (f) To take all appropriate measures, including legislation, to modify or abolish existing </w:t>
      </w:r>
    </w:p>
  </w:footnote>
  <w:footnote w:id="715">
    <w:p w14:paraId="6E735886" w14:textId="77777777" w:rsidR="00431A55" w:rsidRPr="00613703" w:rsidRDefault="00431A55" w:rsidP="001C6724">
      <w:pPr>
        <w:pStyle w:val="FootnoteText"/>
        <w:rPr>
          <w:sz w:val="20"/>
          <w:szCs w:val="20"/>
          <w:vertAlign w:val="baseline"/>
          <w:lang w:val="en-US"/>
        </w:rPr>
      </w:pPr>
      <w:r w:rsidRPr="00613703">
        <w:rPr>
          <w:rStyle w:val="FootnoteReference"/>
          <w:sz w:val="20"/>
          <w:szCs w:val="20"/>
        </w:rPr>
        <w:footnoteRef/>
      </w:r>
      <w:r w:rsidRPr="00613703">
        <w:rPr>
          <w:sz w:val="20"/>
          <w:szCs w:val="20"/>
          <w:vertAlign w:val="baseline"/>
        </w:rPr>
        <w:t xml:space="preserve"> </w:t>
      </w:r>
      <w:r w:rsidRPr="00613703">
        <w:rPr>
          <w:sz w:val="20"/>
          <w:szCs w:val="20"/>
          <w:vertAlign w:val="baseline"/>
          <w:lang w:val="en-US"/>
        </w:rPr>
        <w:t>CEDAW Article 3.</w:t>
      </w:r>
    </w:p>
  </w:footnote>
  <w:footnote w:id="716">
    <w:p w14:paraId="5A180128" w14:textId="77777777" w:rsidR="00431A55" w:rsidRPr="00613703" w:rsidRDefault="00431A55" w:rsidP="001C6724">
      <w:pPr>
        <w:pStyle w:val="FootnoteText"/>
        <w:rPr>
          <w:sz w:val="20"/>
          <w:szCs w:val="20"/>
          <w:vertAlign w:val="baseline"/>
          <w:lang w:val="en-US"/>
        </w:rPr>
      </w:pPr>
      <w:r w:rsidRPr="00613703">
        <w:rPr>
          <w:rStyle w:val="FootnoteReference"/>
          <w:sz w:val="20"/>
          <w:szCs w:val="20"/>
        </w:rPr>
        <w:footnoteRef/>
      </w:r>
      <w:r w:rsidRPr="00613703">
        <w:rPr>
          <w:sz w:val="20"/>
          <w:szCs w:val="20"/>
          <w:vertAlign w:val="baseline"/>
        </w:rPr>
        <w:t xml:space="preserve"> Ronald Inglehart and Pippa Norris, </w:t>
      </w:r>
      <w:r w:rsidRPr="00613703">
        <w:rPr>
          <w:i/>
          <w:sz w:val="20"/>
          <w:szCs w:val="20"/>
          <w:vertAlign w:val="baseline"/>
        </w:rPr>
        <w:t xml:space="preserve">Rising Tide: Gender Equality and Cultural Change Around the World </w:t>
      </w:r>
      <w:r w:rsidRPr="00613703">
        <w:rPr>
          <w:sz w:val="20"/>
          <w:szCs w:val="20"/>
          <w:vertAlign w:val="baseline"/>
        </w:rPr>
        <w:t>(CUP 2003) 7</w:t>
      </w:r>
    </w:p>
  </w:footnote>
  <w:footnote w:id="717">
    <w:p w14:paraId="65F13020" w14:textId="0549F9D5" w:rsidR="00431A55" w:rsidRPr="00613703" w:rsidRDefault="00431A55" w:rsidP="001C6724">
      <w:pPr>
        <w:pStyle w:val="FootnoteText"/>
        <w:rPr>
          <w:sz w:val="20"/>
          <w:szCs w:val="20"/>
          <w:vertAlign w:val="baseline"/>
          <w:lang w:val="en-US"/>
        </w:rPr>
      </w:pPr>
      <w:r w:rsidRPr="00613703">
        <w:rPr>
          <w:rStyle w:val="FootnoteReference"/>
          <w:sz w:val="20"/>
          <w:szCs w:val="20"/>
        </w:rPr>
        <w:footnoteRef/>
      </w:r>
      <w:r w:rsidRPr="00613703">
        <w:rPr>
          <w:sz w:val="20"/>
          <w:szCs w:val="20"/>
          <w:vertAlign w:val="baseline"/>
        </w:rPr>
        <w:t xml:space="preserve"> </w:t>
      </w:r>
      <w:r>
        <w:rPr>
          <w:sz w:val="20"/>
          <w:szCs w:val="20"/>
          <w:vertAlign w:val="baseline"/>
        </w:rPr>
        <w:t>ibid</w:t>
      </w:r>
    </w:p>
  </w:footnote>
  <w:footnote w:id="718">
    <w:p w14:paraId="70D0183C" w14:textId="24C36A1A" w:rsidR="00431A55" w:rsidRPr="00613703" w:rsidRDefault="00431A55" w:rsidP="001C6724">
      <w:pPr>
        <w:pStyle w:val="FootnoteText"/>
        <w:rPr>
          <w:sz w:val="20"/>
          <w:szCs w:val="20"/>
          <w:vertAlign w:val="baseline"/>
          <w:lang w:val="en-US"/>
        </w:rPr>
      </w:pPr>
      <w:r w:rsidRPr="00613703">
        <w:rPr>
          <w:rStyle w:val="FootnoteReference"/>
          <w:sz w:val="20"/>
          <w:szCs w:val="20"/>
        </w:rPr>
        <w:footnoteRef/>
      </w:r>
      <w:r w:rsidRPr="00613703">
        <w:rPr>
          <w:sz w:val="20"/>
          <w:szCs w:val="20"/>
          <w:vertAlign w:val="baseline"/>
        </w:rPr>
        <w:t xml:space="preserve"> </w:t>
      </w:r>
      <w:r>
        <w:rPr>
          <w:sz w:val="20"/>
          <w:szCs w:val="20"/>
          <w:vertAlign w:val="baseline"/>
        </w:rPr>
        <w:t>ibid</w:t>
      </w:r>
    </w:p>
  </w:footnote>
  <w:footnote w:id="719">
    <w:p w14:paraId="7A3EA31D" w14:textId="77777777" w:rsidR="00431A55" w:rsidRPr="00BD2233" w:rsidRDefault="00431A55" w:rsidP="001C6724">
      <w:pPr>
        <w:pStyle w:val="FootnoteText"/>
        <w:rPr>
          <w:lang w:val="en-US"/>
        </w:rPr>
      </w:pPr>
      <w:r w:rsidRPr="00613703">
        <w:rPr>
          <w:rStyle w:val="FootnoteReference"/>
          <w:sz w:val="20"/>
          <w:szCs w:val="20"/>
        </w:rPr>
        <w:footnoteRef/>
      </w:r>
      <w:r w:rsidRPr="00613703">
        <w:rPr>
          <w:sz w:val="20"/>
          <w:szCs w:val="20"/>
          <w:vertAlign w:val="baseline"/>
        </w:rPr>
        <w:t xml:space="preserve"> Ivana Radacic, ‘Feminism and Human Rights: the inclusive approach to interpreting international human rights law’ (2008) 14 UCL Juris Rev 238</w:t>
      </w:r>
      <w:r>
        <w:t xml:space="preserve"> </w:t>
      </w:r>
    </w:p>
  </w:footnote>
  <w:footnote w:id="720">
    <w:p w14:paraId="50049056" w14:textId="6B449095" w:rsidR="00431A55" w:rsidRPr="000560A6" w:rsidRDefault="00431A55" w:rsidP="001C6724">
      <w:pPr>
        <w:rPr>
          <w:rFonts w:eastAsia="Times New Roman" w:cs="Times New Roman"/>
          <w:vertAlign w:val="baseline"/>
        </w:rPr>
      </w:pPr>
      <w:r w:rsidRPr="000560A6">
        <w:rPr>
          <w:rStyle w:val="FootnoteReference"/>
        </w:rPr>
        <w:footnoteRef/>
      </w:r>
      <w:r w:rsidRPr="000560A6">
        <w:rPr>
          <w:vertAlign w:val="baseline"/>
        </w:rPr>
        <w:t xml:space="preserve"> CEDAW Committee,</w:t>
      </w:r>
      <w:r w:rsidRPr="000560A6">
        <w:rPr>
          <w:rFonts w:eastAsia="Times New Roman" w:cs="Times New Roman"/>
          <w:vertAlign w:val="baseline"/>
        </w:rPr>
        <w:t xml:space="preserve"> ‘</w:t>
      </w:r>
      <w:r w:rsidRPr="000560A6">
        <w:rPr>
          <w:rFonts w:eastAsia="Times New Roman" w:cs="Times New Roman"/>
          <w:iCs/>
          <w:color w:val="3F3F3F"/>
          <w:vertAlign w:val="baseline"/>
        </w:rPr>
        <w:t>CEDAW General Recommendation No. 12: Violence against women’ (1989)</w:t>
      </w:r>
      <w:r>
        <w:rPr>
          <w:rFonts w:eastAsia="Times New Roman" w:cs="Times New Roman"/>
          <w:iCs/>
          <w:color w:val="3F3F3F"/>
          <w:vertAlign w:val="baseline"/>
        </w:rPr>
        <w:t xml:space="preserve"> A/44/38,</w:t>
      </w:r>
      <w:r w:rsidRPr="000560A6">
        <w:rPr>
          <w:rFonts w:eastAsia="Times New Roman" w:cs="Times New Roman"/>
          <w:iCs/>
          <w:color w:val="3F3F3F"/>
          <w:vertAlign w:val="baseline"/>
        </w:rPr>
        <w:t xml:space="preserve"> 75</w:t>
      </w:r>
    </w:p>
  </w:footnote>
  <w:footnote w:id="721">
    <w:p w14:paraId="5A22165F" w14:textId="2A5E0910" w:rsidR="00431A55" w:rsidRPr="000560A6" w:rsidRDefault="00431A55" w:rsidP="001C6724">
      <w:pPr>
        <w:rPr>
          <w:vertAlign w:val="baseline"/>
        </w:rPr>
      </w:pPr>
      <w:r w:rsidRPr="000560A6">
        <w:rPr>
          <w:rStyle w:val="FootnoteReference"/>
        </w:rPr>
        <w:footnoteRef/>
      </w:r>
      <w:r w:rsidRPr="000560A6">
        <w:rPr>
          <w:vertAlign w:val="baseline"/>
        </w:rPr>
        <w:t xml:space="preserve"> </w:t>
      </w:r>
      <w:r>
        <w:rPr>
          <w:vertAlign w:val="baseline"/>
        </w:rPr>
        <w:t>ibid</w:t>
      </w:r>
      <w:r w:rsidRPr="000560A6">
        <w:rPr>
          <w:rFonts w:eastAsia="Times New Roman" w:cs="Times New Roman"/>
          <w:iCs/>
          <w:color w:val="3F3F3F"/>
          <w:vertAlign w:val="baseline"/>
        </w:rPr>
        <w:t xml:space="preserve"> 1</w:t>
      </w:r>
    </w:p>
  </w:footnote>
  <w:footnote w:id="722">
    <w:p w14:paraId="68C12043" w14:textId="7A9D1146" w:rsidR="00431A55" w:rsidRPr="000560A6" w:rsidRDefault="00431A55" w:rsidP="001C6724">
      <w:pPr>
        <w:pStyle w:val="FootnoteText"/>
        <w:rPr>
          <w:sz w:val="20"/>
          <w:szCs w:val="20"/>
          <w:vertAlign w:val="baseline"/>
          <w:lang w:val="en-US"/>
        </w:rPr>
      </w:pPr>
      <w:r w:rsidRPr="000560A6">
        <w:rPr>
          <w:rStyle w:val="FootnoteReference"/>
          <w:sz w:val="20"/>
          <w:szCs w:val="20"/>
        </w:rPr>
        <w:footnoteRef/>
      </w:r>
      <w:r w:rsidRPr="000560A6">
        <w:rPr>
          <w:sz w:val="20"/>
          <w:szCs w:val="20"/>
          <w:vertAlign w:val="baseline"/>
        </w:rPr>
        <w:t xml:space="preserve"> </w:t>
      </w:r>
      <w:r w:rsidRPr="000560A6">
        <w:rPr>
          <w:sz w:val="20"/>
          <w:szCs w:val="20"/>
          <w:vertAlign w:val="baseline"/>
          <w:lang w:val="en-US"/>
        </w:rPr>
        <w:t>International Women’s Rights Action Watch Asia Pacific</w:t>
      </w:r>
      <w:r>
        <w:rPr>
          <w:sz w:val="20"/>
          <w:szCs w:val="20"/>
          <w:vertAlign w:val="baseline"/>
          <w:lang w:val="en-US"/>
        </w:rPr>
        <w:t xml:space="preserve"> (n 709) 8; See Rikki Holtmaat, ‘The CEDAW: a holistic approach to women’s equality and freedom’ in </w:t>
      </w:r>
      <w:r>
        <w:rPr>
          <w:sz w:val="20"/>
          <w:szCs w:val="20"/>
          <w:vertAlign w:val="baseline"/>
        </w:rPr>
        <w:t xml:space="preserve">Anne Hellum and Henriette Sinding Aasen, </w:t>
      </w:r>
      <w:r>
        <w:rPr>
          <w:i/>
          <w:sz w:val="20"/>
          <w:szCs w:val="20"/>
          <w:vertAlign w:val="baseline"/>
        </w:rPr>
        <w:t>Women’s Human Rights: CEDAW in International, Regional and National Law</w:t>
      </w:r>
      <w:r>
        <w:rPr>
          <w:sz w:val="20"/>
          <w:szCs w:val="20"/>
          <w:vertAlign w:val="baseline"/>
        </w:rPr>
        <w:t xml:space="preserve"> (CUP 2013) 95-123</w:t>
      </w:r>
    </w:p>
  </w:footnote>
  <w:footnote w:id="723">
    <w:p w14:paraId="18FB7C21" w14:textId="4A8D36F6" w:rsidR="00431A55" w:rsidRPr="00207EC1" w:rsidRDefault="00431A55" w:rsidP="001C6724">
      <w:pPr>
        <w:pStyle w:val="FootnoteText"/>
        <w:rPr>
          <w:sz w:val="20"/>
          <w:szCs w:val="20"/>
          <w:vertAlign w:val="baseline"/>
          <w:lang w:val="en-US"/>
        </w:rPr>
      </w:pPr>
      <w:r w:rsidRPr="000560A6">
        <w:rPr>
          <w:rStyle w:val="FootnoteReference"/>
          <w:sz w:val="20"/>
          <w:szCs w:val="20"/>
        </w:rPr>
        <w:footnoteRef/>
      </w:r>
      <w:r w:rsidRPr="000560A6">
        <w:rPr>
          <w:sz w:val="20"/>
          <w:szCs w:val="20"/>
          <w:vertAlign w:val="baseline"/>
          <w:lang w:val="en-US"/>
        </w:rPr>
        <w:t xml:space="preserve"> CEDAW Article 2(f) </w:t>
      </w:r>
      <w:r>
        <w:rPr>
          <w:sz w:val="20"/>
          <w:szCs w:val="20"/>
          <w:vertAlign w:val="baseline"/>
          <w:lang w:val="en-US"/>
        </w:rPr>
        <w:t>(n 690); 14 states currently have reservations against article 2</w:t>
      </w:r>
    </w:p>
  </w:footnote>
  <w:footnote w:id="724">
    <w:p w14:paraId="1055BE28" w14:textId="14268313" w:rsidR="00431A55" w:rsidRPr="00D21E90" w:rsidRDefault="00431A55" w:rsidP="001C6724">
      <w:pPr>
        <w:pStyle w:val="FootnoteText"/>
        <w:rPr>
          <w:sz w:val="20"/>
          <w:szCs w:val="20"/>
          <w:vertAlign w:val="baseline"/>
          <w:lang w:val="en-US"/>
        </w:rPr>
      </w:pPr>
      <w:r w:rsidRPr="00D21E90">
        <w:rPr>
          <w:rStyle w:val="FootnoteReference"/>
          <w:sz w:val="20"/>
          <w:szCs w:val="20"/>
        </w:rPr>
        <w:footnoteRef/>
      </w:r>
      <w:r w:rsidRPr="00D21E90">
        <w:rPr>
          <w:sz w:val="20"/>
          <w:szCs w:val="20"/>
          <w:vertAlign w:val="baseline"/>
        </w:rPr>
        <w:t xml:space="preserve"> </w:t>
      </w:r>
      <w:r>
        <w:rPr>
          <w:sz w:val="20"/>
          <w:szCs w:val="20"/>
          <w:vertAlign w:val="baseline"/>
        </w:rPr>
        <w:t>3 states currently have reservations against article 5</w:t>
      </w:r>
    </w:p>
  </w:footnote>
  <w:footnote w:id="725">
    <w:p w14:paraId="446CC199" w14:textId="434E6CFB" w:rsidR="00431A55" w:rsidRPr="00D21E90" w:rsidRDefault="00431A55" w:rsidP="001C6724">
      <w:pPr>
        <w:rPr>
          <w:rFonts w:ascii="Times" w:eastAsia="Times New Roman" w:hAnsi="Times" w:cs="Times New Roman"/>
          <w:vertAlign w:val="baseline"/>
        </w:rPr>
      </w:pPr>
      <w:r w:rsidRPr="00D21E90">
        <w:rPr>
          <w:rStyle w:val="FootnoteReference"/>
        </w:rPr>
        <w:footnoteRef/>
      </w:r>
      <w:r w:rsidRPr="00D21E90">
        <w:rPr>
          <w:vertAlign w:val="baseline"/>
        </w:rPr>
        <w:t xml:space="preserve"> </w:t>
      </w:r>
      <w:r>
        <w:rPr>
          <w:rFonts w:eastAsia="Times New Roman" w:cs="Arial"/>
          <w:color w:val="000000"/>
          <w:shd w:val="clear" w:color="auto" w:fill="FFFFFF"/>
          <w:vertAlign w:val="baseline"/>
        </w:rPr>
        <w:t>28 states currently have reservations against article 16</w:t>
      </w:r>
    </w:p>
  </w:footnote>
  <w:footnote w:id="726">
    <w:p w14:paraId="0F87E76A" w14:textId="4BBF22E5" w:rsidR="00431A55" w:rsidRPr="003230B4" w:rsidRDefault="00431A55" w:rsidP="003230B4">
      <w:pPr>
        <w:pStyle w:val="NoSpacing"/>
        <w:rPr>
          <w:vertAlign w:val="baseline"/>
        </w:rPr>
      </w:pPr>
      <w:r w:rsidRPr="00431BD2">
        <w:rPr>
          <w:rStyle w:val="FootnoteReference"/>
        </w:rPr>
        <w:footnoteRef/>
      </w:r>
      <w:r w:rsidRPr="00431BD2">
        <w:t xml:space="preserve"> </w:t>
      </w:r>
      <w:r w:rsidRPr="00431BD2">
        <w:rPr>
          <w:vertAlign w:val="baseline"/>
        </w:rPr>
        <w:t>A reservation is define</w:t>
      </w:r>
      <w:r w:rsidRPr="003230B4">
        <w:rPr>
          <w:vertAlign w:val="baseline"/>
        </w:rPr>
        <w:t>d in article 2 (d) of the UN Vienna Convention on the Law of Treaties as,</w:t>
      </w:r>
      <w:r>
        <w:rPr>
          <w:vertAlign w:val="baseline"/>
        </w:rPr>
        <w:t xml:space="preserve"> ‘</w:t>
      </w:r>
      <w:r w:rsidRPr="00431BD2">
        <w:rPr>
          <w:vertAlign w:val="baseline"/>
        </w:rPr>
        <w:t xml:space="preserve">A unilateral statement, however phrased or names, made by a State, when signing, ratifying, accepting, approving or acceding to a treaty, whereby it purports to exclude or to modify </w:t>
      </w:r>
      <w:r w:rsidRPr="003230B4">
        <w:rPr>
          <w:vertAlign w:val="baseline"/>
        </w:rPr>
        <w:t>the legal effect of certain provisions of the treaty in their application to that State</w:t>
      </w:r>
      <w:r>
        <w:rPr>
          <w:vertAlign w:val="baseline"/>
        </w:rPr>
        <w:t>’</w:t>
      </w:r>
    </w:p>
  </w:footnote>
  <w:footnote w:id="727">
    <w:p w14:paraId="1B4BE5D9" w14:textId="2DA2EC2C" w:rsidR="00431A55" w:rsidRPr="00D21E90" w:rsidRDefault="00431A55" w:rsidP="001C6724">
      <w:pPr>
        <w:pStyle w:val="FootnoteText"/>
        <w:rPr>
          <w:sz w:val="20"/>
          <w:szCs w:val="20"/>
          <w:vertAlign w:val="baseline"/>
        </w:rPr>
      </w:pPr>
      <w:r w:rsidRPr="00D21E90">
        <w:rPr>
          <w:rStyle w:val="FootnoteReference"/>
          <w:sz w:val="20"/>
          <w:szCs w:val="20"/>
        </w:rPr>
        <w:footnoteRef/>
      </w:r>
      <w:r w:rsidRPr="00D21E90">
        <w:rPr>
          <w:sz w:val="20"/>
          <w:szCs w:val="20"/>
          <w:vertAlign w:val="baseline"/>
        </w:rPr>
        <w:t xml:space="preserve"> </w:t>
      </w:r>
      <w:r>
        <w:rPr>
          <w:sz w:val="20"/>
          <w:szCs w:val="20"/>
          <w:vertAlign w:val="baseline"/>
        </w:rPr>
        <w:t>See Fig.1, 172</w:t>
      </w:r>
    </w:p>
  </w:footnote>
  <w:footnote w:id="728">
    <w:p w14:paraId="49BD7273" w14:textId="77777777" w:rsidR="00431A55" w:rsidRPr="00D21E90" w:rsidRDefault="00431A55" w:rsidP="001C6724">
      <w:pPr>
        <w:pStyle w:val="FootnoteText"/>
        <w:rPr>
          <w:sz w:val="20"/>
          <w:szCs w:val="20"/>
          <w:vertAlign w:val="baseline"/>
          <w:lang w:val="en-US"/>
        </w:rPr>
      </w:pPr>
      <w:r w:rsidRPr="00D21E90">
        <w:rPr>
          <w:rStyle w:val="FootnoteReference"/>
          <w:sz w:val="20"/>
          <w:szCs w:val="20"/>
        </w:rPr>
        <w:footnoteRef/>
      </w:r>
      <w:r w:rsidRPr="00D21E90">
        <w:rPr>
          <w:sz w:val="20"/>
          <w:szCs w:val="20"/>
          <w:vertAlign w:val="baseline"/>
        </w:rPr>
        <w:t xml:space="preserve"> </w:t>
      </w:r>
      <w:r w:rsidRPr="00D21E90">
        <w:rPr>
          <w:sz w:val="20"/>
          <w:szCs w:val="20"/>
          <w:vertAlign w:val="baseline"/>
          <w:lang w:val="en-US"/>
        </w:rPr>
        <w:t>Marsha A. Freeman, ‘Reservations to CEDAW: An Analysis for UNICEF’ (</w:t>
      </w:r>
      <w:r w:rsidRPr="00D21E90">
        <w:rPr>
          <w:i/>
          <w:sz w:val="20"/>
          <w:szCs w:val="20"/>
          <w:vertAlign w:val="baseline"/>
          <w:lang w:val="en-US"/>
        </w:rPr>
        <w:t>UNICEF</w:t>
      </w:r>
      <w:r w:rsidRPr="00D21E90">
        <w:rPr>
          <w:sz w:val="20"/>
          <w:szCs w:val="20"/>
          <w:vertAlign w:val="baseline"/>
          <w:lang w:val="en-US"/>
        </w:rPr>
        <w:t>, December 2009) 5</w:t>
      </w:r>
    </w:p>
  </w:footnote>
  <w:footnote w:id="729">
    <w:p w14:paraId="5C41D086" w14:textId="77777777" w:rsidR="00431A55" w:rsidRPr="00187589" w:rsidRDefault="00431A55" w:rsidP="00431BD2">
      <w:pPr>
        <w:pStyle w:val="FootnoteText"/>
        <w:rPr>
          <w:sz w:val="20"/>
          <w:szCs w:val="20"/>
          <w:vertAlign w:val="baseline"/>
          <w:lang w:val="en-US"/>
        </w:rPr>
      </w:pPr>
      <w:r w:rsidRPr="00187589">
        <w:rPr>
          <w:rStyle w:val="FootnoteReference"/>
          <w:sz w:val="20"/>
          <w:szCs w:val="20"/>
        </w:rPr>
        <w:footnoteRef/>
      </w:r>
      <w:r w:rsidRPr="00187589">
        <w:rPr>
          <w:sz w:val="20"/>
          <w:szCs w:val="20"/>
          <w:vertAlign w:val="baseline"/>
        </w:rPr>
        <w:t xml:space="preserve"> </w:t>
      </w:r>
      <w:r w:rsidRPr="00187589">
        <w:rPr>
          <w:sz w:val="20"/>
          <w:szCs w:val="20"/>
          <w:vertAlign w:val="baseline"/>
          <w:lang w:val="en-US"/>
        </w:rPr>
        <w:t xml:space="preserve">Anne F Bayefsky, “General Approaches to Domestic Application of </w:t>
      </w:r>
      <w:r>
        <w:rPr>
          <w:sz w:val="20"/>
          <w:szCs w:val="20"/>
          <w:vertAlign w:val="baseline"/>
          <w:lang w:val="en-US"/>
        </w:rPr>
        <w:t xml:space="preserve">International Law’ in </w:t>
      </w:r>
      <w:r w:rsidRPr="00187589">
        <w:rPr>
          <w:sz w:val="20"/>
          <w:szCs w:val="20"/>
          <w:vertAlign w:val="baseline"/>
          <w:lang w:val="en-US"/>
        </w:rPr>
        <w:t xml:space="preserve">Cook </w:t>
      </w:r>
      <w:r>
        <w:rPr>
          <w:sz w:val="20"/>
          <w:szCs w:val="20"/>
          <w:vertAlign w:val="baseline"/>
          <w:lang w:val="en-US"/>
        </w:rPr>
        <w:t xml:space="preserve">(n 16) </w:t>
      </w:r>
      <w:r w:rsidRPr="00187589">
        <w:rPr>
          <w:sz w:val="20"/>
          <w:szCs w:val="20"/>
          <w:vertAlign w:val="baseline"/>
          <w:lang w:val="en-US"/>
        </w:rPr>
        <w:t>352</w:t>
      </w:r>
    </w:p>
  </w:footnote>
  <w:footnote w:id="730">
    <w:p w14:paraId="03DC7D99" w14:textId="77777777" w:rsidR="00431A55" w:rsidRPr="00D21E90" w:rsidRDefault="00431A55" w:rsidP="001C6724">
      <w:pPr>
        <w:pStyle w:val="FootnoteText"/>
        <w:rPr>
          <w:sz w:val="20"/>
          <w:szCs w:val="20"/>
          <w:vertAlign w:val="baseline"/>
          <w:lang w:val="en-US"/>
        </w:rPr>
      </w:pPr>
      <w:r w:rsidRPr="00D21E90">
        <w:rPr>
          <w:rStyle w:val="FootnoteReference"/>
          <w:sz w:val="20"/>
          <w:szCs w:val="20"/>
        </w:rPr>
        <w:footnoteRef/>
      </w:r>
      <w:r w:rsidRPr="00D21E90">
        <w:rPr>
          <w:sz w:val="20"/>
          <w:szCs w:val="20"/>
          <w:vertAlign w:val="baseline"/>
        </w:rPr>
        <w:t xml:space="preserve"> Robyn Emerton, Kristine Adams, Andrew Byrnes and Jane Connors (eds) </w:t>
      </w:r>
      <w:r w:rsidRPr="00D21E90">
        <w:rPr>
          <w:i/>
          <w:sz w:val="20"/>
          <w:szCs w:val="20"/>
          <w:vertAlign w:val="baseline"/>
        </w:rPr>
        <w:t>International Women’s Human Rights Cases</w:t>
      </w:r>
      <w:r w:rsidRPr="00D21E90">
        <w:rPr>
          <w:sz w:val="20"/>
          <w:szCs w:val="20"/>
          <w:vertAlign w:val="baseline"/>
        </w:rPr>
        <w:t xml:space="preserve"> (Cavendish 2005) 4.</w:t>
      </w:r>
    </w:p>
  </w:footnote>
  <w:footnote w:id="731">
    <w:p w14:paraId="393677EF" w14:textId="78485B1B" w:rsidR="00431A55" w:rsidRPr="003230B4" w:rsidRDefault="00431A55">
      <w:pPr>
        <w:pStyle w:val="FootnoteText"/>
        <w:rPr>
          <w:sz w:val="20"/>
          <w:szCs w:val="20"/>
          <w:vertAlign w:val="baseline"/>
          <w:lang w:val="en-US"/>
        </w:rPr>
      </w:pPr>
      <w:r w:rsidRPr="003230B4">
        <w:rPr>
          <w:rStyle w:val="FootnoteReference"/>
          <w:sz w:val="20"/>
          <w:szCs w:val="20"/>
        </w:rPr>
        <w:footnoteRef/>
      </w:r>
      <w:r w:rsidRPr="003230B4">
        <w:rPr>
          <w:sz w:val="20"/>
          <w:szCs w:val="20"/>
        </w:rPr>
        <w:t xml:space="preserve"> </w:t>
      </w:r>
      <w:r>
        <w:rPr>
          <w:sz w:val="20"/>
          <w:szCs w:val="20"/>
          <w:vertAlign w:val="baseline"/>
          <w:lang w:val="en-US"/>
        </w:rPr>
        <w:t>Bayefsky (n 729); Saksena (n 710)</w:t>
      </w:r>
    </w:p>
  </w:footnote>
  <w:footnote w:id="732">
    <w:p w14:paraId="2D2C80BA" w14:textId="77777777" w:rsidR="00431A55" w:rsidRPr="0027025E" w:rsidRDefault="00431A55" w:rsidP="00A22AE5">
      <w:pPr>
        <w:pStyle w:val="FootnoteText"/>
        <w:rPr>
          <w:sz w:val="20"/>
          <w:szCs w:val="20"/>
          <w:vertAlign w:val="baseline"/>
          <w:lang w:val="en-US"/>
        </w:rPr>
      </w:pPr>
      <w:r w:rsidRPr="0027025E">
        <w:rPr>
          <w:rStyle w:val="FootnoteReference"/>
          <w:sz w:val="20"/>
          <w:szCs w:val="20"/>
        </w:rPr>
        <w:footnoteRef/>
      </w:r>
      <w:r w:rsidRPr="0027025E">
        <w:rPr>
          <w:sz w:val="20"/>
          <w:szCs w:val="20"/>
        </w:rPr>
        <w:t xml:space="preserve"> </w:t>
      </w:r>
      <w:r>
        <w:rPr>
          <w:sz w:val="20"/>
          <w:szCs w:val="20"/>
          <w:vertAlign w:val="baseline"/>
        </w:rPr>
        <w:t>See Fig.1, 172</w:t>
      </w:r>
    </w:p>
  </w:footnote>
  <w:footnote w:id="733">
    <w:p w14:paraId="25F42450" w14:textId="77777777" w:rsidR="00431A55" w:rsidRPr="00F226EE" w:rsidRDefault="00431A55" w:rsidP="00A22AE5">
      <w:pPr>
        <w:pStyle w:val="FootnoteText"/>
        <w:rPr>
          <w:sz w:val="20"/>
          <w:szCs w:val="20"/>
          <w:vertAlign w:val="baseline"/>
          <w:lang w:val="en-US"/>
        </w:rPr>
      </w:pPr>
      <w:r w:rsidRPr="00F226EE">
        <w:rPr>
          <w:rStyle w:val="FootnoteReference"/>
          <w:sz w:val="20"/>
          <w:szCs w:val="20"/>
        </w:rPr>
        <w:footnoteRef/>
      </w:r>
      <w:r w:rsidRPr="00F226EE">
        <w:rPr>
          <w:sz w:val="20"/>
          <w:szCs w:val="20"/>
        </w:rPr>
        <w:t xml:space="preserve"> </w:t>
      </w:r>
      <w:r>
        <w:rPr>
          <w:sz w:val="20"/>
          <w:szCs w:val="20"/>
          <w:vertAlign w:val="baseline"/>
        </w:rPr>
        <w:t>Article 2(f) and 5(a)</w:t>
      </w:r>
    </w:p>
  </w:footnote>
  <w:footnote w:id="734">
    <w:p w14:paraId="48B38FF0" w14:textId="395E2FE7" w:rsidR="00431A55" w:rsidRPr="00DB523B" w:rsidRDefault="00431A55" w:rsidP="001C6724">
      <w:pPr>
        <w:pStyle w:val="FootnoteText"/>
        <w:rPr>
          <w:sz w:val="20"/>
          <w:szCs w:val="20"/>
          <w:vertAlign w:val="baseline"/>
          <w:lang w:val="en-US"/>
        </w:rPr>
      </w:pPr>
      <w:r w:rsidRPr="00DB523B">
        <w:rPr>
          <w:rStyle w:val="FootnoteReference"/>
          <w:sz w:val="20"/>
          <w:szCs w:val="20"/>
        </w:rPr>
        <w:footnoteRef/>
      </w:r>
      <w:r w:rsidRPr="00DB523B">
        <w:rPr>
          <w:sz w:val="20"/>
          <w:szCs w:val="20"/>
        </w:rPr>
        <w:t xml:space="preserve"> </w:t>
      </w:r>
      <w:r>
        <w:rPr>
          <w:sz w:val="20"/>
          <w:szCs w:val="20"/>
          <w:vertAlign w:val="baseline"/>
          <w:lang w:val="en-US"/>
        </w:rPr>
        <w:t>Saksena (n 710)</w:t>
      </w:r>
      <w:r w:rsidRPr="00DB523B">
        <w:rPr>
          <w:sz w:val="20"/>
          <w:szCs w:val="20"/>
          <w:vertAlign w:val="baseline"/>
          <w:lang w:val="en-US"/>
        </w:rPr>
        <w:t xml:space="preserve"> 489</w:t>
      </w:r>
    </w:p>
  </w:footnote>
  <w:footnote w:id="735">
    <w:p w14:paraId="2BA5CD9E" w14:textId="786ED150" w:rsidR="00431A55" w:rsidRPr="00DB523B" w:rsidRDefault="00431A55" w:rsidP="001C6724">
      <w:pPr>
        <w:pStyle w:val="FootnoteText"/>
        <w:rPr>
          <w:sz w:val="20"/>
          <w:szCs w:val="20"/>
          <w:vertAlign w:val="baseline"/>
          <w:lang w:val="en-US"/>
        </w:rPr>
      </w:pPr>
      <w:r w:rsidRPr="00DB523B">
        <w:rPr>
          <w:rStyle w:val="FootnoteReference"/>
          <w:sz w:val="20"/>
          <w:szCs w:val="20"/>
        </w:rPr>
        <w:footnoteRef/>
      </w:r>
      <w:r w:rsidRPr="00DB523B">
        <w:rPr>
          <w:sz w:val="20"/>
          <w:szCs w:val="20"/>
          <w:vertAlign w:val="baseline"/>
        </w:rPr>
        <w:t xml:space="preserve"> </w:t>
      </w:r>
      <w:r>
        <w:rPr>
          <w:sz w:val="20"/>
          <w:szCs w:val="20"/>
          <w:vertAlign w:val="baseline"/>
          <w:lang w:val="en-US"/>
        </w:rPr>
        <w:t>ibid</w:t>
      </w:r>
    </w:p>
  </w:footnote>
  <w:footnote w:id="736">
    <w:p w14:paraId="12CE01AA" w14:textId="2BD7A4BA" w:rsidR="00431A55" w:rsidRPr="00DB523B" w:rsidRDefault="00431A55" w:rsidP="001C6724">
      <w:pPr>
        <w:pStyle w:val="FootnoteText"/>
        <w:rPr>
          <w:sz w:val="20"/>
          <w:szCs w:val="20"/>
          <w:vertAlign w:val="baseline"/>
          <w:lang w:val="en-US"/>
        </w:rPr>
      </w:pPr>
      <w:r w:rsidRPr="00DB523B">
        <w:rPr>
          <w:rStyle w:val="FootnoteReference"/>
          <w:sz w:val="20"/>
          <w:szCs w:val="20"/>
        </w:rPr>
        <w:footnoteRef/>
      </w:r>
      <w:r w:rsidRPr="00DB523B">
        <w:rPr>
          <w:sz w:val="20"/>
          <w:szCs w:val="20"/>
        </w:rPr>
        <w:t xml:space="preserve"> </w:t>
      </w:r>
      <w:r>
        <w:rPr>
          <w:sz w:val="20"/>
          <w:szCs w:val="20"/>
          <w:vertAlign w:val="baseline"/>
          <w:lang w:val="en-US"/>
        </w:rPr>
        <w:t>Saksena, (n 6710)</w:t>
      </w:r>
      <w:r w:rsidRPr="00DB523B">
        <w:rPr>
          <w:sz w:val="20"/>
          <w:szCs w:val="20"/>
          <w:vertAlign w:val="baseline"/>
          <w:lang w:val="en-US"/>
        </w:rPr>
        <w:t xml:space="preserve">; Noreen Burrows, ‘International Law and Human Rights: The Case of Women’s Rights’ in Tom Campbell, David Goldberg, Sheila McLean and Tom Muller (eds) </w:t>
      </w:r>
      <w:r w:rsidRPr="00DB523B">
        <w:rPr>
          <w:i/>
          <w:sz w:val="20"/>
          <w:szCs w:val="20"/>
          <w:vertAlign w:val="baseline"/>
          <w:lang w:val="en-US"/>
        </w:rPr>
        <w:t>Human Rights: From Rhetoric to Reality</w:t>
      </w:r>
      <w:r w:rsidRPr="00DB523B">
        <w:rPr>
          <w:sz w:val="20"/>
          <w:szCs w:val="20"/>
          <w:vertAlign w:val="baseline"/>
          <w:lang w:val="en-US"/>
        </w:rPr>
        <w:t xml:space="preserve"> (Basil Blackwell 1986) 93-95</w:t>
      </w:r>
    </w:p>
  </w:footnote>
  <w:footnote w:id="737">
    <w:p w14:paraId="04229361" w14:textId="7FA7D37D" w:rsidR="00431A55" w:rsidRPr="00DB523B" w:rsidRDefault="00431A55" w:rsidP="001C6724">
      <w:pPr>
        <w:pStyle w:val="FootnoteText"/>
        <w:rPr>
          <w:sz w:val="20"/>
          <w:szCs w:val="20"/>
          <w:vertAlign w:val="baseline"/>
          <w:lang w:val="en-US"/>
        </w:rPr>
      </w:pPr>
      <w:r w:rsidRPr="00DB523B">
        <w:rPr>
          <w:rStyle w:val="FootnoteReference"/>
          <w:sz w:val="20"/>
          <w:szCs w:val="20"/>
        </w:rPr>
        <w:footnoteRef/>
      </w:r>
      <w:r w:rsidRPr="00DB523B">
        <w:rPr>
          <w:sz w:val="20"/>
          <w:szCs w:val="20"/>
        </w:rPr>
        <w:t xml:space="preserve"> </w:t>
      </w:r>
      <w:r w:rsidRPr="00DB523B">
        <w:rPr>
          <w:sz w:val="20"/>
          <w:szCs w:val="20"/>
          <w:vertAlign w:val="baseline"/>
          <w:lang w:val="en-US"/>
        </w:rPr>
        <w:t>Burrows</w:t>
      </w:r>
      <w:r>
        <w:rPr>
          <w:sz w:val="20"/>
          <w:szCs w:val="20"/>
          <w:vertAlign w:val="baseline"/>
          <w:lang w:val="en-US"/>
        </w:rPr>
        <w:t xml:space="preserve"> (n 736)</w:t>
      </w:r>
    </w:p>
  </w:footnote>
  <w:footnote w:id="738">
    <w:p w14:paraId="3D7CA1B1" w14:textId="7FD37CBF" w:rsidR="00431A55" w:rsidRPr="006B4BEE" w:rsidRDefault="00431A55" w:rsidP="001C6724">
      <w:pPr>
        <w:pStyle w:val="FootnoteText"/>
        <w:rPr>
          <w:lang w:val="en-US"/>
        </w:rPr>
      </w:pPr>
      <w:r w:rsidRPr="00DB523B">
        <w:rPr>
          <w:rStyle w:val="FootnoteReference"/>
          <w:sz w:val="20"/>
          <w:szCs w:val="20"/>
        </w:rPr>
        <w:footnoteRef/>
      </w:r>
      <w:r w:rsidRPr="00DB523B">
        <w:rPr>
          <w:sz w:val="20"/>
          <w:szCs w:val="20"/>
        </w:rPr>
        <w:t xml:space="preserve"> </w:t>
      </w:r>
      <w:r w:rsidRPr="00DB523B">
        <w:rPr>
          <w:sz w:val="20"/>
          <w:szCs w:val="20"/>
          <w:vertAlign w:val="baseline"/>
          <w:lang w:val="en-US"/>
        </w:rPr>
        <w:t xml:space="preserve">Alice Edwards, </w:t>
      </w:r>
      <w:r w:rsidRPr="00DB523B">
        <w:rPr>
          <w:i/>
          <w:sz w:val="20"/>
          <w:szCs w:val="20"/>
          <w:vertAlign w:val="baseline"/>
          <w:lang w:val="en-US"/>
        </w:rPr>
        <w:t>Violence against Women under International Human Rights Law</w:t>
      </w:r>
      <w:r w:rsidRPr="00DB523B">
        <w:rPr>
          <w:sz w:val="20"/>
          <w:szCs w:val="20"/>
          <w:vertAlign w:val="baseline"/>
          <w:lang w:val="en-US"/>
        </w:rPr>
        <w:t xml:space="preserve"> (CUP 2011) 149</w:t>
      </w:r>
    </w:p>
  </w:footnote>
  <w:footnote w:id="739">
    <w:p w14:paraId="7153D8A4" w14:textId="1EB32492" w:rsidR="00431A55" w:rsidRPr="00C2403A" w:rsidRDefault="00431A55" w:rsidP="001C6724">
      <w:pPr>
        <w:pStyle w:val="FootnoteText"/>
        <w:rPr>
          <w:sz w:val="20"/>
          <w:szCs w:val="20"/>
          <w:vertAlign w:val="baseline"/>
          <w:lang w:val="en-US"/>
        </w:rPr>
      </w:pPr>
      <w:r w:rsidRPr="00C2403A">
        <w:rPr>
          <w:rStyle w:val="FootnoteReference"/>
          <w:sz w:val="20"/>
          <w:szCs w:val="20"/>
        </w:rPr>
        <w:footnoteRef/>
      </w:r>
      <w:r w:rsidRPr="00C2403A">
        <w:rPr>
          <w:sz w:val="20"/>
          <w:szCs w:val="20"/>
        </w:rPr>
        <w:t xml:space="preserve"> </w:t>
      </w:r>
      <w:r w:rsidRPr="00C2403A">
        <w:rPr>
          <w:sz w:val="20"/>
          <w:szCs w:val="20"/>
          <w:vertAlign w:val="baseline"/>
          <w:lang w:val="en-US"/>
        </w:rPr>
        <w:t xml:space="preserve">Andrew Byrnes and Eleanor Bath, ‘Violence against women, the obligation of due diligence, and the Optional Protocol to the Convention on the Elimination of all Forms of Discrimination against Women- recent’ (2008) 8(3) </w:t>
      </w:r>
      <w:r>
        <w:rPr>
          <w:sz w:val="20"/>
          <w:szCs w:val="20"/>
          <w:vertAlign w:val="baseline"/>
          <w:lang w:val="en-US"/>
        </w:rPr>
        <w:t>HRL Rev</w:t>
      </w:r>
      <w:r w:rsidRPr="00C2403A">
        <w:rPr>
          <w:sz w:val="20"/>
          <w:szCs w:val="20"/>
          <w:vertAlign w:val="baseline"/>
          <w:lang w:val="en-US"/>
        </w:rPr>
        <w:t xml:space="preserve"> 517</w:t>
      </w:r>
    </w:p>
  </w:footnote>
  <w:footnote w:id="740">
    <w:p w14:paraId="38AB0783" w14:textId="77777777" w:rsidR="00431A55" w:rsidRPr="00C2403A" w:rsidRDefault="00431A55" w:rsidP="001C6724">
      <w:pPr>
        <w:pStyle w:val="FootnoteText"/>
        <w:rPr>
          <w:sz w:val="20"/>
          <w:szCs w:val="20"/>
          <w:vertAlign w:val="baseline"/>
          <w:lang w:val="en-US"/>
        </w:rPr>
      </w:pPr>
      <w:r w:rsidRPr="00C2403A">
        <w:rPr>
          <w:rStyle w:val="FootnoteReference"/>
          <w:sz w:val="20"/>
          <w:szCs w:val="20"/>
        </w:rPr>
        <w:footnoteRef/>
      </w:r>
      <w:r w:rsidRPr="00C2403A">
        <w:rPr>
          <w:sz w:val="20"/>
          <w:szCs w:val="20"/>
        </w:rPr>
        <w:t xml:space="preserve"> </w:t>
      </w:r>
      <w:r w:rsidRPr="00C2403A">
        <w:rPr>
          <w:sz w:val="20"/>
          <w:szCs w:val="20"/>
          <w:vertAlign w:val="baseline"/>
        </w:rPr>
        <w:t>Article 2 Optional Protocol to CEDAW, ‘</w:t>
      </w:r>
      <w:r w:rsidRPr="00C2403A">
        <w:rPr>
          <w:rFonts w:cs="Arial"/>
          <w:color w:val="000000"/>
          <w:sz w:val="20"/>
          <w:szCs w:val="20"/>
          <w:vertAlign w:val="baseline"/>
        </w:rPr>
        <w:t>Provides a Communications Procedure which allows either individuals or groups of individuals to submit individual complaints to the Committee. Communications may also be submitted on behalf of individuals or groups of individuals, with their consent, unless it can be shown why that consent was not received.’</w:t>
      </w:r>
    </w:p>
  </w:footnote>
  <w:footnote w:id="741">
    <w:p w14:paraId="144BF0DA" w14:textId="373012DB" w:rsidR="00431A55" w:rsidRPr="00C2403A" w:rsidRDefault="00431A55" w:rsidP="001C6724">
      <w:pPr>
        <w:pStyle w:val="FootnoteText"/>
        <w:rPr>
          <w:sz w:val="20"/>
          <w:szCs w:val="20"/>
          <w:vertAlign w:val="baseline"/>
          <w:lang w:val="en-US"/>
        </w:rPr>
      </w:pPr>
      <w:r w:rsidRPr="00C2403A">
        <w:rPr>
          <w:rStyle w:val="FootnoteReference"/>
          <w:sz w:val="20"/>
          <w:szCs w:val="20"/>
        </w:rPr>
        <w:footnoteRef/>
      </w:r>
      <w:r w:rsidRPr="00C2403A">
        <w:rPr>
          <w:sz w:val="20"/>
          <w:szCs w:val="20"/>
        </w:rPr>
        <w:t xml:space="preserve"> </w:t>
      </w:r>
      <w:r>
        <w:rPr>
          <w:sz w:val="20"/>
          <w:szCs w:val="20"/>
          <w:vertAlign w:val="baseline"/>
          <w:lang w:val="en-US"/>
        </w:rPr>
        <w:t xml:space="preserve">Saksena (n 710) </w:t>
      </w:r>
      <w:r w:rsidRPr="00C2403A">
        <w:rPr>
          <w:sz w:val="20"/>
          <w:szCs w:val="20"/>
          <w:vertAlign w:val="baseline"/>
          <w:lang w:val="en-US"/>
        </w:rPr>
        <w:t>489</w:t>
      </w:r>
    </w:p>
  </w:footnote>
  <w:footnote w:id="742">
    <w:p w14:paraId="4063A0E1" w14:textId="1FA957E5" w:rsidR="00431A55" w:rsidRPr="000A1AB4" w:rsidRDefault="00431A55" w:rsidP="0062084A">
      <w:pPr>
        <w:rPr>
          <w:rFonts w:ascii="Times New Roman" w:hAnsi="Times New Roman" w:cs="Times New Roman"/>
          <w:sz w:val="24"/>
          <w:szCs w:val="24"/>
          <w:vertAlign w:val="baseline"/>
        </w:rPr>
      </w:pPr>
      <w:r w:rsidRPr="00C2403A">
        <w:rPr>
          <w:rStyle w:val="FootnoteReference"/>
        </w:rPr>
        <w:footnoteRef/>
      </w:r>
      <w:r w:rsidRPr="00C2403A">
        <w:rPr>
          <w:vertAlign w:val="baseline"/>
        </w:rPr>
        <w:t xml:space="preserve"> </w:t>
      </w:r>
      <w:r>
        <w:rPr>
          <w:vertAlign w:val="baseline"/>
        </w:rPr>
        <w:t xml:space="preserve">Jim </w:t>
      </w:r>
      <w:r w:rsidRPr="000A1AB4">
        <w:rPr>
          <w:rFonts w:cs="Times New Roman"/>
          <w:vertAlign w:val="baseline"/>
        </w:rPr>
        <w:t>Murdoch, ‘Unfulfilled expectations: The Optional Protocol to CEDAW’ (2010) 1 EHRLR 26</w:t>
      </w:r>
      <w:r>
        <w:rPr>
          <w:vertAlign w:val="baseline"/>
          <w:lang w:val="en-US"/>
        </w:rPr>
        <w:t xml:space="preserve">; see </w:t>
      </w:r>
      <w:r>
        <w:rPr>
          <w:rFonts w:eastAsia="Times New Roman" w:cs="Times New Roman"/>
          <w:shd w:val="clear" w:color="auto" w:fill="FFFFFF"/>
          <w:vertAlign w:val="baseline"/>
        </w:rPr>
        <w:t xml:space="preserve">Simone Cusack and </w:t>
      </w:r>
      <w:r w:rsidRPr="0062084A">
        <w:rPr>
          <w:rFonts w:eastAsia="Times New Roman" w:cs="Times New Roman"/>
          <w:shd w:val="clear" w:color="auto" w:fill="FFFFFF"/>
          <w:vertAlign w:val="baseline"/>
        </w:rPr>
        <w:t>Lisa Pusey, </w:t>
      </w:r>
      <w:r>
        <w:rPr>
          <w:rFonts w:eastAsia="Times New Roman" w:cs="Times New Roman"/>
          <w:shd w:val="clear" w:color="auto" w:fill="FFFFFF"/>
          <w:vertAlign w:val="baseline"/>
        </w:rPr>
        <w:t>‘</w:t>
      </w:r>
      <w:r w:rsidRPr="0062084A">
        <w:rPr>
          <w:rFonts w:eastAsia="Times New Roman" w:cs="Times New Roman"/>
          <w:iCs/>
          <w:shd w:val="clear" w:color="auto" w:fill="FFFFFF"/>
          <w:vertAlign w:val="baseline"/>
        </w:rPr>
        <w:t>CEDAW and the Rights to Non-Discrimination and Equality</w:t>
      </w:r>
      <w:r>
        <w:rPr>
          <w:rFonts w:eastAsia="Times New Roman" w:cs="Times New Roman"/>
          <w:iCs/>
          <w:shd w:val="clear" w:color="auto" w:fill="FFFFFF"/>
          <w:vertAlign w:val="baseline"/>
        </w:rPr>
        <w:t>’ (2013)</w:t>
      </w:r>
      <w:r w:rsidRPr="0062084A">
        <w:rPr>
          <w:rFonts w:eastAsia="Times New Roman" w:cs="Times New Roman"/>
          <w:shd w:val="clear" w:color="auto" w:fill="FFFFFF"/>
          <w:vertAlign w:val="baseline"/>
        </w:rPr>
        <w:t xml:space="preserve"> 14</w:t>
      </w:r>
      <w:r>
        <w:rPr>
          <w:rFonts w:eastAsia="Times New Roman" w:cs="Times New Roman"/>
          <w:shd w:val="clear" w:color="auto" w:fill="FFFFFF"/>
          <w:vertAlign w:val="baseline"/>
        </w:rPr>
        <w:t>(1) Melb. J. Int'l L. 54</w:t>
      </w:r>
    </w:p>
  </w:footnote>
  <w:footnote w:id="743">
    <w:p w14:paraId="491FAEBB" w14:textId="01068846" w:rsidR="00431A55" w:rsidRPr="00C2403A" w:rsidRDefault="00431A55" w:rsidP="001C6724">
      <w:pPr>
        <w:pStyle w:val="FootnoteText"/>
        <w:rPr>
          <w:sz w:val="20"/>
          <w:szCs w:val="20"/>
          <w:vertAlign w:val="baseline"/>
          <w:lang w:val="en-US"/>
        </w:rPr>
      </w:pPr>
      <w:r w:rsidRPr="00C2403A">
        <w:rPr>
          <w:rStyle w:val="FootnoteReference"/>
          <w:sz w:val="20"/>
          <w:szCs w:val="20"/>
        </w:rPr>
        <w:footnoteRef/>
      </w:r>
      <w:r w:rsidRPr="00C2403A">
        <w:rPr>
          <w:sz w:val="20"/>
          <w:szCs w:val="20"/>
          <w:vertAlign w:val="baseline"/>
        </w:rPr>
        <w:t xml:space="preserve"> </w:t>
      </w:r>
      <w:r w:rsidRPr="00C2403A">
        <w:rPr>
          <w:sz w:val="20"/>
          <w:szCs w:val="20"/>
          <w:vertAlign w:val="baseline"/>
          <w:lang w:val="en-US"/>
        </w:rPr>
        <w:t>Edwards</w:t>
      </w:r>
      <w:r>
        <w:rPr>
          <w:sz w:val="20"/>
          <w:szCs w:val="20"/>
          <w:vertAlign w:val="baseline"/>
          <w:lang w:val="en-US"/>
        </w:rPr>
        <w:t xml:space="preserve"> (n 738) 125</w:t>
      </w:r>
    </w:p>
  </w:footnote>
  <w:footnote w:id="744">
    <w:p w14:paraId="5F7F115A" w14:textId="47FB3686" w:rsidR="00431A55" w:rsidRPr="001B5FC1" w:rsidRDefault="00431A55" w:rsidP="001C6724">
      <w:pPr>
        <w:rPr>
          <w:rFonts w:ascii="Times" w:eastAsia="Times New Roman" w:hAnsi="Times" w:cs="Times New Roman"/>
        </w:rPr>
      </w:pPr>
      <w:r w:rsidRPr="00C2403A">
        <w:rPr>
          <w:rStyle w:val="FootnoteReference"/>
        </w:rPr>
        <w:footnoteRef/>
      </w:r>
      <w:r w:rsidRPr="00C2403A">
        <w:t xml:space="preserve"> </w:t>
      </w:r>
      <w:r w:rsidRPr="00C2403A">
        <w:rPr>
          <w:vertAlign w:val="baseline"/>
        </w:rPr>
        <w:t xml:space="preserve">Article 10 states, ‘(1) </w:t>
      </w:r>
      <w:r w:rsidRPr="00C2403A">
        <w:rPr>
          <w:rFonts w:eastAsia="Times New Roman" w:cs="Times New Roman"/>
          <w:vertAlign w:val="baseline"/>
        </w:rPr>
        <w:t>Each State Party may, at the time of signature or ratification of the present Protocol or accession thereto, declare that it does not recognize the competence of the Committee provided for in articles 8 and 9. (2) Any State Party having made a declaration in accordance with paragraph 1 of the present article may, at any time, withdraw this declaration by notification to the Secretary-General</w:t>
      </w:r>
    </w:p>
  </w:footnote>
  <w:footnote w:id="745">
    <w:p w14:paraId="28C9863C" w14:textId="3C19E1E1" w:rsidR="00431A55" w:rsidRPr="00627E58" w:rsidRDefault="00431A55" w:rsidP="001C6724">
      <w:pPr>
        <w:pStyle w:val="FootnoteText"/>
        <w:rPr>
          <w:sz w:val="20"/>
          <w:szCs w:val="20"/>
          <w:vertAlign w:val="baseline"/>
          <w:lang w:val="en-US"/>
        </w:rPr>
      </w:pPr>
      <w:r w:rsidRPr="00627E58">
        <w:rPr>
          <w:rStyle w:val="FootnoteReference"/>
          <w:sz w:val="20"/>
          <w:szCs w:val="20"/>
        </w:rPr>
        <w:footnoteRef/>
      </w:r>
      <w:r w:rsidRPr="00627E58">
        <w:rPr>
          <w:sz w:val="20"/>
          <w:szCs w:val="20"/>
        </w:rPr>
        <w:t xml:space="preserve"> </w:t>
      </w:r>
      <w:r w:rsidRPr="00627E58">
        <w:rPr>
          <w:sz w:val="20"/>
          <w:szCs w:val="20"/>
          <w:vertAlign w:val="baseline"/>
          <w:lang w:val="en-US"/>
        </w:rPr>
        <w:t>Ghana signed the Optional Protocol on 24 February 2000 and</w:t>
      </w:r>
      <w:r>
        <w:rPr>
          <w:sz w:val="20"/>
          <w:szCs w:val="20"/>
          <w:vertAlign w:val="baseline"/>
          <w:lang w:val="en-US"/>
        </w:rPr>
        <w:t xml:space="preserve"> ratified it on 3 February 2011</w:t>
      </w:r>
    </w:p>
  </w:footnote>
  <w:footnote w:id="746">
    <w:p w14:paraId="562F6BC9" w14:textId="2149BC2D" w:rsidR="00431A55" w:rsidRPr="00627E58" w:rsidRDefault="00431A55" w:rsidP="001C6724">
      <w:pPr>
        <w:pStyle w:val="FootnoteText"/>
        <w:rPr>
          <w:sz w:val="20"/>
          <w:szCs w:val="20"/>
          <w:vertAlign w:val="baseline"/>
          <w:lang w:val="en-US"/>
        </w:rPr>
      </w:pPr>
      <w:r w:rsidRPr="00627E58">
        <w:rPr>
          <w:rStyle w:val="FootnoteReference"/>
          <w:sz w:val="20"/>
          <w:szCs w:val="20"/>
        </w:rPr>
        <w:footnoteRef/>
      </w:r>
      <w:r w:rsidRPr="00627E58">
        <w:rPr>
          <w:sz w:val="20"/>
          <w:szCs w:val="20"/>
        </w:rPr>
        <w:t xml:space="preserve"> </w:t>
      </w:r>
      <w:r w:rsidRPr="00627E58">
        <w:rPr>
          <w:sz w:val="20"/>
          <w:szCs w:val="20"/>
          <w:vertAlign w:val="baseline"/>
          <w:lang w:val="en-US"/>
        </w:rPr>
        <w:t xml:space="preserve">Nepal signed the Optional Protocol on 18 December 2001 </w:t>
      </w:r>
      <w:r>
        <w:rPr>
          <w:sz w:val="20"/>
          <w:szCs w:val="20"/>
          <w:vertAlign w:val="baseline"/>
          <w:lang w:val="en-US"/>
        </w:rPr>
        <w:t>and ratified it on 15 June 2007</w:t>
      </w:r>
    </w:p>
  </w:footnote>
  <w:footnote w:id="747">
    <w:p w14:paraId="1B4B30CD" w14:textId="436ED58C" w:rsidR="00431A55" w:rsidRPr="004273E2" w:rsidRDefault="00431A55">
      <w:pPr>
        <w:pStyle w:val="FootnoteText"/>
        <w:rPr>
          <w:sz w:val="20"/>
          <w:szCs w:val="20"/>
          <w:vertAlign w:val="baseline"/>
          <w:lang w:val="en-US"/>
        </w:rPr>
      </w:pPr>
      <w:r w:rsidRPr="004273E2">
        <w:rPr>
          <w:rStyle w:val="FootnoteReference"/>
          <w:sz w:val="20"/>
          <w:szCs w:val="20"/>
        </w:rPr>
        <w:footnoteRef/>
      </w:r>
      <w:r w:rsidRPr="004273E2">
        <w:rPr>
          <w:sz w:val="20"/>
          <w:szCs w:val="20"/>
        </w:rPr>
        <w:t xml:space="preserve"> </w:t>
      </w:r>
      <w:r>
        <w:rPr>
          <w:sz w:val="20"/>
          <w:szCs w:val="20"/>
          <w:vertAlign w:val="baseline"/>
        </w:rPr>
        <w:t xml:space="preserve"> See Fig.1, 172</w:t>
      </w:r>
    </w:p>
  </w:footnote>
  <w:footnote w:id="748">
    <w:p w14:paraId="7446DC80" w14:textId="77777777" w:rsidR="00431A55" w:rsidRPr="00627E58" w:rsidRDefault="00431A55" w:rsidP="001C6724">
      <w:pPr>
        <w:pStyle w:val="FootnoteText"/>
        <w:rPr>
          <w:sz w:val="20"/>
          <w:szCs w:val="20"/>
          <w:vertAlign w:val="baseline"/>
          <w:lang w:val="en-US"/>
        </w:rPr>
      </w:pPr>
      <w:r w:rsidRPr="00627E58">
        <w:rPr>
          <w:rStyle w:val="FootnoteReference"/>
          <w:sz w:val="20"/>
          <w:szCs w:val="20"/>
        </w:rPr>
        <w:footnoteRef/>
      </w:r>
      <w:r w:rsidRPr="00627E58">
        <w:rPr>
          <w:sz w:val="20"/>
          <w:szCs w:val="20"/>
        </w:rPr>
        <w:t xml:space="preserve"> </w:t>
      </w:r>
      <w:r w:rsidRPr="00627E58">
        <w:rPr>
          <w:sz w:val="20"/>
          <w:szCs w:val="20"/>
          <w:vertAlign w:val="baseline"/>
          <w:lang w:val="en-US"/>
        </w:rPr>
        <w:t>UN Division on the Advancement of Women, ‘Committee on the Elimination of Discrimination against Women’ &lt;</w:t>
      </w:r>
      <w:hyperlink r:id="rId105" w:history="1">
        <w:r w:rsidRPr="00627E58">
          <w:rPr>
            <w:rStyle w:val="Hyperlink"/>
            <w:sz w:val="20"/>
            <w:szCs w:val="20"/>
            <w:vertAlign w:val="baseline"/>
            <w:lang w:val="en-US"/>
          </w:rPr>
          <w:t>http://www.un.org/womenwatch/daw/cedaw/committee.htm</w:t>
        </w:r>
      </w:hyperlink>
      <w:r w:rsidRPr="00627E58">
        <w:rPr>
          <w:sz w:val="20"/>
          <w:szCs w:val="20"/>
          <w:vertAlign w:val="baseline"/>
          <w:lang w:val="en-US"/>
        </w:rPr>
        <w:t>&gt; accessed 15 June 2015</w:t>
      </w:r>
    </w:p>
  </w:footnote>
  <w:footnote w:id="749">
    <w:p w14:paraId="5D861C93" w14:textId="6E5BEA66" w:rsidR="00431A55" w:rsidRPr="00627E58" w:rsidRDefault="00431A55" w:rsidP="001C6724">
      <w:pPr>
        <w:pStyle w:val="FootnoteText"/>
        <w:rPr>
          <w:sz w:val="20"/>
          <w:szCs w:val="20"/>
          <w:vertAlign w:val="baseline"/>
          <w:lang w:val="en-US"/>
        </w:rPr>
      </w:pPr>
      <w:r w:rsidRPr="00627E58">
        <w:rPr>
          <w:rStyle w:val="FootnoteReference"/>
          <w:sz w:val="20"/>
          <w:szCs w:val="20"/>
        </w:rPr>
        <w:footnoteRef/>
      </w:r>
      <w:r w:rsidRPr="00627E58">
        <w:rPr>
          <w:sz w:val="20"/>
          <w:szCs w:val="20"/>
        </w:rPr>
        <w:t xml:space="preserve"> </w:t>
      </w:r>
      <w:r w:rsidRPr="00627E58">
        <w:rPr>
          <w:sz w:val="20"/>
          <w:szCs w:val="20"/>
          <w:vertAlign w:val="baseline"/>
          <w:lang w:val="en-US"/>
        </w:rPr>
        <w:t>Other human rights bodies meet specificall</w:t>
      </w:r>
      <w:r>
        <w:rPr>
          <w:sz w:val="20"/>
          <w:szCs w:val="20"/>
          <w:vertAlign w:val="baseline"/>
          <w:lang w:val="en-US"/>
        </w:rPr>
        <w:t>y between 3 to 9 weeks annually</w:t>
      </w:r>
    </w:p>
  </w:footnote>
  <w:footnote w:id="750">
    <w:p w14:paraId="7D0319D3" w14:textId="6EF02950" w:rsidR="00431A55" w:rsidRPr="00627E58" w:rsidRDefault="00431A55" w:rsidP="001C6724">
      <w:pPr>
        <w:pStyle w:val="FootnoteText"/>
        <w:rPr>
          <w:sz w:val="20"/>
          <w:szCs w:val="20"/>
          <w:vertAlign w:val="baseline"/>
          <w:lang w:val="en-US"/>
        </w:rPr>
      </w:pPr>
      <w:r w:rsidRPr="00627E58">
        <w:rPr>
          <w:rStyle w:val="FootnoteReference"/>
          <w:sz w:val="20"/>
          <w:szCs w:val="20"/>
        </w:rPr>
        <w:footnoteRef/>
      </w:r>
      <w:r w:rsidRPr="00627E58">
        <w:rPr>
          <w:sz w:val="20"/>
          <w:szCs w:val="20"/>
        </w:rPr>
        <w:t xml:space="preserve"> </w:t>
      </w:r>
      <w:r w:rsidRPr="00627E58">
        <w:rPr>
          <w:sz w:val="20"/>
          <w:szCs w:val="20"/>
          <w:vertAlign w:val="baseline"/>
          <w:lang w:val="en-US"/>
        </w:rPr>
        <w:t>Bayefsky</w:t>
      </w:r>
      <w:r>
        <w:rPr>
          <w:sz w:val="20"/>
          <w:szCs w:val="20"/>
          <w:vertAlign w:val="baseline"/>
          <w:lang w:val="en-US"/>
        </w:rPr>
        <w:t xml:space="preserve"> (n 729) </w:t>
      </w:r>
      <w:r w:rsidRPr="00627E58">
        <w:rPr>
          <w:sz w:val="20"/>
          <w:szCs w:val="20"/>
          <w:vertAlign w:val="baseline"/>
          <w:lang w:val="en-US"/>
        </w:rPr>
        <w:t>352</w:t>
      </w:r>
    </w:p>
  </w:footnote>
  <w:footnote w:id="751">
    <w:p w14:paraId="7B02BF77" w14:textId="77777777" w:rsidR="00431A55" w:rsidRPr="007C7659" w:rsidRDefault="00431A55" w:rsidP="001C6724">
      <w:pPr>
        <w:pStyle w:val="NoSpacing"/>
      </w:pPr>
      <w:r w:rsidRPr="00627E58">
        <w:rPr>
          <w:rStyle w:val="FootnoteReference"/>
        </w:rPr>
        <w:footnoteRef/>
      </w:r>
      <w:r w:rsidRPr="00627E58">
        <w:t xml:space="preserve"> </w:t>
      </w:r>
      <w:r w:rsidRPr="00627E58">
        <w:rPr>
          <w:vertAlign w:val="baseline"/>
        </w:rPr>
        <w:t>United Nations, ‘Overview of the human rights treaty body system and working methods related to the review of States parties’ 12 April 2013, HRI/MC/2013/2, 9</w:t>
      </w:r>
    </w:p>
  </w:footnote>
  <w:footnote w:id="752">
    <w:p w14:paraId="33783656" w14:textId="26620559" w:rsidR="00431A55" w:rsidRPr="00DB1740" w:rsidRDefault="00431A55" w:rsidP="001C6724">
      <w:pPr>
        <w:pStyle w:val="FootnoteText"/>
        <w:rPr>
          <w:sz w:val="20"/>
          <w:szCs w:val="20"/>
          <w:vertAlign w:val="baseline"/>
          <w:lang w:val="en-US"/>
        </w:rPr>
      </w:pPr>
      <w:r w:rsidRPr="00DB1740">
        <w:rPr>
          <w:rStyle w:val="FootnoteReference"/>
          <w:sz w:val="20"/>
          <w:szCs w:val="20"/>
        </w:rPr>
        <w:footnoteRef/>
      </w:r>
      <w:r w:rsidRPr="00DB1740">
        <w:rPr>
          <w:sz w:val="20"/>
          <w:szCs w:val="20"/>
          <w:vertAlign w:val="baseline"/>
        </w:rPr>
        <w:t xml:space="preserve"> </w:t>
      </w:r>
      <w:r w:rsidRPr="00DB1740">
        <w:rPr>
          <w:sz w:val="20"/>
          <w:szCs w:val="20"/>
          <w:vertAlign w:val="baseline"/>
          <w:lang w:val="en-US"/>
        </w:rPr>
        <w:t>UN Division on the Advancement of Women</w:t>
      </w:r>
      <w:r>
        <w:rPr>
          <w:sz w:val="20"/>
          <w:szCs w:val="20"/>
          <w:vertAlign w:val="baseline"/>
          <w:lang w:val="en-US"/>
        </w:rPr>
        <w:t xml:space="preserve"> (n 735)</w:t>
      </w:r>
    </w:p>
  </w:footnote>
  <w:footnote w:id="753">
    <w:p w14:paraId="25C94FB2" w14:textId="77777777" w:rsidR="00431A55" w:rsidRPr="00DB1740" w:rsidRDefault="00431A55" w:rsidP="001C6724">
      <w:pPr>
        <w:pStyle w:val="FootnoteText"/>
        <w:rPr>
          <w:sz w:val="20"/>
          <w:szCs w:val="20"/>
          <w:vertAlign w:val="baseline"/>
          <w:lang w:val="en-US"/>
        </w:rPr>
      </w:pPr>
      <w:r w:rsidRPr="00DB1740">
        <w:rPr>
          <w:rStyle w:val="FootnoteReference"/>
          <w:sz w:val="20"/>
          <w:szCs w:val="20"/>
        </w:rPr>
        <w:footnoteRef/>
      </w:r>
      <w:r w:rsidRPr="00DB1740">
        <w:rPr>
          <w:sz w:val="20"/>
          <w:szCs w:val="20"/>
          <w:vertAlign w:val="baseline"/>
        </w:rPr>
        <w:t xml:space="preserve"> Article 7(5) OP-CEDAW; </w:t>
      </w:r>
      <w:r w:rsidRPr="00DB1740">
        <w:rPr>
          <w:rFonts w:eastAsia="Times New Roman" w:cs="Arial"/>
          <w:sz w:val="20"/>
          <w:szCs w:val="20"/>
          <w:shd w:val="clear" w:color="auto" w:fill="FFFFFF"/>
          <w:vertAlign w:val="baseline"/>
        </w:rPr>
        <w:t>Gudmundur Alfredsson, Jonas Grimheden and Bertrand G. Ramcharan, ‘</w:t>
      </w:r>
      <w:r w:rsidRPr="00DB1740">
        <w:rPr>
          <w:rStyle w:val="fn"/>
          <w:rFonts w:eastAsia="Times New Roman" w:cs="Arial"/>
          <w:i/>
          <w:color w:val="333333"/>
          <w:sz w:val="20"/>
          <w:szCs w:val="20"/>
          <w:vertAlign w:val="baseline"/>
        </w:rPr>
        <w:t>International Human Rights Monitoring Mechanisms</w:t>
      </w:r>
      <w:r w:rsidRPr="00DB1740">
        <w:rPr>
          <w:i/>
          <w:sz w:val="20"/>
          <w:szCs w:val="20"/>
          <w:vertAlign w:val="baseline"/>
        </w:rPr>
        <w:t>:</w:t>
      </w:r>
      <w:r w:rsidRPr="00DB1740">
        <w:rPr>
          <w:rStyle w:val="apple-converted-space"/>
          <w:rFonts w:eastAsia="Times New Roman" w:cs="Arial"/>
          <w:i/>
          <w:color w:val="333333"/>
          <w:sz w:val="20"/>
          <w:szCs w:val="20"/>
          <w:vertAlign w:val="baseline"/>
        </w:rPr>
        <w:t> </w:t>
      </w:r>
      <w:r w:rsidRPr="00DB1740">
        <w:rPr>
          <w:rStyle w:val="subtitle1"/>
          <w:rFonts w:eastAsia="Times New Roman" w:cs="Arial"/>
          <w:bCs/>
          <w:i/>
          <w:color w:val="333333"/>
          <w:sz w:val="20"/>
          <w:szCs w:val="20"/>
          <w:vertAlign w:val="baseline"/>
        </w:rPr>
        <w:t xml:space="preserve">Essays in Honour of Jakob Th. Möller’ </w:t>
      </w:r>
      <w:r w:rsidRPr="00DB1740">
        <w:rPr>
          <w:rStyle w:val="subtitle1"/>
          <w:rFonts w:eastAsia="Times New Roman" w:cs="Arial"/>
          <w:bCs/>
          <w:color w:val="333333"/>
          <w:sz w:val="20"/>
          <w:szCs w:val="20"/>
          <w:vertAlign w:val="baseline"/>
        </w:rPr>
        <w:t>(Martinus Nijhoff Publishers 2009) 93</w:t>
      </w:r>
    </w:p>
  </w:footnote>
  <w:footnote w:id="754">
    <w:p w14:paraId="370319F6" w14:textId="77777777" w:rsidR="00431A55" w:rsidRPr="00DB1740" w:rsidRDefault="00431A55" w:rsidP="001C6724">
      <w:pPr>
        <w:pStyle w:val="FootnoteText"/>
        <w:rPr>
          <w:sz w:val="20"/>
          <w:szCs w:val="20"/>
          <w:vertAlign w:val="baseline"/>
          <w:lang w:val="en-US"/>
        </w:rPr>
      </w:pPr>
      <w:r w:rsidRPr="00DB1740">
        <w:rPr>
          <w:rStyle w:val="FootnoteReference"/>
          <w:sz w:val="20"/>
          <w:szCs w:val="20"/>
        </w:rPr>
        <w:footnoteRef/>
      </w:r>
      <w:r w:rsidRPr="00DB1740">
        <w:rPr>
          <w:sz w:val="20"/>
          <w:szCs w:val="20"/>
        </w:rPr>
        <w:t xml:space="preserve"> </w:t>
      </w:r>
      <w:r w:rsidRPr="00DB1740">
        <w:rPr>
          <w:sz w:val="20"/>
          <w:szCs w:val="20"/>
          <w:vertAlign w:val="baseline"/>
          <w:lang w:val="en-US"/>
        </w:rPr>
        <w:t xml:space="preserve">Anita M Weiss, ‘Interpreting Islam and Women’s Rights’ (2003) 18 International Sociology 588 </w:t>
      </w:r>
    </w:p>
  </w:footnote>
  <w:footnote w:id="755">
    <w:p w14:paraId="0D07B1FC" w14:textId="284BFF5A" w:rsidR="00431A55" w:rsidRPr="00DB1740" w:rsidRDefault="00431A55" w:rsidP="001C6724">
      <w:pPr>
        <w:pStyle w:val="FootnoteText"/>
        <w:rPr>
          <w:sz w:val="20"/>
          <w:szCs w:val="20"/>
          <w:lang w:val="en-US"/>
        </w:rPr>
      </w:pPr>
      <w:r w:rsidRPr="00DB1740">
        <w:rPr>
          <w:rStyle w:val="FootnoteReference"/>
          <w:sz w:val="20"/>
          <w:szCs w:val="20"/>
        </w:rPr>
        <w:footnoteRef/>
      </w:r>
      <w:r w:rsidRPr="00DB1740">
        <w:rPr>
          <w:sz w:val="20"/>
          <w:szCs w:val="20"/>
        </w:rPr>
        <w:t xml:space="preserve"> </w:t>
      </w:r>
      <w:r w:rsidRPr="00DB1740">
        <w:rPr>
          <w:sz w:val="20"/>
          <w:szCs w:val="20"/>
          <w:vertAlign w:val="baseline"/>
          <w:lang w:val="en-US"/>
        </w:rPr>
        <w:t>Bayefsky</w:t>
      </w:r>
      <w:r>
        <w:rPr>
          <w:sz w:val="20"/>
          <w:szCs w:val="20"/>
          <w:vertAlign w:val="baseline"/>
          <w:lang w:val="en-US"/>
        </w:rPr>
        <w:t xml:space="preserve"> (n 729) </w:t>
      </w:r>
      <w:r w:rsidRPr="00F625A6">
        <w:rPr>
          <w:sz w:val="20"/>
          <w:szCs w:val="20"/>
          <w:vertAlign w:val="baseline"/>
          <w:lang w:val="en-US"/>
        </w:rPr>
        <w:t>352</w:t>
      </w:r>
    </w:p>
  </w:footnote>
  <w:footnote w:id="756">
    <w:p w14:paraId="7B43CC30" w14:textId="6621A76D" w:rsidR="00431A55" w:rsidRPr="00341D32" w:rsidRDefault="00431A55" w:rsidP="00341D32">
      <w:pPr>
        <w:rPr>
          <w:rFonts w:ascii="Times New Roman" w:hAnsi="Times New Roman" w:cs="Times New Roman"/>
          <w:sz w:val="24"/>
          <w:szCs w:val="24"/>
          <w:vertAlign w:val="baseline"/>
        </w:rPr>
      </w:pPr>
      <w:r w:rsidRPr="00DB1740">
        <w:rPr>
          <w:rStyle w:val="FootnoteReference"/>
        </w:rPr>
        <w:footnoteRef/>
      </w:r>
      <w:r w:rsidRPr="00DB1740">
        <w:rPr>
          <w:vertAlign w:val="baseline"/>
        </w:rPr>
        <w:t xml:space="preserve"> </w:t>
      </w:r>
      <w:r>
        <w:rPr>
          <w:vertAlign w:val="baseline"/>
        </w:rPr>
        <w:t xml:space="preserve">Hanna Beate </w:t>
      </w:r>
      <w:r w:rsidRPr="00341D32">
        <w:rPr>
          <w:rFonts w:cs="Times New Roman"/>
          <w:vertAlign w:val="baseline"/>
        </w:rPr>
        <w:t xml:space="preserve">Schopp-Schilling, ‘Treaty body of reform: the case of the Committee on the Elimination of Discrimination against Women,’ (2007) 7(1) HRLR </w:t>
      </w:r>
      <w:r w:rsidRPr="00DB1740">
        <w:rPr>
          <w:vertAlign w:val="baseline"/>
          <w:lang w:val="en-US"/>
        </w:rPr>
        <w:t>203</w:t>
      </w:r>
    </w:p>
  </w:footnote>
  <w:footnote w:id="757">
    <w:p w14:paraId="72FD3DC1" w14:textId="77777777" w:rsidR="00431A55" w:rsidRPr="00712999" w:rsidRDefault="00431A55" w:rsidP="001C6724">
      <w:pPr>
        <w:shd w:val="clear" w:color="auto" w:fill="FFFFFF"/>
        <w:jc w:val="both"/>
        <w:rPr>
          <w:rFonts w:eastAsia="Times New Roman" w:cs="Arial"/>
          <w:color w:val="000000"/>
          <w:sz w:val="24"/>
          <w:szCs w:val="24"/>
        </w:rPr>
      </w:pPr>
      <w:r w:rsidRPr="00AF5F4D">
        <w:rPr>
          <w:rStyle w:val="FootnoteReference"/>
        </w:rPr>
        <w:footnoteRef/>
      </w:r>
      <w:r w:rsidRPr="00AF5F4D">
        <w:t xml:space="preserve"> </w:t>
      </w:r>
      <w:r w:rsidRPr="00DB1740">
        <w:rPr>
          <w:vertAlign w:val="baseline"/>
        </w:rPr>
        <w:t>Article 21 (</w:t>
      </w:r>
      <w:r w:rsidRPr="00DB1740">
        <w:rPr>
          <w:rFonts w:eastAsia="Times New Roman" w:cs="Arial"/>
          <w:color w:val="000000"/>
          <w:vertAlign w:val="baseline"/>
        </w:rPr>
        <w:t xml:space="preserve">1) The Committee shall, through the Economic and Social Council, report annually to the General Assembly of the United Nations on its activities and may make suggestions and general recommendations based on the examination of reports and information received from the States Parties. Such suggestions and general recommendations shall be included in the report of the Committee together with comments, if any, from States Parties. </w:t>
      </w:r>
      <w:r w:rsidRPr="00DB1740">
        <w:rPr>
          <w:rFonts w:cs="Arial"/>
          <w:color w:val="000000"/>
          <w:vertAlign w:val="baseline"/>
        </w:rPr>
        <w:t>(2) The Secretary-General of the United Nations shall transmit the reports of the Committee to the Commission on the Status of Women for its information.</w:t>
      </w:r>
    </w:p>
  </w:footnote>
  <w:footnote w:id="758">
    <w:p w14:paraId="7836F9BD" w14:textId="77777777" w:rsidR="00431A55" w:rsidRPr="00157262" w:rsidRDefault="00431A55" w:rsidP="001C6724">
      <w:pPr>
        <w:pStyle w:val="FootnoteText"/>
        <w:rPr>
          <w:sz w:val="20"/>
          <w:szCs w:val="20"/>
          <w:vertAlign w:val="baseline"/>
          <w:lang w:val="en-US"/>
        </w:rPr>
      </w:pPr>
      <w:r w:rsidRPr="00157262">
        <w:rPr>
          <w:rStyle w:val="FootnoteReference"/>
          <w:sz w:val="20"/>
          <w:szCs w:val="20"/>
        </w:rPr>
        <w:footnoteRef/>
      </w:r>
      <w:r w:rsidRPr="00157262">
        <w:rPr>
          <w:sz w:val="20"/>
          <w:szCs w:val="20"/>
          <w:vertAlign w:val="baseline"/>
        </w:rPr>
        <w:t xml:space="preserve"> Elizabeth Willmott Harrop, ‘ Has International Human Rights Law failed Women’ (2004) Liberty and Humanity 3</w:t>
      </w:r>
    </w:p>
  </w:footnote>
  <w:footnote w:id="759">
    <w:p w14:paraId="7017C5C3" w14:textId="7AD67F3B" w:rsidR="00431A55" w:rsidRPr="00157262" w:rsidRDefault="00431A55" w:rsidP="001C6724">
      <w:pPr>
        <w:pStyle w:val="FootnoteText"/>
        <w:rPr>
          <w:sz w:val="20"/>
          <w:szCs w:val="20"/>
          <w:vertAlign w:val="baseline"/>
          <w:lang w:val="en-US"/>
        </w:rPr>
      </w:pPr>
      <w:r w:rsidRPr="00157262">
        <w:rPr>
          <w:rStyle w:val="FootnoteReference"/>
          <w:sz w:val="20"/>
          <w:szCs w:val="20"/>
        </w:rPr>
        <w:footnoteRef/>
      </w:r>
      <w:r w:rsidRPr="00157262">
        <w:rPr>
          <w:sz w:val="20"/>
          <w:szCs w:val="20"/>
          <w:vertAlign w:val="baseline"/>
        </w:rPr>
        <w:t xml:space="preserve"> CE</w:t>
      </w:r>
      <w:r>
        <w:rPr>
          <w:sz w:val="20"/>
          <w:szCs w:val="20"/>
          <w:vertAlign w:val="baseline"/>
        </w:rPr>
        <w:t>DAW Committee, ‘</w:t>
      </w:r>
      <w:r w:rsidRPr="00157262">
        <w:rPr>
          <w:sz w:val="20"/>
          <w:szCs w:val="20"/>
          <w:vertAlign w:val="baseline"/>
        </w:rPr>
        <w:t>Combined fourth and fifth periodic reports of States parties: Nepal’ 9 November 2010 CEDAW/C/NPL/4-5</w:t>
      </w:r>
    </w:p>
  </w:footnote>
  <w:footnote w:id="760">
    <w:p w14:paraId="5B0ABEA7" w14:textId="0E808D4D" w:rsidR="00431A55" w:rsidRPr="00157262" w:rsidRDefault="00431A55" w:rsidP="001C6724">
      <w:pPr>
        <w:pStyle w:val="FootnoteText"/>
        <w:rPr>
          <w:sz w:val="20"/>
          <w:szCs w:val="20"/>
          <w:vertAlign w:val="baseline"/>
          <w:lang w:val="en-US"/>
        </w:rPr>
      </w:pPr>
      <w:r w:rsidRPr="00157262">
        <w:rPr>
          <w:rStyle w:val="FootnoteReference"/>
          <w:sz w:val="20"/>
          <w:szCs w:val="20"/>
        </w:rPr>
        <w:footnoteRef/>
      </w:r>
      <w:r w:rsidRPr="00157262">
        <w:rPr>
          <w:sz w:val="20"/>
          <w:szCs w:val="20"/>
          <w:vertAlign w:val="baseline"/>
        </w:rPr>
        <w:t xml:space="preserve"> </w:t>
      </w:r>
      <w:r>
        <w:rPr>
          <w:sz w:val="20"/>
          <w:szCs w:val="20"/>
          <w:vertAlign w:val="baseline"/>
        </w:rPr>
        <w:t>ibid</w:t>
      </w:r>
      <w:r w:rsidRPr="00157262">
        <w:rPr>
          <w:sz w:val="20"/>
          <w:szCs w:val="20"/>
          <w:vertAlign w:val="baseline"/>
        </w:rPr>
        <w:t>, para 50</w:t>
      </w:r>
    </w:p>
  </w:footnote>
  <w:footnote w:id="761">
    <w:p w14:paraId="4640ED66" w14:textId="08360025" w:rsidR="00431A55" w:rsidRPr="00157262" w:rsidRDefault="00431A55" w:rsidP="001C6724">
      <w:pPr>
        <w:pStyle w:val="FootnoteText"/>
        <w:rPr>
          <w:sz w:val="20"/>
          <w:szCs w:val="20"/>
          <w:vertAlign w:val="baseline"/>
          <w:lang w:val="en-US"/>
        </w:rPr>
      </w:pPr>
      <w:r w:rsidRPr="00157262">
        <w:rPr>
          <w:rStyle w:val="FootnoteReference"/>
          <w:sz w:val="20"/>
          <w:szCs w:val="20"/>
        </w:rPr>
        <w:footnoteRef/>
      </w:r>
      <w:r w:rsidRPr="00157262">
        <w:rPr>
          <w:sz w:val="20"/>
          <w:szCs w:val="20"/>
        </w:rPr>
        <w:t xml:space="preserve"> </w:t>
      </w:r>
      <w:r>
        <w:rPr>
          <w:sz w:val="20"/>
          <w:szCs w:val="20"/>
          <w:vertAlign w:val="baseline"/>
        </w:rPr>
        <w:t>ibid,</w:t>
      </w:r>
      <w:r w:rsidRPr="00157262">
        <w:rPr>
          <w:sz w:val="20"/>
          <w:szCs w:val="20"/>
          <w:vertAlign w:val="baseline"/>
        </w:rPr>
        <w:t xml:space="preserve"> para 69</w:t>
      </w:r>
    </w:p>
  </w:footnote>
  <w:footnote w:id="762">
    <w:p w14:paraId="43E04F00" w14:textId="41814450" w:rsidR="00431A55" w:rsidRPr="00157262" w:rsidRDefault="00431A55" w:rsidP="001C6724">
      <w:pPr>
        <w:pStyle w:val="FootnoteText"/>
        <w:rPr>
          <w:sz w:val="20"/>
          <w:szCs w:val="20"/>
          <w:vertAlign w:val="baseline"/>
          <w:lang w:val="en-US"/>
        </w:rPr>
      </w:pPr>
      <w:r w:rsidRPr="00157262">
        <w:rPr>
          <w:rStyle w:val="FootnoteReference"/>
          <w:sz w:val="20"/>
          <w:szCs w:val="20"/>
        </w:rPr>
        <w:footnoteRef/>
      </w:r>
      <w:r w:rsidRPr="00157262">
        <w:rPr>
          <w:sz w:val="20"/>
          <w:szCs w:val="20"/>
          <w:vertAlign w:val="baseline"/>
        </w:rPr>
        <w:t xml:space="preserve"> (</w:t>
      </w:r>
      <w:r w:rsidRPr="00157262">
        <w:rPr>
          <w:sz w:val="20"/>
          <w:szCs w:val="20"/>
          <w:vertAlign w:val="baseline"/>
          <w:lang w:val="en-US"/>
        </w:rPr>
        <w:t>10 August 2004) 12 SCB</w:t>
      </w:r>
    </w:p>
  </w:footnote>
  <w:footnote w:id="763">
    <w:p w14:paraId="0F4390E3" w14:textId="664E7D7E" w:rsidR="00431A55" w:rsidRPr="009D0C36" w:rsidRDefault="00431A55" w:rsidP="001C6724">
      <w:pPr>
        <w:pStyle w:val="FootnoteText"/>
        <w:rPr>
          <w:lang w:val="en-US"/>
        </w:rPr>
      </w:pPr>
      <w:r w:rsidRPr="00157262">
        <w:rPr>
          <w:rStyle w:val="FootnoteReference"/>
          <w:sz w:val="20"/>
          <w:szCs w:val="20"/>
        </w:rPr>
        <w:footnoteRef/>
      </w:r>
      <w:r w:rsidRPr="00157262">
        <w:rPr>
          <w:sz w:val="20"/>
          <w:szCs w:val="20"/>
        </w:rPr>
        <w:t xml:space="preserve"> </w:t>
      </w:r>
      <w:r w:rsidRPr="00157262">
        <w:rPr>
          <w:sz w:val="20"/>
          <w:szCs w:val="20"/>
          <w:vertAlign w:val="baseline"/>
        </w:rPr>
        <w:t>CE</w:t>
      </w:r>
      <w:r>
        <w:rPr>
          <w:sz w:val="20"/>
          <w:szCs w:val="20"/>
          <w:vertAlign w:val="baseline"/>
        </w:rPr>
        <w:t>DAW Committee, ‘</w:t>
      </w:r>
      <w:r w:rsidRPr="00157262">
        <w:rPr>
          <w:sz w:val="20"/>
          <w:szCs w:val="20"/>
          <w:vertAlign w:val="baseline"/>
        </w:rPr>
        <w:t>Combined fourth and fifth periodic rep</w:t>
      </w:r>
      <w:r>
        <w:rPr>
          <w:sz w:val="20"/>
          <w:szCs w:val="20"/>
          <w:vertAlign w:val="baseline"/>
        </w:rPr>
        <w:t xml:space="preserve">orts of Nepal’ (n 746) </w:t>
      </w:r>
      <w:r w:rsidRPr="00157262">
        <w:rPr>
          <w:sz w:val="20"/>
          <w:szCs w:val="20"/>
          <w:vertAlign w:val="baseline"/>
        </w:rPr>
        <w:t>para 73</w:t>
      </w:r>
    </w:p>
  </w:footnote>
  <w:footnote w:id="764">
    <w:p w14:paraId="2E1A1ECC" w14:textId="4A747686" w:rsidR="00431A55" w:rsidRPr="00F10F3A" w:rsidRDefault="00431A55" w:rsidP="001C6724">
      <w:pPr>
        <w:pStyle w:val="FootnoteText"/>
        <w:rPr>
          <w:sz w:val="20"/>
          <w:szCs w:val="20"/>
          <w:vertAlign w:val="baseline"/>
          <w:lang w:val="en-US"/>
        </w:rPr>
      </w:pPr>
      <w:r w:rsidRPr="00F10F3A">
        <w:rPr>
          <w:rStyle w:val="FootnoteReference"/>
          <w:sz w:val="20"/>
          <w:szCs w:val="20"/>
        </w:rPr>
        <w:footnoteRef/>
      </w:r>
      <w:r w:rsidRPr="00F10F3A">
        <w:rPr>
          <w:sz w:val="20"/>
          <w:szCs w:val="20"/>
          <w:vertAlign w:val="baseline"/>
        </w:rPr>
        <w:t xml:space="preserve"> </w:t>
      </w:r>
      <w:r>
        <w:rPr>
          <w:sz w:val="20"/>
          <w:szCs w:val="20"/>
          <w:vertAlign w:val="baseline"/>
        </w:rPr>
        <w:t>ibid. The effectiveness of this will be considered in the next chapter.</w:t>
      </w:r>
    </w:p>
  </w:footnote>
  <w:footnote w:id="765">
    <w:p w14:paraId="3B1C32C7" w14:textId="60D1528D" w:rsidR="00431A55" w:rsidRPr="00F10F3A" w:rsidRDefault="00431A55" w:rsidP="001C6724">
      <w:pPr>
        <w:pStyle w:val="FootnoteText"/>
        <w:rPr>
          <w:sz w:val="20"/>
          <w:szCs w:val="20"/>
          <w:vertAlign w:val="baseline"/>
          <w:lang w:val="en-US"/>
        </w:rPr>
      </w:pPr>
      <w:r w:rsidRPr="00F10F3A">
        <w:rPr>
          <w:rStyle w:val="FootnoteReference"/>
          <w:sz w:val="20"/>
          <w:szCs w:val="20"/>
        </w:rPr>
        <w:footnoteRef/>
      </w:r>
      <w:r w:rsidRPr="00F10F3A">
        <w:rPr>
          <w:sz w:val="20"/>
          <w:szCs w:val="20"/>
          <w:vertAlign w:val="baseline"/>
        </w:rPr>
        <w:t xml:space="preserve"> </w:t>
      </w:r>
      <w:r>
        <w:rPr>
          <w:sz w:val="20"/>
          <w:szCs w:val="20"/>
          <w:vertAlign w:val="baseline"/>
        </w:rPr>
        <w:t>ibid</w:t>
      </w:r>
      <w:r w:rsidRPr="00F10F3A">
        <w:rPr>
          <w:sz w:val="20"/>
          <w:szCs w:val="20"/>
          <w:vertAlign w:val="baseline"/>
        </w:rPr>
        <w:t>, para 221</w:t>
      </w:r>
    </w:p>
  </w:footnote>
  <w:footnote w:id="766">
    <w:p w14:paraId="43D4DEC0" w14:textId="77777777" w:rsidR="00431A55" w:rsidRPr="00F10F3A" w:rsidRDefault="00431A55" w:rsidP="001C6724">
      <w:pPr>
        <w:pStyle w:val="FootnoteText"/>
        <w:rPr>
          <w:sz w:val="20"/>
          <w:szCs w:val="20"/>
          <w:vertAlign w:val="baseline"/>
          <w:lang w:val="en-US"/>
        </w:rPr>
      </w:pPr>
      <w:r w:rsidRPr="00F10F3A">
        <w:rPr>
          <w:rStyle w:val="FootnoteReference"/>
          <w:sz w:val="20"/>
          <w:szCs w:val="20"/>
        </w:rPr>
        <w:footnoteRef/>
      </w:r>
      <w:r w:rsidRPr="00F10F3A">
        <w:rPr>
          <w:sz w:val="20"/>
          <w:szCs w:val="20"/>
          <w:vertAlign w:val="baseline"/>
        </w:rPr>
        <w:t xml:space="preserve"> Committee on the Elimination of Discrimination against Women, ‘List of issues and questions with regard to the consideration of periodic reports: Nepal’ 4 November 2010 CEDAW/C/NPL/Q/4-5</w:t>
      </w:r>
    </w:p>
  </w:footnote>
  <w:footnote w:id="767">
    <w:p w14:paraId="58723926" w14:textId="5FB2DEE7" w:rsidR="00431A55" w:rsidRPr="00840744" w:rsidRDefault="00431A55" w:rsidP="001C6724">
      <w:pPr>
        <w:pStyle w:val="FootnoteText"/>
        <w:rPr>
          <w:lang w:val="en-US"/>
        </w:rPr>
      </w:pPr>
      <w:r w:rsidRPr="00F10F3A">
        <w:rPr>
          <w:rStyle w:val="FootnoteReference"/>
          <w:sz w:val="20"/>
          <w:szCs w:val="20"/>
        </w:rPr>
        <w:footnoteRef/>
      </w:r>
      <w:r w:rsidRPr="00F10F3A">
        <w:rPr>
          <w:sz w:val="20"/>
          <w:szCs w:val="20"/>
          <w:vertAlign w:val="baseline"/>
        </w:rPr>
        <w:t xml:space="preserve"> </w:t>
      </w:r>
      <w:r>
        <w:rPr>
          <w:sz w:val="20"/>
          <w:szCs w:val="20"/>
          <w:vertAlign w:val="baseline"/>
        </w:rPr>
        <w:t>ibid</w:t>
      </w:r>
      <w:r w:rsidRPr="00F10F3A">
        <w:rPr>
          <w:sz w:val="20"/>
          <w:szCs w:val="20"/>
          <w:vertAlign w:val="baseline"/>
        </w:rPr>
        <w:t>, para 9</w:t>
      </w:r>
    </w:p>
  </w:footnote>
  <w:footnote w:id="768">
    <w:p w14:paraId="310758FF" w14:textId="77777777" w:rsidR="00431A55" w:rsidRPr="00C84404" w:rsidRDefault="00431A55" w:rsidP="001C6724">
      <w:pPr>
        <w:pStyle w:val="FootnoteText"/>
        <w:rPr>
          <w:sz w:val="20"/>
          <w:szCs w:val="20"/>
          <w:vertAlign w:val="baseline"/>
          <w:lang w:val="en-US"/>
        </w:rPr>
      </w:pPr>
      <w:r w:rsidRPr="00C84404">
        <w:rPr>
          <w:rStyle w:val="FootnoteReference"/>
          <w:sz w:val="20"/>
          <w:szCs w:val="20"/>
        </w:rPr>
        <w:footnoteRef/>
      </w:r>
      <w:r w:rsidRPr="00C84404">
        <w:rPr>
          <w:sz w:val="20"/>
          <w:szCs w:val="20"/>
        </w:rPr>
        <w:t xml:space="preserve"> </w:t>
      </w:r>
      <w:r w:rsidRPr="00C84404">
        <w:rPr>
          <w:sz w:val="20"/>
          <w:szCs w:val="20"/>
          <w:vertAlign w:val="baseline"/>
        </w:rPr>
        <w:t>CEDAW Committee, ‘Responses to the list of issues and questions with regard to the consideration of the combined fourth and fifth periodic report’ 6 April 2011 CEDAW/C/NPL/Q/4-5/Add.1</w:t>
      </w:r>
    </w:p>
  </w:footnote>
  <w:footnote w:id="769">
    <w:p w14:paraId="01EE0196" w14:textId="0980DEC9" w:rsidR="00431A55" w:rsidRPr="00C84404" w:rsidRDefault="00431A55" w:rsidP="001C6724">
      <w:pPr>
        <w:pStyle w:val="FootnoteText"/>
        <w:rPr>
          <w:sz w:val="20"/>
          <w:szCs w:val="20"/>
          <w:vertAlign w:val="baseline"/>
          <w:lang w:val="en-US"/>
        </w:rPr>
      </w:pPr>
      <w:r w:rsidRPr="00C84404">
        <w:rPr>
          <w:rStyle w:val="FootnoteReference"/>
          <w:sz w:val="20"/>
          <w:szCs w:val="20"/>
        </w:rPr>
        <w:footnoteRef/>
      </w:r>
      <w:r>
        <w:rPr>
          <w:sz w:val="20"/>
          <w:szCs w:val="20"/>
          <w:vertAlign w:val="baseline"/>
        </w:rPr>
        <w:t xml:space="preserve"> ibid, </w:t>
      </w:r>
      <w:r w:rsidRPr="00C84404">
        <w:rPr>
          <w:sz w:val="20"/>
          <w:szCs w:val="20"/>
          <w:vertAlign w:val="baseline"/>
        </w:rPr>
        <w:t>para 8</w:t>
      </w:r>
    </w:p>
  </w:footnote>
  <w:footnote w:id="770">
    <w:p w14:paraId="22BF8DE4" w14:textId="10F4318E" w:rsidR="00431A55" w:rsidRPr="00C84404" w:rsidRDefault="00431A55" w:rsidP="001C6724">
      <w:pPr>
        <w:pStyle w:val="FootnoteText"/>
        <w:rPr>
          <w:sz w:val="20"/>
          <w:szCs w:val="20"/>
          <w:vertAlign w:val="baseline"/>
          <w:lang w:val="en-US"/>
        </w:rPr>
      </w:pPr>
      <w:r w:rsidRPr="00C84404">
        <w:rPr>
          <w:rStyle w:val="FootnoteReference"/>
          <w:sz w:val="20"/>
          <w:szCs w:val="20"/>
        </w:rPr>
        <w:footnoteRef/>
      </w:r>
      <w:r w:rsidRPr="00C84404">
        <w:rPr>
          <w:sz w:val="20"/>
          <w:szCs w:val="20"/>
          <w:vertAlign w:val="baseline"/>
        </w:rPr>
        <w:t xml:space="preserve"> </w:t>
      </w:r>
      <w:r>
        <w:rPr>
          <w:sz w:val="20"/>
          <w:szCs w:val="20"/>
          <w:vertAlign w:val="baseline"/>
        </w:rPr>
        <w:t>ibid</w:t>
      </w:r>
    </w:p>
  </w:footnote>
  <w:footnote w:id="771">
    <w:p w14:paraId="29B338BA" w14:textId="3C951EE8" w:rsidR="00431A55" w:rsidRPr="00C84404" w:rsidRDefault="00431A55" w:rsidP="001C6724">
      <w:pPr>
        <w:pStyle w:val="FootnoteText"/>
        <w:rPr>
          <w:sz w:val="20"/>
          <w:szCs w:val="20"/>
          <w:vertAlign w:val="baseline"/>
          <w:lang w:val="en-US"/>
        </w:rPr>
      </w:pPr>
      <w:r w:rsidRPr="00C84404">
        <w:rPr>
          <w:rStyle w:val="FootnoteReference"/>
          <w:sz w:val="20"/>
          <w:szCs w:val="20"/>
        </w:rPr>
        <w:footnoteRef/>
      </w:r>
      <w:r w:rsidRPr="00C84404">
        <w:rPr>
          <w:sz w:val="20"/>
          <w:szCs w:val="20"/>
          <w:vertAlign w:val="baseline"/>
        </w:rPr>
        <w:t xml:space="preserve"> </w:t>
      </w:r>
      <w:r w:rsidRPr="00A92D4E">
        <w:rPr>
          <w:i/>
          <w:sz w:val="20"/>
          <w:szCs w:val="20"/>
          <w:vertAlign w:val="baseline"/>
          <w:lang w:val="en-US"/>
        </w:rPr>
        <w:t>Resma Thapa v HMG Nepal</w:t>
      </w:r>
      <w:r>
        <w:rPr>
          <w:sz w:val="20"/>
          <w:szCs w:val="20"/>
          <w:vertAlign w:val="baseline"/>
          <w:lang w:val="en-US"/>
        </w:rPr>
        <w:t xml:space="preserve"> (n 762)</w:t>
      </w:r>
    </w:p>
  </w:footnote>
  <w:footnote w:id="772">
    <w:p w14:paraId="5B93FA54" w14:textId="151B214F" w:rsidR="00431A55" w:rsidRPr="00C84404" w:rsidRDefault="00431A55" w:rsidP="001C6724">
      <w:pPr>
        <w:pStyle w:val="FootnoteText"/>
        <w:rPr>
          <w:sz w:val="20"/>
          <w:szCs w:val="20"/>
          <w:vertAlign w:val="baseline"/>
          <w:lang w:val="en-US"/>
        </w:rPr>
      </w:pPr>
      <w:r w:rsidRPr="00C84404">
        <w:rPr>
          <w:rStyle w:val="FootnoteReference"/>
          <w:sz w:val="20"/>
          <w:szCs w:val="20"/>
        </w:rPr>
        <w:footnoteRef/>
      </w:r>
      <w:r w:rsidRPr="00C84404">
        <w:rPr>
          <w:sz w:val="20"/>
          <w:szCs w:val="20"/>
          <w:vertAlign w:val="baseline"/>
        </w:rPr>
        <w:t xml:space="preserve"> CEDAW Committee, ‘Responses to the list of issues and questions with regard to the consideration of the combined fourth and fifth periodic report’ 6 April 2011</w:t>
      </w:r>
      <w:r>
        <w:rPr>
          <w:sz w:val="20"/>
          <w:szCs w:val="20"/>
          <w:vertAlign w:val="baseline"/>
        </w:rPr>
        <w:t xml:space="preserve"> (n768)</w:t>
      </w:r>
      <w:r w:rsidRPr="00C84404">
        <w:rPr>
          <w:sz w:val="20"/>
          <w:szCs w:val="20"/>
          <w:vertAlign w:val="baseline"/>
        </w:rPr>
        <w:t xml:space="preserve"> para 9</w:t>
      </w:r>
    </w:p>
  </w:footnote>
  <w:footnote w:id="773">
    <w:p w14:paraId="56F762A6" w14:textId="77777777" w:rsidR="00431A55" w:rsidRPr="006A2F6D" w:rsidRDefault="00431A55" w:rsidP="001C6724">
      <w:pPr>
        <w:pStyle w:val="FootnoteText"/>
        <w:rPr>
          <w:lang w:val="en-US"/>
        </w:rPr>
      </w:pPr>
      <w:r w:rsidRPr="00C84404">
        <w:rPr>
          <w:rStyle w:val="FootnoteReference"/>
          <w:sz w:val="20"/>
          <w:szCs w:val="20"/>
        </w:rPr>
        <w:footnoteRef/>
      </w:r>
      <w:r w:rsidRPr="00C84404">
        <w:rPr>
          <w:sz w:val="20"/>
          <w:szCs w:val="20"/>
          <w:vertAlign w:val="baseline"/>
        </w:rPr>
        <w:t xml:space="preserve"> </w:t>
      </w:r>
      <w:r w:rsidRPr="00C84404">
        <w:rPr>
          <w:sz w:val="20"/>
          <w:szCs w:val="20"/>
          <w:vertAlign w:val="baseline"/>
          <w:lang w:val="en-US"/>
        </w:rPr>
        <w:t>CEDAW Committee, ‘Concluding Observations of the Committee on the Elimination of Discrimination against Women: Nepal’ 11 August 2011 CEDAW/C/NPL/CO/4-5</w:t>
      </w:r>
    </w:p>
  </w:footnote>
  <w:footnote w:id="774">
    <w:p w14:paraId="6B9056FD" w14:textId="216AB8D2" w:rsidR="00431A55" w:rsidRPr="008A1511" w:rsidRDefault="00431A55" w:rsidP="001C6724">
      <w:pPr>
        <w:pStyle w:val="FootnoteText"/>
        <w:rPr>
          <w:sz w:val="20"/>
          <w:szCs w:val="20"/>
          <w:vertAlign w:val="baseline"/>
          <w:lang w:val="en-US"/>
        </w:rPr>
      </w:pPr>
      <w:r w:rsidRPr="008A1511">
        <w:rPr>
          <w:rStyle w:val="FootnoteReference"/>
          <w:sz w:val="20"/>
          <w:szCs w:val="20"/>
        </w:rPr>
        <w:footnoteRef/>
      </w:r>
      <w:r>
        <w:rPr>
          <w:sz w:val="20"/>
          <w:szCs w:val="20"/>
          <w:vertAlign w:val="baseline"/>
        </w:rPr>
        <w:t xml:space="preserve"> See Glossary Section, 12</w:t>
      </w:r>
    </w:p>
  </w:footnote>
  <w:footnote w:id="775">
    <w:p w14:paraId="1B661C34" w14:textId="6771F4B1" w:rsidR="00431A55" w:rsidRPr="008A1511" w:rsidRDefault="00431A55" w:rsidP="001C6724">
      <w:pPr>
        <w:rPr>
          <w:rFonts w:ascii="Times" w:eastAsia="Times New Roman" w:hAnsi="Times" w:cs="Times New Roman"/>
          <w:vertAlign w:val="baseline"/>
        </w:rPr>
      </w:pPr>
      <w:r w:rsidRPr="008A1511">
        <w:rPr>
          <w:rStyle w:val="FootnoteReference"/>
        </w:rPr>
        <w:footnoteRef/>
      </w:r>
      <w:r w:rsidRPr="008A1511">
        <w:rPr>
          <w:vertAlign w:val="baseline"/>
        </w:rPr>
        <w:t xml:space="preserve"> </w:t>
      </w:r>
      <w:r>
        <w:rPr>
          <w:rFonts w:eastAsia="Times New Roman" w:cs="Times New Roman"/>
          <w:color w:val="222222"/>
          <w:shd w:val="clear" w:color="auto" w:fill="FFFFFF"/>
          <w:vertAlign w:val="baseline"/>
        </w:rPr>
        <w:t>ibid 13</w:t>
      </w:r>
    </w:p>
  </w:footnote>
  <w:footnote w:id="776">
    <w:p w14:paraId="3754A6C5" w14:textId="18880A40" w:rsidR="00431A55" w:rsidRPr="008A1511" w:rsidRDefault="00431A55" w:rsidP="001C6724">
      <w:pPr>
        <w:pStyle w:val="FootnoteText"/>
        <w:rPr>
          <w:sz w:val="20"/>
          <w:szCs w:val="20"/>
          <w:vertAlign w:val="baseline"/>
          <w:lang w:val="en-US"/>
        </w:rPr>
      </w:pPr>
      <w:r w:rsidRPr="008A1511">
        <w:rPr>
          <w:rStyle w:val="FootnoteReference"/>
          <w:sz w:val="20"/>
          <w:szCs w:val="20"/>
        </w:rPr>
        <w:footnoteRef/>
      </w:r>
      <w:r w:rsidRPr="008A1511">
        <w:rPr>
          <w:sz w:val="20"/>
          <w:szCs w:val="20"/>
          <w:vertAlign w:val="baseline"/>
        </w:rPr>
        <w:t xml:space="preserve"> </w:t>
      </w:r>
      <w:r>
        <w:rPr>
          <w:sz w:val="20"/>
          <w:szCs w:val="20"/>
          <w:vertAlign w:val="baseline"/>
        </w:rPr>
        <w:t>ibid 12</w:t>
      </w:r>
    </w:p>
  </w:footnote>
  <w:footnote w:id="777">
    <w:p w14:paraId="0E03DBEE" w14:textId="536DD520" w:rsidR="00431A55" w:rsidRPr="00666B5F" w:rsidRDefault="00431A55" w:rsidP="001C6724">
      <w:pPr>
        <w:pStyle w:val="FootnoteText"/>
        <w:rPr>
          <w:sz w:val="20"/>
          <w:szCs w:val="20"/>
          <w:vertAlign w:val="baseline"/>
        </w:rPr>
      </w:pPr>
      <w:r w:rsidRPr="008A1511">
        <w:rPr>
          <w:rStyle w:val="FootnoteReference"/>
          <w:sz w:val="20"/>
          <w:szCs w:val="20"/>
        </w:rPr>
        <w:footnoteRef/>
      </w:r>
      <w:r w:rsidRPr="008A1511">
        <w:rPr>
          <w:sz w:val="20"/>
          <w:szCs w:val="20"/>
          <w:vertAlign w:val="baseline"/>
        </w:rPr>
        <w:t xml:space="preserve"> </w:t>
      </w:r>
      <w:r>
        <w:rPr>
          <w:sz w:val="20"/>
          <w:szCs w:val="20"/>
          <w:vertAlign w:val="baseline"/>
        </w:rPr>
        <w:t xml:space="preserve">ibid; </w:t>
      </w:r>
      <w:r w:rsidRPr="008A1511">
        <w:rPr>
          <w:sz w:val="20"/>
          <w:szCs w:val="20"/>
          <w:vertAlign w:val="baseline"/>
          <w:lang w:val="en-US"/>
        </w:rPr>
        <w:t>CEDAW Committee, ‘Concluding Observati</w:t>
      </w:r>
      <w:r>
        <w:rPr>
          <w:sz w:val="20"/>
          <w:szCs w:val="20"/>
          <w:vertAlign w:val="baseline"/>
          <w:lang w:val="en-US"/>
        </w:rPr>
        <w:t xml:space="preserve">ons: Nepal’ (n 773) </w:t>
      </w:r>
      <w:r w:rsidRPr="008A1511">
        <w:rPr>
          <w:sz w:val="20"/>
          <w:szCs w:val="20"/>
          <w:vertAlign w:val="baseline"/>
          <w:lang w:val="en-US"/>
        </w:rPr>
        <w:t>para 17</w:t>
      </w:r>
    </w:p>
  </w:footnote>
  <w:footnote w:id="778">
    <w:p w14:paraId="4518F5B4" w14:textId="0744A557" w:rsidR="00431A55" w:rsidRPr="008A1511" w:rsidRDefault="00431A55" w:rsidP="001C6724">
      <w:pPr>
        <w:pStyle w:val="FootnoteText"/>
        <w:rPr>
          <w:sz w:val="20"/>
          <w:szCs w:val="20"/>
          <w:vertAlign w:val="baseline"/>
          <w:lang w:val="en-US"/>
        </w:rPr>
      </w:pPr>
      <w:r w:rsidRPr="008A1511">
        <w:rPr>
          <w:rStyle w:val="FootnoteReference"/>
          <w:sz w:val="20"/>
          <w:szCs w:val="20"/>
        </w:rPr>
        <w:footnoteRef/>
      </w:r>
      <w:r w:rsidRPr="008A1511">
        <w:rPr>
          <w:sz w:val="20"/>
          <w:szCs w:val="20"/>
          <w:vertAlign w:val="baseline"/>
        </w:rPr>
        <w:t xml:space="preserve"> </w:t>
      </w:r>
      <w:r>
        <w:rPr>
          <w:sz w:val="20"/>
          <w:szCs w:val="20"/>
          <w:vertAlign w:val="baseline"/>
          <w:lang w:val="en-US"/>
        </w:rPr>
        <w:t>ibid</w:t>
      </w:r>
    </w:p>
  </w:footnote>
  <w:footnote w:id="779">
    <w:p w14:paraId="6996D5BA" w14:textId="416241FE" w:rsidR="00431A55" w:rsidRPr="008A1511" w:rsidRDefault="00431A55" w:rsidP="001C6724">
      <w:pPr>
        <w:pStyle w:val="FootnoteText"/>
        <w:rPr>
          <w:sz w:val="20"/>
          <w:szCs w:val="20"/>
          <w:vertAlign w:val="baseline"/>
          <w:lang w:val="en-US"/>
        </w:rPr>
      </w:pPr>
      <w:r w:rsidRPr="008A1511">
        <w:rPr>
          <w:rStyle w:val="FootnoteReference"/>
          <w:sz w:val="20"/>
          <w:szCs w:val="20"/>
        </w:rPr>
        <w:footnoteRef/>
      </w:r>
      <w:r w:rsidRPr="008A1511">
        <w:rPr>
          <w:sz w:val="20"/>
          <w:szCs w:val="20"/>
          <w:vertAlign w:val="baseline"/>
        </w:rPr>
        <w:t xml:space="preserve"> </w:t>
      </w:r>
      <w:r>
        <w:rPr>
          <w:sz w:val="20"/>
          <w:szCs w:val="20"/>
          <w:vertAlign w:val="baseline"/>
          <w:lang w:val="en-US"/>
        </w:rPr>
        <w:t>ibid,</w:t>
      </w:r>
      <w:r w:rsidRPr="008A1511">
        <w:rPr>
          <w:sz w:val="20"/>
          <w:szCs w:val="20"/>
          <w:vertAlign w:val="baseline"/>
          <w:lang w:val="en-US"/>
        </w:rPr>
        <w:t xml:space="preserve"> para 18(a)</w:t>
      </w:r>
    </w:p>
  </w:footnote>
  <w:footnote w:id="780">
    <w:p w14:paraId="5A922A85" w14:textId="6B76A94F" w:rsidR="00431A55" w:rsidRPr="008A1511" w:rsidRDefault="00431A55" w:rsidP="001C6724">
      <w:pPr>
        <w:pStyle w:val="FootnoteText"/>
        <w:rPr>
          <w:sz w:val="20"/>
          <w:szCs w:val="20"/>
          <w:vertAlign w:val="baseline"/>
          <w:lang w:val="en-US"/>
        </w:rPr>
      </w:pPr>
      <w:r w:rsidRPr="008A1511">
        <w:rPr>
          <w:rStyle w:val="FootnoteReference"/>
          <w:sz w:val="20"/>
          <w:szCs w:val="20"/>
        </w:rPr>
        <w:footnoteRef/>
      </w:r>
      <w:r w:rsidRPr="008A1511">
        <w:rPr>
          <w:sz w:val="20"/>
          <w:szCs w:val="20"/>
          <w:vertAlign w:val="baseline"/>
        </w:rPr>
        <w:t xml:space="preserve"> </w:t>
      </w:r>
      <w:r>
        <w:rPr>
          <w:sz w:val="20"/>
          <w:szCs w:val="20"/>
          <w:vertAlign w:val="baseline"/>
          <w:lang w:val="en-US"/>
        </w:rPr>
        <w:t>ibid,</w:t>
      </w:r>
      <w:r w:rsidRPr="008A1511">
        <w:rPr>
          <w:sz w:val="20"/>
          <w:szCs w:val="20"/>
          <w:vertAlign w:val="baseline"/>
          <w:lang w:val="en-US"/>
        </w:rPr>
        <w:t xml:space="preserve"> para 18(b)</w:t>
      </w:r>
    </w:p>
  </w:footnote>
  <w:footnote w:id="781">
    <w:p w14:paraId="34760403" w14:textId="2FCA19A3" w:rsidR="00431A55" w:rsidRPr="008A1511" w:rsidRDefault="00431A55" w:rsidP="001C6724">
      <w:pPr>
        <w:pStyle w:val="FootnoteText"/>
        <w:rPr>
          <w:sz w:val="20"/>
          <w:szCs w:val="20"/>
          <w:vertAlign w:val="baseline"/>
          <w:lang w:val="en-US"/>
        </w:rPr>
      </w:pPr>
      <w:r w:rsidRPr="008A1511">
        <w:rPr>
          <w:rStyle w:val="FootnoteReference"/>
          <w:sz w:val="20"/>
          <w:szCs w:val="20"/>
        </w:rPr>
        <w:footnoteRef/>
      </w:r>
      <w:r w:rsidRPr="008A1511">
        <w:rPr>
          <w:sz w:val="20"/>
          <w:szCs w:val="20"/>
          <w:vertAlign w:val="baseline"/>
        </w:rPr>
        <w:t xml:space="preserve"> </w:t>
      </w:r>
      <w:r>
        <w:rPr>
          <w:sz w:val="20"/>
          <w:szCs w:val="20"/>
          <w:vertAlign w:val="baseline"/>
          <w:lang w:val="en-US"/>
        </w:rPr>
        <w:t>ibid</w:t>
      </w:r>
    </w:p>
  </w:footnote>
  <w:footnote w:id="782">
    <w:p w14:paraId="2E84BCCF" w14:textId="62296C8A" w:rsidR="00431A55" w:rsidRPr="00DA57F5" w:rsidRDefault="00431A55" w:rsidP="001C6724">
      <w:pPr>
        <w:pStyle w:val="FootnoteText"/>
        <w:rPr>
          <w:lang w:val="en-US"/>
        </w:rPr>
      </w:pPr>
      <w:r w:rsidRPr="008A1511">
        <w:rPr>
          <w:rStyle w:val="FootnoteReference"/>
          <w:sz w:val="20"/>
          <w:szCs w:val="20"/>
        </w:rPr>
        <w:footnoteRef/>
      </w:r>
      <w:r w:rsidRPr="008A1511">
        <w:rPr>
          <w:sz w:val="20"/>
          <w:szCs w:val="20"/>
          <w:vertAlign w:val="baseline"/>
        </w:rPr>
        <w:t xml:space="preserve"> </w:t>
      </w:r>
      <w:r>
        <w:rPr>
          <w:sz w:val="20"/>
          <w:szCs w:val="20"/>
          <w:vertAlign w:val="baseline"/>
          <w:lang w:val="en-US"/>
        </w:rPr>
        <w:t>ibid,</w:t>
      </w:r>
      <w:r w:rsidRPr="008A1511">
        <w:rPr>
          <w:sz w:val="20"/>
          <w:szCs w:val="20"/>
          <w:vertAlign w:val="baseline"/>
          <w:lang w:val="en-US"/>
        </w:rPr>
        <w:t xml:space="preserve"> para 18 (c)</w:t>
      </w:r>
    </w:p>
  </w:footnote>
  <w:footnote w:id="783">
    <w:p w14:paraId="354C233F" w14:textId="77777777" w:rsidR="00431A55" w:rsidRPr="00FE4938" w:rsidRDefault="00431A55" w:rsidP="001C6724">
      <w:pPr>
        <w:pStyle w:val="FootnoteText"/>
        <w:rPr>
          <w:sz w:val="20"/>
          <w:szCs w:val="20"/>
          <w:vertAlign w:val="baseline"/>
          <w:lang w:val="en-US"/>
        </w:rPr>
      </w:pPr>
      <w:r w:rsidRPr="00FE4938">
        <w:rPr>
          <w:rStyle w:val="FootnoteReference"/>
          <w:sz w:val="20"/>
          <w:szCs w:val="20"/>
        </w:rPr>
        <w:footnoteRef/>
      </w:r>
      <w:r w:rsidRPr="00FE4938">
        <w:rPr>
          <w:sz w:val="20"/>
          <w:szCs w:val="20"/>
          <w:vertAlign w:val="baseline"/>
        </w:rPr>
        <w:t xml:space="preserve"> </w:t>
      </w:r>
      <w:r w:rsidRPr="00FE4938">
        <w:rPr>
          <w:sz w:val="20"/>
          <w:szCs w:val="20"/>
          <w:vertAlign w:val="baseline"/>
          <w:lang w:val="en-US"/>
        </w:rPr>
        <w:t>CEDAW Committee, ‘Consideration of reports submitted by States parties under Article 18 of the Convention: Combined fourth and fifth periodic reports of States Parties: India’ 4 November 2013 CEDAW/C/IND/4-5/Add.1</w:t>
      </w:r>
    </w:p>
  </w:footnote>
  <w:footnote w:id="784">
    <w:p w14:paraId="44F0FDC1" w14:textId="230E10F0" w:rsidR="00431A55" w:rsidRPr="00FE4938" w:rsidRDefault="00431A55" w:rsidP="001C6724">
      <w:pPr>
        <w:pStyle w:val="FootnoteText"/>
        <w:rPr>
          <w:sz w:val="20"/>
          <w:szCs w:val="20"/>
          <w:vertAlign w:val="baseline"/>
          <w:lang w:val="en-US"/>
        </w:rPr>
      </w:pPr>
      <w:r w:rsidRPr="00FE4938">
        <w:rPr>
          <w:rStyle w:val="FootnoteReference"/>
          <w:sz w:val="20"/>
          <w:szCs w:val="20"/>
        </w:rPr>
        <w:footnoteRef/>
      </w:r>
      <w:r>
        <w:rPr>
          <w:sz w:val="20"/>
          <w:szCs w:val="20"/>
          <w:vertAlign w:val="baseline"/>
          <w:lang w:val="en-US"/>
        </w:rPr>
        <w:t xml:space="preserve"> ibid</w:t>
      </w:r>
      <w:r w:rsidRPr="00FE4938">
        <w:rPr>
          <w:sz w:val="20"/>
          <w:szCs w:val="20"/>
          <w:vertAlign w:val="baseline"/>
          <w:lang w:val="en-US"/>
        </w:rPr>
        <w:t>, para 37</w:t>
      </w:r>
    </w:p>
  </w:footnote>
  <w:footnote w:id="785">
    <w:p w14:paraId="6C43B518" w14:textId="05441960" w:rsidR="00431A55" w:rsidRPr="00FE4938" w:rsidRDefault="00431A55" w:rsidP="001C6724">
      <w:pPr>
        <w:pStyle w:val="FootnoteText"/>
        <w:rPr>
          <w:sz w:val="20"/>
          <w:szCs w:val="20"/>
          <w:vertAlign w:val="baseline"/>
          <w:lang w:val="en-US"/>
        </w:rPr>
      </w:pPr>
      <w:r w:rsidRPr="00FE4938">
        <w:rPr>
          <w:rStyle w:val="FootnoteReference"/>
          <w:sz w:val="20"/>
          <w:szCs w:val="20"/>
        </w:rPr>
        <w:footnoteRef/>
      </w:r>
      <w:r w:rsidRPr="00FE4938">
        <w:rPr>
          <w:sz w:val="20"/>
          <w:szCs w:val="20"/>
          <w:vertAlign w:val="baseline"/>
        </w:rPr>
        <w:t xml:space="preserve"> </w:t>
      </w:r>
      <w:r>
        <w:rPr>
          <w:sz w:val="20"/>
          <w:szCs w:val="20"/>
          <w:vertAlign w:val="baseline"/>
          <w:lang w:val="en-US"/>
        </w:rPr>
        <w:t>See Glossary Section, 12</w:t>
      </w:r>
    </w:p>
  </w:footnote>
  <w:footnote w:id="786">
    <w:p w14:paraId="7C874DB4" w14:textId="1476D2E5" w:rsidR="00431A55" w:rsidRPr="00FE4938" w:rsidRDefault="00431A55" w:rsidP="001C6724">
      <w:pPr>
        <w:pStyle w:val="FootnoteText"/>
        <w:rPr>
          <w:sz w:val="20"/>
          <w:szCs w:val="20"/>
          <w:vertAlign w:val="baseline"/>
          <w:lang w:val="en-US"/>
        </w:rPr>
      </w:pPr>
      <w:r w:rsidRPr="00FE4938">
        <w:rPr>
          <w:rStyle w:val="FootnoteReference"/>
          <w:sz w:val="20"/>
          <w:szCs w:val="20"/>
        </w:rPr>
        <w:footnoteRef/>
      </w:r>
      <w:r w:rsidRPr="00FE4938">
        <w:rPr>
          <w:sz w:val="20"/>
          <w:szCs w:val="20"/>
        </w:rPr>
        <w:t xml:space="preserve"> </w:t>
      </w:r>
      <w:r w:rsidRPr="00FE4938">
        <w:rPr>
          <w:sz w:val="20"/>
          <w:szCs w:val="20"/>
          <w:vertAlign w:val="baseline"/>
          <w:lang w:val="en-US"/>
        </w:rPr>
        <w:t>CEDAW Commi</w:t>
      </w:r>
      <w:r>
        <w:rPr>
          <w:sz w:val="20"/>
          <w:szCs w:val="20"/>
          <w:vertAlign w:val="baseline"/>
          <w:lang w:val="en-US"/>
        </w:rPr>
        <w:t>ttee, ‘</w:t>
      </w:r>
      <w:r w:rsidRPr="00FE4938">
        <w:rPr>
          <w:sz w:val="20"/>
          <w:szCs w:val="20"/>
          <w:vertAlign w:val="baseline"/>
          <w:lang w:val="en-US"/>
        </w:rPr>
        <w:t>Combined fourth and f</w:t>
      </w:r>
      <w:r>
        <w:rPr>
          <w:sz w:val="20"/>
          <w:szCs w:val="20"/>
          <w:vertAlign w:val="baseline"/>
          <w:lang w:val="en-US"/>
        </w:rPr>
        <w:t xml:space="preserve">ifth periodic reports: India’ (n 783) </w:t>
      </w:r>
      <w:r w:rsidRPr="00FE4938">
        <w:rPr>
          <w:sz w:val="20"/>
          <w:szCs w:val="20"/>
          <w:vertAlign w:val="baseline"/>
          <w:lang w:val="en-US"/>
        </w:rPr>
        <w:t>para 38</w:t>
      </w:r>
    </w:p>
  </w:footnote>
  <w:footnote w:id="787">
    <w:p w14:paraId="6DBCF97C" w14:textId="2804A289" w:rsidR="00431A55" w:rsidRPr="00FE4938" w:rsidRDefault="00431A55" w:rsidP="001C6724">
      <w:pPr>
        <w:pStyle w:val="FootnoteText"/>
        <w:rPr>
          <w:sz w:val="20"/>
          <w:szCs w:val="20"/>
          <w:vertAlign w:val="baseline"/>
          <w:lang w:val="en-US"/>
        </w:rPr>
      </w:pPr>
      <w:r w:rsidRPr="00FE4938">
        <w:rPr>
          <w:rStyle w:val="FootnoteReference"/>
          <w:sz w:val="20"/>
          <w:szCs w:val="20"/>
        </w:rPr>
        <w:footnoteRef/>
      </w:r>
      <w:r w:rsidRPr="00FE4938">
        <w:rPr>
          <w:sz w:val="20"/>
          <w:szCs w:val="20"/>
          <w:vertAlign w:val="baseline"/>
        </w:rPr>
        <w:t xml:space="preserve"> </w:t>
      </w:r>
      <w:r>
        <w:rPr>
          <w:sz w:val="20"/>
          <w:szCs w:val="20"/>
          <w:vertAlign w:val="baseline"/>
          <w:lang w:val="en-US"/>
        </w:rPr>
        <w:t>ibid</w:t>
      </w:r>
    </w:p>
  </w:footnote>
  <w:footnote w:id="788">
    <w:p w14:paraId="05BBF712" w14:textId="1F100B0C" w:rsidR="00431A55" w:rsidRPr="00FE4938" w:rsidRDefault="00431A55" w:rsidP="001C6724">
      <w:pPr>
        <w:pStyle w:val="FootnoteText"/>
        <w:rPr>
          <w:sz w:val="20"/>
          <w:szCs w:val="20"/>
          <w:vertAlign w:val="baseline"/>
          <w:lang w:val="en-US"/>
        </w:rPr>
      </w:pPr>
      <w:r w:rsidRPr="00FE4938">
        <w:rPr>
          <w:rStyle w:val="FootnoteReference"/>
          <w:sz w:val="20"/>
          <w:szCs w:val="20"/>
        </w:rPr>
        <w:footnoteRef/>
      </w:r>
      <w:r w:rsidRPr="00FE4938">
        <w:rPr>
          <w:sz w:val="20"/>
          <w:szCs w:val="20"/>
        </w:rPr>
        <w:t xml:space="preserve"> </w:t>
      </w:r>
      <w:r>
        <w:rPr>
          <w:sz w:val="20"/>
          <w:szCs w:val="20"/>
          <w:vertAlign w:val="baseline"/>
          <w:lang w:val="en-US"/>
        </w:rPr>
        <w:t>ibid</w:t>
      </w:r>
    </w:p>
  </w:footnote>
  <w:footnote w:id="789">
    <w:p w14:paraId="17022C1B" w14:textId="0744C671" w:rsidR="00431A55" w:rsidRPr="00FE4938" w:rsidRDefault="00431A55" w:rsidP="001C6724">
      <w:pPr>
        <w:pStyle w:val="FootnoteText"/>
        <w:rPr>
          <w:sz w:val="20"/>
          <w:szCs w:val="20"/>
          <w:vertAlign w:val="baseline"/>
          <w:lang w:val="en-US"/>
        </w:rPr>
      </w:pPr>
      <w:r w:rsidRPr="00FE4938">
        <w:rPr>
          <w:rStyle w:val="FootnoteReference"/>
          <w:sz w:val="20"/>
          <w:szCs w:val="20"/>
        </w:rPr>
        <w:footnoteRef/>
      </w:r>
      <w:r w:rsidRPr="00FE4938">
        <w:rPr>
          <w:sz w:val="20"/>
          <w:szCs w:val="20"/>
        </w:rPr>
        <w:t xml:space="preserve"> </w:t>
      </w:r>
      <w:r>
        <w:rPr>
          <w:sz w:val="20"/>
          <w:szCs w:val="20"/>
          <w:vertAlign w:val="baseline"/>
          <w:lang w:val="en-US"/>
        </w:rPr>
        <w:t>ibid</w:t>
      </w:r>
      <w:r w:rsidRPr="00FE4938">
        <w:rPr>
          <w:sz w:val="20"/>
          <w:szCs w:val="20"/>
          <w:vertAlign w:val="baseline"/>
          <w:lang w:val="en-US"/>
        </w:rPr>
        <w:t>, para 53</w:t>
      </w:r>
    </w:p>
  </w:footnote>
  <w:footnote w:id="790">
    <w:p w14:paraId="4962D4FC" w14:textId="77777777" w:rsidR="00431A55" w:rsidRPr="002E2769" w:rsidRDefault="00431A55" w:rsidP="001C6724">
      <w:pPr>
        <w:pStyle w:val="FootnoteText"/>
        <w:rPr>
          <w:lang w:val="en-US"/>
        </w:rPr>
      </w:pPr>
      <w:r w:rsidRPr="00FE4938">
        <w:rPr>
          <w:rStyle w:val="FootnoteReference"/>
          <w:sz w:val="20"/>
          <w:szCs w:val="20"/>
        </w:rPr>
        <w:footnoteRef/>
      </w:r>
      <w:r w:rsidRPr="00FE4938">
        <w:rPr>
          <w:sz w:val="20"/>
          <w:szCs w:val="20"/>
        </w:rPr>
        <w:t xml:space="preserve"> </w:t>
      </w:r>
      <w:r w:rsidRPr="00FE4938">
        <w:rPr>
          <w:sz w:val="20"/>
          <w:szCs w:val="20"/>
          <w:vertAlign w:val="baseline"/>
          <w:lang w:val="en-US"/>
        </w:rPr>
        <w:t>Came into effect in October 2006</w:t>
      </w:r>
    </w:p>
  </w:footnote>
  <w:footnote w:id="791">
    <w:p w14:paraId="6F91A4D4" w14:textId="6CA3B940" w:rsidR="00431A55" w:rsidRPr="00617A25" w:rsidRDefault="00431A55" w:rsidP="001C6724">
      <w:pPr>
        <w:pStyle w:val="FootnoteText"/>
        <w:rPr>
          <w:sz w:val="20"/>
          <w:szCs w:val="20"/>
          <w:vertAlign w:val="baseline"/>
          <w:lang w:val="en-US"/>
        </w:rPr>
      </w:pPr>
      <w:r w:rsidRPr="00617A25">
        <w:rPr>
          <w:rStyle w:val="FootnoteReference"/>
          <w:sz w:val="20"/>
          <w:szCs w:val="20"/>
        </w:rPr>
        <w:footnoteRef/>
      </w:r>
      <w:r w:rsidRPr="00617A25">
        <w:rPr>
          <w:sz w:val="20"/>
          <w:szCs w:val="20"/>
          <w:vertAlign w:val="baseline"/>
        </w:rPr>
        <w:t xml:space="preserve"> </w:t>
      </w:r>
      <w:r w:rsidRPr="00FE4938">
        <w:rPr>
          <w:sz w:val="20"/>
          <w:szCs w:val="20"/>
          <w:vertAlign w:val="baseline"/>
          <w:lang w:val="en-US"/>
        </w:rPr>
        <w:t>CEDAW Commi</w:t>
      </w:r>
      <w:r>
        <w:rPr>
          <w:sz w:val="20"/>
          <w:szCs w:val="20"/>
          <w:vertAlign w:val="baseline"/>
          <w:lang w:val="en-US"/>
        </w:rPr>
        <w:t>ttee, ‘</w:t>
      </w:r>
      <w:r w:rsidRPr="00FE4938">
        <w:rPr>
          <w:sz w:val="20"/>
          <w:szCs w:val="20"/>
          <w:vertAlign w:val="baseline"/>
          <w:lang w:val="en-US"/>
        </w:rPr>
        <w:t>Combined fourth and f</w:t>
      </w:r>
      <w:r>
        <w:rPr>
          <w:sz w:val="20"/>
          <w:szCs w:val="20"/>
          <w:vertAlign w:val="baseline"/>
          <w:lang w:val="en-US"/>
        </w:rPr>
        <w:t xml:space="preserve">ifth periodic reports: India’ (n 783) </w:t>
      </w:r>
      <w:r w:rsidRPr="00617A25">
        <w:rPr>
          <w:sz w:val="20"/>
          <w:szCs w:val="20"/>
          <w:vertAlign w:val="baseline"/>
          <w:lang w:val="en-US"/>
        </w:rPr>
        <w:t>para 56</w:t>
      </w:r>
    </w:p>
  </w:footnote>
  <w:footnote w:id="792">
    <w:p w14:paraId="416D5EB0" w14:textId="77777777" w:rsidR="00431A55" w:rsidRPr="00617A25" w:rsidRDefault="00431A55" w:rsidP="001C6724">
      <w:pPr>
        <w:pStyle w:val="FootnoteText"/>
        <w:rPr>
          <w:sz w:val="20"/>
          <w:szCs w:val="20"/>
          <w:vertAlign w:val="baseline"/>
          <w:lang w:val="en-US"/>
        </w:rPr>
      </w:pPr>
      <w:r w:rsidRPr="00617A25">
        <w:rPr>
          <w:rStyle w:val="FootnoteReference"/>
          <w:sz w:val="20"/>
          <w:szCs w:val="20"/>
        </w:rPr>
        <w:footnoteRef/>
      </w:r>
      <w:r w:rsidRPr="00617A25">
        <w:rPr>
          <w:sz w:val="20"/>
          <w:szCs w:val="20"/>
          <w:vertAlign w:val="baseline"/>
        </w:rPr>
        <w:t xml:space="preserve"> </w:t>
      </w:r>
      <w:r w:rsidRPr="00617A25">
        <w:rPr>
          <w:rFonts w:eastAsia="Times New Roman" w:cs="Times New Roman"/>
          <w:color w:val="000000"/>
          <w:sz w:val="20"/>
          <w:szCs w:val="20"/>
          <w:shd w:val="clear" w:color="auto" w:fill="FFFFFF"/>
          <w:vertAlign w:val="baseline"/>
        </w:rPr>
        <w:t>Introduced in the Rajya Sabha (upper house of the Parliament of India) on 5 December 2005</w:t>
      </w:r>
    </w:p>
  </w:footnote>
  <w:footnote w:id="793">
    <w:p w14:paraId="1BD66194" w14:textId="7CF011B7" w:rsidR="00431A55" w:rsidRPr="00617A25" w:rsidRDefault="00431A55" w:rsidP="001C6724">
      <w:pPr>
        <w:pStyle w:val="FootnoteText"/>
        <w:rPr>
          <w:sz w:val="20"/>
          <w:szCs w:val="20"/>
          <w:vertAlign w:val="baseline"/>
          <w:lang w:val="en-US"/>
        </w:rPr>
      </w:pPr>
      <w:r w:rsidRPr="00617A25">
        <w:rPr>
          <w:rStyle w:val="FootnoteReference"/>
          <w:sz w:val="20"/>
          <w:szCs w:val="20"/>
        </w:rPr>
        <w:footnoteRef/>
      </w:r>
      <w:r w:rsidRPr="00617A25">
        <w:rPr>
          <w:sz w:val="20"/>
          <w:szCs w:val="20"/>
          <w:vertAlign w:val="baseline"/>
        </w:rPr>
        <w:t xml:space="preserve"> </w:t>
      </w:r>
      <w:r w:rsidRPr="00FE4938">
        <w:rPr>
          <w:sz w:val="20"/>
          <w:szCs w:val="20"/>
          <w:vertAlign w:val="baseline"/>
          <w:lang w:val="en-US"/>
        </w:rPr>
        <w:t>CEDAW Commi</w:t>
      </w:r>
      <w:r>
        <w:rPr>
          <w:sz w:val="20"/>
          <w:szCs w:val="20"/>
          <w:vertAlign w:val="baseline"/>
          <w:lang w:val="en-US"/>
        </w:rPr>
        <w:t>ttee, ‘</w:t>
      </w:r>
      <w:r w:rsidRPr="00FE4938">
        <w:rPr>
          <w:sz w:val="20"/>
          <w:szCs w:val="20"/>
          <w:vertAlign w:val="baseline"/>
          <w:lang w:val="en-US"/>
        </w:rPr>
        <w:t>Combined fourth and f</w:t>
      </w:r>
      <w:r>
        <w:rPr>
          <w:sz w:val="20"/>
          <w:szCs w:val="20"/>
          <w:vertAlign w:val="baseline"/>
          <w:lang w:val="en-US"/>
        </w:rPr>
        <w:t xml:space="preserve">ifth periodic reports: India’ (n 783) </w:t>
      </w:r>
      <w:r w:rsidRPr="00617A25">
        <w:rPr>
          <w:sz w:val="20"/>
          <w:szCs w:val="20"/>
          <w:vertAlign w:val="baseline"/>
          <w:lang w:val="en-US"/>
        </w:rPr>
        <w:t>para 71</w:t>
      </w:r>
    </w:p>
  </w:footnote>
  <w:footnote w:id="794">
    <w:p w14:paraId="0A6A23DD" w14:textId="2AC295BB" w:rsidR="00431A55" w:rsidRPr="00617A25" w:rsidRDefault="00431A55" w:rsidP="001C6724">
      <w:pPr>
        <w:pStyle w:val="FootnoteText"/>
        <w:rPr>
          <w:sz w:val="20"/>
          <w:szCs w:val="20"/>
          <w:vertAlign w:val="baseline"/>
          <w:lang w:val="en-US"/>
        </w:rPr>
      </w:pPr>
      <w:r w:rsidRPr="00617A25">
        <w:rPr>
          <w:rStyle w:val="FootnoteReference"/>
          <w:sz w:val="20"/>
          <w:szCs w:val="20"/>
        </w:rPr>
        <w:footnoteRef/>
      </w:r>
      <w:r w:rsidRPr="00617A25">
        <w:rPr>
          <w:sz w:val="20"/>
          <w:szCs w:val="20"/>
          <w:vertAlign w:val="baseline"/>
        </w:rPr>
        <w:t xml:space="preserve"> </w:t>
      </w:r>
      <w:r>
        <w:rPr>
          <w:sz w:val="20"/>
          <w:szCs w:val="20"/>
          <w:vertAlign w:val="baseline"/>
          <w:lang w:val="en-US"/>
        </w:rPr>
        <w:t>ibid,</w:t>
      </w:r>
      <w:r w:rsidRPr="00617A25">
        <w:rPr>
          <w:sz w:val="20"/>
          <w:szCs w:val="20"/>
          <w:vertAlign w:val="baseline"/>
          <w:lang w:val="en-US"/>
        </w:rPr>
        <w:t xml:space="preserve"> para 72</w:t>
      </w:r>
    </w:p>
  </w:footnote>
  <w:footnote w:id="795">
    <w:p w14:paraId="24EE987F" w14:textId="2D760C00" w:rsidR="00431A55" w:rsidRPr="00617A25" w:rsidRDefault="00431A55" w:rsidP="001C6724">
      <w:pPr>
        <w:pStyle w:val="FootnoteText"/>
        <w:rPr>
          <w:sz w:val="20"/>
          <w:szCs w:val="20"/>
          <w:vertAlign w:val="baseline"/>
          <w:lang w:val="en-US"/>
        </w:rPr>
      </w:pPr>
      <w:r w:rsidRPr="00617A25">
        <w:rPr>
          <w:rStyle w:val="FootnoteReference"/>
          <w:sz w:val="20"/>
          <w:szCs w:val="20"/>
        </w:rPr>
        <w:footnoteRef/>
      </w:r>
      <w:r w:rsidRPr="00617A25">
        <w:rPr>
          <w:sz w:val="20"/>
          <w:szCs w:val="20"/>
          <w:vertAlign w:val="baseline"/>
        </w:rPr>
        <w:t xml:space="preserve"> </w:t>
      </w:r>
      <w:r>
        <w:rPr>
          <w:sz w:val="20"/>
          <w:szCs w:val="20"/>
          <w:vertAlign w:val="baseline"/>
          <w:lang w:val="en-US"/>
        </w:rPr>
        <w:t>ibid</w:t>
      </w:r>
    </w:p>
  </w:footnote>
  <w:footnote w:id="796">
    <w:p w14:paraId="705D175A" w14:textId="20D34AB9" w:rsidR="00431A55" w:rsidRPr="00E678BD" w:rsidRDefault="00431A55" w:rsidP="001C6724">
      <w:pPr>
        <w:pStyle w:val="FootnoteText"/>
        <w:rPr>
          <w:lang w:val="en-US"/>
        </w:rPr>
      </w:pPr>
      <w:r w:rsidRPr="00617A25">
        <w:rPr>
          <w:rStyle w:val="FootnoteReference"/>
          <w:sz w:val="20"/>
          <w:szCs w:val="20"/>
        </w:rPr>
        <w:footnoteRef/>
      </w:r>
      <w:r w:rsidRPr="00617A25">
        <w:rPr>
          <w:sz w:val="20"/>
          <w:szCs w:val="20"/>
          <w:vertAlign w:val="baseline"/>
        </w:rPr>
        <w:t xml:space="preserve"> </w:t>
      </w:r>
      <w:r>
        <w:rPr>
          <w:sz w:val="20"/>
          <w:szCs w:val="20"/>
          <w:vertAlign w:val="baseline"/>
          <w:lang w:val="en-US"/>
        </w:rPr>
        <w:t>ibid</w:t>
      </w:r>
    </w:p>
  </w:footnote>
  <w:footnote w:id="797">
    <w:p w14:paraId="3E55C205" w14:textId="77777777" w:rsidR="00431A55" w:rsidRPr="007A2F97" w:rsidRDefault="00431A55" w:rsidP="001C6724">
      <w:pPr>
        <w:pStyle w:val="FootnoteText"/>
        <w:rPr>
          <w:sz w:val="20"/>
          <w:szCs w:val="20"/>
          <w:vertAlign w:val="baseline"/>
          <w:lang w:val="en-US"/>
        </w:rPr>
      </w:pPr>
      <w:r w:rsidRPr="007A2F97">
        <w:rPr>
          <w:rStyle w:val="FootnoteReference"/>
          <w:sz w:val="20"/>
          <w:szCs w:val="20"/>
        </w:rPr>
        <w:footnoteRef/>
      </w:r>
      <w:r w:rsidRPr="007A2F97">
        <w:rPr>
          <w:sz w:val="20"/>
          <w:szCs w:val="20"/>
          <w:vertAlign w:val="baseline"/>
        </w:rPr>
        <w:t xml:space="preserve"> </w:t>
      </w:r>
      <w:r w:rsidRPr="007A2F97">
        <w:rPr>
          <w:sz w:val="20"/>
          <w:szCs w:val="20"/>
          <w:vertAlign w:val="baseline"/>
          <w:lang w:val="en-US"/>
        </w:rPr>
        <w:t>CEDAW Committee, ‘List of issues and questions in relation to the combined fourth and fifth periodic reports of India’ 28 October 2013 CEDAW/C/IND/Q/4-5</w:t>
      </w:r>
    </w:p>
  </w:footnote>
  <w:footnote w:id="798">
    <w:p w14:paraId="7B010A10" w14:textId="54F51909" w:rsidR="00431A55" w:rsidRPr="007A2F97" w:rsidRDefault="00431A55" w:rsidP="001C6724">
      <w:pPr>
        <w:pStyle w:val="FootnoteText"/>
        <w:rPr>
          <w:sz w:val="20"/>
          <w:szCs w:val="20"/>
          <w:vertAlign w:val="baseline"/>
          <w:lang w:val="en-US"/>
        </w:rPr>
      </w:pPr>
      <w:r w:rsidRPr="007A2F97">
        <w:rPr>
          <w:rStyle w:val="FootnoteReference"/>
          <w:sz w:val="20"/>
          <w:szCs w:val="20"/>
        </w:rPr>
        <w:footnoteRef/>
      </w:r>
      <w:r w:rsidRPr="007A2F97">
        <w:rPr>
          <w:sz w:val="20"/>
          <w:szCs w:val="20"/>
          <w:vertAlign w:val="baseline"/>
        </w:rPr>
        <w:t xml:space="preserve"> </w:t>
      </w:r>
      <w:r>
        <w:rPr>
          <w:sz w:val="20"/>
          <w:szCs w:val="20"/>
          <w:vertAlign w:val="baseline"/>
          <w:lang w:val="en-US"/>
        </w:rPr>
        <w:t>ibid,</w:t>
      </w:r>
      <w:r w:rsidRPr="007A2F97">
        <w:rPr>
          <w:sz w:val="20"/>
          <w:szCs w:val="20"/>
          <w:vertAlign w:val="baseline"/>
          <w:lang w:val="en-US"/>
        </w:rPr>
        <w:t xml:space="preserve"> para 2</w:t>
      </w:r>
    </w:p>
  </w:footnote>
  <w:footnote w:id="799">
    <w:p w14:paraId="71EBF641" w14:textId="5AF5FD3B" w:rsidR="00431A55" w:rsidRPr="007A2F97" w:rsidRDefault="00431A55" w:rsidP="001C6724">
      <w:pPr>
        <w:pStyle w:val="FootnoteText"/>
        <w:rPr>
          <w:sz w:val="20"/>
          <w:szCs w:val="20"/>
          <w:vertAlign w:val="baseline"/>
          <w:lang w:val="en-US"/>
        </w:rPr>
      </w:pPr>
      <w:r w:rsidRPr="007A2F97">
        <w:rPr>
          <w:rStyle w:val="FootnoteReference"/>
          <w:sz w:val="20"/>
          <w:szCs w:val="20"/>
        </w:rPr>
        <w:footnoteRef/>
      </w:r>
      <w:r w:rsidRPr="007A2F97">
        <w:rPr>
          <w:sz w:val="20"/>
          <w:szCs w:val="20"/>
          <w:vertAlign w:val="baseline"/>
        </w:rPr>
        <w:t xml:space="preserve"> </w:t>
      </w:r>
      <w:r>
        <w:rPr>
          <w:sz w:val="20"/>
          <w:szCs w:val="20"/>
          <w:vertAlign w:val="baseline"/>
          <w:lang w:val="en-US"/>
        </w:rPr>
        <w:t>ibid,</w:t>
      </w:r>
      <w:r w:rsidRPr="007A2F97">
        <w:rPr>
          <w:sz w:val="20"/>
          <w:szCs w:val="20"/>
          <w:vertAlign w:val="baseline"/>
          <w:lang w:val="en-US"/>
        </w:rPr>
        <w:t xml:space="preserve"> para 8</w:t>
      </w:r>
    </w:p>
  </w:footnote>
  <w:footnote w:id="800">
    <w:p w14:paraId="045311EE" w14:textId="734DEB0F" w:rsidR="00431A55" w:rsidRPr="007A2F97" w:rsidRDefault="00431A55" w:rsidP="001C6724">
      <w:pPr>
        <w:pStyle w:val="FootnoteText"/>
        <w:rPr>
          <w:sz w:val="20"/>
          <w:szCs w:val="20"/>
          <w:vertAlign w:val="baseline"/>
          <w:lang w:val="en-US"/>
        </w:rPr>
      </w:pPr>
      <w:r w:rsidRPr="007A2F97">
        <w:rPr>
          <w:rStyle w:val="FootnoteReference"/>
          <w:sz w:val="20"/>
          <w:szCs w:val="20"/>
        </w:rPr>
        <w:footnoteRef/>
      </w:r>
      <w:r w:rsidRPr="007A2F97">
        <w:rPr>
          <w:sz w:val="20"/>
          <w:szCs w:val="20"/>
        </w:rPr>
        <w:t xml:space="preserve"> </w:t>
      </w:r>
      <w:r>
        <w:rPr>
          <w:sz w:val="20"/>
          <w:szCs w:val="20"/>
          <w:vertAlign w:val="baseline"/>
          <w:lang w:val="en-US"/>
        </w:rPr>
        <w:t>ibid</w:t>
      </w:r>
    </w:p>
  </w:footnote>
  <w:footnote w:id="801">
    <w:p w14:paraId="01E383BF" w14:textId="77777777" w:rsidR="00431A55" w:rsidRPr="007A2F97" w:rsidRDefault="00431A55" w:rsidP="001C6724">
      <w:pPr>
        <w:pStyle w:val="FootnoteText"/>
        <w:rPr>
          <w:sz w:val="20"/>
          <w:szCs w:val="20"/>
          <w:vertAlign w:val="baseline"/>
          <w:lang w:val="en-US"/>
        </w:rPr>
      </w:pPr>
      <w:r w:rsidRPr="007A2F97">
        <w:rPr>
          <w:rStyle w:val="FootnoteReference"/>
          <w:sz w:val="20"/>
          <w:szCs w:val="20"/>
        </w:rPr>
        <w:footnoteRef/>
      </w:r>
      <w:r w:rsidRPr="007A2F97">
        <w:rPr>
          <w:sz w:val="20"/>
          <w:szCs w:val="20"/>
          <w:vertAlign w:val="baseline"/>
        </w:rPr>
        <w:t xml:space="preserve"> </w:t>
      </w:r>
      <w:r w:rsidRPr="007A2F97">
        <w:rPr>
          <w:sz w:val="20"/>
          <w:szCs w:val="20"/>
          <w:vertAlign w:val="baseline"/>
          <w:lang w:val="en-US"/>
        </w:rPr>
        <w:t>CEDAW Committee, List of issues and questions in relation to the combined fourth and fifth periodic reports of India: Replies of India’ 23 January 2014 CEDAW/C/IND/Q/4-5/Add.1</w:t>
      </w:r>
    </w:p>
  </w:footnote>
  <w:footnote w:id="802">
    <w:p w14:paraId="1041F747" w14:textId="1274CF5B" w:rsidR="00431A55" w:rsidRPr="00CB65F0" w:rsidRDefault="00431A55" w:rsidP="001C6724">
      <w:pPr>
        <w:pStyle w:val="FootnoteText"/>
        <w:rPr>
          <w:lang w:val="en-US"/>
        </w:rPr>
      </w:pPr>
      <w:r w:rsidRPr="007A2F97">
        <w:rPr>
          <w:rStyle w:val="FootnoteReference"/>
          <w:sz w:val="20"/>
          <w:szCs w:val="20"/>
        </w:rPr>
        <w:footnoteRef/>
      </w:r>
      <w:r w:rsidRPr="007A2F97">
        <w:rPr>
          <w:sz w:val="20"/>
          <w:szCs w:val="20"/>
          <w:vertAlign w:val="baseline"/>
        </w:rPr>
        <w:t xml:space="preserve"> </w:t>
      </w:r>
      <w:r>
        <w:rPr>
          <w:sz w:val="20"/>
          <w:szCs w:val="20"/>
          <w:vertAlign w:val="baseline"/>
          <w:lang w:val="en-US"/>
        </w:rPr>
        <w:t>ibid,</w:t>
      </w:r>
      <w:r w:rsidRPr="007A2F97">
        <w:rPr>
          <w:sz w:val="20"/>
          <w:szCs w:val="20"/>
          <w:vertAlign w:val="baseline"/>
          <w:lang w:val="en-US"/>
        </w:rPr>
        <w:t xml:space="preserve"> para 2</w:t>
      </w:r>
    </w:p>
  </w:footnote>
  <w:footnote w:id="803">
    <w:p w14:paraId="4DB81DCF" w14:textId="0C081004" w:rsidR="00431A55" w:rsidRPr="00B74BA4" w:rsidRDefault="00431A55" w:rsidP="001C6724">
      <w:pPr>
        <w:pStyle w:val="FootnoteText"/>
        <w:rPr>
          <w:sz w:val="20"/>
          <w:szCs w:val="20"/>
          <w:vertAlign w:val="baseline"/>
          <w:lang w:val="en-US"/>
        </w:rPr>
      </w:pPr>
      <w:r w:rsidRPr="00B74BA4">
        <w:rPr>
          <w:rStyle w:val="FootnoteReference"/>
          <w:sz w:val="20"/>
          <w:szCs w:val="20"/>
        </w:rPr>
        <w:footnoteRef/>
      </w:r>
      <w:r w:rsidRPr="00B74BA4">
        <w:rPr>
          <w:sz w:val="20"/>
          <w:szCs w:val="20"/>
          <w:vertAlign w:val="baseline"/>
        </w:rPr>
        <w:t xml:space="preserve"> </w:t>
      </w:r>
      <w:r>
        <w:rPr>
          <w:sz w:val="20"/>
          <w:szCs w:val="20"/>
          <w:vertAlign w:val="baseline"/>
          <w:lang w:val="en-US"/>
        </w:rPr>
        <w:t>ibid</w:t>
      </w:r>
    </w:p>
  </w:footnote>
  <w:footnote w:id="804">
    <w:p w14:paraId="2B5C75D4" w14:textId="40E16C12" w:rsidR="00431A55" w:rsidRPr="00B74BA4" w:rsidRDefault="00431A55" w:rsidP="001C6724">
      <w:pPr>
        <w:pStyle w:val="FootnoteText"/>
        <w:rPr>
          <w:sz w:val="20"/>
          <w:szCs w:val="20"/>
          <w:vertAlign w:val="baseline"/>
          <w:lang w:val="en-US"/>
        </w:rPr>
      </w:pPr>
      <w:r w:rsidRPr="00B74BA4">
        <w:rPr>
          <w:rStyle w:val="FootnoteReference"/>
          <w:sz w:val="20"/>
          <w:szCs w:val="20"/>
        </w:rPr>
        <w:footnoteRef/>
      </w:r>
      <w:r w:rsidRPr="00B74BA4">
        <w:rPr>
          <w:sz w:val="20"/>
          <w:szCs w:val="20"/>
          <w:vertAlign w:val="baseline"/>
        </w:rPr>
        <w:t xml:space="preserve"> </w:t>
      </w:r>
      <w:r>
        <w:rPr>
          <w:sz w:val="20"/>
          <w:szCs w:val="20"/>
          <w:vertAlign w:val="baseline"/>
          <w:lang w:val="en-US"/>
        </w:rPr>
        <w:t>ibid</w:t>
      </w:r>
    </w:p>
  </w:footnote>
  <w:footnote w:id="805">
    <w:p w14:paraId="15210183" w14:textId="2E68B840" w:rsidR="00431A55" w:rsidRPr="00B74BA4" w:rsidRDefault="00431A55" w:rsidP="001C6724">
      <w:pPr>
        <w:pStyle w:val="FootnoteText"/>
        <w:rPr>
          <w:sz w:val="20"/>
          <w:szCs w:val="20"/>
          <w:vertAlign w:val="baseline"/>
          <w:lang w:val="en-US"/>
        </w:rPr>
      </w:pPr>
      <w:r w:rsidRPr="00B74BA4">
        <w:rPr>
          <w:rStyle w:val="FootnoteReference"/>
          <w:sz w:val="20"/>
          <w:szCs w:val="20"/>
        </w:rPr>
        <w:footnoteRef/>
      </w:r>
      <w:r w:rsidRPr="00B74BA4">
        <w:rPr>
          <w:sz w:val="20"/>
          <w:szCs w:val="20"/>
        </w:rPr>
        <w:t xml:space="preserve"> </w:t>
      </w:r>
      <w:r>
        <w:rPr>
          <w:sz w:val="20"/>
          <w:szCs w:val="20"/>
          <w:vertAlign w:val="baseline"/>
          <w:lang w:val="en-US"/>
        </w:rPr>
        <w:t>ibid</w:t>
      </w:r>
      <w:r w:rsidRPr="00B74BA4">
        <w:rPr>
          <w:sz w:val="20"/>
          <w:szCs w:val="20"/>
          <w:vertAlign w:val="baseline"/>
          <w:lang w:val="en-US"/>
        </w:rPr>
        <w:t>, para 9</w:t>
      </w:r>
    </w:p>
  </w:footnote>
  <w:footnote w:id="806">
    <w:p w14:paraId="2E43BA9C" w14:textId="1A375335" w:rsidR="00431A55" w:rsidRPr="00B74BA4" w:rsidRDefault="00431A55" w:rsidP="001C6724">
      <w:pPr>
        <w:pStyle w:val="FootnoteText"/>
        <w:rPr>
          <w:sz w:val="20"/>
          <w:szCs w:val="20"/>
          <w:vertAlign w:val="baseline"/>
          <w:lang w:val="en-US"/>
        </w:rPr>
      </w:pPr>
      <w:r w:rsidRPr="00B74BA4">
        <w:rPr>
          <w:rStyle w:val="FootnoteReference"/>
          <w:sz w:val="20"/>
          <w:szCs w:val="20"/>
        </w:rPr>
        <w:footnoteRef/>
      </w:r>
      <w:r w:rsidRPr="00B74BA4">
        <w:rPr>
          <w:sz w:val="20"/>
          <w:szCs w:val="20"/>
        </w:rPr>
        <w:t xml:space="preserve"> </w:t>
      </w:r>
      <w:r>
        <w:rPr>
          <w:sz w:val="20"/>
          <w:szCs w:val="20"/>
          <w:vertAlign w:val="baseline"/>
          <w:lang w:val="en-US"/>
        </w:rPr>
        <w:t>See Section 4.4.2</w:t>
      </w:r>
    </w:p>
  </w:footnote>
  <w:footnote w:id="807">
    <w:p w14:paraId="775AB91A" w14:textId="77777777" w:rsidR="00431A55" w:rsidRPr="00B74BA4" w:rsidRDefault="00431A55" w:rsidP="001C6724">
      <w:pPr>
        <w:pStyle w:val="FootnoteText"/>
        <w:rPr>
          <w:sz w:val="20"/>
          <w:szCs w:val="20"/>
          <w:vertAlign w:val="baseline"/>
          <w:lang w:val="en-US"/>
        </w:rPr>
      </w:pPr>
      <w:r w:rsidRPr="00B74BA4">
        <w:rPr>
          <w:rStyle w:val="FootnoteReference"/>
          <w:sz w:val="20"/>
          <w:szCs w:val="20"/>
        </w:rPr>
        <w:footnoteRef/>
      </w:r>
      <w:r w:rsidRPr="00B74BA4">
        <w:rPr>
          <w:sz w:val="20"/>
          <w:szCs w:val="20"/>
          <w:vertAlign w:val="baseline"/>
        </w:rPr>
        <w:t xml:space="preserve"> CEDAW Committee, ‘Concluding observations on the combined fourth and fifth periodic reports of India’ 24 July 2014 CEDAW/C/IND/CO/4-5</w:t>
      </w:r>
    </w:p>
  </w:footnote>
  <w:footnote w:id="808">
    <w:p w14:paraId="6E7C10C1" w14:textId="0244147D" w:rsidR="00431A55" w:rsidRPr="00E21453" w:rsidRDefault="00431A55" w:rsidP="001C6724">
      <w:pPr>
        <w:pStyle w:val="FootnoteText"/>
        <w:rPr>
          <w:lang w:val="en-US"/>
        </w:rPr>
      </w:pPr>
      <w:r w:rsidRPr="00B74BA4">
        <w:rPr>
          <w:rStyle w:val="FootnoteReference"/>
          <w:sz w:val="20"/>
          <w:szCs w:val="20"/>
        </w:rPr>
        <w:footnoteRef/>
      </w:r>
      <w:r w:rsidRPr="00B74BA4">
        <w:rPr>
          <w:sz w:val="20"/>
          <w:szCs w:val="20"/>
        </w:rPr>
        <w:t xml:space="preserve"> </w:t>
      </w:r>
      <w:r>
        <w:rPr>
          <w:sz w:val="20"/>
          <w:szCs w:val="20"/>
          <w:vertAlign w:val="baseline"/>
        </w:rPr>
        <w:t>ibid,</w:t>
      </w:r>
      <w:r w:rsidRPr="00B74BA4">
        <w:rPr>
          <w:sz w:val="20"/>
          <w:szCs w:val="20"/>
          <w:vertAlign w:val="baseline"/>
        </w:rPr>
        <w:t xml:space="preserve"> para 20</w:t>
      </w:r>
    </w:p>
  </w:footnote>
  <w:footnote w:id="809">
    <w:p w14:paraId="289BB520" w14:textId="162B3FE2" w:rsidR="00431A55" w:rsidRPr="00A04C40" w:rsidRDefault="00431A55" w:rsidP="001C6724">
      <w:pPr>
        <w:pStyle w:val="FootnoteText"/>
        <w:rPr>
          <w:sz w:val="20"/>
          <w:szCs w:val="20"/>
          <w:vertAlign w:val="baseline"/>
          <w:lang w:val="en-US"/>
        </w:rPr>
      </w:pPr>
      <w:r w:rsidRPr="00A04C40">
        <w:rPr>
          <w:rStyle w:val="FootnoteReference"/>
          <w:sz w:val="20"/>
          <w:szCs w:val="20"/>
        </w:rPr>
        <w:footnoteRef/>
      </w:r>
      <w:r w:rsidRPr="00A04C40">
        <w:rPr>
          <w:sz w:val="20"/>
          <w:szCs w:val="20"/>
          <w:vertAlign w:val="baseline"/>
        </w:rPr>
        <w:t xml:space="preserve"> </w:t>
      </w:r>
      <w:r>
        <w:rPr>
          <w:sz w:val="20"/>
          <w:szCs w:val="20"/>
          <w:vertAlign w:val="baseline"/>
        </w:rPr>
        <w:t>ibid</w:t>
      </w:r>
    </w:p>
  </w:footnote>
  <w:footnote w:id="810">
    <w:p w14:paraId="78804D96" w14:textId="3D2FCEC3" w:rsidR="00431A55" w:rsidRPr="00A04C40" w:rsidRDefault="00431A55" w:rsidP="001C6724">
      <w:pPr>
        <w:pStyle w:val="FootnoteText"/>
        <w:rPr>
          <w:sz w:val="20"/>
          <w:szCs w:val="20"/>
          <w:vertAlign w:val="baseline"/>
          <w:lang w:val="en-US"/>
        </w:rPr>
      </w:pPr>
      <w:r w:rsidRPr="00A04C40">
        <w:rPr>
          <w:rStyle w:val="FootnoteReference"/>
          <w:sz w:val="20"/>
          <w:szCs w:val="20"/>
        </w:rPr>
        <w:footnoteRef/>
      </w:r>
      <w:r w:rsidRPr="00A04C40">
        <w:rPr>
          <w:sz w:val="20"/>
          <w:szCs w:val="20"/>
          <w:vertAlign w:val="baseline"/>
        </w:rPr>
        <w:t xml:space="preserve"> </w:t>
      </w:r>
      <w:r>
        <w:rPr>
          <w:sz w:val="20"/>
          <w:szCs w:val="20"/>
          <w:vertAlign w:val="baseline"/>
        </w:rPr>
        <w:t>ibid</w:t>
      </w:r>
    </w:p>
  </w:footnote>
  <w:footnote w:id="811">
    <w:p w14:paraId="6D2D5FD6" w14:textId="3FC43C78" w:rsidR="00431A55" w:rsidRPr="00A04C40" w:rsidRDefault="00431A55" w:rsidP="001C6724">
      <w:pPr>
        <w:pStyle w:val="FootnoteText"/>
        <w:rPr>
          <w:sz w:val="20"/>
          <w:szCs w:val="20"/>
          <w:vertAlign w:val="baseline"/>
          <w:lang w:val="en-US"/>
        </w:rPr>
      </w:pPr>
      <w:r w:rsidRPr="00A04C40">
        <w:rPr>
          <w:rStyle w:val="FootnoteReference"/>
          <w:sz w:val="20"/>
          <w:szCs w:val="20"/>
        </w:rPr>
        <w:footnoteRef/>
      </w:r>
      <w:r w:rsidRPr="00A04C40">
        <w:rPr>
          <w:sz w:val="20"/>
          <w:szCs w:val="20"/>
        </w:rPr>
        <w:t xml:space="preserve"> </w:t>
      </w:r>
      <w:r>
        <w:rPr>
          <w:sz w:val="20"/>
          <w:szCs w:val="20"/>
          <w:vertAlign w:val="baseline"/>
        </w:rPr>
        <w:t>ibid</w:t>
      </w:r>
    </w:p>
  </w:footnote>
  <w:footnote w:id="812">
    <w:p w14:paraId="00C287C3" w14:textId="3C9904A7" w:rsidR="00431A55" w:rsidRPr="00A04C40" w:rsidRDefault="00431A55" w:rsidP="001C6724">
      <w:pPr>
        <w:pStyle w:val="FootnoteText"/>
        <w:rPr>
          <w:sz w:val="20"/>
          <w:szCs w:val="20"/>
          <w:vertAlign w:val="baseline"/>
          <w:lang w:val="en-US"/>
        </w:rPr>
      </w:pPr>
      <w:r w:rsidRPr="00A04C40">
        <w:rPr>
          <w:rStyle w:val="FootnoteReference"/>
          <w:sz w:val="20"/>
          <w:szCs w:val="20"/>
        </w:rPr>
        <w:footnoteRef/>
      </w:r>
      <w:r w:rsidRPr="00A04C40">
        <w:rPr>
          <w:sz w:val="20"/>
          <w:szCs w:val="20"/>
        </w:rPr>
        <w:t xml:space="preserve"> </w:t>
      </w:r>
      <w:r>
        <w:rPr>
          <w:sz w:val="20"/>
          <w:szCs w:val="20"/>
          <w:vertAlign w:val="baseline"/>
        </w:rPr>
        <w:t>ibid</w:t>
      </w:r>
      <w:r w:rsidRPr="00A04C40">
        <w:rPr>
          <w:sz w:val="20"/>
          <w:szCs w:val="20"/>
          <w:vertAlign w:val="baseline"/>
        </w:rPr>
        <w:t>, para 21</w:t>
      </w:r>
    </w:p>
  </w:footnote>
  <w:footnote w:id="813">
    <w:p w14:paraId="41DEF06C" w14:textId="77777777" w:rsidR="00431A55" w:rsidRPr="002B0C31" w:rsidRDefault="00431A55" w:rsidP="001C6724">
      <w:pPr>
        <w:pStyle w:val="FootnoteText"/>
        <w:rPr>
          <w:lang w:val="en-US"/>
        </w:rPr>
      </w:pPr>
      <w:r w:rsidRPr="00A04C40">
        <w:rPr>
          <w:rStyle w:val="FootnoteReference"/>
          <w:sz w:val="20"/>
          <w:szCs w:val="20"/>
        </w:rPr>
        <w:footnoteRef/>
      </w:r>
      <w:r w:rsidRPr="00A04C40">
        <w:rPr>
          <w:sz w:val="20"/>
          <w:szCs w:val="20"/>
        </w:rPr>
        <w:t xml:space="preserve"> </w:t>
      </w:r>
      <w:r w:rsidRPr="00A04C40">
        <w:rPr>
          <w:sz w:val="20"/>
          <w:szCs w:val="20"/>
          <w:vertAlign w:val="baseline"/>
          <w:lang w:val="en-US"/>
        </w:rPr>
        <w:t xml:space="preserve">CEDAW Committee, Concluding comments of the Committee on the Elimination of Discrimination against Women: India’ 2 February 2007 </w:t>
      </w:r>
      <w:r w:rsidRPr="00A04C40">
        <w:rPr>
          <w:sz w:val="20"/>
          <w:szCs w:val="20"/>
          <w:vertAlign w:val="baseline"/>
        </w:rPr>
        <w:t>CEDAW/C/IND/CO/3, para 11</w:t>
      </w:r>
    </w:p>
  </w:footnote>
  <w:footnote w:id="814">
    <w:p w14:paraId="20BA3C00" w14:textId="77777777" w:rsidR="00431A55" w:rsidRPr="00267648" w:rsidRDefault="00431A55" w:rsidP="001C6724">
      <w:pPr>
        <w:rPr>
          <w:rFonts w:ascii="Times" w:eastAsia="Times New Roman" w:hAnsi="Times" w:cs="Times New Roman"/>
          <w:vertAlign w:val="baseline"/>
        </w:rPr>
      </w:pPr>
      <w:r w:rsidRPr="00267648">
        <w:rPr>
          <w:rStyle w:val="FootnoteReference"/>
        </w:rPr>
        <w:footnoteRef/>
      </w:r>
      <w:r w:rsidRPr="00267648">
        <w:rPr>
          <w:vertAlign w:val="baseline"/>
        </w:rPr>
        <w:t xml:space="preserve"> CEDAW Committee, ‘</w:t>
      </w:r>
      <w:r w:rsidRPr="00267648">
        <w:rPr>
          <w:rFonts w:eastAsia="Times New Roman" w:cs="Times New Roman"/>
          <w:vertAlign w:val="baseline"/>
        </w:rPr>
        <w:t>Consideration of reports submitted by States parties under article 18 of the Convention on the Elimination of All Forms of Discrimination against Women: Combined sixth and seventh periodic reports of States parties: Ghana’ 5 February 2013 CEDAW/C/GHA/6-7</w:t>
      </w:r>
    </w:p>
  </w:footnote>
  <w:footnote w:id="815">
    <w:p w14:paraId="239C85FF" w14:textId="0D95BFF2" w:rsidR="00431A55" w:rsidRPr="00267648" w:rsidRDefault="00431A55" w:rsidP="001C6724">
      <w:pPr>
        <w:pStyle w:val="FootnoteText"/>
        <w:rPr>
          <w:sz w:val="20"/>
          <w:szCs w:val="20"/>
          <w:vertAlign w:val="baseline"/>
          <w:lang w:val="en-US"/>
        </w:rPr>
      </w:pPr>
      <w:r w:rsidRPr="00267648">
        <w:rPr>
          <w:rStyle w:val="FootnoteReference"/>
          <w:sz w:val="20"/>
          <w:szCs w:val="20"/>
        </w:rPr>
        <w:footnoteRef/>
      </w:r>
      <w:r w:rsidRPr="00267648">
        <w:rPr>
          <w:sz w:val="20"/>
          <w:szCs w:val="20"/>
          <w:vertAlign w:val="baseline"/>
        </w:rPr>
        <w:t xml:space="preserve"> </w:t>
      </w:r>
      <w:r>
        <w:rPr>
          <w:sz w:val="20"/>
          <w:szCs w:val="20"/>
          <w:vertAlign w:val="baseline"/>
        </w:rPr>
        <w:t>ibid</w:t>
      </w:r>
      <w:r w:rsidRPr="00267648">
        <w:rPr>
          <w:rFonts w:eastAsia="Times New Roman" w:cs="Times New Roman"/>
          <w:sz w:val="20"/>
          <w:szCs w:val="20"/>
          <w:vertAlign w:val="baseline"/>
        </w:rPr>
        <w:t>, para 32</w:t>
      </w:r>
    </w:p>
  </w:footnote>
  <w:footnote w:id="816">
    <w:p w14:paraId="46CD51BE" w14:textId="797907C2" w:rsidR="00431A55" w:rsidRPr="00267648" w:rsidRDefault="00431A55" w:rsidP="001C6724">
      <w:pPr>
        <w:pStyle w:val="FootnoteText"/>
        <w:rPr>
          <w:sz w:val="20"/>
          <w:szCs w:val="20"/>
          <w:vertAlign w:val="baseline"/>
          <w:lang w:val="en-US"/>
        </w:rPr>
      </w:pPr>
      <w:r w:rsidRPr="00267648">
        <w:rPr>
          <w:rStyle w:val="FootnoteReference"/>
          <w:sz w:val="20"/>
          <w:szCs w:val="20"/>
        </w:rPr>
        <w:footnoteRef/>
      </w:r>
      <w:r w:rsidRPr="00267648">
        <w:rPr>
          <w:sz w:val="20"/>
          <w:szCs w:val="20"/>
          <w:vertAlign w:val="baseline"/>
        </w:rPr>
        <w:t xml:space="preserve"> </w:t>
      </w:r>
      <w:r>
        <w:rPr>
          <w:sz w:val="20"/>
          <w:szCs w:val="20"/>
          <w:vertAlign w:val="baseline"/>
        </w:rPr>
        <w:t>ibid,</w:t>
      </w:r>
      <w:r w:rsidRPr="00267648">
        <w:rPr>
          <w:rFonts w:eastAsia="Times New Roman" w:cs="Times New Roman"/>
          <w:sz w:val="20"/>
          <w:szCs w:val="20"/>
          <w:vertAlign w:val="baseline"/>
        </w:rPr>
        <w:t xml:space="preserve"> para 27</w:t>
      </w:r>
    </w:p>
  </w:footnote>
  <w:footnote w:id="817">
    <w:p w14:paraId="4DC5B226" w14:textId="280B5377" w:rsidR="00431A55" w:rsidRPr="00267648" w:rsidRDefault="00431A55" w:rsidP="001C6724">
      <w:pPr>
        <w:pStyle w:val="FootnoteText"/>
        <w:rPr>
          <w:sz w:val="20"/>
          <w:szCs w:val="20"/>
          <w:vertAlign w:val="baseline"/>
          <w:lang w:val="en-US"/>
        </w:rPr>
      </w:pPr>
      <w:r w:rsidRPr="00267648">
        <w:rPr>
          <w:rStyle w:val="FootnoteReference"/>
          <w:sz w:val="20"/>
          <w:szCs w:val="20"/>
        </w:rPr>
        <w:footnoteRef/>
      </w:r>
      <w:r w:rsidRPr="00267648">
        <w:rPr>
          <w:sz w:val="20"/>
          <w:szCs w:val="20"/>
          <w:vertAlign w:val="baseline"/>
        </w:rPr>
        <w:t xml:space="preserve"> </w:t>
      </w:r>
      <w:r>
        <w:rPr>
          <w:sz w:val="20"/>
          <w:szCs w:val="20"/>
          <w:vertAlign w:val="baseline"/>
        </w:rPr>
        <w:t>ibid</w:t>
      </w:r>
      <w:r w:rsidRPr="00267648">
        <w:rPr>
          <w:rFonts w:eastAsia="Times New Roman" w:cs="Times New Roman"/>
          <w:sz w:val="20"/>
          <w:szCs w:val="20"/>
          <w:vertAlign w:val="baseline"/>
        </w:rPr>
        <w:t>, para 169</w:t>
      </w:r>
    </w:p>
  </w:footnote>
  <w:footnote w:id="818">
    <w:p w14:paraId="34504AA0" w14:textId="3974CF16" w:rsidR="00431A55" w:rsidRPr="005257A4" w:rsidRDefault="00431A55" w:rsidP="001C6724">
      <w:pPr>
        <w:pStyle w:val="FootnoteText"/>
        <w:rPr>
          <w:lang w:val="en-US"/>
        </w:rPr>
      </w:pPr>
      <w:r w:rsidRPr="00267648">
        <w:rPr>
          <w:rStyle w:val="FootnoteReference"/>
          <w:sz w:val="20"/>
          <w:szCs w:val="20"/>
        </w:rPr>
        <w:footnoteRef/>
      </w:r>
      <w:r w:rsidRPr="00267648">
        <w:rPr>
          <w:sz w:val="20"/>
          <w:szCs w:val="20"/>
          <w:vertAlign w:val="baseline"/>
        </w:rPr>
        <w:t xml:space="preserve"> </w:t>
      </w:r>
      <w:r>
        <w:rPr>
          <w:sz w:val="20"/>
          <w:szCs w:val="20"/>
          <w:vertAlign w:val="baseline"/>
        </w:rPr>
        <w:t>ibid,</w:t>
      </w:r>
      <w:r w:rsidRPr="00267648">
        <w:rPr>
          <w:rFonts w:eastAsia="Times New Roman" w:cs="Times New Roman"/>
          <w:sz w:val="20"/>
          <w:szCs w:val="20"/>
          <w:vertAlign w:val="baseline"/>
        </w:rPr>
        <w:t xml:space="preserve"> para 169</w:t>
      </w:r>
    </w:p>
  </w:footnote>
  <w:footnote w:id="819">
    <w:p w14:paraId="074BA868" w14:textId="77777777" w:rsidR="00431A55" w:rsidRPr="00D62B17" w:rsidRDefault="00431A55" w:rsidP="001C6724">
      <w:pPr>
        <w:pStyle w:val="FootnoteText"/>
        <w:rPr>
          <w:sz w:val="20"/>
          <w:szCs w:val="20"/>
          <w:vertAlign w:val="baseline"/>
          <w:lang w:val="en-US"/>
        </w:rPr>
      </w:pPr>
      <w:r w:rsidRPr="00D62B17">
        <w:rPr>
          <w:rStyle w:val="FootnoteReference"/>
          <w:sz w:val="20"/>
          <w:szCs w:val="20"/>
        </w:rPr>
        <w:footnoteRef/>
      </w:r>
      <w:r w:rsidRPr="00D62B17">
        <w:rPr>
          <w:sz w:val="20"/>
          <w:szCs w:val="20"/>
          <w:vertAlign w:val="baseline"/>
        </w:rPr>
        <w:t xml:space="preserve"> CEDAW Committee, ‘List of issues and questions in relation to the combined sixth and seventh periodic reports of Ghana’ 10 March 2014 CEDAW/C/GHA/Q/6-7</w:t>
      </w:r>
    </w:p>
  </w:footnote>
  <w:footnote w:id="820">
    <w:p w14:paraId="7C884DCF" w14:textId="5062E691" w:rsidR="00431A55" w:rsidRPr="00D62B17" w:rsidRDefault="00431A55" w:rsidP="001C6724">
      <w:pPr>
        <w:pStyle w:val="FootnoteText"/>
        <w:rPr>
          <w:sz w:val="20"/>
          <w:szCs w:val="20"/>
          <w:vertAlign w:val="baseline"/>
          <w:lang w:val="en-US"/>
        </w:rPr>
      </w:pPr>
      <w:r w:rsidRPr="00D62B17">
        <w:rPr>
          <w:rStyle w:val="FootnoteReference"/>
          <w:sz w:val="20"/>
          <w:szCs w:val="20"/>
        </w:rPr>
        <w:footnoteRef/>
      </w:r>
      <w:r w:rsidRPr="00D62B17">
        <w:rPr>
          <w:sz w:val="20"/>
          <w:szCs w:val="20"/>
          <w:vertAlign w:val="baseline"/>
        </w:rPr>
        <w:t xml:space="preserve"> </w:t>
      </w:r>
      <w:r>
        <w:rPr>
          <w:sz w:val="20"/>
          <w:szCs w:val="20"/>
          <w:vertAlign w:val="baseline"/>
        </w:rPr>
        <w:t>ibid</w:t>
      </w:r>
      <w:r w:rsidRPr="00D62B17">
        <w:rPr>
          <w:sz w:val="20"/>
          <w:szCs w:val="20"/>
          <w:vertAlign w:val="baseline"/>
        </w:rPr>
        <w:t>, para 7</w:t>
      </w:r>
    </w:p>
  </w:footnote>
  <w:footnote w:id="821">
    <w:p w14:paraId="141DE89A" w14:textId="7A9374D1" w:rsidR="00431A55" w:rsidRPr="00D62B17" w:rsidRDefault="00431A55" w:rsidP="001C6724">
      <w:pPr>
        <w:pStyle w:val="FootnoteText"/>
        <w:rPr>
          <w:sz w:val="20"/>
          <w:szCs w:val="20"/>
          <w:vertAlign w:val="baseline"/>
          <w:lang w:val="en-US"/>
        </w:rPr>
      </w:pPr>
      <w:r w:rsidRPr="00D62B17">
        <w:rPr>
          <w:rStyle w:val="FootnoteReference"/>
          <w:sz w:val="20"/>
          <w:szCs w:val="20"/>
        </w:rPr>
        <w:footnoteRef/>
      </w:r>
      <w:r w:rsidRPr="00D62B17">
        <w:rPr>
          <w:sz w:val="20"/>
          <w:szCs w:val="20"/>
          <w:vertAlign w:val="baseline"/>
        </w:rPr>
        <w:t xml:space="preserve"> </w:t>
      </w:r>
      <w:r w:rsidRPr="00ED41C6">
        <w:rPr>
          <w:sz w:val="20"/>
          <w:szCs w:val="20"/>
          <w:vertAlign w:val="baseline"/>
        </w:rPr>
        <w:t>CEDAW Committe</w:t>
      </w:r>
      <w:r>
        <w:rPr>
          <w:sz w:val="20"/>
          <w:szCs w:val="20"/>
          <w:vertAlign w:val="baseline"/>
        </w:rPr>
        <w:t>e, ‘</w:t>
      </w:r>
      <w:r w:rsidRPr="00ED41C6">
        <w:rPr>
          <w:sz w:val="20"/>
          <w:szCs w:val="20"/>
          <w:vertAlign w:val="baseline"/>
        </w:rPr>
        <w:t>Replies of Ghana’</w:t>
      </w:r>
      <w:r>
        <w:rPr>
          <w:sz w:val="20"/>
          <w:szCs w:val="20"/>
          <w:vertAlign w:val="baseline"/>
        </w:rPr>
        <w:t xml:space="preserve"> (n 495)</w:t>
      </w:r>
    </w:p>
  </w:footnote>
  <w:footnote w:id="822">
    <w:p w14:paraId="5A710CB9" w14:textId="52D5425E" w:rsidR="00431A55" w:rsidRPr="00D62B17" w:rsidRDefault="00431A55" w:rsidP="001C6724">
      <w:pPr>
        <w:pStyle w:val="FootnoteText"/>
        <w:rPr>
          <w:sz w:val="20"/>
          <w:szCs w:val="20"/>
          <w:vertAlign w:val="baseline"/>
          <w:lang w:val="en-US"/>
        </w:rPr>
      </w:pPr>
      <w:r w:rsidRPr="00D62B17">
        <w:rPr>
          <w:rStyle w:val="FootnoteReference"/>
          <w:sz w:val="20"/>
          <w:szCs w:val="20"/>
        </w:rPr>
        <w:footnoteRef/>
      </w:r>
      <w:r w:rsidRPr="00D62B17">
        <w:rPr>
          <w:sz w:val="20"/>
          <w:szCs w:val="20"/>
        </w:rPr>
        <w:t xml:space="preserve"> </w:t>
      </w:r>
      <w:r>
        <w:rPr>
          <w:sz w:val="20"/>
          <w:szCs w:val="20"/>
          <w:vertAlign w:val="baseline"/>
        </w:rPr>
        <w:t>ibid</w:t>
      </w:r>
      <w:r w:rsidRPr="00D62B17">
        <w:rPr>
          <w:sz w:val="20"/>
          <w:szCs w:val="20"/>
          <w:vertAlign w:val="baseline"/>
        </w:rPr>
        <w:t>, para 32</w:t>
      </w:r>
    </w:p>
  </w:footnote>
  <w:footnote w:id="823">
    <w:p w14:paraId="3E01F890" w14:textId="2DF95110" w:rsidR="00431A55" w:rsidRPr="00D62B17" w:rsidRDefault="00431A55" w:rsidP="001C6724">
      <w:pPr>
        <w:pStyle w:val="FootnoteText"/>
        <w:rPr>
          <w:sz w:val="20"/>
          <w:szCs w:val="20"/>
          <w:vertAlign w:val="baseline"/>
          <w:lang w:val="en-US"/>
        </w:rPr>
      </w:pPr>
      <w:r w:rsidRPr="00D62B17">
        <w:rPr>
          <w:rStyle w:val="FootnoteReference"/>
          <w:sz w:val="20"/>
          <w:szCs w:val="20"/>
        </w:rPr>
        <w:footnoteRef/>
      </w:r>
      <w:r w:rsidRPr="00D62B17">
        <w:rPr>
          <w:sz w:val="20"/>
          <w:szCs w:val="20"/>
          <w:vertAlign w:val="baseline"/>
        </w:rPr>
        <w:t xml:space="preserve"> </w:t>
      </w:r>
      <w:r>
        <w:rPr>
          <w:sz w:val="20"/>
          <w:szCs w:val="20"/>
          <w:vertAlign w:val="baseline"/>
        </w:rPr>
        <w:t>ibid,</w:t>
      </w:r>
      <w:r w:rsidRPr="00D62B17">
        <w:rPr>
          <w:sz w:val="20"/>
          <w:szCs w:val="20"/>
          <w:vertAlign w:val="baseline"/>
        </w:rPr>
        <w:t xml:space="preserve"> para 36</w:t>
      </w:r>
    </w:p>
  </w:footnote>
  <w:footnote w:id="824">
    <w:p w14:paraId="6CA9809B" w14:textId="12C5B337" w:rsidR="00431A55" w:rsidRPr="00E4528B" w:rsidRDefault="00431A55" w:rsidP="001C6724">
      <w:pPr>
        <w:pStyle w:val="FootnoteText"/>
        <w:rPr>
          <w:lang w:val="en-US"/>
        </w:rPr>
      </w:pPr>
      <w:r w:rsidRPr="00D62B17">
        <w:rPr>
          <w:rStyle w:val="FootnoteReference"/>
          <w:sz w:val="20"/>
          <w:szCs w:val="20"/>
        </w:rPr>
        <w:footnoteRef/>
      </w:r>
      <w:r w:rsidRPr="00D62B17">
        <w:rPr>
          <w:sz w:val="20"/>
          <w:szCs w:val="20"/>
        </w:rPr>
        <w:t xml:space="preserve"> </w:t>
      </w:r>
      <w:r>
        <w:rPr>
          <w:sz w:val="20"/>
          <w:szCs w:val="20"/>
          <w:vertAlign w:val="baseline"/>
          <w:lang w:val="en-US"/>
        </w:rPr>
        <w:t>See Section 4.4.1</w:t>
      </w:r>
    </w:p>
  </w:footnote>
  <w:footnote w:id="825">
    <w:p w14:paraId="3DB7A169" w14:textId="33DE8BE1" w:rsidR="00431A55" w:rsidRPr="00ED41C6" w:rsidRDefault="00431A55" w:rsidP="001C6724">
      <w:pPr>
        <w:pStyle w:val="FootnoteText"/>
        <w:rPr>
          <w:sz w:val="20"/>
          <w:szCs w:val="20"/>
          <w:vertAlign w:val="baseline"/>
          <w:lang w:val="en-US"/>
        </w:rPr>
      </w:pPr>
      <w:r w:rsidRPr="00ED41C6">
        <w:rPr>
          <w:rStyle w:val="FootnoteReference"/>
          <w:sz w:val="20"/>
          <w:szCs w:val="20"/>
        </w:rPr>
        <w:footnoteRef/>
      </w:r>
      <w:r w:rsidRPr="00ED41C6">
        <w:rPr>
          <w:sz w:val="20"/>
          <w:szCs w:val="20"/>
        </w:rPr>
        <w:t xml:space="preserve"> </w:t>
      </w:r>
      <w:r w:rsidRPr="00ED41C6">
        <w:rPr>
          <w:sz w:val="20"/>
          <w:szCs w:val="20"/>
          <w:vertAlign w:val="baseline"/>
        </w:rPr>
        <w:t>CEDAW Committe</w:t>
      </w:r>
      <w:r>
        <w:rPr>
          <w:sz w:val="20"/>
          <w:szCs w:val="20"/>
          <w:vertAlign w:val="baseline"/>
        </w:rPr>
        <w:t>e, ‘</w:t>
      </w:r>
      <w:r w:rsidRPr="00ED41C6">
        <w:rPr>
          <w:sz w:val="20"/>
          <w:szCs w:val="20"/>
          <w:vertAlign w:val="baseline"/>
        </w:rPr>
        <w:t xml:space="preserve">Replies of Ghana’ </w:t>
      </w:r>
      <w:r>
        <w:rPr>
          <w:sz w:val="20"/>
          <w:szCs w:val="20"/>
          <w:vertAlign w:val="baseline"/>
        </w:rPr>
        <w:t xml:space="preserve">(n 495) </w:t>
      </w:r>
      <w:r w:rsidRPr="00ED41C6">
        <w:rPr>
          <w:sz w:val="20"/>
          <w:szCs w:val="20"/>
          <w:vertAlign w:val="baseline"/>
        </w:rPr>
        <w:t>para 37</w:t>
      </w:r>
    </w:p>
  </w:footnote>
  <w:footnote w:id="826">
    <w:p w14:paraId="48B81096" w14:textId="2EE2BD00" w:rsidR="00431A55" w:rsidRPr="00ED41C6" w:rsidRDefault="00431A55" w:rsidP="001C6724">
      <w:pPr>
        <w:pStyle w:val="FootnoteText"/>
        <w:rPr>
          <w:sz w:val="20"/>
          <w:szCs w:val="20"/>
          <w:vertAlign w:val="baseline"/>
          <w:lang w:val="en-US"/>
        </w:rPr>
      </w:pPr>
      <w:r w:rsidRPr="00ED41C6">
        <w:rPr>
          <w:rStyle w:val="FootnoteReference"/>
          <w:sz w:val="20"/>
          <w:szCs w:val="20"/>
        </w:rPr>
        <w:footnoteRef/>
      </w:r>
      <w:r w:rsidRPr="00ED41C6">
        <w:rPr>
          <w:sz w:val="20"/>
          <w:szCs w:val="20"/>
          <w:vertAlign w:val="baseline"/>
        </w:rPr>
        <w:t xml:space="preserve"> </w:t>
      </w:r>
      <w:r>
        <w:rPr>
          <w:sz w:val="20"/>
          <w:szCs w:val="20"/>
          <w:vertAlign w:val="baseline"/>
        </w:rPr>
        <w:t>ibid,</w:t>
      </w:r>
      <w:r w:rsidRPr="00ED41C6">
        <w:rPr>
          <w:sz w:val="20"/>
          <w:szCs w:val="20"/>
          <w:vertAlign w:val="baseline"/>
        </w:rPr>
        <w:t xml:space="preserve"> para 37 (a)</w:t>
      </w:r>
    </w:p>
  </w:footnote>
  <w:footnote w:id="827">
    <w:p w14:paraId="5861235B" w14:textId="0FDC80EF" w:rsidR="00431A55" w:rsidRPr="00ED41C6" w:rsidRDefault="00431A55" w:rsidP="001C6724">
      <w:pPr>
        <w:pStyle w:val="FootnoteText"/>
        <w:rPr>
          <w:sz w:val="20"/>
          <w:szCs w:val="20"/>
          <w:vertAlign w:val="baseline"/>
          <w:lang w:val="en-US"/>
        </w:rPr>
      </w:pPr>
      <w:r w:rsidRPr="00ED41C6">
        <w:rPr>
          <w:rStyle w:val="FootnoteReference"/>
          <w:sz w:val="20"/>
          <w:szCs w:val="20"/>
        </w:rPr>
        <w:footnoteRef/>
      </w:r>
      <w:r w:rsidRPr="00ED41C6">
        <w:rPr>
          <w:sz w:val="20"/>
          <w:szCs w:val="20"/>
          <w:vertAlign w:val="baseline"/>
        </w:rPr>
        <w:t xml:space="preserve"> </w:t>
      </w:r>
      <w:r>
        <w:rPr>
          <w:sz w:val="20"/>
          <w:szCs w:val="20"/>
          <w:vertAlign w:val="baseline"/>
        </w:rPr>
        <w:t>ibid,</w:t>
      </w:r>
      <w:r w:rsidRPr="00ED41C6">
        <w:rPr>
          <w:sz w:val="20"/>
          <w:szCs w:val="20"/>
          <w:vertAlign w:val="baseline"/>
        </w:rPr>
        <w:t xml:space="preserve"> para 37 (b)</w:t>
      </w:r>
    </w:p>
  </w:footnote>
  <w:footnote w:id="828">
    <w:p w14:paraId="2196443C" w14:textId="7188A642" w:rsidR="00431A55" w:rsidRPr="00ED41C6" w:rsidRDefault="00431A55" w:rsidP="001C6724">
      <w:pPr>
        <w:pStyle w:val="FootnoteText"/>
        <w:rPr>
          <w:sz w:val="20"/>
          <w:szCs w:val="20"/>
          <w:vertAlign w:val="baseline"/>
          <w:lang w:val="en-US"/>
        </w:rPr>
      </w:pPr>
      <w:r w:rsidRPr="00ED41C6">
        <w:rPr>
          <w:rStyle w:val="FootnoteReference"/>
          <w:sz w:val="20"/>
          <w:szCs w:val="20"/>
        </w:rPr>
        <w:footnoteRef/>
      </w:r>
      <w:r w:rsidRPr="00ED41C6">
        <w:rPr>
          <w:sz w:val="20"/>
          <w:szCs w:val="20"/>
        </w:rPr>
        <w:t xml:space="preserve"> </w:t>
      </w:r>
      <w:r>
        <w:rPr>
          <w:sz w:val="20"/>
          <w:szCs w:val="20"/>
          <w:vertAlign w:val="baseline"/>
        </w:rPr>
        <w:t>ibid,</w:t>
      </w:r>
      <w:r w:rsidRPr="00ED41C6">
        <w:rPr>
          <w:sz w:val="20"/>
          <w:szCs w:val="20"/>
          <w:vertAlign w:val="baseline"/>
        </w:rPr>
        <w:t xml:space="preserve"> para 37 (c)</w:t>
      </w:r>
    </w:p>
  </w:footnote>
  <w:footnote w:id="829">
    <w:p w14:paraId="1CC47409" w14:textId="77777777" w:rsidR="00431A55" w:rsidRPr="00AC0506" w:rsidRDefault="00431A55" w:rsidP="001C6724">
      <w:pPr>
        <w:pStyle w:val="FootnoteText"/>
        <w:rPr>
          <w:lang w:val="en-US"/>
        </w:rPr>
      </w:pPr>
      <w:r w:rsidRPr="00ED41C6">
        <w:rPr>
          <w:rStyle w:val="FootnoteReference"/>
          <w:sz w:val="20"/>
          <w:szCs w:val="20"/>
        </w:rPr>
        <w:footnoteRef/>
      </w:r>
      <w:r w:rsidRPr="00ED41C6">
        <w:rPr>
          <w:sz w:val="20"/>
          <w:szCs w:val="20"/>
          <w:vertAlign w:val="baseline"/>
        </w:rPr>
        <w:t xml:space="preserve"> </w:t>
      </w:r>
      <w:r w:rsidRPr="00ED41C6">
        <w:rPr>
          <w:sz w:val="20"/>
          <w:szCs w:val="20"/>
          <w:vertAlign w:val="baseline"/>
          <w:lang w:val="en-US"/>
        </w:rPr>
        <w:t xml:space="preserve">Dasmani Laary, ‘Ghana shuts down witches’ camp’ </w:t>
      </w:r>
      <w:r w:rsidRPr="00ED41C6">
        <w:rPr>
          <w:i/>
          <w:sz w:val="20"/>
          <w:szCs w:val="20"/>
          <w:vertAlign w:val="baseline"/>
          <w:lang w:val="en-US"/>
        </w:rPr>
        <w:t>The Africa Report</w:t>
      </w:r>
      <w:r w:rsidRPr="00ED41C6">
        <w:rPr>
          <w:sz w:val="20"/>
          <w:szCs w:val="20"/>
          <w:vertAlign w:val="baseline"/>
          <w:lang w:val="en-US"/>
        </w:rPr>
        <w:t xml:space="preserve"> (Ghana 19 December 2014)</w:t>
      </w:r>
      <w:r w:rsidRPr="00ED41C6">
        <w:rPr>
          <w:sz w:val="20"/>
          <w:szCs w:val="20"/>
          <w:vertAlign w:val="baseline"/>
        </w:rPr>
        <w:t xml:space="preserve"> &lt;</w:t>
      </w:r>
      <w:hyperlink r:id="rId106" w:history="1">
        <w:r w:rsidRPr="00ED41C6">
          <w:rPr>
            <w:rStyle w:val="Hyperlink"/>
            <w:sz w:val="20"/>
            <w:szCs w:val="20"/>
            <w:vertAlign w:val="baseline"/>
            <w:lang w:val="en-US"/>
          </w:rPr>
          <w:t>http://www.theafricareport.com/Society-and-Culture/ghana-shuts-down-witches-camp.html</w:t>
        </w:r>
      </w:hyperlink>
      <w:r w:rsidRPr="00ED41C6">
        <w:rPr>
          <w:sz w:val="20"/>
          <w:szCs w:val="20"/>
          <w:vertAlign w:val="baseline"/>
          <w:lang w:val="en-US"/>
        </w:rPr>
        <w:t>&gt; accessed 24 November 2015</w:t>
      </w:r>
    </w:p>
  </w:footnote>
  <w:footnote w:id="830">
    <w:p w14:paraId="37A446A0" w14:textId="1CE8923B" w:rsidR="00431A55" w:rsidRPr="00AC4A8A" w:rsidRDefault="00431A55" w:rsidP="001C6724">
      <w:pPr>
        <w:pStyle w:val="FootnoteText"/>
        <w:rPr>
          <w:sz w:val="20"/>
          <w:szCs w:val="20"/>
          <w:vertAlign w:val="baseline"/>
          <w:lang w:val="en-US"/>
        </w:rPr>
      </w:pPr>
      <w:r w:rsidRPr="00AC4A8A">
        <w:rPr>
          <w:rStyle w:val="FootnoteReference"/>
          <w:sz w:val="20"/>
          <w:szCs w:val="20"/>
        </w:rPr>
        <w:footnoteRef/>
      </w:r>
      <w:r w:rsidRPr="00AC4A8A">
        <w:rPr>
          <w:sz w:val="20"/>
          <w:szCs w:val="20"/>
          <w:vertAlign w:val="baseline"/>
        </w:rPr>
        <w:t xml:space="preserve"> CEDAW Committee, ‘Replies of Ghana’ </w:t>
      </w:r>
      <w:r>
        <w:rPr>
          <w:sz w:val="20"/>
          <w:szCs w:val="20"/>
          <w:vertAlign w:val="baseline"/>
        </w:rPr>
        <w:t xml:space="preserve">(n 495) </w:t>
      </w:r>
      <w:r w:rsidRPr="00AC4A8A">
        <w:rPr>
          <w:sz w:val="20"/>
          <w:szCs w:val="20"/>
          <w:vertAlign w:val="baseline"/>
        </w:rPr>
        <w:t>para 38</w:t>
      </w:r>
    </w:p>
  </w:footnote>
  <w:footnote w:id="831">
    <w:p w14:paraId="34363B4C" w14:textId="77777777" w:rsidR="00431A55" w:rsidRPr="00AC4A8A" w:rsidRDefault="00431A55" w:rsidP="001C6724">
      <w:pPr>
        <w:pStyle w:val="FootnoteText"/>
        <w:rPr>
          <w:sz w:val="20"/>
          <w:szCs w:val="20"/>
          <w:vertAlign w:val="baseline"/>
        </w:rPr>
      </w:pPr>
      <w:r w:rsidRPr="00AC4A8A">
        <w:rPr>
          <w:rStyle w:val="FootnoteReference"/>
          <w:sz w:val="20"/>
          <w:szCs w:val="20"/>
        </w:rPr>
        <w:footnoteRef/>
      </w:r>
      <w:r w:rsidRPr="00AC4A8A">
        <w:rPr>
          <w:sz w:val="20"/>
          <w:szCs w:val="20"/>
          <w:vertAlign w:val="baseline"/>
        </w:rPr>
        <w:t xml:space="preserve"> &lt;</w:t>
      </w:r>
      <w:hyperlink r:id="rId107" w:history="1">
        <w:r w:rsidRPr="00AC4A8A">
          <w:rPr>
            <w:rStyle w:val="Hyperlink"/>
            <w:sz w:val="20"/>
            <w:szCs w:val="20"/>
            <w:vertAlign w:val="baseline"/>
          </w:rPr>
          <w:t>http://www.lordinafoundation.org/</w:t>
        </w:r>
      </w:hyperlink>
      <w:r w:rsidRPr="00AC4A8A">
        <w:rPr>
          <w:sz w:val="20"/>
          <w:szCs w:val="20"/>
          <w:vertAlign w:val="baseline"/>
        </w:rPr>
        <w:t xml:space="preserve">&gt; accessed 23 June 2015 </w:t>
      </w:r>
    </w:p>
  </w:footnote>
  <w:footnote w:id="832">
    <w:p w14:paraId="1F8D9DEA" w14:textId="77777777" w:rsidR="00431A55" w:rsidRPr="00AC4A8A" w:rsidRDefault="00431A55" w:rsidP="001C6724">
      <w:pPr>
        <w:pStyle w:val="FootnoteText"/>
        <w:rPr>
          <w:sz w:val="20"/>
          <w:szCs w:val="20"/>
          <w:vertAlign w:val="baseline"/>
          <w:lang w:val="en-US"/>
        </w:rPr>
      </w:pPr>
      <w:r w:rsidRPr="00AC4A8A">
        <w:rPr>
          <w:rStyle w:val="FootnoteReference"/>
          <w:sz w:val="20"/>
          <w:szCs w:val="20"/>
        </w:rPr>
        <w:footnoteRef/>
      </w:r>
      <w:r w:rsidRPr="00AC4A8A">
        <w:rPr>
          <w:sz w:val="20"/>
          <w:szCs w:val="20"/>
          <w:vertAlign w:val="baseline"/>
        </w:rPr>
        <w:t xml:space="preserve"> CEDAW Committee, ‘Concluding observations on the combined sixth and seventh periodic reports of Ghana’ 14 November 2014 CEDAW/C/GHA/CO/6-7</w:t>
      </w:r>
    </w:p>
  </w:footnote>
  <w:footnote w:id="833">
    <w:p w14:paraId="16EFE28B" w14:textId="7D3165F7" w:rsidR="00431A55" w:rsidRPr="00AC4A8A" w:rsidRDefault="00431A55" w:rsidP="001C6724">
      <w:pPr>
        <w:pStyle w:val="FootnoteText"/>
        <w:rPr>
          <w:sz w:val="20"/>
          <w:szCs w:val="20"/>
          <w:vertAlign w:val="baseline"/>
          <w:lang w:val="en-US"/>
        </w:rPr>
      </w:pPr>
      <w:r w:rsidRPr="00AC4A8A">
        <w:rPr>
          <w:rStyle w:val="FootnoteReference"/>
          <w:sz w:val="20"/>
          <w:szCs w:val="20"/>
        </w:rPr>
        <w:footnoteRef/>
      </w:r>
      <w:r w:rsidRPr="00AC4A8A">
        <w:rPr>
          <w:sz w:val="20"/>
          <w:szCs w:val="20"/>
        </w:rPr>
        <w:t xml:space="preserve"> </w:t>
      </w:r>
      <w:r>
        <w:rPr>
          <w:sz w:val="20"/>
          <w:szCs w:val="20"/>
          <w:vertAlign w:val="baseline"/>
        </w:rPr>
        <w:t>ibid,</w:t>
      </w:r>
      <w:r w:rsidRPr="00AC4A8A">
        <w:rPr>
          <w:sz w:val="20"/>
          <w:szCs w:val="20"/>
          <w:vertAlign w:val="baseline"/>
        </w:rPr>
        <w:t xml:space="preserve"> para 22</w:t>
      </w:r>
    </w:p>
  </w:footnote>
  <w:footnote w:id="834">
    <w:p w14:paraId="0BD29B62" w14:textId="6436C977" w:rsidR="00431A55" w:rsidRPr="00AC4A8A" w:rsidRDefault="00431A55" w:rsidP="001C6724">
      <w:pPr>
        <w:pStyle w:val="FootnoteText"/>
        <w:rPr>
          <w:sz w:val="20"/>
          <w:szCs w:val="20"/>
          <w:vertAlign w:val="baseline"/>
          <w:lang w:val="en-US"/>
        </w:rPr>
      </w:pPr>
      <w:r w:rsidRPr="00AC4A8A">
        <w:rPr>
          <w:rStyle w:val="FootnoteReference"/>
          <w:sz w:val="20"/>
          <w:szCs w:val="20"/>
        </w:rPr>
        <w:footnoteRef/>
      </w:r>
      <w:r w:rsidRPr="00AC4A8A">
        <w:rPr>
          <w:sz w:val="20"/>
          <w:szCs w:val="20"/>
          <w:vertAlign w:val="baseline"/>
        </w:rPr>
        <w:t xml:space="preserve"> </w:t>
      </w:r>
      <w:r>
        <w:rPr>
          <w:sz w:val="20"/>
          <w:szCs w:val="20"/>
          <w:vertAlign w:val="baseline"/>
        </w:rPr>
        <w:t>ibid</w:t>
      </w:r>
      <w:r w:rsidRPr="00AC4A8A">
        <w:rPr>
          <w:sz w:val="20"/>
          <w:szCs w:val="20"/>
          <w:vertAlign w:val="baseline"/>
        </w:rPr>
        <w:t>, para 24</w:t>
      </w:r>
    </w:p>
  </w:footnote>
  <w:footnote w:id="835">
    <w:p w14:paraId="299FAA83" w14:textId="1CDF9978" w:rsidR="00431A55" w:rsidRPr="00AA3FE0" w:rsidRDefault="00431A55" w:rsidP="001C6724">
      <w:pPr>
        <w:pStyle w:val="FootnoteText"/>
        <w:rPr>
          <w:lang w:val="en-US"/>
        </w:rPr>
      </w:pPr>
      <w:r w:rsidRPr="00AC4A8A">
        <w:rPr>
          <w:rStyle w:val="FootnoteReference"/>
          <w:sz w:val="20"/>
          <w:szCs w:val="20"/>
        </w:rPr>
        <w:footnoteRef/>
      </w:r>
      <w:r w:rsidRPr="00AC4A8A">
        <w:rPr>
          <w:sz w:val="20"/>
          <w:szCs w:val="20"/>
          <w:vertAlign w:val="baseline"/>
        </w:rPr>
        <w:t xml:space="preserve"> </w:t>
      </w:r>
      <w:r>
        <w:rPr>
          <w:sz w:val="20"/>
          <w:szCs w:val="20"/>
          <w:vertAlign w:val="baseline"/>
        </w:rPr>
        <w:t>ibid</w:t>
      </w:r>
      <w:r w:rsidRPr="00AC4A8A">
        <w:rPr>
          <w:sz w:val="20"/>
          <w:szCs w:val="20"/>
          <w:vertAlign w:val="baseline"/>
        </w:rPr>
        <w:t>, para 23(a)</w:t>
      </w:r>
    </w:p>
  </w:footnote>
  <w:footnote w:id="836">
    <w:p w14:paraId="6D5D27FF" w14:textId="72C8EC01" w:rsidR="00431A55" w:rsidRPr="001876C7" w:rsidRDefault="00431A55" w:rsidP="001C6724">
      <w:pPr>
        <w:pStyle w:val="FootnoteText"/>
        <w:rPr>
          <w:sz w:val="20"/>
          <w:szCs w:val="20"/>
          <w:vertAlign w:val="baseline"/>
          <w:lang w:val="en-US"/>
        </w:rPr>
      </w:pPr>
      <w:r w:rsidRPr="001876C7">
        <w:rPr>
          <w:rStyle w:val="FootnoteReference"/>
          <w:sz w:val="20"/>
          <w:szCs w:val="20"/>
        </w:rPr>
        <w:footnoteRef/>
      </w:r>
      <w:r w:rsidRPr="001876C7">
        <w:rPr>
          <w:sz w:val="20"/>
          <w:szCs w:val="20"/>
          <w:vertAlign w:val="baseline"/>
        </w:rPr>
        <w:t xml:space="preserve"> </w:t>
      </w:r>
      <w:r>
        <w:rPr>
          <w:sz w:val="20"/>
          <w:szCs w:val="20"/>
          <w:vertAlign w:val="baseline"/>
        </w:rPr>
        <w:t>ibid,</w:t>
      </w:r>
      <w:r w:rsidRPr="001876C7">
        <w:rPr>
          <w:sz w:val="20"/>
          <w:szCs w:val="20"/>
          <w:vertAlign w:val="baseline"/>
        </w:rPr>
        <w:t xml:space="preserve"> para 25</w:t>
      </w:r>
    </w:p>
  </w:footnote>
  <w:footnote w:id="837">
    <w:p w14:paraId="29D45B9F" w14:textId="77777777" w:rsidR="00431A55" w:rsidRPr="00D03613" w:rsidRDefault="00431A55" w:rsidP="001C6724">
      <w:pPr>
        <w:pStyle w:val="FootnoteText"/>
        <w:rPr>
          <w:lang w:val="en-US"/>
        </w:rPr>
      </w:pPr>
      <w:r w:rsidRPr="001876C7">
        <w:rPr>
          <w:rStyle w:val="FootnoteReference"/>
          <w:sz w:val="20"/>
          <w:szCs w:val="20"/>
        </w:rPr>
        <w:footnoteRef/>
      </w:r>
      <w:r w:rsidRPr="001876C7">
        <w:rPr>
          <w:sz w:val="20"/>
          <w:szCs w:val="20"/>
          <w:vertAlign w:val="baseline"/>
        </w:rPr>
        <w:t xml:space="preserve"> </w:t>
      </w:r>
      <w:r w:rsidRPr="001876C7">
        <w:rPr>
          <w:sz w:val="20"/>
          <w:szCs w:val="20"/>
          <w:vertAlign w:val="baseline"/>
          <w:lang w:val="en-US"/>
        </w:rPr>
        <w:t>CEDAW Committee, ‘</w:t>
      </w:r>
      <w:r w:rsidRPr="001876C7">
        <w:rPr>
          <w:rFonts w:eastAsia="Times New Roman" w:cs="Times New Roman"/>
          <w:sz w:val="20"/>
          <w:szCs w:val="20"/>
          <w:vertAlign w:val="baseline"/>
        </w:rPr>
        <w:t>Consideration of reports submitted by States parties under article 18 of the Convention on the Elimination of All Forms of Discrimination against Women: Combined initial, second and third periodic report of Papua New Guinea,’ 22 May 2009 CEDAW/C/PNG/3</w:t>
      </w:r>
    </w:p>
  </w:footnote>
  <w:footnote w:id="838">
    <w:p w14:paraId="52CBB183" w14:textId="20737FE8" w:rsidR="00431A55" w:rsidRPr="001876C7" w:rsidRDefault="00431A55" w:rsidP="001C6724">
      <w:pPr>
        <w:pStyle w:val="FootnoteText"/>
        <w:rPr>
          <w:sz w:val="20"/>
          <w:szCs w:val="20"/>
          <w:vertAlign w:val="baseline"/>
          <w:lang w:val="en-US"/>
        </w:rPr>
      </w:pPr>
      <w:r w:rsidRPr="001876C7">
        <w:rPr>
          <w:rStyle w:val="FootnoteReference"/>
          <w:sz w:val="20"/>
          <w:szCs w:val="20"/>
        </w:rPr>
        <w:footnoteRef/>
      </w:r>
      <w:r w:rsidRPr="001876C7">
        <w:rPr>
          <w:sz w:val="20"/>
          <w:szCs w:val="20"/>
        </w:rPr>
        <w:t xml:space="preserve"> </w:t>
      </w:r>
      <w:r>
        <w:rPr>
          <w:sz w:val="20"/>
          <w:szCs w:val="20"/>
          <w:vertAlign w:val="baseline"/>
          <w:lang w:val="en-US"/>
        </w:rPr>
        <w:t>ibid</w:t>
      </w:r>
      <w:r w:rsidRPr="001876C7">
        <w:rPr>
          <w:rFonts w:eastAsia="Times New Roman" w:cs="Times New Roman"/>
          <w:sz w:val="20"/>
          <w:szCs w:val="20"/>
          <w:vertAlign w:val="baseline"/>
        </w:rPr>
        <w:t>, para 5.7</w:t>
      </w:r>
    </w:p>
  </w:footnote>
  <w:footnote w:id="839">
    <w:p w14:paraId="6B65C4C1" w14:textId="5CF1D178" w:rsidR="00431A55" w:rsidRPr="00150E38" w:rsidRDefault="00431A55" w:rsidP="001C6724">
      <w:pPr>
        <w:pStyle w:val="FootnoteText"/>
        <w:rPr>
          <w:sz w:val="20"/>
          <w:szCs w:val="20"/>
          <w:vertAlign w:val="baseline"/>
          <w:lang w:val="en-US"/>
        </w:rPr>
      </w:pPr>
      <w:r w:rsidRPr="00150E38">
        <w:rPr>
          <w:rStyle w:val="FootnoteReference"/>
          <w:sz w:val="20"/>
          <w:szCs w:val="20"/>
        </w:rPr>
        <w:footnoteRef/>
      </w:r>
      <w:r w:rsidRPr="00150E38">
        <w:rPr>
          <w:sz w:val="20"/>
          <w:szCs w:val="20"/>
        </w:rPr>
        <w:t xml:space="preserve"> </w:t>
      </w:r>
      <w:r>
        <w:rPr>
          <w:sz w:val="20"/>
          <w:szCs w:val="20"/>
          <w:vertAlign w:val="baseline"/>
          <w:lang w:val="en-US"/>
        </w:rPr>
        <w:t>ibid</w:t>
      </w:r>
    </w:p>
  </w:footnote>
  <w:footnote w:id="840">
    <w:p w14:paraId="3A3A1BF8" w14:textId="77777777" w:rsidR="00431A55" w:rsidRPr="00150E38" w:rsidRDefault="00431A55" w:rsidP="001C6724">
      <w:pPr>
        <w:pStyle w:val="FootnoteText"/>
        <w:rPr>
          <w:sz w:val="20"/>
          <w:szCs w:val="20"/>
          <w:vertAlign w:val="baseline"/>
          <w:lang w:val="en-US"/>
        </w:rPr>
      </w:pPr>
      <w:r w:rsidRPr="00150E38">
        <w:rPr>
          <w:rStyle w:val="FootnoteReference"/>
          <w:sz w:val="20"/>
          <w:szCs w:val="20"/>
        </w:rPr>
        <w:footnoteRef/>
      </w:r>
      <w:r w:rsidRPr="00150E38">
        <w:rPr>
          <w:sz w:val="20"/>
          <w:szCs w:val="20"/>
          <w:vertAlign w:val="baseline"/>
        </w:rPr>
        <w:t xml:space="preserve"> </w:t>
      </w:r>
      <w:r w:rsidRPr="00150E38">
        <w:rPr>
          <w:sz w:val="20"/>
          <w:szCs w:val="20"/>
          <w:vertAlign w:val="baseline"/>
          <w:lang w:val="en-US"/>
        </w:rPr>
        <w:t>CEDAW Committee, ‘List of issues and questions with regard to the consideration of periodic reports: Papua New Guinea’ 15 September 2009 CEDAW/C/PNG/Q/3, para 13</w:t>
      </w:r>
    </w:p>
  </w:footnote>
  <w:footnote w:id="841">
    <w:p w14:paraId="624FDCAC" w14:textId="77777777" w:rsidR="00431A55" w:rsidRPr="00150E38" w:rsidRDefault="00431A55" w:rsidP="001C6724">
      <w:pPr>
        <w:pStyle w:val="FootnoteText"/>
        <w:rPr>
          <w:sz w:val="20"/>
          <w:szCs w:val="20"/>
          <w:vertAlign w:val="baseline"/>
          <w:lang w:val="en-US"/>
        </w:rPr>
      </w:pPr>
      <w:r w:rsidRPr="00150E38">
        <w:rPr>
          <w:rStyle w:val="FootnoteReference"/>
          <w:sz w:val="20"/>
          <w:szCs w:val="20"/>
        </w:rPr>
        <w:footnoteRef/>
      </w:r>
      <w:r w:rsidRPr="00150E38">
        <w:rPr>
          <w:sz w:val="20"/>
          <w:szCs w:val="20"/>
          <w:vertAlign w:val="baseline"/>
        </w:rPr>
        <w:t xml:space="preserve"> </w:t>
      </w:r>
      <w:r w:rsidRPr="00150E38">
        <w:rPr>
          <w:sz w:val="20"/>
          <w:szCs w:val="20"/>
          <w:vertAlign w:val="baseline"/>
          <w:lang w:val="en-US"/>
        </w:rPr>
        <w:t>CEDAW Committee, ‘Responses to the list of issues and questions with regard to the consideration of the combined initial, second and third periodic reports: Papua New Guinea’ 19 March 2010 CEDAW/C/PNG/Q/3/Add.1, 20</w:t>
      </w:r>
    </w:p>
  </w:footnote>
  <w:footnote w:id="842">
    <w:p w14:paraId="2CD19BAF" w14:textId="7347FC7F" w:rsidR="00431A55" w:rsidRPr="00BC5A9A" w:rsidRDefault="00431A55" w:rsidP="001C6724">
      <w:pPr>
        <w:pStyle w:val="FootnoteText"/>
        <w:rPr>
          <w:lang w:val="en-US"/>
        </w:rPr>
      </w:pPr>
      <w:r w:rsidRPr="00150E38">
        <w:rPr>
          <w:rStyle w:val="FootnoteReference"/>
          <w:sz w:val="20"/>
          <w:szCs w:val="20"/>
        </w:rPr>
        <w:footnoteRef/>
      </w:r>
      <w:r w:rsidRPr="00150E38">
        <w:rPr>
          <w:sz w:val="20"/>
          <w:szCs w:val="20"/>
          <w:vertAlign w:val="baseline"/>
        </w:rPr>
        <w:t xml:space="preserve"> </w:t>
      </w:r>
      <w:r>
        <w:rPr>
          <w:sz w:val="20"/>
          <w:szCs w:val="20"/>
          <w:vertAlign w:val="baseline"/>
          <w:lang w:val="en-US"/>
        </w:rPr>
        <w:t>ibid</w:t>
      </w:r>
      <w:r w:rsidRPr="00150E38">
        <w:rPr>
          <w:sz w:val="20"/>
          <w:szCs w:val="20"/>
          <w:vertAlign w:val="baseline"/>
          <w:lang w:val="en-US"/>
        </w:rPr>
        <w:t xml:space="preserve"> 20</w:t>
      </w:r>
    </w:p>
  </w:footnote>
  <w:footnote w:id="843">
    <w:p w14:paraId="004E6351" w14:textId="77777777" w:rsidR="00431A55" w:rsidRPr="00564DD5" w:rsidRDefault="00431A55" w:rsidP="001C6724">
      <w:pPr>
        <w:pStyle w:val="FootnoteText"/>
        <w:rPr>
          <w:sz w:val="20"/>
          <w:szCs w:val="20"/>
          <w:vertAlign w:val="baseline"/>
          <w:lang w:val="en-US"/>
        </w:rPr>
      </w:pPr>
      <w:r w:rsidRPr="00564DD5">
        <w:rPr>
          <w:rStyle w:val="FootnoteReference"/>
          <w:sz w:val="20"/>
          <w:szCs w:val="20"/>
        </w:rPr>
        <w:footnoteRef/>
      </w:r>
      <w:r w:rsidRPr="00564DD5">
        <w:rPr>
          <w:sz w:val="20"/>
          <w:szCs w:val="20"/>
          <w:vertAlign w:val="baseline"/>
        </w:rPr>
        <w:t xml:space="preserve"> </w:t>
      </w:r>
      <w:r w:rsidRPr="00564DD5">
        <w:rPr>
          <w:sz w:val="20"/>
          <w:szCs w:val="20"/>
          <w:vertAlign w:val="baseline"/>
          <w:lang w:val="en-US"/>
        </w:rPr>
        <w:t>CEDAW Committee, ‘Concluding observations of the Committee on the Elimination of Discrimination against Women’ 30 July 2010 CEDAW/C/PNG/CO/3</w:t>
      </w:r>
    </w:p>
  </w:footnote>
  <w:footnote w:id="844">
    <w:p w14:paraId="5A44CCA0" w14:textId="059A42A8" w:rsidR="00431A55" w:rsidRPr="00564DD5" w:rsidRDefault="00431A55" w:rsidP="001C6724">
      <w:pPr>
        <w:pStyle w:val="FootnoteText"/>
        <w:rPr>
          <w:sz w:val="20"/>
          <w:szCs w:val="20"/>
          <w:vertAlign w:val="baseline"/>
          <w:lang w:val="en-US"/>
        </w:rPr>
      </w:pPr>
      <w:r w:rsidRPr="00564DD5">
        <w:rPr>
          <w:rStyle w:val="FootnoteReference"/>
          <w:sz w:val="20"/>
          <w:szCs w:val="20"/>
        </w:rPr>
        <w:footnoteRef/>
      </w:r>
      <w:r w:rsidRPr="00564DD5">
        <w:rPr>
          <w:sz w:val="20"/>
          <w:szCs w:val="20"/>
          <w:vertAlign w:val="baseline"/>
        </w:rPr>
        <w:t xml:space="preserve"> </w:t>
      </w:r>
      <w:r>
        <w:rPr>
          <w:sz w:val="20"/>
          <w:szCs w:val="20"/>
          <w:vertAlign w:val="baseline"/>
          <w:lang w:val="en-US"/>
        </w:rPr>
        <w:t>ibid,</w:t>
      </w:r>
      <w:r w:rsidRPr="00564DD5">
        <w:rPr>
          <w:sz w:val="20"/>
          <w:szCs w:val="20"/>
          <w:vertAlign w:val="baseline"/>
          <w:lang w:val="en-US"/>
        </w:rPr>
        <w:t xml:space="preserve"> para 27</w:t>
      </w:r>
    </w:p>
  </w:footnote>
  <w:footnote w:id="845">
    <w:p w14:paraId="1C6B0ACB" w14:textId="1B73BC00" w:rsidR="00431A55" w:rsidRPr="00564DD5" w:rsidRDefault="00431A55" w:rsidP="001C6724">
      <w:pPr>
        <w:pStyle w:val="FootnoteText"/>
        <w:rPr>
          <w:sz w:val="20"/>
          <w:szCs w:val="20"/>
          <w:vertAlign w:val="baseline"/>
          <w:lang w:val="en-US"/>
        </w:rPr>
      </w:pPr>
      <w:r w:rsidRPr="00564DD5">
        <w:rPr>
          <w:rStyle w:val="FootnoteReference"/>
          <w:sz w:val="20"/>
          <w:szCs w:val="20"/>
        </w:rPr>
        <w:footnoteRef/>
      </w:r>
      <w:r w:rsidRPr="00564DD5">
        <w:rPr>
          <w:sz w:val="20"/>
          <w:szCs w:val="20"/>
          <w:vertAlign w:val="baseline"/>
        </w:rPr>
        <w:t xml:space="preserve"> </w:t>
      </w:r>
      <w:r>
        <w:rPr>
          <w:sz w:val="20"/>
          <w:szCs w:val="20"/>
          <w:vertAlign w:val="baseline"/>
          <w:lang w:val="en-US"/>
        </w:rPr>
        <w:t>ibid</w:t>
      </w:r>
    </w:p>
  </w:footnote>
  <w:footnote w:id="846">
    <w:p w14:paraId="5189C87D" w14:textId="15E19285" w:rsidR="00431A55" w:rsidRPr="00564DD5" w:rsidRDefault="00431A55" w:rsidP="001C6724">
      <w:pPr>
        <w:pStyle w:val="FootnoteText"/>
        <w:rPr>
          <w:sz w:val="20"/>
          <w:szCs w:val="20"/>
          <w:vertAlign w:val="baseline"/>
          <w:lang w:val="en-US"/>
        </w:rPr>
      </w:pPr>
      <w:r w:rsidRPr="00564DD5">
        <w:rPr>
          <w:rStyle w:val="FootnoteReference"/>
          <w:sz w:val="20"/>
          <w:szCs w:val="20"/>
        </w:rPr>
        <w:footnoteRef/>
      </w:r>
      <w:r w:rsidRPr="00564DD5">
        <w:rPr>
          <w:sz w:val="20"/>
          <w:szCs w:val="20"/>
        </w:rPr>
        <w:t xml:space="preserve"> </w:t>
      </w:r>
      <w:r>
        <w:rPr>
          <w:sz w:val="20"/>
          <w:szCs w:val="20"/>
          <w:vertAlign w:val="baseline"/>
          <w:lang w:val="en-US"/>
        </w:rPr>
        <w:t>ibid,</w:t>
      </w:r>
      <w:r w:rsidRPr="00564DD5">
        <w:rPr>
          <w:sz w:val="20"/>
          <w:szCs w:val="20"/>
          <w:vertAlign w:val="baseline"/>
          <w:lang w:val="en-US"/>
        </w:rPr>
        <w:t xml:space="preserve"> para 28</w:t>
      </w:r>
    </w:p>
  </w:footnote>
  <w:footnote w:id="847">
    <w:p w14:paraId="2DDD4CD6" w14:textId="7477E967" w:rsidR="00431A55" w:rsidRPr="00564DD5" w:rsidRDefault="00431A55" w:rsidP="001C6724">
      <w:pPr>
        <w:pStyle w:val="FootnoteText"/>
        <w:rPr>
          <w:sz w:val="20"/>
          <w:szCs w:val="20"/>
          <w:vertAlign w:val="baseline"/>
          <w:lang w:val="en-US"/>
        </w:rPr>
      </w:pPr>
      <w:r w:rsidRPr="00564DD5">
        <w:rPr>
          <w:rStyle w:val="FootnoteReference"/>
          <w:sz w:val="20"/>
          <w:szCs w:val="20"/>
        </w:rPr>
        <w:footnoteRef/>
      </w:r>
      <w:r w:rsidRPr="00564DD5">
        <w:rPr>
          <w:sz w:val="20"/>
          <w:szCs w:val="20"/>
          <w:vertAlign w:val="baseline"/>
        </w:rPr>
        <w:t xml:space="preserve"> </w:t>
      </w:r>
      <w:r>
        <w:rPr>
          <w:sz w:val="20"/>
          <w:szCs w:val="20"/>
          <w:vertAlign w:val="baseline"/>
          <w:lang w:val="en-US"/>
        </w:rPr>
        <w:t>ibid</w:t>
      </w:r>
    </w:p>
  </w:footnote>
  <w:footnote w:id="848">
    <w:p w14:paraId="1DD97706" w14:textId="7E403C5E" w:rsidR="00431A55" w:rsidRPr="00564DD5" w:rsidRDefault="00431A55" w:rsidP="001C6724">
      <w:pPr>
        <w:pStyle w:val="FootnoteText"/>
        <w:rPr>
          <w:sz w:val="20"/>
          <w:szCs w:val="20"/>
          <w:vertAlign w:val="baseline"/>
          <w:lang w:val="en-US"/>
        </w:rPr>
      </w:pPr>
      <w:r w:rsidRPr="00564DD5">
        <w:rPr>
          <w:rStyle w:val="FootnoteReference"/>
          <w:sz w:val="20"/>
          <w:szCs w:val="20"/>
        </w:rPr>
        <w:footnoteRef/>
      </w:r>
      <w:r w:rsidRPr="00564DD5">
        <w:rPr>
          <w:sz w:val="20"/>
          <w:szCs w:val="20"/>
          <w:vertAlign w:val="baseline"/>
        </w:rPr>
        <w:t xml:space="preserve"> </w:t>
      </w:r>
      <w:r>
        <w:rPr>
          <w:sz w:val="20"/>
          <w:szCs w:val="20"/>
          <w:vertAlign w:val="baseline"/>
          <w:lang w:val="en-US"/>
        </w:rPr>
        <w:t>ibid</w:t>
      </w:r>
    </w:p>
  </w:footnote>
  <w:footnote w:id="849">
    <w:p w14:paraId="3AB7ED62" w14:textId="7A382134" w:rsidR="00431A55" w:rsidRPr="00564DD5" w:rsidRDefault="00431A55" w:rsidP="001C6724">
      <w:pPr>
        <w:pStyle w:val="FootnoteText"/>
        <w:rPr>
          <w:sz w:val="20"/>
          <w:szCs w:val="20"/>
          <w:vertAlign w:val="baseline"/>
          <w:lang w:val="en-US"/>
        </w:rPr>
      </w:pPr>
      <w:r w:rsidRPr="00564DD5">
        <w:rPr>
          <w:rStyle w:val="FootnoteReference"/>
          <w:sz w:val="20"/>
          <w:szCs w:val="20"/>
        </w:rPr>
        <w:footnoteRef/>
      </w:r>
      <w:r w:rsidRPr="00564DD5">
        <w:rPr>
          <w:sz w:val="20"/>
          <w:szCs w:val="20"/>
          <w:vertAlign w:val="baseline"/>
        </w:rPr>
        <w:t xml:space="preserve"> </w:t>
      </w:r>
      <w:r>
        <w:rPr>
          <w:sz w:val="20"/>
          <w:szCs w:val="20"/>
          <w:vertAlign w:val="baseline"/>
          <w:lang w:val="en-US"/>
        </w:rPr>
        <w:t>ibid</w:t>
      </w:r>
    </w:p>
  </w:footnote>
  <w:footnote w:id="850">
    <w:p w14:paraId="3D1A9807" w14:textId="0B29A9BF" w:rsidR="00431A55" w:rsidRPr="00BB1743" w:rsidRDefault="00431A55" w:rsidP="001C6724">
      <w:pPr>
        <w:pStyle w:val="FootnoteText"/>
        <w:rPr>
          <w:lang w:val="en-US"/>
        </w:rPr>
      </w:pPr>
      <w:r w:rsidRPr="00564DD5">
        <w:rPr>
          <w:rStyle w:val="FootnoteReference"/>
          <w:sz w:val="20"/>
          <w:szCs w:val="20"/>
        </w:rPr>
        <w:footnoteRef/>
      </w:r>
      <w:r w:rsidRPr="00564DD5">
        <w:rPr>
          <w:sz w:val="20"/>
          <w:szCs w:val="20"/>
          <w:vertAlign w:val="baseline"/>
        </w:rPr>
        <w:t xml:space="preserve"> </w:t>
      </w:r>
      <w:r>
        <w:rPr>
          <w:sz w:val="20"/>
          <w:szCs w:val="20"/>
          <w:vertAlign w:val="baseline"/>
          <w:lang w:val="en-US"/>
        </w:rPr>
        <w:t>ibid,</w:t>
      </w:r>
      <w:r w:rsidRPr="00564DD5">
        <w:rPr>
          <w:sz w:val="20"/>
          <w:szCs w:val="20"/>
          <w:vertAlign w:val="baseline"/>
          <w:lang w:val="en-US"/>
        </w:rPr>
        <w:t xml:space="preserve"> para 27</w:t>
      </w:r>
    </w:p>
  </w:footnote>
  <w:footnote w:id="851">
    <w:p w14:paraId="40470CB3" w14:textId="1242C46F" w:rsidR="00431A55" w:rsidRPr="00F21730" w:rsidRDefault="00431A55" w:rsidP="001C6724">
      <w:pPr>
        <w:pStyle w:val="FootnoteText"/>
        <w:rPr>
          <w:sz w:val="20"/>
          <w:szCs w:val="20"/>
          <w:vertAlign w:val="baseline"/>
        </w:rPr>
      </w:pPr>
      <w:r w:rsidRPr="00F21730">
        <w:rPr>
          <w:rStyle w:val="FootnoteReference"/>
          <w:sz w:val="20"/>
          <w:szCs w:val="20"/>
        </w:rPr>
        <w:footnoteRef/>
      </w:r>
      <w:r w:rsidRPr="00F21730">
        <w:rPr>
          <w:sz w:val="20"/>
          <w:szCs w:val="20"/>
        </w:rPr>
        <w:t xml:space="preserve"> </w:t>
      </w:r>
      <w:r>
        <w:rPr>
          <w:sz w:val="20"/>
          <w:szCs w:val="20"/>
          <w:vertAlign w:val="baseline"/>
        </w:rPr>
        <w:t>OHCHR</w:t>
      </w:r>
      <w:r w:rsidRPr="00F21730">
        <w:rPr>
          <w:sz w:val="20"/>
          <w:szCs w:val="20"/>
          <w:vertAlign w:val="baseline"/>
        </w:rPr>
        <w:t>, ‘Reporting status for Papua New Guinea’ &lt;</w:t>
      </w:r>
      <w:hyperlink r:id="rId108" w:history="1">
        <w:r w:rsidRPr="00F21730">
          <w:rPr>
            <w:rStyle w:val="Hyperlink"/>
            <w:sz w:val="20"/>
            <w:szCs w:val="20"/>
            <w:vertAlign w:val="baseline"/>
          </w:rPr>
          <w:t>http://tbinternet.ohchr.org/_layouts/TreatyBodyExternal/Countries.aspx?CountryCode=PNG&amp;Lang=EN</w:t>
        </w:r>
      </w:hyperlink>
      <w:r w:rsidRPr="00F21730">
        <w:rPr>
          <w:sz w:val="20"/>
          <w:szCs w:val="20"/>
          <w:vertAlign w:val="baseline"/>
        </w:rPr>
        <w:t>&gt; accessed 12 January 2016</w:t>
      </w:r>
    </w:p>
  </w:footnote>
  <w:footnote w:id="852">
    <w:p w14:paraId="6D522F6B" w14:textId="1E35416E" w:rsidR="00431A55" w:rsidRPr="00526341" w:rsidRDefault="00431A55">
      <w:pPr>
        <w:pStyle w:val="FootnoteText"/>
        <w:rPr>
          <w:sz w:val="20"/>
          <w:szCs w:val="20"/>
          <w:vertAlign w:val="baseline"/>
          <w:lang w:val="en-US"/>
        </w:rPr>
      </w:pPr>
      <w:r w:rsidRPr="00526341">
        <w:rPr>
          <w:rStyle w:val="FootnoteReference"/>
          <w:sz w:val="20"/>
          <w:szCs w:val="20"/>
        </w:rPr>
        <w:footnoteRef/>
      </w:r>
      <w:r w:rsidRPr="00526341">
        <w:rPr>
          <w:sz w:val="20"/>
          <w:szCs w:val="20"/>
        </w:rPr>
        <w:t xml:space="preserve"> </w:t>
      </w:r>
      <w:r>
        <w:rPr>
          <w:sz w:val="20"/>
          <w:szCs w:val="20"/>
          <w:vertAlign w:val="baseline"/>
        </w:rPr>
        <w:t xml:space="preserve">Andrew Byrnes, ‘The Committee on the Elimination of Discrimination against Women’ in Anne Hellum and Henriette Sinding Aasen, </w:t>
      </w:r>
      <w:r>
        <w:rPr>
          <w:i/>
          <w:sz w:val="20"/>
          <w:szCs w:val="20"/>
          <w:vertAlign w:val="baseline"/>
        </w:rPr>
        <w:t>Women’s Human Rights: CEDAW in International, Regional and National Law</w:t>
      </w:r>
      <w:r>
        <w:rPr>
          <w:sz w:val="20"/>
          <w:szCs w:val="20"/>
          <w:vertAlign w:val="baseline"/>
        </w:rPr>
        <w:t xml:space="preserve"> (CUP 2013) 56</w:t>
      </w:r>
    </w:p>
  </w:footnote>
  <w:footnote w:id="853">
    <w:p w14:paraId="30228624" w14:textId="4788093E" w:rsidR="00431A55" w:rsidRPr="00E56867" w:rsidRDefault="00431A55">
      <w:pPr>
        <w:pStyle w:val="FootnoteText"/>
        <w:rPr>
          <w:sz w:val="20"/>
          <w:szCs w:val="20"/>
          <w:vertAlign w:val="baseline"/>
          <w:lang w:val="en-US"/>
        </w:rPr>
      </w:pPr>
      <w:r w:rsidRPr="00E56867">
        <w:rPr>
          <w:rStyle w:val="FootnoteReference"/>
          <w:sz w:val="20"/>
          <w:szCs w:val="20"/>
        </w:rPr>
        <w:footnoteRef/>
      </w:r>
      <w:r w:rsidRPr="00E56867">
        <w:rPr>
          <w:sz w:val="20"/>
          <w:szCs w:val="20"/>
        </w:rPr>
        <w:t xml:space="preserve"> </w:t>
      </w:r>
      <w:r>
        <w:rPr>
          <w:sz w:val="20"/>
          <w:szCs w:val="20"/>
          <w:vertAlign w:val="baseline"/>
        </w:rPr>
        <w:t>ibid</w:t>
      </w:r>
    </w:p>
  </w:footnote>
  <w:footnote w:id="854">
    <w:p w14:paraId="01B5E3F9" w14:textId="20723547" w:rsidR="00431A55" w:rsidRPr="00FF454E" w:rsidRDefault="00431A55">
      <w:pPr>
        <w:pStyle w:val="FootnoteText"/>
        <w:rPr>
          <w:sz w:val="20"/>
          <w:szCs w:val="20"/>
          <w:vertAlign w:val="baseline"/>
          <w:lang w:val="en-US"/>
        </w:rPr>
      </w:pPr>
      <w:r w:rsidRPr="00FF454E">
        <w:rPr>
          <w:rStyle w:val="FootnoteReference"/>
          <w:sz w:val="20"/>
          <w:szCs w:val="20"/>
        </w:rPr>
        <w:footnoteRef/>
      </w:r>
      <w:r w:rsidRPr="00FF454E">
        <w:rPr>
          <w:sz w:val="20"/>
          <w:szCs w:val="20"/>
        </w:rPr>
        <w:t xml:space="preserve"> </w:t>
      </w:r>
      <w:r>
        <w:rPr>
          <w:sz w:val="20"/>
          <w:szCs w:val="20"/>
          <w:vertAlign w:val="baseline"/>
        </w:rPr>
        <w:t>ibid</w:t>
      </w:r>
    </w:p>
  </w:footnote>
  <w:footnote w:id="855">
    <w:p w14:paraId="10F2AE8F" w14:textId="41DDB471" w:rsidR="00431A55" w:rsidRPr="009F7F27" w:rsidRDefault="00431A55">
      <w:pPr>
        <w:pStyle w:val="FootnoteText"/>
        <w:rPr>
          <w:sz w:val="20"/>
          <w:szCs w:val="20"/>
          <w:vertAlign w:val="baseline"/>
          <w:lang w:val="en-US"/>
        </w:rPr>
      </w:pPr>
      <w:r w:rsidRPr="009F7F27">
        <w:rPr>
          <w:rStyle w:val="FootnoteReference"/>
          <w:sz w:val="20"/>
          <w:szCs w:val="20"/>
        </w:rPr>
        <w:footnoteRef/>
      </w:r>
      <w:r w:rsidRPr="009F7F27">
        <w:rPr>
          <w:sz w:val="20"/>
          <w:szCs w:val="20"/>
        </w:rPr>
        <w:t xml:space="preserve"> </w:t>
      </w:r>
      <w:r>
        <w:rPr>
          <w:sz w:val="20"/>
          <w:szCs w:val="20"/>
          <w:vertAlign w:val="baseline"/>
        </w:rPr>
        <w:t>See Section 5.4.1</w:t>
      </w:r>
    </w:p>
  </w:footnote>
  <w:footnote w:id="856">
    <w:p w14:paraId="629D7B6F" w14:textId="5038CE26" w:rsidR="00431A55" w:rsidRPr="00B058BD" w:rsidRDefault="00431A55">
      <w:pPr>
        <w:pStyle w:val="FootnoteText"/>
        <w:rPr>
          <w:sz w:val="20"/>
          <w:szCs w:val="20"/>
          <w:vertAlign w:val="baseline"/>
          <w:lang w:val="en-US"/>
        </w:rPr>
      </w:pPr>
      <w:r w:rsidRPr="00B058BD">
        <w:rPr>
          <w:rStyle w:val="FootnoteReference"/>
          <w:sz w:val="20"/>
          <w:szCs w:val="20"/>
        </w:rPr>
        <w:footnoteRef/>
      </w:r>
      <w:r w:rsidRPr="00B058BD">
        <w:rPr>
          <w:sz w:val="20"/>
          <w:szCs w:val="20"/>
        </w:rPr>
        <w:t xml:space="preserve"> </w:t>
      </w:r>
      <w:r>
        <w:rPr>
          <w:sz w:val="20"/>
          <w:szCs w:val="20"/>
          <w:vertAlign w:val="baseline"/>
        </w:rPr>
        <w:t>See Section 5.4.3</w:t>
      </w:r>
    </w:p>
  </w:footnote>
  <w:footnote w:id="857">
    <w:p w14:paraId="6BBC8F13" w14:textId="125BD729" w:rsidR="00431A55" w:rsidRPr="004273E2" w:rsidRDefault="00431A55">
      <w:pPr>
        <w:pStyle w:val="FootnoteText"/>
        <w:rPr>
          <w:sz w:val="20"/>
          <w:szCs w:val="20"/>
          <w:vertAlign w:val="baseline"/>
          <w:lang w:val="en-US"/>
        </w:rPr>
      </w:pPr>
      <w:r w:rsidRPr="004273E2">
        <w:rPr>
          <w:rStyle w:val="FootnoteReference"/>
          <w:sz w:val="20"/>
          <w:szCs w:val="20"/>
        </w:rPr>
        <w:footnoteRef/>
      </w:r>
      <w:r w:rsidRPr="004273E2">
        <w:rPr>
          <w:sz w:val="20"/>
          <w:szCs w:val="20"/>
        </w:rPr>
        <w:t xml:space="preserve"> </w:t>
      </w:r>
      <w:r>
        <w:rPr>
          <w:sz w:val="20"/>
          <w:szCs w:val="20"/>
          <w:vertAlign w:val="baseline"/>
        </w:rPr>
        <w:t>There is currently only one male member of the CEDAW Committee</w:t>
      </w:r>
    </w:p>
  </w:footnote>
  <w:footnote w:id="858">
    <w:p w14:paraId="1145D0C3" w14:textId="783CC7D0" w:rsidR="00431A55" w:rsidRPr="00B058BD" w:rsidRDefault="00431A55">
      <w:pPr>
        <w:pStyle w:val="FootnoteText"/>
        <w:rPr>
          <w:vertAlign w:val="baseline"/>
          <w:lang w:val="en-US"/>
        </w:rPr>
      </w:pPr>
      <w:r w:rsidRPr="00B058BD">
        <w:rPr>
          <w:rStyle w:val="FootnoteReference"/>
          <w:sz w:val="20"/>
          <w:szCs w:val="20"/>
        </w:rPr>
        <w:footnoteRef/>
      </w:r>
      <w:r>
        <w:t xml:space="preserve"> </w:t>
      </w:r>
      <w:r>
        <w:rPr>
          <w:sz w:val="20"/>
          <w:szCs w:val="20"/>
          <w:vertAlign w:val="baseline"/>
        </w:rPr>
        <w:t>Byrnes, ‘The Committee on the Elimination of Discrimination against Women’ (n 852)</w:t>
      </w:r>
    </w:p>
  </w:footnote>
  <w:footnote w:id="859">
    <w:p w14:paraId="00BF05CC" w14:textId="77777777" w:rsidR="00431A55" w:rsidRPr="004E3DD8" w:rsidRDefault="00431A55" w:rsidP="001C6724">
      <w:pPr>
        <w:pStyle w:val="FootnoteText"/>
        <w:rPr>
          <w:lang w:val="en-US"/>
        </w:rPr>
      </w:pPr>
      <w:r w:rsidRPr="00F21730">
        <w:rPr>
          <w:rStyle w:val="FootnoteReference"/>
          <w:sz w:val="20"/>
          <w:szCs w:val="20"/>
        </w:rPr>
        <w:footnoteRef/>
      </w:r>
      <w:r w:rsidRPr="00F21730">
        <w:rPr>
          <w:sz w:val="20"/>
          <w:szCs w:val="20"/>
        </w:rPr>
        <w:t xml:space="preserve"> </w:t>
      </w:r>
      <w:r w:rsidRPr="00F21730">
        <w:rPr>
          <w:sz w:val="20"/>
          <w:szCs w:val="20"/>
          <w:vertAlign w:val="baseline"/>
        </w:rPr>
        <w:t xml:space="preserve">Declaration on the Elimination of Violence Against Women (adopted 20 December 1993) </w:t>
      </w:r>
      <w:r w:rsidRPr="00F21730">
        <w:rPr>
          <w:color w:val="000000"/>
          <w:sz w:val="20"/>
          <w:szCs w:val="20"/>
          <w:vertAlign w:val="baseline"/>
        </w:rPr>
        <w:t>A/RES/48/104</w:t>
      </w:r>
      <w:r>
        <w:rPr>
          <w:color w:val="000000"/>
        </w:rPr>
        <w:t xml:space="preserve">                                                   </w:t>
      </w:r>
    </w:p>
  </w:footnote>
  <w:footnote w:id="860">
    <w:p w14:paraId="3B4E23A0" w14:textId="77777777" w:rsidR="00431A55" w:rsidRPr="002138BF" w:rsidRDefault="00431A55" w:rsidP="001C6724">
      <w:pPr>
        <w:pStyle w:val="FootnoteText"/>
        <w:rPr>
          <w:sz w:val="20"/>
          <w:szCs w:val="20"/>
          <w:vertAlign w:val="baseline"/>
        </w:rPr>
      </w:pPr>
      <w:r w:rsidRPr="002138BF">
        <w:rPr>
          <w:rStyle w:val="FootnoteReference"/>
          <w:sz w:val="20"/>
          <w:szCs w:val="20"/>
        </w:rPr>
        <w:footnoteRef/>
      </w:r>
      <w:r w:rsidRPr="002138BF">
        <w:rPr>
          <w:sz w:val="20"/>
          <w:szCs w:val="20"/>
        </w:rPr>
        <w:t xml:space="preserve"> </w:t>
      </w:r>
      <w:r w:rsidRPr="002138BF">
        <w:rPr>
          <w:sz w:val="20"/>
          <w:szCs w:val="20"/>
          <w:vertAlign w:val="baseline"/>
        </w:rPr>
        <w:t>Advocates for Human Rights, ‘Stop Violence Against Women: DEVAW’ (STOPVAW, 14 September 2007) &lt;</w:t>
      </w:r>
      <w:hyperlink r:id="rId109" w:history="1">
        <w:r w:rsidRPr="002138BF">
          <w:rPr>
            <w:rStyle w:val="Hyperlink"/>
            <w:sz w:val="20"/>
            <w:szCs w:val="20"/>
            <w:vertAlign w:val="baseline"/>
          </w:rPr>
          <w:t>http://www.stopvaw.org/devaw</w:t>
        </w:r>
      </w:hyperlink>
      <w:r w:rsidRPr="002138BF">
        <w:rPr>
          <w:sz w:val="20"/>
          <w:szCs w:val="20"/>
          <w:vertAlign w:val="baseline"/>
        </w:rPr>
        <w:t>&gt; accessed 20 May 2015</w:t>
      </w:r>
    </w:p>
  </w:footnote>
  <w:footnote w:id="861">
    <w:p w14:paraId="3FB973AA" w14:textId="497D0077" w:rsidR="00431A55" w:rsidRPr="002138BF" w:rsidRDefault="00431A55" w:rsidP="001C6724">
      <w:pPr>
        <w:pStyle w:val="FootnoteText"/>
        <w:rPr>
          <w:sz w:val="20"/>
          <w:szCs w:val="20"/>
          <w:vertAlign w:val="baseline"/>
          <w:lang w:val="en-US"/>
        </w:rPr>
      </w:pPr>
      <w:r w:rsidRPr="002138BF">
        <w:rPr>
          <w:rStyle w:val="FootnoteReference"/>
          <w:sz w:val="20"/>
          <w:szCs w:val="20"/>
        </w:rPr>
        <w:footnoteRef/>
      </w:r>
      <w:r w:rsidRPr="002138BF">
        <w:rPr>
          <w:sz w:val="20"/>
          <w:szCs w:val="20"/>
          <w:vertAlign w:val="baseline"/>
        </w:rPr>
        <w:t xml:space="preserve"> </w:t>
      </w:r>
      <w:r>
        <w:rPr>
          <w:sz w:val="20"/>
          <w:szCs w:val="20"/>
          <w:vertAlign w:val="baseline"/>
        </w:rPr>
        <w:t>DEVAW (n 859)</w:t>
      </w:r>
      <w:r w:rsidRPr="002138BF">
        <w:rPr>
          <w:color w:val="000000"/>
          <w:sz w:val="20"/>
          <w:szCs w:val="20"/>
          <w:vertAlign w:val="baseline"/>
        </w:rPr>
        <w:t xml:space="preserve">                                                   </w:t>
      </w:r>
    </w:p>
  </w:footnote>
  <w:footnote w:id="862">
    <w:p w14:paraId="48970B16" w14:textId="136F4DB0" w:rsidR="00431A55" w:rsidRPr="002138BF" w:rsidRDefault="00431A55" w:rsidP="001C6724">
      <w:pPr>
        <w:pStyle w:val="FootnoteText"/>
        <w:rPr>
          <w:sz w:val="20"/>
          <w:szCs w:val="20"/>
          <w:vertAlign w:val="baseline"/>
          <w:lang w:val="en-US"/>
        </w:rPr>
      </w:pPr>
      <w:r w:rsidRPr="002138BF">
        <w:rPr>
          <w:rStyle w:val="FootnoteReference"/>
          <w:sz w:val="20"/>
          <w:szCs w:val="20"/>
        </w:rPr>
        <w:footnoteRef/>
      </w:r>
      <w:r w:rsidRPr="002138BF">
        <w:rPr>
          <w:sz w:val="20"/>
          <w:szCs w:val="20"/>
          <w:vertAlign w:val="baseline"/>
        </w:rPr>
        <w:t xml:space="preserve"> </w:t>
      </w:r>
      <w:r>
        <w:rPr>
          <w:sz w:val="20"/>
          <w:szCs w:val="20"/>
          <w:vertAlign w:val="baseline"/>
        </w:rPr>
        <w:t>ibid</w:t>
      </w:r>
      <w:r w:rsidRPr="002138BF">
        <w:rPr>
          <w:color w:val="000000"/>
          <w:sz w:val="20"/>
          <w:szCs w:val="20"/>
          <w:vertAlign w:val="baseline"/>
        </w:rPr>
        <w:t xml:space="preserve">                                                   </w:t>
      </w:r>
    </w:p>
  </w:footnote>
  <w:footnote w:id="863">
    <w:p w14:paraId="65912C06" w14:textId="302E0DDD" w:rsidR="00431A55" w:rsidRPr="001914CC" w:rsidRDefault="00431A55" w:rsidP="001C6724">
      <w:pPr>
        <w:pStyle w:val="HTMLPreformatted"/>
      </w:pPr>
      <w:r w:rsidRPr="002138BF">
        <w:rPr>
          <w:rStyle w:val="FootnoteReference"/>
          <w:rFonts w:asciiTheme="majorHAnsi" w:hAnsiTheme="majorHAnsi"/>
        </w:rPr>
        <w:footnoteRef/>
      </w:r>
      <w:r w:rsidRPr="002138BF">
        <w:rPr>
          <w:rFonts w:asciiTheme="majorHAnsi" w:hAnsiTheme="majorHAnsi"/>
          <w:lang w:val="en-US"/>
        </w:rPr>
        <w:t>Article 1 states: ‘</w:t>
      </w:r>
      <w:r w:rsidRPr="002138BF">
        <w:rPr>
          <w:rFonts w:asciiTheme="majorHAnsi" w:hAnsiTheme="majorHAnsi"/>
          <w:color w:val="000000"/>
        </w:rPr>
        <w:t>For the purposes of this Declaration, the term "violence against women" means any act of gender-based violence that results in, or is likely to result in, physical, sexual or psychological harm or suffering to women, including threats of such acts, coercion or arbitrary deprivation of liberty, whether occurring in public or in private life</w:t>
      </w:r>
    </w:p>
  </w:footnote>
  <w:footnote w:id="864">
    <w:p w14:paraId="0D52C4A4" w14:textId="00202E08" w:rsidR="00431A55" w:rsidRPr="00927F46" w:rsidRDefault="00431A55" w:rsidP="001C6724">
      <w:pPr>
        <w:pStyle w:val="FootnoteText"/>
        <w:rPr>
          <w:sz w:val="20"/>
          <w:szCs w:val="20"/>
          <w:vertAlign w:val="baseline"/>
          <w:lang w:val="en-US"/>
        </w:rPr>
      </w:pPr>
      <w:r w:rsidRPr="00927F46">
        <w:rPr>
          <w:rStyle w:val="FootnoteReference"/>
          <w:sz w:val="20"/>
          <w:szCs w:val="20"/>
        </w:rPr>
        <w:footnoteRef/>
      </w:r>
      <w:r w:rsidRPr="00927F46">
        <w:rPr>
          <w:sz w:val="20"/>
          <w:szCs w:val="20"/>
          <w:vertAlign w:val="baseline"/>
        </w:rPr>
        <w:t xml:space="preserve"> </w:t>
      </w:r>
      <w:r>
        <w:rPr>
          <w:sz w:val="20"/>
          <w:szCs w:val="20"/>
          <w:vertAlign w:val="baseline"/>
          <w:lang w:val="en-US"/>
        </w:rPr>
        <w:t xml:space="preserve">Qureshi (n 690) </w:t>
      </w:r>
      <w:r w:rsidRPr="00927F46">
        <w:rPr>
          <w:sz w:val="20"/>
          <w:szCs w:val="20"/>
          <w:vertAlign w:val="baseline"/>
          <w:lang w:val="en-US"/>
        </w:rPr>
        <w:t>187</w:t>
      </w:r>
    </w:p>
  </w:footnote>
  <w:footnote w:id="865">
    <w:p w14:paraId="4B121F66" w14:textId="72CAD770" w:rsidR="00431A55" w:rsidRPr="00792CA0" w:rsidRDefault="00431A55" w:rsidP="00A02E98">
      <w:pPr>
        <w:pStyle w:val="FootnoteText"/>
        <w:rPr>
          <w:sz w:val="20"/>
          <w:szCs w:val="20"/>
          <w:vertAlign w:val="baseline"/>
          <w:lang w:val="en-US"/>
        </w:rPr>
      </w:pPr>
      <w:r w:rsidRPr="00792CA0">
        <w:rPr>
          <w:rStyle w:val="FootnoteReference"/>
          <w:sz w:val="20"/>
          <w:szCs w:val="20"/>
        </w:rPr>
        <w:footnoteRef/>
      </w:r>
      <w:r w:rsidRPr="00792CA0">
        <w:rPr>
          <w:sz w:val="20"/>
          <w:szCs w:val="20"/>
        </w:rPr>
        <w:t xml:space="preserve"> </w:t>
      </w:r>
      <w:r>
        <w:rPr>
          <w:sz w:val="20"/>
          <w:szCs w:val="20"/>
          <w:vertAlign w:val="baseline"/>
        </w:rPr>
        <w:t>Section 4.4</w:t>
      </w:r>
    </w:p>
  </w:footnote>
  <w:footnote w:id="866">
    <w:p w14:paraId="3B4E6E9E" w14:textId="77777777" w:rsidR="00431A55" w:rsidRPr="00927F46" w:rsidRDefault="00431A55" w:rsidP="001C6724">
      <w:pPr>
        <w:rPr>
          <w:rFonts w:ascii="Times" w:eastAsia="Times New Roman" w:hAnsi="Times" w:cs="Times New Roman"/>
          <w:vertAlign w:val="baseline"/>
        </w:rPr>
      </w:pPr>
      <w:r w:rsidRPr="00927F46">
        <w:rPr>
          <w:rStyle w:val="FootnoteReference"/>
        </w:rPr>
        <w:footnoteRef/>
      </w:r>
      <w:r w:rsidRPr="00927F46">
        <w:rPr>
          <w:vertAlign w:val="baseline"/>
        </w:rPr>
        <w:t xml:space="preserve"> </w:t>
      </w:r>
      <w:r w:rsidRPr="00927F46">
        <w:rPr>
          <w:rFonts w:cs="Times New Roman"/>
          <w:vertAlign w:val="baseline"/>
        </w:rPr>
        <w:t xml:space="preserve">Convention Against Torture and Other Cruel, Inhuman or Degrading Treatment or Punishment (1984) </w:t>
      </w:r>
      <w:r w:rsidRPr="00927F46">
        <w:rPr>
          <w:rFonts w:eastAsia="Times New Roman" w:cs="Arial"/>
          <w:color w:val="000000"/>
          <w:shd w:val="clear" w:color="auto" w:fill="FFFFFF"/>
          <w:vertAlign w:val="baseline"/>
        </w:rPr>
        <w:t>UN Doc. A/39/51; 1465 UNTS 85</w:t>
      </w:r>
    </w:p>
  </w:footnote>
  <w:footnote w:id="867">
    <w:p w14:paraId="4AF66F3A" w14:textId="731E131F" w:rsidR="00431A55" w:rsidRPr="00114BFF" w:rsidRDefault="00431A55" w:rsidP="001C6724">
      <w:pPr>
        <w:pStyle w:val="FootnoteText"/>
        <w:rPr>
          <w:lang w:val="en-US"/>
        </w:rPr>
      </w:pPr>
      <w:r w:rsidRPr="00927F46">
        <w:rPr>
          <w:rStyle w:val="FootnoteReference"/>
          <w:sz w:val="20"/>
          <w:szCs w:val="20"/>
        </w:rPr>
        <w:footnoteRef/>
      </w:r>
      <w:r w:rsidRPr="00927F46">
        <w:rPr>
          <w:sz w:val="20"/>
          <w:szCs w:val="20"/>
          <w:vertAlign w:val="baseline"/>
        </w:rPr>
        <w:t xml:space="preserve"> </w:t>
      </w:r>
      <w:r w:rsidRPr="00927F46">
        <w:rPr>
          <w:sz w:val="20"/>
          <w:szCs w:val="20"/>
          <w:vertAlign w:val="baseline"/>
          <w:lang w:val="en-US"/>
        </w:rPr>
        <w:t>Ghana ratified CAT on 7 September 2000. Nepal ratified CAT on 14 May 1991</w:t>
      </w:r>
    </w:p>
  </w:footnote>
  <w:footnote w:id="868">
    <w:p w14:paraId="6B15D703" w14:textId="53337CC5" w:rsidR="00431A55" w:rsidRPr="00276588" w:rsidRDefault="00431A55" w:rsidP="001C6724">
      <w:pPr>
        <w:pStyle w:val="FootnoteText"/>
        <w:rPr>
          <w:sz w:val="20"/>
          <w:szCs w:val="20"/>
          <w:vertAlign w:val="baseline"/>
          <w:lang w:val="en-US"/>
        </w:rPr>
      </w:pPr>
      <w:r w:rsidRPr="00276588">
        <w:rPr>
          <w:rStyle w:val="FootnoteReference"/>
          <w:sz w:val="20"/>
          <w:szCs w:val="20"/>
        </w:rPr>
        <w:footnoteRef/>
      </w:r>
      <w:r w:rsidRPr="00276588">
        <w:rPr>
          <w:sz w:val="20"/>
          <w:szCs w:val="20"/>
        </w:rPr>
        <w:t xml:space="preserve"> </w:t>
      </w:r>
      <w:r>
        <w:rPr>
          <w:sz w:val="20"/>
          <w:szCs w:val="20"/>
          <w:vertAlign w:val="baseline"/>
        </w:rPr>
        <w:t>Article 1, CAT</w:t>
      </w:r>
    </w:p>
  </w:footnote>
  <w:footnote w:id="869">
    <w:p w14:paraId="3FE69137" w14:textId="7D63BAA7" w:rsidR="00431A55" w:rsidRPr="00276588" w:rsidRDefault="00431A55" w:rsidP="001C6724">
      <w:pPr>
        <w:pStyle w:val="FootnoteText"/>
        <w:rPr>
          <w:sz w:val="20"/>
          <w:szCs w:val="20"/>
          <w:vertAlign w:val="baseline"/>
          <w:lang w:val="en-US"/>
        </w:rPr>
      </w:pPr>
      <w:r w:rsidRPr="00276588">
        <w:rPr>
          <w:rStyle w:val="FootnoteReference"/>
          <w:sz w:val="20"/>
          <w:szCs w:val="20"/>
        </w:rPr>
        <w:footnoteRef/>
      </w:r>
      <w:r w:rsidRPr="00276588">
        <w:rPr>
          <w:sz w:val="20"/>
          <w:szCs w:val="20"/>
          <w:vertAlign w:val="baseline"/>
        </w:rPr>
        <w:t xml:space="preserve"> UN Voluntary Fund for Victims of Torture (UNVFVT) ‘Interpretation of Torture in the Light of the Practice and Jurisprudence of International Bodies’ (2011) 3, &lt;</w:t>
      </w:r>
      <w:hyperlink r:id="rId110" w:history="1">
        <w:r w:rsidRPr="00276588">
          <w:rPr>
            <w:rStyle w:val="Hyperlink"/>
            <w:sz w:val="20"/>
            <w:szCs w:val="20"/>
            <w:vertAlign w:val="baseline"/>
          </w:rPr>
          <w:t>http://www.ohchr.org/Documents/Issues/Torture/UNVFVT/Interpretation_torture_2011_EN.pdf</w:t>
        </w:r>
      </w:hyperlink>
      <w:r>
        <w:rPr>
          <w:sz w:val="20"/>
          <w:szCs w:val="20"/>
          <w:vertAlign w:val="baseline"/>
        </w:rPr>
        <w:t xml:space="preserve">&gt; accessed 13 </w:t>
      </w:r>
      <w:r w:rsidRPr="00276588">
        <w:rPr>
          <w:sz w:val="20"/>
          <w:szCs w:val="20"/>
          <w:vertAlign w:val="baseline"/>
        </w:rPr>
        <w:t>July 2015</w:t>
      </w:r>
    </w:p>
  </w:footnote>
  <w:footnote w:id="870">
    <w:p w14:paraId="0B5DC007" w14:textId="331BFD06" w:rsidR="00431A55" w:rsidRPr="00993A37" w:rsidRDefault="00431A55" w:rsidP="001C6724">
      <w:pPr>
        <w:pStyle w:val="FootnoteText"/>
        <w:rPr>
          <w:lang w:val="en-US"/>
        </w:rPr>
      </w:pPr>
      <w:r w:rsidRPr="00276588">
        <w:rPr>
          <w:rStyle w:val="FootnoteReference"/>
          <w:sz w:val="20"/>
          <w:szCs w:val="20"/>
        </w:rPr>
        <w:footnoteRef/>
      </w:r>
      <w:r w:rsidRPr="00276588">
        <w:rPr>
          <w:sz w:val="20"/>
          <w:szCs w:val="20"/>
          <w:vertAlign w:val="baseline"/>
        </w:rPr>
        <w:t xml:space="preserve"> </w:t>
      </w:r>
      <w:r>
        <w:rPr>
          <w:sz w:val="20"/>
          <w:szCs w:val="20"/>
          <w:vertAlign w:val="baseline"/>
          <w:lang w:val="en-US"/>
        </w:rPr>
        <w:t>See Section 4.4, 129, 137, 146/7, 150</w:t>
      </w:r>
    </w:p>
  </w:footnote>
  <w:footnote w:id="871">
    <w:p w14:paraId="269C863D" w14:textId="2E99F55A" w:rsidR="00431A55" w:rsidRPr="00E817BD" w:rsidRDefault="00431A55" w:rsidP="001C6724">
      <w:pPr>
        <w:pStyle w:val="FootnoteText"/>
        <w:rPr>
          <w:sz w:val="20"/>
          <w:szCs w:val="20"/>
          <w:vertAlign w:val="baseline"/>
          <w:lang w:val="en-US"/>
        </w:rPr>
      </w:pPr>
      <w:r w:rsidRPr="00E817BD">
        <w:rPr>
          <w:rStyle w:val="FootnoteReference"/>
          <w:sz w:val="20"/>
          <w:szCs w:val="20"/>
        </w:rPr>
        <w:footnoteRef/>
      </w:r>
      <w:r>
        <w:rPr>
          <w:sz w:val="20"/>
          <w:szCs w:val="20"/>
          <w:vertAlign w:val="baseline"/>
        </w:rPr>
        <w:t xml:space="preserve"> UNVFVT (n 869) </w:t>
      </w:r>
      <w:r w:rsidRPr="00E817BD">
        <w:rPr>
          <w:sz w:val="20"/>
          <w:szCs w:val="20"/>
          <w:vertAlign w:val="baseline"/>
        </w:rPr>
        <w:t>5</w:t>
      </w:r>
    </w:p>
  </w:footnote>
  <w:footnote w:id="872">
    <w:p w14:paraId="4D124735" w14:textId="5952E4E1" w:rsidR="00431A55" w:rsidRPr="002B6D0E" w:rsidRDefault="00431A55">
      <w:pPr>
        <w:pStyle w:val="FootnoteText"/>
        <w:rPr>
          <w:sz w:val="20"/>
          <w:szCs w:val="20"/>
          <w:vertAlign w:val="baseline"/>
          <w:lang w:val="en-US"/>
        </w:rPr>
      </w:pPr>
      <w:r w:rsidRPr="002B6D0E">
        <w:rPr>
          <w:rStyle w:val="FootnoteReference"/>
          <w:sz w:val="20"/>
          <w:szCs w:val="20"/>
        </w:rPr>
        <w:footnoteRef/>
      </w:r>
      <w:r>
        <w:rPr>
          <w:i/>
          <w:sz w:val="20"/>
          <w:szCs w:val="20"/>
          <w:vertAlign w:val="baseline"/>
          <w:lang w:val="en-US"/>
        </w:rPr>
        <w:t xml:space="preserve"> </w:t>
      </w:r>
      <w:r>
        <w:rPr>
          <w:sz w:val="20"/>
          <w:szCs w:val="20"/>
          <w:vertAlign w:val="baseline"/>
          <w:lang w:val="en-US"/>
        </w:rPr>
        <w:t>23 September 1998 ECtHR (100/1997/884/1096)</w:t>
      </w:r>
    </w:p>
  </w:footnote>
  <w:footnote w:id="873">
    <w:p w14:paraId="6FBAC4B2" w14:textId="6D751A3E" w:rsidR="00431A55" w:rsidRPr="00C52BEC" w:rsidRDefault="00431A55">
      <w:pPr>
        <w:pStyle w:val="FootnoteText"/>
        <w:rPr>
          <w:sz w:val="20"/>
          <w:szCs w:val="20"/>
          <w:vertAlign w:val="baseline"/>
          <w:lang w:val="en-US"/>
        </w:rPr>
      </w:pPr>
      <w:r w:rsidRPr="00C52BEC">
        <w:rPr>
          <w:rStyle w:val="FootnoteReference"/>
          <w:sz w:val="20"/>
          <w:szCs w:val="20"/>
        </w:rPr>
        <w:footnoteRef/>
      </w:r>
      <w:r w:rsidRPr="00C52BEC">
        <w:rPr>
          <w:sz w:val="20"/>
          <w:szCs w:val="20"/>
        </w:rPr>
        <w:t xml:space="preserve"> </w:t>
      </w:r>
      <w:r>
        <w:rPr>
          <w:sz w:val="20"/>
          <w:szCs w:val="20"/>
          <w:vertAlign w:val="baseline"/>
        </w:rPr>
        <w:t>(Application no. 29392/95) ECtHR 10 May 2001</w:t>
      </w:r>
    </w:p>
  </w:footnote>
  <w:footnote w:id="874">
    <w:p w14:paraId="0EE036AF" w14:textId="72F6A6E3" w:rsidR="00431A55" w:rsidRPr="00BE1AB6" w:rsidRDefault="00431A55">
      <w:pPr>
        <w:pStyle w:val="FootnoteText"/>
        <w:rPr>
          <w:sz w:val="20"/>
          <w:szCs w:val="20"/>
          <w:vertAlign w:val="baseline"/>
          <w:lang w:val="en-US"/>
        </w:rPr>
      </w:pPr>
      <w:r w:rsidRPr="00BE1AB6">
        <w:rPr>
          <w:rStyle w:val="FootnoteReference"/>
          <w:sz w:val="20"/>
          <w:szCs w:val="20"/>
        </w:rPr>
        <w:footnoteRef/>
      </w:r>
      <w:r w:rsidRPr="00BE1AB6">
        <w:rPr>
          <w:sz w:val="20"/>
          <w:szCs w:val="20"/>
        </w:rPr>
        <w:t xml:space="preserve"> </w:t>
      </w:r>
      <w:r>
        <w:rPr>
          <w:sz w:val="20"/>
          <w:szCs w:val="20"/>
          <w:vertAlign w:val="baseline"/>
        </w:rPr>
        <w:t>Four siblings, 2 girls born in 1982 and 1988, and 2 boys born in 1984 and 1986</w:t>
      </w:r>
    </w:p>
  </w:footnote>
  <w:footnote w:id="875">
    <w:p w14:paraId="0EC816BA" w14:textId="3E03E049" w:rsidR="00431A55" w:rsidRPr="000453C7" w:rsidRDefault="00431A55" w:rsidP="001C6724">
      <w:pPr>
        <w:pStyle w:val="FootnoteText"/>
        <w:rPr>
          <w:sz w:val="20"/>
          <w:szCs w:val="20"/>
          <w:vertAlign w:val="baseline"/>
          <w:lang w:val="en-US"/>
        </w:rPr>
      </w:pPr>
      <w:r w:rsidRPr="000453C7">
        <w:rPr>
          <w:rStyle w:val="FootnoteReference"/>
          <w:sz w:val="20"/>
          <w:szCs w:val="20"/>
        </w:rPr>
        <w:footnoteRef/>
      </w:r>
      <w:r w:rsidRPr="000453C7">
        <w:rPr>
          <w:sz w:val="20"/>
          <w:szCs w:val="20"/>
          <w:vertAlign w:val="baseline"/>
        </w:rPr>
        <w:t xml:space="preserve"> </w:t>
      </w:r>
      <w:r w:rsidRPr="000453C7">
        <w:rPr>
          <w:sz w:val="20"/>
          <w:szCs w:val="20"/>
          <w:vertAlign w:val="baseline"/>
          <w:lang w:val="en-US"/>
        </w:rPr>
        <w:t>Andrew Byrnes, ‘Enforcement Through International L</w:t>
      </w:r>
      <w:r>
        <w:rPr>
          <w:sz w:val="20"/>
          <w:szCs w:val="20"/>
          <w:vertAlign w:val="baseline"/>
          <w:lang w:val="en-US"/>
        </w:rPr>
        <w:t>aw and Procedures’ in</w:t>
      </w:r>
      <w:r w:rsidRPr="000453C7">
        <w:rPr>
          <w:sz w:val="20"/>
          <w:szCs w:val="20"/>
          <w:vertAlign w:val="baseline"/>
          <w:lang w:val="en-US"/>
        </w:rPr>
        <w:t xml:space="preserve"> Cook </w:t>
      </w:r>
      <w:r>
        <w:rPr>
          <w:sz w:val="20"/>
          <w:szCs w:val="20"/>
          <w:vertAlign w:val="baseline"/>
          <w:lang w:val="en-US"/>
        </w:rPr>
        <w:t xml:space="preserve">(n 16) </w:t>
      </w:r>
      <w:r w:rsidRPr="000453C7">
        <w:rPr>
          <w:sz w:val="20"/>
          <w:szCs w:val="20"/>
          <w:vertAlign w:val="baseline"/>
          <w:lang w:val="en-US"/>
        </w:rPr>
        <w:t>214</w:t>
      </w:r>
    </w:p>
  </w:footnote>
  <w:footnote w:id="876">
    <w:p w14:paraId="35C8FA86" w14:textId="59F28EE4" w:rsidR="00431A55" w:rsidRPr="00371E69" w:rsidRDefault="00431A55" w:rsidP="001C6724">
      <w:pPr>
        <w:rPr>
          <w:rFonts w:eastAsia="Times New Roman" w:cs="Times New Roman"/>
          <w:vertAlign w:val="baseline"/>
        </w:rPr>
      </w:pPr>
      <w:r w:rsidRPr="00371E69">
        <w:rPr>
          <w:rStyle w:val="FootnoteReference"/>
        </w:rPr>
        <w:footnoteRef/>
      </w:r>
      <w:r w:rsidRPr="00371E69">
        <w:rPr>
          <w:vertAlign w:val="baseline"/>
        </w:rPr>
        <w:t xml:space="preserve"> </w:t>
      </w:r>
      <w:r w:rsidRPr="00371E69">
        <w:rPr>
          <w:rFonts w:eastAsia="Times New Roman" w:cs="Times New Roman"/>
          <w:color w:val="000000"/>
          <w:shd w:val="clear" w:color="auto" w:fill="FFFFFF"/>
          <w:vertAlign w:val="baseline"/>
        </w:rPr>
        <w:t>Committee Against Torture, General Comment 2, Implementation of article 2 by States Parties, (2007) U.N. Doc. CAT/C/GC/2/CRP. 1/Rev.4</w:t>
      </w:r>
    </w:p>
  </w:footnote>
  <w:footnote w:id="877">
    <w:p w14:paraId="7A3FB128" w14:textId="49609A98" w:rsidR="00431A55" w:rsidRPr="00371E69" w:rsidRDefault="00431A55" w:rsidP="001C6724">
      <w:pPr>
        <w:pStyle w:val="FootnoteText"/>
        <w:rPr>
          <w:sz w:val="20"/>
          <w:szCs w:val="20"/>
          <w:vertAlign w:val="baseline"/>
          <w:lang w:val="en-US"/>
        </w:rPr>
      </w:pPr>
      <w:r w:rsidRPr="00371E69">
        <w:rPr>
          <w:rStyle w:val="FootnoteReference"/>
          <w:sz w:val="20"/>
          <w:szCs w:val="20"/>
        </w:rPr>
        <w:footnoteRef/>
      </w:r>
      <w:r w:rsidRPr="00371E69">
        <w:rPr>
          <w:sz w:val="20"/>
          <w:szCs w:val="20"/>
          <w:vertAlign w:val="baseline"/>
        </w:rPr>
        <w:t xml:space="preserve"> </w:t>
      </w:r>
      <w:r>
        <w:rPr>
          <w:rFonts w:eastAsia="Times New Roman" w:cs="Times New Roman"/>
          <w:color w:val="000000"/>
          <w:sz w:val="20"/>
          <w:szCs w:val="20"/>
          <w:shd w:val="clear" w:color="auto" w:fill="FFFFFF"/>
          <w:vertAlign w:val="baseline"/>
        </w:rPr>
        <w:t>ibid, p</w:t>
      </w:r>
      <w:r w:rsidRPr="00371E69">
        <w:rPr>
          <w:rFonts w:eastAsia="Times New Roman" w:cs="Times New Roman"/>
          <w:color w:val="000000"/>
          <w:sz w:val="20"/>
          <w:szCs w:val="20"/>
          <w:shd w:val="clear" w:color="auto" w:fill="FFFFFF"/>
          <w:vertAlign w:val="baseline"/>
        </w:rPr>
        <w:t>ara 22</w:t>
      </w:r>
    </w:p>
  </w:footnote>
  <w:footnote w:id="878">
    <w:p w14:paraId="787C3A7F" w14:textId="1A1783ED" w:rsidR="00431A55" w:rsidRPr="00371E69" w:rsidRDefault="00431A55" w:rsidP="001C6724">
      <w:pPr>
        <w:rPr>
          <w:rFonts w:eastAsia="Times New Roman" w:cs="Times New Roman"/>
          <w:vertAlign w:val="baseline"/>
        </w:rPr>
      </w:pPr>
      <w:r w:rsidRPr="00371E69">
        <w:rPr>
          <w:rStyle w:val="FootnoteReference"/>
        </w:rPr>
        <w:footnoteRef/>
      </w:r>
      <w:r w:rsidRPr="00371E69">
        <w:rPr>
          <w:rFonts w:ascii="Verdana" w:eastAsia="Times New Roman" w:hAnsi="Verdana" w:cs="Times New Roman"/>
          <w:color w:val="000000"/>
          <w:vertAlign w:val="baseline"/>
        </w:rPr>
        <w:t xml:space="preserve"> </w:t>
      </w:r>
      <w:r w:rsidRPr="00371E69">
        <w:rPr>
          <w:rFonts w:eastAsia="Times New Roman" w:cs="Times New Roman"/>
          <w:color w:val="000000"/>
          <w:vertAlign w:val="baseline"/>
        </w:rPr>
        <w:t xml:space="preserve">Manfred Nowak </w:t>
      </w:r>
      <w:r w:rsidRPr="00371E69">
        <w:rPr>
          <w:rFonts w:eastAsia="Times New Roman" w:cs="Times New Roman"/>
          <w:color w:val="000000"/>
          <w:shd w:val="clear" w:color="auto" w:fill="FFFFFF"/>
          <w:vertAlign w:val="baseline"/>
        </w:rPr>
        <w:t>(Austria) Special Rapporteur on Torture from 2004 - 31 October 2010</w:t>
      </w:r>
    </w:p>
  </w:footnote>
  <w:footnote w:id="879">
    <w:p w14:paraId="50DD1ACA" w14:textId="6B5E3FFB" w:rsidR="00431A55" w:rsidRPr="007B1A27" w:rsidRDefault="00431A55" w:rsidP="001C6724">
      <w:pPr>
        <w:pStyle w:val="FootnoteText"/>
        <w:rPr>
          <w:sz w:val="20"/>
          <w:szCs w:val="20"/>
          <w:vertAlign w:val="baseline"/>
          <w:lang w:val="en-US"/>
        </w:rPr>
      </w:pPr>
      <w:r w:rsidRPr="00371E69">
        <w:rPr>
          <w:rStyle w:val="FootnoteReference"/>
          <w:sz w:val="20"/>
          <w:szCs w:val="20"/>
        </w:rPr>
        <w:footnoteRef/>
      </w:r>
      <w:r w:rsidRPr="00371E69">
        <w:rPr>
          <w:sz w:val="20"/>
          <w:szCs w:val="20"/>
          <w:vertAlign w:val="baseline"/>
        </w:rPr>
        <w:t xml:space="preserve"> Manfred Nowak, ‘Strengthening the protection of women from torture and ill-treatment,’ statement by Special Rapporteur on Torture and other cruel, inhuman or degrading treatment or punishment at UNHCR in Geneva on 15th September 2010.</w:t>
      </w:r>
      <w:r w:rsidRPr="007B1A27">
        <w:rPr>
          <w:rFonts w:ascii="Times New Roman" w:hAnsi="Times New Roman" w:cs="Times New Roman"/>
          <w:vertAlign w:val="baseline"/>
        </w:rPr>
        <w:t xml:space="preserve"> </w:t>
      </w:r>
      <w:r w:rsidRPr="007B1A27">
        <w:rPr>
          <w:rFonts w:cs="Times New Roman"/>
          <w:sz w:val="20"/>
          <w:szCs w:val="20"/>
          <w:vertAlign w:val="baseline"/>
        </w:rPr>
        <w:t>This viewpoint is substantiated by the Committee Against Torture i</w:t>
      </w:r>
      <w:r>
        <w:rPr>
          <w:rFonts w:cs="Times New Roman"/>
          <w:sz w:val="20"/>
          <w:szCs w:val="20"/>
          <w:vertAlign w:val="baseline"/>
        </w:rPr>
        <w:t>n</w:t>
      </w:r>
      <w:r w:rsidRPr="007B1A27">
        <w:rPr>
          <w:sz w:val="20"/>
          <w:szCs w:val="20"/>
          <w:vertAlign w:val="baseline"/>
          <w:lang w:val="en-US"/>
        </w:rPr>
        <w:t xml:space="preserve"> </w:t>
      </w:r>
      <w:r w:rsidRPr="00371E69">
        <w:rPr>
          <w:sz w:val="20"/>
          <w:szCs w:val="20"/>
          <w:vertAlign w:val="baseline"/>
          <w:lang w:val="en-US"/>
        </w:rPr>
        <w:t>UN, ‘Report of the Committee against Torture’ 45th session (1-19 November 2010) and 46th session (9 May to 3 June 2011) Supp. No. 44 A/66/44</w:t>
      </w:r>
    </w:p>
  </w:footnote>
  <w:footnote w:id="880">
    <w:p w14:paraId="7F72D165" w14:textId="654D9610" w:rsidR="00431A55" w:rsidRPr="00727160" w:rsidRDefault="00431A55" w:rsidP="001C6724">
      <w:pPr>
        <w:pStyle w:val="FootnoteText"/>
        <w:rPr>
          <w:sz w:val="20"/>
          <w:szCs w:val="20"/>
          <w:vertAlign w:val="baseline"/>
          <w:lang w:val="en-US"/>
        </w:rPr>
      </w:pPr>
      <w:r w:rsidRPr="00727160">
        <w:rPr>
          <w:rStyle w:val="FootnoteReference"/>
          <w:sz w:val="20"/>
          <w:szCs w:val="20"/>
        </w:rPr>
        <w:footnoteRef/>
      </w:r>
      <w:r w:rsidRPr="00727160">
        <w:rPr>
          <w:sz w:val="20"/>
          <w:szCs w:val="20"/>
          <w:vertAlign w:val="baseline"/>
        </w:rPr>
        <w:t xml:space="preserve"> </w:t>
      </w:r>
      <w:r w:rsidRPr="00727160">
        <w:rPr>
          <w:sz w:val="20"/>
          <w:szCs w:val="20"/>
          <w:vertAlign w:val="baseline"/>
          <w:lang w:val="en-US"/>
        </w:rPr>
        <w:t xml:space="preserve">UN, ‘Report of the Committee against Torture’ </w:t>
      </w:r>
      <w:r>
        <w:rPr>
          <w:sz w:val="20"/>
          <w:szCs w:val="20"/>
          <w:vertAlign w:val="baseline"/>
          <w:lang w:val="en-US"/>
        </w:rPr>
        <w:t xml:space="preserve">(n 879) </w:t>
      </w:r>
      <w:r w:rsidRPr="00727160">
        <w:rPr>
          <w:sz w:val="20"/>
          <w:szCs w:val="20"/>
          <w:vertAlign w:val="baseline"/>
          <w:lang w:val="en-US"/>
        </w:rPr>
        <w:t>para 23, 89</w:t>
      </w:r>
    </w:p>
  </w:footnote>
  <w:footnote w:id="881">
    <w:p w14:paraId="72D80267" w14:textId="1C07F584" w:rsidR="00431A55" w:rsidRPr="00727160" w:rsidRDefault="00431A55" w:rsidP="001C6724">
      <w:pPr>
        <w:rPr>
          <w:rFonts w:ascii="Times" w:eastAsia="Times New Roman" w:hAnsi="Times" w:cs="Times New Roman"/>
          <w:vertAlign w:val="baseline"/>
        </w:rPr>
      </w:pPr>
      <w:r w:rsidRPr="00727160">
        <w:rPr>
          <w:rStyle w:val="FootnoteReference"/>
        </w:rPr>
        <w:footnoteRef/>
      </w:r>
      <w:r w:rsidRPr="00727160">
        <w:rPr>
          <w:vertAlign w:val="baseline"/>
        </w:rPr>
        <w:t xml:space="preserve"> CAT Article 2(1) states, ‘</w:t>
      </w:r>
      <w:r w:rsidRPr="00727160">
        <w:rPr>
          <w:rFonts w:eastAsia="Times New Roman" w:cs="Times New Roman"/>
          <w:color w:val="000000"/>
          <w:shd w:val="clear" w:color="auto" w:fill="FFFFFF"/>
          <w:vertAlign w:val="baseline"/>
        </w:rPr>
        <w:t xml:space="preserve">Each State Party shall take effective legislative, administrative, judicial or other measures to prevent acts of torture in any territory </w:t>
      </w:r>
      <w:r>
        <w:rPr>
          <w:rFonts w:eastAsia="Times New Roman" w:cs="Times New Roman"/>
          <w:color w:val="000000"/>
          <w:shd w:val="clear" w:color="auto" w:fill="FFFFFF"/>
          <w:vertAlign w:val="baseline"/>
        </w:rPr>
        <w:t>under its jurisdiction</w:t>
      </w:r>
      <w:r w:rsidRPr="00727160">
        <w:rPr>
          <w:rFonts w:eastAsia="Times New Roman" w:cs="Times New Roman"/>
          <w:color w:val="000000"/>
          <w:shd w:val="clear" w:color="auto" w:fill="FFFFFF"/>
          <w:vertAlign w:val="baseline"/>
        </w:rPr>
        <w:t>’</w:t>
      </w:r>
    </w:p>
  </w:footnote>
  <w:footnote w:id="882">
    <w:p w14:paraId="63E12D37" w14:textId="75075CBC" w:rsidR="00431A55" w:rsidRPr="00727160" w:rsidRDefault="00431A55" w:rsidP="001C6724">
      <w:pPr>
        <w:rPr>
          <w:rFonts w:ascii="Times" w:eastAsia="Times New Roman" w:hAnsi="Times" w:cs="Times New Roman"/>
          <w:vertAlign w:val="baseline"/>
        </w:rPr>
      </w:pPr>
      <w:r w:rsidRPr="00727160">
        <w:rPr>
          <w:rStyle w:val="FootnoteReference"/>
        </w:rPr>
        <w:footnoteRef/>
      </w:r>
      <w:r w:rsidRPr="00727160">
        <w:rPr>
          <w:vertAlign w:val="baseline"/>
        </w:rPr>
        <w:t xml:space="preserve"> CAT Article 16(1) states, ‘</w:t>
      </w:r>
      <w:r w:rsidRPr="00727160">
        <w:rPr>
          <w:rFonts w:eastAsia="Times New Roman" w:cs="Times New Roman"/>
          <w:color w:val="000000"/>
          <w:shd w:val="clear" w:color="auto" w:fill="FFFFFF"/>
          <w:vertAlign w:val="baseline"/>
        </w:rPr>
        <w:t>Each State Party shall undertake to prevent in any territory under its jurisdiction other acts of cruel, inhuman or degrading treatment or punishment which do not amount to torture as defined in article I, when such acts are committed by or at the instigation of or with the consent or acquiescence of a public official or other person acting in an official capacity. In particular, the obligations contained in articles 10, 11, 12 and 13 shall apply with the substitution for references to torture of references to other forms of cruel, inhuman or de</w:t>
      </w:r>
      <w:r>
        <w:rPr>
          <w:rFonts w:eastAsia="Times New Roman" w:cs="Times New Roman"/>
          <w:color w:val="000000"/>
          <w:shd w:val="clear" w:color="auto" w:fill="FFFFFF"/>
          <w:vertAlign w:val="baseline"/>
        </w:rPr>
        <w:t>grading treatment or punishment</w:t>
      </w:r>
      <w:r w:rsidRPr="00727160">
        <w:rPr>
          <w:rFonts w:eastAsia="Times New Roman" w:cs="Times New Roman"/>
          <w:color w:val="000000"/>
          <w:shd w:val="clear" w:color="auto" w:fill="FFFFFF"/>
          <w:vertAlign w:val="baseline"/>
        </w:rPr>
        <w:t>’</w:t>
      </w:r>
    </w:p>
  </w:footnote>
  <w:footnote w:id="883">
    <w:p w14:paraId="5090844D" w14:textId="61D5FFE5" w:rsidR="00431A55" w:rsidRPr="00727160" w:rsidRDefault="00431A55" w:rsidP="001C6724">
      <w:pPr>
        <w:pStyle w:val="FootnoteText"/>
        <w:rPr>
          <w:sz w:val="20"/>
          <w:szCs w:val="20"/>
          <w:vertAlign w:val="baseline"/>
        </w:rPr>
      </w:pPr>
      <w:r w:rsidRPr="00727160">
        <w:rPr>
          <w:rStyle w:val="FootnoteReference"/>
          <w:sz w:val="20"/>
          <w:szCs w:val="20"/>
        </w:rPr>
        <w:footnoteRef/>
      </w:r>
      <w:r w:rsidRPr="00727160">
        <w:rPr>
          <w:sz w:val="20"/>
          <w:szCs w:val="20"/>
        </w:rPr>
        <w:t xml:space="preserve"> </w:t>
      </w:r>
      <w:r w:rsidRPr="00727160">
        <w:rPr>
          <w:sz w:val="20"/>
          <w:szCs w:val="20"/>
          <w:vertAlign w:val="baseline"/>
          <w:lang w:val="en-US"/>
        </w:rPr>
        <w:t>UN, ‘Report of the Committee against Torture’</w:t>
      </w:r>
      <w:r>
        <w:rPr>
          <w:sz w:val="20"/>
          <w:szCs w:val="20"/>
          <w:vertAlign w:val="baseline"/>
          <w:lang w:val="en-US"/>
        </w:rPr>
        <w:t xml:space="preserve"> (n 866)</w:t>
      </w:r>
      <w:r w:rsidRPr="00727160">
        <w:rPr>
          <w:sz w:val="20"/>
          <w:szCs w:val="20"/>
          <w:vertAlign w:val="baseline"/>
          <w:lang w:val="en-US"/>
        </w:rPr>
        <w:t xml:space="preserve"> para 23(c), 89</w:t>
      </w:r>
    </w:p>
  </w:footnote>
  <w:footnote w:id="884">
    <w:p w14:paraId="53305856" w14:textId="0B6DE9CB" w:rsidR="00431A55" w:rsidRPr="00727160" w:rsidRDefault="00431A55" w:rsidP="001C6724">
      <w:pPr>
        <w:pStyle w:val="FootnoteText"/>
        <w:rPr>
          <w:sz w:val="20"/>
          <w:szCs w:val="20"/>
          <w:vertAlign w:val="baseline"/>
          <w:lang w:val="en-US"/>
        </w:rPr>
      </w:pPr>
      <w:r w:rsidRPr="00727160">
        <w:rPr>
          <w:rStyle w:val="FootnoteReference"/>
          <w:sz w:val="20"/>
          <w:szCs w:val="20"/>
        </w:rPr>
        <w:footnoteRef/>
      </w:r>
      <w:r w:rsidRPr="00727160">
        <w:rPr>
          <w:sz w:val="20"/>
          <w:szCs w:val="20"/>
          <w:vertAlign w:val="baseline"/>
        </w:rPr>
        <w:t xml:space="preserve"> </w:t>
      </w:r>
      <w:r>
        <w:rPr>
          <w:sz w:val="20"/>
          <w:szCs w:val="20"/>
          <w:vertAlign w:val="baseline"/>
          <w:lang w:val="en-US"/>
        </w:rPr>
        <w:t>ibid,</w:t>
      </w:r>
      <w:r w:rsidRPr="00727160">
        <w:rPr>
          <w:sz w:val="20"/>
          <w:szCs w:val="20"/>
          <w:vertAlign w:val="baseline"/>
          <w:lang w:val="en-US"/>
        </w:rPr>
        <w:t xml:space="preserve"> para 23, 89</w:t>
      </w:r>
    </w:p>
  </w:footnote>
  <w:footnote w:id="885">
    <w:p w14:paraId="00B9B755" w14:textId="77777777" w:rsidR="00431A55" w:rsidRPr="00727160" w:rsidRDefault="00431A55" w:rsidP="001C6724">
      <w:pPr>
        <w:pStyle w:val="FootnoteText"/>
        <w:rPr>
          <w:sz w:val="20"/>
          <w:szCs w:val="20"/>
          <w:vertAlign w:val="baseline"/>
          <w:lang w:val="en-US"/>
        </w:rPr>
      </w:pPr>
      <w:r w:rsidRPr="00727160">
        <w:rPr>
          <w:rStyle w:val="FootnoteReference"/>
          <w:sz w:val="20"/>
          <w:szCs w:val="20"/>
        </w:rPr>
        <w:footnoteRef/>
      </w:r>
      <w:r w:rsidRPr="00727160">
        <w:rPr>
          <w:sz w:val="20"/>
          <w:szCs w:val="20"/>
        </w:rPr>
        <w:t xml:space="preserve"> </w:t>
      </w:r>
      <w:r w:rsidRPr="00727160">
        <w:rPr>
          <w:sz w:val="20"/>
          <w:szCs w:val="20"/>
          <w:vertAlign w:val="baseline"/>
        </w:rPr>
        <w:t>Committee Against Torture, ‘Concluding Observations on the initial report of Burkina Faso’ 2 January 2014 CAT/C/BFA/CO/1, para 21</w:t>
      </w:r>
    </w:p>
  </w:footnote>
  <w:footnote w:id="886">
    <w:p w14:paraId="6FBAF46B" w14:textId="77777777" w:rsidR="00431A55" w:rsidRPr="00FA4943" w:rsidRDefault="00431A55" w:rsidP="001C6724">
      <w:pPr>
        <w:pStyle w:val="FootnoteText"/>
        <w:rPr>
          <w:lang w:val="en-US"/>
        </w:rPr>
      </w:pPr>
      <w:r w:rsidRPr="00727160">
        <w:rPr>
          <w:rStyle w:val="FootnoteReference"/>
          <w:sz w:val="20"/>
          <w:szCs w:val="20"/>
        </w:rPr>
        <w:footnoteRef/>
      </w:r>
      <w:r w:rsidRPr="00727160">
        <w:rPr>
          <w:sz w:val="20"/>
          <w:szCs w:val="20"/>
          <w:vertAlign w:val="baseline"/>
        </w:rPr>
        <w:t xml:space="preserve"> Committee Against Torture, ‘Concluding Observations on the initial report of Sierra Leone’ 20 June 2014 CAT/C/SLE/CO/1, para 16, 6</w:t>
      </w:r>
    </w:p>
  </w:footnote>
  <w:footnote w:id="887">
    <w:p w14:paraId="2A8100B0" w14:textId="68AA999C" w:rsidR="00431A55" w:rsidRPr="00871E53" w:rsidRDefault="00431A55">
      <w:pPr>
        <w:pStyle w:val="FootnoteText"/>
        <w:rPr>
          <w:sz w:val="20"/>
          <w:szCs w:val="20"/>
          <w:vertAlign w:val="baseline"/>
          <w:lang w:val="en-US"/>
        </w:rPr>
      </w:pPr>
      <w:r w:rsidRPr="00871E53">
        <w:rPr>
          <w:rStyle w:val="FootnoteReference"/>
          <w:sz w:val="20"/>
          <w:szCs w:val="20"/>
        </w:rPr>
        <w:footnoteRef/>
      </w:r>
      <w:r w:rsidRPr="00871E53">
        <w:rPr>
          <w:sz w:val="20"/>
          <w:szCs w:val="20"/>
        </w:rPr>
        <w:t xml:space="preserve"> </w:t>
      </w:r>
      <w:r w:rsidRPr="00BE12AB">
        <w:rPr>
          <w:sz w:val="20"/>
          <w:szCs w:val="20"/>
          <w:vertAlign w:val="baseline"/>
        </w:rPr>
        <w:t>Ronagh McQuigg, ‘How Effective is the United Nations Committee Against Torture’ (2011) 22(3) European Journal of International Law 828</w:t>
      </w:r>
    </w:p>
  </w:footnote>
  <w:footnote w:id="888">
    <w:p w14:paraId="723FA415" w14:textId="2330BF35" w:rsidR="00431A55" w:rsidRPr="00BE12AB" w:rsidRDefault="00431A55" w:rsidP="001C6724">
      <w:pPr>
        <w:pStyle w:val="FootnoteText"/>
        <w:rPr>
          <w:sz w:val="20"/>
          <w:szCs w:val="20"/>
          <w:vertAlign w:val="baseline"/>
          <w:lang w:val="en-US"/>
        </w:rPr>
      </w:pPr>
      <w:r w:rsidRPr="00BE12AB">
        <w:rPr>
          <w:rStyle w:val="FootnoteReference"/>
          <w:sz w:val="20"/>
          <w:szCs w:val="20"/>
        </w:rPr>
        <w:footnoteRef/>
      </w:r>
      <w:r w:rsidRPr="00BE12AB">
        <w:rPr>
          <w:sz w:val="20"/>
          <w:szCs w:val="20"/>
          <w:vertAlign w:val="baseline"/>
        </w:rPr>
        <w:t xml:space="preserve"> </w:t>
      </w:r>
      <w:r>
        <w:rPr>
          <w:sz w:val="20"/>
          <w:szCs w:val="20"/>
          <w:vertAlign w:val="baseline"/>
        </w:rPr>
        <w:t>ibid</w:t>
      </w:r>
    </w:p>
  </w:footnote>
  <w:footnote w:id="889">
    <w:p w14:paraId="0E869EB6" w14:textId="42FEC84E" w:rsidR="00431A55" w:rsidRPr="00BE12AB" w:rsidRDefault="00431A55" w:rsidP="001C6724">
      <w:pPr>
        <w:pStyle w:val="FootnoteText"/>
        <w:rPr>
          <w:sz w:val="20"/>
          <w:szCs w:val="20"/>
          <w:vertAlign w:val="baseline"/>
          <w:lang w:val="en-US"/>
        </w:rPr>
      </w:pPr>
      <w:r w:rsidRPr="00BE12AB">
        <w:rPr>
          <w:rStyle w:val="FootnoteReference"/>
          <w:sz w:val="20"/>
          <w:szCs w:val="20"/>
        </w:rPr>
        <w:footnoteRef/>
      </w:r>
      <w:r w:rsidRPr="00BE12AB">
        <w:rPr>
          <w:sz w:val="20"/>
          <w:szCs w:val="20"/>
        </w:rPr>
        <w:t xml:space="preserve"> </w:t>
      </w:r>
      <w:r w:rsidRPr="00BE12AB">
        <w:rPr>
          <w:sz w:val="20"/>
          <w:szCs w:val="20"/>
          <w:vertAlign w:val="baseline"/>
          <w:lang w:val="en-US"/>
        </w:rPr>
        <w:t xml:space="preserve">There are no relevant reports or concluding observations from the Committee Against Torture regarding WAP, hence why there is no </w:t>
      </w:r>
      <w:r>
        <w:rPr>
          <w:sz w:val="20"/>
          <w:szCs w:val="20"/>
          <w:vertAlign w:val="baseline"/>
          <w:lang w:val="en-US"/>
        </w:rPr>
        <w:t>mention of them in this section</w:t>
      </w:r>
    </w:p>
  </w:footnote>
  <w:footnote w:id="890">
    <w:p w14:paraId="5D8360F1" w14:textId="77777777" w:rsidR="00431A55" w:rsidRPr="00BE12AB" w:rsidRDefault="00431A55" w:rsidP="001C6724">
      <w:pPr>
        <w:pStyle w:val="FootnoteText"/>
        <w:rPr>
          <w:sz w:val="20"/>
          <w:szCs w:val="20"/>
          <w:vertAlign w:val="baseline"/>
          <w:lang w:val="en-US"/>
        </w:rPr>
      </w:pPr>
      <w:r w:rsidRPr="00BE12AB">
        <w:rPr>
          <w:rStyle w:val="FootnoteReference"/>
          <w:sz w:val="20"/>
          <w:szCs w:val="20"/>
        </w:rPr>
        <w:footnoteRef/>
      </w:r>
      <w:r w:rsidRPr="00BE12AB">
        <w:rPr>
          <w:sz w:val="20"/>
          <w:szCs w:val="20"/>
        </w:rPr>
        <w:t xml:space="preserve"> </w:t>
      </w:r>
      <w:r w:rsidRPr="00BE12AB">
        <w:rPr>
          <w:sz w:val="20"/>
          <w:szCs w:val="20"/>
          <w:vertAlign w:val="baseline"/>
          <w:lang w:val="en-US"/>
        </w:rPr>
        <w:t>Committee against Torture, ‘Consideration of reports submitted by States parties under article 19 of the Convention: Ghana’ 7 July 2010, CAT/C/GHA/1</w:t>
      </w:r>
    </w:p>
  </w:footnote>
  <w:footnote w:id="891">
    <w:p w14:paraId="142AD991" w14:textId="77777777" w:rsidR="00431A55" w:rsidRPr="00BE12AB" w:rsidRDefault="00431A55" w:rsidP="001C6724">
      <w:pPr>
        <w:pStyle w:val="FootnoteText"/>
        <w:rPr>
          <w:sz w:val="20"/>
          <w:szCs w:val="20"/>
          <w:vertAlign w:val="baseline"/>
          <w:lang w:val="en-US"/>
        </w:rPr>
      </w:pPr>
      <w:r w:rsidRPr="00BE12AB">
        <w:rPr>
          <w:rStyle w:val="FootnoteReference"/>
          <w:sz w:val="20"/>
          <w:szCs w:val="20"/>
        </w:rPr>
        <w:footnoteRef/>
      </w:r>
      <w:r w:rsidRPr="00BE12AB">
        <w:rPr>
          <w:sz w:val="20"/>
          <w:szCs w:val="20"/>
        </w:rPr>
        <w:t xml:space="preserve"> </w:t>
      </w:r>
      <w:r w:rsidRPr="00BE12AB">
        <w:rPr>
          <w:sz w:val="20"/>
          <w:szCs w:val="20"/>
          <w:vertAlign w:val="baseline"/>
          <w:lang w:val="en-US"/>
        </w:rPr>
        <w:t>Committee against Torture, ‘Concluding observations of the Committee against Torture: Ghana’ 15 June 2011, CAT/C/GHA/CO/1, para 2</w:t>
      </w:r>
    </w:p>
  </w:footnote>
  <w:footnote w:id="892">
    <w:p w14:paraId="72127D37" w14:textId="2645A348" w:rsidR="00431A55" w:rsidRPr="00BE12AB" w:rsidRDefault="00431A55" w:rsidP="001C6724">
      <w:pPr>
        <w:pStyle w:val="FootnoteText"/>
        <w:rPr>
          <w:sz w:val="20"/>
          <w:szCs w:val="20"/>
          <w:vertAlign w:val="baseline"/>
          <w:lang w:val="en-US"/>
        </w:rPr>
      </w:pPr>
      <w:r w:rsidRPr="005605A2">
        <w:rPr>
          <w:rStyle w:val="FootnoteReference"/>
          <w:sz w:val="20"/>
          <w:szCs w:val="20"/>
        </w:rPr>
        <w:footnoteRef/>
      </w:r>
      <w:r w:rsidRPr="00BE12AB">
        <w:rPr>
          <w:sz w:val="20"/>
          <w:szCs w:val="20"/>
          <w:vertAlign w:val="baseline"/>
        </w:rPr>
        <w:t xml:space="preserve"> </w:t>
      </w:r>
      <w:r>
        <w:rPr>
          <w:sz w:val="20"/>
          <w:szCs w:val="20"/>
          <w:vertAlign w:val="baseline"/>
          <w:lang w:val="en-US"/>
        </w:rPr>
        <w:t>ibid</w:t>
      </w:r>
      <w:r w:rsidRPr="00BE12AB">
        <w:rPr>
          <w:sz w:val="20"/>
          <w:szCs w:val="20"/>
          <w:vertAlign w:val="baseline"/>
          <w:lang w:val="en-US"/>
        </w:rPr>
        <w:t>, para 23</w:t>
      </w:r>
    </w:p>
  </w:footnote>
  <w:footnote w:id="893">
    <w:p w14:paraId="4A5AA66F" w14:textId="73F9848E" w:rsidR="00431A55" w:rsidRPr="00BE12AB" w:rsidRDefault="00431A55" w:rsidP="001C6724">
      <w:pPr>
        <w:pStyle w:val="FootnoteText"/>
        <w:rPr>
          <w:sz w:val="20"/>
          <w:szCs w:val="20"/>
          <w:vertAlign w:val="baseline"/>
          <w:lang w:val="en-US"/>
        </w:rPr>
      </w:pPr>
      <w:r w:rsidRPr="00BE12AB">
        <w:rPr>
          <w:rStyle w:val="FootnoteReference"/>
          <w:sz w:val="20"/>
          <w:szCs w:val="20"/>
        </w:rPr>
        <w:footnoteRef/>
      </w:r>
      <w:r w:rsidRPr="00BE12AB">
        <w:rPr>
          <w:sz w:val="20"/>
          <w:szCs w:val="20"/>
          <w:vertAlign w:val="baseline"/>
        </w:rPr>
        <w:t xml:space="preserve"> </w:t>
      </w:r>
      <w:r w:rsidRPr="00BE12AB">
        <w:rPr>
          <w:sz w:val="20"/>
          <w:szCs w:val="20"/>
          <w:vertAlign w:val="baseline"/>
          <w:lang w:val="en-US"/>
        </w:rPr>
        <w:t>Committee against Tort</w:t>
      </w:r>
      <w:r>
        <w:rPr>
          <w:sz w:val="20"/>
          <w:szCs w:val="20"/>
          <w:vertAlign w:val="baseline"/>
          <w:lang w:val="en-US"/>
        </w:rPr>
        <w:t>ure, ‘Concluding observations: Ghana’ (n 891)</w:t>
      </w:r>
      <w:r w:rsidRPr="00BE12AB">
        <w:rPr>
          <w:sz w:val="20"/>
          <w:szCs w:val="20"/>
          <w:vertAlign w:val="baseline"/>
          <w:lang w:val="en-US"/>
        </w:rPr>
        <w:t xml:space="preserve"> 9</w:t>
      </w:r>
    </w:p>
  </w:footnote>
  <w:footnote w:id="894">
    <w:p w14:paraId="12AFC91E" w14:textId="77777777" w:rsidR="00431A55" w:rsidRPr="00BE12AB" w:rsidRDefault="00431A55" w:rsidP="001C6724">
      <w:pPr>
        <w:pStyle w:val="FootnoteText"/>
        <w:rPr>
          <w:sz w:val="20"/>
          <w:szCs w:val="20"/>
          <w:vertAlign w:val="baseline"/>
          <w:lang w:val="en-US"/>
        </w:rPr>
      </w:pPr>
      <w:r w:rsidRPr="00BE12AB">
        <w:rPr>
          <w:rStyle w:val="FootnoteReference"/>
          <w:sz w:val="20"/>
          <w:szCs w:val="20"/>
        </w:rPr>
        <w:footnoteRef/>
      </w:r>
      <w:r w:rsidRPr="00BE12AB">
        <w:rPr>
          <w:sz w:val="20"/>
          <w:szCs w:val="20"/>
          <w:vertAlign w:val="baseline"/>
        </w:rPr>
        <w:t xml:space="preserve"> </w:t>
      </w:r>
      <w:r w:rsidRPr="00BE12AB">
        <w:rPr>
          <w:sz w:val="20"/>
          <w:szCs w:val="20"/>
          <w:vertAlign w:val="baseline"/>
          <w:lang w:val="en-US"/>
        </w:rPr>
        <w:t>January 2016</w:t>
      </w:r>
    </w:p>
  </w:footnote>
  <w:footnote w:id="895">
    <w:p w14:paraId="7CC340BD" w14:textId="77777777" w:rsidR="00431A55" w:rsidRPr="00B71FE8" w:rsidRDefault="00431A55" w:rsidP="001C6724">
      <w:pPr>
        <w:pStyle w:val="FootnoteText"/>
        <w:rPr>
          <w:lang w:val="en-US"/>
        </w:rPr>
      </w:pPr>
      <w:r w:rsidRPr="00BE12AB">
        <w:rPr>
          <w:rStyle w:val="FootnoteReference"/>
          <w:sz w:val="20"/>
          <w:szCs w:val="20"/>
        </w:rPr>
        <w:footnoteRef/>
      </w:r>
      <w:r w:rsidRPr="00BE12AB">
        <w:rPr>
          <w:sz w:val="20"/>
          <w:szCs w:val="20"/>
        </w:rPr>
        <w:t xml:space="preserve"> </w:t>
      </w:r>
      <w:r w:rsidRPr="00BE12AB">
        <w:rPr>
          <w:sz w:val="20"/>
          <w:szCs w:val="20"/>
          <w:vertAlign w:val="baseline"/>
          <w:lang w:val="en-US"/>
        </w:rPr>
        <w:t>Committee against Torture, ‘Consideration of reports submitted by States parties under article 19 of the Convention: Nepal’ 14 January 2005 CAT/C/33/Add.6</w:t>
      </w:r>
    </w:p>
  </w:footnote>
  <w:footnote w:id="896">
    <w:p w14:paraId="69977F61" w14:textId="77777777" w:rsidR="00431A55" w:rsidRPr="00CA79B1" w:rsidRDefault="00431A55" w:rsidP="001C6724">
      <w:pPr>
        <w:pStyle w:val="FootnoteText"/>
        <w:rPr>
          <w:sz w:val="20"/>
          <w:szCs w:val="20"/>
          <w:vertAlign w:val="baseline"/>
          <w:lang w:val="en-US"/>
        </w:rPr>
      </w:pPr>
      <w:r w:rsidRPr="00CA79B1">
        <w:rPr>
          <w:rStyle w:val="FootnoteReference"/>
          <w:sz w:val="20"/>
          <w:szCs w:val="20"/>
        </w:rPr>
        <w:footnoteRef/>
      </w:r>
      <w:r w:rsidRPr="00CA79B1">
        <w:rPr>
          <w:sz w:val="20"/>
          <w:szCs w:val="20"/>
        </w:rPr>
        <w:t xml:space="preserve"> </w:t>
      </w:r>
      <w:r w:rsidRPr="00CA79B1">
        <w:rPr>
          <w:sz w:val="20"/>
          <w:szCs w:val="20"/>
          <w:vertAlign w:val="baseline"/>
          <w:lang w:val="en-US"/>
        </w:rPr>
        <w:t>Committee against Torture, ‘Conclusions and recommendations of the Committee against Torture: Nepal’ 13 April 2006 CAT/C/NPL/CO/2</w:t>
      </w:r>
    </w:p>
  </w:footnote>
  <w:footnote w:id="897">
    <w:p w14:paraId="73FE9BA7" w14:textId="2A2DBE12" w:rsidR="00431A55" w:rsidRPr="00CA79B1" w:rsidRDefault="00431A55" w:rsidP="001C6724">
      <w:pPr>
        <w:pStyle w:val="FootnoteText"/>
        <w:rPr>
          <w:sz w:val="20"/>
          <w:szCs w:val="20"/>
          <w:vertAlign w:val="baseline"/>
          <w:lang w:val="en-US"/>
        </w:rPr>
      </w:pPr>
      <w:r w:rsidRPr="00CA79B1">
        <w:rPr>
          <w:rStyle w:val="FootnoteReference"/>
          <w:sz w:val="20"/>
          <w:szCs w:val="20"/>
        </w:rPr>
        <w:footnoteRef/>
      </w:r>
      <w:r w:rsidRPr="00CA79B1">
        <w:rPr>
          <w:sz w:val="20"/>
          <w:szCs w:val="20"/>
          <w:vertAlign w:val="baseline"/>
        </w:rPr>
        <w:t xml:space="preserve"> </w:t>
      </w:r>
      <w:r>
        <w:rPr>
          <w:sz w:val="20"/>
          <w:szCs w:val="20"/>
          <w:vertAlign w:val="baseline"/>
          <w:lang w:val="en-US"/>
        </w:rPr>
        <w:t>ibid,</w:t>
      </w:r>
      <w:r w:rsidRPr="00CA79B1">
        <w:rPr>
          <w:sz w:val="20"/>
          <w:szCs w:val="20"/>
          <w:vertAlign w:val="baseline"/>
          <w:lang w:val="en-US"/>
        </w:rPr>
        <w:t xml:space="preserve"> para 26</w:t>
      </w:r>
    </w:p>
  </w:footnote>
  <w:footnote w:id="898">
    <w:p w14:paraId="09A659B2" w14:textId="6063AB51" w:rsidR="00431A55" w:rsidRPr="00CA79B1" w:rsidRDefault="00431A55" w:rsidP="001C6724">
      <w:pPr>
        <w:pStyle w:val="FootnoteText"/>
        <w:rPr>
          <w:sz w:val="20"/>
          <w:szCs w:val="20"/>
          <w:vertAlign w:val="baseline"/>
          <w:lang w:val="en-US"/>
        </w:rPr>
      </w:pPr>
      <w:r w:rsidRPr="00CA79B1">
        <w:rPr>
          <w:rStyle w:val="FootnoteReference"/>
          <w:sz w:val="20"/>
          <w:szCs w:val="20"/>
        </w:rPr>
        <w:footnoteRef/>
      </w:r>
      <w:r w:rsidRPr="00CA79B1">
        <w:rPr>
          <w:sz w:val="20"/>
          <w:szCs w:val="20"/>
          <w:vertAlign w:val="baseline"/>
        </w:rPr>
        <w:t xml:space="preserve"> </w:t>
      </w:r>
      <w:r>
        <w:rPr>
          <w:sz w:val="20"/>
          <w:szCs w:val="20"/>
          <w:vertAlign w:val="baseline"/>
          <w:lang w:val="en-US"/>
        </w:rPr>
        <w:t>ibid</w:t>
      </w:r>
      <w:r w:rsidRPr="00CA79B1">
        <w:rPr>
          <w:sz w:val="20"/>
          <w:szCs w:val="20"/>
          <w:vertAlign w:val="baseline"/>
          <w:lang w:val="en-US"/>
        </w:rPr>
        <w:t>, para 39</w:t>
      </w:r>
    </w:p>
  </w:footnote>
  <w:footnote w:id="899">
    <w:p w14:paraId="4DCBB73D" w14:textId="77777777" w:rsidR="00431A55" w:rsidRPr="00CA79B1" w:rsidRDefault="00431A55" w:rsidP="001C6724">
      <w:pPr>
        <w:pStyle w:val="FootnoteText"/>
        <w:rPr>
          <w:sz w:val="20"/>
          <w:szCs w:val="20"/>
          <w:vertAlign w:val="baseline"/>
          <w:lang w:val="en-US"/>
        </w:rPr>
      </w:pPr>
      <w:r w:rsidRPr="00CA79B1">
        <w:rPr>
          <w:rStyle w:val="FootnoteReference"/>
          <w:sz w:val="20"/>
          <w:szCs w:val="20"/>
        </w:rPr>
        <w:footnoteRef/>
      </w:r>
      <w:r w:rsidRPr="00CA79B1">
        <w:rPr>
          <w:sz w:val="20"/>
          <w:szCs w:val="20"/>
        </w:rPr>
        <w:t xml:space="preserve"> </w:t>
      </w:r>
      <w:r w:rsidRPr="00CA79B1">
        <w:rPr>
          <w:sz w:val="20"/>
          <w:szCs w:val="20"/>
          <w:vertAlign w:val="baseline"/>
          <w:lang w:val="en-US"/>
        </w:rPr>
        <w:t>January 2016</w:t>
      </w:r>
    </w:p>
  </w:footnote>
  <w:footnote w:id="900">
    <w:p w14:paraId="1B417422" w14:textId="77777777" w:rsidR="00431A55" w:rsidRPr="00CA79B1" w:rsidRDefault="00431A55" w:rsidP="001C6724">
      <w:pPr>
        <w:rPr>
          <w:rFonts w:ascii="Times" w:eastAsia="Times New Roman" w:hAnsi="Times" w:cs="Times New Roman"/>
          <w:vertAlign w:val="baseline"/>
        </w:rPr>
      </w:pPr>
      <w:r w:rsidRPr="00CA79B1">
        <w:rPr>
          <w:rStyle w:val="FootnoteReference"/>
        </w:rPr>
        <w:footnoteRef/>
      </w:r>
      <w:r w:rsidRPr="00CA79B1">
        <w:t xml:space="preserve"> </w:t>
      </w:r>
      <w:r w:rsidRPr="00CA79B1">
        <w:rPr>
          <w:rFonts w:eastAsia="Times New Roman" w:cs="Times New Roman"/>
          <w:color w:val="3F3F3F"/>
          <w:vertAlign w:val="baseline"/>
        </w:rPr>
        <w:t>International Covenant on Civil and Political Rights (adopted 16 December 1966) 999 UNTS 171</w:t>
      </w:r>
    </w:p>
  </w:footnote>
  <w:footnote w:id="901">
    <w:p w14:paraId="59B0AAFB" w14:textId="7D70D5F3" w:rsidR="00431A55" w:rsidRPr="00CA79B1" w:rsidRDefault="00431A55" w:rsidP="001C6724">
      <w:pPr>
        <w:pStyle w:val="FootnoteText"/>
        <w:rPr>
          <w:sz w:val="20"/>
          <w:szCs w:val="20"/>
          <w:vertAlign w:val="baseline"/>
        </w:rPr>
      </w:pPr>
      <w:r w:rsidRPr="00CA79B1">
        <w:rPr>
          <w:rStyle w:val="FootnoteReference"/>
          <w:sz w:val="20"/>
          <w:szCs w:val="20"/>
        </w:rPr>
        <w:footnoteRef/>
      </w:r>
      <w:r w:rsidRPr="00CA79B1">
        <w:rPr>
          <w:sz w:val="20"/>
          <w:szCs w:val="20"/>
        </w:rPr>
        <w:t xml:space="preserve"> </w:t>
      </w:r>
      <w:r>
        <w:rPr>
          <w:sz w:val="20"/>
          <w:szCs w:val="20"/>
          <w:vertAlign w:val="baseline"/>
        </w:rPr>
        <w:t>Article 2 (1) ICCPR states</w:t>
      </w:r>
      <w:r w:rsidRPr="00CA79B1">
        <w:rPr>
          <w:sz w:val="20"/>
          <w:szCs w:val="20"/>
          <w:vertAlign w:val="baseline"/>
        </w:rPr>
        <w:t>, ‘Each State Party to the present Covenant undertakes to respect and to ensure to all individuals within its territory and subject to its jurisdiction the rights recognized in the</w:t>
      </w:r>
    </w:p>
    <w:p w14:paraId="699C3B6B" w14:textId="2FED8034" w:rsidR="00431A55" w:rsidRPr="00AC7045" w:rsidRDefault="00431A55" w:rsidP="001C6724">
      <w:pPr>
        <w:pStyle w:val="FootnoteText"/>
      </w:pPr>
      <w:r w:rsidRPr="00CA79B1">
        <w:rPr>
          <w:sz w:val="20"/>
          <w:szCs w:val="20"/>
          <w:vertAlign w:val="baseline"/>
        </w:rPr>
        <w:t>present Covenant, without distinction of any kind, such as race, colour, sex, language, religion, political or other opinion, national or social origin, proper</w:t>
      </w:r>
      <w:r>
        <w:rPr>
          <w:sz w:val="20"/>
          <w:szCs w:val="20"/>
          <w:vertAlign w:val="baseline"/>
        </w:rPr>
        <w:t>ty, birth or other status</w:t>
      </w:r>
      <w:r w:rsidRPr="00CA79B1">
        <w:rPr>
          <w:sz w:val="20"/>
          <w:szCs w:val="20"/>
          <w:vertAlign w:val="baseline"/>
        </w:rPr>
        <w:t>’</w:t>
      </w:r>
    </w:p>
  </w:footnote>
  <w:footnote w:id="902">
    <w:p w14:paraId="29A068B7" w14:textId="2F6109C6" w:rsidR="00431A55" w:rsidRPr="00A82205" w:rsidRDefault="00431A55" w:rsidP="001C6724">
      <w:pPr>
        <w:rPr>
          <w:rFonts w:ascii="Times" w:eastAsia="Times New Roman" w:hAnsi="Times" w:cs="Times New Roman"/>
        </w:rPr>
      </w:pPr>
      <w:r w:rsidRPr="00CA79B1">
        <w:rPr>
          <w:rStyle w:val="FootnoteReference"/>
        </w:rPr>
        <w:footnoteRef/>
      </w:r>
      <w:r w:rsidRPr="00CA79B1">
        <w:t xml:space="preserve"> </w:t>
      </w:r>
      <w:r w:rsidRPr="00CA79B1">
        <w:rPr>
          <w:vertAlign w:val="baseline"/>
        </w:rPr>
        <w:t>Article 3 ICCPR states, ‘</w:t>
      </w:r>
      <w:r w:rsidRPr="00CA79B1">
        <w:rPr>
          <w:rFonts w:eastAsia="Times New Roman" w:cs="Times New Roman"/>
          <w:vertAlign w:val="baseline"/>
        </w:rPr>
        <w:t>The States Parties to the present Covenant undertake to ensure the equal right of men and women to the enjoyment of all civil and political rights set forth in the present Covenant</w:t>
      </w:r>
      <w:r>
        <w:rPr>
          <w:rFonts w:eastAsia="Times New Roman" w:cs="Times New Roman"/>
          <w:vertAlign w:val="baseline"/>
        </w:rPr>
        <w:t>’</w:t>
      </w:r>
    </w:p>
  </w:footnote>
  <w:footnote w:id="903">
    <w:p w14:paraId="09DDFD17" w14:textId="575DB72B" w:rsidR="00431A55" w:rsidRPr="00EE68E6" w:rsidRDefault="00431A55" w:rsidP="001C6724">
      <w:pPr>
        <w:pStyle w:val="FootnoteText"/>
        <w:rPr>
          <w:sz w:val="20"/>
          <w:szCs w:val="20"/>
          <w:vertAlign w:val="baseline"/>
        </w:rPr>
      </w:pPr>
      <w:r w:rsidRPr="00EE68E6">
        <w:rPr>
          <w:rStyle w:val="FootnoteReference"/>
          <w:sz w:val="20"/>
          <w:szCs w:val="20"/>
        </w:rPr>
        <w:footnoteRef/>
      </w:r>
      <w:r w:rsidRPr="00EE68E6">
        <w:rPr>
          <w:sz w:val="20"/>
          <w:szCs w:val="20"/>
        </w:rPr>
        <w:t xml:space="preserve"> </w:t>
      </w:r>
      <w:r w:rsidRPr="00EE68E6">
        <w:rPr>
          <w:sz w:val="20"/>
          <w:szCs w:val="20"/>
          <w:vertAlign w:val="baseline"/>
        </w:rPr>
        <w:t>Article 6 (1) ICCPR states, ‘Every human being has the inherent right to life. This right shall be protected by law. No one shall be a</w:t>
      </w:r>
      <w:r>
        <w:rPr>
          <w:sz w:val="20"/>
          <w:szCs w:val="20"/>
          <w:vertAlign w:val="baseline"/>
        </w:rPr>
        <w:t>rbitrarily deprived of his life</w:t>
      </w:r>
      <w:r w:rsidRPr="00EE68E6">
        <w:rPr>
          <w:sz w:val="20"/>
          <w:szCs w:val="20"/>
          <w:vertAlign w:val="baseline"/>
        </w:rPr>
        <w:t>’</w:t>
      </w:r>
    </w:p>
  </w:footnote>
  <w:footnote w:id="904">
    <w:p w14:paraId="24430F35" w14:textId="77777777" w:rsidR="00431A55" w:rsidRPr="00EE68E6" w:rsidRDefault="00431A55" w:rsidP="001C6724">
      <w:pPr>
        <w:pStyle w:val="FootnoteText"/>
        <w:rPr>
          <w:sz w:val="20"/>
          <w:szCs w:val="20"/>
          <w:vertAlign w:val="baseline"/>
        </w:rPr>
      </w:pPr>
      <w:r w:rsidRPr="00EE68E6">
        <w:rPr>
          <w:rStyle w:val="FootnoteReference"/>
          <w:sz w:val="20"/>
          <w:szCs w:val="20"/>
        </w:rPr>
        <w:footnoteRef/>
      </w:r>
      <w:r w:rsidRPr="00EE68E6">
        <w:rPr>
          <w:sz w:val="20"/>
          <w:szCs w:val="20"/>
          <w:vertAlign w:val="baseline"/>
        </w:rPr>
        <w:t xml:space="preserve"> Article 7 ICCPR states, ‘No one shall be subjected to torture or to cruel, inhuman or degrading treatment or punishment. In particular, no one shall be subjected without his free consent to medical</w:t>
      </w:r>
    </w:p>
    <w:p w14:paraId="3BAB3268" w14:textId="217F1CB2" w:rsidR="00431A55" w:rsidRPr="00EE68E6" w:rsidRDefault="00431A55" w:rsidP="001C6724">
      <w:pPr>
        <w:pStyle w:val="FootnoteText"/>
        <w:rPr>
          <w:sz w:val="20"/>
          <w:szCs w:val="20"/>
          <w:vertAlign w:val="baseline"/>
          <w:lang w:val="en-US"/>
        </w:rPr>
      </w:pPr>
      <w:r>
        <w:rPr>
          <w:sz w:val="20"/>
          <w:szCs w:val="20"/>
          <w:vertAlign w:val="baseline"/>
        </w:rPr>
        <w:t>or scientific experimentation</w:t>
      </w:r>
      <w:r w:rsidRPr="00EE68E6">
        <w:rPr>
          <w:sz w:val="20"/>
          <w:szCs w:val="20"/>
          <w:vertAlign w:val="baseline"/>
        </w:rPr>
        <w:t>’</w:t>
      </w:r>
    </w:p>
  </w:footnote>
  <w:footnote w:id="905">
    <w:p w14:paraId="31B98491" w14:textId="77777777" w:rsidR="00431A55" w:rsidRPr="00EE68E6" w:rsidRDefault="00431A55" w:rsidP="001C6724">
      <w:pPr>
        <w:pStyle w:val="FootnoteText"/>
        <w:rPr>
          <w:sz w:val="20"/>
          <w:szCs w:val="20"/>
          <w:vertAlign w:val="baseline"/>
          <w:lang w:val="en-US"/>
        </w:rPr>
      </w:pPr>
      <w:r w:rsidRPr="00EE68E6">
        <w:rPr>
          <w:rStyle w:val="FootnoteReference"/>
          <w:sz w:val="20"/>
          <w:szCs w:val="20"/>
        </w:rPr>
        <w:footnoteRef/>
      </w:r>
      <w:r w:rsidRPr="00EE68E6">
        <w:rPr>
          <w:sz w:val="20"/>
          <w:szCs w:val="20"/>
        </w:rPr>
        <w:t xml:space="preserve"> </w:t>
      </w:r>
      <w:r w:rsidRPr="00EE68E6">
        <w:rPr>
          <w:sz w:val="20"/>
          <w:szCs w:val="20"/>
          <w:vertAlign w:val="baseline"/>
          <w:lang w:val="en-US"/>
        </w:rPr>
        <w:t xml:space="preserve">Nick O’Neill, Simon Rice and Roger Douglas, </w:t>
      </w:r>
      <w:r w:rsidRPr="00EE68E6">
        <w:rPr>
          <w:i/>
          <w:sz w:val="20"/>
          <w:szCs w:val="20"/>
          <w:vertAlign w:val="baseline"/>
          <w:lang w:val="en-US"/>
        </w:rPr>
        <w:t>Retreat from Injustice: Human Rights Law in Australia</w:t>
      </w:r>
      <w:r w:rsidRPr="00EE68E6">
        <w:rPr>
          <w:sz w:val="20"/>
          <w:szCs w:val="20"/>
          <w:vertAlign w:val="baseline"/>
          <w:lang w:val="en-US"/>
        </w:rPr>
        <w:t xml:space="preserve"> (Federation Press 2004) 145</w:t>
      </w:r>
    </w:p>
  </w:footnote>
  <w:footnote w:id="906">
    <w:p w14:paraId="51E1F097" w14:textId="3050801E" w:rsidR="00431A55" w:rsidRPr="00655F9D" w:rsidRDefault="00431A55">
      <w:pPr>
        <w:pStyle w:val="FootnoteText"/>
        <w:rPr>
          <w:sz w:val="20"/>
          <w:szCs w:val="20"/>
          <w:vertAlign w:val="baseline"/>
          <w:lang w:val="en-US"/>
        </w:rPr>
      </w:pPr>
      <w:r w:rsidRPr="00655F9D">
        <w:rPr>
          <w:rStyle w:val="FootnoteReference"/>
          <w:sz w:val="20"/>
          <w:szCs w:val="20"/>
        </w:rPr>
        <w:footnoteRef/>
      </w:r>
      <w:r w:rsidRPr="00655F9D">
        <w:rPr>
          <w:sz w:val="20"/>
          <w:szCs w:val="20"/>
        </w:rPr>
        <w:t xml:space="preserve"> </w:t>
      </w:r>
      <w:r>
        <w:rPr>
          <w:sz w:val="20"/>
          <w:szCs w:val="20"/>
          <w:vertAlign w:val="baseline"/>
        </w:rPr>
        <w:t>Entering into force on 11 July 1991</w:t>
      </w:r>
    </w:p>
  </w:footnote>
  <w:footnote w:id="907">
    <w:p w14:paraId="6852A35F" w14:textId="3415FC6D" w:rsidR="00431A55" w:rsidRPr="00EA31B6" w:rsidRDefault="00431A55">
      <w:pPr>
        <w:pStyle w:val="FootnoteText"/>
        <w:rPr>
          <w:sz w:val="20"/>
          <w:szCs w:val="20"/>
          <w:vertAlign w:val="baseline"/>
          <w:lang w:val="en-US"/>
        </w:rPr>
      </w:pPr>
      <w:r w:rsidRPr="00EA31B6">
        <w:rPr>
          <w:rStyle w:val="FootnoteReference"/>
          <w:sz w:val="20"/>
          <w:szCs w:val="20"/>
        </w:rPr>
        <w:footnoteRef/>
      </w:r>
      <w:r w:rsidRPr="00EA31B6">
        <w:rPr>
          <w:sz w:val="20"/>
          <w:szCs w:val="20"/>
        </w:rPr>
        <w:t xml:space="preserve"> </w:t>
      </w:r>
      <w:r w:rsidRPr="00EA31B6">
        <w:rPr>
          <w:rFonts w:cs="Times New Roman"/>
          <w:sz w:val="20"/>
          <w:szCs w:val="20"/>
          <w:vertAlign w:val="baseline"/>
        </w:rPr>
        <w:t>Nepal acceded on 14 May 1991, PNG acceded on 21 July 2008, Ghana ratified the ICCPR on 7 September 2000 and India acceded on 10 April 1979.</w:t>
      </w:r>
      <w:r w:rsidRPr="00EA31B6">
        <w:rPr>
          <w:sz w:val="20"/>
          <w:szCs w:val="20"/>
          <w:vertAlign w:val="baseline"/>
        </w:rPr>
        <w:t xml:space="preserve"> </w:t>
      </w:r>
      <w:r w:rsidRPr="00EE68E6">
        <w:rPr>
          <w:sz w:val="20"/>
          <w:szCs w:val="20"/>
          <w:vertAlign w:val="baseline"/>
        </w:rPr>
        <w:t>On accession India entered declarations against articles 1, 9, 12, 13, 19(3), 21 and 22</w:t>
      </w:r>
    </w:p>
  </w:footnote>
  <w:footnote w:id="908">
    <w:p w14:paraId="421A6ABA" w14:textId="21DEA8B1" w:rsidR="00431A55" w:rsidRPr="00FA2447" w:rsidRDefault="00431A55" w:rsidP="00FA2447">
      <w:pPr>
        <w:rPr>
          <w:rFonts w:ascii="Times" w:eastAsia="Times New Roman" w:hAnsi="Times" w:cs="Times New Roman"/>
          <w:vertAlign w:val="baseline"/>
        </w:rPr>
      </w:pPr>
      <w:r w:rsidRPr="00EE68E6">
        <w:rPr>
          <w:rStyle w:val="FootnoteReference"/>
        </w:rPr>
        <w:footnoteRef/>
      </w:r>
      <w:r w:rsidRPr="00EE68E6">
        <w:rPr>
          <w:vertAlign w:val="baseline"/>
        </w:rPr>
        <w:t xml:space="preserve"> </w:t>
      </w:r>
      <w:r w:rsidRPr="00EE68E6">
        <w:rPr>
          <w:vertAlign w:val="baseline"/>
          <w:lang w:val="en-US"/>
        </w:rPr>
        <w:t>See Human Rights Committee, General Comment No. 31: The Nature of the General Legal Obligation Imposed on States Parties to the Covenant (2004) CCPR/C/21/Rev.1/Add.13; Human Rights Committee, General Comment No. 20: Article 7</w:t>
      </w:r>
      <w:r>
        <w:rPr>
          <w:vertAlign w:val="baseline"/>
          <w:lang w:val="en-US"/>
        </w:rPr>
        <w:t>, 10 March 1992</w:t>
      </w:r>
    </w:p>
  </w:footnote>
  <w:footnote w:id="909">
    <w:p w14:paraId="0A7D4BD2" w14:textId="2E5FA931" w:rsidR="00431A55" w:rsidRPr="007754E8" w:rsidRDefault="00431A55" w:rsidP="001C6724">
      <w:pPr>
        <w:pStyle w:val="FootnoteText"/>
        <w:rPr>
          <w:sz w:val="20"/>
          <w:szCs w:val="20"/>
          <w:vertAlign w:val="baseline"/>
          <w:lang w:val="en-US"/>
        </w:rPr>
      </w:pPr>
      <w:r w:rsidRPr="007754E8">
        <w:rPr>
          <w:rStyle w:val="FootnoteReference"/>
          <w:sz w:val="20"/>
          <w:szCs w:val="20"/>
        </w:rPr>
        <w:footnoteRef/>
      </w:r>
      <w:r w:rsidRPr="007754E8">
        <w:rPr>
          <w:sz w:val="20"/>
          <w:szCs w:val="20"/>
        </w:rPr>
        <w:t xml:space="preserve"> </w:t>
      </w:r>
      <w:r w:rsidRPr="007754E8">
        <w:rPr>
          <w:sz w:val="20"/>
          <w:szCs w:val="20"/>
          <w:vertAlign w:val="baseline"/>
          <w:lang w:val="en-US"/>
        </w:rPr>
        <w:t>Human Rights Committee, Gener</w:t>
      </w:r>
      <w:r>
        <w:rPr>
          <w:sz w:val="20"/>
          <w:szCs w:val="20"/>
          <w:vertAlign w:val="baseline"/>
          <w:lang w:val="en-US"/>
        </w:rPr>
        <w:t xml:space="preserve">al Comment No. 31 (n 896) para 7, </w:t>
      </w:r>
      <w:r w:rsidRPr="007754E8">
        <w:rPr>
          <w:sz w:val="20"/>
          <w:szCs w:val="20"/>
          <w:vertAlign w:val="baseline"/>
          <w:lang w:val="en-US"/>
        </w:rPr>
        <w:t>8</w:t>
      </w:r>
    </w:p>
  </w:footnote>
  <w:footnote w:id="910">
    <w:p w14:paraId="03D2807F" w14:textId="7E336C86" w:rsidR="00431A55" w:rsidRPr="007754E8" w:rsidRDefault="00431A55" w:rsidP="001C6724">
      <w:pPr>
        <w:pStyle w:val="FootnoteText"/>
        <w:rPr>
          <w:sz w:val="20"/>
          <w:szCs w:val="20"/>
          <w:vertAlign w:val="baseline"/>
          <w:lang w:val="en-US"/>
        </w:rPr>
      </w:pPr>
      <w:r w:rsidRPr="007754E8">
        <w:rPr>
          <w:rStyle w:val="FootnoteReference"/>
          <w:sz w:val="20"/>
          <w:szCs w:val="20"/>
        </w:rPr>
        <w:footnoteRef/>
      </w:r>
      <w:r w:rsidRPr="007754E8">
        <w:rPr>
          <w:sz w:val="20"/>
          <w:szCs w:val="20"/>
          <w:vertAlign w:val="baseline"/>
        </w:rPr>
        <w:t xml:space="preserve"> </w:t>
      </w:r>
      <w:r w:rsidRPr="007754E8">
        <w:rPr>
          <w:sz w:val="20"/>
          <w:szCs w:val="20"/>
          <w:vertAlign w:val="baseline"/>
          <w:lang w:val="en-US"/>
        </w:rPr>
        <w:t xml:space="preserve">Juan Carlos Ochoa S., </w:t>
      </w:r>
      <w:r w:rsidRPr="007754E8">
        <w:rPr>
          <w:i/>
          <w:sz w:val="20"/>
          <w:szCs w:val="20"/>
          <w:vertAlign w:val="baseline"/>
          <w:lang w:val="en-US"/>
        </w:rPr>
        <w:t xml:space="preserve">The Rights of Victims in Criminal Justice Proceedings for Serious Human Rights Violations, </w:t>
      </w:r>
      <w:r w:rsidRPr="007754E8">
        <w:rPr>
          <w:sz w:val="20"/>
          <w:szCs w:val="20"/>
          <w:vertAlign w:val="baseline"/>
          <w:lang w:val="en-US"/>
        </w:rPr>
        <w:t>(Martinus Nijhoff Publishers 2013) 62. See Human Rights Committee, General Comment No. 20: Article 7 (</w:t>
      </w:r>
      <w:r>
        <w:rPr>
          <w:sz w:val="20"/>
          <w:szCs w:val="20"/>
          <w:vertAlign w:val="baseline"/>
          <w:lang w:val="en-US"/>
        </w:rPr>
        <w:t xml:space="preserve">n 908) </w:t>
      </w:r>
      <w:r w:rsidRPr="007754E8">
        <w:rPr>
          <w:sz w:val="20"/>
          <w:szCs w:val="20"/>
          <w:vertAlign w:val="baseline"/>
          <w:lang w:val="en-US"/>
        </w:rPr>
        <w:t>para 2</w:t>
      </w:r>
    </w:p>
  </w:footnote>
  <w:footnote w:id="911">
    <w:p w14:paraId="78F469FE" w14:textId="7E9D92EC" w:rsidR="00431A55" w:rsidRPr="003B65EF" w:rsidRDefault="00431A55" w:rsidP="00ED11D9">
      <w:pPr>
        <w:pStyle w:val="FootnoteText"/>
        <w:rPr>
          <w:sz w:val="20"/>
          <w:szCs w:val="20"/>
          <w:vertAlign w:val="baseline"/>
          <w:lang w:val="en-US"/>
        </w:rPr>
      </w:pPr>
      <w:r w:rsidRPr="003B65EF">
        <w:rPr>
          <w:rStyle w:val="FootnoteReference"/>
          <w:sz w:val="20"/>
          <w:szCs w:val="20"/>
        </w:rPr>
        <w:footnoteRef/>
      </w:r>
      <w:r w:rsidRPr="003B65EF">
        <w:rPr>
          <w:sz w:val="20"/>
          <w:szCs w:val="20"/>
        </w:rPr>
        <w:t xml:space="preserve"> </w:t>
      </w:r>
      <w:r>
        <w:rPr>
          <w:sz w:val="20"/>
          <w:szCs w:val="20"/>
          <w:vertAlign w:val="baseline"/>
        </w:rPr>
        <w:t>Edwards (n 738), 260</w:t>
      </w:r>
    </w:p>
  </w:footnote>
  <w:footnote w:id="912">
    <w:p w14:paraId="3D984D5F" w14:textId="4BA5A73D" w:rsidR="00431A55" w:rsidRPr="007754E8" w:rsidRDefault="00431A55" w:rsidP="001C6724">
      <w:pPr>
        <w:pStyle w:val="FootnoteText"/>
        <w:rPr>
          <w:sz w:val="20"/>
          <w:szCs w:val="20"/>
          <w:vertAlign w:val="baseline"/>
          <w:lang w:val="en-US"/>
        </w:rPr>
      </w:pPr>
      <w:r w:rsidRPr="007754E8">
        <w:rPr>
          <w:rStyle w:val="FootnoteReference"/>
          <w:sz w:val="20"/>
          <w:szCs w:val="20"/>
        </w:rPr>
        <w:footnoteRef/>
      </w:r>
      <w:r w:rsidRPr="007754E8">
        <w:rPr>
          <w:sz w:val="20"/>
          <w:szCs w:val="20"/>
        </w:rPr>
        <w:t xml:space="preserve"> </w:t>
      </w:r>
      <w:r w:rsidRPr="007754E8">
        <w:rPr>
          <w:sz w:val="20"/>
          <w:szCs w:val="20"/>
          <w:vertAlign w:val="baseline"/>
          <w:lang w:val="en-US"/>
        </w:rPr>
        <w:t>Human Rights Committee, General Comment No. 20: Article 7 (</w:t>
      </w:r>
      <w:r>
        <w:rPr>
          <w:sz w:val="20"/>
          <w:szCs w:val="20"/>
          <w:vertAlign w:val="baseline"/>
          <w:lang w:val="en-US"/>
        </w:rPr>
        <w:t>n 908)</w:t>
      </w:r>
    </w:p>
  </w:footnote>
  <w:footnote w:id="913">
    <w:p w14:paraId="16DD090F" w14:textId="325F13E8" w:rsidR="00431A55" w:rsidRPr="007754E8" w:rsidRDefault="00431A55" w:rsidP="001C6724">
      <w:pPr>
        <w:pStyle w:val="FootnoteText"/>
        <w:rPr>
          <w:sz w:val="20"/>
          <w:szCs w:val="20"/>
          <w:vertAlign w:val="baseline"/>
          <w:lang w:val="en-US"/>
        </w:rPr>
      </w:pPr>
      <w:r w:rsidRPr="007754E8">
        <w:rPr>
          <w:rStyle w:val="FootnoteReference"/>
          <w:sz w:val="20"/>
          <w:szCs w:val="20"/>
        </w:rPr>
        <w:footnoteRef/>
      </w:r>
      <w:r w:rsidRPr="007754E8">
        <w:rPr>
          <w:sz w:val="20"/>
          <w:szCs w:val="20"/>
          <w:vertAlign w:val="baseline"/>
        </w:rPr>
        <w:t xml:space="preserve"> </w:t>
      </w:r>
      <w:r>
        <w:rPr>
          <w:sz w:val="20"/>
          <w:szCs w:val="20"/>
          <w:vertAlign w:val="baseline"/>
          <w:lang w:val="en-US"/>
        </w:rPr>
        <w:t>ibid, p</w:t>
      </w:r>
      <w:r w:rsidRPr="007754E8">
        <w:rPr>
          <w:sz w:val="20"/>
          <w:szCs w:val="20"/>
          <w:vertAlign w:val="baseline"/>
          <w:lang w:val="en-US"/>
        </w:rPr>
        <w:t>ara 4</w:t>
      </w:r>
    </w:p>
  </w:footnote>
  <w:footnote w:id="914">
    <w:p w14:paraId="38B14C3B" w14:textId="01189656" w:rsidR="00431A55" w:rsidRPr="00A25455" w:rsidRDefault="00431A55" w:rsidP="001C6724">
      <w:pPr>
        <w:pStyle w:val="FootnoteText"/>
      </w:pPr>
      <w:r w:rsidRPr="007754E8">
        <w:rPr>
          <w:rStyle w:val="FootnoteReference"/>
          <w:sz w:val="20"/>
          <w:szCs w:val="20"/>
        </w:rPr>
        <w:footnoteRef/>
      </w:r>
      <w:r>
        <w:rPr>
          <w:sz w:val="20"/>
          <w:szCs w:val="20"/>
          <w:vertAlign w:val="baseline"/>
        </w:rPr>
        <w:t xml:space="preserve"> UNVFVT (n 869) 3</w:t>
      </w:r>
    </w:p>
  </w:footnote>
  <w:footnote w:id="915">
    <w:p w14:paraId="04C64DBA" w14:textId="2478220C" w:rsidR="00431A55" w:rsidRPr="00CC260D" w:rsidRDefault="00431A55" w:rsidP="001C6724">
      <w:pPr>
        <w:pStyle w:val="FootnoteText"/>
        <w:rPr>
          <w:sz w:val="20"/>
          <w:szCs w:val="20"/>
          <w:vertAlign w:val="baseline"/>
          <w:lang w:val="en-US"/>
        </w:rPr>
      </w:pPr>
      <w:r w:rsidRPr="00CC260D">
        <w:rPr>
          <w:rStyle w:val="FootnoteReference"/>
          <w:sz w:val="20"/>
          <w:szCs w:val="20"/>
        </w:rPr>
        <w:footnoteRef/>
      </w:r>
      <w:r w:rsidRPr="00CC260D">
        <w:rPr>
          <w:sz w:val="20"/>
          <w:szCs w:val="20"/>
        </w:rPr>
        <w:t xml:space="preserve"> </w:t>
      </w:r>
      <w:r>
        <w:rPr>
          <w:sz w:val="20"/>
          <w:szCs w:val="20"/>
          <w:vertAlign w:val="baseline"/>
          <w:lang w:val="en-US"/>
        </w:rPr>
        <w:t>HRC</w:t>
      </w:r>
      <w:r w:rsidRPr="00CC260D">
        <w:rPr>
          <w:sz w:val="20"/>
          <w:szCs w:val="20"/>
          <w:vertAlign w:val="baseline"/>
          <w:lang w:val="en-US"/>
        </w:rPr>
        <w:t>, ‘Consideration of reports submitted by States parties under article 40 of the Covenant: Second periodic reports of States parties: Nepal’ 8 June 2012 CCPR/C/NPL/2</w:t>
      </w:r>
    </w:p>
  </w:footnote>
  <w:footnote w:id="916">
    <w:p w14:paraId="46A08753" w14:textId="4B976BCC" w:rsidR="00431A55" w:rsidRPr="00CC260D" w:rsidRDefault="00431A55" w:rsidP="001C6724">
      <w:pPr>
        <w:pStyle w:val="FootnoteText"/>
        <w:rPr>
          <w:sz w:val="20"/>
          <w:szCs w:val="20"/>
          <w:vertAlign w:val="baseline"/>
          <w:lang w:val="en-US"/>
        </w:rPr>
      </w:pPr>
      <w:r w:rsidRPr="00CC260D">
        <w:rPr>
          <w:rStyle w:val="FootnoteReference"/>
          <w:sz w:val="20"/>
          <w:szCs w:val="20"/>
        </w:rPr>
        <w:footnoteRef/>
      </w:r>
      <w:r w:rsidRPr="00CC260D">
        <w:rPr>
          <w:sz w:val="20"/>
          <w:szCs w:val="20"/>
        </w:rPr>
        <w:t xml:space="preserve"> </w:t>
      </w:r>
      <w:r>
        <w:rPr>
          <w:sz w:val="20"/>
          <w:szCs w:val="20"/>
          <w:vertAlign w:val="baseline"/>
          <w:lang w:val="en-US"/>
        </w:rPr>
        <w:t>HRC</w:t>
      </w:r>
      <w:r w:rsidRPr="00CC260D">
        <w:rPr>
          <w:sz w:val="20"/>
          <w:szCs w:val="20"/>
          <w:vertAlign w:val="baseline"/>
          <w:lang w:val="en-US"/>
        </w:rPr>
        <w:t>, ‘List of issues in relation to the second periodic report of Nepal’ 21 August 2013 CCPR/C/NPL/Q/2</w:t>
      </w:r>
    </w:p>
  </w:footnote>
  <w:footnote w:id="917">
    <w:p w14:paraId="1774622E" w14:textId="02F1206F" w:rsidR="00431A55" w:rsidRPr="00CC260D" w:rsidRDefault="00431A55" w:rsidP="001C6724">
      <w:pPr>
        <w:pStyle w:val="FootnoteText"/>
        <w:rPr>
          <w:sz w:val="20"/>
          <w:szCs w:val="20"/>
          <w:vertAlign w:val="baseline"/>
          <w:lang w:val="en-US"/>
        </w:rPr>
      </w:pPr>
      <w:r w:rsidRPr="00CC260D">
        <w:rPr>
          <w:rStyle w:val="FootnoteReference"/>
          <w:sz w:val="20"/>
          <w:szCs w:val="20"/>
        </w:rPr>
        <w:footnoteRef/>
      </w:r>
      <w:r w:rsidRPr="00CC260D">
        <w:rPr>
          <w:sz w:val="20"/>
          <w:szCs w:val="20"/>
          <w:vertAlign w:val="baseline"/>
        </w:rPr>
        <w:t xml:space="preserve"> </w:t>
      </w:r>
      <w:r>
        <w:rPr>
          <w:sz w:val="20"/>
          <w:szCs w:val="20"/>
          <w:vertAlign w:val="baseline"/>
          <w:lang w:val="en-US"/>
        </w:rPr>
        <w:t>ibid,</w:t>
      </w:r>
      <w:r w:rsidRPr="00CC260D">
        <w:rPr>
          <w:sz w:val="20"/>
          <w:szCs w:val="20"/>
          <w:vertAlign w:val="baseline"/>
          <w:lang w:val="en-US"/>
        </w:rPr>
        <w:t xml:space="preserve"> para 5</w:t>
      </w:r>
    </w:p>
  </w:footnote>
  <w:footnote w:id="918">
    <w:p w14:paraId="66E74F2F" w14:textId="77777777" w:rsidR="00431A55" w:rsidRPr="00CC260D" w:rsidRDefault="00431A55" w:rsidP="001C6724">
      <w:pPr>
        <w:pStyle w:val="FootnoteText"/>
        <w:rPr>
          <w:sz w:val="20"/>
          <w:szCs w:val="20"/>
          <w:vertAlign w:val="baseline"/>
          <w:lang w:val="en-US"/>
        </w:rPr>
      </w:pPr>
      <w:r w:rsidRPr="00CC260D">
        <w:rPr>
          <w:rStyle w:val="FootnoteReference"/>
          <w:sz w:val="20"/>
          <w:szCs w:val="20"/>
        </w:rPr>
        <w:footnoteRef/>
      </w:r>
      <w:r w:rsidRPr="00CC260D">
        <w:rPr>
          <w:sz w:val="20"/>
          <w:szCs w:val="20"/>
          <w:vertAlign w:val="baseline"/>
        </w:rPr>
        <w:t xml:space="preserve"> </w:t>
      </w:r>
      <w:r w:rsidRPr="00CC260D">
        <w:rPr>
          <w:sz w:val="20"/>
          <w:szCs w:val="20"/>
          <w:vertAlign w:val="baseline"/>
          <w:lang w:val="en-US"/>
        </w:rPr>
        <w:t>Human Rights Committee, ‘Replies of Nepal to the list of issues’ 24 January 2014 CCPR/C/NPL/Q/2/Add.1</w:t>
      </w:r>
    </w:p>
  </w:footnote>
  <w:footnote w:id="919">
    <w:p w14:paraId="52D59B0F" w14:textId="77777777" w:rsidR="00431A55" w:rsidRPr="00CC260D" w:rsidRDefault="00431A55" w:rsidP="001C6724">
      <w:pPr>
        <w:pStyle w:val="FootnoteText"/>
        <w:rPr>
          <w:sz w:val="20"/>
          <w:szCs w:val="20"/>
          <w:vertAlign w:val="baseline"/>
          <w:lang w:val="en-US"/>
        </w:rPr>
      </w:pPr>
      <w:r w:rsidRPr="00CC260D">
        <w:rPr>
          <w:rStyle w:val="FootnoteReference"/>
          <w:sz w:val="20"/>
          <w:szCs w:val="20"/>
        </w:rPr>
        <w:footnoteRef/>
      </w:r>
      <w:r w:rsidRPr="00CC260D">
        <w:rPr>
          <w:sz w:val="20"/>
          <w:szCs w:val="20"/>
          <w:vertAlign w:val="baseline"/>
        </w:rPr>
        <w:t xml:space="preserve"> </w:t>
      </w:r>
      <w:r w:rsidRPr="00CC260D">
        <w:rPr>
          <w:sz w:val="20"/>
          <w:szCs w:val="20"/>
          <w:vertAlign w:val="baseline"/>
          <w:lang w:val="en-US"/>
        </w:rPr>
        <w:t>Human Rights Committee, ‘Concluding Observations on the second periodic report of Nepal’ 15 April 2014 CCPR/C/NPL/CO/2</w:t>
      </w:r>
    </w:p>
  </w:footnote>
  <w:footnote w:id="920">
    <w:p w14:paraId="67AA783F" w14:textId="09B84218" w:rsidR="00431A55" w:rsidRPr="00CC260D" w:rsidRDefault="00431A55" w:rsidP="001C6724">
      <w:pPr>
        <w:pStyle w:val="FootnoteText"/>
        <w:rPr>
          <w:sz w:val="20"/>
          <w:szCs w:val="20"/>
          <w:vertAlign w:val="baseline"/>
          <w:lang w:val="en-US"/>
        </w:rPr>
      </w:pPr>
      <w:r w:rsidRPr="00CC260D">
        <w:rPr>
          <w:rStyle w:val="FootnoteReference"/>
          <w:sz w:val="20"/>
          <w:szCs w:val="20"/>
        </w:rPr>
        <w:footnoteRef/>
      </w:r>
      <w:r w:rsidRPr="00CC260D">
        <w:rPr>
          <w:sz w:val="20"/>
          <w:szCs w:val="20"/>
          <w:vertAlign w:val="baseline"/>
        </w:rPr>
        <w:t xml:space="preserve"> </w:t>
      </w:r>
      <w:r>
        <w:rPr>
          <w:sz w:val="20"/>
          <w:szCs w:val="20"/>
          <w:vertAlign w:val="baseline"/>
          <w:lang w:val="en-US"/>
        </w:rPr>
        <w:t>ibid</w:t>
      </w:r>
      <w:r w:rsidRPr="00CC260D">
        <w:rPr>
          <w:sz w:val="20"/>
          <w:szCs w:val="20"/>
          <w:vertAlign w:val="baseline"/>
          <w:lang w:val="en-US"/>
        </w:rPr>
        <w:t>, para 8</w:t>
      </w:r>
    </w:p>
  </w:footnote>
  <w:footnote w:id="921">
    <w:p w14:paraId="11D3F503" w14:textId="45E1247D" w:rsidR="00431A55" w:rsidRPr="003D6980" w:rsidRDefault="00431A55" w:rsidP="001C6724">
      <w:pPr>
        <w:pStyle w:val="FootnoteText"/>
        <w:rPr>
          <w:lang w:val="en-US"/>
        </w:rPr>
      </w:pPr>
      <w:r w:rsidRPr="00CC260D">
        <w:rPr>
          <w:rStyle w:val="FootnoteReference"/>
          <w:sz w:val="20"/>
          <w:szCs w:val="20"/>
        </w:rPr>
        <w:footnoteRef/>
      </w:r>
      <w:r w:rsidRPr="00CC260D">
        <w:rPr>
          <w:sz w:val="20"/>
          <w:szCs w:val="20"/>
          <w:vertAlign w:val="baseline"/>
        </w:rPr>
        <w:t xml:space="preserve"> </w:t>
      </w:r>
      <w:r>
        <w:rPr>
          <w:sz w:val="20"/>
          <w:szCs w:val="20"/>
          <w:vertAlign w:val="baseline"/>
          <w:lang w:val="en-US"/>
        </w:rPr>
        <w:t>ibid</w:t>
      </w:r>
      <w:r w:rsidRPr="00CC260D">
        <w:rPr>
          <w:sz w:val="20"/>
          <w:szCs w:val="20"/>
          <w:vertAlign w:val="baseline"/>
          <w:lang w:val="en-US"/>
        </w:rPr>
        <w:t>, para 9</w:t>
      </w:r>
    </w:p>
  </w:footnote>
  <w:footnote w:id="922">
    <w:p w14:paraId="0B6B2BB1" w14:textId="44284840" w:rsidR="00431A55" w:rsidRPr="00681E11" w:rsidRDefault="00431A55" w:rsidP="001C6724">
      <w:pPr>
        <w:pStyle w:val="FootnoteText"/>
        <w:rPr>
          <w:sz w:val="20"/>
          <w:szCs w:val="20"/>
          <w:vertAlign w:val="baseline"/>
          <w:lang w:val="en-US"/>
        </w:rPr>
      </w:pPr>
      <w:r w:rsidRPr="00681E11">
        <w:rPr>
          <w:rStyle w:val="FootnoteReference"/>
          <w:sz w:val="20"/>
          <w:szCs w:val="20"/>
        </w:rPr>
        <w:footnoteRef/>
      </w:r>
      <w:r w:rsidRPr="00681E11">
        <w:rPr>
          <w:sz w:val="20"/>
          <w:szCs w:val="20"/>
        </w:rPr>
        <w:t xml:space="preserve"> </w:t>
      </w:r>
      <w:r>
        <w:rPr>
          <w:sz w:val="20"/>
          <w:szCs w:val="20"/>
          <w:vertAlign w:val="baseline"/>
        </w:rPr>
        <w:t>HRC</w:t>
      </w:r>
      <w:r w:rsidRPr="00681E11">
        <w:rPr>
          <w:sz w:val="20"/>
          <w:szCs w:val="20"/>
          <w:vertAlign w:val="baseline"/>
        </w:rPr>
        <w:t xml:space="preserve">, ‘Consideration of </w:t>
      </w:r>
      <w:r w:rsidRPr="00681E11">
        <w:rPr>
          <w:sz w:val="20"/>
          <w:szCs w:val="20"/>
          <w:vertAlign w:val="baseline"/>
          <w:lang w:val="en-US"/>
        </w:rPr>
        <w:t>reports submitted by States parties under article 40 of the Covenant: Initial reports of States parties due in 2001: Ghana’ 30 January 2015, CCPR/C/GHA/1, para 140</w:t>
      </w:r>
    </w:p>
  </w:footnote>
  <w:footnote w:id="923">
    <w:p w14:paraId="2977D03D" w14:textId="3D9DF1DC" w:rsidR="00431A55" w:rsidRPr="00681E11" w:rsidRDefault="00431A55" w:rsidP="001C6724">
      <w:pPr>
        <w:pStyle w:val="FootnoteText"/>
        <w:rPr>
          <w:sz w:val="20"/>
          <w:szCs w:val="20"/>
          <w:vertAlign w:val="baseline"/>
          <w:lang w:val="en-US"/>
        </w:rPr>
      </w:pPr>
      <w:r w:rsidRPr="00681E11">
        <w:rPr>
          <w:rStyle w:val="FootnoteReference"/>
          <w:sz w:val="20"/>
          <w:szCs w:val="20"/>
        </w:rPr>
        <w:footnoteRef/>
      </w:r>
      <w:r w:rsidRPr="00681E11">
        <w:rPr>
          <w:sz w:val="20"/>
          <w:szCs w:val="20"/>
          <w:vertAlign w:val="baseline"/>
        </w:rPr>
        <w:t xml:space="preserve"> </w:t>
      </w:r>
      <w:r>
        <w:rPr>
          <w:sz w:val="20"/>
          <w:szCs w:val="20"/>
          <w:vertAlign w:val="baseline"/>
        </w:rPr>
        <w:t>ibid,</w:t>
      </w:r>
      <w:r w:rsidRPr="00681E11">
        <w:rPr>
          <w:sz w:val="20"/>
          <w:szCs w:val="20"/>
          <w:vertAlign w:val="baseline"/>
          <w:lang w:val="en-US"/>
        </w:rPr>
        <w:t xml:space="preserve"> para 197</w:t>
      </w:r>
    </w:p>
  </w:footnote>
  <w:footnote w:id="924">
    <w:p w14:paraId="747C6AB5" w14:textId="5081240E" w:rsidR="00431A55" w:rsidRPr="00681E11" w:rsidRDefault="00431A55" w:rsidP="001C6724">
      <w:pPr>
        <w:pStyle w:val="FootnoteText"/>
        <w:rPr>
          <w:sz w:val="20"/>
          <w:szCs w:val="20"/>
          <w:vertAlign w:val="baseline"/>
          <w:lang w:val="en-US"/>
        </w:rPr>
      </w:pPr>
      <w:r w:rsidRPr="00681E11">
        <w:rPr>
          <w:rStyle w:val="FootnoteReference"/>
          <w:sz w:val="20"/>
          <w:szCs w:val="20"/>
        </w:rPr>
        <w:footnoteRef/>
      </w:r>
      <w:r w:rsidRPr="00681E11">
        <w:rPr>
          <w:sz w:val="20"/>
          <w:szCs w:val="20"/>
          <w:vertAlign w:val="baseline"/>
        </w:rPr>
        <w:t xml:space="preserve"> </w:t>
      </w:r>
      <w:r>
        <w:rPr>
          <w:sz w:val="20"/>
          <w:szCs w:val="20"/>
          <w:vertAlign w:val="baseline"/>
        </w:rPr>
        <w:t>ibid,</w:t>
      </w:r>
      <w:r w:rsidRPr="00681E11">
        <w:rPr>
          <w:sz w:val="20"/>
          <w:szCs w:val="20"/>
          <w:vertAlign w:val="baseline"/>
          <w:lang w:val="en-US"/>
        </w:rPr>
        <w:t xml:space="preserve"> para 195</w:t>
      </w:r>
    </w:p>
  </w:footnote>
  <w:footnote w:id="925">
    <w:p w14:paraId="64168495" w14:textId="137A61A1" w:rsidR="00431A55" w:rsidRPr="00681E11" w:rsidRDefault="00431A55" w:rsidP="001C6724">
      <w:pPr>
        <w:pStyle w:val="FootnoteText"/>
        <w:rPr>
          <w:sz w:val="20"/>
          <w:szCs w:val="20"/>
          <w:vertAlign w:val="baseline"/>
          <w:lang w:val="en-US"/>
        </w:rPr>
      </w:pPr>
      <w:r w:rsidRPr="00681E11">
        <w:rPr>
          <w:rStyle w:val="FootnoteReference"/>
          <w:sz w:val="20"/>
          <w:szCs w:val="20"/>
        </w:rPr>
        <w:footnoteRef/>
      </w:r>
      <w:r w:rsidRPr="00681E11">
        <w:rPr>
          <w:sz w:val="20"/>
          <w:szCs w:val="20"/>
          <w:vertAlign w:val="baseline"/>
        </w:rPr>
        <w:t xml:space="preserve"> </w:t>
      </w:r>
      <w:r>
        <w:rPr>
          <w:sz w:val="20"/>
          <w:szCs w:val="20"/>
          <w:vertAlign w:val="baseline"/>
        </w:rPr>
        <w:t>ibid,</w:t>
      </w:r>
      <w:r w:rsidRPr="00681E11">
        <w:rPr>
          <w:sz w:val="20"/>
          <w:szCs w:val="20"/>
          <w:vertAlign w:val="baseline"/>
          <w:lang w:val="en-US"/>
        </w:rPr>
        <w:t xml:space="preserve"> para 158(e)</w:t>
      </w:r>
    </w:p>
  </w:footnote>
  <w:footnote w:id="926">
    <w:p w14:paraId="4EE93872" w14:textId="77777777" w:rsidR="00431A55" w:rsidRPr="00681E11" w:rsidRDefault="00431A55" w:rsidP="001C6724">
      <w:pPr>
        <w:pStyle w:val="FootnoteText"/>
        <w:rPr>
          <w:sz w:val="20"/>
          <w:szCs w:val="20"/>
          <w:vertAlign w:val="baseline"/>
          <w:lang w:val="en-US"/>
        </w:rPr>
      </w:pPr>
      <w:r w:rsidRPr="007E03D4">
        <w:rPr>
          <w:rStyle w:val="FootnoteReference"/>
          <w:sz w:val="20"/>
          <w:szCs w:val="20"/>
        </w:rPr>
        <w:footnoteRef/>
      </w:r>
      <w:r w:rsidRPr="00681E11">
        <w:rPr>
          <w:sz w:val="20"/>
          <w:szCs w:val="20"/>
          <w:vertAlign w:val="baseline"/>
        </w:rPr>
        <w:t xml:space="preserve"> </w:t>
      </w:r>
      <w:r w:rsidRPr="00681E11">
        <w:rPr>
          <w:sz w:val="20"/>
          <w:szCs w:val="20"/>
          <w:vertAlign w:val="baseline"/>
          <w:lang w:val="en-US"/>
        </w:rPr>
        <w:t>Human Rights Committee, ‘List of issues in relation to the initial report of Ghana’ 4 December 2015 CCPR/C/GHA/Q/1</w:t>
      </w:r>
    </w:p>
  </w:footnote>
  <w:footnote w:id="927">
    <w:p w14:paraId="642751F7" w14:textId="0CAC7F50" w:rsidR="00431A55" w:rsidRPr="00CA0289" w:rsidRDefault="00431A55" w:rsidP="001C6724">
      <w:pPr>
        <w:pStyle w:val="FootnoteText"/>
        <w:rPr>
          <w:lang w:val="en-US"/>
        </w:rPr>
      </w:pPr>
      <w:r w:rsidRPr="000D5921">
        <w:rPr>
          <w:rStyle w:val="FootnoteReference"/>
          <w:sz w:val="20"/>
          <w:szCs w:val="20"/>
        </w:rPr>
        <w:footnoteRef/>
      </w:r>
      <w:r w:rsidRPr="000D5921">
        <w:rPr>
          <w:sz w:val="20"/>
          <w:szCs w:val="20"/>
        </w:rPr>
        <w:t xml:space="preserve"> </w:t>
      </w:r>
      <w:r>
        <w:rPr>
          <w:sz w:val="20"/>
          <w:szCs w:val="20"/>
          <w:vertAlign w:val="baseline"/>
          <w:lang w:val="en-US"/>
        </w:rPr>
        <w:t>ibid</w:t>
      </w:r>
      <w:r w:rsidRPr="00681E11">
        <w:rPr>
          <w:sz w:val="20"/>
          <w:szCs w:val="20"/>
          <w:vertAlign w:val="baseline"/>
          <w:lang w:val="en-US"/>
        </w:rPr>
        <w:t>, para 7</w:t>
      </w:r>
    </w:p>
  </w:footnote>
  <w:footnote w:id="928">
    <w:p w14:paraId="538067CA" w14:textId="49C03A16" w:rsidR="00431A55" w:rsidRPr="000D5921" w:rsidRDefault="00431A55" w:rsidP="001C6724">
      <w:pPr>
        <w:pStyle w:val="FootnoteText"/>
        <w:rPr>
          <w:sz w:val="20"/>
          <w:szCs w:val="20"/>
          <w:vertAlign w:val="baseline"/>
          <w:lang w:val="en-US"/>
        </w:rPr>
      </w:pPr>
      <w:r w:rsidRPr="000D5921">
        <w:rPr>
          <w:rStyle w:val="FootnoteReference"/>
          <w:sz w:val="20"/>
          <w:szCs w:val="20"/>
        </w:rPr>
        <w:footnoteRef/>
      </w:r>
      <w:r w:rsidRPr="000D5921">
        <w:rPr>
          <w:sz w:val="20"/>
          <w:szCs w:val="20"/>
          <w:vertAlign w:val="baseline"/>
        </w:rPr>
        <w:t xml:space="preserve"> </w:t>
      </w:r>
      <w:r>
        <w:rPr>
          <w:sz w:val="20"/>
          <w:szCs w:val="20"/>
          <w:vertAlign w:val="baseline"/>
          <w:lang w:val="en-US"/>
        </w:rPr>
        <w:t>OHCHR</w:t>
      </w:r>
      <w:r w:rsidRPr="000D5921">
        <w:rPr>
          <w:sz w:val="20"/>
          <w:szCs w:val="20"/>
          <w:vertAlign w:val="baseline"/>
          <w:lang w:val="en-US"/>
        </w:rPr>
        <w:t>, ‘Reporting status for India’ &lt;</w:t>
      </w:r>
      <w:hyperlink r:id="rId111" w:history="1">
        <w:r w:rsidRPr="000D5921">
          <w:rPr>
            <w:rStyle w:val="Hyperlink"/>
            <w:sz w:val="20"/>
            <w:szCs w:val="20"/>
            <w:vertAlign w:val="baseline"/>
            <w:lang w:val="en-US"/>
          </w:rPr>
          <w:t>http://tbinternet.ohchr.org/_layouts/TreatyBodyExternal/Countries.aspx?CountryCode=IND&amp;Lang=EN</w:t>
        </w:r>
      </w:hyperlink>
      <w:r w:rsidRPr="000D5921">
        <w:rPr>
          <w:sz w:val="20"/>
          <w:szCs w:val="20"/>
          <w:vertAlign w:val="baseline"/>
          <w:lang w:val="en-US"/>
        </w:rPr>
        <w:t>&gt; accessed 26 January 2016</w:t>
      </w:r>
    </w:p>
  </w:footnote>
  <w:footnote w:id="929">
    <w:p w14:paraId="001AA247" w14:textId="2D9B3ED2" w:rsidR="00431A55" w:rsidRPr="000D5921" w:rsidRDefault="00431A55" w:rsidP="001C6724">
      <w:pPr>
        <w:pStyle w:val="FootnoteText"/>
        <w:rPr>
          <w:sz w:val="20"/>
          <w:szCs w:val="20"/>
          <w:vertAlign w:val="baseline"/>
          <w:lang w:val="en-US"/>
        </w:rPr>
      </w:pPr>
      <w:r w:rsidRPr="000D5921">
        <w:rPr>
          <w:rStyle w:val="FootnoteReference"/>
          <w:sz w:val="20"/>
          <w:szCs w:val="20"/>
        </w:rPr>
        <w:footnoteRef/>
      </w:r>
      <w:r w:rsidRPr="000D5921">
        <w:rPr>
          <w:sz w:val="20"/>
          <w:szCs w:val="20"/>
        </w:rPr>
        <w:t xml:space="preserve"> </w:t>
      </w:r>
      <w:r>
        <w:rPr>
          <w:sz w:val="20"/>
          <w:szCs w:val="20"/>
          <w:vertAlign w:val="baseline"/>
          <w:lang w:val="en-US"/>
        </w:rPr>
        <w:t>OHCHR</w:t>
      </w:r>
      <w:r w:rsidRPr="000D5921">
        <w:rPr>
          <w:sz w:val="20"/>
          <w:szCs w:val="20"/>
          <w:vertAlign w:val="baseline"/>
          <w:lang w:val="en-US"/>
        </w:rPr>
        <w:t xml:space="preserve">, ‘Reporting status for Papua New Guinea’ </w:t>
      </w:r>
      <w:r>
        <w:rPr>
          <w:sz w:val="20"/>
          <w:szCs w:val="20"/>
          <w:vertAlign w:val="baseline"/>
          <w:lang w:val="en-US"/>
        </w:rPr>
        <w:t>(n 851)</w:t>
      </w:r>
    </w:p>
  </w:footnote>
  <w:footnote w:id="930">
    <w:p w14:paraId="33014902" w14:textId="260A7E75" w:rsidR="00431A55" w:rsidRPr="00467D3E" w:rsidRDefault="00431A55">
      <w:pPr>
        <w:pStyle w:val="FootnoteText"/>
        <w:rPr>
          <w:sz w:val="20"/>
          <w:szCs w:val="20"/>
          <w:vertAlign w:val="baseline"/>
          <w:lang w:val="en-US"/>
        </w:rPr>
      </w:pPr>
      <w:r w:rsidRPr="00467D3E">
        <w:rPr>
          <w:rStyle w:val="FootnoteReference"/>
          <w:sz w:val="20"/>
          <w:szCs w:val="20"/>
        </w:rPr>
        <w:footnoteRef/>
      </w:r>
      <w:r w:rsidRPr="00467D3E">
        <w:rPr>
          <w:sz w:val="20"/>
          <w:szCs w:val="20"/>
        </w:rPr>
        <w:t xml:space="preserve"> </w:t>
      </w:r>
      <w:r>
        <w:rPr>
          <w:sz w:val="20"/>
          <w:szCs w:val="20"/>
          <w:vertAlign w:val="baseline"/>
        </w:rPr>
        <w:t>Entering into force on 3</w:t>
      </w:r>
      <w:r w:rsidRPr="00467D3E">
        <w:rPr>
          <w:sz w:val="20"/>
          <w:szCs w:val="20"/>
        </w:rPr>
        <w:t>rd</w:t>
      </w:r>
      <w:r>
        <w:rPr>
          <w:sz w:val="20"/>
          <w:szCs w:val="20"/>
          <w:vertAlign w:val="baseline"/>
        </w:rPr>
        <w:t xml:space="preserve"> January 1976</w:t>
      </w:r>
    </w:p>
  </w:footnote>
  <w:footnote w:id="931">
    <w:p w14:paraId="1275396B" w14:textId="26FE3813" w:rsidR="00431A55" w:rsidRPr="00580D61" w:rsidRDefault="00431A55" w:rsidP="00467D3E">
      <w:pPr>
        <w:jc w:val="both"/>
        <w:rPr>
          <w:rFonts w:ascii="Times" w:eastAsia="Times New Roman" w:hAnsi="Times" w:cs="Times New Roman"/>
          <w:vertAlign w:val="baseline"/>
        </w:rPr>
      </w:pPr>
      <w:r w:rsidRPr="00580D61">
        <w:rPr>
          <w:rStyle w:val="FootnoteReference"/>
        </w:rPr>
        <w:footnoteRef/>
      </w:r>
      <w:r w:rsidRPr="00580D61">
        <w:rPr>
          <w:vertAlign w:val="baseline"/>
        </w:rPr>
        <w:t xml:space="preserve"> Article 2(2) ICESCR states, ‘</w:t>
      </w:r>
      <w:r w:rsidRPr="00580D61">
        <w:rPr>
          <w:rFonts w:eastAsia="Times New Roman" w:cs="Times New Roman"/>
          <w:color w:val="000000"/>
          <w:shd w:val="clear" w:color="auto" w:fill="FFFFFF"/>
          <w:vertAlign w:val="baseline"/>
        </w:rPr>
        <w:t xml:space="preserve">The States Parties to the present Covenant undertake to guarantee that the rights enunciated in the present Covenant will be exercised without discrimination of any kind as to race, colour, sex, language, religion, political or other opinion, national or social origin, </w:t>
      </w:r>
      <w:r>
        <w:rPr>
          <w:rFonts w:eastAsia="Times New Roman" w:cs="Times New Roman"/>
          <w:color w:val="000000"/>
          <w:shd w:val="clear" w:color="auto" w:fill="FFFFFF"/>
          <w:vertAlign w:val="baseline"/>
        </w:rPr>
        <w:t>property, birth or other status</w:t>
      </w:r>
      <w:r w:rsidRPr="00580D61">
        <w:rPr>
          <w:rFonts w:eastAsia="Times New Roman" w:cs="Times New Roman"/>
          <w:color w:val="000000"/>
          <w:shd w:val="clear" w:color="auto" w:fill="FFFFFF"/>
          <w:vertAlign w:val="baseline"/>
        </w:rPr>
        <w:t>’</w:t>
      </w:r>
    </w:p>
  </w:footnote>
  <w:footnote w:id="932">
    <w:p w14:paraId="362874B8" w14:textId="01B9F671" w:rsidR="00431A55" w:rsidRPr="001373E2" w:rsidRDefault="00431A55" w:rsidP="00467D3E">
      <w:pPr>
        <w:pStyle w:val="FootnoteText"/>
        <w:jc w:val="both"/>
        <w:rPr>
          <w:sz w:val="20"/>
          <w:szCs w:val="20"/>
          <w:vertAlign w:val="baseline"/>
          <w:lang w:val="en-US"/>
        </w:rPr>
      </w:pPr>
      <w:r w:rsidRPr="00580D61">
        <w:rPr>
          <w:rStyle w:val="FootnoteReference"/>
          <w:sz w:val="20"/>
          <w:szCs w:val="20"/>
        </w:rPr>
        <w:footnoteRef/>
      </w:r>
      <w:r w:rsidRPr="00580D61">
        <w:rPr>
          <w:sz w:val="20"/>
          <w:szCs w:val="20"/>
          <w:vertAlign w:val="baseline"/>
        </w:rPr>
        <w:t xml:space="preserve"> Article 11 ICSECR states, ‘(</w:t>
      </w:r>
      <w:r w:rsidRPr="00580D61">
        <w:rPr>
          <w:color w:val="000000"/>
          <w:sz w:val="20"/>
          <w:szCs w:val="20"/>
          <w:vertAlign w:val="baseline"/>
        </w:rPr>
        <w:t xml:space="preserve">1) The States Parties to the present Covenant recognize the right of everyone to an adequate standard of living for himself and his family, including adequate food, clothing and housing, and to the continuous improvement of living conditions. The States Parties will take appropriate steps to ensure the realization of this right, recognizing to this effect the essential importance of international co-operation based on free consent (2) </w:t>
      </w:r>
      <w:r w:rsidRPr="00580D61">
        <w:rPr>
          <w:rFonts w:cs="Times New Roman"/>
          <w:color w:val="000000"/>
          <w:sz w:val="20"/>
          <w:szCs w:val="20"/>
          <w:vertAlign w:val="baseline"/>
        </w:rPr>
        <w:t xml:space="preserve">The States Parties to the present Covenant, recognizing the fundamental right of everyone to be free from hunger, shall take, individually and through international co-operation, the measures, including specific programmes, which are needed: (a) To improve methods of production, conservation and distribution of food by making full use of technical and scientific knowledge, by disseminating knowledge of the principles of nutrition and by developing or reforming agrarian systems in such a way as to achieve the most </w:t>
      </w:r>
      <w:r w:rsidRPr="001373E2">
        <w:rPr>
          <w:rFonts w:cs="Times New Roman"/>
          <w:color w:val="000000"/>
          <w:sz w:val="20"/>
          <w:szCs w:val="20"/>
          <w:vertAlign w:val="baseline"/>
        </w:rPr>
        <w:t>efficient development and utilization of natural resources; b) Taking into account the problems of both food-importing and food-exporting countries, to ensure an equitable distribution of world food supplies in relation to need</w:t>
      </w:r>
    </w:p>
  </w:footnote>
  <w:footnote w:id="933">
    <w:p w14:paraId="64EC6CC9" w14:textId="77777777" w:rsidR="00431A55" w:rsidRPr="001373E2" w:rsidRDefault="00431A55" w:rsidP="0082645F">
      <w:pPr>
        <w:pStyle w:val="FootnoteText"/>
        <w:rPr>
          <w:sz w:val="20"/>
          <w:szCs w:val="20"/>
          <w:vertAlign w:val="baseline"/>
          <w:lang w:val="en-US"/>
        </w:rPr>
      </w:pPr>
      <w:r w:rsidRPr="001373E2">
        <w:rPr>
          <w:rStyle w:val="FootnoteReference"/>
          <w:sz w:val="20"/>
          <w:szCs w:val="20"/>
        </w:rPr>
        <w:footnoteRef/>
      </w:r>
      <w:r w:rsidRPr="001373E2">
        <w:rPr>
          <w:sz w:val="20"/>
          <w:szCs w:val="20"/>
        </w:rPr>
        <w:t xml:space="preserve"> </w:t>
      </w:r>
      <w:r w:rsidRPr="001373E2">
        <w:rPr>
          <w:sz w:val="20"/>
          <w:szCs w:val="20"/>
          <w:vertAlign w:val="baseline"/>
          <w:lang w:val="en-US"/>
        </w:rPr>
        <w:t>On accession India entered declarations to articles 1 (self-determination), 4 (general welfare), 7(c) (equal opportunity) and 8 (freedom to associate with others)</w:t>
      </w:r>
    </w:p>
  </w:footnote>
  <w:footnote w:id="934">
    <w:p w14:paraId="680BDDD5" w14:textId="77777777" w:rsidR="00431A55" w:rsidRPr="001373E2" w:rsidRDefault="00431A55" w:rsidP="00467D3E">
      <w:pPr>
        <w:rPr>
          <w:rFonts w:ascii="Times" w:eastAsia="Times New Roman" w:hAnsi="Times" w:cs="Times New Roman"/>
          <w:vertAlign w:val="baseline"/>
        </w:rPr>
      </w:pPr>
      <w:r w:rsidRPr="001373E2">
        <w:rPr>
          <w:rStyle w:val="FootnoteReference"/>
        </w:rPr>
        <w:footnoteRef/>
      </w:r>
      <w:r w:rsidRPr="001373E2">
        <w:t xml:space="preserve"> </w:t>
      </w:r>
      <w:r w:rsidRPr="001373E2">
        <w:rPr>
          <w:vertAlign w:val="baseline"/>
          <w:lang w:val="en-US"/>
        </w:rPr>
        <w:t xml:space="preserve">Geneva Academy, ‘The Optional Protocol to the International Covenant on Economic, Social and Cultural Rights’ (2013) 2 </w:t>
      </w:r>
      <w:r w:rsidRPr="001373E2">
        <w:rPr>
          <w:rFonts w:eastAsia="Times New Roman" w:cs="Times New Roman"/>
          <w:vertAlign w:val="baseline"/>
        </w:rPr>
        <w:t>Geneva Academy of International Humanitarian Law and Human Rights</w:t>
      </w:r>
    </w:p>
  </w:footnote>
  <w:footnote w:id="935">
    <w:p w14:paraId="2A4A1377" w14:textId="080D29B1" w:rsidR="00431A55" w:rsidRPr="001373E2" w:rsidRDefault="00431A55" w:rsidP="00467D3E">
      <w:pPr>
        <w:pStyle w:val="FootnoteText"/>
        <w:rPr>
          <w:sz w:val="20"/>
          <w:szCs w:val="20"/>
          <w:vertAlign w:val="baseline"/>
          <w:lang w:val="en-US"/>
        </w:rPr>
      </w:pPr>
      <w:r w:rsidRPr="001373E2">
        <w:rPr>
          <w:rStyle w:val="FootnoteReference"/>
          <w:sz w:val="20"/>
          <w:szCs w:val="20"/>
        </w:rPr>
        <w:footnoteRef/>
      </w:r>
      <w:r w:rsidRPr="001373E2">
        <w:rPr>
          <w:sz w:val="20"/>
          <w:szCs w:val="20"/>
          <w:vertAlign w:val="baseline"/>
        </w:rPr>
        <w:t xml:space="preserve"> </w:t>
      </w:r>
      <w:r>
        <w:rPr>
          <w:sz w:val="20"/>
          <w:szCs w:val="20"/>
          <w:vertAlign w:val="baseline"/>
          <w:lang w:val="en-US"/>
        </w:rPr>
        <w:t>ibid</w:t>
      </w:r>
      <w:r w:rsidRPr="001373E2">
        <w:rPr>
          <w:rFonts w:eastAsia="Times New Roman" w:cs="Times New Roman"/>
          <w:sz w:val="20"/>
          <w:szCs w:val="20"/>
          <w:vertAlign w:val="baseline"/>
        </w:rPr>
        <w:t xml:space="preserve"> 3</w:t>
      </w:r>
    </w:p>
  </w:footnote>
  <w:footnote w:id="936">
    <w:p w14:paraId="76D982F6" w14:textId="77AFFE9A" w:rsidR="00431A55" w:rsidRPr="001373E2" w:rsidRDefault="00431A55" w:rsidP="00467D3E">
      <w:pPr>
        <w:pStyle w:val="FootnoteText"/>
        <w:rPr>
          <w:sz w:val="20"/>
          <w:szCs w:val="20"/>
          <w:vertAlign w:val="baseline"/>
          <w:lang w:val="en-US"/>
        </w:rPr>
      </w:pPr>
      <w:r w:rsidRPr="001373E2">
        <w:rPr>
          <w:rStyle w:val="FootnoteReference"/>
          <w:sz w:val="20"/>
          <w:szCs w:val="20"/>
        </w:rPr>
        <w:footnoteRef/>
      </w:r>
      <w:r w:rsidRPr="001373E2">
        <w:rPr>
          <w:sz w:val="20"/>
          <w:szCs w:val="20"/>
        </w:rPr>
        <w:t xml:space="preserve"> </w:t>
      </w:r>
      <w:r>
        <w:rPr>
          <w:sz w:val="20"/>
          <w:szCs w:val="20"/>
          <w:vertAlign w:val="baseline"/>
          <w:lang w:val="en-US"/>
        </w:rPr>
        <w:t>Michael J Dennis and David P</w:t>
      </w:r>
      <w:r w:rsidRPr="001373E2">
        <w:rPr>
          <w:sz w:val="20"/>
          <w:szCs w:val="20"/>
          <w:vertAlign w:val="baseline"/>
          <w:lang w:val="en-US"/>
        </w:rPr>
        <w:t xml:space="preserve"> Stewart, ‘Justiciability of Economic, Social and Cultural Rights: Should There Be an International Complaints Mechanism to Adjudicate the Rights to Food, Water, Housing and Health?’ (2004) 98(3) </w:t>
      </w:r>
      <w:r w:rsidRPr="00CB4B1D">
        <w:rPr>
          <w:sz w:val="20"/>
          <w:szCs w:val="20"/>
          <w:vertAlign w:val="baseline"/>
          <w:lang w:val="en-US"/>
        </w:rPr>
        <w:t>American J Int L</w:t>
      </w:r>
      <w:r w:rsidRPr="001373E2">
        <w:rPr>
          <w:sz w:val="20"/>
          <w:szCs w:val="20"/>
          <w:vertAlign w:val="baseline"/>
          <w:lang w:val="en-US"/>
        </w:rPr>
        <w:t xml:space="preserve"> 462</w:t>
      </w:r>
    </w:p>
  </w:footnote>
  <w:footnote w:id="937">
    <w:p w14:paraId="11820331" w14:textId="03619430" w:rsidR="00431A55" w:rsidRPr="00BF37C2" w:rsidRDefault="00431A55" w:rsidP="00467D3E">
      <w:pPr>
        <w:pStyle w:val="FootnoteText"/>
        <w:rPr>
          <w:lang w:val="en-US"/>
        </w:rPr>
      </w:pPr>
      <w:r w:rsidRPr="001373E2">
        <w:rPr>
          <w:rStyle w:val="FootnoteReference"/>
          <w:sz w:val="20"/>
          <w:szCs w:val="20"/>
        </w:rPr>
        <w:footnoteRef/>
      </w:r>
      <w:r w:rsidRPr="001373E2">
        <w:rPr>
          <w:sz w:val="20"/>
          <w:szCs w:val="20"/>
          <w:vertAlign w:val="baseline"/>
        </w:rPr>
        <w:t xml:space="preserve"> </w:t>
      </w:r>
      <w:r w:rsidR="00375717" w:rsidRPr="00C84E26">
        <w:rPr>
          <w:sz w:val="20"/>
          <w:szCs w:val="20"/>
          <w:vertAlign w:val="baseline"/>
          <w:lang w:val="en-US"/>
        </w:rPr>
        <w:t>D</w:t>
      </w:r>
      <w:r w:rsidR="00375717">
        <w:rPr>
          <w:sz w:val="20"/>
          <w:szCs w:val="20"/>
          <w:vertAlign w:val="baseline"/>
          <w:lang w:val="en-US"/>
        </w:rPr>
        <w:t xml:space="preserve">ennis and </w:t>
      </w:r>
      <w:r w:rsidR="00375717" w:rsidRPr="00C84E26">
        <w:rPr>
          <w:sz w:val="20"/>
          <w:szCs w:val="20"/>
          <w:vertAlign w:val="baseline"/>
          <w:lang w:val="en-US"/>
        </w:rPr>
        <w:t>Stewart</w:t>
      </w:r>
      <w:r w:rsidR="00375717">
        <w:rPr>
          <w:sz w:val="20"/>
          <w:szCs w:val="20"/>
          <w:vertAlign w:val="baseline"/>
          <w:lang w:val="en-US"/>
        </w:rPr>
        <w:t xml:space="preserve"> (n 936) </w:t>
      </w:r>
      <w:r w:rsidR="00375717" w:rsidRPr="00C84E26">
        <w:rPr>
          <w:sz w:val="20"/>
          <w:szCs w:val="20"/>
          <w:vertAlign w:val="baseline"/>
          <w:lang w:val="en-US"/>
        </w:rPr>
        <w:t>464</w:t>
      </w:r>
    </w:p>
  </w:footnote>
  <w:footnote w:id="938">
    <w:p w14:paraId="43C130F6" w14:textId="73B2D7E0" w:rsidR="00431A55" w:rsidRPr="00C84E26" w:rsidRDefault="00431A55" w:rsidP="00467D3E">
      <w:pPr>
        <w:pStyle w:val="FootnoteText"/>
        <w:rPr>
          <w:sz w:val="20"/>
          <w:szCs w:val="20"/>
          <w:vertAlign w:val="baseline"/>
          <w:lang w:val="en-US"/>
        </w:rPr>
      </w:pPr>
      <w:r w:rsidRPr="00C84E26">
        <w:rPr>
          <w:rStyle w:val="FootnoteReference"/>
          <w:sz w:val="20"/>
          <w:szCs w:val="20"/>
        </w:rPr>
        <w:footnoteRef/>
      </w:r>
      <w:r w:rsidRPr="00C84E26">
        <w:rPr>
          <w:sz w:val="20"/>
          <w:szCs w:val="20"/>
          <w:vertAlign w:val="baseline"/>
        </w:rPr>
        <w:t xml:space="preserve"> </w:t>
      </w:r>
      <w:r w:rsidR="00375717">
        <w:rPr>
          <w:sz w:val="20"/>
          <w:szCs w:val="20"/>
          <w:vertAlign w:val="baseline"/>
          <w:lang w:val="en-US"/>
        </w:rPr>
        <w:t>ibid</w:t>
      </w:r>
    </w:p>
  </w:footnote>
  <w:footnote w:id="939">
    <w:p w14:paraId="6580361D" w14:textId="5B4B6464" w:rsidR="00431A55" w:rsidRPr="00C84E26" w:rsidRDefault="00431A55" w:rsidP="00467D3E">
      <w:pPr>
        <w:pStyle w:val="FootnoteText"/>
        <w:rPr>
          <w:sz w:val="20"/>
          <w:szCs w:val="20"/>
          <w:vertAlign w:val="baseline"/>
          <w:lang w:val="en-US"/>
        </w:rPr>
      </w:pPr>
      <w:r w:rsidRPr="00C84E26">
        <w:rPr>
          <w:rStyle w:val="FootnoteReference"/>
          <w:sz w:val="20"/>
          <w:szCs w:val="20"/>
        </w:rPr>
        <w:footnoteRef/>
      </w:r>
      <w:r w:rsidRPr="00C84E26">
        <w:rPr>
          <w:sz w:val="20"/>
          <w:szCs w:val="20"/>
          <w:vertAlign w:val="baseline"/>
        </w:rPr>
        <w:t xml:space="preserve"> </w:t>
      </w:r>
      <w:r>
        <w:rPr>
          <w:sz w:val="20"/>
          <w:szCs w:val="20"/>
          <w:vertAlign w:val="baseline"/>
          <w:lang w:val="en-US"/>
        </w:rPr>
        <w:t xml:space="preserve">Geneva Academy (n 934) </w:t>
      </w:r>
      <w:r w:rsidRPr="00C84E26">
        <w:rPr>
          <w:rFonts w:eastAsia="Times New Roman" w:cs="Times New Roman"/>
          <w:sz w:val="20"/>
          <w:szCs w:val="20"/>
          <w:vertAlign w:val="baseline"/>
        </w:rPr>
        <w:t>10</w:t>
      </w:r>
    </w:p>
  </w:footnote>
  <w:footnote w:id="940">
    <w:p w14:paraId="02A8F432" w14:textId="7FA8180E" w:rsidR="00431A55" w:rsidRPr="00C84E26" w:rsidRDefault="00431A55" w:rsidP="00467D3E">
      <w:pPr>
        <w:pStyle w:val="FootnoteText"/>
        <w:rPr>
          <w:sz w:val="20"/>
          <w:szCs w:val="20"/>
          <w:vertAlign w:val="baseline"/>
          <w:lang w:val="en-US"/>
        </w:rPr>
      </w:pPr>
      <w:r w:rsidRPr="00C84E26">
        <w:rPr>
          <w:rStyle w:val="FootnoteReference"/>
          <w:sz w:val="20"/>
          <w:szCs w:val="20"/>
        </w:rPr>
        <w:footnoteRef/>
      </w:r>
      <w:r w:rsidRPr="00C84E26">
        <w:rPr>
          <w:sz w:val="20"/>
          <w:szCs w:val="20"/>
          <w:vertAlign w:val="baseline"/>
        </w:rPr>
        <w:t xml:space="preserve"> </w:t>
      </w:r>
      <w:r w:rsidRPr="00C84E26">
        <w:rPr>
          <w:sz w:val="20"/>
          <w:szCs w:val="20"/>
          <w:vertAlign w:val="baseline"/>
          <w:lang w:val="en-US"/>
        </w:rPr>
        <w:t xml:space="preserve">UN Economic and Social Council Resolution </w:t>
      </w:r>
      <w:r>
        <w:rPr>
          <w:sz w:val="20"/>
          <w:szCs w:val="20"/>
          <w:vertAlign w:val="baseline"/>
          <w:lang w:val="en-US"/>
        </w:rPr>
        <w:t xml:space="preserve">1985/17, </w:t>
      </w:r>
      <w:r w:rsidRPr="00C84E26">
        <w:rPr>
          <w:sz w:val="20"/>
          <w:szCs w:val="20"/>
          <w:vertAlign w:val="baseline"/>
          <w:lang w:val="en-US"/>
        </w:rPr>
        <w:t>28 May 1985</w:t>
      </w:r>
    </w:p>
  </w:footnote>
  <w:footnote w:id="941">
    <w:p w14:paraId="26ACC6BB" w14:textId="77777777" w:rsidR="00431A55" w:rsidRPr="00C84E26" w:rsidRDefault="00431A55" w:rsidP="00467D3E">
      <w:pPr>
        <w:pStyle w:val="FootnoteText"/>
        <w:rPr>
          <w:sz w:val="20"/>
          <w:szCs w:val="20"/>
          <w:vertAlign w:val="baseline"/>
          <w:lang w:val="en-US"/>
        </w:rPr>
      </w:pPr>
      <w:r w:rsidRPr="00C84E26">
        <w:rPr>
          <w:rStyle w:val="FootnoteReference"/>
          <w:sz w:val="20"/>
          <w:szCs w:val="20"/>
        </w:rPr>
        <w:footnoteRef/>
      </w:r>
      <w:r w:rsidRPr="00C84E26">
        <w:rPr>
          <w:sz w:val="20"/>
          <w:szCs w:val="20"/>
          <w:vertAlign w:val="baseline"/>
        </w:rPr>
        <w:t xml:space="preserve"> </w:t>
      </w:r>
      <w:r w:rsidRPr="00C84E26">
        <w:rPr>
          <w:rFonts w:eastAsia="Times New Roman" w:cs="Times New Roman"/>
          <w:color w:val="000000"/>
          <w:sz w:val="20"/>
          <w:szCs w:val="20"/>
          <w:shd w:val="clear" w:color="auto" w:fill="FFFFFF"/>
          <w:vertAlign w:val="baseline"/>
        </w:rPr>
        <w:t>ECOSOC is the principal body in the UN system that deals with all aspects of economic, social, humanitarian and cultural work</w:t>
      </w:r>
    </w:p>
  </w:footnote>
  <w:footnote w:id="942">
    <w:p w14:paraId="4D50BFFD" w14:textId="785A064C" w:rsidR="00431A55" w:rsidRPr="00586176" w:rsidRDefault="00431A55" w:rsidP="00467D3E">
      <w:pPr>
        <w:pStyle w:val="FootnoteText"/>
        <w:rPr>
          <w:sz w:val="20"/>
          <w:szCs w:val="20"/>
          <w:vertAlign w:val="baseline"/>
          <w:lang w:val="en-US"/>
        </w:rPr>
      </w:pPr>
      <w:r w:rsidRPr="00C84E26">
        <w:rPr>
          <w:rStyle w:val="FootnoteReference"/>
          <w:sz w:val="20"/>
          <w:szCs w:val="20"/>
        </w:rPr>
        <w:footnoteRef/>
      </w:r>
      <w:r w:rsidRPr="00C84E26">
        <w:rPr>
          <w:sz w:val="20"/>
          <w:szCs w:val="20"/>
          <w:vertAlign w:val="baseline"/>
        </w:rPr>
        <w:t xml:space="preserve"> </w:t>
      </w:r>
      <w:r w:rsidRPr="00C84E26">
        <w:rPr>
          <w:sz w:val="20"/>
          <w:szCs w:val="20"/>
          <w:vertAlign w:val="baseline"/>
          <w:lang w:val="en-US"/>
        </w:rPr>
        <w:t>Economic and Social Council, Gen</w:t>
      </w:r>
      <w:r>
        <w:rPr>
          <w:sz w:val="20"/>
          <w:szCs w:val="20"/>
          <w:vertAlign w:val="baseline"/>
          <w:lang w:val="en-US"/>
        </w:rPr>
        <w:t>eral Comment No.21 (2009)</w:t>
      </w:r>
      <w:r w:rsidRPr="00C84E26">
        <w:rPr>
          <w:sz w:val="20"/>
          <w:szCs w:val="20"/>
          <w:vertAlign w:val="baseline"/>
          <w:lang w:val="en-US"/>
        </w:rPr>
        <w:t xml:space="preserve"> E/C.12/GC/21</w:t>
      </w:r>
    </w:p>
  </w:footnote>
  <w:footnote w:id="943">
    <w:p w14:paraId="2DE22567" w14:textId="77777777" w:rsidR="00431A55" w:rsidRPr="00FE1F17" w:rsidRDefault="00431A55" w:rsidP="00467D3E">
      <w:pPr>
        <w:pStyle w:val="FootnoteText"/>
        <w:rPr>
          <w:sz w:val="20"/>
          <w:szCs w:val="20"/>
          <w:vertAlign w:val="baseline"/>
          <w:lang w:val="en-US"/>
        </w:rPr>
      </w:pPr>
      <w:r w:rsidRPr="00FE1F17">
        <w:rPr>
          <w:rStyle w:val="FootnoteReference"/>
          <w:sz w:val="20"/>
          <w:szCs w:val="20"/>
        </w:rPr>
        <w:footnoteRef/>
      </w:r>
      <w:r w:rsidRPr="00FE1F17">
        <w:rPr>
          <w:sz w:val="20"/>
          <w:szCs w:val="20"/>
        </w:rPr>
        <w:t xml:space="preserve"> </w:t>
      </w:r>
      <w:r>
        <w:rPr>
          <w:sz w:val="20"/>
          <w:szCs w:val="20"/>
          <w:vertAlign w:val="baseline"/>
        </w:rPr>
        <w:t xml:space="preserve"> Anthanasios Yupsanis, ‘The Meaning of ‘Culture’ in Article 15(1)(a) of the ICESCR – Positive Aspects of CESCR’s General Comment No.21 for the Safeguarding of Minority Cultures’ 55 GYIL 348</w:t>
      </w:r>
    </w:p>
  </w:footnote>
  <w:footnote w:id="944">
    <w:p w14:paraId="57C1A7C0" w14:textId="27B0CE62" w:rsidR="00431A55" w:rsidRPr="004B5046" w:rsidRDefault="00431A55" w:rsidP="00467D3E">
      <w:pPr>
        <w:pStyle w:val="FootnoteText"/>
        <w:rPr>
          <w:sz w:val="20"/>
          <w:szCs w:val="20"/>
          <w:vertAlign w:val="baseline"/>
          <w:lang w:val="en-US"/>
        </w:rPr>
      </w:pPr>
      <w:r w:rsidRPr="004B5046">
        <w:rPr>
          <w:rStyle w:val="FootnoteReference"/>
          <w:sz w:val="20"/>
          <w:szCs w:val="20"/>
        </w:rPr>
        <w:footnoteRef/>
      </w:r>
      <w:r w:rsidRPr="004B5046">
        <w:rPr>
          <w:sz w:val="20"/>
          <w:szCs w:val="20"/>
          <w:vertAlign w:val="baseline"/>
        </w:rPr>
        <w:t xml:space="preserve"> </w:t>
      </w:r>
      <w:r w:rsidRPr="004B5046">
        <w:rPr>
          <w:sz w:val="20"/>
          <w:szCs w:val="20"/>
          <w:vertAlign w:val="baseline"/>
          <w:lang w:val="en-US"/>
        </w:rPr>
        <w:t>General Comment No.</w:t>
      </w:r>
      <w:r>
        <w:rPr>
          <w:sz w:val="20"/>
          <w:szCs w:val="20"/>
          <w:vertAlign w:val="baseline"/>
          <w:lang w:val="en-US"/>
        </w:rPr>
        <w:t xml:space="preserve">21 (n 942) </w:t>
      </w:r>
      <w:r w:rsidRPr="004B5046">
        <w:rPr>
          <w:sz w:val="20"/>
          <w:szCs w:val="20"/>
          <w:vertAlign w:val="baseline"/>
          <w:lang w:val="en-US"/>
        </w:rPr>
        <w:t>para 18</w:t>
      </w:r>
    </w:p>
  </w:footnote>
  <w:footnote w:id="945">
    <w:p w14:paraId="3B4D4798" w14:textId="4B140BF4" w:rsidR="00431A55" w:rsidRPr="004B5046" w:rsidRDefault="00431A55" w:rsidP="00467D3E">
      <w:pPr>
        <w:pStyle w:val="FootnoteText"/>
        <w:rPr>
          <w:sz w:val="20"/>
          <w:szCs w:val="20"/>
          <w:vertAlign w:val="baseline"/>
          <w:lang w:val="en-US"/>
        </w:rPr>
      </w:pPr>
      <w:r w:rsidRPr="004B5046">
        <w:rPr>
          <w:rStyle w:val="FootnoteReference"/>
          <w:sz w:val="20"/>
          <w:szCs w:val="20"/>
        </w:rPr>
        <w:footnoteRef/>
      </w:r>
      <w:r w:rsidRPr="004B5046">
        <w:rPr>
          <w:sz w:val="20"/>
          <w:szCs w:val="20"/>
          <w:vertAlign w:val="baseline"/>
        </w:rPr>
        <w:t xml:space="preserve"> </w:t>
      </w:r>
      <w:r>
        <w:rPr>
          <w:sz w:val="20"/>
          <w:szCs w:val="20"/>
          <w:vertAlign w:val="baseline"/>
          <w:lang w:val="en-US"/>
        </w:rPr>
        <w:t>ibid,</w:t>
      </w:r>
      <w:r w:rsidRPr="004B5046">
        <w:rPr>
          <w:sz w:val="20"/>
          <w:szCs w:val="20"/>
          <w:vertAlign w:val="baseline"/>
          <w:lang w:val="en-US"/>
        </w:rPr>
        <w:t xml:space="preserve"> para 60</w:t>
      </w:r>
    </w:p>
  </w:footnote>
  <w:footnote w:id="946">
    <w:p w14:paraId="1EC059B4" w14:textId="46E3B742" w:rsidR="00431A55" w:rsidRPr="0006186A" w:rsidRDefault="00431A55" w:rsidP="00467D3E">
      <w:pPr>
        <w:pStyle w:val="FootnoteText"/>
        <w:rPr>
          <w:lang w:val="en-US"/>
        </w:rPr>
      </w:pPr>
      <w:r w:rsidRPr="004B5046">
        <w:rPr>
          <w:rStyle w:val="FootnoteReference"/>
          <w:sz w:val="20"/>
          <w:szCs w:val="20"/>
        </w:rPr>
        <w:footnoteRef/>
      </w:r>
      <w:r w:rsidRPr="004B5046">
        <w:rPr>
          <w:sz w:val="20"/>
          <w:szCs w:val="20"/>
        </w:rPr>
        <w:t xml:space="preserve"> </w:t>
      </w:r>
      <w:r>
        <w:rPr>
          <w:sz w:val="20"/>
          <w:szCs w:val="20"/>
          <w:vertAlign w:val="baseline"/>
          <w:lang w:val="en-US"/>
        </w:rPr>
        <w:t>ibid,</w:t>
      </w:r>
      <w:r w:rsidRPr="004B5046">
        <w:rPr>
          <w:sz w:val="20"/>
          <w:szCs w:val="20"/>
          <w:vertAlign w:val="baseline"/>
          <w:lang w:val="en-US"/>
        </w:rPr>
        <w:t xml:space="preserve"> para 64</w:t>
      </w:r>
    </w:p>
  </w:footnote>
  <w:footnote w:id="947">
    <w:p w14:paraId="543E0CCE" w14:textId="0FFEE872" w:rsidR="00431A55" w:rsidRPr="003850A6" w:rsidRDefault="00431A55" w:rsidP="00467D3E">
      <w:pPr>
        <w:pStyle w:val="FootnoteText"/>
        <w:rPr>
          <w:sz w:val="20"/>
          <w:szCs w:val="20"/>
          <w:vertAlign w:val="baseline"/>
          <w:lang w:val="en-US"/>
        </w:rPr>
      </w:pPr>
      <w:r w:rsidRPr="003850A6">
        <w:rPr>
          <w:rStyle w:val="FootnoteReference"/>
          <w:sz w:val="20"/>
          <w:szCs w:val="20"/>
        </w:rPr>
        <w:footnoteRef/>
      </w:r>
      <w:r w:rsidRPr="003850A6">
        <w:rPr>
          <w:sz w:val="20"/>
          <w:szCs w:val="20"/>
        </w:rPr>
        <w:t xml:space="preserve"> </w:t>
      </w:r>
      <w:r w:rsidRPr="003850A6">
        <w:rPr>
          <w:sz w:val="20"/>
          <w:szCs w:val="20"/>
          <w:vertAlign w:val="baseline"/>
          <w:lang w:val="en-US"/>
        </w:rPr>
        <w:t xml:space="preserve">Economic and Social Council, ‘Concluding Observations of the Committee on Economic, Social and Cultural Rights: Nepal’ </w:t>
      </w:r>
      <w:r>
        <w:rPr>
          <w:sz w:val="20"/>
          <w:szCs w:val="20"/>
          <w:vertAlign w:val="baseline"/>
          <w:lang w:val="en-US"/>
        </w:rPr>
        <w:t xml:space="preserve">(2007) </w:t>
      </w:r>
      <w:r w:rsidRPr="003850A6">
        <w:rPr>
          <w:sz w:val="20"/>
          <w:szCs w:val="20"/>
          <w:vertAlign w:val="baseline"/>
          <w:lang w:val="en-US"/>
        </w:rPr>
        <w:t xml:space="preserve">E/C.12/NPL/CO/2 </w:t>
      </w:r>
    </w:p>
  </w:footnote>
  <w:footnote w:id="948">
    <w:p w14:paraId="6B7E2070" w14:textId="4B98BABE" w:rsidR="00431A55" w:rsidRPr="003850A6" w:rsidRDefault="00431A55" w:rsidP="00467D3E">
      <w:pPr>
        <w:pStyle w:val="FootnoteText"/>
        <w:rPr>
          <w:sz w:val="20"/>
          <w:szCs w:val="20"/>
          <w:vertAlign w:val="baseline"/>
          <w:lang w:val="en-US"/>
        </w:rPr>
      </w:pPr>
      <w:r w:rsidRPr="003850A6">
        <w:rPr>
          <w:rStyle w:val="FootnoteReference"/>
          <w:sz w:val="20"/>
          <w:szCs w:val="20"/>
        </w:rPr>
        <w:footnoteRef/>
      </w:r>
      <w:r w:rsidRPr="003850A6">
        <w:rPr>
          <w:sz w:val="20"/>
          <w:szCs w:val="20"/>
          <w:vertAlign w:val="baseline"/>
        </w:rPr>
        <w:t xml:space="preserve"> </w:t>
      </w:r>
      <w:r>
        <w:rPr>
          <w:sz w:val="20"/>
          <w:szCs w:val="20"/>
          <w:vertAlign w:val="baseline"/>
          <w:lang w:val="en-US"/>
        </w:rPr>
        <w:t>ibid,</w:t>
      </w:r>
      <w:r w:rsidRPr="003850A6">
        <w:rPr>
          <w:sz w:val="20"/>
          <w:szCs w:val="20"/>
          <w:vertAlign w:val="baseline"/>
          <w:lang w:val="en-US"/>
        </w:rPr>
        <w:t xml:space="preserve"> para 2</w:t>
      </w:r>
    </w:p>
  </w:footnote>
  <w:footnote w:id="949">
    <w:p w14:paraId="60AF4E37" w14:textId="1479B0CC" w:rsidR="00431A55" w:rsidRPr="003850A6" w:rsidRDefault="00431A55" w:rsidP="00467D3E">
      <w:pPr>
        <w:pStyle w:val="FootnoteText"/>
        <w:rPr>
          <w:sz w:val="20"/>
          <w:szCs w:val="20"/>
          <w:vertAlign w:val="baseline"/>
          <w:lang w:val="en-US"/>
        </w:rPr>
      </w:pPr>
      <w:r w:rsidRPr="003850A6">
        <w:rPr>
          <w:rStyle w:val="FootnoteReference"/>
          <w:sz w:val="20"/>
          <w:szCs w:val="20"/>
        </w:rPr>
        <w:footnoteRef/>
      </w:r>
      <w:r w:rsidRPr="003850A6">
        <w:rPr>
          <w:sz w:val="20"/>
          <w:szCs w:val="20"/>
          <w:vertAlign w:val="baseline"/>
        </w:rPr>
        <w:t xml:space="preserve"> </w:t>
      </w:r>
      <w:r>
        <w:rPr>
          <w:sz w:val="20"/>
          <w:szCs w:val="20"/>
          <w:vertAlign w:val="baseline"/>
          <w:lang w:val="en-US"/>
        </w:rPr>
        <w:t>See Section 5.4.1, 189</w:t>
      </w:r>
    </w:p>
  </w:footnote>
  <w:footnote w:id="950">
    <w:p w14:paraId="4058729D" w14:textId="77777777" w:rsidR="00431A55" w:rsidRPr="003850A6" w:rsidRDefault="00431A55" w:rsidP="00467D3E">
      <w:pPr>
        <w:pStyle w:val="FootnoteText"/>
        <w:rPr>
          <w:sz w:val="20"/>
          <w:szCs w:val="20"/>
          <w:vertAlign w:val="baseline"/>
          <w:lang w:val="en-US"/>
        </w:rPr>
      </w:pPr>
      <w:r w:rsidRPr="003850A6">
        <w:rPr>
          <w:rStyle w:val="FootnoteReference"/>
          <w:sz w:val="20"/>
          <w:szCs w:val="20"/>
        </w:rPr>
        <w:footnoteRef/>
      </w:r>
      <w:r w:rsidRPr="003850A6">
        <w:rPr>
          <w:sz w:val="20"/>
          <w:szCs w:val="20"/>
          <w:vertAlign w:val="baseline"/>
        </w:rPr>
        <w:t xml:space="preserve"> </w:t>
      </w:r>
      <w:r w:rsidRPr="003850A6">
        <w:rPr>
          <w:sz w:val="20"/>
          <w:szCs w:val="20"/>
          <w:vertAlign w:val="baseline"/>
          <w:lang w:val="en-US"/>
        </w:rPr>
        <w:t>Economic and Social Council, ‘Third periodic report submitted by State parties under articles 16 and 17 of the Covenant: Nepal’ 12 July 2011 E/C.12/NPL/3</w:t>
      </w:r>
    </w:p>
  </w:footnote>
  <w:footnote w:id="951">
    <w:p w14:paraId="1C31DAB0" w14:textId="441E647C" w:rsidR="00431A55" w:rsidRPr="003850A6" w:rsidRDefault="00431A55" w:rsidP="00467D3E">
      <w:pPr>
        <w:pStyle w:val="FootnoteText"/>
        <w:rPr>
          <w:sz w:val="20"/>
          <w:szCs w:val="20"/>
          <w:vertAlign w:val="baseline"/>
          <w:lang w:val="en-US"/>
        </w:rPr>
      </w:pPr>
      <w:r w:rsidRPr="003850A6">
        <w:rPr>
          <w:rStyle w:val="FootnoteReference"/>
          <w:sz w:val="20"/>
          <w:szCs w:val="20"/>
        </w:rPr>
        <w:footnoteRef/>
      </w:r>
      <w:r w:rsidRPr="003850A6">
        <w:rPr>
          <w:sz w:val="20"/>
          <w:szCs w:val="20"/>
          <w:vertAlign w:val="baseline"/>
        </w:rPr>
        <w:t xml:space="preserve"> </w:t>
      </w:r>
      <w:r>
        <w:rPr>
          <w:sz w:val="20"/>
          <w:szCs w:val="20"/>
          <w:vertAlign w:val="baseline"/>
          <w:lang w:val="en-US"/>
        </w:rPr>
        <w:t>ibid, para</w:t>
      </w:r>
      <w:r w:rsidRPr="003850A6">
        <w:rPr>
          <w:sz w:val="20"/>
          <w:szCs w:val="20"/>
          <w:vertAlign w:val="baseline"/>
          <w:lang w:val="en-US"/>
        </w:rPr>
        <w:t xml:space="preserve"> 55 and 58</w:t>
      </w:r>
    </w:p>
  </w:footnote>
  <w:footnote w:id="952">
    <w:p w14:paraId="5CDD7DAD" w14:textId="78A92346" w:rsidR="00431A55" w:rsidRPr="008937F9" w:rsidRDefault="00431A55" w:rsidP="00467D3E">
      <w:pPr>
        <w:pStyle w:val="FootnoteText"/>
        <w:rPr>
          <w:sz w:val="20"/>
          <w:szCs w:val="20"/>
          <w:vertAlign w:val="baseline"/>
        </w:rPr>
      </w:pPr>
      <w:r w:rsidRPr="003850A6">
        <w:rPr>
          <w:rStyle w:val="FootnoteReference"/>
          <w:sz w:val="20"/>
          <w:szCs w:val="20"/>
        </w:rPr>
        <w:footnoteRef/>
      </w:r>
      <w:r w:rsidRPr="003850A6">
        <w:rPr>
          <w:sz w:val="20"/>
          <w:szCs w:val="20"/>
          <w:vertAlign w:val="baseline"/>
        </w:rPr>
        <w:t xml:space="preserve"> </w:t>
      </w:r>
      <w:r w:rsidRPr="00A92D4E">
        <w:rPr>
          <w:i/>
          <w:sz w:val="20"/>
          <w:szCs w:val="20"/>
          <w:vertAlign w:val="baseline"/>
          <w:lang w:val="en-US"/>
        </w:rPr>
        <w:t>Resma Thapa v HMG Nepal</w:t>
      </w:r>
      <w:r>
        <w:rPr>
          <w:sz w:val="20"/>
          <w:szCs w:val="20"/>
          <w:vertAlign w:val="baseline"/>
          <w:lang w:val="en-US"/>
        </w:rPr>
        <w:t xml:space="preserve"> </w:t>
      </w:r>
      <w:r>
        <w:rPr>
          <w:sz w:val="20"/>
          <w:szCs w:val="20"/>
          <w:vertAlign w:val="baseline"/>
        </w:rPr>
        <w:t xml:space="preserve">(n 762); </w:t>
      </w:r>
      <w:r w:rsidRPr="003850A6">
        <w:rPr>
          <w:sz w:val="20"/>
          <w:szCs w:val="20"/>
          <w:vertAlign w:val="baseline"/>
          <w:lang w:val="en-US"/>
        </w:rPr>
        <w:t xml:space="preserve">Economic and Social </w:t>
      </w:r>
      <w:r>
        <w:rPr>
          <w:sz w:val="20"/>
          <w:szCs w:val="20"/>
          <w:vertAlign w:val="baseline"/>
          <w:lang w:val="en-US"/>
        </w:rPr>
        <w:t xml:space="preserve">Council, ‘Third periodic report: </w:t>
      </w:r>
      <w:r w:rsidRPr="003850A6">
        <w:rPr>
          <w:sz w:val="20"/>
          <w:szCs w:val="20"/>
          <w:vertAlign w:val="baseline"/>
          <w:lang w:val="en-US"/>
        </w:rPr>
        <w:t xml:space="preserve">Nepal’ </w:t>
      </w:r>
      <w:r>
        <w:rPr>
          <w:sz w:val="20"/>
          <w:szCs w:val="20"/>
          <w:vertAlign w:val="baseline"/>
          <w:lang w:val="en-US"/>
        </w:rPr>
        <w:t>(n 937) para</w:t>
      </w:r>
      <w:r w:rsidRPr="003850A6">
        <w:rPr>
          <w:sz w:val="20"/>
          <w:szCs w:val="20"/>
          <w:vertAlign w:val="baseline"/>
          <w:lang w:val="en-US"/>
        </w:rPr>
        <w:t xml:space="preserve"> 55, 56</w:t>
      </w:r>
    </w:p>
  </w:footnote>
  <w:footnote w:id="953">
    <w:p w14:paraId="382B4CC2" w14:textId="22D6532C" w:rsidR="00431A55" w:rsidRPr="002B396E" w:rsidRDefault="00431A55" w:rsidP="00467D3E">
      <w:pPr>
        <w:pStyle w:val="FootnoteText"/>
        <w:rPr>
          <w:lang w:val="en-US"/>
        </w:rPr>
      </w:pPr>
      <w:r w:rsidRPr="003850A6">
        <w:rPr>
          <w:rStyle w:val="FootnoteReference"/>
          <w:sz w:val="20"/>
          <w:szCs w:val="20"/>
        </w:rPr>
        <w:footnoteRef/>
      </w:r>
      <w:r w:rsidRPr="003850A6">
        <w:rPr>
          <w:sz w:val="20"/>
          <w:szCs w:val="20"/>
          <w:vertAlign w:val="baseline"/>
        </w:rPr>
        <w:t xml:space="preserve"> </w:t>
      </w:r>
      <w:r w:rsidRPr="003850A6">
        <w:rPr>
          <w:sz w:val="20"/>
          <w:szCs w:val="20"/>
          <w:vertAlign w:val="baseline"/>
          <w:lang w:val="en-US"/>
        </w:rPr>
        <w:t>Economic and Social C</w:t>
      </w:r>
      <w:r>
        <w:rPr>
          <w:sz w:val="20"/>
          <w:szCs w:val="20"/>
          <w:vertAlign w:val="baseline"/>
          <w:lang w:val="en-US"/>
        </w:rPr>
        <w:t xml:space="preserve">ouncil, ‘Third periodic report: Nepal’ (n 952) </w:t>
      </w:r>
      <w:r w:rsidRPr="003850A6">
        <w:rPr>
          <w:sz w:val="20"/>
          <w:szCs w:val="20"/>
          <w:vertAlign w:val="baseline"/>
          <w:lang w:val="en-US"/>
        </w:rPr>
        <w:t>para 47</w:t>
      </w:r>
    </w:p>
  </w:footnote>
  <w:footnote w:id="954">
    <w:p w14:paraId="702C926E" w14:textId="06BC9415" w:rsidR="00431A55" w:rsidRPr="00B01C4A" w:rsidRDefault="00431A55" w:rsidP="00467D3E">
      <w:pPr>
        <w:pStyle w:val="FootnoteText"/>
        <w:rPr>
          <w:sz w:val="20"/>
          <w:szCs w:val="20"/>
          <w:vertAlign w:val="baseline"/>
          <w:lang w:val="en-US"/>
        </w:rPr>
      </w:pPr>
      <w:r w:rsidRPr="00B01C4A">
        <w:rPr>
          <w:rStyle w:val="FootnoteReference"/>
          <w:sz w:val="20"/>
          <w:szCs w:val="20"/>
        </w:rPr>
        <w:footnoteRef/>
      </w:r>
      <w:r w:rsidRPr="00B01C4A">
        <w:rPr>
          <w:sz w:val="20"/>
          <w:szCs w:val="20"/>
          <w:vertAlign w:val="baseline"/>
        </w:rPr>
        <w:t xml:space="preserve"> </w:t>
      </w:r>
      <w:r>
        <w:rPr>
          <w:sz w:val="20"/>
          <w:szCs w:val="20"/>
          <w:vertAlign w:val="baseline"/>
          <w:lang w:val="en-US"/>
        </w:rPr>
        <w:t>ibid,</w:t>
      </w:r>
      <w:r w:rsidRPr="00B01C4A">
        <w:rPr>
          <w:sz w:val="20"/>
          <w:szCs w:val="20"/>
          <w:vertAlign w:val="baseline"/>
          <w:lang w:val="en-US"/>
        </w:rPr>
        <w:t xml:space="preserve"> para 48</w:t>
      </w:r>
    </w:p>
  </w:footnote>
  <w:footnote w:id="955">
    <w:p w14:paraId="78FA6BA3" w14:textId="03483BAD" w:rsidR="00431A55" w:rsidRPr="00B01C4A" w:rsidRDefault="00431A55" w:rsidP="00467D3E">
      <w:pPr>
        <w:pStyle w:val="FootnoteText"/>
        <w:rPr>
          <w:sz w:val="20"/>
          <w:szCs w:val="20"/>
          <w:vertAlign w:val="baseline"/>
          <w:lang w:val="en-US"/>
        </w:rPr>
      </w:pPr>
      <w:r w:rsidRPr="00B01C4A">
        <w:rPr>
          <w:rStyle w:val="FootnoteReference"/>
          <w:sz w:val="20"/>
          <w:szCs w:val="20"/>
        </w:rPr>
        <w:footnoteRef/>
      </w:r>
      <w:r w:rsidRPr="00B01C4A">
        <w:rPr>
          <w:sz w:val="20"/>
          <w:szCs w:val="20"/>
        </w:rPr>
        <w:t xml:space="preserve"> </w:t>
      </w:r>
      <w:r w:rsidRPr="00B01C4A">
        <w:rPr>
          <w:sz w:val="20"/>
          <w:szCs w:val="20"/>
          <w:vertAlign w:val="baseline"/>
          <w:lang w:val="en-US"/>
        </w:rPr>
        <w:t>Economic and Social Council, ‘Concluding Observations of the Committee on Economic, Social a</w:t>
      </w:r>
      <w:r>
        <w:rPr>
          <w:sz w:val="20"/>
          <w:szCs w:val="20"/>
          <w:vertAlign w:val="baseline"/>
          <w:lang w:val="en-US"/>
        </w:rPr>
        <w:t>nd Cultural Rights: India’ (2008)</w:t>
      </w:r>
      <w:r w:rsidRPr="00B01C4A">
        <w:rPr>
          <w:sz w:val="20"/>
          <w:szCs w:val="20"/>
          <w:vertAlign w:val="baseline"/>
          <w:lang w:val="en-US"/>
        </w:rPr>
        <w:t xml:space="preserve"> E/C.12/IND/CO/5</w:t>
      </w:r>
    </w:p>
  </w:footnote>
  <w:footnote w:id="956">
    <w:p w14:paraId="3A0038C9" w14:textId="593CF802" w:rsidR="00431A55" w:rsidRPr="00B01C4A" w:rsidRDefault="00431A55" w:rsidP="00467D3E">
      <w:pPr>
        <w:pStyle w:val="FootnoteText"/>
        <w:rPr>
          <w:sz w:val="20"/>
          <w:szCs w:val="20"/>
          <w:vertAlign w:val="baseline"/>
          <w:lang w:val="en-US"/>
        </w:rPr>
      </w:pPr>
      <w:r w:rsidRPr="00B01C4A">
        <w:rPr>
          <w:rStyle w:val="FootnoteReference"/>
          <w:sz w:val="20"/>
          <w:szCs w:val="20"/>
        </w:rPr>
        <w:footnoteRef/>
      </w:r>
      <w:r w:rsidRPr="00B01C4A">
        <w:rPr>
          <w:sz w:val="20"/>
          <w:szCs w:val="20"/>
          <w:vertAlign w:val="baseline"/>
        </w:rPr>
        <w:t xml:space="preserve"> </w:t>
      </w:r>
      <w:r>
        <w:rPr>
          <w:sz w:val="20"/>
          <w:szCs w:val="20"/>
          <w:vertAlign w:val="baseline"/>
          <w:lang w:val="en-US"/>
        </w:rPr>
        <w:t>ibid</w:t>
      </w:r>
      <w:r w:rsidRPr="00B01C4A">
        <w:rPr>
          <w:sz w:val="20"/>
          <w:szCs w:val="20"/>
          <w:vertAlign w:val="baseline"/>
          <w:lang w:val="en-US"/>
        </w:rPr>
        <w:t>, para 13</w:t>
      </w:r>
    </w:p>
  </w:footnote>
  <w:footnote w:id="957">
    <w:p w14:paraId="358F5881" w14:textId="0315FDB7" w:rsidR="00431A55" w:rsidRPr="000B4649" w:rsidRDefault="00431A55" w:rsidP="00467D3E">
      <w:pPr>
        <w:pStyle w:val="FootnoteText"/>
        <w:rPr>
          <w:lang w:val="en-US"/>
        </w:rPr>
      </w:pPr>
      <w:r w:rsidRPr="00B01C4A">
        <w:rPr>
          <w:rStyle w:val="FootnoteReference"/>
          <w:sz w:val="20"/>
          <w:szCs w:val="20"/>
        </w:rPr>
        <w:footnoteRef/>
      </w:r>
      <w:r w:rsidRPr="00B01C4A">
        <w:rPr>
          <w:sz w:val="20"/>
          <w:szCs w:val="20"/>
          <w:vertAlign w:val="baseline"/>
        </w:rPr>
        <w:t xml:space="preserve"> </w:t>
      </w:r>
      <w:r>
        <w:rPr>
          <w:sz w:val="20"/>
          <w:szCs w:val="20"/>
          <w:vertAlign w:val="baseline"/>
          <w:lang w:val="en-US"/>
        </w:rPr>
        <w:t>ibid</w:t>
      </w:r>
      <w:r w:rsidRPr="00B01C4A">
        <w:rPr>
          <w:sz w:val="20"/>
          <w:szCs w:val="20"/>
          <w:vertAlign w:val="baseline"/>
          <w:lang w:val="en-US"/>
        </w:rPr>
        <w:t>, para 25</w:t>
      </w:r>
    </w:p>
  </w:footnote>
  <w:footnote w:id="958">
    <w:p w14:paraId="57430C67" w14:textId="2B4467D6" w:rsidR="00431A55" w:rsidRPr="009A355D" w:rsidRDefault="00431A55" w:rsidP="00467D3E">
      <w:pPr>
        <w:pStyle w:val="FootnoteText"/>
        <w:rPr>
          <w:sz w:val="20"/>
          <w:szCs w:val="20"/>
          <w:vertAlign w:val="baseline"/>
          <w:lang w:val="en-US"/>
        </w:rPr>
      </w:pPr>
      <w:r w:rsidRPr="009A355D">
        <w:rPr>
          <w:rStyle w:val="FootnoteReference"/>
          <w:sz w:val="20"/>
          <w:szCs w:val="20"/>
        </w:rPr>
        <w:footnoteRef/>
      </w:r>
      <w:r w:rsidRPr="009A355D">
        <w:rPr>
          <w:sz w:val="20"/>
          <w:szCs w:val="20"/>
          <w:vertAlign w:val="baseline"/>
        </w:rPr>
        <w:t xml:space="preserve"> </w:t>
      </w:r>
      <w:r>
        <w:rPr>
          <w:sz w:val="20"/>
          <w:szCs w:val="20"/>
          <w:vertAlign w:val="baseline"/>
          <w:lang w:val="en-US"/>
        </w:rPr>
        <w:t>See Section 5.4.2</w:t>
      </w:r>
    </w:p>
  </w:footnote>
  <w:footnote w:id="959">
    <w:p w14:paraId="3F54E903" w14:textId="5CB3FFE0" w:rsidR="00431A55" w:rsidRPr="001114F6" w:rsidRDefault="00431A55">
      <w:pPr>
        <w:pStyle w:val="FootnoteText"/>
        <w:rPr>
          <w:sz w:val="20"/>
          <w:szCs w:val="20"/>
          <w:vertAlign w:val="baseline"/>
          <w:lang w:val="en-US"/>
        </w:rPr>
      </w:pPr>
      <w:r w:rsidRPr="001114F6">
        <w:rPr>
          <w:rStyle w:val="FootnoteReference"/>
          <w:sz w:val="20"/>
          <w:szCs w:val="20"/>
        </w:rPr>
        <w:footnoteRef/>
      </w:r>
      <w:r>
        <w:rPr>
          <w:sz w:val="20"/>
          <w:szCs w:val="20"/>
          <w:vertAlign w:val="baseline"/>
          <w:lang w:val="en-US"/>
        </w:rPr>
        <w:t xml:space="preserve"> March 2016</w:t>
      </w:r>
    </w:p>
  </w:footnote>
  <w:footnote w:id="960">
    <w:p w14:paraId="6FFA87D4" w14:textId="53187049" w:rsidR="00431A55" w:rsidRPr="00A27E39" w:rsidRDefault="00431A55">
      <w:pPr>
        <w:pStyle w:val="FootnoteText"/>
        <w:rPr>
          <w:sz w:val="20"/>
          <w:szCs w:val="20"/>
          <w:vertAlign w:val="baseline"/>
          <w:lang w:val="en-US"/>
        </w:rPr>
      </w:pPr>
      <w:r w:rsidRPr="009354DB">
        <w:rPr>
          <w:rStyle w:val="FootnoteReference"/>
          <w:sz w:val="20"/>
          <w:szCs w:val="20"/>
        </w:rPr>
        <w:footnoteRef/>
      </w:r>
      <w:r w:rsidRPr="009354DB">
        <w:rPr>
          <w:sz w:val="20"/>
          <w:szCs w:val="20"/>
        </w:rPr>
        <w:t xml:space="preserve"> </w:t>
      </w:r>
      <w:r>
        <w:rPr>
          <w:sz w:val="20"/>
          <w:szCs w:val="20"/>
        </w:rPr>
        <w:t xml:space="preserve"> </w:t>
      </w:r>
      <w:r>
        <w:rPr>
          <w:sz w:val="20"/>
          <w:szCs w:val="20"/>
          <w:vertAlign w:val="baseline"/>
        </w:rPr>
        <w:t>McQuigg (n 887) 827</w:t>
      </w:r>
    </w:p>
  </w:footnote>
  <w:footnote w:id="961">
    <w:p w14:paraId="18D034DE" w14:textId="77777777" w:rsidR="00431A55" w:rsidRPr="000D5921" w:rsidRDefault="00431A55" w:rsidP="001C6724">
      <w:pPr>
        <w:pStyle w:val="FootnoteText"/>
        <w:rPr>
          <w:sz w:val="20"/>
          <w:szCs w:val="20"/>
          <w:vertAlign w:val="baseline"/>
          <w:lang w:val="en-US"/>
        </w:rPr>
      </w:pPr>
      <w:r w:rsidRPr="000D5921">
        <w:rPr>
          <w:rStyle w:val="FootnoteReference"/>
          <w:sz w:val="20"/>
          <w:szCs w:val="20"/>
        </w:rPr>
        <w:footnoteRef/>
      </w:r>
      <w:r w:rsidRPr="000D5921">
        <w:rPr>
          <w:sz w:val="20"/>
          <w:szCs w:val="20"/>
        </w:rPr>
        <w:t xml:space="preserve"> </w:t>
      </w:r>
      <w:r w:rsidRPr="000D5921">
        <w:rPr>
          <w:sz w:val="20"/>
          <w:szCs w:val="20"/>
          <w:vertAlign w:val="baseline"/>
          <w:lang w:val="en-US"/>
        </w:rPr>
        <w:t>UN General Assembly Resolution 60/251.</w:t>
      </w:r>
    </w:p>
  </w:footnote>
  <w:footnote w:id="962">
    <w:p w14:paraId="0688EF89" w14:textId="77777777" w:rsidR="00431A55" w:rsidRPr="000D5921" w:rsidRDefault="00431A55" w:rsidP="001C6724">
      <w:pPr>
        <w:pStyle w:val="FootnoteText"/>
        <w:rPr>
          <w:sz w:val="20"/>
          <w:szCs w:val="20"/>
          <w:vertAlign w:val="baseline"/>
          <w:lang w:val="en-US"/>
        </w:rPr>
      </w:pPr>
      <w:r w:rsidRPr="000D5921">
        <w:rPr>
          <w:rStyle w:val="FootnoteReference"/>
          <w:sz w:val="20"/>
          <w:szCs w:val="20"/>
        </w:rPr>
        <w:footnoteRef/>
      </w:r>
      <w:r w:rsidRPr="000D5921">
        <w:rPr>
          <w:sz w:val="20"/>
          <w:szCs w:val="20"/>
          <w:vertAlign w:val="baseline"/>
        </w:rPr>
        <w:t xml:space="preserve"> </w:t>
      </w:r>
      <w:r w:rsidRPr="000D5921">
        <w:rPr>
          <w:sz w:val="20"/>
          <w:szCs w:val="20"/>
          <w:vertAlign w:val="baseline"/>
          <w:lang w:val="en-US"/>
        </w:rPr>
        <w:t>OHCHR, ‘Human Rights Council’ &lt;</w:t>
      </w:r>
      <w:hyperlink r:id="rId112" w:history="1">
        <w:r w:rsidRPr="000D5921">
          <w:rPr>
            <w:rStyle w:val="Hyperlink"/>
            <w:sz w:val="20"/>
            <w:szCs w:val="20"/>
            <w:vertAlign w:val="baseline"/>
            <w:lang w:val="en-US"/>
          </w:rPr>
          <w:t>http://www.ohchr.org/EN/HRBodies/HRC/Pages/AboutCouncil.aspx</w:t>
        </w:r>
      </w:hyperlink>
      <w:r w:rsidRPr="000D5921">
        <w:rPr>
          <w:sz w:val="20"/>
          <w:szCs w:val="20"/>
          <w:vertAlign w:val="baseline"/>
          <w:lang w:val="en-US"/>
        </w:rPr>
        <w:t>&gt; accessed 17 June 2015</w:t>
      </w:r>
    </w:p>
  </w:footnote>
  <w:footnote w:id="963">
    <w:p w14:paraId="4E5A162B" w14:textId="77777777" w:rsidR="00431A55" w:rsidRPr="003D3975" w:rsidRDefault="00431A55" w:rsidP="001C6724">
      <w:pPr>
        <w:pStyle w:val="FootnoteText"/>
        <w:rPr>
          <w:lang w:val="en-US"/>
        </w:rPr>
      </w:pPr>
      <w:r w:rsidRPr="000D5921">
        <w:rPr>
          <w:rStyle w:val="FootnoteReference"/>
          <w:sz w:val="20"/>
          <w:szCs w:val="20"/>
        </w:rPr>
        <w:footnoteRef/>
      </w:r>
      <w:r w:rsidRPr="000D5921">
        <w:rPr>
          <w:sz w:val="20"/>
          <w:szCs w:val="20"/>
        </w:rPr>
        <w:t xml:space="preserve"> </w:t>
      </w:r>
      <w:r w:rsidRPr="000D5921">
        <w:rPr>
          <w:rFonts w:eastAsia="Times New Roman" w:cs="Times New Roman"/>
          <w:color w:val="000000"/>
          <w:sz w:val="20"/>
          <w:szCs w:val="20"/>
          <w:vertAlign w:val="baseline"/>
        </w:rPr>
        <w:t>African States: 13 seats; Asia-Pacific States: 13 seats; Latin American and Caribbean States: 8 seats; Western European and other States: 7 seats; Eastern European States: 6 seats</w:t>
      </w:r>
    </w:p>
  </w:footnote>
  <w:footnote w:id="964">
    <w:p w14:paraId="711152E1" w14:textId="77777777" w:rsidR="00431A55" w:rsidRPr="00A67D05" w:rsidRDefault="00431A55" w:rsidP="001C6724">
      <w:pPr>
        <w:pStyle w:val="FootnoteText"/>
        <w:rPr>
          <w:sz w:val="20"/>
          <w:szCs w:val="20"/>
          <w:vertAlign w:val="baseline"/>
          <w:lang w:val="en-US"/>
        </w:rPr>
      </w:pPr>
      <w:r w:rsidRPr="00A67D05">
        <w:rPr>
          <w:rStyle w:val="FootnoteReference"/>
          <w:sz w:val="20"/>
          <w:szCs w:val="20"/>
        </w:rPr>
        <w:footnoteRef/>
      </w:r>
      <w:r w:rsidRPr="00A67D05">
        <w:rPr>
          <w:sz w:val="20"/>
          <w:szCs w:val="20"/>
          <w:vertAlign w:val="baseline"/>
        </w:rPr>
        <w:t xml:space="preserve"> HRC ‘Institution-building of the United Nations Human Rights Council’ HRC Resolution 5/1 18 June 2007.</w:t>
      </w:r>
    </w:p>
  </w:footnote>
  <w:footnote w:id="965">
    <w:p w14:paraId="40A57D4C" w14:textId="77777777" w:rsidR="00431A55" w:rsidRPr="00A67D05" w:rsidRDefault="00431A55" w:rsidP="001C6724">
      <w:pPr>
        <w:pStyle w:val="FootnoteText"/>
        <w:rPr>
          <w:sz w:val="20"/>
          <w:szCs w:val="20"/>
          <w:vertAlign w:val="baseline"/>
          <w:lang w:val="en-US"/>
        </w:rPr>
      </w:pPr>
      <w:r w:rsidRPr="00A67D05">
        <w:rPr>
          <w:rStyle w:val="FootnoteReference"/>
          <w:sz w:val="20"/>
          <w:szCs w:val="20"/>
        </w:rPr>
        <w:footnoteRef/>
      </w:r>
      <w:r w:rsidRPr="00A67D05">
        <w:rPr>
          <w:sz w:val="20"/>
          <w:szCs w:val="20"/>
        </w:rPr>
        <w:t xml:space="preserve"> </w:t>
      </w:r>
      <w:r w:rsidRPr="00A67D05">
        <w:rPr>
          <w:sz w:val="20"/>
          <w:szCs w:val="20"/>
          <w:vertAlign w:val="baseline"/>
          <w:lang w:val="en-US"/>
        </w:rPr>
        <w:t>IHEU, ‘IHEU calls for better education and policing to eliminate witchcraft and witch “cures” in Africa’ (IHEU 22 September 2009) &lt;</w:t>
      </w:r>
      <w:hyperlink r:id="rId113" w:history="1">
        <w:r w:rsidRPr="00A67D05">
          <w:rPr>
            <w:rStyle w:val="Hyperlink"/>
            <w:sz w:val="20"/>
            <w:szCs w:val="20"/>
            <w:vertAlign w:val="baseline"/>
            <w:lang w:val="en-US"/>
          </w:rPr>
          <w:t>http://iheu.org/iheu-calls-better-education-and-policing-eliminate-witchcraft-and-witch-cures-africa/</w:t>
        </w:r>
      </w:hyperlink>
      <w:r w:rsidRPr="00A67D05">
        <w:rPr>
          <w:sz w:val="20"/>
          <w:szCs w:val="20"/>
          <w:vertAlign w:val="baseline"/>
          <w:lang w:val="en-US"/>
        </w:rPr>
        <w:t>&gt; accessed 17 June 2015</w:t>
      </w:r>
    </w:p>
  </w:footnote>
  <w:footnote w:id="966">
    <w:p w14:paraId="27C49451" w14:textId="5E3D09BD" w:rsidR="00431A55" w:rsidRPr="00A67D05" w:rsidRDefault="00431A55" w:rsidP="001C6724">
      <w:pPr>
        <w:rPr>
          <w:rFonts w:eastAsia="Times New Roman" w:cs="Times New Roman"/>
          <w:vertAlign w:val="baseline"/>
        </w:rPr>
      </w:pPr>
      <w:r w:rsidRPr="00A67D05">
        <w:rPr>
          <w:rStyle w:val="FootnoteReference"/>
          <w:bCs/>
        </w:rPr>
        <w:footnoteRef/>
      </w:r>
      <w:r w:rsidRPr="00A67D05">
        <w:rPr>
          <w:rFonts w:eastAsia="Times New Roman" w:cs="Arial"/>
          <w:b/>
          <w:bCs/>
          <w:vertAlign w:val="baseline"/>
        </w:rPr>
        <w:t xml:space="preserve"> </w:t>
      </w:r>
      <w:r w:rsidRPr="00A67D05">
        <w:rPr>
          <w:rFonts w:eastAsia="Times New Roman" w:cs="Arial"/>
          <w:vertAlign w:val="baseline"/>
        </w:rPr>
        <w:t>Women Enabled, ‘Our Work: Conventions and International Mechanisms: UN Human Rights Council: Femicide, Witchcraft Accusations and Women with</w:t>
      </w:r>
      <w:r>
        <w:rPr>
          <w:rFonts w:eastAsia="Times New Roman" w:cs="Arial"/>
          <w:vertAlign w:val="baseline"/>
        </w:rPr>
        <w:t xml:space="preserve"> Disabilities’ </w:t>
      </w:r>
      <w:r w:rsidRPr="00A67D05">
        <w:rPr>
          <w:rFonts w:eastAsia="Times New Roman" w:cs="Arial"/>
          <w:vertAlign w:val="baseline"/>
        </w:rPr>
        <w:t>10 March 2014 &lt;</w:t>
      </w:r>
      <w:hyperlink r:id="rId114" w:history="1">
        <w:r w:rsidRPr="00A67D05">
          <w:rPr>
            <w:rStyle w:val="Hyperlink"/>
            <w:vertAlign w:val="baseline"/>
          </w:rPr>
          <w:t>http://www.womenenabled.org/hrc.html</w:t>
        </w:r>
      </w:hyperlink>
      <w:r w:rsidRPr="00A67D05">
        <w:rPr>
          <w:vertAlign w:val="baseline"/>
        </w:rPr>
        <w:t xml:space="preserve">&gt; accessed 17 June 2015. Statements were heard </w:t>
      </w:r>
      <w:r>
        <w:rPr>
          <w:vertAlign w:val="baseline"/>
        </w:rPr>
        <w:t>from WHRIN, ‘</w:t>
      </w:r>
      <w:r w:rsidRPr="00A67D05">
        <w:rPr>
          <w:vertAlign w:val="baseline"/>
        </w:rPr>
        <w:t>2013 Global Report’</w:t>
      </w:r>
      <w:r>
        <w:rPr>
          <w:vertAlign w:val="baseline"/>
        </w:rPr>
        <w:t xml:space="preserve"> (n 372)</w:t>
      </w:r>
      <w:r w:rsidRPr="00A67D05">
        <w:rPr>
          <w:vertAlign w:val="baseline"/>
        </w:rPr>
        <w:t xml:space="preserve">; </w:t>
      </w:r>
      <w:r w:rsidRPr="00A67D05">
        <w:rPr>
          <w:rFonts w:eastAsia="Times New Roman" w:cs="Times New Roman"/>
          <w:vertAlign w:val="baseline"/>
        </w:rPr>
        <w:t>Marta Santos Pais, Special Representative of the UN Secretary-General on Violence Against Children; Bridget Sleap, Help-Age International Senior Rights Policy Adviser, ‘Witchcraft Issues &amp; Older Women, Widows;’ Jean La Fontaine, Anthropologist &amp; Expert on Witchcraft Accusations, London School of Economics; Zenabu Sakibu, Coordinator SOSYWEN of Ghana -"What I Used to Know: the Road to Ghana's Witches Camps" Film of SOSYWEN made with Zoe Young; Louise Meincke, Witchcraft &amp; Human Rights Advisor, ‘UN Response to Witchcraft Accusations, Mechanisms &amp; Follow Up;’ Stephanie Ortoleva, President of Women Enabled, ‘Targeting as Witches, Women &amp; Children with Disabilities’; Lois A. Herman, Coordinator WUNRN, Women's UN Report Network, ‘Power Point on Global Witchcraft Allegations’</w:t>
      </w:r>
    </w:p>
  </w:footnote>
  <w:footnote w:id="967">
    <w:p w14:paraId="3B7ABABF" w14:textId="5FA40D13" w:rsidR="00431A55" w:rsidRPr="00A67D05" w:rsidRDefault="00431A55" w:rsidP="001C6724">
      <w:pPr>
        <w:pStyle w:val="FootnoteText"/>
        <w:rPr>
          <w:sz w:val="20"/>
          <w:szCs w:val="20"/>
          <w:lang w:val="en-US"/>
        </w:rPr>
      </w:pPr>
      <w:r w:rsidRPr="00A67D05">
        <w:rPr>
          <w:rStyle w:val="FootnoteReference"/>
          <w:sz w:val="20"/>
          <w:szCs w:val="20"/>
        </w:rPr>
        <w:footnoteRef/>
      </w:r>
      <w:r w:rsidRPr="00A67D05">
        <w:rPr>
          <w:sz w:val="20"/>
          <w:szCs w:val="20"/>
        </w:rPr>
        <w:t xml:space="preserve"> </w:t>
      </w:r>
      <w:r w:rsidRPr="00A67D05">
        <w:rPr>
          <w:sz w:val="20"/>
          <w:szCs w:val="20"/>
          <w:vertAlign w:val="baseline"/>
          <w:lang w:val="en-US"/>
        </w:rPr>
        <w:t>Papua New Guinea, Ghana, Nigeria, Tanzania, India, Peru, Nepal and Burkina Faso</w:t>
      </w:r>
    </w:p>
  </w:footnote>
  <w:footnote w:id="968">
    <w:p w14:paraId="6E5B0AA0" w14:textId="017457E7" w:rsidR="00431A55" w:rsidRPr="00EA5553" w:rsidRDefault="00431A55" w:rsidP="001C6724">
      <w:pPr>
        <w:pStyle w:val="FootnoteText"/>
        <w:rPr>
          <w:sz w:val="20"/>
          <w:szCs w:val="20"/>
          <w:vertAlign w:val="baseline"/>
          <w:lang w:val="en-US"/>
        </w:rPr>
      </w:pPr>
      <w:r w:rsidRPr="00EA5553">
        <w:rPr>
          <w:rStyle w:val="FootnoteReference"/>
          <w:sz w:val="20"/>
          <w:szCs w:val="20"/>
        </w:rPr>
        <w:footnoteRef/>
      </w:r>
      <w:r w:rsidRPr="00EA5553">
        <w:rPr>
          <w:sz w:val="20"/>
          <w:szCs w:val="20"/>
        </w:rPr>
        <w:t xml:space="preserve"> </w:t>
      </w:r>
      <w:r w:rsidRPr="00EA5553">
        <w:rPr>
          <w:sz w:val="20"/>
          <w:szCs w:val="20"/>
          <w:vertAlign w:val="baseline"/>
          <w:lang w:val="en-US"/>
        </w:rPr>
        <w:t>HRC, ‘Report of the Human Rights Council Advisory Committee on the study on the situation of human rights of persons living w</w:t>
      </w:r>
      <w:r>
        <w:rPr>
          <w:sz w:val="20"/>
          <w:szCs w:val="20"/>
          <w:vertAlign w:val="baseline"/>
          <w:lang w:val="en-US"/>
        </w:rPr>
        <w:t xml:space="preserve">ith albinism’ </w:t>
      </w:r>
      <w:r w:rsidRPr="00EA5553">
        <w:rPr>
          <w:sz w:val="20"/>
          <w:szCs w:val="20"/>
          <w:vertAlign w:val="baseline"/>
          <w:lang w:val="en-US"/>
        </w:rPr>
        <w:t xml:space="preserve">10 February 2015 A/HRC/28/75 </w:t>
      </w:r>
    </w:p>
  </w:footnote>
  <w:footnote w:id="969">
    <w:p w14:paraId="35B382C7" w14:textId="7E7437E3" w:rsidR="00431A55" w:rsidRPr="00EA5553" w:rsidRDefault="00431A55" w:rsidP="001C6724">
      <w:pPr>
        <w:pStyle w:val="FootnoteText"/>
        <w:rPr>
          <w:sz w:val="20"/>
          <w:szCs w:val="20"/>
          <w:vertAlign w:val="baseline"/>
          <w:lang w:val="en-US"/>
        </w:rPr>
      </w:pPr>
      <w:r w:rsidRPr="00EA5553">
        <w:rPr>
          <w:rStyle w:val="FootnoteReference"/>
          <w:sz w:val="20"/>
          <w:szCs w:val="20"/>
        </w:rPr>
        <w:footnoteRef/>
      </w:r>
      <w:r w:rsidRPr="00EA5553">
        <w:rPr>
          <w:sz w:val="20"/>
          <w:szCs w:val="20"/>
        </w:rPr>
        <w:t xml:space="preserve"> </w:t>
      </w:r>
      <w:r>
        <w:rPr>
          <w:sz w:val="20"/>
          <w:szCs w:val="20"/>
          <w:vertAlign w:val="baseline"/>
          <w:lang w:val="en-US"/>
        </w:rPr>
        <w:t>ibid,</w:t>
      </w:r>
      <w:r w:rsidRPr="00EA5553">
        <w:rPr>
          <w:sz w:val="20"/>
          <w:szCs w:val="20"/>
          <w:vertAlign w:val="baseline"/>
          <w:lang w:val="en-US"/>
        </w:rPr>
        <w:t xml:space="preserve"> para 16</w:t>
      </w:r>
    </w:p>
  </w:footnote>
  <w:footnote w:id="970">
    <w:p w14:paraId="42ACE070" w14:textId="77777777" w:rsidR="00431A55" w:rsidRPr="00EA5553" w:rsidRDefault="00431A55" w:rsidP="001C6724">
      <w:pPr>
        <w:pStyle w:val="FootnoteText"/>
        <w:rPr>
          <w:sz w:val="20"/>
          <w:szCs w:val="20"/>
          <w:vertAlign w:val="baseline"/>
          <w:lang w:val="en-US"/>
        </w:rPr>
      </w:pPr>
      <w:r w:rsidRPr="00EA5553">
        <w:rPr>
          <w:rStyle w:val="FootnoteReference"/>
          <w:sz w:val="20"/>
          <w:szCs w:val="20"/>
        </w:rPr>
        <w:footnoteRef/>
      </w:r>
      <w:r w:rsidRPr="00EA5553">
        <w:rPr>
          <w:sz w:val="20"/>
          <w:szCs w:val="20"/>
        </w:rPr>
        <w:t xml:space="preserve"> </w:t>
      </w:r>
      <w:r w:rsidRPr="00EA5553">
        <w:rPr>
          <w:sz w:val="20"/>
          <w:szCs w:val="20"/>
          <w:vertAlign w:val="baseline"/>
          <w:lang w:val="en-US"/>
        </w:rPr>
        <w:t>Translated as ‘medicine murders.’ Muti is an African term for traditional medicine.</w:t>
      </w:r>
    </w:p>
  </w:footnote>
  <w:footnote w:id="971">
    <w:p w14:paraId="7D2B01D9" w14:textId="4A5B6AC1" w:rsidR="00431A55" w:rsidRPr="00EA5553" w:rsidRDefault="00431A55" w:rsidP="001C6724">
      <w:pPr>
        <w:pStyle w:val="FootnoteText"/>
        <w:rPr>
          <w:sz w:val="20"/>
          <w:szCs w:val="20"/>
          <w:vertAlign w:val="baseline"/>
          <w:lang w:val="en-US"/>
        </w:rPr>
      </w:pPr>
      <w:r w:rsidRPr="00EA5553">
        <w:rPr>
          <w:rStyle w:val="FootnoteReference"/>
          <w:sz w:val="20"/>
          <w:szCs w:val="20"/>
        </w:rPr>
        <w:footnoteRef/>
      </w:r>
      <w:r w:rsidRPr="00EA5553">
        <w:rPr>
          <w:sz w:val="20"/>
          <w:szCs w:val="20"/>
        </w:rPr>
        <w:t xml:space="preserve"> </w:t>
      </w:r>
      <w:r>
        <w:rPr>
          <w:sz w:val="20"/>
          <w:szCs w:val="20"/>
          <w:vertAlign w:val="baseline"/>
          <w:lang w:val="en-US"/>
        </w:rPr>
        <w:t>HRC, ‘Report</w:t>
      </w:r>
      <w:r w:rsidRPr="00EA5553">
        <w:rPr>
          <w:sz w:val="20"/>
          <w:szCs w:val="20"/>
          <w:vertAlign w:val="baseline"/>
          <w:lang w:val="en-US"/>
        </w:rPr>
        <w:t xml:space="preserve"> of persons living with albinism’</w:t>
      </w:r>
      <w:r>
        <w:rPr>
          <w:sz w:val="20"/>
          <w:szCs w:val="20"/>
          <w:vertAlign w:val="baseline"/>
          <w:lang w:val="en-US"/>
        </w:rPr>
        <w:t xml:space="preserve"> (n 968)</w:t>
      </w:r>
      <w:r w:rsidRPr="00EA5553">
        <w:rPr>
          <w:sz w:val="20"/>
          <w:szCs w:val="20"/>
          <w:vertAlign w:val="baseline"/>
          <w:lang w:val="en-US"/>
        </w:rPr>
        <w:t xml:space="preserve"> para 33</w:t>
      </w:r>
    </w:p>
  </w:footnote>
  <w:footnote w:id="972">
    <w:p w14:paraId="75F2E7E0" w14:textId="6DBDFBA8" w:rsidR="00431A55" w:rsidRPr="00EA5553" w:rsidRDefault="00431A55" w:rsidP="001C6724">
      <w:pPr>
        <w:pStyle w:val="FootnoteText"/>
        <w:rPr>
          <w:sz w:val="20"/>
          <w:szCs w:val="20"/>
          <w:vertAlign w:val="baseline"/>
          <w:lang w:val="en-US"/>
        </w:rPr>
      </w:pPr>
      <w:r w:rsidRPr="00EA5553">
        <w:rPr>
          <w:rStyle w:val="FootnoteReference"/>
          <w:sz w:val="20"/>
          <w:szCs w:val="20"/>
        </w:rPr>
        <w:footnoteRef/>
      </w:r>
      <w:r w:rsidRPr="00EA5553">
        <w:rPr>
          <w:sz w:val="20"/>
          <w:szCs w:val="20"/>
          <w:vertAlign w:val="baseline"/>
        </w:rPr>
        <w:t xml:space="preserve"> </w:t>
      </w:r>
      <w:r>
        <w:rPr>
          <w:sz w:val="20"/>
          <w:szCs w:val="20"/>
          <w:vertAlign w:val="baseline"/>
          <w:lang w:val="en-US"/>
        </w:rPr>
        <w:t>ibid,</w:t>
      </w:r>
      <w:r w:rsidRPr="00EA5553">
        <w:rPr>
          <w:sz w:val="20"/>
          <w:szCs w:val="20"/>
          <w:vertAlign w:val="baseline"/>
          <w:lang w:val="en-US"/>
        </w:rPr>
        <w:t xml:space="preserve"> para 63</w:t>
      </w:r>
    </w:p>
  </w:footnote>
  <w:footnote w:id="973">
    <w:p w14:paraId="02B67AEF" w14:textId="5399E170" w:rsidR="00431A55" w:rsidRPr="00103966" w:rsidRDefault="00431A55" w:rsidP="001C6724">
      <w:pPr>
        <w:pStyle w:val="FootnoteText"/>
        <w:rPr>
          <w:lang w:val="en-US"/>
        </w:rPr>
      </w:pPr>
      <w:r w:rsidRPr="00C34567">
        <w:rPr>
          <w:rStyle w:val="FootnoteReference"/>
          <w:sz w:val="20"/>
          <w:szCs w:val="20"/>
        </w:rPr>
        <w:footnoteRef/>
      </w:r>
      <w:r w:rsidRPr="00EA5553">
        <w:rPr>
          <w:sz w:val="20"/>
          <w:szCs w:val="20"/>
          <w:vertAlign w:val="baseline"/>
        </w:rPr>
        <w:t xml:space="preserve"> </w:t>
      </w:r>
      <w:r>
        <w:rPr>
          <w:sz w:val="20"/>
          <w:szCs w:val="20"/>
          <w:vertAlign w:val="baseline"/>
          <w:lang w:val="en-US"/>
        </w:rPr>
        <w:t>ibid</w:t>
      </w:r>
      <w:r w:rsidRPr="00EA5553">
        <w:rPr>
          <w:sz w:val="20"/>
          <w:szCs w:val="20"/>
          <w:vertAlign w:val="baseline"/>
          <w:lang w:val="en-US"/>
        </w:rPr>
        <w:t>, para 64</w:t>
      </w:r>
    </w:p>
  </w:footnote>
  <w:footnote w:id="974">
    <w:p w14:paraId="2D96CE5C" w14:textId="0D527DFC" w:rsidR="00431A55" w:rsidRPr="00472E34" w:rsidRDefault="00431A55" w:rsidP="001C6724">
      <w:pPr>
        <w:pStyle w:val="FootnoteText"/>
        <w:rPr>
          <w:sz w:val="20"/>
          <w:szCs w:val="20"/>
          <w:vertAlign w:val="baseline"/>
          <w:lang w:val="en-US"/>
        </w:rPr>
      </w:pPr>
      <w:r w:rsidRPr="000B651D">
        <w:rPr>
          <w:rStyle w:val="FootnoteReference"/>
          <w:sz w:val="20"/>
          <w:szCs w:val="20"/>
        </w:rPr>
        <w:footnoteRef/>
      </w:r>
      <w:r w:rsidRPr="00472E34">
        <w:rPr>
          <w:sz w:val="20"/>
          <w:szCs w:val="20"/>
          <w:vertAlign w:val="baseline"/>
        </w:rPr>
        <w:t xml:space="preserve"> </w:t>
      </w:r>
      <w:r w:rsidRPr="00472E34">
        <w:rPr>
          <w:sz w:val="20"/>
          <w:szCs w:val="20"/>
          <w:vertAlign w:val="baseline"/>
          <w:lang w:val="en-US"/>
        </w:rPr>
        <w:t>HRC, ‘Initiatives taken to raise awareness and promote the protection of the rights of persons with albinism’ 12 June 2015 A/HRC/29/CRP.2</w:t>
      </w:r>
    </w:p>
  </w:footnote>
  <w:footnote w:id="975">
    <w:p w14:paraId="0D77675C" w14:textId="6DB25D18" w:rsidR="00431A55" w:rsidRPr="00472E34" w:rsidRDefault="00431A55" w:rsidP="001C6724">
      <w:pPr>
        <w:pStyle w:val="FootnoteText"/>
        <w:rPr>
          <w:sz w:val="20"/>
          <w:szCs w:val="20"/>
          <w:vertAlign w:val="baseline"/>
          <w:lang w:val="en-US"/>
        </w:rPr>
      </w:pPr>
      <w:r w:rsidRPr="000B651D">
        <w:rPr>
          <w:rStyle w:val="FootnoteReference"/>
          <w:sz w:val="20"/>
          <w:szCs w:val="20"/>
        </w:rPr>
        <w:footnoteRef/>
      </w:r>
      <w:r w:rsidRPr="000B651D">
        <w:rPr>
          <w:sz w:val="20"/>
          <w:szCs w:val="20"/>
        </w:rPr>
        <w:t xml:space="preserve"> </w:t>
      </w:r>
      <w:r>
        <w:rPr>
          <w:sz w:val="20"/>
          <w:szCs w:val="20"/>
          <w:vertAlign w:val="baseline"/>
          <w:lang w:val="en-US"/>
        </w:rPr>
        <w:t>ibid,</w:t>
      </w:r>
      <w:r w:rsidRPr="00472E34">
        <w:rPr>
          <w:sz w:val="20"/>
          <w:szCs w:val="20"/>
          <w:vertAlign w:val="baseline"/>
          <w:lang w:val="en-US"/>
        </w:rPr>
        <w:t xml:space="preserve"> para 15</w:t>
      </w:r>
    </w:p>
  </w:footnote>
  <w:footnote w:id="976">
    <w:p w14:paraId="38C4E6ED" w14:textId="77777777" w:rsidR="00431A55" w:rsidRPr="00472E34" w:rsidRDefault="00431A55" w:rsidP="001C6724">
      <w:pPr>
        <w:pStyle w:val="FootnoteText"/>
        <w:rPr>
          <w:sz w:val="20"/>
          <w:szCs w:val="20"/>
          <w:vertAlign w:val="baseline"/>
          <w:lang w:val="en-US"/>
        </w:rPr>
      </w:pPr>
      <w:r w:rsidRPr="000B651D">
        <w:rPr>
          <w:rStyle w:val="FootnoteReference"/>
          <w:sz w:val="20"/>
          <w:szCs w:val="20"/>
        </w:rPr>
        <w:footnoteRef/>
      </w:r>
      <w:r w:rsidRPr="000B651D">
        <w:rPr>
          <w:sz w:val="20"/>
          <w:szCs w:val="20"/>
        </w:rPr>
        <w:t xml:space="preserve"> </w:t>
      </w:r>
      <w:r w:rsidRPr="00472E34">
        <w:rPr>
          <w:sz w:val="20"/>
          <w:szCs w:val="20"/>
          <w:vertAlign w:val="baseline"/>
        </w:rPr>
        <w:t xml:space="preserve">HRC </w:t>
      </w:r>
      <w:r w:rsidRPr="00472E34">
        <w:rPr>
          <w:sz w:val="20"/>
          <w:szCs w:val="20"/>
          <w:vertAlign w:val="baseline"/>
          <w:lang w:val="en-US"/>
        </w:rPr>
        <w:t>Resolution 23/13 ‘Attacks and discrimination against persons with Albinism’ adopted June 2013 A/HRC/RES/23/13; HRC Resolution 24/33 ‘Technical cooperation for the prevention of attacks against persons with albinism’ adopted 27 September 2013 A/HRC/RES/24/33; HRC Resolution 26/10 ‘International Albinism Awareness Day’ adopted 26 June 2014 A/HRC/RES/26/10; HRC Resolution 28/6 ‘Independent Expert on the enjoyment of human rights by persons with Albinism’ adopted 26 March 2015 A/HRC/RES/28/6</w:t>
      </w:r>
    </w:p>
  </w:footnote>
  <w:footnote w:id="977">
    <w:p w14:paraId="74DBD5E8" w14:textId="2093199A" w:rsidR="00431A55" w:rsidRPr="00D177D0" w:rsidRDefault="00431A55" w:rsidP="001C6724">
      <w:pPr>
        <w:pStyle w:val="FootnoteText"/>
        <w:rPr>
          <w:lang w:val="en-US"/>
        </w:rPr>
      </w:pPr>
      <w:r w:rsidRPr="000B651D">
        <w:rPr>
          <w:rStyle w:val="FootnoteReference"/>
          <w:sz w:val="20"/>
          <w:szCs w:val="20"/>
        </w:rPr>
        <w:footnoteRef/>
      </w:r>
      <w:r w:rsidRPr="000B651D">
        <w:rPr>
          <w:sz w:val="20"/>
          <w:szCs w:val="20"/>
        </w:rPr>
        <w:t xml:space="preserve"> </w:t>
      </w:r>
      <w:r w:rsidRPr="00472E34">
        <w:rPr>
          <w:sz w:val="20"/>
          <w:szCs w:val="20"/>
          <w:vertAlign w:val="baseline"/>
          <w:lang w:val="en-US"/>
        </w:rPr>
        <w:t xml:space="preserve">HRC, ‘Initiatives taken </w:t>
      </w:r>
      <w:r>
        <w:rPr>
          <w:sz w:val="20"/>
          <w:szCs w:val="20"/>
          <w:vertAlign w:val="baseline"/>
          <w:lang w:val="en-US"/>
        </w:rPr>
        <w:t>on</w:t>
      </w:r>
      <w:r w:rsidRPr="00472E34">
        <w:rPr>
          <w:sz w:val="20"/>
          <w:szCs w:val="20"/>
          <w:vertAlign w:val="baseline"/>
          <w:lang w:val="en-US"/>
        </w:rPr>
        <w:t xml:space="preserve"> rights of persons with albinism’ </w:t>
      </w:r>
      <w:r>
        <w:rPr>
          <w:sz w:val="20"/>
          <w:szCs w:val="20"/>
          <w:vertAlign w:val="baseline"/>
          <w:lang w:val="en-US"/>
        </w:rPr>
        <w:t xml:space="preserve">(n 968) </w:t>
      </w:r>
      <w:r w:rsidRPr="00472E34">
        <w:rPr>
          <w:sz w:val="20"/>
          <w:szCs w:val="20"/>
          <w:vertAlign w:val="baseline"/>
          <w:lang w:val="en-US"/>
        </w:rPr>
        <w:t>para 33</w:t>
      </w:r>
    </w:p>
  </w:footnote>
  <w:footnote w:id="978">
    <w:p w14:paraId="4E885496" w14:textId="77777777" w:rsidR="00431A55" w:rsidRPr="00212F46" w:rsidRDefault="00431A55" w:rsidP="00F4338A">
      <w:pPr>
        <w:pStyle w:val="FootnoteText"/>
        <w:rPr>
          <w:sz w:val="20"/>
          <w:szCs w:val="20"/>
          <w:vertAlign w:val="baseline"/>
          <w:lang w:val="en-US"/>
        </w:rPr>
      </w:pPr>
      <w:r w:rsidRPr="00BA36F0">
        <w:rPr>
          <w:rStyle w:val="FootnoteReference"/>
          <w:sz w:val="20"/>
          <w:szCs w:val="20"/>
        </w:rPr>
        <w:footnoteRef/>
      </w:r>
      <w:r w:rsidRPr="00BA36F0">
        <w:rPr>
          <w:sz w:val="20"/>
          <w:szCs w:val="20"/>
        </w:rPr>
        <w:t xml:space="preserve"> </w:t>
      </w:r>
      <w:r w:rsidRPr="00212F46">
        <w:rPr>
          <w:sz w:val="20"/>
          <w:szCs w:val="20"/>
          <w:vertAlign w:val="baseline"/>
          <w:lang w:val="en-US"/>
        </w:rPr>
        <w:t>‘Special Procedures of the Human Rights Council’ (</w:t>
      </w:r>
      <w:r w:rsidRPr="00212F46">
        <w:rPr>
          <w:i/>
          <w:sz w:val="20"/>
          <w:szCs w:val="20"/>
          <w:vertAlign w:val="baseline"/>
          <w:lang w:val="en-US"/>
        </w:rPr>
        <w:t>OHCHR</w:t>
      </w:r>
      <w:r w:rsidRPr="00212F46">
        <w:rPr>
          <w:sz w:val="20"/>
          <w:szCs w:val="20"/>
          <w:vertAlign w:val="baseline"/>
          <w:lang w:val="en-US"/>
        </w:rPr>
        <w:t>) &lt;</w:t>
      </w:r>
      <w:hyperlink r:id="rId115" w:history="1">
        <w:r w:rsidRPr="00212F46">
          <w:rPr>
            <w:rStyle w:val="Hyperlink"/>
            <w:sz w:val="20"/>
            <w:szCs w:val="20"/>
            <w:vertAlign w:val="baseline"/>
            <w:lang w:val="en-US"/>
          </w:rPr>
          <w:t>http://www.ohchr.org/EN/HRBodies/SP/Pages/Introduction.aspx</w:t>
        </w:r>
      </w:hyperlink>
      <w:r w:rsidRPr="00212F46">
        <w:rPr>
          <w:sz w:val="20"/>
          <w:szCs w:val="20"/>
          <w:vertAlign w:val="baseline"/>
          <w:lang w:val="en-US"/>
        </w:rPr>
        <w:t>&gt; accessed 2 June 2015</w:t>
      </w:r>
    </w:p>
  </w:footnote>
  <w:footnote w:id="979">
    <w:p w14:paraId="496FD6FC" w14:textId="6356E1DD" w:rsidR="00431A55" w:rsidRPr="00E3663D" w:rsidRDefault="00431A55" w:rsidP="00E3663D">
      <w:pPr>
        <w:pStyle w:val="NoSpacing"/>
        <w:rPr>
          <w:rFonts w:ascii="Times" w:hAnsi="Times"/>
          <w:vertAlign w:val="baseline"/>
        </w:rPr>
      </w:pPr>
      <w:r w:rsidRPr="00555D2A">
        <w:rPr>
          <w:rStyle w:val="FootnoteReference"/>
        </w:rPr>
        <w:footnoteRef/>
      </w:r>
      <w:r w:rsidRPr="00555D2A">
        <w:t xml:space="preserve"> </w:t>
      </w:r>
      <w:r>
        <w:rPr>
          <w:vertAlign w:val="baseline"/>
        </w:rPr>
        <w:t>Current SR on VAW is Dubravka</w:t>
      </w:r>
      <w:r w:rsidRPr="00555D2A">
        <w:rPr>
          <w:shd w:val="clear" w:color="auto" w:fill="FFFFFF"/>
        </w:rPr>
        <w:t xml:space="preserve"> </w:t>
      </w:r>
      <w:r w:rsidRPr="00555D2A">
        <w:rPr>
          <w:shd w:val="clear" w:color="auto" w:fill="FFFFFF"/>
          <w:vertAlign w:val="baseline"/>
        </w:rPr>
        <w:t>Šimonović</w:t>
      </w:r>
      <w:r>
        <w:rPr>
          <w:shd w:val="clear" w:color="auto" w:fill="FFFFFF"/>
          <w:vertAlign w:val="baseline"/>
        </w:rPr>
        <w:t xml:space="preserve"> appointed 1 August 2015.</w:t>
      </w:r>
    </w:p>
  </w:footnote>
  <w:footnote w:id="980">
    <w:p w14:paraId="2334FE9A" w14:textId="47F7C367" w:rsidR="00431A55" w:rsidRPr="00E3663D" w:rsidRDefault="00431A55">
      <w:pPr>
        <w:pStyle w:val="FootnoteText"/>
        <w:rPr>
          <w:sz w:val="20"/>
          <w:szCs w:val="20"/>
          <w:vertAlign w:val="baseline"/>
          <w:lang w:val="en-US"/>
        </w:rPr>
      </w:pPr>
      <w:r w:rsidRPr="00E3663D">
        <w:rPr>
          <w:rStyle w:val="FootnoteReference"/>
          <w:sz w:val="20"/>
          <w:szCs w:val="20"/>
        </w:rPr>
        <w:footnoteRef/>
      </w:r>
      <w:r w:rsidRPr="00E3663D">
        <w:rPr>
          <w:sz w:val="20"/>
          <w:szCs w:val="20"/>
        </w:rPr>
        <w:t xml:space="preserve"> </w:t>
      </w:r>
      <w:r>
        <w:rPr>
          <w:sz w:val="20"/>
          <w:szCs w:val="20"/>
          <w:vertAlign w:val="baseline"/>
        </w:rPr>
        <w:t>Current SR on Torture is Juan E Mendez, appointed 1 November 2010, mandate extended until 2016</w:t>
      </w:r>
    </w:p>
  </w:footnote>
  <w:footnote w:id="981">
    <w:p w14:paraId="7457B49B" w14:textId="5621BDEC" w:rsidR="00431A55" w:rsidRPr="00E3663D" w:rsidRDefault="00431A55">
      <w:pPr>
        <w:pStyle w:val="FootnoteText"/>
        <w:rPr>
          <w:vertAlign w:val="baseline"/>
          <w:lang w:val="en-US"/>
        </w:rPr>
      </w:pPr>
      <w:r w:rsidRPr="00E3663D">
        <w:rPr>
          <w:rStyle w:val="FootnoteReference"/>
          <w:sz w:val="20"/>
          <w:szCs w:val="20"/>
        </w:rPr>
        <w:footnoteRef/>
      </w:r>
      <w:r>
        <w:t xml:space="preserve"> </w:t>
      </w:r>
      <w:r w:rsidRPr="00E3663D">
        <w:rPr>
          <w:sz w:val="20"/>
          <w:szCs w:val="20"/>
          <w:vertAlign w:val="baseline"/>
        </w:rPr>
        <w:t xml:space="preserve">Current </w:t>
      </w:r>
      <w:r>
        <w:rPr>
          <w:sz w:val="20"/>
          <w:szCs w:val="20"/>
          <w:vertAlign w:val="baseline"/>
        </w:rPr>
        <w:t>SR on Arbitrary Executions is Christof Heynes, appointed 1 August 2010, mandate extended until 2016</w:t>
      </w:r>
    </w:p>
  </w:footnote>
  <w:footnote w:id="982">
    <w:p w14:paraId="16AE46E5" w14:textId="0CFDEDFD" w:rsidR="00431A55" w:rsidRPr="00212F46" w:rsidRDefault="00431A55" w:rsidP="00F4338A">
      <w:pPr>
        <w:pStyle w:val="FootnoteText"/>
        <w:rPr>
          <w:sz w:val="20"/>
          <w:szCs w:val="20"/>
          <w:vertAlign w:val="baseline"/>
          <w:lang w:val="en-US"/>
        </w:rPr>
      </w:pPr>
      <w:r w:rsidRPr="00212F46">
        <w:rPr>
          <w:rStyle w:val="FootnoteReference"/>
          <w:sz w:val="20"/>
          <w:szCs w:val="20"/>
        </w:rPr>
        <w:footnoteRef/>
      </w:r>
      <w:r w:rsidRPr="00212F46">
        <w:rPr>
          <w:sz w:val="20"/>
          <w:szCs w:val="20"/>
        </w:rPr>
        <w:t xml:space="preserve"> </w:t>
      </w:r>
      <w:r w:rsidRPr="00212F46">
        <w:rPr>
          <w:sz w:val="20"/>
          <w:szCs w:val="20"/>
          <w:vertAlign w:val="baseline"/>
        </w:rPr>
        <w:t xml:space="preserve">Commission on Human Rights, ‘Question of integrating the rights of women into the human rights mechanisms of the United Nations and the elimination of violence against women’ </w:t>
      </w:r>
      <w:r>
        <w:rPr>
          <w:sz w:val="20"/>
          <w:szCs w:val="20"/>
          <w:vertAlign w:val="baseline"/>
        </w:rPr>
        <w:t>(OHCHR 1994) Resolution 1994/45</w:t>
      </w:r>
    </w:p>
  </w:footnote>
  <w:footnote w:id="983">
    <w:p w14:paraId="1E96805F" w14:textId="0EC1E687" w:rsidR="00431A55" w:rsidRPr="00E41D97" w:rsidRDefault="00431A55">
      <w:pPr>
        <w:pStyle w:val="FootnoteText"/>
        <w:rPr>
          <w:sz w:val="20"/>
          <w:szCs w:val="20"/>
          <w:vertAlign w:val="baseline"/>
          <w:lang w:val="en-US"/>
        </w:rPr>
      </w:pPr>
      <w:r w:rsidRPr="00E41D97">
        <w:rPr>
          <w:rStyle w:val="FootnoteReference"/>
          <w:sz w:val="20"/>
          <w:szCs w:val="20"/>
        </w:rPr>
        <w:footnoteRef/>
      </w:r>
      <w:r w:rsidRPr="00E41D97">
        <w:rPr>
          <w:sz w:val="20"/>
          <w:szCs w:val="20"/>
        </w:rPr>
        <w:t xml:space="preserve"> </w:t>
      </w:r>
      <w:r>
        <w:rPr>
          <w:sz w:val="20"/>
          <w:szCs w:val="20"/>
          <w:vertAlign w:val="baseline"/>
        </w:rPr>
        <w:t>Section 4.4</w:t>
      </w:r>
    </w:p>
  </w:footnote>
  <w:footnote w:id="984">
    <w:p w14:paraId="6A5F2E84" w14:textId="6A9034E0" w:rsidR="00431A55" w:rsidRPr="00212F46" w:rsidRDefault="00431A55" w:rsidP="00F4338A">
      <w:pPr>
        <w:rPr>
          <w:rFonts w:ascii="Times" w:eastAsia="Times New Roman" w:hAnsi="Times" w:cs="Times New Roman"/>
          <w:vertAlign w:val="baseline"/>
        </w:rPr>
      </w:pPr>
      <w:r w:rsidRPr="00212F46">
        <w:rPr>
          <w:rStyle w:val="FootnoteReference"/>
        </w:rPr>
        <w:footnoteRef/>
      </w:r>
      <w:r w:rsidRPr="00212F46">
        <w:t xml:space="preserve"> </w:t>
      </w:r>
      <w:r w:rsidRPr="00212F46">
        <w:rPr>
          <w:vertAlign w:val="baseline"/>
        </w:rPr>
        <w:t>HRC, ‘</w:t>
      </w:r>
      <w:r w:rsidRPr="00212F46">
        <w:rPr>
          <w:rFonts w:eastAsia="Times New Roman" w:cs="Times New Roman"/>
          <w:vertAlign w:val="baseline"/>
        </w:rPr>
        <w:t xml:space="preserve">Manfred Nowak: Mission to Nepal’ </w:t>
      </w:r>
      <w:r>
        <w:rPr>
          <w:rFonts w:eastAsia="Times New Roman" w:cs="Times New Roman"/>
          <w:vertAlign w:val="baseline"/>
        </w:rPr>
        <w:t>(n 602)</w:t>
      </w:r>
    </w:p>
  </w:footnote>
  <w:footnote w:id="985">
    <w:p w14:paraId="6088661A" w14:textId="4EA1496F" w:rsidR="00431A55" w:rsidRPr="00212F46" w:rsidRDefault="00431A55" w:rsidP="00F4338A">
      <w:pPr>
        <w:pStyle w:val="FootnoteText"/>
        <w:rPr>
          <w:sz w:val="20"/>
          <w:szCs w:val="20"/>
          <w:vertAlign w:val="baseline"/>
          <w:lang w:val="en-US"/>
        </w:rPr>
      </w:pPr>
      <w:r w:rsidRPr="00212F46">
        <w:rPr>
          <w:rStyle w:val="FootnoteReference"/>
          <w:sz w:val="20"/>
          <w:szCs w:val="20"/>
        </w:rPr>
        <w:footnoteRef/>
      </w:r>
      <w:r w:rsidRPr="00212F46">
        <w:rPr>
          <w:sz w:val="20"/>
          <w:szCs w:val="20"/>
        </w:rPr>
        <w:t xml:space="preserve"> </w:t>
      </w:r>
      <w:r w:rsidRPr="00212F46">
        <w:rPr>
          <w:sz w:val="20"/>
          <w:szCs w:val="20"/>
          <w:vertAlign w:val="baseline"/>
        </w:rPr>
        <w:t>HRC, ‘</w:t>
      </w:r>
      <w:r w:rsidRPr="00212F46">
        <w:rPr>
          <w:rFonts w:eastAsia="Times New Roman" w:cs="Times New Roman"/>
          <w:sz w:val="20"/>
          <w:szCs w:val="20"/>
          <w:vertAlign w:val="baseline"/>
        </w:rPr>
        <w:t xml:space="preserve">Mission to Papua New Guinea’ </w:t>
      </w:r>
      <w:r>
        <w:rPr>
          <w:rFonts w:eastAsia="Times New Roman" w:cs="Times New Roman"/>
          <w:sz w:val="20"/>
          <w:szCs w:val="20"/>
          <w:vertAlign w:val="baseline"/>
        </w:rPr>
        <w:t>(n 613)</w:t>
      </w:r>
    </w:p>
  </w:footnote>
  <w:footnote w:id="986">
    <w:p w14:paraId="6BC1DFB7" w14:textId="30ADA5AE" w:rsidR="00431A55" w:rsidRPr="00212F46" w:rsidRDefault="00431A55" w:rsidP="00F4338A">
      <w:pPr>
        <w:pStyle w:val="FootnoteText"/>
        <w:rPr>
          <w:sz w:val="20"/>
          <w:szCs w:val="20"/>
          <w:vertAlign w:val="baseline"/>
          <w:lang w:val="en-US"/>
        </w:rPr>
      </w:pPr>
      <w:r w:rsidRPr="00212F46">
        <w:rPr>
          <w:rStyle w:val="FootnoteReference"/>
          <w:sz w:val="20"/>
          <w:szCs w:val="20"/>
        </w:rPr>
        <w:footnoteRef/>
      </w:r>
      <w:r w:rsidRPr="00212F46">
        <w:rPr>
          <w:sz w:val="20"/>
          <w:szCs w:val="20"/>
          <w:vertAlign w:val="baseline"/>
        </w:rPr>
        <w:t xml:space="preserve"> HRC, ‘</w:t>
      </w:r>
      <w:r w:rsidRPr="00212F46">
        <w:rPr>
          <w:rFonts w:eastAsia="Times New Roman" w:cs="Times New Roman"/>
          <w:sz w:val="20"/>
          <w:szCs w:val="20"/>
          <w:vertAlign w:val="baseline"/>
        </w:rPr>
        <w:t>Juan</w:t>
      </w:r>
      <w:r>
        <w:rPr>
          <w:rFonts w:eastAsia="Times New Roman" w:cs="Times New Roman"/>
          <w:sz w:val="20"/>
          <w:szCs w:val="20"/>
          <w:vertAlign w:val="baseline"/>
        </w:rPr>
        <w:t xml:space="preserve"> E. Mendez: Mission to Ghana’ (n 476)</w:t>
      </w:r>
    </w:p>
  </w:footnote>
  <w:footnote w:id="987">
    <w:p w14:paraId="07B05B62" w14:textId="77777777" w:rsidR="00431A55" w:rsidRPr="00CC3638" w:rsidRDefault="00431A55" w:rsidP="00F4338A">
      <w:pPr>
        <w:pStyle w:val="FootnoteText"/>
        <w:rPr>
          <w:lang w:val="en-US"/>
        </w:rPr>
      </w:pPr>
      <w:r w:rsidRPr="00212F46">
        <w:rPr>
          <w:rStyle w:val="FootnoteReference"/>
          <w:sz w:val="20"/>
          <w:szCs w:val="20"/>
        </w:rPr>
        <w:footnoteRef/>
      </w:r>
      <w:r w:rsidRPr="00212F46">
        <w:rPr>
          <w:sz w:val="20"/>
          <w:szCs w:val="20"/>
          <w:vertAlign w:val="baseline"/>
        </w:rPr>
        <w:t xml:space="preserve"> </w:t>
      </w:r>
      <w:r w:rsidRPr="00212F46">
        <w:rPr>
          <w:sz w:val="20"/>
          <w:szCs w:val="20"/>
          <w:vertAlign w:val="baseline"/>
          <w:lang w:val="en-US"/>
        </w:rPr>
        <w:t xml:space="preserve">Juan E. Mendez as quoted in ‘Not adverse to visits by UN Special Rapporteurs: India’ </w:t>
      </w:r>
      <w:r w:rsidRPr="00212F46">
        <w:rPr>
          <w:i/>
          <w:sz w:val="20"/>
          <w:szCs w:val="20"/>
          <w:vertAlign w:val="baseline"/>
          <w:lang w:val="en-US"/>
        </w:rPr>
        <w:t xml:space="preserve">The Economic Times </w:t>
      </w:r>
      <w:r w:rsidRPr="00212F46">
        <w:rPr>
          <w:sz w:val="20"/>
          <w:szCs w:val="20"/>
          <w:vertAlign w:val="baseline"/>
          <w:lang w:val="en-US"/>
        </w:rPr>
        <w:t>(India, 12 March 2015) &lt;</w:t>
      </w:r>
      <w:hyperlink r:id="rId116" w:history="1">
        <w:r w:rsidRPr="00212F46">
          <w:rPr>
            <w:rStyle w:val="Hyperlink"/>
            <w:sz w:val="20"/>
            <w:szCs w:val="20"/>
            <w:vertAlign w:val="baseline"/>
            <w:lang w:val="en-US"/>
          </w:rPr>
          <w:t>http://articles.economictimes.indiatimes.com/2015-03-12/news/60047860_1_requests-india-human-rights-council</w:t>
        </w:r>
      </w:hyperlink>
      <w:r w:rsidRPr="00212F46">
        <w:rPr>
          <w:sz w:val="20"/>
          <w:szCs w:val="20"/>
          <w:vertAlign w:val="baseline"/>
          <w:lang w:val="en-US"/>
        </w:rPr>
        <w:t>&gt; accessed 29 June 2015</w:t>
      </w:r>
    </w:p>
  </w:footnote>
  <w:footnote w:id="988">
    <w:p w14:paraId="0C8A0F1F" w14:textId="4EE24874" w:rsidR="00431A55" w:rsidRPr="00293278" w:rsidRDefault="00431A55">
      <w:pPr>
        <w:pStyle w:val="FootnoteText"/>
        <w:rPr>
          <w:sz w:val="20"/>
          <w:szCs w:val="20"/>
          <w:vertAlign w:val="baseline"/>
          <w:lang w:val="en-US"/>
        </w:rPr>
      </w:pPr>
      <w:r w:rsidRPr="00293278">
        <w:rPr>
          <w:rStyle w:val="FootnoteReference"/>
          <w:sz w:val="20"/>
          <w:szCs w:val="20"/>
        </w:rPr>
        <w:footnoteRef/>
      </w:r>
      <w:r w:rsidRPr="00293278">
        <w:rPr>
          <w:sz w:val="20"/>
          <w:szCs w:val="20"/>
        </w:rPr>
        <w:t xml:space="preserve"> </w:t>
      </w:r>
      <w:r>
        <w:rPr>
          <w:sz w:val="20"/>
          <w:szCs w:val="20"/>
          <w:vertAlign w:val="baseline"/>
        </w:rPr>
        <w:t>Section 4.4</w:t>
      </w:r>
    </w:p>
  </w:footnote>
  <w:footnote w:id="989">
    <w:p w14:paraId="13AE614C" w14:textId="16C1C67D" w:rsidR="00431A55" w:rsidRPr="00293278" w:rsidRDefault="00431A55" w:rsidP="00F4338A">
      <w:pPr>
        <w:pStyle w:val="FootnoteText"/>
        <w:rPr>
          <w:sz w:val="20"/>
          <w:szCs w:val="20"/>
          <w:vertAlign w:val="baseline"/>
          <w:lang w:val="en-US"/>
        </w:rPr>
      </w:pPr>
      <w:r w:rsidRPr="00293278">
        <w:rPr>
          <w:rStyle w:val="FootnoteReference"/>
          <w:sz w:val="20"/>
          <w:szCs w:val="20"/>
        </w:rPr>
        <w:footnoteRef/>
      </w:r>
      <w:r w:rsidRPr="00293278">
        <w:rPr>
          <w:sz w:val="20"/>
          <w:szCs w:val="20"/>
        </w:rPr>
        <w:t xml:space="preserve"> </w:t>
      </w:r>
      <w:r w:rsidRPr="00212F46">
        <w:rPr>
          <w:sz w:val="20"/>
          <w:szCs w:val="20"/>
          <w:vertAlign w:val="baseline"/>
        </w:rPr>
        <w:t>HRC, ‘</w:t>
      </w:r>
      <w:r w:rsidRPr="00212F46">
        <w:rPr>
          <w:rFonts w:eastAsia="Times New Roman" w:cs="Times New Roman"/>
          <w:sz w:val="20"/>
          <w:szCs w:val="20"/>
          <w:vertAlign w:val="baseline"/>
        </w:rPr>
        <w:t>Juan</w:t>
      </w:r>
      <w:r>
        <w:rPr>
          <w:rFonts w:eastAsia="Times New Roman" w:cs="Times New Roman"/>
          <w:sz w:val="20"/>
          <w:szCs w:val="20"/>
          <w:vertAlign w:val="baseline"/>
        </w:rPr>
        <w:t xml:space="preserve"> E. Mendez: Mission to Ghana’ (n 476) </w:t>
      </w:r>
      <w:r w:rsidRPr="00293278">
        <w:rPr>
          <w:rFonts w:eastAsia="Times New Roman" w:cs="Times New Roman"/>
          <w:sz w:val="20"/>
          <w:szCs w:val="20"/>
          <w:vertAlign w:val="baseline"/>
        </w:rPr>
        <w:t>para 107(e)</w:t>
      </w:r>
    </w:p>
  </w:footnote>
  <w:footnote w:id="990">
    <w:p w14:paraId="27EB795E" w14:textId="365864A6" w:rsidR="00431A55" w:rsidRPr="00192829" w:rsidRDefault="00431A55">
      <w:pPr>
        <w:pStyle w:val="FootnoteText"/>
        <w:rPr>
          <w:sz w:val="20"/>
          <w:szCs w:val="20"/>
          <w:vertAlign w:val="baseline"/>
          <w:lang w:val="en-US"/>
        </w:rPr>
      </w:pPr>
      <w:r w:rsidRPr="00192829">
        <w:rPr>
          <w:rStyle w:val="FootnoteReference"/>
          <w:sz w:val="20"/>
          <w:szCs w:val="20"/>
        </w:rPr>
        <w:footnoteRef/>
      </w:r>
      <w:r w:rsidRPr="00192829">
        <w:rPr>
          <w:sz w:val="20"/>
          <w:szCs w:val="20"/>
        </w:rPr>
        <w:t xml:space="preserve"> </w:t>
      </w:r>
      <w:r w:rsidRPr="00192829">
        <w:rPr>
          <w:sz w:val="20"/>
          <w:szCs w:val="20"/>
          <w:vertAlign w:val="baseline"/>
        </w:rPr>
        <w:t>HRC, ‘</w:t>
      </w:r>
      <w:r w:rsidRPr="00192829">
        <w:rPr>
          <w:rFonts w:eastAsia="Times New Roman" w:cs="Times New Roman"/>
          <w:sz w:val="20"/>
          <w:szCs w:val="20"/>
          <w:vertAlign w:val="baseline"/>
        </w:rPr>
        <w:t xml:space="preserve">Christof Heyns: Mission to India’ </w:t>
      </w:r>
      <w:r>
        <w:rPr>
          <w:rFonts w:eastAsia="Times New Roman" w:cs="Times New Roman"/>
          <w:sz w:val="20"/>
          <w:szCs w:val="20"/>
          <w:vertAlign w:val="baseline"/>
        </w:rPr>
        <w:t>(n 548)</w:t>
      </w:r>
    </w:p>
  </w:footnote>
  <w:footnote w:id="991">
    <w:p w14:paraId="3E0140EE" w14:textId="2EC7DC05" w:rsidR="00431A55" w:rsidRPr="00192829" w:rsidRDefault="00431A55">
      <w:pPr>
        <w:pStyle w:val="FootnoteText"/>
        <w:rPr>
          <w:sz w:val="20"/>
          <w:szCs w:val="20"/>
          <w:vertAlign w:val="baseline"/>
          <w:lang w:val="en-US"/>
        </w:rPr>
      </w:pPr>
      <w:r w:rsidRPr="00192829">
        <w:rPr>
          <w:rStyle w:val="FootnoteReference"/>
          <w:sz w:val="20"/>
          <w:szCs w:val="20"/>
        </w:rPr>
        <w:footnoteRef/>
      </w:r>
      <w:r>
        <w:t xml:space="preserve"> </w:t>
      </w:r>
      <w:r w:rsidRPr="00192829">
        <w:rPr>
          <w:sz w:val="20"/>
          <w:szCs w:val="20"/>
          <w:vertAlign w:val="baseline"/>
        </w:rPr>
        <w:t>HRC, ‘</w:t>
      </w:r>
      <w:r w:rsidRPr="00192829">
        <w:rPr>
          <w:rFonts w:eastAsia="Times New Roman" w:cs="Times New Roman"/>
          <w:sz w:val="20"/>
          <w:szCs w:val="20"/>
          <w:vertAlign w:val="baseline"/>
        </w:rPr>
        <w:t>Christof Hey</w:t>
      </w:r>
      <w:r>
        <w:rPr>
          <w:rFonts w:eastAsia="Times New Roman" w:cs="Times New Roman"/>
          <w:sz w:val="20"/>
          <w:szCs w:val="20"/>
          <w:vertAlign w:val="baseline"/>
        </w:rPr>
        <w:t>ns: Mission to Papua New Guinea’ (n 617)</w:t>
      </w:r>
    </w:p>
  </w:footnote>
  <w:footnote w:id="992">
    <w:p w14:paraId="4B3C4D16" w14:textId="02EBBDBA" w:rsidR="00431A55" w:rsidRPr="002F1037" w:rsidRDefault="00431A55">
      <w:pPr>
        <w:pStyle w:val="FootnoteText"/>
        <w:rPr>
          <w:sz w:val="20"/>
          <w:szCs w:val="20"/>
          <w:vertAlign w:val="baseline"/>
          <w:lang w:val="en-US"/>
        </w:rPr>
      </w:pPr>
      <w:r w:rsidRPr="002F1037">
        <w:rPr>
          <w:rStyle w:val="FootnoteReference"/>
          <w:sz w:val="20"/>
          <w:szCs w:val="20"/>
        </w:rPr>
        <w:footnoteRef/>
      </w:r>
      <w:r w:rsidRPr="002F1037">
        <w:rPr>
          <w:sz w:val="20"/>
          <w:szCs w:val="20"/>
        </w:rPr>
        <w:t xml:space="preserve"> </w:t>
      </w:r>
      <w:r>
        <w:rPr>
          <w:sz w:val="20"/>
          <w:szCs w:val="20"/>
          <w:vertAlign w:val="baseline"/>
        </w:rPr>
        <w:t>Section 4.4.3, 148</w:t>
      </w:r>
    </w:p>
  </w:footnote>
  <w:footnote w:id="993">
    <w:p w14:paraId="75AD0CA0" w14:textId="5E049C2A" w:rsidR="00431A55" w:rsidRPr="00293278" w:rsidRDefault="00431A55" w:rsidP="00F4338A">
      <w:pPr>
        <w:rPr>
          <w:rFonts w:ascii="Times" w:eastAsia="Times New Roman" w:hAnsi="Times" w:cs="Times New Roman"/>
          <w:vertAlign w:val="baseline"/>
        </w:rPr>
      </w:pPr>
      <w:r>
        <w:rPr>
          <w:rStyle w:val="FootnoteReference"/>
        </w:rPr>
        <w:footnoteRef/>
      </w:r>
      <w:r>
        <w:t xml:space="preserve"> </w:t>
      </w:r>
      <w:r w:rsidRPr="00293278">
        <w:rPr>
          <w:vertAlign w:val="baseline"/>
        </w:rPr>
        <w:t>HRC, ‘</w:t>
      </w:r>
      <w:r>
        <w:rPr>
          <w:rFonts w:eastAsia="Times New Roman" w:cs="Times New Roman"/>
          <w:vertAlign w:val="baseline"/>
        </w:rPr>
        <w:t xml:space="preserve">Ms. Asma Jahangir: </w:t>
      </w:r>
      <w:r w:rsidRPr="00293278">
        <w:rPr>
          <w:rFonts w:eastAsia="Times New Roman" w:cs="Times New Roman"/>
          <w:vertAlign w:val="baseline"/>
        </w:rPr>
        <w:t xml:space="preserve">Mission to Nepal’ </w:t>
      </w:r>
      <w:r>
        <w:rPr>
          <w:rFonts w:eastAsia="Times New Roman" w:cs="Times New Roman"/>
          <w:vertAlign w:val="baseline"/>
        </w:rPr>
        <w:t>(n 603)</w:t>
      </w:r>
    </w:p>
  </w:footnote>
  <w:footnote w:id="994">
    <w:p w14:paraId="0ACA3FB4" w14:textId="77777777" w:rsidR="00431A55" w:rsidRPr="00293278" w:rsidRDefault="00431A55" w:rsidP="00F4338A">
      <w:pPr>
        <w:pStyle w:val="FootnoteText"/>
        <w:rPr>
          <w:sz w:val="20"/>
          <w:szCs w:val="20"/>
          <w:lang w:val="en-US"/>
        </w:rPr>
      </w:pPr>
      <w:r w:rsidRPr="00293278">
        <w:rPr>
          <w:rStyle w:val="FootnoteReference"/>
          <w:sz w:val="20"/>
          <w:szCs w:val="20"/>
        </w:rPr>
        <w:footnoteRef/>
      </w:r>
      <w:r w:rsidRPr="00293278">
        <w:rPr>
          <w:sz w:val="20"/>
          <w:szCs w:val="20"/>
        </w:rPr>
        <w:t xml:space="preserve"> </w:t>
      </w:r>
      <w:r w:rsidRPr="00293278">
        <w:rPr>
          <w:sz w:val="20"/>
          <w:szCs w:val="20"/>
          <w:vertAlign w:val="baseline"/>
          <w:lang w:val="en-US"/>
        </w:rPr>
        <w:t>HRC, ‘</w:t>
      </w:r>
      <w:r w:rsidRPr="00293278">
        <w:rPr>
          <w:rFonts w:eastAsia="Times New Roman" w:cs="Times New Roman"/>
          <w:sz w:val="20"/>
          <w:szCs w:val="20"/>
          <w:vertAlign w:val="baseline"/>
        </w:rPr>
        <w:t>Report of the Special Rapporteur on extrajudicial, summary or arbitrary executions, Philip Alston:</w:t>
      </w:r>
      <w:r w:rsidRPr="00293278">
        <w:rPr>
          <w:rFonts w:ascii="Times New Roman" w:hAnsi="Times New Roman" w:cs="Times New Roman"/>
          <w:sz w:val="20"/>
          <w:szCs w:val="20"/>
          <w:vertAlign w:val="baseline"/>
        </w:rPr>
        <w:t xml:space="preserve"> </w:t>
      </w:r>
      <w:r w:rsidRPr="00293278">
        <w:rPr>
          <w:rFonts w:cs="Times New Roman"/>
          <w:sz w:val="20"/>
          <w:szCs w:val="20"/>
          <w:vertAlign w:val="baseline"/>
        </w:rPr>
        <w:t>Promotion and Protection of All Human Rights, Civil Political, Economic, Social and Cultural Rights, including the Right to Development’ 27 May 2009, A/HRC/11/2</w:t>
      </w:r>
    </w:p>
  </w:footnote>
  <w:footnote w:id="995">
    <w:p w14:paraId="0BFA8D53" w14:textId="52D52AE6" w:rsidR="00431A55" w:rsidRPr="00BE4DE6" w:rsidRDefault="00431A55" w:rsidP="00F4338A">
      <w:pPr>
        <w:pStyle w:val="FootnoteText"/>
        <w:rPr>
          <w:lang w:val="en-US"/>
        </w:rPr>
      </w:pPr>
      <w:r w:rsidRPr="00293278">
        <w:rPr>
          <w:rStyle w:val="FootnoteReference"/>
          <w:sz w:val="20"/>
          <w:szCs w:val="20"/>
        </w:rPr>
        <w:footnoteRef/>
      </w:r>
      <w:r w:rsidRPr="00293278">
        <w:rPr>
          <w:sz w:val="20"/>
          <w:szCs w:val="20"/>
        </w:rPr>
        <w:t xml:space="preserve"> </w:t>
      </w:r>
      <w:r>
        <w:rPr>
          <w:sz w:val="20"/>
          <w:szCs w:val="20"/>
          <w:vertAlign w:val="baseline"/>
          <w:lang w:val="en-US"/>
        </w:rPr>
        <w:t>ibid</w:t>
      </w:r>
    </w:p>
  </w:footnote>
  <w:footnote w:id="996">
    <w:p w14:paraId="260C4DB8" w14:textId="31C5EF1E" w:rsidR="00431A55" w:rsidRPr="005F3BE6" w:rsidRDefault="00431A55" w:rsidP="00F4338A">
      <w:pPr>
        <w:pStyle w:val="FootnoteText"/>
        <w:rPr>
          <w:sz w:val="20"/>
          <w:szCs w:val="20"/>
          <w:vertAlign w:val="baseline"/>
          <w:lang w:val="en-US"/>
        </w:rPr>
      </w:pPr>
      <w:r w:rsidRPr="005F3BE6">
        <w:rPr>
          <w:rStyle w:val="FootnoteReference"/>
          <w:sz w:val="20"/>
          <w:szCs w:val="20"/>
        </w:rPr>
        <w:footnoteRef/>
      </w:r>
      <w:r w:rsidRPr="005F3BE6">
        <w:rPr>
          <w:sz w:val="20"/>
          <w:szCs w:val="20"/>
        </w:rPr>
        <w:t xml:space="preserve"> </w:t>
      </w:r>
      <w:r>
        <w:rPr>
          <w:sz w:val="20"/>
          <w:szCs w:val="20"/>
          <w:vertAlign w:val="baseline"/>
          <w:lang w:val="en-US"/>
        </w:rPr>
        <w:t>ibid</w:t>
      </w:r>
      <w:r>
        <w:rPr>
          <w:rFonts w:cs="Times New Roman"/>
          <w:sz w:val="20"/>
          <w:szCs w:val="20"/>
          <w:vertAlign w:val="baseline"/>
        </w:rPr>
        <w:t xml:space="preserve"> section 2, para</w:t>
      </w:r>
      <w:r w:rsidRPr="005F3BE6">
        <w:rPr>
          <w:rFonts w:cs="Times New Roman"/>
          <w:sz w:val="20"/>
          <w:szCs w:val="20"/>
          <w:vertAlign w:val="baseline"/>
        </w:rPr>
        <w:t xml:space="preserve"> 49 – 59</w:t>
      </w:r>
    </w:p>
  </w:footnote>
  <w:footnote w:id="997">
    <w:p w14:paraId="410E57E5" w14:textId="0AB710B8" w:rsidR="00431A55" w:rsidRPr="005F3BE6" w:rsidRDefault="00431A55" w:rsidP="00F4338A">
      <w:pPr>
        <w:pStyle w:val="FootnoteText"/>
        <w:rPr>
          <w:sz w:val="20"/>
          <w:szCs w:val="20"/>
          <w:lang w:val="en-US"/>
        </w:rPr>
      </w:pPr>
      <w:r w:rsidRPr="005F3BE6">
        <w:rPr>
          <w:rStyle w:val="FootnoteReference"/>
          <w:sz w:val="20"/>
          <w:szCs w:val="20"/>
        </w:rPr>
        <w:footnoteRef/>
      </w:r>
      <w:r w:rsidRPr="005F3BE6">
        <w:rPr>
          <w:sz w:val="20"/>
          <w:szCs w:val="20"/>
        </w:rPr>
        <w:t xml:space="preserve"> </w:t>
      </w:r>
      <w:r>
        <w:rPr>
          <w:sz w:val="20"/>
          <w:szCs w:val="20"/>
          <w:vertAlign w:val="baseline"/>
          <w:lang w:val="en-US"/>
        </w:rPr>
        <w:t>ibid,</w:t>
      </w:r>
      <w:r w:rsidRPr="005F3BE6">
        <w:rPr>
          <w:rFonts w:cs="Times New Roman"/>
          <w:sz w:val="20"/>
          <w:szCs w:val="20"/>
          <w:vertAlign w:val="baseline"/>
        </w:rPr>
        <w:t xml:space="preserve"> para 49</w:t>
      </w:r>
    </w:p>
  </w:footnote>
  <w:footnote w:id="998">
    <w:p w14:paraId="5E4ED40A" w14:textId="2C090BAE" w:rsidR="00431A55" w:rsidRPr="005F3BE6" w:rsidRDefault="00431A55" w:rsidP="00F4338A">
      <w:pPr>
        <w:pStyle w:val="FootnoteText"/>
        <w:rPr>
          <w:sz w:val="20"/>
          <w:szCs w:val="20"/>
          <w:lang w:val="en-US"/>
        </w:rPr>
      </w:pPr>
      <w:r w:rsidRPr="005F3BE6">
        <w:rPr>
          <w:rStyle w:val="FootnoteReference"/>
          <w:sz w:val="20"/>
          <w:szCs w:val="20"/>
        </w:rPr>
        <w:footnoteRef/>
      </w:r>
      <w:r w:rsidRPr="005F3BE6">
        <w:rPr>
          <w:sz w:val="20"/>
          <w:szCs w:val="20"/>
        </w:rPr>
        <w:t xml:space="preserve"> </w:t>
      </w:r>
      <w:r>
        <w:rPr>
          <w:sz w:val="20"/>
          <w:szCs w:val="20"/>
          <w:vertAlign w:val="baseline"/>
          <w:lang w:val="en-US"/>
        </w:rPr>
        <w:t>ibid,</w:t>
      </w:r>
      <w:r w:rsidRPr="005F3BE6">
        <w:rPr>
          <w:rFonts w:cs="Times New Roman"/>
          <w:sz w:val="20"/>
          <w:szCs w:val="20"/>
          <w:vertAlign w:val="baseline"/>
        </w:rPr>
        <w:t xml:space="preserve"> para 51</w:t>
      </w:r>
    </w:p>
  </w:footnote>
  <w:footnote w:id="999">
    <w:p w14:paraId="11297A66" w14:textId="3490E0C9" w:rsidR="00431A55" w:rsidRPr="005F3BE6" w:rsidRDefault="00431A55" w:rsidP="00F4338A">
      <w:pPr>
        <w:pStyle w:val="FootnoteText"/>
        <w:rPr>
          <w:sz w:val="20"/>
          <w:szCs w:val="20"/>
          <w:lang w:val="en-US"/>
        </w:rPr>
      </w:pPr>
      <w:r w:rsidRPr="005F3BE6">
        <w:rPr>
          <w:rStyle w:val="FootnoteReference"/>
          <w:sz w:val="20"/>
          <w:szCs w:val="20"/>
        </w:rPr>
        <w:footnoteRef/>
      </w:r>
      <w:r w:rsidRPr="005F3BE6">
        <w:rPr>
          <w:sz w:val="20"/>
          <w:szCs w:val="20"/>
        </w:rPr>
        <w:t xml:space="preserve"> </w:t>
      </w:r>
      <w:r>
        <w:rPr>
          <w:sz w:val="20"/>
          <w:szCs w:val="20"/>
          <w:vertAlign w:val="baseline"/>
          <w:lang w:val="en-US"/>
        </w:rPr>
        <w:t>ibid,</w:t>
      </w:r>
      <w:r w:rsidRPr="005F3BE6">
        <w:rPr>
          <w:rFonts w:cs="Times New Roman"/>
          <w:sz w:val="20"/>
          <w:szCs w:val="20"/>
          <w:vertAlign w:val="baseline"/>
        </w:rPr>
        <w:t xml:space="preserve"> para 52</w:t>
      </w:r>
    </w:p>
  </w:footnote>
  <w:footnote w:id="1000">
    <w:p w14:paraId="7F494AB5" w14:textId="093C9087" w:rsidR="00431A55" w:rsidRPr="005F3BE6" w:rsidRDefault="00431A55" w:rsidP="00F4338A">
      <w:pPr>
        <w:pStyle w:val="FootnoteText"/>
        <w:rPr>
          <w:sz w:val="20"/>
          <w:szCs w:val="20"/>
          <w:lang w:val="en-US"/>
        </w:rPr>
      </w:pPr>
      <w:r w:rsidRPr="005F3BE6">
        <w:rPr>
          <w:rStyle w:val="FootnoteReference"/>
          <w:sz w:val="20"/>
          <w:szCs w:val="20"/>
        </w:rPr>
        <w:footnoteRef/>
      </w:r>
      <w:r w:rsidRPr="005F3BE6">
        <w:rPr>
          <w:sz w:val="20"/>
          <w:szCs w:val="20"/>
        </w:rPr>
        <w:t xml:space="preserve"> </w:t>
      </w:r>
      <w:r>
        <w:rPr>
          <w:sz w:val="20"/>
          <w:szCs w:val="20"/>
          <w:vertAlign w:val="baseline"/>
          <w:lang w:val="en-US"/>
        </w:rPr>
        <w:t>ibid,</w:t>
      </w:r>
      <w:r w:rsidRPr="005F3BE6">
        <w:rPr>
          <w:rFonts w:cs="Times New Roman"/>
          <w:sz w:val="20"/>
          <w:szCs w:val="20"/>
          <w:vertAlign w:val="baseline"/>
        </w:rPr>
        <w:t xml:space="preserve"> para 53</w:t>
      </w:r>
    </w:p>
  </w:footnote>
  <w:footnote w:id="1001">
    <w:p w14:paraId="39C3EFAD" w14:textId="3FF7C99C" w:rsidR="00431A55" w:rsidRPr="00A501C9" w:rsidRDefault="00431A55" w:rsidP="00F4338A">
      <w:pPr>
        <w:pStyle w:val="FootnoteText"/>
        <w:rPr>
          <w:lang w:val="en-US"/>
        </w:rPr>
      </w:pPr>
      <w:r w:rsidRPr="005F3BE6">
        <w:rPr>
          <w:rStyle w:val="FootnoteReference"/>
          <w:sz w:val="20"/>
          <w:szCs w:val="20"/>
        </w:rPr>
        <w:footnoteRef/>
      </w:r>
      <w:r w:rsidRPr="005F3BE6">
        <w:rPr>
          <w:sz w:val="20"/>
          <w:szCs w:val="20"/>
        </w:rPr>
        <w:t xml:space="preserve"> </w:t>
      </w:r>
      <w:r>
        <w:rPr>
          <w:sz w:val="20"/>
          <w:szCs w:val="20"/>
          <w:vertAlign w:val="baseline"/>
          <w:lang w:val="en-US"/>
        </w:rPr>
        <w:t>ibid</w:t>
      </w:r>
    </w:p>
  </w:footnote>
  <w:footnote w:id="1002">
    <w:p w14:paraId="30AA0DE2" w14:textId="77777777" w:rsidR="00431A55" w:rsidRPr="00DF3C7C" w:rsidRDefault="00431A55" w:rsidP="001C6724">
      <w:pPr>
        <w:pStyle w:val="FootnoteText"/>
        <w:rPr>
          <w:sz w:val="20"/>
          <w:szCs w:val="20"/>
          <w:vertAlign w:val="baseline"/>
        </w:rPr>
      </w:pPr>
      <w:r w:rsidRPr="00DF3C7C">
        <w:rPr>
          <w:rStyle w:val="FootnoteReference"/>
          <w:sz w:val="20"/>
          <w:szCs w:val="20"/>
        </w:rPr>
        <w:footnoteRef/>
      </w:r>
      <w:r w:rsidRPr="00DF3C7C">
        <w:rPr>
          <w:sz w:val="20"/>
          <w:szCs w:val="20"/>
          <w:vertAlign w:val="baseline"/>
        </w:rPr>
        <w:t xml:space="preserve"> OHCHR, ‘Universal Periodic Review’  &lt;</w:t>
      </w:r>
      <w:hyperlink r:id="rId117" w:history="1">
        <w:r w:rsidRPr="00DF3C7C">
          <w:rPr>
            <w:rStyle w:val="Hyperlink"/>
            <w:sz w:val="20"/>
            <w:szCs w:val="20"/>
            <w:vertAlign w:val="baseline"/>
          </w:rPr>
          <w:t>http://www.ohchr.org/EN/HRBodies/UPR/Pages/BasicFacts.aspx</w:t>
        </w:r>
      </w:hyperlink>
      <w:r w:rsidRPr="00DF3C7C">
        <w:rPr>
          <w:sz w:val="20"/>
          <w:szCs w:val="20"/>
          <w:vertAlign w:val="baseline"/>
        </w:rPr>
        <w:t>&gt; accessed 17 June 2015</w:t>
      </w:r>
    </w:p>
  </w:footnote>
  <w:footnote w:id="1003">
    <w:p w14:paraId="06E36076" w14:textId="0456BD86" w:rsidR="00431A55" w:rsidRPr="00DF3C7C" w:rsidRDefault="00431A55" w:rsidP="001C6724">
      <w:pPr>
        <w:pStyle w:val="FootnoteText"/>
        <w:rPr>
          <w:sz w:val="20"/>
          <w:szCs w:val="20"/>
          <w:vertAlign w:val="baseline"/>
          <w:lang w:val="en-US"/>
        </w:rPr>
      </w:pPr>
      <w:r w:rsidRPr="00DF3C7C">
        <w:rPr>
          <w:rStyle w:val="FootnoteReference"/>
          <w:sz w:val="20"/>
          <w:szCs w:val="20"/>
        </w:rPr>
        <w:footnoteRef/>
      </w:r>
      <w:r w:rsidRPr="00DF3C7C">
        <w:rPr>
          <w:sz w:val="20"/>
          <w:szCs w:val="20"/>
        </w:rPr>
        <w:t xml:space="preserve"> </w:t>
      </w:r>
      <w:r w:rsidRPr="00DF3C7C">
        <w:rPr>
          <w:sz w:val="20"/>
          <w:szCs w:val="20"/>
          <w:vertAlign w:val="baseline"/>
          <w:lang w:val="en-US"/>
        </w:rPr>
        <w:t>HRC, ‘Report of the Working Group on the Universal Periodic Review: Ghana’ 13 December 2012 A/HRC/22/6</w:t>
      </w:r>
    </w:p>
  </w:footnote>
  <w:footnote w:id="1004">
    <w:p w14:paraId="5BF83BAC" w14:textId="459CFC3E" w:rsidR="00431A55" w:rsidRPr="00E8600A" w:rsidRDefault="00431A55" w:rsidP="001C6724">
      <w:pPr>
        <w:pStyle w:val="FootnoteText"/>
        <w:rPr>
          <w:lang w:val="en-US"/>
        </w:rPr>
      </w:pPr>
      <w:r w:rsidRPr="00DF3C7C">
        <w:rPr>
          <w:rStyle w:val="FootnoteReference"/>
          <w:sz w:val="20"/>
          <w:szCs w:val="20"/>
        </w:rPr>
        <w:footnoteRef/>
      </w:r>
      <w:r w:rsidRPr="00DF3C7C">
        <w:rPr>
          <w:sz w:val="20"/>
          <w:szCs w:val="20"/>
        </w:rPr>
        <w:t xml:space="preserve"> </w:t>
      </w:r>
      <w:r>
        <w:rPr>
          <w:sz w:val="20"/>
          <w:szCs w:val="20"/>
          <w:vertAlign w:val="baseline"/>
          <w:lang w:val="en-US"/>
        </w:rPr>
        <w:t>ibid,</w:t>
      </w:r>
      <w:r w:rsidRPr="00DF3C7C">
        <w:rPr>
          <w:sz w:val="20"/>
          <w:szCs w:val="20"/>
          <w:vertAlign w:val="baseline"/>
          <w:lang w:val="en-US"/>
        </w:rPr>
        <w:t xml:space="preserve"> para 125.42</w:t>
      </w:r>
    </w:p>
  </w:footnote>
  <w:footnote w:id="1005">
    <w:p w14:paraId="5D162726" w14:textId="4C7880B8" w:rsidR="00431A55" w:rsidRPr="009F1B03" w:rsidRDefault="00431A55" w:rsidP="001C6724">
      <w:pPr>
        <w:pStyle w:val="FootnoteText"/>
        <w:rPr>
          <w:sz w:val="20"/>
          <w:szCs w:val="20"/>
          <w:vertAlign w:val="baseline"/>
          <w:lang w:val="en-US"/>
        </w:rPr>
      </w:pPr>
      <w:r w:rsidRPr="009F1B03">
        <w:rPr>
          <w:rStyle w:val="FootnoteReference"/>
          <w:sz w:val="20"/>
          <w:szCs w:val="20"/>
        </w:rPr>
        <w:footnoteRef/>
      </w:r>
      <w:r w:rsidRPr="009F1B03">
        <w:rPr>
          <w:sz w:val="20"/>
          <w:szCs w:val="20"/>
          <w:vertAlign w:val="baseline"/>
        </w:rPr>
        <w:t xml:space="preserve"> </w:t>
      </w:r>
      <w:r>
        <w:rPr>
          <w:sz w:val="20"/>
          <w:szCs w:val="20"/>
          <w:vertAlign w:val="baseline"/>
          <w:lang w:val="en-US"/>
        </w:rPr>
        <w:t>ibid,</w:t>
      </w:r>
      <w:r w:rsidRPr="009F1B03">
        <w:rPr>
          <w:sz w:val="20"/>
          <w:szCs w:val="20"/>
          <w:vertAlign w:val="baseline"/>
          <w:lang w:val="en-US"/>
        </w:rPr>
        <w:t xml:space="preserve"> para 125.41</w:t>
      </w:r>
    </w:p>
  </w:footnote>
  <w:footnote w:id="1006">
    <w:p w14:paraId="35E8CBB3" w14:textId="780C5D7D" w:rsidR="00431A55" w:rsidRPr="009F1B03" w:rsidRDefault="00431A55" w:rsidP="001C6724">
      <w:pPr>
        <w:pStyle w:val="FootnoteText"/>
        <w:rPr>
          <w:sz w:val="20"/>
          <w:szCs w:val="20"/>
          <w:vertAlign w:val="baseline"/>
          <w:lang w:val="en-US"/>
        </w:rPr>
      </w:pPr>
      <w:r w:rsidRPr="009F1B03">
        <w:rPr>
          <w:rStyle w:val="FootnoteReference"/>
          <w:sz w:val="20"/>
          <w:szCs w:val="20"/>
        </w:rPr>
        <w:footnoteRef/>
      </w:r>
      <w:r w:rsidRPr="009F1B03">
        <w:rPr>
          <w:sz w:val="20"/>
          <w:szCs w:val="20"/>
          <w:vertAlign w:val="baseline"/>
        </w:rPr>
        <w:t xml:space="preserve"> </w:t>
      </w:r>
      <w:r>
        <w:rPr>
          <w:sz w:val="20"/>
          <w:szCs w:val="20"/>
          <w:vertAlign w:val="baseline"/>
          <w:lang w:val="en-US"/>
        </w:rPr>
        <w:t>ibid, para</w:t>
      </w:r>
      <w:r w:rsidRPr="009F1B03">
        <w:rPr>
          <w:sz w:val="20"/>
          <w:szCs w:val="20"/>
          <w:vertAlign w:val="baseline"/>
          <w:lang w:val="en-US"/>
        </w:rPr>
        <w:t xml:space="preserve"> 125.40</w:t>
      </w:r>
    </w:p>
  </w:footnote>
  <w:footnote w:id="1007">
    <w:p w14:paraId="3EDB6546" w14:textId="6DB7B037" w:rsidR="00431A55" w:rsidRPr="009F1B03" w:rsidRDefault="00431A55" w:rsidP="001C6724">
      <w:pPr>
        <w:pStyle w:val="FootnoteText"/>
        <w:rPr>
          <w:sz w:val="20"/>
          <w:szCs w:val="20"/>
          <w:vertAlign w:val="baseline"/>
          <w:lang w:val="en-US"/>
        </w:rPr>
      </w:pPr>
      <w:r w:rsidRPr="009F1B03">
        <w:rPr>
          <w:rStyle w:val="FootnoteReference"/>
          <w:sz w:val="20"/>
          <w:szCs w:val="20"/>
        </w:rPr>
        <w:footnoteRef/>
      </w:r>
      <w:r w:rsidRPr="009F1B03">
        <w:rPr>
          <w:sz w:val="20"/>
          <w:szCs w:val="20"/>
          <w:vertAlign w:val="baseline"/>
        </w:rPr>
        <w:t xml:space="preserve"> </w:t>
      </w:r>
      <w:r>
        <w:rPr>
          <w:sz w:val="20"/>
          <w:szCs w:val="20"/>
          <w:vertAlign w:val="baseline"/>
          <w:lang w:val="en-US"/>
        </w:rPr>
        <w:t>ibid,</w:t>
      </w:r>
      <w:r w:rsidRPr="009F1B03">
        <w:rPr>
          <w:sz w:val="20"/>
          <w:szCs w:val="20"/>
          <w:vertAlign w:val="baseline"/>
          <w:lang w:val="en-US"/>
        </w:rPr>
        <w:t xml:space="preserve"> para 66</w:t>
      </w:r>
    </w:p>
  </w:footnote>
  <w:footnote w:id="1008">
    <w:p w14:paraId="787FC807" w14:textId="28E10D00" w:rsidR="00431A55" w:rsidRPr="00705DD4" w:rsidRDefault="00431A55">
      <w:pPr>
        <w:pStyle w:val="FootnoteText"/>
        <w:rPr>
          <w:lang w:val="en-US"/>
        </w:rPr>
      </w:pPr>
      <w:r w:rsidRPr="00705DD4">
        <w:rPr>
          <w:rStyle w:val="FootnoteReference"/>
          <w:sz w:val="20"/>
          <w:szCs w:val="20"/>
        </w:rPr>
        <w:footnoteRef/>
      </w:r>
      <w:r>
        <w:t xml:space="preserve"> </w:t>
      </w:r>
      <w:r>
        <w:rPr>
          <w:sz w:val="20"/>
          <w:szCs w:val="20"/>
          <w:vertAlign w:val="baseline"/>
          <w:lang w:val="en-US"/>
        </w:rPr>
        <w:t>ibid,</w:t>
      </w:r>
      <w:r w:rsidRPr="009F1B03">
        <w:rPr>
          <w:sz w:val="20"/>
          <w:szCs w:val="20"/>
          <w:vertAlign w:val="baseline"/>
          <w:lang w:val="en-US"/>
        </w:rPr>
        <w:t xml:space="preserve"> para</w:t>
      </w:r>
      <w:r>
        <w:rPr>
          <w:sz w:val="20"/>
          <w:szCs w:val="20"/>
          <w:vertAlign w:val="baseline"/>
          <w:lang w:val="en-US"/>
        </w:rPr>
        <w:t xml:space="preserve"> 125</w:t>
      </w:r>
    </w:p>
  </w:footnote>
  <w:footnote w:id="1009">
    <w:p w14:paraId="169C850B" w14:textId="482C415B" w:rsidR="00431A55" w:rsidRPr="009B45B8" w:rsidRDefault="00431A55">
      <w:pPr>
        <w:pStyle w:val="FootnoteText"/>
        <w:rPr>
          <w:sz w:val="20"/>
          <w:szCs w:val="20"/>
          <w:vertAlign w:val="baseline"/>
          <w:lang w:val="en-US"/>
        </w:rPr>
      </w:pPr>
      <w:r w:rsidRPr="009B45B8">
        <w:rPr>
          <w:rStyle w:val="FootnoteReference"/>
          <w:sz w:val="20"/>
          <w:szCs w:val="20"/>
        </w:rPr>
        <w:footnoteRef/>
      </w:r>
      <w:r w:rsidRPr="009B45B8">
        <w:rPr>
          <w:sz w:val="20"/>
          <w:szCs w:val="20"/>
        </w:rPr>
        <w:t xml:space="preserve"> </w:t>
      </w:r>
      <w:r>
        <w:rPr>
          <w:sz w:val="20"/>
          <w:szCs w:val="20"/>
          <w:vertAlign w:val="baseline"/>
          <w:lang w:val="en-US"/>
        </w:rPr>
        <w:t>ibid,</w:t>
      </w:r>
      <w:r w:rsidRPr="009F1B03">
        <w:rPr>
          <w:sz w:val="20"/>
          <w:szCs w:val="20"/>
          <w:vertAlign w:val="baseline"/>
          <w:lang w:val="en-US"/>
        </w:rPr>
        <w:t xml:space="preserve"> para 66</w:t>
      </w:r>
    </w:p>
  </w:footnote>
  <w:footnote w:id="1010">
    <w:p w14:paraId="03B29AA3" w14:textId="2DCA6894" w:rsidR="00431A55" w:rsidRPr="007525B2" w:rsidRDefault="00431A55">
      <w:pPr>
        <w:pStyle w:val="FootnoteText"/>
        <w:rPr>
          <w:sz w:val="20"/>
          <w:szCs w:val="20"/>
          <w:vertAlign w:val="baseline"/>
        </w:rPr>
      </w:pPr>
      <w:r w:rsidRPr="007525B2">
        <w:rPr>
          <w:rStyle w:val="FootnoteReference"/>
          <w:sz w:val="20"/>
          <w:szCs w:val="20"/>
        </w:rPr>
        <w:footnoteRef/>
      </w:r>
      <w:r w:rsidRPr="007525B2">
        <w:rPr>
          <w:sz w:val="20"/>
          <w:szCs w:val="20"/>
        </w:rPr>
        <w:t xml:space="preserve"> </w:t>
      </w:r>
      <w:r>
        <w:rPr>
          <w:sz w:val="20"/>
          <w:szCs w:val="20"/>
          <w:vertAlign w:val="baseline"/>
        </w:rPr>
        <w:t>AWACC as quoted in Leo Igwe, ‘Witchcraft Accusation in Ghana: Is Disbanding ‘Witch Camps’ the Solution?’ (GhanaWeb 16 November 2015) &lt;</w:t>
      </w:r>
      <w:hyperlink r:id="rId118" w:history="1">
        <w:r w:rsidRPr="00F67EBE">
          <w:rPr>
            <w:rStyle w:val="Hyperlink"/>
            <w:sz w:val="20"/>
            <w:szCs w:val="20"/>
            <w:vertAlign w:val="baseline"/>
          </w:rPr>
          <w:t>http://www.ghanaweb.com/GhanaHomePage/features/Witchcraft-Accusation-in-Ghana-Is-Disbanding-Witch-Camps-the-Solution-394167</w:t>
        </w:r>
      </w:hyperlink>
      <w:r>
        <w:rPr>
          <w:sz w:val="20"/>
          <w:szCs w:val="20"/>
          <w:vertAlign w:val="baseline"/>
        </w:rPr>
        <w:t>&gt; accessed 3 May 2016</w:t>
      </w:r>
    </w:p>
  </w:footnote>
  <w:footnote w:id="1011">
    <w:p w14:paraId="7F14E9E6" w14:textId="45566AA9" w:rsidR="00431A55" w:rsidRPr="007525B2" w:rsidRDefault="00431A55">
      <w:pPr>
        <w:pStyle w:val="FootnoteText"/>
        <w:rPr>
          <w:sz w:val="20"/>
          <w:szCs w:val="20"/>
          <w:vertAlign w:val="baseline"/>
          <w:lang w:val="en-US"/>
        </w:rPr>
      </w:pPr>
      <w:r w:rsidRPr="007525B2">
        <w:rPr>
          <w:rStyle w:val="FootnoteReference"/>
          <w:sz w:val="20"/>
          <w:szCs w:val="20"/>
        </w:rPr>
        <w:footnoteRef/>
      </w:r>
      <w:r w:rsidRPr="007525B2">
        <w:rPr>
          <w:sz w:val="20"/>
          <w:szCs w:val="20"/>
        </w:rPr>
        <w:t xml:space="preserve"> </w:t>
      </w:r>
      <w:r>
        <w:rPr>
          <w:sz w:val="20"/>
          <w:szCs w:val="20"/>
          <w:vertAlign w:val="baseline"/>
        </w:rPr>
        <w:t>Tawiah-Benjamin from ActionAid (Accra) as quoted in Carolyn Dunn, ‘Ghana witch camps shutting down, leaving accused in limbo’ (CBC News 7 March 2015)</w:t>
      </w:r>
      <w:r w:rsidRPr="00C5085B">
        <w:t xml:space="preserve"> </w:t>
      </w:r>
      <w:r>
        <w:rPr>
          <w:sz w:val="20"/>
          <w:szCs w:val="20"/>
          <w:vertAlign w:val="baseline"/>
        </w:rPr>
        <w:t>&lt;</w:t>
      </w:r>
      <w:hyperlink r:id="rId119" w:history="1">
        <w:r w:rsidRPr="00F67EBE">
          <w:rPr>
            <w:rStyle w:val="Hyperlink"/>
            <w:sz w:val="20"/>
            <w:szCs w:val="20"/>
            <w:vertAlign w:val="baseline"/>
          </w:rPr>
          <w:t>http://www.cbc.ca/news/world/ghana-witch-camps-shutting-down-leaving-accused-in-limbo-1.2979863</w:t>
        </w:r>
      </w:hyperlink>
      <w:r>
        <w:rPr>
          <w:sz w:val="20"/>
          <w:szCs w:val="20"/>
          <w:vertAlign w:val="baseline"/>
        </w:rPr>
        <w:t>&gt; accessed 3 May 2016</w:t>
      </w:r>
    </w:p>
  </w:footnote>
  <w:footnote w:id="1012">
    <w:p w14:paraId="01C900B4" w14:textId="77777777" w:rsidR="00431A55" w:rsidRPr="009F1B03" w:rsidRDefault="00431A55" w:rsidP="001C6724">
      <w:pPr>
        <w:pStyle w:val="FootnoteText"/>
        <w:rPr>
          <w:sz w:val="20"/>
          <w:szCs w:val="20"/>
          <w:vertAlign w:val="baseline"/>
          <w:lang w:val="en-US"/>
        </w:rPr>
      </w:pPr>
      <w:r w:rsidRPr="009F1B03">
        <w:rPr>
          <w:rStyle w:val="FootnoteReference"/>
          <w:sz w:val="20"/>
          <w:szCs w:val="20"/>
        </w:rPr>
        <w:footnoteRef/>
      </w:r>
      <w:r w:rsidRPr="009F1B03">
        <w:rPr>
          <w:sz w:val="20"/>
          <w:szCs w:val="20"/>
          <w:vertAlign w:val="baseline"/>
        </w:rPr>
        <w:t xml:space="preserve"> </w:t>
      </w:r>
      <w:r w:rsidRPr="009F1B03">
        <w:rPr>
          <w:sz w:val="20"/>
          <w:szCs w:val="20"/>
          <w:vertAlign w:val="baseline"/>
          <w:lang w:val="en-US"/>
        </w:rPr>
        <w:t>HRC, ‘Report of the Working Group on the Universal Periodic Review: Papua New Guinea’ 11 July 2011 A/HRC/18/18</w:t>
      </w:r>
    </w:p>
  </w:footnote>
  <w:footnote w:id="1013">
    <w:p w14:paraId="172CBDCE" w14:textId="37CD84FD" w:rsidR="00431A55" w:rsidRPr="009F1B03" w:rsidRDefault="00431A55" w:rsidP="001C6724">
      <w:pPr>
        <w:pStyle w:val="FootnoteText"/>
        <w:rPr>
          <w:sz w:val="20"/>
          <w:szCs w:val="20"/>
          <w:vertAlign w:val="baseline"/>
          <w:lang w:val="en-US"/>
        </w:rPr>
      </w:pPr>
      <w:r w:rsidRPr="009F1B03">
        <w:rPr>
          <w:rStyle w:val="FootnoteReference"/>
          <w:sz w:val="20"/>
          <w:szCs w:val="20"/>
        </w:rPr>
        <w:footnoteRef/>
      </w:r>
      <w:r w:rsidRPr="009F1B03">
        <w:rPr>
          <w:sz w:val="20"/>
          <w:szCs w:val="20"/>
          <w:vertAlign w:val="baseline"/>
        </w:rPr>
        <w:t xml:space="preserve"> </w:t>
      </w:r>
      <w:r>
        <w:rPr>
          <w:sz w:val="20"/>
          <w:szCs w:val="20"/>
          <w:vertAlign w:val="baseline"/>
          <w:lang w:val="en-US"/>
        </w:rPr>
        <w:t>ibid</w:t>
      </w:r>
      <w:r w:rsidRPr="009F1B03">
        <w:rPr>
          <w:sz w:val="20"/>
          <w:szCs w:val="20"/>
          <w:vertAlign w:val="baseline"/>
          <w:lang w:val="en-US"/>
        </w:rPr>
        <w:t>, para 13</w:t>
      </w:r>
    </w:p>
  </w:footnote>
  <w:footnote w:id="1014">
    <w:p w14:paraId="2A7A3519" w14:textId="0B0421F2" w:rsidR="00431A55" w:rsidRPr="009F1B03" w:rsidRDefault="00431A55" w:rsidP="001C6724">
      <w:pPr>
        <w:pStyle w:val="FootnoteText"/>
        <w:rPr>
          <w:sz w:val="20"/>
          <w:szCs w:val="20"/>
          <w:vertAlign w:val="baseline"/>
          <w:lang w:val="en-US"/>
        </w:rPr>
      </w:pPr>
      <w:r w:rsidRPr="009F1B03">
        <w:rPr>
          <w:rStyle w:val="FootnoteReference"/>
          <w:sz w:val="20"/>
          <w:szCs w:val="20"/>
        </w:rPr>
        <w:footnoteRef/>
      </w:r>
      <w:r w:rsidRPr="009F1B03">
        <w:rPr>
          <w:sz w:val="20"/>
          <w:szCs w:val="20"/>
          <w:vertAlign w:val="baseline"/>
        </w:rPr>
        <w:t xml:space="preserve"> </w:t>
      </w:r>
      <w:r>
        <w:rPr>
          <w:sz w:val="20"/>
          <w:szCs w:val="20"/>
          <w:vertAlign w:val="baseline"/>
          <w:lang w:val="en-US"/>
        </w:rPr>
        <w:t>ibid,</w:t>
      </w:r>
      <w:r w:rsidRPr="009F1B03">
        <w:rPr>
          <w:sz w:val="20"/>
          <w:szCs w:val="20"/>
          <w:vertAlign w:val="baseline"/>
          <w:lang w:val="en-US"/>
        </w:rPr>
        <w:t xml:space="preserve"> para 43</w:t>
      </w:r>
    </w:p>
  </w:footnote>
  <w:footnote w:id="1015">
    <w:p w14:paraId="2D53BF79" w14:textId="77777777" w:rsidR="00431A55" w:rsidRPr="009F1B03" w:rsidRDefault="00431A55" w:rsidP="001C6724">
      <w:pPr>
        <w:rPr>
          <w:rFonts w:eastAsia="Times New Roman" w:cs="Times New Roman"/>
          <w:vertAlign w:val="baseline"/>
        </w:rPr>
      </w:pPr>
      <w:r w:rsidRPr="009F1B03">
        <w:rPr>
          <w:rStyle w:val="FootnoteReference"/>
        </w:rPr>
        <w:footnoteRef/>
      </w:r>
      <w:r w:rsidRPr="009F1B03">
        <w:rPr>
          <w:rFonts w:eastAsia="Times New Roman" w:cs="Times New Roman"/>
          <w:vertAlign w:val="baseline"/>
        </w:rPr>
        <w:t>Accelerate its review of the law on sorcery and sorcery-related killings and strengthen the enforcement of relevant legislation (Czech Republic, para 78.21); Review the law on sorcery and sorcery-related killings and investigate, prosecute and punish perpetrators of such crimes (Poland, para 78.22); Take immediate measures to investigate cases of brutal torture and killings of girls and women, especially elderly women, accused of witchcraft, and to prosecute and punish perpetrators (Czech Republic, para 79.45); Vigorously investigate all reports of sorcery-related killings to ensure that the perpetrators are brought to justice, and develop and implement strategies, including for social and cultural change, to prevent further killings (United Kingdom, para 79.46); Develop proactive strategies for economic development and social cultural transformation, with priority given to addressing the problems of discrimination against women, gender-based violence, the HIV/AIDS epidemic, child labour, corporal punishment of children, and sorcery-related killings (Thailand, para 79.27)</w:t>
      </w:r>
    </w:p>
  </w:footnote>
  <w:footnote w:id="1016">
    <w:p w14:paraId="20D02078" w14:textId="0FE1D6AE" w:rsidR="00431A55" w:rsidRPr="00B63BC9" w:rsidRDefault="00431A55">
      <w:pPr>
        <w:pStyle w:val="FootnoteText"/>
        <w:rPr>
          <w:sz w:val="20"/>
          <w:szCs w:val="20"/>
          <w:vertAlign w:val="baseline"/>
          <w:lang w:val="en-US"/>
        </w:rPr>
      </w:pPr>
      <w:r w:rsidRPr="00B63BC9">
        <w:rPr>
          <w:rStyle w:val="FootnoteReference"/>
          <w:sz w:val="20"/>
          <w:szCs w:val="20"/>
        </w:rPr>
        <w:footnoteRef/>
      </w:r>
      <w:r w:rsidRPr="00B63BC9">
        <w:rPr>
          <w:sz w:val="20"/>
          <w:szCs w:val="20"/>
        </w:rPr>
        <w:t xml:space="preserve"> </w:t>
      </w:r>
      <w:r>
        <w:rPr>
          <w:sz w:val="20"/>
          <w:szCs w:val="20"/>
          <w:vertAlign w:val="baseline"/>
          <w:lang w:val="en-US"/>
        </w:rPr>
        <w:t>HRC, ‘UPR</w:t>
      </w:r>
      <w:r w:rsidRPr="009F1B03">
        <w:rPr>
          <w:sz w:val="20"/>
          <w:szCs w:val="20"/>
          <w:vertAlign w:val="baseline"/>
          <w:lang w:val="en-US"/>
        </w:rPr>
        <w:t xml:space="preserve">: Papua New Guinea’ </w:t>
      </w:r>
      <w:r>
        <w:rPr>
          <w:sz w:val="20"/>
          <w:szCs w:val="20"/>
          <w:vertAlign w:val="baseline"/>
          <w:lang w:val="en-US"/>
        </w:rPr>
        <w:t>(n 990) para 78</w:t>
      </w:r>
    </w:p>
  </w:footnote>
  <w:footnote w:id="1017">
    <w:p w14:paraId="196C5BFF" w14:textId="47F5707C" w:rsidR="00431A55" w:rsidRPr="00243F4D" w:rsidRDefault="00431A55">
      <w:pPr>
        <w:pStyle w:val="FootnoteText"/>
        <w:rPr>
          <w:sz w:val="20"/>
          <w:szCs w:val="20"/>
          <w:vertAlign w:val="baseline"/>
          <w:lang w:val="en-US"/>
        </w:rPr>
      </w:pPr>
      <w:r w:rsidRPr="00243F4D">
        <w:rPr>
          <w:rStyle w:val="FootnoteReference"/>
          <w:sz w:val="20"/>
          <w:szCs w:val="20"/>
        </w:rPr>
        <w:footnoteRef/>
      </w:r>
      <w:r w:rsidRPr="00243F4D">
        <w:rPr>
          <w:sz w:val="20"/>
          <w:szCs w:val="20"/>
        </w:rPr>
        <w:t xml:space="preserve"> </w:t>
      </w:r>
      <w:r>
        <w:rPr>
          <w:sz w:val="20"/>
          <w:szCs w:val="20"/>
          <w:vertAlign w:val="baseline"/>
        </w:rPr>
        <w:t>HRC, ‘Report of the Human Rights Council on its eighteenth session’ 22 October 2012 A/HRC/18/2, para 659</w:t>
      </w:r>
    </w:p>
  </w:footnote>
  <w:footnote w:id="1018">
    <w:p w14:paraId="7DC87BDB" w14:textId="56A45E6A" w:rsidR="00431A55" w:rsidRPr="004273E2" w:rsidRDefault="00431A55">
      <w:pPr>
        <w:pStyle w:val="FootnoteText"/>
        <w:rPr>
          <w:sz w:val="20"/>
          <w:szCs w:val="20"/>
          <w:vertAlign w:val="baseline"/>
          <w:lang w:val="en-US"/>
        </w:rPr>
      </w:pPr>
      <w:r w:rsidRPr="004273E2">
        <w:rPr>
          <w:rStyle w:val="FootnoteReference"/>
          <w:sz w:val="20"/>
          <w:szCs w:val="20"/>
        </w:rPr>
        <w:footnoteRef/>
      </w:r>
      <w:r w:rsidRPr="004273E2">
        <w:rPr>
          <w:sz w:val="20"/>
          <w:szCs w:val="20"/>
        </w:rPr>
        <w:t xml:space="preserve"> </w:t>
      </w:r>
      <w:r>
        <w:rPr>
          <w:sz w:val="20"/>
          <w:szCs w:val="20"/>
          <w:vertAlign w:val="baseline"/>
        </w:rPr>
        <w:t>See sections 4.4.4 and 6.3.1 for further details on the Sorcery Act</w:t>
      </w:r>
    </w:p>
  </w:footnote>
  <w:footnote w:id="1019">
    <w:p w14:paraId="56BE361F" w14:textId="70326D92" w:rsidR="00431A55" w:rsidRPr="00D37C44" w:rsidRDefault="00431A55">
      <w:pPr>
        <w:pStyle w:val="FootnoteText"/>
        <w:rPr>
          <w:sz w:val="20"/>
          <w:szCs w:val="20"/>
          <w:vertAlign w:val="baseline"/>
          <w:lang w:val="en-US"/>
        </w:rPr>
      </w:pPr>
      <w:r w:rsidRPr="00D37C44">
        <w:rPr>
          <w:rStyle w:val="FootnoteReference"/>
          <w:sz w:val="20"/>
          <w:szCs w:val="20"/>
        </w:rPr>
        <w:footnoteRef/>
      </w:r>
      <w:r w:rsidRPr="00D37C44">
        <w:rPr>
          <w:sz w:val="20"/>
          <w:szCs w:val="20"/>
        </w:rPr>
        <w:t xml:space="preserve"> </w:t>
      </w:r>
      <w:r>
        <w:rPr>
          <w:sz w:val="20"/>
          <w:szCs w:val="20"/>
          <w:vertAlign w:val="baseline"/>
        </w:rPr>
        <w:t>‘</w:t>
      </w:r>
      <w:r w:rsidRPr="00C842C0">
        <w:rPr>
          <w:sz w:val="20"/>
          <w:szCs w:val="20"/>
          <w:vertAlign w:val="baseline"/>
        </w:rPr>
        <w:t xml:space="preserve">Woman accused of witchcraft axed to death in Papua New Guinea’ </w:t>
      </w:r>
      <w:r w:rsidRPr="00C842C0">
        <w:rPr>
          <w:i/>
          <w:sz w:val="20"/>
          <w:szCs w:val="20"/>
          <w:vertAlign w:val="baseline"/>
        </w:rPr>
        <w:t xml:space="preserve">The Telegraph </w:t>
      </w:r>
      <w:r w:rsidRPr="00C842C0">
        <w:rPr>
          <w:sz w:val="20"/>
          <w:szCs w:val="20"/>
          <w:vertAlign w:val="baseline"/>
        </w:rPr>
        <w:t>(London, 27 May 2015)</w:t>
      </w:r>
    </w:p>
  </w:footnote>
  <w:footnote w:id="1020">
    <w:p w14:paraId="00E55210" w14:textId="77777777" w:rsidR="00431A55" w:rsidRPr="009F1B03" w:rsidRDefault="00431A55" w:rsidP="001C6724">
      <w:pPr>
        <w:pStyle w:val="FootnoteText"/>
        <w:rPr>
          <w:sz w:val="20"/>
          <w:szCs w:val="20"/>
          <w:vertAlign w:val="baseline"/>
          <w:lang w:val="en-US"/>
        </w:rPr>
      </w:pPr>
      <w:r w:rsidRPr="00580D61">
        <w:rPr>
          <w:rStyle w:val="FootnoteReference"/>
          <w:sz w:val="20"/>
          <w:szCs w:val="20"/>
        </w:rPr>
        <w:footnoteRef/>
      </w:r>
      <w:r w:rsidRPr="00580D61">
        <w:rPr>
          <w:sz w:val="20"/>
          <w:szCs w:val="20"/>
        </w:rPr>
        <w:t xml:space="preserve"> </w:t>
      </w:r>
      <w:r w:rsidRPr="009F1B03">
        <w:rPr>
          <w:sz w:val="20"/>
          <w:szCs w:val="20"/>
          <w:vertAlign w:val="baseline"/>
          <w:lang w:val="en-US"/>
        </w:rPr>
        <w:t>HRC, ‘Report of the Working Group on the Universal Periodic Review: India’ 9 July 2012 A/HRC/21/10</w:t>
      </w:r>
    </w:p>
  </w:footnote>
  <w:footnote w:id="1021">
    <w:p w14:paraId="7889DFC3" w14:textId="77777777" w:rsidR="00431A55" w:rsidRPr="009A4B86" w:rsidRDefault="00431A55" w:rsidP="001C6724">
      <w:pPr>
        <w:pStyle w:val="FootnoteText"/>
        <w:rPr>
          <w:lang w:val="en-US"/>
        </w:rPr>
      </w:pPr>
      <w:r w:rsidRPr="00580D61">
        <w:rPr>
          <w:rStyle w:val="FootnoteReference"/>
          <w:sz w:val="20"/>
          <w:szCs w:val="20"/>
        </w:rPr>
        <w:footnoteRef/>
      </w:r>
      <w:r w:rsidRPr="00580D61">
        <w:rPr>
          <w:sz w:val="20"/>
          <w:szCs w:val="20"/>
        </w:rPr>
        <w:t xml:space="preserve"> </w:t>
      </w:r>
      <w:r w:rsidRPr="009F1B03">
        <w:rPr>
          <w:sz w:val="20"/>
          <w:szCs w:val="20"/>
          <w:vertAlign w:val="baseline"/>
          <w:lang w:val="en-US"/>
        </w:rPr>
        <w:t>HRC, ‘Report of the Working Group on the Universal Periodic Review: Nepal’ 8 March 2011 A/HRC/17/5</w:t>
      </w:r>
    </w:p>
  </w:footnote>
  <w:footnote w:id="1022">
    <w:p w14:paraId="5C5A45A2" w14:textId="77777777" w:rsidR="00431A55" w:rsidRPr="00580D61" w:rsidRDefault="00431A55" w:rsidP="001C6724">
      <w:pPr>
        <w:pStyle w:val="FootnoteText"/>
        <w:rPr>
          <w:sz w:val="20"/>
          <w:szCs w:val="20"/>
          <w:vertAlign w:val="baseline"/>
          <w:lang w:val="en-US"/>
        </w:rPr>
      </w:pPr>
      <w:r w:rsidRPr="00580D61">
        <w:rPr>
          <w:rStyle w:val="FootnoteReference"/>
          <w:sz w:val="20"/>
          <w:szCs w:val="20"/>
        </w:rPr>
        <w:footnoteRef/>
      </w:r>
      <w:r w:rsidRPr="00580D61">
        <w:rPr>
          <w:sz w:val="20"/>
          <w:szCs w:val="20"/>
        </w:rPr>
        <w:t xml:space="preserve"> </w:t>
      </w:r>
      <w:r w:rsidRPr="00580D61">
        <w:rPr>
          <w:sz w:val="20"/>
          <w:szCs w:val="20"/>
          <w:vertAlign w:val="baseline"/>
          <w:lang w:val="en-US"/>
        </w:rPr>
        <w:t>HRC, ‘Summary prepared by the OHCHR in accordance with paragraph 5 of the annex to HRC resolution 16/21: India’ 12 March 2012 A/HRC/WG.6/13/IND/3, para 47</w:t>
      </w:r>
    </w:p>
  </w:footnote>
  <w:footnote w:id="1023">
    <w:p w14:paraId="2AC94BEF" w14:textId="69F66815" w:rsidR="00431A55" w:rsidRPr="00712D9D" w:rsidRDefault="00431A55">
      <w:pPr>
        <w:pStyle w:val="FootnoteText"/>
        <w:rPr>
          <w:sz w:val="20"/>
          <w:szCs w:val="20"/>
          <w:vertAlign w:val="baseline"/>
          <w:lang w:val="en-US"/>
        </w:rPr>
      </w:pPr>
      <w:r w:rsidRPr="00712D9D">
        <w:rPr>
          <w:rStyle w:val="FootnoteReference"/>
          <w:sz w:val="20"/>
          <w:szCs w:val="20"/>
        </w:rPr>
        <w:footnoteRef/>
      </w:r>
      <w:r w:rsidRPr="00712D9D">
        <w:rPr>
          <w:sz w:val="20"/>
          <w:szCs w:val="20"/>
        </w:rPr>
        <w:t xml:space="preserve"> </w:t>
      </w:r>
      <w:r w:rsidRPr="009F1B03">
        <w:rPr>
          <w:sz w:val="20"/>
          <w:szCs w:val="20"/>
          <w:vertAlign w:val="baseline"/>
          <w:lang w:val="en-US"/>
        </w:rPr>
        <w:t>HRC, ‘</w:t>
      </w:r>
      <w:r>
        <w:rPr>
          <w:sz w:val="20"/>
          <w:szCs w:val="20"/>
          <w:vertAlign w:val="baseline"/>
          <w:lang w:val="en-US"/>
        </w:rPr>
        <w:t>UPR: Nepal’ (n 1021) para 112</w:t>
      </w:r>
    </w:p>
  </w:footnote>
  <w:footnote w:id="1024">
    <w:p w14:paraId="0D88ECC2" w14:textId="0763BD1C" w:rsidR="00431A55" w:rsidRPr="00712D9D" w:rsidRDefault="00431A55">
      <w:pPr>
        <w:pStyle w:val="FootnoteText"/>
        <w:rPr>
          <w:vertAlign w:val="baseline"/>
          <w:lang w:val="en-US"/>
        </w:rPr>
      </w:pPr>
      <w:r w:rsidRPr="00712D9D">
        <w:rPr>
          <w:rStyle w:val="FootnoteReference"/>
          <w:sz w:val="20"/>
          <w:szCs w:val="20"/>
        </w:rPr>
        <w:footnoteRef/>
      </w:r>
      <w:r>
        <w:t xml:space="preserve"> </w:t>
      </w:r>
      <w:r w:rsidRPr="009F1B03">
        <w:rPr>
          <w:sz w:val="20"/>
          <w:szCs w:val="20"/>
          <w:vertAlign w:val="baseline"/>
          <w:lang w:val="en-US"/>
        </w:rPr>
        <w:t>HRC, ‘</w:t>
      </w:r>
      <w:r>
        <w:rPr>
          <w:sz w:val="20"/>
          <w:szCs w:val="20"/>
          <w:vertAlign w:val="baseline"/>
          <w:lang w:val="en-US"/>
        </w:rPr>
        <w:t>UPR: India’ (n 1020) para 138.85</w:t>
      </w:r>
    </w:p>
  </w:footnote>
  <w:footnote w:id="1025">
    <w:p w14:paraId="2520F08F" w14:textId="55192389" w:rsidR="00431A55" w:rsidRPr="00712D9D" w:rsidRDefault="00431A55">
      <w:pPr>
        <w:pStyle w:val="FootnoteText"/>
        <w:rPr>
          <w:vertAlign w:val="baseline"/>
          <w:lang w:val="en-US"/>
        </w:rPr>
      </w:pPr>
      <w:r w:rsidRPr="00712D9D">
        <w:rPr>
          <w:rStyle w:val="FootnoteReference"/>
          <w:sz w:val="20"/>
          <w:szCs w:val="20"/>
        </w:rPr>
        <w:footnoteRef/>
      </w:r>
      <w:r>
        <w:t xml:space="preserve"> </w:t>
      </w:r>
      <w:r>
        <w:rPr>
          <w:sz w:val="20"/>
          <w:szCs w:val="20"/>
          <w:vertAlign w:val="baseline"/>
          <w:lang w:val="en-US"/>
        </w:rPr>
        <w:t>ibid, para 138.85</w:t>
      </w:r>
    </w:p>
  </w:footnote>
  <w:footnote w:id="1026">
    <w:p w14:paraId="663ABDC1" w14:textId="77777777" w:rsidR="00431A55" w:rsidRPr="009A355D" w:rsidRDefault="00431A55" w:rsidP="001C6724">
      <w:pPr>
        <w:pStyle w:val="FootnoteText"/>
        <w:rPr>
          <w:sz w:val="20"/>
          <w:szCs w:val="20"/>
          <w:vertAlign w:val="baseline"/>
          <w:lang w:val="en-US"/>
        </w:rPr>
      </w:pPr>
      <w:r w:rsidRPr="009A355D">
        <w:rPr>
          <w:rStyle w:val="FootnoteReference"/>
          <w:sz w:val="20"/>
          <w:szCs w:val="20"/>
        </w:rPr>
        <w:footnoteRef/>
      </w:r>
      <w:r w:rsidRPr="009A355D">
        <w:rPr>
          <w:sz w:val="20"/>
          <w:szCs w:val="20"/>
          <w:vertAlign w:val="baseline"/>
        </w:rPr>
        <w:t xml:space="preserve"> Economic and Social Council resolution 11 (II) 21 June 1946</w:t>
      </w:r>
    </w:p>
  </w:footnote>
  <w:footnote w:id="1027">
    <w:p w14:paraId="768E78C4" w14:textId="77777777" w:rsidR="00431A55" w:rsidRPr="009A355D" w:rsidRDefault="00431A55" w:rsidP="001C6724">
      <w:pPr>
        <w:pStyle w:val="FootnoteText"/>
        <w:rPr>
          <w:sz w:val="20"/>
          <w:szCs w:val="20"/>
          <w:vertAlign w:val="baseline"/>
          <w:lang w:val="en-US"/>
        </w:rPr>
      </w:pPr>
      <w:r w:rsidRPr="009A355D">
        <w:rPr>
          <w:rStyle w:val="FootnoteReference"/>
          <w:sz w:val="20"/>
          <w:szCs w:val="20"/>
        </w:rPr>
        <w:footnoteRef/>
      </w:r>
      <w:r w:rsidRPr="009A355D">
        <w:rPr>
          <w:sz w:val="20"/>
          <w:szCs w:val="20"/>
          <w:vertAlign w:val="baseline"/>
        </w:rPr>
        <w:t xml:space="preserve"> </w:t>
      </w:r>
      <w:r w:rsidRPr="009A355D">
        <w:rPr>
          <w:sz w:val="20"/>
          <w:szCs w:val="20"/>
          <w:vertAlign w:val="baseline"/>
          <w:lang w:val="en-US"/>
        </w:rPr>
        <w:t>UN Women, ‘Commission on the Status of Women’ &lt;</w:t>
      </w:r>
      <w:hyperlink r:id="rId120" w:history="1">
        <w:r w:rsidRPr="009A355D">
          <w:rPr>
            <w:rStyle w:val="Hyperlink"/>
            <w:sz w:val="20"/>
            <w:szCs w:val="20"/>
            <w:vertAlign w:val="baseline"/>
            <w:lang w:val="en-US"/>
          </w:rPr>
          <w:t>http://www.unwomen.org/csw</w:t>
        </w:r>
      </w:hyperlink>
      <w:r w:rsidRPr="009A355D">
        <w:rPr>
          <w:sz w:val="20"/>
          <w:szCs w:val="20"/>
          <w:vertAlign w:val="baseline"/>
          <w:lang w:val="en-US"/>
        </w:rPr>
        <w:t>&gt; accessed 16 June 2015</w:t>
      </w:r>
    </w:p>
  </w:footnote>
  <w:footnote w:id="1028">
    <w:p w14:paraId="52BBE75F" w14:textId="77777777" w:rsidR="00431A55" w:rsidRPr="009A355D" w:rsidRDefault="00431A55" w:rsidP="001C6724">
      <w:pPr>
        <w:pStyle w:val="FootnoteText"/>
        <w:rPr>
          <w:sz w:val="20"/>
          <w:szCs w:val="20"/>
          <w:vertAlign w:val="baseline"/>
          <w:lang w:val="en-US"/>
        </w:rPr>
      </w:pPr>
      <w:r w:rsidRPr="009A355D">
        <w:rPr>
          <w:rStyle w:val="FootnoteReference"/>
          <w:sz w:val="20"/>
          <w:szCs w:val="20"/>
        </w:rPr>
        <w:footnoteRef/>
      </w:r>
      <w:r w:rsidRPr="009A355D">
        <w:rPr>
          <w:sz w:val="20"/>
          <w:szCs w:val="20"/>
          <w:vertAlign w:val="baseline"/>
        </w:rPr>
        <w:t xml:space="preserve"> Economic and Social Council resolution 1996/6, 22 July 1996, E/1996/96</w:t>
      </w:r>
    </w:p>
  </w:footnote>
  <w:footnote w:id="1029">
    <w:p w14:paraId="0DA7FE35" w14:textId="49D29C25" w:rsidR="00431A55" w:rsidRPr="00F5747A" w:rsidRDefault="00431A55" w:rsidP="00F5747A">
      <w:pPr>
        <w:rPr>
          <w:rFonts w:ascii="Times" w:eastAsia="Times New Roman" w:hAnsi="Times" w:cs="Times New Roman"/>
          <w:vertAlign w:val="baseline"/>
        </w:rPr>
      </w:pPr>
      <w:r w:rsidRPr="009A355D">
        <w:rPr>
          <w:rStyle w:val="FootnoteReference"/>
        </w:rPr>
        <w:footnoteRef/>
      </w:r>
      <w:r w:rsidRPr="009A355D">
        <w:rPr>
          <w:vertAlign w:val="baseline"/>
        </w:rPr>
        <w:t xml:space="preserve"> UN, ‘</w:t>
      </w:r>
      <w:r w:rsidRPr="009A355D">
        <w:rPr>
          <w:vertAlign w:val="baseline"/>
          <w:lang w:val="en-US"/>
        </w:rPr>
        <w:t>Report of the Fourt</w:t>
      </w:r>
      <w:r>
        <w:rPr>
          <w:vertAlign w:val="baseline"/>
          <w:lang w:val="en-US"/>
        </w:rPr>
        <w:t>h World Conference on Women’ (</w:t>
      </w:r>
      <w:r w:rsidRPr="009A355D">
        <w:rPr>
          <w:vertAlign w:val="baseline"/>
          <w:lang w:val="en-US"/>
        </w:rPr>
        <w:t>1995</w:t>
      </w:r>
      <w:r>
        <w:rPr>
          <w:vertAlign w:val="baseline"/>
          <w:lang w:val="en-US"/>
        </w:rPr>
        <w:t>)</w:t>
      </w:r>
      <w:r>
        <w:rPr>
          <w:rFonts w:eastAsia="Times New Roman" w:cs="Times New Roman"/>
        </w:rPr>
        <w:t xml:space="preserve"> </w:t>
      </w:r>
      <w:r w:rsidRPr="00F5747A">
        <w:rPr>
          <w:rFonts w:eastAsia="Times New Roman" w:cs="Times New Roman"/>
          <w:vertAlign w:val="baseline"/>
        </w:rPr>
        <w:t>A/CONF.177/20/Rev.1</w:t>
      </w:r>
    </w:p>
  </w:footnote>
  <w:footnote w:id="1030">
    <w:p w14:paraId="00CFF0CE" w14:textId="57FDD530" w:rsidR="00431A55" w:rsidRPr="009A355D" w:rsidRDefault="00431A55" w:rsidP="001C6724">
      <w:pPr>
        <w:pStyle w:val="FootnoteText"/>
        <w:rPr>
          <w:sz w:val="20"/>
          <w:szCs w:val="20"/>
          <w:vertAlign w:val="baseline"/>
          <w:lang w:val="en-US"/>
        </w:rPr>
      </w:pPr>
      <w:r w:rsidRPr="009A355D">
        <w:rPr>
          <w:rStyle w:val="FootnoteReference"/>
          <w:sz w:val="20"/>
          <w:szCs w:val="20"/>
        </w:rPr>
        <w:footnoteRef/>
      </w:r>
      <w:r w:rsidRPr="009A355D">
        <w:rPr>
          <w:sz w:val="20"/>
          <w:szCs w:val="20"/>
        </w:rPr>
        <w:t xml:space="preserve"> </w:t>
      </w:r>
      <w:r>
        <w:rPr>
          <w:sz w:val="20"/>
          <w:szCs w:val="20"/>
          <w:vertAlign w:val="baseline"/>
          <w:lang w:val="en-US"/>
        </w:rPr>
        <w:t>ibid</w:t>
      </w:r>
    </w:p>
  </w:footnote>
  <w:footnote w:id="1031">
    <w:p w14:paraId="4455AF21" w14:textId="7D448FB8" w:rsidR="00431A55" w:rsidRPr="0098391A" w:rsidRDefault="00431A55" w:rsidP="001C6724">
      <w:pPr>
        <w:jc w:val="both"/>
        <w:rPr>
          <w:color w:val="000000"/>
          <w:vertAlign w:val="baseline"/>
        </w:rPr>
      </w:pPr>
      <w:r w:rsidRPr="009A355D">
        <w:rPr>
          <w:rStyle w:val="FootnoteReference"/>
        </w:rPr>
        <w:footnoteRef/>
      </w:r>
      <w:r w:rsidRPr="009A355D">
        <w:t xml:space="preserve"> </w:t>
      </w:r>
      <w:r w:rsidRPr="009A355D">
        <w:rPr>
          <w:vertAlign w:val="baseline"/>
          <w:lang w:val="en-US"/>
        </w:rPr>
        <w:t xml:space="preserve">Speakers included: </w:t>
      </w:r>
      <w:r>
        <w:rPr>
          <w:color w:val="000000"/>
          <w:vertAlign w:val="baseline"/>
        </w:rPr>
        <w:t>Marta Santos Pais</w:t>
      </w:r>
      <w:r w:rsidRPr="009A355D">
        <w:rPr>
          <w:color w:val="000000"/>
          <w:vertAlign w:val="baseline"/>
        </w:rPr>
        <w:t>; Sam Togba Sleswion, International Network for the Prevention of Elder Abuse, Liberia; Gary Foxcroft, E</w:t>
      </w:r>
      <w:r>
        <w:rPr>
          <w:color w:val="000000"/>
          <w:vertAlign w:val="baseline"/>
        </w:rPr>
        <w:t>xecutive Director, WHRIN</w:t>
      </w:r>
      <w:r w:rsidRPr="0098391A">
        <w:rPr>
          <w:color w:val="000000"/>
          <w:vertAlign w:val="baseline"/>
        </w:rPr>
        <w:t>; Dr. Eleanor Nwadinobi, President, Widows Developm</w:t>
      </w:r>
      <w:r>
        <w:rPr>
          <w:color w:val="000000"/>
          <w:vertAlign w:val="baseline"/>
        </w:rPr>
        <w:t>ent Organization, Nigeria</w:t>
      </w:r>
      <w:r w:rsidRPr="0098391A">
        <w:rPr>
          <w:color w:val="000000"/>
          <w:vertAlign w:val="baseline"/>
        </w:rPr>
        <w:t>; Lois A. Herman, Coordin</w:t>
      </w:r>
      <w:r>
        <w:rPr>
          <w:color w:val="000000"/>
          <w:vertAlign w:val="baseline"/>
        </w:rPr>
        <w:t>ator Women's UN Report Network</w:t>
      </w:r>
      <w:r w:rsidRPr="0098391A">
        <w:rPr>
          <w:color w:val="000000"/>
          <w:vertAlign w:val="baseline"/>
        </w:rPr>
        <w:t>; Stephanie Ortoleva, President</w:t>
      </w:r>
      <w:r>
        <w:rPr>
          <w:color w:val="000000"/>
          <w:vertAlign w:val="baseline"/>
        </w:rPr>
        <w:t xml:space="preserve"> of Women Enabled International</w:t>
      </w:r>
      <w:r w:rsidRPr="0098391A">
        <w:rPr>
          <w:color w:val="000000"/>
          <w:vertAlign w:val="baseline"/>
        </w:rPr>
        <w:t>; Lys Anzia, Human Rights Journalist &amp; Foun</w:t>
      </w:r>
      <w:r>
        <w:rPr>
          <w:color w:val="000000"/>
          <w:vertAlign w:val="baseline"/>
        </w:rPr>
        <w:t>der of WNN-Women News Network; Cristina De Rossi</w:t>
      </w:r>
      <w:r w:rsidRPr="0098391A">
        <w:rPr>
          <w:color w:val="000000"/>
          <w:vertAlign w:val="baseline"/>
        </w:rPr>
        <w:t>, Writer on Gender,</w:t>
      </w:r>
      <w:r>
        <w:rPr>
          <w:color w:val="000000"/>
          <w:vertAlign w:val="baseline"/>
        </w:rPr>
        <w:t xml:space="preserve"> Anthropology &amp; Social Justice</w:t>
      </w:r>
    </w:p>
  </w:footnote>
  <w:footnote w:id="1032">
    <w:p w14:paraId="262C69D8" w14:textId="77777777" w:rsidR="00431A55" w:rsidRPr="0098391A" w:rsidRDefault="00431A55" w:rsidP="001C6724">
      <w:pPr>
        <w:pStyle w:val="FootnoteText"/>
        <w:rPr>
          <w:sz w:val="20"/>
          <w:szCs w:val="20"/>
          <w:vertAlign w:val="baseline"/>
          <w:lang w:val="en-US"/>
        </w:rPr>
      </w:pPr>
      <w:r w:rsidRPr="0098391A">
        <w:rPr>
          <w:rStyle w:val="FootnoteReference"/>
          <w:sz w:val="20"/>
          <w:szCs w:val="20"/>
        </w:rPr>
        <w:footnoteRef/>
      </w:r>
      <w:r w:rsidRPr="0098391A">
        <w:rPr>
          <w:sz w:val="20"/>
          <w:szCs w:val="20"/>
          <w:vertAlign w:val="baseline"/>
        </w:rPr>
        <w:t xml:space="preserve"> Special Representative of the Secretary General on Violence against Children</w:t>
      </w:r>
    </w:p>
  </w:footnote>
  <w:footnote w:id="1033">
    <w:p w14:paraId="10E55525" w14:textId="300F2905" w:rsidR="00431A55" w:rsidRPr="0098391A" w:rsidRDefault="00431A55" w:rsidP="001C6724">
      <w:pPr>
        <w:pStyle w:val="FootnoteText"/>
        <w:rPr>
          <w:sz w:val="20"/>
          <w:szCs w:val="20"/>
          <w:vertAlign w:val="baseline"/>
          <w:lang w:val="en-US"/>
        </w:rPr>
      </w:pPr>
      <w:r w:rsidRPr="0098391A">
        <w:rPr>
          <w:rStyle w:val="FootnoteReference"/>
          <w:sz w:val="20"/>
          <w:szCs w:val="20"/>
        </w:rPr>
        <w:footnoteRef/>
      </w:r>
      <w:r w:rsidRPr="0098391A">
        <w:rPr>
          <w:sz w:val="20"/>
          <w:szCs w:val="20"/>
          <w:vertAlign w:val="baseline"/>
        </w:rPr>
        <w:t xml:space="preserve"> </w:t>
      </w:r>
      <w:r w:rsidRPr="0098391A">
        <w:rPr>
          <w:sz w:val="20"/>
          <w:szCs w:val="20"/>
          <w:vertAlign w:val="baseline"/>
          <w:lang w:val="en-US"/>
        </w:rPr>
        <w:t>Marta Santos Pais, ‘Violence Against Child</w:t>
      </w:r>
      <w:r>
        <w:rPr>
          <w:sz w:val="20"/>
          <w:szCs w:val="20"/>
          <w:vertAlign w:val="baseline"/>
          <w:lang w:val="en-US"/>
        </w:rPr>
        <w:t xml:space="preserve">ren accused of Witchcraft’ (UNCSW </w:t>
      </w:r>
      <w:r w:rsidRPr="0098391A">
        <w:rPr>
          <w:sz w:val="20"/>
          <w:szCs w:val="20"/>
          <w:vertAlign w:val="baseline"/>
          <w:lang w:val="en-US"/>
        </w:rPr>
        <w:t>10th March 2015)</w:t>
      </w:r>
    </w:p>
  </w:footnote>
  <w:footnote w:id="1034">
    <w:p w14:paraId="49001F78" w14:textId="77777777" w:rsidR="00431A55" w:rsidRPr="00E0452D" w:rsidRDefault="00431A55" w:rsidP="001C6724">
      <w:pPr>
        <w:pStyle w:val="FootnoteText"/>
      </w:pPr>
      <w:r w:rsidRPr="0098391A">
        <w:rPr>
          <w:rStyle w:val="FootnoteReference"/>
          <w:sz w:val="20"/>
          <w:szCs w:val="20"/>
        </w:rPr>
        <w:footnoteRef/>
      </w:r>
      <w:r w:rsidRPr="0098391A">
        <w:rPr>
          <w:sz w:val="20"/>
          <w:szCs w:val="20"/>
        </w:rPr>
        <w:t xml:space="preserve"> </w:t>
      </w:r>
      <w:r w:rsidRPr="0098391A">
        <w:rPr>
          <w:sz w:val="20"/>
          <w:szCs w:val="20"/>
          <w:vertAlign w:val="baseline"/>
        </w:rPr>
        <w:t>UN Women, ‘About us’ &lt;</w:t>
      </w:r>
      <w:hyperlink r:id="rId121" w:history="1">
        <w:r w:rsidRPr="0098391A">
          <w:rPr>
            <w:rStyle w:val="Hyperlink"/>
            <w:sz w:val="20"/>
            <w:szCs w:val="20"/>
            <w:vertAlign w:val="baseline"/>
          </w:rPr>
          <w:t>http://www.unwomen.org/en/about-us/about-un-women</w:t>
        </w:r>
      </w:hyperlink>
      <w:r w:rsidRPr="0098391A">
        <w:rPr>
          <w:sz w:val="20"/>
          <w:szCs w:val="20"/>
          <w:vertAlign w:val="baseline"/>
        </w:rPr>
        <w:t>&gt; accessed 17 June 2015</w:t>
      </w:r>
    </w:p>
  </w:footnote>
  <w:footnote w:id="1035">
    <w:p w14:paraId="24C40CD2" w14:textId="277D0193" w:rsidR="00431A55" w:rsidRPr="0098391A" w:rsidRDefault="00431A55" w:rsidP="001C6724">
      <w:pPr>
        <w:pStyle w:val="FootnoteText"/>
        <w:rPr>
          <w:sz w:val="20"/>
          <w:szCs w:val="20"/>
          <w:vertAlign w:val="baseline"/>
          <w:lang w:val="en-US"/>
        </w:rPr>
      </w:pPr>
      <w:r w:rsidRPr="0098391A">
        <w:rPr>
          <w:rStyle w:val="FootnoteReference"/>
          <w:sz w:val="20"/>
          <w:szCs w:val="20"/>
        </w:rPr>
        <w:footnoteRef/>
      </w:r>
      <w:r>
        <w:rPr>
          <w:sz w:val="20"/>
          <w:szCs w:val="20"/>
        </w:rPr>
        <w:t xml:space="preserve"> </w:t>
      </w:r>
      <w:r>
        <w:rPr>
          <w:sz w:val="20"/>
          <w:szCs w:val="20"/>
          <w:vertAlign w:val="baseline"/>
          <w:lang w:val="en-US"/>
        </w:rPr>
        <w:t>ibid</w:t>
      </w:r>
    </w:p>
  </w:footnote>
  <w:footnote w:id="1036">
    <w:p w14:paraId="102CA00B" w14:textId="77777777" w:rsidR="00431A55" w:rsidRPr="0098391A" w:rsidRDefault="00431A55" w:rsidP="001C6724">
      <w:pPr>
        <w:pStyle w:val="FootnoteText"/>
        <w:rPr>
          <w:sz w:val="20"/>
          <w:szCs w:val="20"/>
          <w:vertAlign w:val="baseline"/>
          <w:lang w:val="en-US"/>
        </w:rPr>
      </w:pPr>
      <w:r w:rsidRPr="0098391A">
        <w:rPr>
          <w:rStyle w:val="FootnoteReference"/>
          <w:sz w:val="20"/>
          <w:szCs w:val="20"/>
        </w:rPr>
        <w:footnoteRef/>
      </w:r>
      <w:r w:rsidRPr="0098391A">
        <w:rPr>
          <w:sz w:val="20"/>
          <w:szCs w:val="20"/>
          <w:vertAlign w:val="baseline"/>
        </w:rPr>
        <w:t xml:space="preserve"> </w:t>
      </w:r>
      <w:r w:rsidRPr="0098391A">
        <w:rPr>
          <w:sz w:val="20"/>
          <w:szCs w:val="20"/>
          <w:vertAlign w:val="baseline"/>
          <w:lang w:val="en-US"/>
        </w:rPr>
        <w:t>UN Women, ‘UN Women calls on Member States and stakeholders to take urgent action against femicide’ (UN Women 26 June 2012) &lt;</w:t>
      </w:r>
      <w:hyperlink r:id="rId122" w:history="1">
        <w:r w:rsidRPr="0098391A">
          <w:rPr>
            <w:rStyle w:val="Hyperlink"/>
            <w:sz w:val="20"/>
            <w:szCs w:val="20"/>
            <w:vertAlign w:val="baseline"/>
            <w:lang w:val="en-US"/>
          </w:rPr>
          <w:t>http://www.unwomen.org/en/news/stories/2012/6/un-women-calls-on-member-states-and-stakeholders-to-take-urgent-action-against-femicide</w:t>
        </w:r>
      </w:hyperlink>
      <w:r w:rsidRPr="0098391A">
        <w:rPr>
          <w:sz w:val="20"/>
          <w:szCs w:val="20"/>
          <w:vertAlign w:val="baseline"/>
          <w:lang w:val="en-US"/>
        </w:rPr>
        <w:t>&gt; accessed 17 June 2015; UN Women, ‘Closing remarks by Michelle Bachelet at high level event on Strengthening Women’s Access to Justice’ (UN Women 24 September 2012) &lt;</w:t>
      </w:r>
      <w:hyperlink r:id="rId123" w:history="1">
        <w:r w:rsidRPr="0098391A">
          <w:rPr>
            <w:rStyle w:val="Hyperlink"/>
            <w:sz w:val="20"/>
            <w:szCs w:val="20"/>
            <w:vertAlign w:val="baseline"/>
            <w:lang w:val="en-US"/>
          </w:rPr>
          <w:t>http://www.unwomen.org/en/news/stories/2012/9/closing-remarks-by-michelle-bachelet-at-high-level-event-on-strengthening-women-s-access-to-justice</w:t>
        </w:r>
      </w:hyperlink>
      <w:r w:rsidRPr="0098391A">
        <w:rPr>
          <w:sz w:val="20"/>
          <w:szCs w:val="20"/>
          <w:vertAlign w:val="baseline"/>
          <w:lang w:val="en-US"/>
        </w:rPr>
        <w:t>&gt; accessed 17 June 2015; UN Women, ‘Speech by Michelle Bachelet: Reclaiming Public Spaces for the Empowerment of Power and Girls’ (UN Women 7 March 2013) &lt;</w:t>
      </w:r>
      <w:hyperlink r:id="rId124" w:history="1">
        <w:r w:rsidRPr="0098391A">
          <w:rPr>
            <w:rStyle w:val="Hyperlink"/>
            <w:sz w:val="20"/>
            <w:szCs w:val="20"/>
            <w:vertAlign w:val="baseline"/>
            <w:lang w:val="en-US"/>
          </w:rPr>
          <w:t>http://www.unwomen.org/en/news/stories/2013/3/speech-by-michelle-bachelet-reclaiming-public-spaces-for-the-empowerment-of-women-and-girls</w:t>
        </w:r>
      </w:hyperlink>
      <w:r w:rsidRPr="0098391A">
        <w:rPr>
          <w:sz w:val="20"/>
          <w:szCs w:val="20"/>
          <w:vertAlign w:val="baseline"/>
          <w:lang w:val="en-US"/>
        </w:rPr>
        <w:t>&gt; accessed 17 June 2015; UN Women, ‘Preventing and ending violence against women is at the heart of the UN Women’s mission: John Hendra’ (UN Women 18 October 2013) &lt;</w:t>
      </w:r>
      <w:hyperlink r:id="rId125" w:history="1">
        <w:r w:rsidRPr="0098391A">
          <w:rPr>
            <w:rStyle w:val="Hyperlink"/>
            <w:sz w:val="20"/>
            <w:szCs w:val="20"/>
            <w:vertAlign w:val="baseline"/>
            <w:lang w:val="en-US"/>
          </w:rPr>
          <w:t>http://www.unwomen.org/en/news/stories/2013/10/remarks-by-ded-john-hendra-on-taking-action-against-killings-of-women</w:t>
        </w:r>
      </w:hyperlink>
      <w:r w:rsidRPr="0098391A">
        <w:rPr>
          <w:sz w:val="20"/>
          <w:szCs w:val="20"/>
          <w:vertAlign w:val="baseline"/>
          <w:lang w:val="en-US"/>
        </w:rPr>
        <w:t>&gt; accessed 17 June 2015</w:t>
      </w:r>
    </w:p>
  </w:footnote>
  <w:footnote w:id="1037">
    <w:p w14:paraId="1B0491FA" w14:textId="253BA37C" w:rsidR="00431A55" w:rsidRPr="0098391A" w:rsidRDefault="00431A55" w:rsidP="001C6724">
      <w:pPr>
        <w:pStyle w:val="FootnoteText"/>
        <w:rPr>
          <w:sz w:val="20"/>
          <w:szCs w:val="20"/>
          <w:vertAlign w:val="baseline"/>
          <w:lang w:val="en-US"/>
        </w:rPr>
      </w:pPr>
      <w:r w:rsidRPr="0098391A">
        <w:rPr>
          <w:rStyle w:val="FootnoteReference"/>
          <w:sz w:val="20"/>
          <w:szCs w:val="20"/>
        </w:rPr>
        <w:footnoteRef/>
      </w:r>
      <w:r w:rsidRPr="0098391A">
        <w:rPr>
          <w:sz w:val="20"/>
          <w:szCs w:val="20"/>
          <w:vertAlign w:val="baseline"/>
        </w:rPr>
        <w:t xml:space="preserve"> </w:t>
      </w:r>
      <w:r w:rsidRPr="0098391A">
        <w:rPr>
          <w:sz w:val="20"/>
          <w:szCs w:val="20"/>
          <w:vertAlign w:val="baseline"/>
          <w:lang w:val="en-US"/>
        </w:rPr>
        <w:t xml:space="preserve">UN Women, </w:t>
      </w:r>
      <w:r>
        <w:rPr>
          <w:sz w:val="20"/>
          <w:szCs w:val="20"/>
          <w:vertAlign w:val="baseline"/>
          <w:lang w:val="en-US"/>
        </w:rPr>
        <w:t>‘Speech by Michelle Bachelet’</w:t>
      </w:r>
      <w:r w:rsidRPr="0098391A">
        <w:rPr>
          <w:sz w:val="20"/>
          <w:szCs w:val="20"/>
          <w:vertAlign w:val="baseline"/>
          <w:lang w:val="en-US"/>
        </w:rPr>
        <w:t xml:space="preserve"> (</w:t>
      </w:r>
      <w:r>
        <w:rPr>
          <w:sz w:val="20"/>
          <w:szCs w:val="20"/>
          <w:vertAlign w:val="baseline"/>
          <w:lang w:val="en-US"/>
        </w:rPr>
        <w:t>n 1036)</w:t>
      </w:r>
      <w:r w:rsidRPr="0098391A">
        <w:rPr>
          <w:sz w:val="20"/>
          <w:szCs w:val="20"/>
          <w:vertAlign w:val="baseline"/>
          <w:lang w:val="en-US"/>
        </w:rPr>
        <w:t xml:space="preserve">; UN Women, </w:t>
      </w:r>
      <w:r>
        <w:rPr>
          <w:sz w:val="20"/>
          <w:szCs w:val="20"/>
          <w:vertAlign w:val="baseline"/>
          <w:lang w:val="en-US"/>
        </w:rPr>
        <w:t>‘</w:t>
      </w:r>
      <w:r w:rsidRPr="0098391A">
        <w:rPr>
          <w:sz w:val="20"/>
          <w:szCs w:val="20"/>
          <w:vertAlign w:val="baseline"/>
          <w:lang w:val="en-US"/>
        </w:rPr>
        <w:t>John Hendra’ (</w:t>
      </w:r>
      <w:r>
        <w:rPr>
          <w:sz w:val="20"/>
          <w:szCs w:val="20"/>
          <w:vertAlign w:val="baseline"/>
          <w:lang w:val="en-US"/>
        </w:rPr>
        <w:t>n 1036)</w:t>
      </w:r>
    </w:p>
  </w:footnote>
  <w:footnote w:id="1038">
    <w:p w14:paraId="1960DE58" w14:textId="6EF1405E" w:rsidR="00431A55" w:rsidRPr="00FB7127" w:rsidRDefault="00431A55" w:rsidP="001C6724">
      <w:pPr>
        <w:pStyle w:val="FootnoteText"/>
        <w:rPr>
          <w:lang w:val="en-US"/>
        </w:rPr>
      </w:pPr>
      <w:r w:rsidRPr="0098391A">
        <w:rPr>
          <w:rStyle w:val="FootnoteReference"/>
          <w:sz w:val="20"/>
          <w:szCs w:val="20"/>
        </w:rPr>
        <w:footnoteRef/>
      </w:r>
      <w:r w:rsidRPr="0098391A">
        <w:rPr>
          <w:sz w:val="20"/>
          <w:szCs w:val="20"/>
          <w:vertAlign w:val="baseline"/>
        </w:rPr>
        <w:t xml:space="preserve"> </w:t>
      </w:r>
      <w:r>
        <w:rPr>
          <w:sz w:val="20"/>
          <w:szCs w:val="20"/>
          <w:vertAlign w:val="baseline"/>
          <w:lang w:val="en-US"/>
        </w:rPr>
        <w:t>Section 4.4.4, 156</w:t>
      </w:r>
    </w:p>
  </w:footnote>
  <w:footnote w:id="1039">
    <w:p w14:paraId="343E8420" w14:textId="77777777" w:rsidR="00431A55" w:rsidRPr="001E62AB" w:rsidRDefault="00431A55" w:rsidP="001C6724">
      <w:pPr>
        <w:pStyle w:val="FootnoteText"/>
        <w:rPr>
          <w:sz w:val="20"/>
          <w:szCs w:val="20"/>
          <w:vertAlign w:val="baseline"/>
          <w:lang w:val="en-US"/>
        </w:rPr>
      </w:pPr>
      <w:r w:rsidRPr="001E62AB">
        <w:rPr>
          <w:rStyle w:val="FootnoteReference"/>
          <w:sz w:val="20"/>
          <w:szCs w:val="20"/>
        </w:rPr>
        <w:footnoteRef/>
      </w:r>
      <w:r w:rsidRPr="001E62AB">
        <w:rPr>
          <w:sz w:val="20"/>
          <w:szCs w:val="20"/>
          <w:vertAlign w:val="baseline"/>
        </w:rPr>
        <w:t xml:space="preserve"> </w:t>
      </w:r>
      <w:r w:rsidRPr="001E62AB">
        <w:rPr>
          <w:sz w:val="20"/>
          <w:szCs w:val="20"/>
          <w:vertAlign w:val="baseline"/>
          <w:lang w:val="en-US"/>
        </w:rPr>
        <w:t>Isabelle Arradon quoted in ‘Papua New Guinea repeals Sorcery Act whilst moving closer to executions’ (Amnesty International 28 May 2013) &lt;</w:t>
      </w:r>
      <w:hyperlink r:id="rId126" w:history="1">
        <w:r w:rsidRPr="001E62AB">
          <w:rPr>
            <w:rStyle w:val="Hyperlink"/>
            <w:sz w:val="20"/>
            <w:szCs w:val="20"/>
            <w:vertAlign w:val="baseline"/>
            <w:lang w:val="en-US"/>
          </w:rPr>
          <w:t>https://www.amnesty.org/en/articles/news/2013/05/papua-new-guinea-repeals-sorcery-act-while-moving-closer-executions/</w:t>
        </w:r>
      </w:hyperlink>
      <w:r w:rsidRPr="001E62AB">
        <w:rPr>
          <w:sz w:val="20"/>
          <w:szCs w:val="20"/>
          <w:vertAlign w:val="baseline"/>
          <w:lang w:val="en-US"/>
        </w:rPr>
        <w:t>&gt; accessed 17 June 2015</w:t>
      </w:r>
    </w:p>
  </w:footnote>
  <w:footnote w:id="1040">
    <w:p w14:paraId="5D5F9544" w14:textId="6770D6F6" w:rsidR="00431A55" w:rsidRPr="009C40E6" w:rsidRDefault="00431A55" w:rsidP="001C6724">
      <w:pPr>
        <w:rPr>
          <w:rFonts w:ascii="Times" w:eastAsia="Times New Roman" w:hAnsi="Times" w:cs="Times New Roman"/>
        </w:rPr>
      </w:pPr>
      <w:r w:rsidRPr="001E62AB">
        <w:rPr>
          <w:rStyle w:val="FootnoteReference"/>
        </w:rPr>
        <w:footnoteRef/>
      </w:r>
      <w:r w:rsidRPr="001E62AB">
        <w:t xml:space="preserve"> </w:t>
      </w:r>
      <w:r w:rsidRPr="001E62AB">
        <w:rPr>
          <w:vertAlign w:val="baseline"/>
          <w:lang w:val="en-US"/>
        </w:rPr>
        <w:t xml:space="preserve">African (Banjul) Charter on Human and People’s Rights, </w:t>
      </w:r>
      <w:r w:rsidRPr="001E62AB">
        <w:rPr>
          <w:rFonts w:eastAsia="Times New Roman" w:cs="Times New Roman"/>
          <w:vertAlign w:val="baseline"/>
        </w:rPr>
        <w:t>Adopted 27 June 1981, OAU Doc. CAB/LEG/67/3 rev. 5, 21 I.L.M. 58 (1982), entered into force 21 October 1986</w:t>
      </w:r>
    </w:p>
  </w:footnote>
  <w:footnote w:id="1041">
    <w:p w14:paraId="36EE4325" w14:textId="11A42D39" w:rsidR="00431A55" w:rsidRPr="00EA44C5" w:rsidRDefault="00431A55" w:rsidP="001C6724">
      <w:pPr>
        <w:pStyle w:val="FootnoteText"/>
        <w:rPr>
          <w:sz w:val="20"/>
          <w:szCs w:val="20"/>
          <w:vertAlign w:val="baseline"/>
          <w:lang w:val="en-US"/>
        </w:rPr>
      </w:pPr>
      <w:r w:rsidRPr="00884E58">
        <w:rPr>
          <w:rStyle w:val="FootnoteReference"/>
          <w:sz w:val="20"/>
          <w:szCs w:val="20"/>
        </w:rPr>
        <w:footnoteRef/>
      </w:r>
      <w:r w:rsidRPr="006F572F">
        <w:rPr>
          <w:sz w:val="20"/>
          <w:szCs w:val="20"/>
          <w:vertAlign w:val="baseline"/>
        </w:rPr>
        <w:t xml:space="preserve"> Preamble to the </w:t>
      </w:r>
      <w:r w:rsidRPr="006F572F">
        <w:rPr>
          <w:sz w:val="20"/>
          <w:szCs w:val="20"/>
          <w:vertAlign w:val="baseline"/>
          <w:lang w:val="en-US"/>
        </w:rPr>
        <w:t xml:space="preserve">African (Banjul) Charter on Human and People’s Rights, </w:t>
      </w:r>
      <w:r w:rsidRPr="006F572F">
        <w:rPr>
          <w:rFonts w:eastAsia="Times New Roman" w:cs="Times New Roman"/>
          <w:sz w:val="20"/>
          <w:szCs w:val="20"/>
          <w:vertAlign w:val="baseline"/>
        </w:rPr>
        <w:t xml:space="preserve">Adopted 27 June 1981, </w:t>
      </w:r>
      <w:r w:rsidRPr="00EA44C5">
        <w:rPr>
          <w:rFonts w:eastAsia="Times New Roman" w:cs="Times New Roman"/>
          <w:sz w:val="20"/>
          <w:szCs w:val="20"/>
          <w:vertAlign w:val="baseline"/>
        </w:rPr>
        <w:t>OAU Doc. CAB/LEG/67/3 rev. 5, 21 I.L.M. 58 (1982), ent</w:t>
      </w:r>
      <w:r>
        <w:rPr>
          <w:rFonts w:eastAsia="Times New Roman" w:cs="Times New Roman"/>
          <w:sz w:val="20"/>
          <w:szCs w:val="20"/>
          <w:vertAlign w:val="baseline"/>
        </w:rPr>
        <w:t>ered into force 21 October 1986</w:t>
      </w:r>
    </w:p>
  </w:footnote>
  <w:footnote w:id="1042">
    <w:p w14:paraId="182EF5F9" w14:textId="642C3DC3" w:rsidR="00431A55" w:rsidRPr="00EA44C5" w:rsidRDefault="00431A55">
      <w:pPr>
        <w:pStyle w:val="FootnoteText"/>
        <w:rPr>
          <w:sz w:val="20"/>
          <w:szCs w:val="20"/>
          <w:vertAlign w:val="baseline"/>
          <w:lang w:val="en-US"/>
        </w:rPr>
      </w:pPr>
      <w:r w:rsidRPr="00EA44C5">
        <w:rPr>
          <w:rStyle w:val="FootnoteReference"/>
          <w:sz w:val="20"/>
          <w:szCs w:val="20"/>
        </w:rPr>
        <w:footnoteRef/>
      </w:r>
      <w:r>
        <w:t xml:space="preserve"> </w:t>
      </w:r>
      <w:r>
        <w:rPr>
          <w:sz w:val="20"/>
          <w:szCs w:val="20"/>
          <w:vertAlign w:val="baseline"/>
        </w:rPr>
        <w:t>Entering into force on 25 November 2005</w:t>
      </w:r>
    </w:p>
  </w:footnote>
  <w:footnote w:id="1043">
    <w:p w14:paraId="6D92BC6E" w14:textId="6267AC50" w:rsidR="00431A55" w:rsidRPr="006F572F" w:rsidRDefault="00431A55" w:rsidP="001C6724">
      <w:pPr>
        <w:rPr>
          <w:rFonts w:ascii="Times" w:eastAsia="Times New Roman" w:hAnsi="Times" w:cs="Times New Roman"/>
          <w:vertAlign w:val="baseline"/>
        </w:rPr>
      </w:pPr>
      <w:r w:rsidRPr="00884E58">
        <w:rPr>
          <w:rStyle w:val="FootnoteReference"/>
        </w:rPr>
        <w:footnoteRef/>
      </w:r>
      <w:r w:rsidRPr="006F572F">
        <w:rPr>
          <w:vertAlign w:val="baseline"/>
        </w:rPr>
        <w:t xml:space="preserve"> </w:t>
      </w:r>
      <w:r w:rsidRPr="006F572F">
        <w:rPr>
          <w:vertAlign w:val="baseline"/>
          <w:lang w:val="en-US"/>
        </w:rPr>
        <w:t>Equality Now, ‘</w:t>
      </w:r>
      <w:r w:rsidRPr="006F572F">
        <w:rPr>
          <w:rFonts w:eastAsia="Times New Roman" w:cs="Times New Roman"/>
          <w:vertAlign w:val="baseline"/>
        </w:rPr>
        <w:t>A Guide to Using the Protocol on the Rights of Women in Africa for Legal Action’ (</w:t>
      </w:r>
      <w:r w:rsidRPr="006F572F">
        <w:rPr>
          <w:rFonts w:eastAsia="Times New Roman" w:cs="Times New Roman"/>
          <w:i/>
          <w:vertAlign w:val="baseline"/>
        </w:rPr>
        <w:t>Equality Now,</w:t>
      </w:r>
      <w:r w:rsidRPr="006F572F">
        <w:rPr>
          <w:rFonts w:eastAsia="Times New Roman" w:cs="Times New Roman"/>
          <w:vertAlign w:val="baseline"/>
        </w:rPr>
        <w:t xml:space="preserve"> 2011) 2</w:t>
      </w:r>
    </w:p>
  </w:footnote>
  <w:footnote w:id="1044">
    <w:p w14:paraId="3153A792" w14:textId="27C6A605" w:rsidR="00431A55" w:rsidRPr="006F572F" w:rsidRDefault="00431A55" w:rsidP="001C6724">
      <w:pPr>
        <w:pStyle w:val="FootnoteText"/>
        <w:jc w:val="both"/>
        <w:rPr>
          <w:sz w:val="20"/>
          <w:szCs w:val="20"/>
          <w:vertAlign w:val="baseline"/>
        </w:rPr>
      </w:pPr>
      <w:r w:rsidRPr="00884E58">
        <w:rPr>
          <w:rStyle w:val="FootnoteReference"/>
          <w:sz w:val="20"/>
          <w:szCs w:val="20"/>
        </w:rPr>
        <w:footnoteRef/>
      </w:r>
      <w:r w:rsidRPr="00884E58">
        <w:rPr>
          <w:sz w:val="20"/>
          <w:szCs w:val="20"/>
        </w:rPr>
        <w:t xml:space="preserve"> </w:t>
      </w:r>
      <w:r w:rsidRPr="006F572F">
        <w:rPr>
          <w:sz w:val="20"/>
          <w:szCs w:val="20"/>
          <w:vertAlign w:val="baseline"/>
        </w:rPr>
        <w:t xml:space="preserve">‘Discrimination against women’ means any distinction, exclusion or restriction or any differential treatment based on sex and whose objectives or effects compromise or destroy the recognition, enjoyment or the exercise by women, regardless of their marital status, of human rights and fundamental </w:t>
      </w:r>
      <w:r>
        <w:rPr>
          <w:sz w:val="20"/>
          <w:szCs w:val="20"/>
          <w:vertAlign w:val="baseline"/>
        </w:rPr>
        <w:t>freedoms in all spheres of life</w:t>
      </w:r>
    </w:p>
  </w:footnote>
  <w:footnote w:id="1045">
    <w:p w14:paraId="71505D2F" w14:textId="0ADBC3FE" w:rsidR="00431A55" w:rsidRPr="005D7CEB" w:rsidRDefault="00431A55" w:rsidP="001C6724">
      <w:pPr>
        <w:jc w:val="both"/>
        <w:rPr>
          <w:rFonts w:ascii="Times" w:eastAsia="Times New Roman" w:hAnsi="Times" w:cs="Times New Roman"/>
        </w:rPr>
      </w:pPr>
      <w:r w:rsidRPr="00884E58">
        <w:rPr>
          <w:rStyle w:val="FootnoteReference"/>
        </w:rPr>
        <w:footnoteRef/>
      </w:r>
      <w:r w:rsidRPr="00884E58">
        <w:t xml:space="preserve"> </w:t>
      </w:r>
      <w:r w:rsidRPr="006F572F">
        <w:rPr>
          <w:vertAlign w:val="baseline"/>
        </w:rPr>
        <w:t>‘</w:t>
      </w:r>
      <w:r w:rsidRPr="006F572F">
        <w:rPr>
          <w:rFonts w:eastAsia="Times New Roman" w:cs="Times New Roman"/>
          <w:vertAlign w:val="baseline"/>
        </w:rPr>
        <w:t>Harmful Practices’ means all behaviour, attitudes and/or practices which negatively affect the fundamental rights of women and girls, such as their right to life, health, dignity, education and physical integrity</w:t>
      </w:r>
    </w:p>
  </w:footnote>
  <w:footnote w:id="1046">
    <w:p w14:paraId="3313C96A" w14:textId="2BFAA744" w:rsidR="00431A55" w:rsidRPr="00852A95" w:rsidRDefault="00431A55" w:rsidP="001C6724">
      <w:pPr>
        <w:jc w:val="both"/>
        <w:rPr>
          <w:rFonts w:ascii="Times" w:eastAsia="Times New Roman" w:hAnsi="Times" w:cs="Times New Roman"/>
          <w:vertAlign w:val="baseline"/>
        </w:rPr>
      </w:pPr>
      <w:r w:rsidRPr="00852A95">
        <w:rPr>
          <w:rStyle w:val="FootnoteReference"/>
        </w:rPr>
        <w:footnoteRef/>
      </w:r>
      <w:r w:rsidRPr="00852A95">
        <w:t xml:space="preserve"> </w:t>
      </w:r>
      <w:r w:rsidRPr="00852A95">
        <w:rPr>
          <w:rFonts w:ascii="Times" w:eastAsia="Times New Roman" w:hAnsi="Times" w:cs="Times New Roman"/>
          <w:vertAlign w:val="baseline"/>
        </w:rPr>
        <w:t>‘</w:t>
      </w:r>
      <w:r w:rsidRPr="00852A95">
        <w:rPr>
          <w:rFonts w:eastAsia="Times New Roman" w:cs="Times New Roman"/>
          <w:vertAlign w:val="baseline"/>
        </w:rPr>
        <w:t>Violence against women’ means all acts perpetrated against women which cause or could cause them physical, sexual, psychological, and economic harm, including the threat to take such acts, or to undertake the imposition of arbitrary restrictions on or deprivation of fundamental freedoms in private or public life in peace time and during situations of armed conflicts or of war</w:t>
      </w:r>
    </w:p>
  </w:footnote>
  <w:footnote w:id="1047">
    <w:p w14:paraId="1922AC5F" w14:textId="3CA96C1A" w:rsidR="00431A55" w:rsidRPr="00852A95" w:rsidRDefault="00431A55" w:rsidP="001C6724">
      <w:pPr>
        <w:pStyle w:val="FootnoteText"/>
        <w:rPr>
          <w:sz w:val="20"/>
          <w:szCs w:val="20"/>
          <w:vertAlign w:val="baseline"/>
          <w:lang w:val="en-US"/>
        </w:rPr>
      </w:pPr>
      <w:r w:rsidRPr="00852A95">
        <w:rPr>
          <w:rStyle w:val="FootnoteReference"/>
          <w:sz w:val="20"/>
          <w:szCs w:val="20"/>
        </w:rPr>
        <w:footnoteRef/>
      </w:r>
      <w:r w:rsidRPr="00852A95">
        <w:rPr>
          <w:sz w:val="20"/>
          <w:szCs w:val="20"/>
          <w:vertAlign w:val="baseline"/>
        </w:rPr>
        <w:t xml:space="preserve"> </w:t>
      </w:r>
      <w:r w:rsidRPr="00852A95">
        <w:rPr>
          <w:sz w:val="20"/>
          <w:szCs w:val="20"/>
          <w:vertAlign w:val="baseline"/>
          <w:lang w:val="en-US"/>
        </w:rPr>
        <w:t>Equality Now</w:t>
      </w:r>
      <w:r>
        <w:rPr>
          <w:sz w:val="20"/>
          <w:szCs w:val="20"/>
          <w:vertAlign w:val="baseline"/>
          <w:lang w:val="en-US"/>
        </w:rPr>
        <w:t xml:space="preserve"> (n 1043) </w:t>
      </w:r>
      <w:r>
        <w:rPr>
          <w:rFonts w:eastAsia="Times New Roman" w:cs="Times New Roman"/>
          <w:sz w:val="20"/>
          <w:szCs w:val="20"/>
          <w:vertAlign w:val="baseline"/>
        </w:rPr>
        <w:t>10</w:t>
      </w:r>
    </w:p>
  </w:footnote>
  <w:footnote w:id="1048">
    <w:p w14:paraId="623B6937" w14:textId="4F6F83D7" w:rsidR="00431A55" w:rsidRPr="00852A95" w:rsidRDefault="00431A55" w:rsidP="001C6724">
      <w:pPr>
        <w:pStyle w:val="FootnoteText"/>
        <w:rPr>
          <w:sz w:val="20"/>
          <w:szCs w:val="20"/>
          <w:vertAlign w:val="baseline"/>
          <w:lang w:val="en-US"/>
        </w:rPr>
      </w:pPr>
      <w:r w:rsidRPr="00852A95">
        <w:rPr>
          <w:rStyle w:val="FootnoteReference"/>
          <w:sz w:val="20"/>
          <w:szCs w:val="20"/>
        </w:rPr>
        <w:footnoteRef/>
      </w:r>
      <w:r w:rsidRPr="00852A95">
        <w:rPr>
          <w:sz w:val="20"/>
          <w:szCs w:val="20"/>
        </w:rPr>
        <w:t xml:space="preserve"> </w:t>
      </w:r>
      <w:r>
        <w:rPr>
          <w:sz w:val="20"/>
          <w:szCs w:val="20"/>
          <w:vertAlign w:val="baseline"/>
          <w:lang w:val="en-US"/>
        </w:rPr>
        <w:t>ibid</w:t>
      </w:r>
    </w:p>
  </w:footnote>
  <w:footnote w:id="1049">
    <w:p w14:paraId="1C403F5F" w14:textId="2E009337" w:rsidR="00431A55" w:rsidRPr="002F0D62" w:rsidRDefault="00431A55" w:rsidP="001C6724">
      <w:pPr>
        <w:pStyle w:val="FootnoteText"/>
        <w:rPr>
          <w:lang w:val="en-US"/>
        </w:rPr>
      </w:pPr>
      <w:r w:rsidRPr="00852A95">
        <w:rPr>
          <w:rStyle w:val="FootnoteReference"/>
          <w:sz w:val="20"/>
          <w:szCs w:val="20"/>
        </w:rPr>
        <w:footnoteRef/>
      </w:r>
      <w:r w:rsidRPr="00852A95">
        <w:rPr>
          <w:sz w:val="20"/>
          <w:szCs w:val="20"/>
          <w:vertAlign w:val="baseline"/>
        </w:rPr>
        <w:t xml:space="preserve"> </w:t>
      </w:r>
      <w:r>
        <w:rPr>
          <w:sz w:val="20"/>
          <w:szCs w:val="20"/>
          <w:vertAlign w:val="baseline"/>
          <w:lang w:val="en-US"/>
        </w:rPr>
        <w:t>ibid</w:t>
      </w:r>
      <w:r w:rsidRPr="00852A95">
        <w:rPr>
          <w:rFonts w:eastAsia="Times New Roman" w:cs="Times New Roman"/>
          <w:sz w:val="20"/>
          <w:szCs w:val="20"/>
          <w:vertAlign w:val="baseline"/>
        </w:rPr>
        <w:t xml:space="preserve"> 11</w:t>
      </w:r>
    </w:p>
  </w:footnote>
  <w:footnote w:id="1050">
    <w:p w14:paraId="67CBD190" w14:textId="5FF105E1" w:rsidR="00431A55" w:rsidRPr="00A4094E" w:rsidRDefault="00431A55" w:rsidP="001C6724">
      <w:pPr>
        <w:jc w:val="both"/>
        <w:rPr>
          <w:rFonts w:eastAsia="Times New Roman" w:cs="Times New Roman"/>
          <w:vertAlign w:val="baseline"/>
        </w:rPr>
      </w:pPr>
      <w:r w:rsidRPr="00A4094E">
        <w:rPr>
          <w:rStyle w:val="FootnoteReference"/>
        </w:rPr>
        <w:footnoteRef/>
      </w:r>
      <w:r w:rsidRPr="00A4094E">
        <w:rPr>
          <w:vertAlign w:val="baseline"/>
        </w:rPr>
        <w:t xml:space="preserve"> Article 16 states, ‘</w:t>
      </w:r>
      <w:r w:rsidRPr="00A4094E">
        <w:rPr>
          <w:rFonts w:eastAsia="Times New Roman" w:cs="Times New Roman"/>
          <w:vertAlign w:val="baseline"/>
        </w:rPr>
        <w:t>Women shall have the right to equal access to housing and to acceptable living condi</w:t>
      </w:r>
      <w:r>
        <w:rPr>
          <w:rFonts w:eastAsia="Times New Roman" w:cs="Times New Roman"/>
          <w:vertAlign w:val="baseline"/>
        </w:rPr>
        <w:t>tions in a healthy environment.’</w:t>
      </w:r>
    </w:p>
  </w:footnote>
  <w:footnote w:id="1051">
    <w:p w14:paraId="1133680B" w14:textId="6279ED50" w:rsidR="00431A55" w:rsidRPr="00A4094E" w:rsidRDefault="00431A55" w:rsidP="001C6724">
      <w:pPr>
        <w:jc w:val="both"/>
        <w:rPr>
          <w:rFonts w:ascii="Times" w:eastAsia="Times New Roman" w:hAnsi="Times" w:cs="Times New Roman"/>
          <w:vertAlign w:val="baseline"/>
        </w:rPr>
      </w:pPr>
      <w:r w:rsidRPr="00A4094E">
        <w:rPr>
          <w:rStyle w:val="FootnoteReference"/>
        </w:rPr>
        <w:footnoteRef/>
      </w:r>
      <w:r w:rsidRPr="00A4094E">
        <w:t xml:space="preserve"> </w:t>
      </w:r>
      <w:r w:rsidRPr="00A4094E">
        <w:rPr>
          <w:vertAlign w:val="baseline"/>
        </w:rPr>
        <w:t>Article 20 states, ‘</w:t>
      </w:r>
      <w:r w:rsidRPr="00A4094E">
        <w:rPr>
          <w:rFonts w:eastAsia="Times New Roman" w:cs="Times New Roman"/>
          <w:vertAlign w:val="baseline"/>
        </w:rPr>
        <w:t>States Parties shall take appropriate legal measures to ensure that widows enjoy all human rights through the implementation of the following provisions: a) that widows are not subjected to inhuman, humiliating or degrading treatment; b) that a widow shall automatically become the guardian and custodian of her children, after the death of her husband, unless this is contrary to the interests and the welfare of the children; 19 c) that a widow shall have the right to remarry, and in that event, to</w:t>
      </w:r>
      <w:r>
        <w:rPr>
          <w:rFonts w:eastAsia="Times New Roman" w:cs="Times New Roman"/>
          <w:vertAlign w:val="baseline"/>
        </w:rPr>
        <w:t xml:space="preserve"> marry the person of her choice</w:t>
      </w:r>
      <w:r w:rsidRPr="00A4094E">
        <w:rPr>
          <w:rFonts w:eastAsia="Times New Roman" w:cs="Times New Roman"/>
          <w:vertAlign w:val="baseline"/>
        </w:rPr>
        <w:t>’</w:t>
      </w:r>
    </w:p>
  </w:footnote>
  <w:footnote w:id="1052">
    <w:p w14:paraId="7C2B2298" w14:textId="40DA58EE" w:rsidR="00431A55" w:rsidRPr="00A4094E" w:rsidRDefault="00431A55" w:rsidP="001C6724">
      <w:pPr>
        <w:rPr>
          <w:rFonts w:ascii="Times" w:eastAsia="Times New Roman" w:hAnsi="Times" w:cs="Times New Roman"/>
          <w:vertAlign w:val="baseline"/>
        </w:rPr>
      </w:pPr>
      <w:r w:rsidRPr="00A4094E">
        <w:rPr>
          <w:rStyle w:val="FootnoteReference"/>
        </w:rPr>
        <w:footnoteRef/>
      </w:r>
      <w:r w:rsidRPr="00A4094E">
        <w:t xml:space="preserve"> </w:t>
      </w:r>
      <w:r>
        <w:rPr>
          <w:vertAlign w:val="baseline"/>
        </w:rPr>
        <w:t>Article 22 states, ‘</w:t>
      </w:r>
      <w:r w:rsidRPr="00A4094E">
        <w:rPr>
          <w:rFonts w:eastAsia="Times New Roman" w:cs="Times New Roman"/>
          <w:vertAlign w:val="baseline"/>
        </w:rPr>
        <w:t>States Parties undertake to: a) provide protection to elderly women and take specific measures commensurate with their physical, economic and social needs as well as their access to employment and professional training; b) ensure the right of elderly women to freedom from violence, including sexual abuse, discrimination based on age and the r</w:t>
      </w:r>
      <w:r>
        <w:rPr>
          <w:rFonts w:eastAsia="Times New Roman" w:cs="Times New Roman"/>
          <w:vertAlign w:val="baseline"/>
        </w:rPr>
        <w:t>ight to be treated with dignity</w:t>
      </w:r>
      <w:r w:rsidRPr="00A4094E">
        <w:rPr>
          <w:rFonts w:eastAsia="Times New Roman" w:cs="Times New Roman"/>
          <w:vertAlign w:val="baseline"/>
        </w:rPr>
        <w:t>’</w:t>
      </w:r>
    </w:p>
  </w:footnote>
  <w:footnote w:id="1053">
    <w:p w14:paraId="33086B62" w14:textId="7D6F7ED7" w:rsidR="00431A55" w:rsidRPr="00F62D2C" w:rsidRDefault="00431A55">
      <w:pPr>
        <w:pStyle w:val="FootnoteText"/>
        <w:rPr>
          <w:sz w:val="20"/>
          <w:szCs w:val="20"/>
          <w:vertAlign w:val="baseline"/>
          <w:lang w:val="en-US"/>
        </w:rPr>
      </w:pPr>
      <w:r w:rsidRPr="00F62D2C">
        <w:rPr>
          <w:rStyle w:val="FootnoteReference"/>
          <w:sz w:val="20"/>
          <w:szCs w:val="20"/>
        </w:rPr>
        <w:footnoteRef/>
      </w:r>
      <w:r w:rsidRPr="00F62D2C">
        <w:rPr>
          <w:sz w:val="20"/>
          <w:szCs w:val="20"/>
        </w:rPr>
        <w:t xml:space="preserve"> </w:t>
      </w:r>
      <w:r>
        <w:rPr>
          <w:sz w:val="20"/>
          <w:szCs w:val="20"/>
          <w:vertAlign w:val="baseline"/>
        </w:rPr>
        <w:t xml:space="preserve"> African Commission on Human and People’s Rights, ‘Ghana: 2</w:t>
      </w:r>
      <w:r w:rsidRPr="00F62D2C">
        <w:rPr>
          <w:sz w:val="20"/>
          <w:szCs w:val="20"/>
        </w:rPr>
        <w:t>nd</w:t>
      </w:r>
      <w:r>
        <w:rPr>
          <w:sz w:val="20"/>
          <w:szCs w:val="20"/>
          <w:vertAlign w:val="baseline"/>
        </w:rPr>
        <w:t xml:space="preserve"> Periodic Report, 1993-2000’ 23 April-7 May 2001</w:t>
      </w:r>
    </w:p>
  </w:footnote>
  <w:footnote w:id="1054">
    <w:p w14:paraId="40E9A0B4" w14:textId="4BCAA43C" w:rsidR="00431A55" w:rsidRPr="00F62D2C" w:rsidRDefault="00431A55">
      <w:pPr>
        <w:pStyle w:val="FootnoteText"/>
        <w:rPr>
          <w:sz w:val="20"/>
          <w:szCs w:val="20"/>
          <w:vertAlign w:val="baseline"/>
          <w:lang w:val="en-US"/>
        </w:rPr>
      </w:pPr>
      <w:r w:rsidRPr="00F62D2C">
        <w:rPr>
          <w:rStyle w:val="FootnoteReference"/>
          <w:sz w:val="20"/>
          <w:szCs w:val="20"/>
        </w:rPr>
        <w:footnoteRef/>
      </w:r>
      <w:r w:rsidRPr="00F62D2C">
        <w:rPr>
          <w:sz w:val="20"/>
          <w:szCs w:val="20"/>
        </w:rPr>
        <w:t xml:space="preserve"> </w:t>
      </w:r>
      <w:r>
        <w:rPr>
          <w:sz w:val="20"/>
          <w:szCs w:val="20"/>
          <w:vertAlign w:val="baseline"/>
        </w:rPr>
        <w:t xml:space="preserve"> ibid 37</w:t>
      </w:r>
    </w:p>
  </w:footnote>
  <w:footnote w:id="1055">
    <w:p w14:paraId="1415313E" w14:textId="296C5B0B" w:rsidR="00431A55" w:rsidRPr="00970DFD" w:rsidRDefault="00431A55">
      <w:pPr>
        <w:pStyle w:val="FootnoteText"/>
        <w:rPr>
          <w:sz w:val="20"/>
          <w:szCs w:val="20"/>
          <w:vertAlign w:val="baseline"/>
          <w:lang w:val="en-US"/>
        </w:rPr>
      </w:pPr>
      <w:r w:rsidRPr="00970DFD">
        <w:rPr>
          <w:rStyle w:val="FootnoteReference"/>
          <w:sz w:val="20"/>
          <w:szCs w:val="20"/>
        </w:rPr>
        <w:footnoteRef/>
      </w:r>
      <w:r w:rsidRPr="00970DFD">
        <w:rPr>
          <w:sz w:val="20"/>
          <w:szCs w:val="20"/>
        </w:rPr>
        <w:t xml:space="preserve"> </w:t>
      </w:r>
      <w:r>
        <w:rPr>
          <w:sz w:val="20"/>
          <w:szCs w:val="20"/>
          <w:vertAlign w:val="baseline"/>
        </w:rPr>
        <w:t>ibid</w:t>
      </w:r>
    </w:p>
  </w:footnote>
  <w:footnote w:id="1056">
    <w:p w14:paraId="77CF5E4F" w14:textId="444E66F0" w:rsidR="00431A55" w:rsidRPr="00BD0F2D" w:rsidRDefault="00431A55" w:rsidP="001C6724">
      <w:pPr>
        <w:pStyle w:val="FootnoteText"/>
        <w:rPr>
          <w:sz w:val="20"/>
          <w:szCs w:val="20"/>
          <w:vertAlign w:val="baseline"/>
          <w:lang w:val="en-US"/>
        </w:rPr>
      </w:pPr>
      <w:r w:rsidRPr="00BD0F2D">
        <w:rPr>
          <w:rStyle w:val="FootnoteReference"/>
          <w:sz w:val="20"/>
          <w:szCs w:val="20"/>
        </w:rPr>
        <w:footnoteRef/>
      </w:r>
      <w:r w:rsidRPr="00BD0F2D">
        <w:rPr>
          <w:sz w:val="20"/>
          <w:szCs w:val="20"/>
        </w:rPr>
        <w:t xml:space="preserve"> </w:t>
      </w:r>
      <w:r w:rsidRPr="00BD0F2D">
        <w:rPr>
          <w:sz w:val="20"/>
          <w:szCs w:val="20"/>
          <w:vertAlign w:val="baseline"/>
        </w:rPr>
        <w:t>UN General Assembly, ‘United Nations refor</w:t>
      </w:r>
      <w:r>
        <w:rPr>
          <w:sz w:val="20"/>
          <w:szCs w:val="20"/>
          <w:vertAlign w:val="baseline"/>
        </w:rPr>
        <w:t xml:space="preserve">m: measures and proposals’ </w:t>
      </w:r>
      <w:r w:rsidRPr="00BD0F2D">
        <w:rPr>
          <w:sz w:val="20"/>
          <w:szCs w:val="20"/>
          <w:vertAlign w:val="baseline"/>
        </w:rPr>
        <w:t>26 June 2012 A/66/860, 8</w:t>
      </w:r>
    </w:p>
  </w:footnote>
  <w:footnote w:id="1057">
    <w:p w14:paraId="6961FDE0" w14:textId="14601519" w:rsidR="00431A55" w:rsidRPr="00BD0F2D" w:rsidRDefault="00431A55" w:rsidP="001C6724">
      <w:pPr>
        <w:pStyle w:val="FootnoteText"/>
        <w:rPr>
          <w:sz w:val="20"/>
          <w:szCs w:val="20"/>
          <w:vertAlign w:val="baseline"/>
          <w:lang w:val="en-US"/>
        </w:rPr>
      </w:pPr>
      <w:r w:rsidRPr="00BD0F2D">
        <w:rPr>
          <w:rStyle w:val="FootnoteReference"/>
          <w:sz w:val="20"/>
          <w:szCs w:val="20"/>
        </w:rPr>
        <w:footnoteRef/>
      </w:r>
      <w:r w:rsidRPr="00BD0F2D">
        <w:rPr>
          <w:sz w:val="20"/>
          <w:szCs w:val="20"/>
        </w:rPr>
        <w:t xml:space="preserve"> </w:t>
      </w:r>
      <w:r>
        <w:rPr>
          <w:sz w:val="20"/>
          <w:szCs w:val="20"/>
          <w:vertAlign w:val="baseline"/>
        </w:rPr>
        <w:t>ibid</w:t>
      </w:r>
      <w:r w:rsidRPr="00BD0F2D">
        <w:rPr>
          <w:sz w:val="20"/>
          <w:szCs w:val="20"/>
          <w:vertAlign w:val="baseline"/>
        </w:rPr>
        <w:t xml:space="preserve"> 9</w:t>
      </w:r>
    </w:p>
  </w:footnote>
  <w:footnote w:id="1058">
    <w:p w14:paraId="6F5559E8" w14:textId="7AD9880A" w:rsidR="00431A55" w:rsidRPr="00BD0F2D" w:rsidRDefault="00431A55" w:rsidP="001C6724">
      <w:pPr>
        <w:pStyle w:val="FootnoteText"/>
        <w:rPr>
          <w:sz w:val="20"/>
          <w:szCs w:val="20"/>
          <w:vertAlign w:val="baseline"/>
          <w:lang w:val="en-US"/>
        </w:rPr>
      </w:pPr>
      <w:r w:rsidRPr="00BD0F2D">
        <w:rPr>
          <w:rStyle w:val="FootnoteReference"/>
          <w:sz w:val="20"/>
          <w:szCs w:val="20"/>
        </w:rPr>
        <w:footnoteRef/>
      </w:r>
      <w:r w:rsidRPr="00BD0F2D">
        <w:rPr>
          <w:sz w:val="20"/>
          <w:szCs w:val="20"/>
          <w:vertAlign w:val="baseline"/>
        </w:rPr>
        <w:t xml:space="preserve"> </w:t>
      </w:r>
      <w:r>
        <w:rPr>
          <w:sz w:val="20"/>
          <w:szCs w:val="20"/>
          <w:vertAlign w:val="baseline"/>
        </w:rPr>
        <w:t>ibid</w:t>
      </w:r>
      <w:r w:rsidRPr="00BD0F2D">
        <w:rPr>
          <w:sz w:val="20"/>
          <w:szCs w:val="20"/>
          <w:vertAlign w:val="baseline"/>
        </w:rPr>
        <w:t xml:space="preserve"> 8</w:t>
      </w:r>
    </w:p>
  </w:footnote>
  <w:footnote w:id="1059">
    <w:p w14:paraId="386709D3" w14:textId="04F266F6" w:rsidR="00431A55" w:rsidRPr="00BD0F2D" w:rsidRDefault="00431A55" w:rsidP="001C6724">
      <w:pPr>
        <w:pStyle w:val="FootnoteText"/>
        <w:rPr>
          <w:sz w:val="20"/>
          <w:szCs w:val="20"/>
          <w:vertAlign w:val="baseline"/>
          <w:lang w:val="en-US"/>
        </w:rPr>
      </w:pPr>
      <w:r w:rsidRPr="00BD0F2D">
        <w:rPr>
          <w:rStyle w:val="FootnoteReference"/>
          <w:sz w:val="20"/>
          <w:szCs w:val="20"/>
        </w:rPr>
        <w:footnoteRef/>
      </w:r>
      <w:r>
        <w:rPr>
          <w:sz w:val="20"/>
          <w:szCs w:val="20"/>
          <w:vertAlign w:val="baseline"/>
        </w:rPr>
        <w:t xml:space="preserve"> McQuigg (n 874) </w:t>
      </w:r>
      <w:r w:rsidRPr="00BD0F2D">
        <w:rPr>
          <w:sz w:val="20"/>
          <w:szCs w:val="20"/>
          <w:vertAlign w:val="baseline"/>
        </w:rPr>
        <w:t>828</w:t>
      </w:r>
    </w:p>
  </w:footnote>
  <w:footnote w:id="1060">
    <w:p w14:paraId="63F0B6E5" w14:textId="1430A652" w:rsidR="00431A55" w:rsidRPr="00BD0F2D" w:rsidRDefault="00431A55" w:rsidP="001C6724">
      <w:pPr>
        <w:pStyle w:val="FootnoteText"/>
        <w:rPr>
          <w:sz w:val="20"/>
          <w:szCs w:val="20"/>
          <w:vertAlign w:val="baseline"/>
          <w:lang w:val="en-US"/>
        </w:rPr>
      </w:pPr>
      <w:r w:rsidRPr="00BD0F2D">
        <w:rPr>
          <w:rStyle w:val="FootnoteReference"/>
          <w:sz w:val="20"/>
          <w:szCs w:val="20"/>
        </w:rPr>
        <w:footnoteRef/>
      </w:r>
      <w:r w:rsidRPr="00BD0F2D">
        <w:rPr>
          <w:sz w:val="20"/>
          <w:szCs w:val="20"/>
          <w:vertAlign w:val="baseline"/>
        </w:rPr>
        <w:t xml:space="preserve"> </w:t>
      </w:r>
      <w:r w:rsidRPr="00BD0F2D">
        <w:rPr>
          <w:sz w:val="20"/>
          <w:szCs w:val="20"/>
          <w:vertAlign w:val="baseline"/>
          <w:lang w:val="en-US"/>
        </w:rPr>
        <w:t>Wilmott Harrop</w:t>
      </w:r>
      <w:r>
        <w:rPr>
          <w:sz w:val="20"/>
          <w:szCs w:val="20"/>
          <w:vertAlign w:val="baseline"/>
          <w:lang w:val="en-US"/>
        </w:rPr>
        <w:t xml:space="preserve"> (n 758) 3</w:t>
      </w:r>
    </w:p>
  </w:footnote>
  <w:footnote w:id="1061">
    <w:p w14:paraId="24A567D4" w14:textId="36124525" w:rsidR="00431A55" w:rsidRPr="00D6450D" w:rsidRDefault="00431A55" w:rsidP="001C6724">
      <w:pPr>
        <w:pStyle w:val="FootnoteText"/>
        <w:rPr>
          <w:lang w:val="en-US"/>
        </w:rPr>
      </w:pPr>
      <w:r w:rsidRPr="00BD0F2D">
        <w:rPr>
          <w:rStyle w:val="FootnoteReference"/>
          <w:sz w:val="20"/>
          <w:szCs w:val="20"/>
        </w:rPr>
        <w:footnoteRef/>
      </w:r>
      <w:r w:rsidRPr="00BD0F2D">
        <w:rPr>
          <w:sz w:val="20"/>
          <w:szCs w:val="20"/>
        </w:rPr>
        <w:t xml:space="preserve"> </w:t>
      </w:r>
      <w:r>
        <w:rPr>
          <w:sz w:val="20"/>
          <w:szCs w:val="20"/>
          <w:vertAlign w:val="baseline"/>
        </w:rPr>
        <w:t>UN General Assembly</w:t>
      </w:r>
      <w:r w:rsidRPr="00BD0F2D">
        <w:rPr>
          <w:sz w:val="20"/>
          <w:szCs w:val="20"/>
          <w:vertAlign w:val="baseline"/>
        </w:rPr>
        <w:t xml:space="preserve"> </w:t>
      </w:r>
      <w:r>
        <w:rPr>
          <w:sz w:val="20"/>
          <w:szCs w:val="20"/>
          <w:vertAlign w:val="baseline"/>
        </w:rPr>
        <w:t>(n 1056)</w:t>
      </w:r>
    </w:p>
  </w:footnote>
  <w:footnote w:id="1062">
    <w:p w14:paraId="788CF46C" w14:textId="4ECE2D99" w:rsidR="00431A55" w:rsidRPr="00C577C5" w:rsidRDefault="00431A55" w:rsidP="001C6724">
      <w:pPr>
        <w:pStyle w:val="FootnoteText"/>
        <w:rPr>
          <w:sz w:val="20"/>
          <w:szCs w:val="20"/>
          <w:vertAlign w:val="baseline"/>
          <w:lang w:val="en-US"/>
        </w:rPr>
      </w:pPr>
      <w:r w:rsidRPr="00C577C5">
        <w:rPr>
          <w:rStyle w:val="FootnoteReference"/>
          <w:sz w:val="20"/>
          <w:szCs w:val="20"/>
        </w:rPr>
        <w:footnoteRef/>
      </w:r>
      <w:r w:rsidRPr="00C577C5">
        <w:rPr>
          <w:sz w:val="20"/>
          <w:szCs w:val="20"/>
        </w:rPr>
        <w:t xml:space="preserve"> </w:t>
      </w:r>
      <w:r>
        <w:rPr>
          <w:sz w:val="20"/>
          <w:szCs w:val="20"/>
          <w:vertAlign w:val="baseline"/>
        </w:rPr>
        <w:t>ibid</w:t>
      </w:r>
      <w:r w:rsidRPr="00C577C5">
        <w:rPr>
          <w:sz w:val="20"/>
          <w:szCs w:val="20"/>
          <w:vertAlign w:val="baseline"/>
        </w:rPr>
        <w:t xml:space="preserve"> 21</w:t>
      </w:r>
    </w:p>
  </w:footnote>
  <w:footnote w:id="1063">
    <w:p w14:paraId="5289CD38" w14:textId="71AF362B" w:rsidR="00431A55" w:rsidRPr="00C577C5" w:rsidRDefault="00431A55" w:rsidP="001C6724">
      <w:pPr>
        <w:pStyle w:val="FootnoteText"/>
        <w:rPr>
          <w:sz w:val="20"/>
          <w:szCs w:val="20"/>
          <w:vertAlign w:val="baseline"/>
          <w:lang w:val="en-US"/>
        </w:rPr>
      </w:pPr>
      <w:r w:rsidRPr="00C577C5">
        <w:rPr>
          <w:rStyle w:val="FootnoteReference"/>
          <w:sz w:val="20"/>
          <w:szCs w:val="20"/>
        </w:rPr>
        <w:footnoteRef/>
      </w:r>
      <w:r w:rsidRPr="00C577C5">
        <w:rPr>
          <w:sz w:val="20"/>
          <w:szCs w:val="20"/>
        </w:rPr>
        <w:t xml:space="preserve"> </w:t>
      </w:r>
      <w:r>
        <w:rPr>
          <w:sz w:val="20"/>
          <w:szCs w:val="20"/>
          <w:vertAlign w:val="baseline"/>
        </w:rPr>
        <w:t>ibid</w:t>
      </w:r>
      <w:r w:rsidRPr="00C577C5">
        <w:rPr>
          <w:sz w:val="20"/>
          <w:szCs w:val="20"/>
          <w:vertAlign w:val="baseline"/>
        </w:rPr>
        <w:t xml:space="preserve"> 20</w:t>
      </w:r>
    </w:p>
  </w:footnote>
  <w:footnote w:id="1064">
    <w:p w14:paraId="0B92AC19" w14:textId="21213AE3" w:rsidR="00431A55" w:rsidRPr="00C577C5" w:rsidRDefault="00431A55" w:rsidP="001C6724">
      <w:pPr>
        <w:pStyle w:val="FootnoteText"/>
        <w:rPr>
          <w:sz w:val="20"/>
          <w:szCs w:val="20"/>
          <w:vertAlign w:val="baseline"/>
          <w:lang w:val="en-US"/>
        </w:rPr>
      </w:pPr>
      <w:r w:rsidRPr="00C577C5">
        <w:rPr>
          <w:rStyle w:val="FootnoteReference"/>
          <w:sz w:val="20"/>
          <w:szCs w:val="20"/>
        </w:rPr>
        <w:footnoteRef/>
      </w:r>
      <w:r w:rsidRPr="00C577C5">
        <w:rPr>
          <w:sz w:val="20"/>
          <w:szCs w:val="20"/>
          <w:vertAlign w:val="baseline"/>
        </w:rPr>
        <w:t xml:space="preserve"> </w:t>
      </w:r>
      <w:r>
        <w:rPr>
          <w:sz w:val="20"/>
          <w:szCs w:val="20"/>
          <w:vertAlign w:val="baseline"/>
        </w:rPr>
        <w:t>ibid</w:t>
      </w:r>
      <w:r w:rsidRPr="00C577C5">
        <w:rPr>
          <w:sz w:val="20"/>
          <w:szCs w:val="20"/>
          <w:vertAlign w:val="baseline"/>
        </w:rPr>
        <w:t xml:space="preserve"> 22</w:t>
      </w:r>
    </w:p>
  </w:footnote>
  <w:footnote w:id="1065">
    <w:p w14:paraId="14E0EAE4" w14:textId="4848AE0D" w:rsidR="00431A55" w:rsidRPr="00C577C5" w:rsidRDefault="00431A55" w:rsidP="001C6724">
      <w:pPr>
        <w:pStyle w:val="FootnoteText"/>
        <w:rPr>
          <w:sz w:val="20"/>
          <w:szCs w:val="20"/>
          <w:vertAlign w:val="baseline"/>
          <w:lang w:val="en-US"/>
        </w:rPr>
      </w:pPr>
      <w:r w:rsidRPr="00C577C5">
        <w:rPr>
          <w:rStyle w:val="FootnoteReference"/>
          <w:sz w:val="20"/>
          <w:szCs w:val="20"/>
        </w:rPr>
        <w:footnoteRef/>
      </w:r>
      <w:r w:rsidRPr="00C577C5">
        <w:rPr>
          <w:sz w:val="20"/>
          <w:szCs w:val="20"/>
          <w:vertAlign w:val="baseline"/>
        </w:rPr>
        <w:t xml:space="preserve"> </w:t>
      </w:r>
      <w:r>
        <w:rPr>
          <w:sz w:val="20"/>
          <w:szCs w:val="20"/>
          <w:vertAlign w:val="baseline"/>
          <w:lang w:val="en-US"/>
        </w:rPr>
        <w:t>See Sections 5.4.1, 189 (Nepal); 5.4.2, 192 (India); 5.4.3, 197 (Ghana); 5.8.1, 22 (India)</w:t>
      </w:r>
    </w:p>
  </w:footnote>
  <w:footnote w:id="1066">
    <w:p w14:paraId="139FDBF6" w14:textId="52186558" w:rsidR="00431A55" w:rsidRPr="00C577C5" w:rsidRDefault="00431A55" w:rsidP="001C6724">
      <w:pPr>
        <w:pStyle w:val="FootnoteText"/>
        <w:rPr>
          <w:sz w:val="20"/>
          <w:szCs w:val="20"/>
          <w:vertAlign w:val="baseline"/>
          <w:lang w:val="en-US"/>
        </w:rPr>
      </w:pPr>
      <w:r w:rsidRPr="00C577C5">
        <w:rPr>
          <w:rStyle w:val="FootnoteReference"/>
          <w:sz w:val="20"/>
          <w:szCs w:val="20"/>
        </w:rPr>
        <w:footnoteRef/>
      </w:r>
      <w:r w:rsidRPr="00C577C5">
        <w:rPr>
          <w:sz w:val="20"/>
          <w:szCs w:val="20"/>
          <w:vertAlign w:val="baseline"/>
        </w:rPr>
        <w:t xml:space="preserve"> </w:t>
      </w:r>
      <w:r>
        <w:rPr>
          <w:sz w:val="20"/>
          <w:szCs w:val="20"/>
          <w:vertAlign w:val="baseline"/>
          <w:lang w:val="en-US"/>
        </w:rPr>
        <w:t>Section 5.8.1, 220</w:t>
      </w:r>
    </w:p>
  </w:footnote>
  <w:footnote w:id="1067">
    <w:p w14:paraId="76C62981" w14:textId="0950EE9C" w:rsidR="00431A55" w:rsidRPr="007C57A9" w:rsidRDefault="00431A55" w:rsidP="001C6724">
      <w:pPr>
        <w:rPr>
          <w:rFonts w:ascii="Times" w:eastAsia="Times New Roman" w:hAnsi="Times" w:cs="Times New Roman"/>
        </w:rPr>
      </w:pPr>
      <w:r w:rsidRPr="00C577C5">
        <w:rPr>
          <w:rStyle w:val="FootnoteReference"/>
        </w:rPr>
        <w:footnoteRef/>
      </w:r>
      <w:r w:rsidRPr="00C577C5">
        <w:rPr>
          <w:vertAlign w:val="baseline"/>
        </w:rPr>
        <w:t xml:space="preserve"> </w:t>
      </w:r>
      <w:r w:rsidRPr="00C577C5">
        <w:rPr>
          <w:rFonts w:eastAsia="Times New Roman" w:cs="Arial"/>
          <w:shd w:val="clear" w:color="auto" w:fill="FFFFFF"/>
          <w:vertAlign w:val="baseline"/>
        </w:rPr>
        <w:t>International Women’s Rights Action Watch Asia Pacific, ‘Reservations’ (IWRAW 2015) &lt;</w:t>
      </w:r>
      <w:hyperlink r:id="rId127" w:history="1">
        <w:r w:rsidRPr="00C577C5">
          <w:rPr>
            <w:rStyle w:val="Hyperlink"/>
            <w:vertAlign w:val="baseline"/>
          </w:rPr>
          <w:t>http://www.iwraw-ap.org/cedaw/what-is-cedaw/reservations/</w:t>
        </w:r>
      </w:hyperlink>
      <w:r w:rsidRPr="00C577C5">
        <w:rPr>
          <w:vertAlign w:val="baseline"/>
        </w:rPr>
        <w:t>&gt; accessed 24 November 2015</w:t>
      </w:r>
    </w:p>
  </w:footnote>
  <w:footnote w:id="1068">
    <w:p w14:paraId="2B334276" w14:textId="77777777" w:rsidR="00431A55" w:rsidRPr="00AF0943" w:rsidRDefault="00431A55" w:rsidP="001C6724">
      <w:pPr>
        <w:pStyle w:val="FootnoteText"/>
        <w:rPr>
          <w:sz w:val="20"/>
          <w:szCs w:val="20"/>
          <w:vertAlign w:val="baseline"/>
          <w:lang w:val="en-US"/>
        </w:rPr>
      </w:pPr>
      <w:r w:rsidRPr="00AF0943">
        <w:rPr>
          <w:rStyle w:val="FootnoteReference"/>
          <w:sz w:val="20"/>
          <w:szCs w:val="20"/>
        </w:rPr>
        <w:footnoteRef/>
      </w:r>
      <w:r w:rsidRPr="00AF0943">
        <w:rPr>
          <w:sz w:val="20"/>
          <w:szCs w:val="20"/>
        </w:rPr>
        <w:t xml:space="preserve"> </w:t>
      </w:r>
      <w:r w:rsidRPr="00AF0943">
        <w:rPr>
          <w:sz w:val="20"/>
          <w:szCs w:val="20"/>
          <w:vertAlign w:val="baseline"/>
          <w:lang w:val="en-US"/>
        </w:rPr>
        <w:t xml:space="preserve">Anne Hellum and Henriette Sinding Aasen (eds) </w:t>
      </w:r>
      <w:r w:rsidRPr="00AF0943">
        <w:rPr>
          <w:i/>
          <w:sz w:val="20"/>
          <w:szCs w:val="20"/>
          <w:vertAlign w:val="baseline"/>
          <w:lang w:val="en-US"/>
        </w:rPr>
        <w:t xml:space="preserve">Women’s Human Rights: CEDAW in International, Regional and National Law, </w:t>
      </w:r>
      <w:r w:rsidRPr="00AF0943">
        <w:rPr>
          <w:sz w:val="20"/>
          <w:szCs w:val="20"/>
          <w:vertAlign w:val="baseline"/>
          <w:lang w:val="en-US"/>
        </w:rPr>
        <w:t>(CUP 2013) 56</w:t>
      </w:r>
    </w:p>
  </w:footnote>
  <w:footnote w:id="1069">
    <w:p w14:paraId="68896170" w14:textId="77777777" w:rsidR="00431A55" w:rsidRPr="002078B9" w:rsidRDefault="00431A55" w:rsidP="001C6724">
      <w:pPr>
        <w:pStyle w:val="FootnoteText"/>
        <w:rPr>
          <w:lang w:val="en-US"/>
        </w:rPr>
      </w:pPr>
      <w:r w:rsidRPr="00AF0943">
        <w:rPr>
          <w:rStyle w:val="FootnoteReference"/>
          <w:sz w:val="20"/>
          <w:szCs w:val="20"/>
        </w:rPr>
        <w:footnoteRef/>
      </w:r>
      <w:r w:rsidRPr="00AF0943">
        <w:rPr>
          <w:sz w:val="20"/>
          <w:szCs w:val="20"/>
          <w:vertAlign w:val="baseline"/>
        </w:rPr>
        <w:t xml:space="preserve"> </w:t>
      </w:r>
      <w:r w:rsidRPr="00AF0943">
        <w:rPr>
          <w:sz w:val="20"/>
          <w:szCs w:val="20"/>
          <w:vertAlign w:val="baseline"/>
          <w:lang w:val="en-US"/>
        </w:rPr>
        <w:t>India entered reservations to articles 5(a), 16(1)(2) and 29</w:t>
      </w:r>
    </w:p>
  </w:footnote>
  <w:footnote w:id="1070">
    <w:p w14:paraId="796BE4D8" w14:textId="5EEF0D5C" w:rsidR="00431A55" w:rsidRPr="00C52F55" w:rsidRDefault="00431A55" w:rsidP="001C6724">
      <w:pPr>
        <w:pStyle w:val="FootnoteText"/>
        <w:rPr>
          <w:sz w:val="20"/>
          <w:szCs w:val="20"/>
          <w:vertAlign w:val="baseline"/>
          <w:lang w:val="en-US"/>
        </w:rPr>
      </w:pPr>
      <w:r w:rsidRPr="00C52F55">
        <w:rPr>
          <w:rStyle w:val="FootnoteReference"/>
          <w:sz w:val="20"/>
          <w:szCs w:val="20"/>
        </w:rPr>
        <w:footnoteRef/>
      </w:r>
      <w:r>
        <w:rPr>
          <w:sz w:val="20"/>
          <w:szCs w:val="20"/>
          <w:vertAlign w:val="baseline"/>
        </w:rPr>
        <w:t xml:space="preserve"> Emerton, Adams, Byrnes and </w:t>
      </w:r>
      <w:r w:rsidRPr="00C52F55">
        <w:rPr>
          <w:sz w:val="20"/>
          <w:szCs w:val="20"/>
          <w:vertAlign w:val="baseline"/>
        </w:rPr>
        <w:t>Connors (</w:t>
      </w:r>
      <w:r>
        <w:rPr>
          <w:sz w:val="20"/>
          <w:szCs w:val="20"/>
          <w:vertAlign w:val="baseline"/>
        </w:rPr>
        <w:t>n 730) 4</w:t>
      </w:r>
    </w:p>
  </w:footnote>
  <w:footnote w:id="1071">
    <w:p w14:paraId="4EE79841" w14:textId="7A9E1824" w:rsidR="00431A55" w:rsidRPr="00AA7BAE" w:rsidRDefault="00431A55" w:rsidP="00C615C9">
      <w:pPr>
        <w:pStyle w:val="FootnoteText"/>
        <w:rPr>
          <w:lang w:val="en-US"/>
        </w:rPr>
      </w:pPr>
      <w:r w:rsidRPr="00C52F55">
        <w:rPr>
          <w:rStyle w:val="FootnoteReference"/>
          <w:sz w:val="20"/>
          <w:szCs w:val="20"/>
        </w:rPr>
        <w:footnoteRef/>
      </w:r>
      <w:r w:rsidRPr="00C52F55">
        <w:rPr>
          <w:sz w:val="20"/>
          <w:szCs w:val="20"/>
          <w:vertAlign w:val="baseline"/>
        </w:rPr>
        <w:t xml:space="preserve"> </w:t>
      </w:r>
      <w:r w:rsidRPr="00C52F55">
        <w:rPr>
          <w:sz w:val="20"/>
          <w:szCs w:val="20"/>
          <w:vertAlign w:val="baseline"/>
          <w:lang w:val="en-US"/>
        </w:rPr>
        <w:t>HRC, ‘</w:t>
      </w:r>
      <w:r w:rsidRPr="00C52F55">
        <w:rPr>
          <w:rFonts w:eastAsia="Times New Roman" w:cs="Times New Roman"/>
          <w:sz w:val="20"/>
          <w:szCs w:val="20"/>
          <w:vertAlign w:val="baseline"/>
        </w:rPr>
        <w:t>Philip Alston</w:t>
      </w:r>
      <w:r>
        <w:rPr>
          <w:rFonts w:eastAsia="Times New Roman" w:cs="Times New Roman"/>
          <w:sz w:val="20"/>
          <w:szCs w:val="20"/>
          <w:vertAlign w:val="baseline"/>
        </w:rPr>
        <w:t xml:space="preserve">’ </w:t>
      </w:r>
      <w:r>
        <w:rPr>
          <w:rFonts w:cs="Times New Roman"/>
          <w:sz w:val="20"/>
          <w:szCs w:val="20"/>
          <w:vertAlign w:val="baseline"/>
        </w:rPr>
        <w:t xml:space="preserve">(n 994) </w:t>
      </w:r>
      <w:r w:rsidRPr="00C52F55">
        <w:rPr>
          <w:rFonts w:cs="Times New Roman"/>
          <w:sz w:val="20"/>
          <w:szCs w:val="20"/>
          <w:vertAlign w:val="baseline"/>
        </w:rPr>
        <w:t>para 52</w:t>
      </w:r>
    </w:p>
  </w:footnote>
  <w:footnote w:id="1072">
    <w:p w14:paraId="6BE3F238" w14:textId="7F680030" w:rsidR="00431A55" w:rsidRPr="00ED3022" w:rsidRDefault="00431A55">
      <w:pPr>
        <w:pStyle w:val="FootnoteText"/>
        <w:rPr>
          <w:sz w:val="20"/>
          <w:szCs w:val="20"/>
          <w:vertAlign w:val="baseline"/>
          <w:lang w:val="en-US"/>
        </w:rPr>
      </w:pPr>
      <w:r w:rsidRPr="00ED3022">
        <w:rPr>
          <w:rStyle w:val="FootnoteReference"/>
          <w:sz w:val="20"/>
          <w:szCs w:val="20"/>
        </w:rPr>
        <w:footnoteRef/>
      </w:r>
      <w:r w:rsidRPr="00ED3022">
        <w:rPr>
          <w:sz w:val="20"/>
          <w:szCs w:val="20"/>
        </w:rPr>
        <w:t xml:space="preserve"> </w:t>
      </w:r>
      <w:r>
        <w:rPr>
          <w:sz w:val="20"/>
          <w:szCs w:val="20"/>
          <w:vertAlign w:val="baseline"/>
        </w:rPr>
        <w:t>This issue is discussed in further detail in Chapter 6</w:t>
      </w:r>
    </w:p>
  </w:footnote>
  <w:footnote w:id="1073">
    <w:p w14:paraId="1E4CCF6A" w14:textId="77777777" w:rsidR="00431A55" w:rsidRPr="00BC332C" w:rsidRDefault="00431A55" w:rsidP="003A2AEA">
      <w:pPr>
        <w:pStyle w:val="FootnoteText"/>
        <w:rPr>
          <w:sz w:val="20"/>
          <w:szCs w:val="20"/>
          <w:vertAlign w:val="baseline"/>
          <w:lang w:val="en-US"/>
        </w:rPr>
      </w:pPr>
      <w:r w:rsidRPr="00BC332C">
        <w:rPr>
          <w:rStyle w:val="FootnoteReference"/>
          <w:sz w:val="20"/>
          <w:szCs w:val="20"/>
        </w:rPr>
        <w:footnoteRef/>
      </w:r>
      <w:r w:rsidRPr="00BC332C">
        <w:rPr>
          <w:sz w:val="20"/>
          <w:szCs w:val="20"/>
        </w:rPr>
        <w:t xml:space="preserve"> </w:t>
      </w:r>
      <w:r>
        <w:rPr>
          <w:sz w:val="20"/>
          <w:szCs w:val="20"/>
          <w:vertAlign w:val="baseline"/>
        </w:rPr>
        <w:t>Rebecca J Cook, ‘State Accountability Under the Women’s Convention’ Cook (n 16) 252</w:t>
      </w:r>
    </w:p>
  </w:footnote>
  <w:footnote w:id="1074">
    <w:p w14:paraId="5F7C754F" w14:textId="6DDA91AE" w:rsidR="00431A55" w:rsidRPr="00B87FF7" w:rsidRDefault="00431A55">
      <w:pPr>
        <w:pStyle w:val="FootnoteText"/>
        <w:rPr>
          <w:lang w:val="en-US"/>
        </w:rPr>
      </w:pPr>
      <w:r w:rsidRPr="00B87FF7">
        <w:rPr>
          <w:rStyle w:val="FootnoteReference"/>
          <w:sz w:val="20"/>
          <w:szCs w:val="20"/>
        </w:rPr>
        <w:footnoteRef/>
      </w:r>
      <w:r w:rsidRPr="00B87FF7">
        <w:rPr>
          <w:sz w:val="20"/>
          <w:szCs w:val="20"/>
        </w:rPr>
        <w:t xml:space="preserve"> </w:t>
      </w:r>
      <w:r>
        <w:rPr>
          <w:sz w:val="20"/>
          <w:szCs w:val="20"/>
          <w:vertAlign w:val="baseline"/>
        </w:rPr>
        <w:t>ibid</w:t>
      </w:r>
    </w:p>
  </w:footnote>
  <w:footnote w:id="1075">
    <w:p w14:paraId="5D2B3854" w14:textId="2711DF50" w:rsidR="00431A55" w:rsidRPr="007363E3" w:rsidRDefault="00431A55">
      <w:pPr>
        <w:pStyle w:val="FootnoteText"/>
        <w:rPr>
          <w:vertAlign w:val="baseline"/>
          <w:lang w:val="en-US"/>
        </w:rPr>
      </w:pPr>
      <w:r w:rsidRPr="007363E3">
        <w:rPr>
          <w:rStyle w:val="FootnoteReference"/>
          <w:sz w:val="20"/>
          <w:szCs w:val="20"/>
        </w:rPr>
        <w:footnoteRef/>
      </w:r>
      <w:r w:rsidRPr="007363E3">
        <w:rPr>
          <w:sz w:val="20"/>
          <w:szCs w:val="20"/>
        </w:rPr>
        <w:t xml:space="preserve"> </w:t>
      </w:r>
      <w:r>
        <w:rPr>
          <w:sz w:val="20"/>
          <w:szCs w:val="20"/>
          <w:vertAlign w:val="baseline"/>
        </w:rPr>
        <w:t>ibid</w:t>
      </w:r>
    </w:p>
  </w:footnote>
  <w:footnote w:id="1076">
    <w:p w14:paraId="4DCE172E" w14:textId="5D6CC7CC" w:rsidR="00431A55" w:rsidRPr="00C76695" w:rsidRDefault="00431A55" w:rsidP="001C6724">
      <w:pPr>
        <w:pStyle w:val="FootnoteText"/>
        <w:rPr>
          <w:sz w:val="20"/>
          <w:szCs w:val="20"/>
          <w:vertAlign w:val="baseline"/>
          <w:lang w:val="en-US"/>
        </w:rPr>
      </w:pPr>
      <w:r w:rsidRPr="00C76695">
        <w:rPr>
          <w:rStyle w:val="FootnoteReference"/>
          <w:sz w:val="20"/>
          <w:szCs w:val="20"/>
        </w:rPr>
        <w:footnoteRef/>
      </w:r>
      <w:r>
        <w:rPr>
          <w:sz w:val="20"/>
          <w:szCs w:val="20"/>
          <w:vertAlign w:val="baseline"/>
        </w:rPr>
        <w:t xml:space="preserve"> WHRIN, ‘</w:t>
      </w:r>
      <w:r w:rsidRPr="00C76695">
        <w:rPr>
          <w:sz w:val="20"/>
          <w:szCs w:val="20"/>
          <w:vertAlign w:val="baseline"/>
        </w:rPr>
        <w:t xml:space="preserve">2013 Global Report’ </w:t>
      </w:r>
      <w:r>
        <w:rPr>
          <w:sz w:val="20"/>
          <w:szCs w:val="20"/>
          <w:vertAlign w:val="baseline"/>
        </w:rPr>
        <w:t>(n 372)</w:t>
      </w:r>
    </w:p>
  </w:footnote>
  <w:footnote w:id="1077">
    <w:p w14:paraId="765C2F80" w14:textId="588999D6" w:rsidR="00431A55" w:rsidRPr="002E4F7A" w:rsidRDefault="00431A55" w:rsidP="001C6724">
      <w:pPr>
        <w:pStyle w:val="FootnoteText"/>
        <w:rPr>
          <w:lang w:val="en-US"/>
        </w:rPr>
      </w:pPr>
      <w:r w:rsidRPr="00C76695">
        <w:rPr>
          <w:rStyle w:val="FootnoteReference"/>
          <w:sz w:val="20"/>
          <w:szCs w:val="20"/>
        </w:rPr>
        <w:footnoteRef/>
      </w:r>
      <w:r w:rsidRPr="00C76695">
        <w:rPr>
          <w:sz w:val="20"/>
          <w:szCs w:val="20"/>
          <w:vertAlign w:val="baseline"/>
        </w:rPr>
        <w:t xml:space="preserve"> </w:t>
      </w:r>
      <w:r>
        <w:rPr>
          <w:sz w:val="20"/>
          <w:szCs w:val="20"/>
          <w:vertAlign w:val="baseline"/>
          <w:lang w:val="en-US"/>
        </w:rPr>
        <w:t>See Section 4.4.1, 131</w:t>
      </w:r>
    </w:p>
  </w:footnote>
  <w:footnote w:id="1078">
    <w:p w14:paraId="73E76391" w14:textId="68B60A62" w:rsidR="00431A55" w:rsidRPr="003C66BB" w:rsidRDefault="00431A55">
      <w:pPr>
        <w:pStyle w:val="FootnoteText"/>
        <w:rPr>
          <w:sz w:val="20"/>
          <w:szCs w:val="20"/>
          <w:vertAlign w:val="baseline"/>
          <w:lang w:val="en-US"/>
        </w:rPr>
      </w:pPr>
      <w:r w:rsidRPr="003C66BB">
        <w:rPr>
          <w:rStyle w:val="FootnoteReference"/>
          <w:sz w:val="20"/>
          <w:szCs w:val="20"/>
        </w:rPr>
        <w:footnoteRef/>
      </w:r>
      <w:r w:rsidRPr="003C66BB">
        <w:rPr>
          <w:sz w:val="20"/>
          <w:szCs w:val="20"/>
        </w:rPr>
        <w:t xml:space="preserve"> </w:t>
      </w:r>
      <w:r>
        <w:rPr>
          <w:sz w:val="20"/>
          <w:szCs w:val="20"/>
          <w:vertAlign w:val="baseline"/>
        </w:rPr>
        <w:t>See Section 5.4.2, 193</w:t>
      </w:r>
    </w:p>
  </w:footnote>
  <w:footnote w:id="1079">
    <w:p w14:paraId="45AF542A" w14:textId="3DB33405" w:rsidR="00431A55" w:rsidRPr="00054671" w:rsidRDefault="00431A55" w:rsidP="008C3633">
      <w:pPr>
        <w:pStyle w:val="FootnoteText"/>
        <w:jc w:val="both"/>
        <w:rPr>
          <w:sz w:val="20"/>
          <w:szCs w:val="20"/>
          <w:vertAlign w:val="baseline"/>
          <w:lang w:val="en-US"/>
        </w:rPr>
      </w:pPr>
      <w:r w:rsidRPr="00054671">
        <w:rPr>
          <w:rStyle w:val="FootnoteReference"/>
          <w:sz w:val="20"/>
          <w:szCs w:val="20"/>
        </w:rPr>
        <w:footnoteRef/>
      </w:r>
      <w:r w:rsidRPr="00054671">
        <w:rPr>
          <w:sz w:val="20"/>
          <w:szCs w:val="20"/>
          <w:vertAlign w:val="baseline"/>
        </w:rPr>
        <w:t xml:space="preserve"> </w:t>
      </w:r>
      <w:r w:rsidRPr="00054671">
        <w:rPr>
          <w:sz w:val="20"/>
          <w:szCs w:val="20"/>
          <w:vertAlign w:val="baseline"/>
          <w:lang w:val="en-US"/>
        </w:rPr>
        <w:t>Coomaraswamy, ‘Women, Ethnicity and the Discourse of Rights’ in Cook (</w:t>
      </w:r>
      <w:r>
        <w:rPr>
          <w:sz w:val="20"/>
          <w:szCs w:val="20"/>
          <w:vertAlign w:val="baseline"/>
          <w:lang w:val="en-US"/>
        </w:rPr>
        <w:t xml:space="preserve">n 16) </w:t>
      </w:r>
      <w:r w:rsidRPr="00054671">
        <w:rPr>
          <w:sz w:val="20"/>
          <w:szCs w:val="20"/>
          <w:vertAlign w:val="baseline"/>
          <w:lang w:val="en-US"/>
        </w:rPr>
        <w:t>41</w:t>
      </w:r>
    </w:p>
  </w:footnote>
  <w:footnote w:id="1080">
    <w:p w14:paraId="367F267F" w14:textId="3E547670" w:rsidR="00431A55" w:rsidRPr="001D6356" w:rsidRDefault="00431A55">
      <w:pPr>
        <w:pStyle w:val="FootnoteText"/>
        <w:rPr>
          <w:sz w:val="20"/>
          <w:szCs w:val="20"/>
          <w:vertAlign w:val="baseline"/>
          <w:lang w:val="en-US"/>
        </w:rPr>
      </w:pPr>
      <w:r w:rsidRPr="001D6356">
        <w:rPr>
          <w:rStyle w:val="FootnoteReference"/>
          <w:sz w:val="20"/>
          <w:szCs w:val="20"/>
        </w:rPr>
        <w:footnoteRef/>
      </w:r>
      <w:r w:rsidRPr="001D6356">
        <w:rPr>
          <w:sz w:val="20"/>
          <w:szCs w:val="20"/>
        </w:rPr>
        <w:t xml:space="preserve"> </w:t>
      </w:r>
      <w:r>
        <w:rPr>
          <w:sz w:val="20"/>
          <w:szCs w:val="20"/>
          <w:vertAlign w:val="baseline"/>
        </w:rPr>
        <w:t>Section 1.2</w:t>
      </w:r>
    </w:p>
  </w:footnote>
  <w:footnote w:id="1081">
    <w:p w14:paraId="672A177C" w14:textId="1E009180" w:rsidR="00431A55" w:rsidRPr="008B571F" w:rsidRDefault="00431A55" w:rsidP="001D6356">
      <w:pPr>
        <w:pStyle w:val="FootnoteText"/>
        <w:rPr>
          <w:sz w:val="20"/>
          <w:szCs w:val="20"/>
          <w:vertAlign w:val="baseline"/>
          <w:lang w:val="en-US"/>
        </w:rPr>
      </w:pPr>
      <w:r w:rsidRPr="008B571F">
        <w:rPr>
          <w:rStyle w:val="FootnoteReference"/>
          <w:sz w:val="20"/>
          <w:szCs w:val="20"/>
        </w:rPr>
        <w:footnoteRef/>
      </w:r>
      <w:r w:rsidRPr="008B571F">
        <w:rPr>
          <w:sz w:val="20"/>
          <w:szCs w:val="20"/>
        </w:rPr>
        <w:t xml:space="preserve"> </w:t>
      </w:r>
      <w:r>
        <w:rPr>
          <w:sz w:val="20"/>
          <w:szCs w:val="20"/>
          <w:vertAlign w:val="baseline"/>
        </w:rPr>
        <w:t xml:space="preserve">Richardson (n 15) </w:t>
      </w:r>
      <w:r w:rsidRPr="008B571F">
        <w:rPr>
          <w:sz w:val="20"/>
          <w:szCs w:val="20"/>
          <w:vertAlign w:val="baseline"/>
          <w:lang w:val="en-US"/>
        </w:rPr>
        <w:t>398</w:t>
      </w:r>
    </w:p>
  </w:footnote>
  <w:footnote w:id="1082">
    <w:p w14:paraId="2C93B329" w14:textId="77777777" w:rsidR="00431A55" w:rsidRPr="008B571F" w:rsidRDefault="00431A55" w:rsidP="008C3633">
      <w:pPr>
        <w:pStyle w:val="FootnoteText"/>
        <w:rPr>
          <w:sz w:val="20"/>
          <w:szCs w:val="20"/>
          <w:vertAlign w:val="baseline"/>
          <w:lang w:val="en-US"/>
        </w:rPr>
      </w:pPr>
      <w:r w:rsidRPr="008B571F">
        <w:rPr>
          <w:rStyle w:val="FootnoteReference"/>
          <w:sz w:val="20"/>
          <w:szCs w:val="20"/>
        </w:rPr>
        <w:footnoteRef/>
      </w:r>
      <w:r w:rsidRPr="008B571F">
        <w:rPr>
          <w:sz w:val="20"/>
          <w:szCs w:val="20"/>
        </w:rPr>
        <w:t xml:space="preserve"> </w:t>
      </w:r>
      <w:r w:rsidRPr="008B571F">
        <w:rPr>
          <w:sz w:val="20"/>
          <w:szCs w:val="20"/>
          <w:vertAlign w:val="baseline"/>
          <w:lang w:val="en-US"/>
        </w:rPr>
        <w:t>Helen Quane, ‘Legal Pluralism and International Human Rights Law: Inherently Incompatible, Mutually Reinforcing or Something in Between?’ (2013) 33(4) Oxford Journal of Legal Studies 701</w:t>
      </w:r>
    </w:p>
  </w:footnote>
  <w:footnote w:id="1083">
    <w:p w14:paraId="394CFEC4" w14:textId="77777777" w:rsidR="00431A55" w:rsidRPr="007C7550" w:rsidRDefault="00431A55" w:rsidP="008C3633">
      <w:pPr>
        <w:pStyle w:val="FootnoteText"/>
        <w:rPr>
          <w:lang w:val="en-US"/>
        </w:rPr>
      </w:pPr>
      <w:r w:rsidRPr="008B571F">
        <w:rPr>
          <w:rStyle w:val="FootnoteReference"/>
          <w:sz w:val="20"/>
          <w:szCs w:val="20"/>
        </w:rPr>
        <w:footnoteRef/>
      </w:r>
      <w:r w:rsidRPr="008B571F">
        <w:rPr>
          <w:sz w:val="20"/>
          <w:szCs w:val="20"/>
        </w:rPr>
        <w:t xml:space="preserve"> </w:t>
      </w:r>
      <w:r w:rsidRPr="008B571F">
        <w:rPr>
          <w:sz w:val="20"/>
          <w:szCs w:val="20"/>
          <w:vertAlign w:val="baseline"/>
          <w:lang w:val="en-US"/>
        </w:rPr>
        <w:t xml:space="preserve">International Council on Human Rights, </w:t>
      </w:r>
      <w:r w:rsidRPr="008B571F">
        <w:rPr>
          <w:i/>
          <w:sz w:val="20"/>
          <w:szCs w:val="20"/>
          <w:vertAlign w:val="baseline"/>
          <w:lang w:val="en-US"/>
        </w:rPr>
        <w:t xml:space="preserve">When Legal Worlds Overlap: Human Rights, State and Non-State Law </w:t>
      </w:r>
      <w:r w:rsidRPr="008B571F">
        <w:rPr>
          <w:sz w:val="20"/>
          <w:szCs w:val="20"/>
          <w:vertAlign w:val="baseline"/>
          <w:lang w:val="en-US"/>
        </w:rPr>
        <w:t>(2009, International Council on Human Rights Policy) v</w:t>
      </w:r>
    </w:p>
  </w:footnote>
  <w:footnote w:id="1084">
    <w:p w14:paraId="55477DAB" w14:textId="3A6EE854" w:rsidR="00431A55" w:rsidRPr="0047006A" w:rsidRDefault="00431A55">
      <w:pPr>
        <w:pStyle w:val="FootnoteText"/>
        <w:rPr>
          <w:sz w:val="20"/>
          <w:szCs w:val="20"/>
          <w:vertAlign w:val="baseline"/>
          <w:lang w:val="en-US"/>
        </w:rPr>
      </w:pPr>
      <w:r w:rsidRPr="0047006A">
        <w:rPr>
          <w:rStyle w:val="FootnoteReference"/>
          <w:sz w:val="20"/>
          <w:szCs w:val="20"/>
        </w:rPr>
        <w:footnoteRef/>
      </w:r>
      <w:r w:rsidRPr="0047006A">
        <w:rPr>
          <w:sz w:val="20"/>
          <w:szCs w:val="20"/>
        </w:rPr>
        <w:t xml:space="preserve"> </w:t>
      </w:r>
      <w:r>
        <w:rPr>
          <w:sz w:val="20"/>
          <w:szCs w:val="20"/>
          <w:vertAlign w:val="baseline"/>
        </w:rPr>
        <w:t>Section 5.3, 180-1</w:t>
      </w:r>
    </w:p>
  </w:footnote>
  <w:footnote w:id="1085">
    <w:p w14:paraId="59D67AFF" w14:textId="11C4EA38" w:rsidR="00431A55" w:rsidRPr="00CF3F96" w:rsidRDefault="00431A55" w:rsidP="008C3633">
      <w:pPr>
        <w:pStyle w:val="FootnoteText"/>
        <w:rPr>
          <w:sz w:val="20"/>
          <w:szCs w:val="20"/>
          <w:vertAlign w:val="baseline"/>
          <w:lang w:val="en-US"/>
        </w:rPr>
      </w:pPr>
      <w:r w:rsidRPr="00CF3F96">
        <w:rPr>
          <w:rStyle w:val="FootnoteReference"/>
          <w:sz w:val="20"/>
          <w:szCs w:val="20"/>
        </w:rPr>
        <w:footnoteRef/>
      </w:r>
      <w:r w:rsidRPr="00CF3F96">
        <w:rPr>
          <w:sz w:val="20"/>
          <w:szCs w:val="20"/>
        </w:rPr>
        <w:t xml:space="preserve"> </w:t>
      </w:r>
      <w:r w:rsidRPr="00CF3F96">
        <w:rPr>
          <w:sz w:val="20"/>
          <w:szCs w:val="20"/>
          <w:vertAlign w:val="baseline"/>
          <w:lang w:val="en-US"/>
        </w:rPr>
        <w:t>International Council on Human Right</w:t>
      </w:r>
      <w:r>
        <w:rPr>
          <w:sz w:val="20"/>
          <w:szCs w:val="20"/>
          <w:vertAlign w:val="baseline"/>
          <w:lang w:val="en-US"/>
        </w:rPr>
        <w:t xml:space="preserve">s (n 1083) </w:t>
      </w:r>
      <w:r w:rsidRPr="00CF3F96">
        <w:rPr>
          <w:sz w:val="20"/>
          <w:szCs w:val="20"/>
          <w:vertAlign w:val="baseline"/>
          <w:lang w:val="en-US"/>
        </w:rPr>
        <w:t>vi</w:t>
      </w:r>
    </w:p>
  </w:footnote>
  <w:footnote w:id="1086">
    <w:p w14:paraId="143961A8" w14:textId="02233A63" w:rsidR="00431A55" w:rsidRPr="00CF3F96" w:rsidRDefault="00431A55" w:rsidP="008C3633">
      <w:pPr>
        <w:pStyle w:val="FootnoteText"/>
        <w:rPr>
          <w:sz w:val="20"/>
          <w:szCs w:val="20"/>
          <w:vertAlign w:val="baseline"/>
          <w:lang w:val="en-US"/>
        </w:rPr>
      </w:pPr>
      <w:r w:rsidRPr="00CF3F96">
        <w:rPr>
          <w:rStyle w:val="FootnoteReference"/>
          <w:sz w:val="20"/>
          <w:szCs w:val="20"/>
        </w:rPr>
        <w:footnoteRef/>
      </w:r>
      <w:r w:rsidRPr="00CF3F96">
        <w:rPr>
          <w:sz w:val="20"/>
          <w:szCs w:val="20"/>
        </w:rPr>
        <w:t xml:space="preserve"> </w:t>
      </w:r>
      <w:r>
        <w:rPr>
          <w:sz w:val="20"/>
          <w:szCs w:val="20"/>
          <w:vertAlign w:val="baseline"/>
          <w:lang w:val="en-US"/>
        </w:rPr>
        <w:t>ibid</w:t>
      </w:r>
    </w:p>
  </w:footnote>
  <w:footnote w:id="1087">
    <w:p w14:paraId="78641569" w14:textId="01817DA0" w:rsidR="00431A55" w:rsidRPr="005D670B" w:rsidRDefault="00431A55" w:rsidP="008C3633">
      <w:pPr>
        <w:pStyle w:val="FootnoteText"/>
        <w:rPr>
          <w:lang w:val="en-US"/>
        </w:rPr>
      </w:pPr>
      <w:r w:rsidRPr="00CF3F96">
        <w:rPr>
          <w:rStyle w:val="FootnoteReference"/>
          <w:sz w:val="20"/>
          <w:szCs w:val="20"/>
        </w:rPr>
        <w:footnoteRef/>
      </w:r>
      <w:r w:rsidRPr="00CF3F96">
        <w:rPr>
          <w:sz w:val="20"/>
          <w:szCs w:val="20"/>
          <w:vertAlign w:val="baseline"/>
        </w:rPr>
        <w:t xml:space="preserve"> </w:t>
      </w:r>
      <w:r>
        <w:rPr>
          <w:sz w:val="20"/>
          <w:szCs w:val="20"/>
          <w:vertAlign w:val="baseline"/>
          <w:lang w:val="en-US"/>
        </w:rPr>
        <w:t>ibid</w:t>
      </w:r>
      <w:r w:rsidRPr="00CF3F96">
        <w:rPr>
          <w:sz w:val="20"/>
          <w:szCs w:val="20"/>
          <w:vertAlign w:val="baseline"/>
          <w:lang w:val="en-US"/>
        </w:rPr>
        <w:t xml:space="preserve"> vii</w:t>
      </w:r>
    </w:p>
  </w:footnote>
  <w:footnote w:id="1088">
    <w:p w14:paraId="329663DE" w14:textId="77777777" w:rsidR="00431A55" w:rsidRPr="00B92D4E" w:rsidRDefault="00431A55" w:rsidP="008C3633">
      <w:pPr>
        <w:pStyle w:val="FootnoteText"/>
        <w:rPr>
          <w:sz w:val="20"/>
          <w:szCs w:val="20"/>
          <w:vertAlign w:val="baseline"/>
          <w:lang w:val="en-US"/>
        </w:rPr>
      </w:pPr>
      <w:r w:rsidRPr="00B92D4E">
        <w:rPr>
          <w:rStyle w:val="FootnoteReference"/>
          <w:sz w:val="20"/>
          <w:szCs w:val="20"/>
        </w:rPr>
        <w:footnoteRef/>
      </w:r>
      <w:r w:rsidRPr="00B92D4E">
        <w:rPr>
          <w:sz w:val="20"/>
          <w:szCs w:val="20"/>
        </w:rPr>
        <w:t xml:space="preserve"> </w:t>
      </w:r>
      <w:r w:rsidRPr="00B92D4E">
        <w:rPr>
          <w:sz w:val="20"/>
          <w:szCs w:val="20"/>
          <w:vertAlign w:val="baseline"/>
          <w:lang w:val="en-US"/>
        </w:rPr>
        <w:t xml:space="preserve">Partha S Ghosh, </w:t>
      </w:r>
      <w:r w:rsidRPr="00B92D4E">
        <w:rPr>
          <w:i/>
          <w:sz w:val="20"/>
          <w:szCs w:val="20"/>
          <w:vertAlign w:val="baseline"/>
          <w:lang w:val="en-US"/>
        </w:rPr>
        <w:t>The Politics of Personal Law in South Asia: Identity, Nationalism and the Uniform Civil Code</w:t>
      </w:r>
      <w:r w:rsidRPr="00B92D4E">
        <w:rPr>
          <w:sz w:val="20"/>
          <w:szCs w:val="20"/>
          <w:vertAlign w:val="baseline"/>
          <w:lang w:val="en-US"/>
        </w:rPr>
        <w:t xml:space="preserve"> (Routledge 2007) 129</w:t>
      </w:r>
    </w:p>
  </w:footnote>
  <w:footnote w:id="1089">
    <w:p w14:paraId="4E8205E7" w14:textId="654DD2F8" w:rsidR="00431A55" w:rsidRPr="00B92D4E" w:rsidRDefault="00431A55" w:rsidP="008C3633">
      <w:pPr>
        <w:pStyle w:val="FootnoteText"/>
        <w:rPr>
          <w:sz w:val="20"/>
          <w:szCs w:val="20"/>
          <w:vertAlign w:val="baseline"/>
          <w:lang w:val="en-US"/>
        </w:rPr>
      </w:pPr>
      <w:r w:rsidRPr="00B92D4E">
        <w:rPr>
          <w:rStyle w:val="FootnoteReference"/>
          <w:sz w:val="20"/>
          <w:szCs w:val="20"/>
        </w:rPr>
        <w:footnoteRef/>
      </w:r>
      <w:r w:rsidRPr="00B92D4E">
        <w:rPr>
          <w:sz w:val="20"/>
          <w:szCs w:val="20"/>
        </w:rPr>
        <w:t xml:space="preserve"> </w:t>
      </w:r>
      <w:r>
        <w:rPr>
          <w:sz w:val="20"/>
          <w:szCs w:val="20"/>
          <w:vertAlign w:val="baseline"/>
          <w:lang w:val="en-US"/>
        </w:rPr>
        <w:t>ibid</w:t>
      </w:r>
      <w:r w:rsidRPr="00B92D4E">
        <w:rPr>
          <w:sz w:val="20"/>
          <w:szCs w:val="20"/>
          <w:vertAlign w:val="baseline"/>
          <w:lang w:val="en-US"/>
        </w:rPr>
        <w:t xml:space="preserve"> 130</w:t>
      </w:r>
    </w:p>
  </w:footnote>
  <w:footnote w:id="1090">
    <w:p w14:paraId="6D2948FB" w14:textId="1952A910" w:rsidR="00431A55" w:rsidRPr="00B92D4E" w:rsidRDefault="00431A55" w:rsidP="008C3633">
      <w:pPr>
        <w:pStyle w:val="FootnoteText"/>
        <w:rPr>
          <w:sz w:val="20"/>
          <w:szCs w:val="20"/>
          <w:vertAlign w:val="baseline"/>
          <w:lang w:val="en-US"/>
        </w:rPr>
      </w:pPr>
      <w:r w:rsidRPr="00B92D4E">
        <w:rPr>
          <w:rStyle w:val="FootnoteReference"/>
          <w:sz w:val="20"/>
          <w:szCs w:val="20"/>
        </w:rPr>
        <w:footnoteRef/>
      </w:r>
      <w:r w:rsidRPr="00B92D4E">
        <w:rPr>
          <w:sz w:val="20"/>
          <w:szCs w:val="20"/>
          <w:vertAlign w:val="baseline"/>
        </w:rPr>
        <w:t xml:space="preserve"> </w:t>
      </w:r>
      <w:r>
        <w:rPr>
          <w:sz w:val="20"/>
          <w:szCs w:val="20"/>
          <w:vertAlign w:val="baseline"/>
          <w:lang w:val="en-US"/>
        </w:rPr>
        <w:t>ibid</w:t>
      </w:r>
    </w:p>
  </w:footnote>
  <w:footnote w:id="1091">
    <w:p w14:paraId="63E1ABC2" w14:textId="2D7FA859" w:rsidR="00431A55" w:rsidRPr="00B92D4E" w:rsidRDefault="00431A55" w:rsidP="008C3633">
      <w:pPr>
        <w:pStyle w:val="FootnoteText"/>
        <w:rPr>
          <w:sz w:val="20"/>
          <w:szCs w:val="20"/>
          <w:vertAlign w:val="baseline"/>
          <w:lang w:val="en-US"/>
        </w:rPr>
      </w:pPr>
      <w:r w:rsidRPr="00B92D4E">
        <w:rPr>
          <w:rStyle w:val="FootnoteReference"/>
          <w:sz w:val="20"/>
          <w:szCs w:val="20"/>
        </w:rPr>
        <w:footnoteRef/>
      </w:r>
      <w:r w:rsidRPr="00B92D4E">
        <w:rPr>
          <w:sz w:val="20"/>
          <w:szCs w:val="20"/>
        </w:rPr>
        <w:t xml:space="preserve"> </w:t>
      </w:r>
      <w:r>
        <w:rPr>
          <w:sz w:val="20"/>
          <w:szCs w:val="20"/>
          <w:vertAlign w:val="baseline"/>
          <w:lang w:val="en-US"/>
        </w:rPr>
        <w:t>ibid</w:t>
      </w:r>
      <w:r w:rsidRPr="00B92D4E">
        <w:rPr>
          <w:sz w:val="20"/>
          <w:szCs w:val="20"/>
          <w:vertAlign w:val="baseline"/>
          <w:lang w:val="en-US"/>
        </w:rPr>
        <w:t xml:space="preserve"> 131</w:t>
      </w:r>
    </w:p>
  </w:footnote>
  <w:footnote w:id="1092">
    <w:p w14:paraId="638724F0" w14:textId="26028CC8" w:rsidR="00431A55" w:rsidRPr="006643B3" w:rsidRDefault="00431A55" w:rsidP="008C3633">
      <w:pPr>
        <w:pStyle w:val="FootnoteText"/>
        <w:rPr>
          <w:lang w:val="en-US"/>
        </w:rPr>
      </w:pPr>
      <w:r w:rsidRPr="00B92D4E">
        <w:rPr>
          <w:rStyle w:val="FootnoteReference"/>
          <w:sz w:val="20"/>
          <w:szCs w:val="20"/>
        </w:rPr>
        <w:footnoteRef/>
      </w:r>
      <w:r w:rsidRPr="00B92D4E">
        <w:rPr>
          <w:sz w:val="20"/>
          <w:szCs w:val="20"/>
          <w:vertAlign w:val="baseline"/>
        </w:rPr>
        <w:t xml:space="preserve"> </w:t>
      </w:r>
      <w:r>
        <w:rPr>
          <w:sz w:val="20"/>
          <w:szCs w:val="20"/>
          <w:vertAlign w:val="baseline"/>
          <w:lang w:val="en-US"/>
        </w:rPr>
        <w:t>ibid</w:t>
      </w:r>
      <w:r w:rsidRPr="00B92D4E">
        <w:rPr>
          <w:sz w:val="20"/>
          <w:szCs w:val="20"/>
          <w:vertAlign w:val="baseline"/>
          <w:lang w:val="en-US"/>
        </w:rPr>
        <w:t xml:space="preserve"> 9</w:t>
      </w:r>
    </w:p>
  </w:footnote>
  <w:footnote w:id="1093">
    <w:p w14:paraId="52A107DE" w14:textId="77777777" w:rsidR="00431A55" w:rsidRPr="005275AE" w:rsidRDefault="00431A55" w:rsidP="008C3633">
      <w:pPr>
        <w:pStyle w:val="FootnoteText"/>
        <w:rPr>
          <w:sz w:val="20"/>
          <w:szCs w:val="20"/>
          <w:vertAlign w:val="baseline"/>
        </w:rPr>
      </w:pPr>
      <w:r w:rsidRPr="001C397F">
        <w:rPr>
          <w:rStyle w:val="FootnoteReference"/>
          <w:sz w:val="20"/>
          <w:szCs w:val="20"/>
        </w:rPr>
        <w:footnoteRef/>
      </w:r>
      <w:r w:rsidRPr="005275AE">
        <w:rPr>
          <w:sz w:val="20"/>
          <w:szCs w:val="20"/>
          <w:vertAlign w:val="baseline"/>
        </w:rPr>
        <w:t xml:space="preserve"> Ayelet Shachar, ‘Group Identity and Women’s Rights in Family Law: The Perils of Multicultural Accommodation’ (1998) 6 Journal of Politics and Philosophy 289</w:t>
      </w:r>
    </w:p>
  </w:footnote>
  <w:footnote w:id="1094">
    <w:p w14:paraId="06B7B315" w14:textId="345DACB2" w:rsidR="00431A55" w:rsidRPr="005275AE" w:rsidRDefault="00431A55" w:rsidP="008C3633">
      <w:pPr>
        <w:pStyle w:val="FootnoteText"/>
        <w:rPr>
          <w:sz w:val="20"/>
          <w:szCs w:val="20"/>
          <w:vertAlign w:val="baseline"/>
          <w:lang w:val="en-US"/>
        </w:rPr>
      </w:pPr>
      <w:r w:rsidRPr="005275AE">
        <w:rPr>
          <w:rStyle w:val="FootnoteReference"/>
          <w:sz w:val="20"/>
          <w:szCs w:val="20"/>
        </w:rPr>
        <w:footnoteRef/>
      </w:r>
      <w:r w:rsidRPr="005275AE">
        <w:rPr>
          <w:sz w:val="20"/>
          <w:szCs w:val="20"/>
        </w:rPr>
        <w:t xml:space="preserve"> </w:t>
      </w:r>
      <w:r w:rsidRPr="005275AE">
        <w:rPr>
          <w:sz w:val="20"/>
          <w:szCs w:val="20"/>
          <w:vertAlign w:val="baseline"/>
        </w:rPr>
        <w:t xml:space="preserve">Hossain, ‘Women’s Rights and Personal Laws in South Asia’ in </w:t>
      </w:r>
      <w:r w:rsidRPr="005275AE">
        <w:rPr>
          <w:sz w:val="20"/>
          <w:szCs w:val="20"/>
          <w:vertAlign w:val="baseline"/>
          <w:lang w:val="en-US"/>
        </w:rPr>
        <w:t>Cook (</w:t>
      </w:r>
      <w:r>
        <w:rPr>
          <w:sz w:val="20"/>
          <w:szCs w:val="20"/>
          <w:vertAlign w:val="baseline"/>
          <w:lang w:val="en-US"/>
        </w:rPr>
        <w:t xml:space="preserve">n 16) </w:t>
      </w:r>
      <w:r w:rsidRPr="005275AE">
        <w:rPr>
          <w:sz w:val="20"/>
          <w:szCs w:val="20"/>
          <w:vertAlign w:val="baseline"/>
          <w:lang w:val="en-US"/>
        </w:rPr>
        <w:t>473</w:t>
      </w:r>
    </w:p>
  </w:footnote>
  <w:footnote w:id="1095">
    <w:p w14:paraId="505DE187" w14:textId="08B70787" w:rsidR="00431A55" w:rsidRPr="005275AE" w:rsidRDefault="00431A55" w:rsidP="008C3633">
      <w:pPr>
        <w:pStyle w:val="FootnoteText"/>
        <w:rPr>
          <w:sz w:val="20"/>
          <w:szCs w:val="20"/>
          <w:vertAlign w:val="baseline"/>
          <w:lang w:val="en-US"/>
        </w:rPr>
      </w:pPr>
      <w:r w:rsidRPr="005275AE">
        <w:rPr>
          <w:rStyle w:val="FootnoteReference"/>
          <w:sz w:val="20"/>
          <w:szCs w:val="20"/>
        </w:rPr>
        <w:footnoteRef/>
      </w:r>
      <w:r w:rsidRPr="005275AE">
        <w:rPr>
          <w:sz w:val="20"/>
          <w:szCs w:val="20"/>
        </w:rPr>
        <w:t xml:space="preserve"> </w:t>
      </w:r>
      <w:r w:rsidRPr="005275AE">
        <w:rPr>
          <w:sz w:val="20"/>
          <w:szCs w:val="20"/>
          <w:vertAlign w:val="baseline"/>
          <w:lang w:val="en-US"/>
        </w:rPr>
        <w:t>Coomaraswamy, ‘To</w:t>
      </w:r>
      <w:r>
        <w:rPr>
          <w:sz w:val="20"/>
          <w:szCs w:val="20"/>
          <w:vertAlign w:val="baseline"/>
          <w:lang w:val="en-US"/>
        </w:rPr>
        <w:t xml:space="preserve"> Bellow like a Cow</w:t>
      </w:r>
      <w:r w:rsidRPr="005275AE">
        <w:rPr>
          <w:sz w:val="20"/>
          <w:szCs w:val="20"/>
          <w:vertAlign w:val="baseline"/>
          <w:lang w:val="en-US"/>
        </w:rPr>
        <w:t xml:space="preserve">’ </w:t>
      </w:r>
      <w:r>
        <w:rPr>
          <w:sz w:val="20"/>
          <w:szCs w:val="20"/>
          <w:vertAlign w:val="baseline"/>
          <w:lang w:val="en-US"/>
        </w:rPr>
        <w:t xml:space="preserve">(n 87) </w:t>
      </w:r>
      <w:r w:rsidRPr="005275AE">
        <w:rPr>
          <w:sz w:val="20"/>
          <w:szCs w:val="20"/>
          <w:vertAlign w:val="baseline"/>
          <w:lang w:val="en-US"/>
        </w:rPr>
        <w:t>48</w:t>
      </w:r>
    </w:p>
  </w:footnote>
  <w:footnote w:id="1096">
    <w:p w14:paraId="3CA1DB06" w14:textId="77777777" w:rsidR="00431A55" w:rsidRPr="005275AE" w:rsidRDefault="00431A55" w:rsidP="008C3633">
      <w:pPr>
        <w:rPr>
          <w:rFonts w:ascii="Times" w:eastAsia="Times New Roman" w:hAnsi="Times" w:cs="Times New Roman"/>
          <w:vertAlign w:val="baseline"/>
        </w:rPr>
      </w:pPr>
      <w:r w:rsidRPr="005275AE">
        <w:rPr>
          <w:rStyle w:val="FootnoteReference"/>
        </w:rPr>
        <w:footnoteRef/>
      </w:r>
      <w:r w:rsidRPr="005275AE">
        <w:rPr>
          <w:vertAlign w:val="baseline"/>
        </w:rPr>
        <w:t xml:space="preserve"> </w:t>
      </w:r>
      <w:r w:rsidRPr="005275AE">
        <w:rPr>
          <w:rFonts w:eastAsia="Times New Roman" w:cs="Times New Roman"/>
          <w:vertAlign w:val="baseline"/>
        </w:rPr>
        <w:t>Mark J. Calaguas, Cris M. Drost, Edward R. Fluet, ‘Legal Pluralism &amp; Women’s Rights: A Study in Post-Colonial Tanzania’ (2006) Social Science Research Network 8</w:t>
      </w:r>
    </w:p>
  </w:footnote>
  <w:footnote w:id="1097">
    <w:p w14:paraId="285C4CFF" w14:textId="00607F27" w:rsidR="00431A55" w:rsidRPr="005275AE" w:rsidRDefault="00431A55" w:rsidP="008C3633">
      <w:pPr>
        <w:pStyle w:val="FootnoteText"/>
        <w:rPr>
          <w:sz w:val="20"/>
          <w:szCs w:val="20"/>
          <w:vertAlign w:val="baseline"/>
          <w:lang w:val="en-US"/>
        </w:rPr>
      </w:pPr>
      <w:r w:rsidRPr="005275AE">
        <w:rPr>
          <w:rStyle w:val="FootnoteReference"/>
          <w:sz w:val="20"/>
          <w:szCs w:val="20"/>
        </w:rPr>
        <w:footnoteRef/>
      </w:r>
      <w:r w:rsidRPr="005275AE">
        <w:rPr>
          <w:sz w:val="20"/>
          <w:szCs w:val="20"/>
        </w:rPr>
        <w:t xml:space="preserve"> </w:t>
      </w:r>
      <w:r w:rsidRPr="005275AE">
        <w:rPr>
          <w:sz w:val="20"/>
          <w:szCs w:val="20"/>
          <w:vertAlign w:val="baseline"/>
          <w:lang w:val="en-US"/>
        </w:rPr>
        <w:t>Ghosh</w:t>
      </w:r>
      <w:r>
        <w:rPr>
          <w:sz w:val="20"/>
          <w:szCs w:val="20"/>
          <w:vertAlign w:val="baseline"/>
          <w:lang w:val="en-US"/>
        </w:rPr>
        <w:t xml:space="preserve"> (n 1088) </w:t>
      </w:r>
      <w:r w:rsidRPr="005275AE">
        <w:rPr>
          <w:sz w:val="20"/>
          <w:szCs w:val="20"/>
          <w:vertAlign w:val="baseline"/>
          <w:lang w:val="en-US"/>
        </w:rPr>
        <w:t>130</w:t>
      </w:r>
    </w:p>
  </w:footnote>
  <w:footnote w:id="1098">
    <w:p w14:paraId="7802A7FA" w14:textId="5AA8D31C" w:rsidR="00431A55" w:rsidRPr="005275AE" w:rsidRDefault="00431A55" w:rsidP="008C3633">
      <w:pPr>
        <w:pStyle w:val="FootnoteText"/>
        <w:rPr>
          <w:sz w:val="20"/>
          <w:szCs w:val="20"/>
          <w:vertAlign w:val="baseline"/>
          <w:lang w:val="en-US"/>
        </w:rPr>
      </w:pPr>
      <w:r w:rsidRPr="005275AE">
        <w:rPr>
          <w:rStyle w:val="FootnoteReference"/>
          <w:sz w:val="20"/>
          <w:szCs w:val="20"/>
        </w:rPr>
        <w:footnoteRef/>
      </w:r>
      <w:r w:rsidRPr="005275AE">
        <w:rPr>
          <w:sz w:val="20"/>
          <w:szCs w:val="20"/>
        </w:rPr>
        <w:t xml:space="preserve"> </w:t>
      </w:r>
      <w:r>
        <w:rPr>
          <w:sz w:val="20"/>
          <w:szCs w:val="20"/>
          <w:vertAlign w:val="baseline"/>
        </w:rPr>
        <w:t xml:space="preserve">Richardson (n 15) </w:t>
      </w:r>
      <w:r w:rsidRPr="005275AE">
        <w:rPr>
          <w:sz w:val="20"/>
          <w:szCs w:val="20"/>
          <w:vertAlign w:val="baseline"/>
          <w:lang w:val="en-US"/>
        </w:rPr>
        <w:t>400</w:t>
      </w:r>
    </w:p>
  </w:footnote>
  <w:footnote w:id="1099">
    <w:p w14:paraId="18F31DC1" w14:textId="54FC1754" w:rsidR="00431A55" w:rsidRPr="009275F0" w:rsidRDefault="00431A55" w:rsidP="008C3633">
      <w:pPr>
        <w:pStyle w:val="FootnoteText"/>
        <w:rPr>
          <w:lang w:val="en-US"/>
        </w:rPr>
      </w:pPr>
      <w:r w:rsidRPr="005275AE">
        <w:rPr>
          <w:rStyle w:val="FootnoteReference"/>
          <w:sz w:val="20"/>
          <w:szCs w:val="20"/>
        </w:rPr>
        <w:footnoteRef/>
      </w:r>
      <w:r w:rsidRPr="005275AE">
        <w:rPr>
          <w:sz w:val="20"/>
          <w:szCs w:val="20"/>
        </w:rPr>
        <w:t xml:space="preserve"> </w:t>
      </w:r>
      <w:r>
        <w:rPr>
          <w:sz w:val="20"/>
          <w:szCs w:val="20"/>
          <w:vertAlign w:val="baseline"/>
        </w:rPr>
        <w:t>ibid</w:t>
      </w:r>
    </w:p>
  </w:footnote>
  <w:footnote w:id="1100">
    <w:p w14:paraId="41C93960" w14:textId="7986DE95" w:rsidR="00431A55" w:rsidRPr="00A33165" w:rsidRDefault="00431A55" w:rsidP="008C3633">
      <w:pPr>
        <w:pStyle w:val="FootnoteText"/>
        <w:rPr>
          <w:sz w:val="20"/>
          <w:szCs w:val="20"/>
          <w:vertAlign w:val="baseline"/>
          <w:lang w:val="en-US"/>
        </w:rPr>
      </w:pPr>
      <w:r w:rsidRPr="00A33165">
        <w:rPr>
          <w:rStyle w:val="FootnoteReference"/>
          <w:sz w:val="20"/>
          <w:szCs w:val="20"/>
        </w:rPr>
        <w:footnoteRef/>
      </w:r>
      <w:r w:rsidRPr="00A33165">
        <w:rPr>
          <w:sz w:val="20"/>
          <w:szCs w:val="20"/>
          <w:vertAlign w:val="baseline"/>
        </w:rPr>
        <w:t xml:space="preserve"> </w:t>
      </w:r>
      <w:r w:rsidRPr="00A33165">
        <w:rPr>
          <w:sz w:val="20"/>
          <w:szCs w:val="20"/>
          <w:vertAlign w:val="baseline"/>
          <w:lang w:val="en-US"/>
        </w:rPr>
        <w:t>Ghosh</w:t>
      </w:r>
      <w:r>
        <w:rPr>
          <w:sz w:val="20"/>
          <w:szCs w:val="20"/>
          <w:vertAlign w:val="baseline"/>
          <w:lang w:val="en-US"/>
        </w:rPr>
        <w:t xml:space="preserve"> (n 1088) </w:t>
      </w:r>
      <w:r w:rsidRPr="00A33165">
        <w:rPr>
          <w:sz w:val="20"/>
          <w:szCs w:val="20"/>
          <w:vertAlign w:val="baseline"/>
          <w:lang w:val="en-US"/>
        </w:rPr>
        <w:t>132</w:t>
      </w:r>
    </w:p>
  </w:footnote>
  <w:footnote w:id="1101">
    <w:p w14:paraId="5FAADD8F" w14:textId="1F0E2056" w:rsidR="00431A55" w:rsidRPr="00A33165" w:rsidRDefault="00431A55" w:rsidP="008C3633">
      <w:pPr>
        <w:pStyle w:val="FootnoteText"/>
        <w:rPr>
          <w:sz w:val="20"/>
          <w:szCs w:val="20"/>
          <w:vertAlign w:val="baseline"/>
          <w:lang w:val="en-US"/>
        </w:rPr>
      </w:pPr>
      <w:r w:rsidRPr="00A33165">
        <w:rPr>
          <w:rStyle w:val="FootnoteReference"/>
          <w:sz w:val="20"/>
          <w:szCs w:val="20"/>
        </w:rPr>
        <w:footnoteRef/>
      </w:r>
      <w:r w:rsidRPr="00A33165">
        <w:rPr>
          <w:sz w:val="20"/>
          <w:szCs w:val="20"/>
        </w:rPr>
        <w:t xml:space="preserve"> </w:t>
      </w:r>
      <w:r>
        <w:rPr>
          <w:sz w:val="20"/>
          <w:szCs w:val="20"/>
          <w:vertAlign w:val="baseline"/>
          <w:lang w:val="en-US"/>
        </w:rPr>
        <w:t>ibid</w:t>
      </w:r>
    </w:p>
  </w:footnote>
  <w:footnote w:id="1102">
    <w:p w14:paraId="39028DF1" w14:textId="72E45AAE" w:rsidR="00431A55" w:rsidRPr="00A33165" w:rsidRDefault="00431A55" w:rsidP="008C3633">
      <w:pPr>
        <w:pStyle w:val="FootnoteText"/>
        <w:rPr>
          <w:sz w:val="20"/>
          <w:szCs w:val="20"/>
          <w:vertAlign w:val="baseline"/>
          <w:lang w:val="en-US"/>
        </w:rPr>
      </w:pPr>
      <w:r w:rsidRPr="00A33165">
        <w:rPr>
          <w:rStyle w:val="FootnoteReference"/>
          <w:sz w:val="20"/>
          <w:szCs w:val="20"/>
        </w:rPr>
        <w:footnoteRef/>
      </w:r>
      <w:r w:rsidRPr="00A33165">
        <w:rPr>
          <w:sz w:val="20"/>
          <w:szCs w:val="20"/>
          <w:vertAlign w:val="baseline"/>
        </w:rPr>
        <w:t xml:space="preserve"> </w:t>
      </w:r>
      <w:r>
        <w:rPr>
          <w:sz w:val="20"/>
          <w:szCs w:val="20"/>
          <w:vertAlign w:val="baseline"/>
          <w:lang w:val="en-US"/>
        </w:rPr>
        <w:t>ibid</w:t>
      </w:r>
    </w:p>
  </w:footnote>
  <w:footnote w:id="1103">
    <w:p w14:paraId="320C2BF8" w14:textId="0C50B88A" w:rsidR="00431A55" w:rsidRPr="00A33165" w:rsidRDefault="00431A55" w:rsidP="008C3633">
      <w:pPr>
        <w:pStyle w:val="FootnoteText"/>
        <w:rPr>
          <w:sz w:val="20"/>
          <w:szCs w:val="20"/>
          <w:vertAlign w:val="baseline"/>
          <w:lang w:val="en-US"/>
        </w:rPr>
      </w:pPr>
      <w:r w:rsidRPr="00A33165">
        <w:rPr>
          <w:rStyle w:val="FootnoteReference"/>
          <w:sz w:val="20"/>
          <w:szCs w:val="20"/>
        </w:rPr>
        <w:footnoteRef/>
      </w:r>
      <w:r w:rsidRPr="00A33165">
        <w:rPr>
          <w:sz w:val="20"/>
          <w:szCs w:val="20"/>
          <w:vertAlign w:val="baseline"/>
        </w:rPr>
        <w:t xml:space="preserve"> </w:t>
      </w:r>
      <w:r w:rsidRPr="00A33165">
        <w:rPr>
          <w:sz w:val="20"/>
          <w:szCs w:val="20"/>
          <w:vertAlign w:val="baseline"/>
          <w:lang w:val="en-US"/>
        </w:rPr>
        <w:t>[2001] AIR SC 938</w:t>
      </w:r>
    </w:p>
  </w:footnote>
  <w:footnote w:id="1104">
    <w:p w14:paraId="17FFA5A2" w14:textId="71D368F2" w:rsidR="00431A55" w:rsidRPr="00D5131B" w:rsidRDefault="00431A55" w:rsidP="008C3633">
      <w:pPr>
        <w:pStyle w:val="FootnoteText"/>
        <w:rPr>
          <w:lang w:val="en-US"/>
        </w:rPr>
      </w:pPr>
      <w:r w:rsidRPr="00A33165">
        <w:rPr>
          <w:rStyle w:val="FootnoteReference"/>
          <w:sz w:val="20"/>
          <w:szCs w:val="20"/>
        </w:rPr>
        <w:footnoteRef/>
      </w:r>
      <w:r w:rsidRPr="00A33165">
        <w:rPr>
          <w:sz w:val="20"/>
          <w:szCs w:val="20"/>
          <w:vertAlign w:val="baseline"/>
        </w:rPr>
        <w:t xml:space="preserve"> </w:t>
      </w:r>
      <w:r>
        <w:rPr>
          <w:sz w:val="20"/>
          <w:szCs w:val="20"/>
          <w:vertAlign w:val="baseline"/>
          <w:lang w:val="en-US"/>
        </w:rPr>
        <w:t>ibid</w:t>
      </w:r>
      <w:r w:rsidRPr="00A33165">
        <w:rPr>
          <w:sz w:val="20"/>
          <w:szCs w:val="20"/>
          <w:vertAlign w:val="baseline"/>
          <w:lang w:val="en-US"/>
        </w:rPr>
        <w:t xml:space="preserve"> </w:t>
      </w:r>
    </w:p>
  </w:footnote>
  <w:footnote w:id="1105">
    <w:p w14:paraId="4581F7D7" w14:textId="4CDC292B" w:rsidR="00431A55" w:rsidRPr="00715C6A" w:rsidRDefault="00431A55" w:rsidP="008C3633">
      <w:pPr>
        <w:pStyle w:val="FootnoteText"/>
        <w:rPr>
          <w:sz w:val="20"/>
          <w:szCs w:val="20"/>
          <w:vertAlign w:val="baseline"/>
          <w:lang w:val="en-US"/>
        </w:rPr>
      </w:pPr>
      <w:r w:rsidRPr="00715C6A">
        <w:rPr>
          <w:rStyle w:val="FootnoteReference"/>
          <w:sz w:val="20"/>
          <w:szCs w:val="20"/>
        </w:rPr>
        <w:footnoteRef/>
      </w:r>
      <w:r w:rsidRPr="00715C6A">
        <w:rPr>
          <w:sz w:val="20"/>
          <w:szCs w:val="20"/>
        </w:rPr>
        <w:t xml:space="preserve"> </w:t>
      </w:r>
      <w:r w:rsidRPr="00715C6A">
        <w:rPr>
          <w:sz w:val="20"/>
          <w:szCs w:val="20"/>
          <w:vertAlign w:val="baseline"/>
          <w:lang w:val="en-US"/>
        </w:rPr>
        <w:t>Abdullahi Ahmed An-Na’im, ‘State Responsibility to Change Religious a</w:t>
      </w:r>
      <w:r>
        <w:rPr>
          <w:sz w:val="20"/>
          <w:szCs w:val="20"/>
          <w:vertAlign w:val="baseline"/>
          <w:lang w:val="en-US"/>
        </w:rPr>
        <w:t xml:space="preserve">nd Customary Laws’ in </w:t>
      </w:r>
      <w:r w:rsidRPr="00715C6A">
        <w:rPr>
          <w:sz w:val="20"/>
          <w:szCs w:val="20"/>
          <w:vertAlign w:val="baseline"/>
          <w:lang w:val="en-US"/>
        </w:rPr>
        <w:t>Cook (</w:t>
      </w:r>
      <w:r>
        <w:rPr>
          <w:sz w:val="20"/>
          <w:szCs w:val="20"/>
          <w:vertAlign w:val="baseline"/>
          <w:lang w:val="en-US"/>
        </w:rPr>
        <w:t xml:space="preserve">n 16) </w:t>
      </w:r>
      <w:r w:rsidRPr="00715C6A">
        <w:rPr>
          <w:sz w:val="20"/>
          <w:szCs w:val="20"/>
          <w:vertAlign w:val="baseline"/>
          <w:lang w:val="en-US"/>
        </w:rPr>
        <w:t>176</w:t>
      </w:r>
    </w:p>
  </w:footnote>
  <w:footnote w:id="1106">
    <w:p w14:paraId="260DD198" w14:textId="5DF270EF" w:rsidR="00431A55" w:rsidRPr="00715C6A" w:rsidRDefault="00431A55" w:rsidP="008C3633">
      <w:pPr>
        <w:pStyle w:val="FootnoteText"/>
        <w:rPr>
          <w:sz w:val="20"/>
          <w:szCs w:val="20"/>
          <w:vertAlign w:val="baseline"/>
          <w:lang w:val="en-US"/>
        </w:rPr>
      </w:pPr>
      <w:r w:rsidRPr="00715C6A">
        <w:rPr>
          <w:rStyle w:val="FootnoteReference"/>
          <w:sz w:val="20"/>
          <w:szCs w:val="20"/>
        </w:rPr>
        <w:footnoteRef/>
      </w:r>
      <w:r w:rsidRPr="00715C6A">
        <w:rPr>
          <w:sz w:val="20"/>
          <w:szCs w:val="20"/>
          <w:vertAlign w:val="baseline"/>
        </w:rPr>
        <w:t xml:space="preserve"> </w:t>
      </w:r>
      <w:r>
        <w:rPr>
          <w:sz w:val="20"/>
          <w:szCs w:val="20"/>
          <w:vertAlign w:val="baseline"/>
          <w:lang w:val="en-US"/>
        </w:rPr>
        <w:t>ibid</w:t>
      </w:r>
    </w:p>
  </w:footnote>
  <w:footnote w:id="1107">
    <w:p w14:paraId="7B2E6990" w14:textId="50E38E9F" w:rsidR="00431A55" w:rsidRPr="00715C6A" w:rsidRDefault="00431A55" w:rsidP="008C3633">
      <w:pPr>
        <w:pStyle w:val="FootnoteText"/>
        <w:rPr>
          <w:sz w:val="20"/>
          <w:szCs w:val="20"/>
          <w:vertAlign w:val="baseline"/>
          <w:lang w:val="en-US"/>
        </w:rPr>
      </w:pPr>
      <w:r w:rsidRPr="00715C6A">
        <w:rPr>
          <w:rStyle w:val="FootnoteReference"/>
          <w:sz w:val="20"/>
          <w:szCs w:val="20"/>
        </w:rPr>
        <w:footnoteRef/>
      </w:r>
      <w:r w:rsidRPr="00715C6A">
        <w:rPr>
          <w:sz w:val="20"/>
          <w:szCs w:val="20"/>
          <w:vertAlign w:val="baseline"/>
        </w:rPr>
        <w:t xml:space="preserve"> </w:t>
      </w:r>
      <w:r w:rsidRPr="00715C6A">
        <w:rPr>
          <w:sz w:val="20"/>
          <w:szCs w:val="20"/>
          <w:vertAlign w:val="baseline"/>
          <w:lang w:val="en-US"/>
        </w:rPr>
        <w:t>Ghosh</w:t>
      </w:r>
      <w:r>
        <w:rPr>
          <w:sz w:val="20"/>
          <w:szCs w:val="20"/>
          <w:vertAlign w:val="baseline"/>
          <w:lang w:val="en-US"/>
        </w:rPr>
        <w:t xml:space="preserve"> (n 1088) </w:t>
      </w:r>
      <w:r w:rsidRPr="00715C6A">
        <w:rPr>
          <w:sz w:val="20"/>
          <w:szCs w:val="20"/>
          <w:vertAlign w:val="baseline"/>
          <w:lang w:val="en-US"/>
        </w:rPr>
        <w:t>133</w:t>
      </w:r>
    </w:p>
  </w:footnote>
  <w:footnote w:id="1108">
    <w:p w14:paraId="3E94C61A" w14:textId="46DA2E16" w:rsidR="00431A55" w:rsidRPr="00047CB0" w:rsidRDefault="00431A55" w:rsidP="008C3633">
      <w:pPr>
        <w:pStyle w:val="FootnoteText"/>
        <w:rPr>
          <w:lang w:val="en-US"/>
        </w:rPr>
      </w:pPr>
      <w:r w:rsidRPr="00715C6A">
        <w:rPr>
          <w:rStyle w:val="FootnoteReference"/>
          <w:sz w:val="20"/>
          <w:szCs w:val="20"/>
        </w:rPr>
        <w:footnoteRef/>
      </w:r>
      <w:r w:rsidRPr="00715C6A">
        <w:rPr>
          <w:sz w:val="20"/>
          <w:szCs w:val="20"/>
          <w:vertAlign w:val="baseline"/>
        </w:rPr>
        <w:t xml:space="preserve"> </w:t>
      </w:r>
      <w:r>
        <w:rPr>
          <w:sz w:val="20"/>
          <w:szCs w:val="20"/>
          <w:vertAlign w:val="baseline"/>
          <w:lang w:val="en-US"/>
        </w:rPr>
        <w:t>See Sections 3.12, 111; 4.4.1, 133</w:t>
      </w:r>
    </w:p>
  </w:footnote>
  <w:footnote w:id="1109">
    <w:p w14:paraId="0B3168FF" w14:textId="097C915B" w:rsidR="00431A55" w:rsidRPr="00293CA8" w:rsidRDefault="00431A55">
      <w:pPr>
        <w:pStyle w:val="FootnoteText"/>
        <w:rPr>
          <w:sz w:val="20"/>
          <w:szCs w:val="20"/>
          <w:vertAlign w:val="baseline"/>
          <w:lang w:val="en-US"/>
        </w:rPr>
      </w:pPr>
      <w:r w:rsidRPr="00293CA8">
        <w:rPr>
          <w:rStyle w:val="FootnoteReference"/>
          <w:sz w:val="20"/>
          <w:szCs w:val="20"/>
        </w:rPr>
        <w:footnoteRef/>
      </w:r>
      <w:r w:rsidRPr="00293CA8">
        <w:rPr>
          <w:sz w:val="20"/>
          <w:szCs w:val="20"/>
        </w:rPr>
        <w:t xml:space="preserve"> </w:t>
      </w:r>
      <w:r>
        <w:rPr>
          <w:sz w:val="20"/>
          <w:szCs w:val="20"/>
          <w:vertAlign w:val="baseline"/>
        </w:rPr>
        <w:t xml:space="preserve">David Sloss, ‘Domestic Application of Treaties’ in Duncan B Hollis, </w:t>
      </w:r>
      <w:r>
        <w:rPr>
          <w:i/>
          <w:sz w:val="20"/>
          <w:szCs w:val="20"/>
          <w:vertAlign w:val="baseline"/>
        </w:rPr>
        <w:t xml:space="preserve">The Oxford Guide to </w:t>
      </w:r>
      <w:r w:rsidRPr="00293CA8">
        <w:rPr>
          <w:sz w:val="20"/>
          <w:szCs w:val="20"/>
          <w:vertAlign w:val="baseline"/>
        </w:rPr>
        <w:t>Treaties</w:t>
      </w:r>
      <w:r>
        <w:rPr>
          <w:sz w:val="20"/>
          <w:szCs w:val="20"/>
          <w:vertAlign w:val="baseline"/>
        </w:rPr>
        <w:t xml:space="preserve"> (OUP 2012) </w:t>
      </w:r>
      <w:r w:rsidRPr="00293CA8">
        <w:rPr>
          <w:sz w:val="20"/>
          <w:szCs w:val="20"/>
          <w:vertAlign w:val="baseline"/>
        </w:rPr>
        <w:t>370</w:t>
      </w:r>
    </w:p>
  </w:footnote>
  <w:footnote w:id="1110">
    <w:p w14:paraId="6C80B8F9" w14:textId="6038E5AA" w:rsidR="00431A55" w:rsidRPr="00EA7321" w:rsidRDefault="00431A55" w:rsidP="008C3633">
      <w:pPr>
        <w:pStyle w:val="NoSpacing"/>
        <w:rPr>
          <w:vertAlign w:val="baseline"/>
        </w:rPr>
      </w:pPr>
      <w:r w:rsidRPr="00EA7321">
        <w:rPr>
          <w:rStyle w:val="FootnoteReference"/>
        </w:rPr>
        <w:footnoteRef/>
      </w:r>
      <w:r w:rsidRPr="00EA7321">
        <w:t xml:space="preserve"> </w:t>
      </w:r>
      <w:r w:rsidRPr="00EA7321">
        <w:rPr>
          <w:shd w:val="clear" w:color="auto" w:fill="FFFFFF"/>
          <w:vertAlign w:val="baseline"/>
        </w:rPr>
        <w:t>Constitution of the Republi</w:t>
      </w:r>
      <w:r>
        <w:rPr>
          <w:shd w:val="clear" w:color="auto" w:fill="FFFFFF"/>
          <w:vertAlign w:val="baseline"/>
        </w:rPr>
        <w:t>c of Ghana, May 8 (1992) Ch 4, Art</w:t>
      </w:r>
      <w:r w:rsidRPr="00EA7321">
        <w:rPr>
          <w:shd w:val="clear" w:color="auto" w:fill="FFFFFF"/>
          <w:vertAlign w:val="baseline"/>
        </w:rPr>
        <w:t xml:space="preserve"> 11</w:t>
      </w:r>
    </w:p>
  </w:footnote>
  <w:footnote w:id="1111">
    <w:p w14:paraId="74952A71" w14:textId="0264AE63" w:rsidR="00431A55" w:rsidRPr="00733E38" w:rsidRDefault="00431A55">
      <w:pPr>
        <w:pStyle w:val="FootnoteText"/>
        <w:rPr>
          <w:sz w:val="20"/>
          <w:szCs w:val="20"/>
          <w:vertAlign w:val="baseline"/>
          <w:lang w:val="en-US"/>
        </w:rPr>
      </w:pPr>
      <w:r w:rsidRPr="00733E38">
        <w:rPr>
          <w:rStyle w:val="FootnoteReference"/>
          <w:sz w:val="20"/>
          <w:szCs w:val="20"/>
        </w:rPr>
        <w:footnoteRef/>
      </w:r>
      <w:r w:rsidRPr="00733E38">
        <w:rPr>
          <w:sz w:val="20"/>
          <w:szCs w:val="20"/>
        </w:rPr>
        <w:t xml:space="preserve"> </w:t>
      </w:r>
      <w:r>
        <w:rPr>
          <w:sz w:val="20"/>
          <w:szCs w:val="20"/>
        </w:rPr>
        <w:t xml:space="preserve"> </w:t>
      </w:r>
      <w:r>
        <w:rPr>
          <w:sz w:val="20"/>
          <w:szCs w:val="20"/>
          <w:vertAlign w:val="baseline"/>
        </w:rPr>
        <w:t>See section 6.5.2 below for further discussion</w:t>
      </w:r>
    </w:p>
  </w:footnote>
  <w:footnote w:id="1112">
    <w:p w14:paraId="21450705" w14:textId="0789BA5A" w:rsidR="00431A55" w:rsidRPr="00EA7321" w:rsidRDefault="00431A55" w:rsidP="008C3633">
      <w:pPr>
        <w:pStyle w:val="FootnoteText"/>
        <w:rPr>
          <w:sz w:val="20"/>
          <w:szCs w:val="20"/>
          <w:vertAlign w:val="baseline"/>
          <w:lang w:val="en-US"/>
        </w:rPr>
      </w:pPr>
      <w:r w:rsidRPr="00EA7321">
        <w:rPr>
          <w:rStyle w:val="FootnoteReference"/>
          <w:sz w:val="20"/>
          <w:szCs w:val="20"/>
        </w:rPr>
        <w:footnoteRef/>
      </w:r>
      <w:r w:rsidRPr="00EA7321">
        <w:rPr>
          <w:sz w:val="20"/>
          <w:szCs w:val="20"/>
        </w:rPr>
        <w:t xml:space="preserve"> </w:t>
      </w:r>
      <w:r>
        <w:rPr>
          <w:sz w:val="20"/>
          <w:szCs w:val="20"/>
          <w:shd w:val="clear" w:color="auto" w:fill="FFFFFF"/>
          <w:vertAlign w:val="baseline"/>
        </w:rPr>
        <w:t>ibid Ch 4, Art</w:t>
      </w:r>
      <w:r w:rsidRPr="00EA7321">
        <w:rPr>
          <w:sz w:val="20"/>
          <w:szCs w:val="20"/>
          <w:shd w:val="clear" w:color="auto" w:fill="FFFFFF"/>
          <w:vertAlign w:val="baseline"/>
        </w:rPr>
        <w:t xml:space="preserve"> 11 (2)</w:t>
      </w:r>
    </w:p>
  </w:footnote>
  <w:footnote w:id="1113">
    <w:p w14:paraId="702B0748" w14:textId="77777777" w:rsidR="00431A55" w:rsidRPr="00EA7321" w:rsidRDefault="00431A55" w:rsidP="008C3633">
      <w:pPr>
        <w:pStyle w:val="FootnoteText"/>
        <w:rPr>
          <w:sz w:val="20"/>
          <w:szCs w:val="20"/>
          <w:vertAlign w:val="baseline"/>
          <w:lang w:val="en-US"/>
        </w:rPr>
      </w:pPr>
      <w:r w:rsidRPr="00EA7321">
        <w:rPr>
          <w:rStyle w:val="FootnoteReference"/>
          <w:sz w:val="20"/>
          <w:szCs w:val="20"/>
        </w:rPr>
        <w:footnoteRef/>
      </w:r>
      <w:r w:rsidRPr="00EA7321">
        <w:rPr>
          <w:sz w:val="20"/>
          <w:szCs w:val="20"/>
        </w:rPr>
        <w:t xml:space="preserve"> </w:t>
      </w:r>
      <w:r w:rsidRPr="00EA7321">
        <w:rPr>
          <w:sz w:val="20"/>
          <w:szCs w:val="20"/>
          <w:vertAlign w:val="baseline"/>
        </w:rPr>
        <w:t xml:space="preserve">Jeanmarie Fenrich, Paolo Galizzi and Tracy E Higgins, </w:t>
      </w:r>
      <w:r w:rsidRPr="00EA7321">
        <w:rPr>
          <w:i/>
          <w:sz w:val="20"/>
          <w:szCs w:val="20"/>
          <w:vertAlign w:val="baseline"/>
        </w:rPr>
        <w:t xml:space="preserve">The Future of African Customary Law </w:t>
      </w:r>
      <w:r w:rsidRPr="00EA7321">
        <w:rPr>
          <w:sz w:val="20"/>
          <w:szCs w:val="20"/>
          <w:vertAlign w:val="baseline"/>
        </w:rPr>
        <w:t>(CUP 2011) 1</w:t>
      </w:r>
    </w:p>
  </w:footnote>
  <w:footnote w:id="1114">
    <w:p w14:paraId="3DC34566" w14:textId="77777777" w:rsidR="00431A55" w:rsidRPr="00EA7321" w:rsidRDefault="00431A55" w:rsidP="008C3633">
      <w:pPr>
        <w:pStyle w:val="FootnoteText"/>
        <w:rPr>
          <w:sz w:val="20"/>
          <w:szCs w:val="20"/>
          <w:vertAlign w:val="baseline"/>
          <w:lang w:val="en-US"/>
        </w:rPr>
      </w:pPr>
      <w:r w:rsidRPr="00EA7321">
        <w:rPr>
          <w:rStyle w:val="FootnoteReference"/>
          <w:sz w:val="20"/>
          <w:szCs w:val="20"/>
        </w:rPr>
        <w:footnoteRef/>
      </w:r>
      <w:r w:rsidRPr="00EA7321">
        <w:rPr>
          <w:sz w:val="20"/>
          <w:szCs w:val="20"/>
        </w:rPr>
        <w:t xml:space="preserve"> </w:t>
      </w:r>
      <w:r w:rsidRPr="00EA7321">
        <w:rPr>
          <w:sz w:val="20"/>
          <w:szCs w:val="20"/>
          <w:vertAlign w:val="baseline"/>
          <w:lang w:val="en-US"/>
        </w:rPr>
        <w:t>Abamfo O. Atiemo, ‘International Human Rights, Religious Pluralism and the Future of Chieftaincy in Ghana’ (2006) 35(4) Exchange 361</w:t>
      </w:r>
    </w:p>
  </w:footnote>
  <w:footnote w:id="1115">
    <w:p w14:paraId="074A37CB" w14:textId="74F64B06" w:rsidR="00431A55" w:rsidRPr="00EA7321" w:rsidRDefault="00431A55" w:rsidP="008C3633">
      <w:pPr>
        <w:pStyle w:val="FootnoteText"/>
        <w:rPr>
          <w:sz w:val="20"/>
          <w:szCs w:val="20"/>
          <w:vertAlign w:val="baseline"/>
          <w:lang w:val="en-US"/>
        </w:rPr>
      </w:pPr>
      <w:r w:rsidRPr="00EA7321">
        <w:rPr>
          <w:rStyle w:val="FootnoteReference"/>
          <w:sz w:val="20"/>
          <w:szCs w:val="20"/>
        </w:rPr>
        <w:footnoteRef/>
      </w:r>
      <w:r w:rsidRPr="00EA7321">
        <w:rPr>
          <w:sz w:val="20"/>
          <w:szCs w:val="20"/>
        </w:rPr>
        <w:t xml:space="preserve"> </w:t>
      </w:r>
      <w:r>
        <w:rPr>
          <w:sz w:val="20"/>
          <w:szCs w:val="20"/>
          <w:vertAlign w:val="baseline"/>
          <w:lang w:val="en-US"/>
        </w:rPr>
        <w:t>ibid</w:t>
      </w:r>
      <w:r w:rsidRPr="00EA7321">
        <w:rPr>
          <w:sz w:val="20"/>
          <w:szCs w:val="20"/>
          <w:vertAlign w:val="baseline"/>
          <w:lang w:val="en-US"/>
        </w:rPr>
        <w:t xml:space="preserve"> 361-2</w:t>
      </w:r>
    </w:p>
  </w:footnote>
  <w:footnote w:id="1116">
    <w:p w14:paraId="454B2323" w14:textId="77777777" w:rsidR="00431A55" w:rsidRPr="005B1269" w:rsidRDefault="00431A55" w:rsidP="008C3633">
      <w:pPr>
        <w:pStyle w:val="FootnoteText"/>
        <w:rPr>
          <w:lang w:val="en-US"/>
        </w:rPr>
      </w:pPr>
      <w:r w:rsidRPr="00EA7321">
        <w:rPr>
          <w:rStyle w:val="FootnoteReference"/>
          <w:sz w:val="20"/>
          <w:szCs w:val="20"/>
        </w:rPr>
        <w:footnoteRef/>
      </w:r>
      <w:r w:rsidRPr="00EA7321">
        <w:rPr>
          <w:sz w:val="20"/>
          <w:szCs w:val="20"/>
        </w:rPr>
        <w:t xml:space="preserve"> </w:t>
      </w:r>
      <w:r w:rsidRPr="00EA7321">
        <w:rPr>
          <w:sz w:val="20"/>
          <w:szCs w:val="20"/>
          <w:vertAlign w:val="baseline"/>
          <w:lang w:val="en-US"/>
        </w:rPr>
        <w:t>‘Chieftaincy, Governance and Traditional Leadership Portal’ (</w:t>
      </w:r>
      <w:r w:rsidRPr="00EA7321">
        <w:rPr>
          <w:i/>
          <w:sz w:val="20"/>
          <w:szCs w:val="20"/>
          <w:vertAlign w:val="baseline"/>
          <w:lang w:val="en-US"/>
        </w:rPr>
        <w:t>The Chieftaincy Project</w:t>
      </w:r>
      <w:r w:rsidRPr="00EA7321">
        <w:rPr>
          <w:sz w:val="20"/>
          <w:szCs w:val="20"/>
          <w:vertAlign w:val="baseline"/>
          <w:lang w:val="en-US"/>
        </w:rPr>
        <w:t>, 2015) &lt;</w:t>
      </w:r>
      <w:hyperlink r:id="rId128" w:history="1">
        <w:r w:rsidRPr="00EA7321">
          <w:rPr>
            <w:rStyle w:val="Hyperlink"/>
            <w:sz w:val="20"/>
            <w:szCs w:val="20"/>
            <w:vertAlign w:val="baseline"/>
            <w:lang w:val="en-US"/>
          </w:rPr>
          <w:t>http://chieftaincy.org/</w:t>
        </w:r>
      </w:hyperlink>
      <w:r w:rsidRPr="00EA7321">
        <w:rPr>
          <w:sz w:val="20"/>
          <w:szCs w:val="20"/>
          <w:vertAlign w:val="baseline"/>
          <w:lang w:val="en-US"/>
        </w:rPr>
        <w:t>&gt; accessed 28 September 2015</w:t>
      </w:r>
    </w:p>
  </w:footnote>
  <w:footnote w:id="1117">
    <w:p w14:paraId="6E8FDEFD" w14:textId="4F73E0F9" w:rsidR="00431A55" w:rsidRPr="00EA7321" w:rsidRDefault="00431A55" w:rsidP="008C3633">
      <w:pPr>
        <w:pStyle w:val="FootnoteText"/>
        <w:rPr>
          <w:sz w:val="20"/>
          <w:szCs w:val="20"/>
          <w:vertAlign w:val="baseline"/>
          <w:lang w:val="en-US"/>
        </w:rPr>
      </w:pPr>
      <w:r w:rsidRPr="00EA7321">
        <w:rPr>
          <w:rStyle w:val="FootnoteReference"/>
          <w:sz w:val="20"/>
          <w:szCs w:val="20"/>
        </w:rPr>
        <w:footnoteRef/>
      </w:r>
      <w:r w:rsidRPr="00EA7321">
        <w:rPr>
          <w:sz w:val="20"/>
          <w:szCs w:val="20"/>
        </w:rPr>
        <w:t xml:space="preserve"> </w:t>
      </w:r>
      <w:r w:rsidRPr="00EA7321">
        <w:rPr>
          <w:sz w:val="20"/>
          <w:szCs w:val="20"/>
          <w:vertAlign w:val="baseline"/>
          <w:lang w:val="en-US"/>
        </w:rPr>
        <w:t>Chieftaincy Act 1971 (Act 370) as amended by the Chieftaincy Act 2008 (Act 759, 16 June 2008)</w:t>
      </w:r>
    </w:p>
  </w:footnote>
  <w:footnote w:id="1118">
    <w:p w14:paraId="206A719E" w14:textId="77777777" w:rsidR="00431A55" w:rsidRPr="00EA7321" w:rsidRDefault="00431A55" w:rsidP="008C3633">
      <w:pPr>
        <w:pStyle w:val="FootnoteText"/>
        <w:rPr>
          <w:sz w:val="20"/>
          <w:szCs w:val="20"/>
          <w:vertAlign w:val="baseline"/>
          <w:lang w:val="en-US"/>
        </w:rPr>
      </w:pPr>
      <w:r w:rsidRPr="00EA7321">
        <w:rPr>
          <w:rStyle w:val="FootnoteReference"/>
          <w:sz w:val="20"/>
          <w:szCs w:val="20"/>
        </w:rPr>
        <w:footnoteRef/>
      </w:r>
      <w:r w:rsidRPr="00EA7321">
        <w:rPr>
          <w:sz w:val="20"/>
          <w:szCs w:val="20"/>
        </w:rPr>
        <w:t xml:space="preserve"> </w:t>
      </w:r>
      <w:r w:rsidRPr="00EA7321">
        <w:rPr>
          <w:sz w:val="20"/>
          <w:szCs w:val="20"/>
          <w:vertAlign w:val="baseline"/>
        </w:rPr>
        <w:t>Article 270(1) states, ‘</w:t>
      </w:r>
      <w:r w:rsidRPr="00EA7321">
        <w:rPr>
          <w:rFonts w:eastAsia="Times New Roman" w:cs="Times New Roman"/>
          <w:color w:val="000000"/>
          <w:sz w:val="20"/>
          <w:szCs w:val="20"/>
          <w:vertAlign w:val="baseline"/>
        </w:rPr>
        <w:t>The institution of chieftaincy, together with its traditional councils as established by customary law and usage, is hereby guaranteed’</w:t>
      </w:r>
    </w:p>
  </w:footnote>
  <w:footnote w:id="1119">
    <w:p w14:paraId="2E958ED8" w14:textId="5F6FCDA8" w:rsidR="00431A55" w:rsidRPr="00EA7321" w:rsidRDefault="00431A55" w:rsidP="008C3633">
      <w:pPr>
        <w:pStyle w:val="FootnoteText"/>
        <w:rPr>
          <w:sz w:val="20"/>
          <w:szCs w:val="20"/>
          <w:vertAlign w:val="baseline"/>
          <w:lang w:val="en-US"/>
        </w:rPr>
      </w:pPr>
      <w:r w:rsidRPr="00EA7321">
        <w:rPr>
          <w:rStyle w:val="FootnoteReference"/>
          <w:sz w:val="20"/>
          <w:szCs w:val="20"/>
        </w:rPr>
        <w:footnoteRef/>
      </w:r>
      <w:r w:rsidRPr="00EA7321">
        <w:rPr>
          <w:sz w:val="20"/>
          <w:szCs w:val="20"/>
        </w:rPr>
        <w:t xml:space="preserve"> </w:t>
      </w:r>
      <w:r>
        <w:rPr>
          <w:sz w:val="20"/>
          <w:szCs w:val="20"/>
          <w:vertAlign w:val="baseline"/>
        </w:rPr>
        <w:t>Constitution of Ghana (n 1110) C</w:t>
      </w:r>
      <w:r w:rsidRPr="00EA7321">
        <w:rPr>
          <w:sz w:val="20"/>
          <w:szCs w:val="20"/>
          <w:vertAlign w:val="baseline"/>
        </w:rPr>
        <w:t xml:space="preserve">hapter 22, </w:t>
      </w:r>
      <w:r>
        <w:rPr>
          <w:sz w:val="20"/>
          <w:szCs w:val="20"/>
          <w:vertAlign w:val="baseline"/>
          <w:lang w:val="en-US"/>
        </w:rPr>
        <w:t>Art</w:t>
      </w:r>
      <w:r w:rsidRPr="00EA7321">
        <w:rPr>
          <w:sz w:val="20"/>
          <w:szCs w:val="20"/>
          <w:vertAlign w:val="baseline"/>
          <w:lang w:val="en-US"/>
        </w:rPr>
        <w:t xml:space="preserve"> 277</w:t>
      </w:r>
    </w:p>
  </w:footnote>
  <w:footnote w:id="1120">
    <w:p w14:paraId="3A95C325" w14:textId="0D4A8E6A" w:rsidR="00431A55" w:rsidRPr="00EA7321" w:rsidRDefault="00431A55" w:rsidP="008C3633">
      <w:pPr>
        <w:pStyle w:val="FootnoteText"/>
        <w:rPr>
          <w:sz w:val="20"/>
          <w:szCs w:val="20"/>
          <w:vertAlign w:val="baseline"/>
          <w:lang w:val="en-US"/>
        </w:rPr>
      </w:pPr>
      <w:r w:rsidRPr="00EA7321">
        <w:rPr>
          <w:rStyle w:val="FootnoteReference"/>
          <w:sz w:val="20"/>
          <w:szCs w:val="20"/>
        </w:rPr>
        <w:footnoteRef/>
      </w:r>
      <w:r w:rsidRPr="00EA7321">
        <w:rPr>
          <w:sz w:val="20"/>
          <w:szCs w:val="20"/>
          <w:vertAlign w:val="baseline"/>
        </w:rPr>
        <w:t xml:space="preserve"> </w:t>
      </w:r>
      <w:r>
        <w:rPr>
          <w:sz w:val="20"/>
          <w:szCs w:val="20"/>
          <w:vertAlign w:val="baseline"/>
          <w:lang w:val="en-US"/>
        </w:rPr>
        <w:t xml:space="preserve">Fenrich, Galizzi and </w:t>
      </w:r>
      <w:r w:rsidRPr="00EA7321">
        <w:rPr>
          <w:sz w:val="20"/>
          <w:szCs w:val="20"/>
          <w:vertAlign w:val="baseline"/>
          <w:lang w:val="en-US"/>
        </w:rPr>
        <w:t>Higgins</w:t>
      </w:r>
      <w:r>
        <w:rPr>
          <w:sz w:val="20"/>
          <w:szCs w:val="20"/>
          <w:vertAlign w:val="baseline"/>
          <w:lang w:val="en-US"/>
        </w:rPr>
        <w:t xml:space="preserve"> (n 1113)</w:t>
      </w:r>
    </w:p>
  </w:footnote>
  <w:footnote w:id="1121">
    <w:p w14:paraId="1E6C31A5" w14:textId="69B8EB05" w:rsidR="00431A55" w:rsidRPr="00EA7321" w:rsidRDefault="00431A55" w:rsidP="008C3633">
      <w:pPr>
        <w:pStyle w:val="FootnoteText"/>
        <w:rPr>
          <w:sz w:val="20"/>
          <w:szCs w:val="20"/>
          <w:vertAlign w:val="baseline"/>
          <w:lang w:val="en-US"/>
        </w:rPr>
      </w:pPr>
      <w:r w:rsidRPr="00EA7321">
        <w:rPr>
          <w:rStyle w:val="FootnoteReference"/>
          <w:sz w:val="20"/>
          <w:szCs w:val="20"/>
        </w:rPr>
        <w:footnoteRef/>
      </w:r>
      <w:r w:rsidRPr="00EA7321">
        <w:rPr>
          <w:sz w:val="20"/>
          <w:szCs w:val="20"/>
          <w:vertAlign w:val="baseline"/>
        </w:rPr>
        <w:t xml:space="preserve"> </w:t>
      </w:r>
      <w:r>
        <w:rPr>
          <w:sz w:val="20"/>
          <w:szCs w:val="20"/>
          <w:vertAlign w:val="baseline"/>
          <w:lang w:val="en-US"/>
        </w:rPr>
        <w:t>ibid</w:t>
      </w:r>
      <w:r w:rsidRPr="00EA7321">
        <w:rPr>
          <w:sz w:val="20"/>
          <w:szCs w:val="20"/>
          <w:vertAlign w:val="baseline"/>
          <w:lang w:val="en-US"/>
        </w:rPr>
        <w:t xml:space="preserve"> 281</w:t>
      </w:r>
    </w:p>
  </w:footnote>
  <w:footnote w:id="1122">
    <w:p w14:paraId="37B93A31" w14:textId="77777777" w:rsidR="00431A55" w:rsidRPr="00EA7321" w:rsidRDefault="00431A55" w:rsidP="008C3633">
      <w:pPr>
        <w:pStyle w:val="FootnoteText"/>
        <w:rPr>
          <w:sz w:val="20"/>
          <w:szCs w:val="20"/>
          <w:vertAlign w:val="baseline"/>
          <w:lang w:val="en-US"/>
        </w:rPr>
      </w:pPr>
      <w:r w:rsidRPr="00EA7321">
        <w:rPr>
          <w:rStyle w:val="FootnoteReference"/>
          <w:sz w:val="20"/>
          <w:szCs w:val="20"/>
        </w:rPr>
        <w:footnoteRef/>
      </w:r>
      <w:r w:rsidRPr="00EA7321">
        <w:rPr>
          <w:sz w:val="20"/>
          <w:szCs w:val="20"/>
        </w:rPr>
        <w:t xml:space="preserve"> </w:t>
      </w:r>
      <w:r w:rsidRPr="00EA7321">
        <w:rPr>
          <w:sz w:val="20"/>
          <w:szCs w:val="20"/>
          <w:vertAlign w:val="baseline"/>
          <w:lang w:val="en-US"/>
        </w:rPr>
        <w:t>Dr. K. Ansah-Koi in Chieftaincy, Governance and Traditional Leadership Portal’ (</w:t>
      </w:r>
      <w:r w:rsidRPr="00EA7321">
        <w:rPr>
          <w:i/>
          <w:sz w:val="20"/>
          <w:szCs w:val="20"/>
          <w:vertAlign w:val="baseline"/>
          <w:lang w:val="en-US"/>
        </w:rPr>
        <w:t>The Chieftaincy Project</w:t>
      </w:r>
      <w:r w:rsidRPr="00EA7321">
        <w:rPr>
          <w:sz w:val="20"/>
          <w:szCs w:val="20"/>
          <w:vertAlign w:val="baseline"/>
          <w:lang w:val="en-US"/>
        </w:rPr>
        <w:t>, 2015) &lt;</w:t>
      </w:r>
      <w:hyperlink r:id="rId129" w:history="1">
        <w:r w:rsidRPr="00EA7321">
          <w:rPr>
            <w:rStyle w:val="Hyperlink"/>
            <w:sz w:val="20"/>
            <w:szCs w:val="20"/>
            <w:vertAlign w:val="baseline"/>
            <w:lang w:val="en-US"/>
          </w:rPr>
          <w:t>http://chieftaincy.org/</w:t>
        </w:r>
      </w:hyperlink>
      <w:r w:rsidRPr="00EA7321">
        <w:rPr>
          <w:sz w:val="20"/>
          <w:szCs w:val="20"/>
          <w:vertAlign w:val="baseline"/>
          <w:lang w:val="en-US"/>
        </w:rPr>
        <w:t>&gt; accessed 28 September 2015</w:t>
      </w:r>
    </w:p>
  </w:footnote>
  <w:footnote w:id="1123">
    <w:p w14:paraId="57FA4CEE" w14:textId="1CBA61D4" w:rsidR="00431A55" w:rsidRPr="00EA7321" w:rsidRDefault="00431A55" w:rsidP="008C3633">
      <w:pPr>
        <w:pStyle w:val="FootnoteText"/>
        <w:rPr>
          <w:sz w:val="20"/>
          <w:szCs w:val="20"/>
          <w:vertAlign w:val="baseline"/>
          <w:lang w:val="en-US"/>
        </w:rPr>
      </w:pPr>
      <w:r w:rsidRPr="00EA7321">
        <w:rPr>
          <w:rStyle w:val="FootnoteReference"/>
          <w:sz w:val="20"/>
          <w:szCs w:val="20"/>
        </w:rPr>
        <w:footnoteRef/>
      </w:r>
      <w:r w:rsidRPr="00EA7321">
        <w:rPr>
          <w:sz w:val="20"/>
          <w:szCs w:val="20"/>
        </w:rPr>
        <w:t xml:space="preserve"> </w:t>
      </w:r>
      <w:r>
        <w:rPr>
          <w:sz w:val="20"/>
          <w:szCs w:val="20"/>
          <w:vertAlign w:val="baseline"/>
          <w:lang w:val="en-US"/>
        </w:rPr>
        <w:t xml:space="preserve"> Atiemo (n 1114) </w:t>
      </w:r>
      <w:r w:rsidRPr="00EA7321">
        <w:rPr>
          <w:sz w:val="20"/>
          <w:szCs w:val="20"/>
          <w:vertAlign w:val="baseline"/>
          <w:lang w:val="en-US"/>
        </w:rPr>
        <w:t>364</w:t>
      </w:r>
    </w:p>
  </w:footnote>
  <w:footnote w:id="1124">
    <w:p w14:paraId="38662C37" w14:textId="77777777" w:rsidR="00431A55" w:rsidRPr="009D08EE" w:rsidRDefault="00431A55" w:rsidP="008C3633">
      <w:pPr>
        <w:pStyle w:val="FootnoteText"/>
        <w:rPr>
          <w:lang w:val="en-US"/>
        </w:rPr>
      </w:pPr>
      <w:r w:rsidRPr="00EA7321">
        <w:rPr>
          <w:rStyle w:val="FootnoteReference"/>
          <w:sz w:val="20"/>
          <w:szCs w:val="20"/>
        </w:rPr>
        <w:footnoteRef/>
      </w:r>
      <w:r w:rsidRPr="00EA7321">
        <w:rPr>
          <w:sz w:val="20"/>
          <w:szCs w:val="20"/>
        </w:rPr>
        <w:t xml:space="preserve"> </w:t>
      </w:r>
      <w:r w:rsidRPr="00EA7321">
        <w:rPr>
          <w:sz w:val="20"/>
          <w:szCs w:val="20"/>
          <w:vertAlign w:val="baseline"/>
          <w:lang w:val="en-US"/>
        </w:rPr>
        <w:t>Isaac Owusu-Mensah, ‘Politics, Chieftaincy and Customary Law in Ghana’ (2013) 9 Kas International Reports 32</w:t>
      </w:r>
    </w:p>
  </w:footnote>
  <w:footnote w:id="1125">
    <w:p w14:paraId="42BB0715" w14:textId="1F6B5036" w:rsidR="00431A55" w:rsidRPr="00B32DEF" w:rsidRDefault="00431A55" w:rsidP="008C3633">
      <w:pPr>
        <w:pStyle w:val="FootnoteText"/>
        <w:rPr>
          <w:sz w:val="20"/>
          <w:szCs w:val="20"/>
          <w:vertAlign w:val="baseline"/>
          <w:lang w:val="en-US"/>
        </w:rPr>
      </w:pPr>
      <w:r w:rsidRPr="00B32DEF">
        <w:rPr>
          <w:rStyle w:val="FootnoteReference"/>
          <w:sz w:val="20"/>
          <w:szCs w:val="20"/>
        </w:rPr>
        <w:footnoteRef/>
      </w:r>
      <w:r w:rsidRPr="00B32DEF">
        <w:rPr>
          <w:sz w:val="20"/>
          <w:szCs w:val="20"/>
        </w:rPr>
        <w:t xml:space="preserve"> </w:t>
      </w:r>
      <w:r>
        <w:rPr>
          <w:sz w:val="20"/>
          <w:szCs w:val="20"/>
          <w:shd w:val="clear" w:color="auto" w:fill="FFFFFF"/>
          <w:vertAlign w:val="baseline"/>
        </w:rPr>
        <w:t>Constitution of Ghana (n 1110) Ch 4, Art</w:t>
      </w:r>
      <w:r w:rsidRPr="00B32DEF">
        <w:rPr>
          <w:sz w:val="20"/>
          <w:szCs w:val="20"/>
          <w:shd w:val="clear" w:color="auto" w:fill="FFFFFF"/>
          <w:vertAlign w:val="baseline"/>
        </w:rPr>
        <w:t xml:space="preserve"> 11 (3)</w:t>
      </w:r>
    </w:p>
  </w:footnote>
  <w:footnote w:id="1126">
    <w:p w14:paraId="1C0B86F3" w14:textId="77777777" w:rsidR="00431A55" w:rsidRPr="00B32DEF" w:rsidRDefault="00431A55" w:rsidP="008C3633">
      <w:pPr>
        <w:pStyle w:val="NoSpacing"/>
        <w:rPr>
          <w:vertAlign w:val="baseline"/>
          <w:lang w:val="en-US"/>
        </w:rPr>
      </w:pPr>
      <w:r w:rsidRPr="00B32DEF">
        <w:rPr>
          <w:rStyle w:val="FootnoteReference"/>
        </w:rPr>
        <w:footnoteRef/>
      </w:r>
      <w:r w:rsidRPr="00B32DEF">
        <w:rPr>
          <w:vertAlign w:val="baseline"/>
        </w:rPr>
        <w:t xml:space="preserve"> Muna Ndulo, ‘African Customary Law, Customs, and Women's Rights’ (2011) 18(1) Indiana Journal of Global Legal Studies 88</w:t>
      </w:r>
    </w:p>
  </w:footnote>
  <w:footnote w:id="1127">
    <w:p w14:paraId="0144D559" w14:textId="36423169" w:rsidR="00431A55" w:rsidRPr="00B32DEF" w:rsidRDefault="00431A55" w:rsidP="008C3633">
      <w:pPr>
        <w:pStyle w:val="NoSpacing"/>
        <w:rPr>
          <w:vertAlign w:val="baseline"/>
          <w:lang w:val="en-US"/>
        </w:rPr>
      </w:pPr>
      <w:r w:rsidRPr="00B32DEF">
        <w:rPr>
          <w:rStyle w:val="FootnoteReference"/>
        </w:rPr>
        <w:footnoteRef/>
      </w:r>
      <w:r w:rsidRPr="00B32DEF">
        <w:t xml:space="preserve"> </w:t>
      </w:r>
      <w:r>
        <w:rPr>
          <w:vertAlign w:val="baseline"/>
        </w:rPr>
        <w:t>ibid</w:t>
      </w:r>
    </w:p>
  </w:footnote>
  <w:footnote w:id="1128">
    <w:p w14:paraId="48B96C3B" w14:textId="20DABC32" w:rsidR="00431A55" w:rsidRPr="00B32DEF" w:rsidRDefault="00431A55" w:rsidP="008C3633">
      <w:pPr>
        <w:pStyle w:val="FootnoteText"/>
        <w:rPr>
          <w:sz w:val="20"/>
          <w:szCs w:val="20"/>
          <w:vertAlign w:val="baseline"/>
          <w:lang w:val="en-US"/>
        </w:rPr>
      </w:pPr>
      <w:r w:rsidRPr="00B32DEF">
        <w:rPr>
          <w:rStyle w:val="FootnoteReference"/>
          <w:sz w:val="20"/>
          <w:szCs w:val="20"/>
        </w:rPr>
        <w:footnoteRef/>
      </w:r>
      <w:r w:rsidRPr="00B32DEF">
        <w:rPr>
          <w:sz w:val="20"/>
          <w:szCs w:val="20"/>
        </w:rPr>
        <w:t xml:space="preserve"> </w:t>
      </w:r>
      <w:r>
        <w:rPr>
          <w:sz w:val="20"/>
          <w:szCs w:val="20"/>
          <w:vertAlign w:val="baseline"/>
          <w:lang w:val="en-US"/>
        </w:rPr>
        <w:t xml:space="preserve">Owusu-Mensah (n 1124) </w:t>
      </w:r>
      <w:r w:rsidRPr="00B32DEF">
        <w:rPr>
          <w:sz w:val="20"/>
          <w:szCs w:val="20"/>
          <w:vertAlign w:val="baseline"/>
          <w:lang w:val="en-US"/>
        </w:rPr>
        <w:t>41</w:t>
      </w:r>
    </w:p>
  </w:footnote>
  <w:footnote w:id="1129">
    <w:p w14:paraId="0C79F66B" w14:textId="280CCEBA" w:rsidR="00431A55" w:rsidRPr="00732A28" w:rsidRDefault="00431A55" w:rsidP="008C3633">
      <w:pPr>
        <w:pStyle w:val="FootnoteText"/>
        <w:rPr>
          <w:lang w:val="en-US"/>
        </w:rPr>
      </w:pPr>
      <w:r w:rsidRPr="00B32DEF">
        <w:rPr>
          <w:rStyle w:val="FootnoteReference"/>
          <w:sz w:val="20"/>
          <w:szCs w:val="20"/>
        </w:rPr>
        <w:footnoteRef/>
      </w:r>
      <w:r w:rsidRPr="00B32DEF">
        <w:rPr>
          <w:sz w:val="20"/>
          <w:szCs w:val="20"/>
        </w:rPr>
        <w:t xml:space="preserve"> </w:t>
      </w:r>
      <w:r>
        <w:rPr>
          <w:sz w:val="20"/>
          <w:szCs w:val="20"/>
          <w:vertAlign w:val="baseline"/>
          <w:lang w:val="en-US"/>
        </w:rPr>
        <w:t>ibid</w:t>
      </w:r>
    </w:p>
  </w:footnote>
  <w:footnote w:id="1130">
    <w:p w14:paraId="3DEF23CA" w14:textId="77777777" w:rsidR="00431A55" w:rsidRPr="00E615A2" w:rsidRDefault="00431A55" w:rsidP="008C3633">
      <w:pPr>
        <w:pStyle w:val="FootnoteText"/>
        <w:rPr>
          <w:sz w:val="20"/>
          <w:szCs w:val="20"/>
          <w:vertAlign w:val="baseline"/>
          <w:lang w:val="en-US"/>
        </w:rPr>
      </w:pPr>
      <w:r w:rsidRPr="00E615A2">
        <w:rPr>
          <w:rStyle w:val="FootnoteReference"/>
          <w:sz w:val="20"/>
          <w:szCs w:val="20"/>
        </w:rPr>
        <w:footnoteRef/>
      </w:r>
      <w:r w:rsidRPr="00E615A2">
        <w:rPr>
          <w:sz w:val="20"/>
          <w:szCs w:val="20"/>
          <w:vertAlign w:val="baseline"/>
        </w:rPr>
        <w:t xml:space="preserve"> </w:t>
      </w:r>
      <w:r w:rsidRPr="00E615A2">
        <w:rPr>
          <w:sz w:val="20"/>
          <w:szCs w:val="20"/>
          <w:vertAlign w:val="baseline"/>
          <w:lang w:val="en-US"/>
        </w:rPr>
        <w:t>Maakor Quarmyne, ‘Witchcraft: A Human Rights Conflict Between Customary/Traditional Laws and the Legal Protection of Women in Contemporary Sub-Saharan Africa’ (2011) 17(2) Wm. &amp; Mary J. Women &amp; L. 485</w:t>
      </w:r>
    </w:p>
  </w:footnote>
  <w:footnote w:id="1131">
    <w:p w14:paraId="1A3CC9B6" w14:textId="74186BBD" w:rsidR="00431A55" w:rsidRPr="00E615A2" w:rsidRDefault="00431A55" w:rsidP="008C3633">
      <w:pPr>
        <w:pStyle w:val="FootnoteText"/>
        <w:rPr>
          <w:sz w:val="20"/>
          <w:szCs w:val="20"/>
          <w:vertAlign w:val="baseline"/>
          <w:lang w:val="en-US"/>
        </w:rPr>
      </w:pPr>
      <w:r w:rsidRPr="00E615A2">
        <w:rPr>
          <w:rStyle w:val="FootnoteReference"/>
          <w:sz w:val="20"/>
          <w:szCs w:val="20"/>
        </w:rPr>
        <w:footnoteRef/>
      </w:r>
      <w:r>
        <w:rPr>
          <w:sz w:val="20"/>
          <w:szCs w:val="20"/>
        </w:rPr>
        <w:t xml:space="preserve"> </w:t>
      </w:r>
      <w:r>
        <w:rPr>
          <w:sz w:val="20"/>
          <w:szCs w:val="20"/>
          <w:vertAlign w:val="baseline"/>
        </w:rPr>
        <w:t xml:space="preserve">Ndulo (n 1126) </w:t>
      </w:r>
      <w:r w:rsidRPr="00E615A2">
        <w:rPr>
          <w:sz w:val="20"/>
          <w:szCs w:val="20"/>
          <w:vertAlign w:val="baseline"/>
        </w:rPr>
        <w:t>88</w:t>
      </w:r>
    </w:p>
  </w:footnote>
  <w:footnote w:id="1132">
    <w:p w14:paraId="29130FFA" w14:textId="1DA3EEC2" w:rsidR="00431A55" w:rsidRPr="00E615A2" w:rsidRDefault="00431A55" w:rsidP="008C3633">
      <w:pPr>
        <w:pStyle w:val="FootnoteText"/>
        <w:rPr>
          <w:sz w:val="20"/>
          <w:szCs w:val="20"/>
          <w:vertAlign w:val="baseline"/>
          <w:lang w:val="en-US"/>
        </w:rPr>
      </w:pPr>
      <w:r w:rsidRPr="00E615A2">
        <w:rPr>
          <w:rStyle w:val="FootnoteReference"/>
          <w:sz w:val="20"/>
          <w:szCs w:val="20"/>
        </w:rPr>
        <w:footnoteRef/>
      </w:r>
      <w:r w:rsidRPr="00E615A2">
        <w:rPr>
          <w:sz w:val="20"/>
          <w:szCs w:val="20"/>
          <w:vertAlign w:val="baseline"/>
        </w:rPr>
        <w:t xml:space="preserve"> </w:t>
      </w:r>
      <w:r>
        <w:rPr>
          <w:sz w:val="20"/>
          <w:szCs w:val="20"/>
          <w:vertAlign w:val="baseline"/>
        </w:rPr>
        <w:t>ibid</w:t>
      </w:r>
    </w:p>
  </w:footnote>
  <w:footnote w:id="1133">
    <w:p w14:paraId="5B58C0E3" w14:textId="0FAAFBE7" w:rsidR="00431A55" w:rsidRPr="00E615A2" w:rsidRDefault="00431A55" w:rsidP="008C3633">
      <w:pPr>
        <w:pStyle w:val="FootnoteText"/>
        <w:rPr>
          <w:sz w:val="20"/>
          <w:szCs w:val="20"/>
          <w:vertAlign w:val="baseline"/>
          <w:lang w:val="en-US"/>
        </w:rPr>
      </w:pPr>
      <w:r w:rsidRPr="00E615A2">
        <w:rPr>
          <w:rStyle w:val="FootnoteReference"/>
          <w:sz w:val="20"/>
          <w:szCs w:val="20"/>
        </w:rPr>
        <w:footnoteRef/>
      </w:r>
      <w:r w:rsidRPr="00E615A2">
        <w:rPr>
          <w:sz w:val="20"/>
          <w:szCs w:val="20"/>
          <w:vertAlign w:val="baseline"/>
        </w:rPr>
        <w:t xml:space="preserve"> </w:t>
      </w:r>
      <w:r>
        <w:rPr>
          <w:sz w:val="20"/>
          <w:szCs w:val="20"/>
          <w:vertAlign w:val="baseline"/>
        </w:rPr>
        <w:t>ibid</w:t>
      </w:r>
      <w:r w:rsidRPr="00E615A2">
        <w:rPr>
          <w:sz w:val="20"/>
          <w:szCs w:val="20"/>
          <w:vertAlign w:val="baseline"/>
        </w:rPr>
        <w:t xml:space="preserve"> 89</w:t>
      </w:r>
    </w:p>
  </w:footnote>
  <w:footnote w:id="1134">
    <w:p w14:paraId="76ECA0D9" w14:textId="77777777" w:rsidR="00431A55" w:rsidRPr="00E615A2" w:rsidRDefault="00431A55" w:rsidP="008C3633">
      <w:pPr>
        <w:pStyle w:val="FootnoteText"/>
        <w:rPr>
          <w:sz w:val="20"/>
          <w:szCs w:val="20"/>
          <w:vertAlign w:val="baseline"/>
          <w:lang w:val="en-US"/>
        </w:rPr>
      </w:pPr>
      <w:r w:rsidRPr="00E615A2">
        <w:rPr>
          <w:rStyle w:val="FootnoteReference"/>
          <w:sz w:val="20"/>
          <w:szCs w:val="20"/>
        </w:rPr>
        <w:footnoteRef/>
      </w:r>
      <w:r w:rsidRPr="00E615A2">
        <w:rPr>
          <w:sz w:val="20"/>
          <w:szCs w:val="20"/>
        </w:rPr>
        <w:t xml:space="preserve"> </w:t>
      </w:r>
      <w:r w:rsidRPr="00E615A2">
        <w:rPr>
          <w:sz w:val="20"/>
          <w:szCs w:val="20"/>
          <w:vertAlign w:val="baseline"/>
          <w:lang w:val="en-US"/>
        </w:rPr>
        <w:t>Articles 12 and 29 Chieftaincy Act 2008 (Act 759)</w:t>
      </w:r>
    </w:p>
  </w:footnote>
  <w:footnote w:id="1135">
    <w:p w14:paraId="6EE3A39C" w14:textId="77777777" w:rsidR="00431A55" w:rsidRPr="00B64A98" w:rsidRDefault="00431A55" w:rsidP="008C3633">
      <w:pPr>
        <w:pStyle w:val="FootnoteText"/>
        <w:rPr>
          <w:lang w:val="en-US"/>
        </w:rPr>
      </w:pPr>
      <w:r w:rsidRPr="00E615A2">
        <w:rPr>
          <w:rStyle w:val="FootnoteReference"/>
          <w:sz w:val="20"/>
          <w:szCs w:val="20"/>
        </w:rPr>
        <w:footnoteRef/>
      </w:r>
      <w:r w:rsidRPr="00E615A2">
        <w:rPr>
          <w:sz w:val="20"/>
          <w:szCs w:val="20"/>
        </w:rPr>
        <w:t xml:space="preserve"> </w:t>
      </w:r>
      <w:r w:rsidRPr="00E615A2">
        <w:rPr>
          <w:sz w:val="20"/>
          <w:szCs w:val="20"/>
          <w:vertAlign w:val="baseline"/>
          <w:lang w:val="en-US"/>
        </w:rPr>
        <w:t>Article 13 Chieftaincy Act 2008 (Act 759)</w:t>
      </w:r>
    </w:p>
  </w:footnote>
  <w:footnote w:id="1136">
    <w:p w14:paraId="2E087E66" w14:textId="011C2249" w:rsidR="00431A55" w:rsidRPr="00DE0B6B" w:rsidRDefault="00431A55" w:rsidP="008C3633">
      <w:pPr>
        <w:pStyle w:val="FootnoteText"/>
        <w:rPr>
          <w:sz w:val="20"/>
          <w:szCs w:val="20"/>
          <w:vertAlign w:val="baseline"/>
          <w:lang w:val="en-US"/>
        </w:rPr>
      </w:pPr>
      <w:r w:rsidRPr="00DE0B6B">
        <w:rPr>
          <w:rStyle w:val="FootnoteReference"/>
          <w:sz w:val="20"/>
          <w:szCs w:val="20"/>
        </w:rPr>
        <w:footnoteRef/>
      </w:r>
      <w:r w:rsidRPr="00DE0B6B">
        <w:rPr>
          <w:sz w:val="20"/>
          <w:szCs w:val="20"/>
          <w:vertAlign w:val="baseline"/>
        </w:rPr>
        <w:t xml:space="preserve"> </w:t>
      </w:r>
      <w:r w:rsidRPr="00DE0B6B">
        <w:rPr>
          <w:sz w:val="20"/>
          <w:szCs w:val="20"/>
          <w:vertAlign w:val="baseline"/>
          <w:lang w:val="en-US"/>
        </w:rPr>
        <w:t>Owusu-Me</w:t>
      </w:r>
      <w:r>
        <w:rPr>
          <w:sz w:val="20"/>
          <w:szCs w:val="20"/>
          <w:vertAlign w:val="baseline"/>
          <w:lang w:val="en-US"/>
        </w:rPr>
        <w:t xml:space="preserve">nsah (n 1124) </w:t>
      </w:r>
      <w:r w:rsidRPr="00DE0B6B">
        <w:rPr>
          <w:sz w:val="20"/>
          <w:szCs w:val="20"/>
          <w:vertAlign w:val="baseline"/>
          <w:lang w:val="en-US"/>
        </w:rPr>
        <w:t>42</w:t>
      </w:r>
    </w:p>
  </w:footnote>
  <w:footnote w:id="1137">
    <w:p w14:paraId="16E5EA18" w14:textId="77777777" w:rsidR="00431A55" w:rsidRPr="00DE0B6B" w:rsidRDefault="00431A55" w:rsidP="008C3633">
      <w:pPr>
        <w:pStyle w:val="NoSpacing"/>
        <w:rPr>
          <w:vertAlign w:val="baseline"/>
        </w:rPr>
      </w:pPr>
      <w:r w:rsidRPr="00DE0B6B">
        <w:rPr>
          <w:rStyle w:val="FootnoteReference"/>
        </w:rPr>
        <w:footnoteRef/>
      </w:r>
      <w:r w:rsidRPr="00DE0B6B">
        <w:rPr>
          <w:vertAlign w:val="baseline"/>
        </w:rPr>
        <w:t xml:space="preserve"> </w:t>
      </w:r>
      <w:r w:rsidRPr="00DE0B6B">
        <w:rPr>
          <w:shd w:val="clear" w:color="auto" w:fill="FFFFFF"/>
          <w:vertAlign w:val="baseline"/>
        </w:rPr>
        <w:t>Courts Act of 1993 (Act No. 459/1993) section 54.</w:t>
      </w:r>
    </w:p>
  </w:footnote>
  <w:footnote w:id="1138">
    <w:p w14:paraId="0D5268CC" w14:textId="77777777" w:rsidR="00431A55" w:rsidRPr="00DE0B6B" w:rsidRDefault="00431A55" w:rsidP="008C3633">
      <w:pPr>
        <w:pStyle w:val="NoSpacing"/>
        <w:rPr>
          <w:vertAlign w:val="baseline"/>
        </w:rPr>
      </w:pPr>
      <w:r w:rsidRPr="00DE0B6B">
        <w:rPr>
          <w:rStyle w:val="FootnoteReference"/>
        </w:rPr>
        <w:footnoteRef/>
      </w:r>
      <w:r w:rsidRPr="00DE0B6B">
        <w:rPr>
          <w:vertAlign w:val="baseline"/>
        </w:rPr>
        <w:t xml:space="preserve"> Jeanmarie French and Mary McEvoy, ‘Promoting Rule of Law in Customary Tribunals in Ghana’ (2014) Harvard Human Rights Journal &lt;</w:t>
      </w:r>
      <w:hyperlink r:id="rId130" w:anchor="_ftn20" w:history="1">
        <w:r w:rsidRPr="00DE0B6B">
          <w:rPr>
            <w:rStyle w:val="Hyperlink"/>
            <w:vertAlign w:val="baseline"/>
          </w:rPr>
          <w:t>http://harvardhrj.com/2014/11/promoting-rule-of-law-in-customary-tribunals-in-ghana/#_ftn20</w:t>
        </w:r>
      </w:hyperlink>
      <w:r w:rsidRPr="00DE0B6B">
        <w:rPr>
          <w:vertAlign w:val="baseline"/>
        </w:rPr>
        <w:t>&gt; accessed 6 August 2015</w:t>
      </w:r>
    </w:p>
  </w:footnote>
  <w:footnote w:id="1139">
    <w:p w14:paraId="2D8B17ED" w14:textId="1DED3336" w:rsidR="00431A55" w:rsidRPr="00DE0B6B" w:rsidRDefault="00431A55" w:rsidP="008C3633">
      <w:pPr>
        <w:pStyle w:val="FootnoteText"/>
        <w:rPr>
          <w:sz w:val="20"/>
          <w:szCs w:val="20"/>
          <w:vertAlign w:val="baseline"/>
          <w:lang w:val="en-US"/>
        </w:rPr>
      </w:pPr>
      <w:r w:rsidRPr="00DE0B6B">
        <w:rPr>
          <w:rStyle w:val="FootnoteReference"/>
          <w:sz w:val="20"/>
          <w:szCs w:val="20"/>
        </w:rPr>
        <w:footnoteRef/>
      </w:r>
      <w:r w:rsidRPr="00DE0B6B">
        <w:rPr>
          <w:sz w:val="20"/>
          <w:szCs w:val="20"/>
          <w:vertAlign w:val="baseline"/>
        </w:rPr>
        <w:t xml:space="preserve"> </w:t>
      </w:r>
      <w:r>
        <w:rPr>
          <w:sz w:val="20"/>
          <w:szCs w:val="20"/>
          <w:vertAlign w:val="baseline"/>
          <w:lang w:val="en-US"/>
        </w:rPr>
        <w:t xml:space="preserve">Atiemo (n 1114) </w:t>
      </w:r>
      <w:r w:rsidRPr="00DE0B6B">
        <w:rPr>
          <w:sz w:val="20"/>
          <w:szCs w:val="20"/>
          <w:vertAlign w:val="baseline"/>
          <w:lang w:val="en-US"/>
        </w:rPr>
        <w:t>367-8</w:t>
      </w:r>
    </w:p>
  </w:footnote>
  <w:footnote w:id="1140">
    <w:p w14:paraId="4C21B351" w14:textId="5C6E4B42" w:rsidR="00431A55" w:rsidRPr="00DE0B6B" w:rsidRDefault="00431A55" w:rsidP="008C3633">
      <w:pPr>
        <w:pStyle w:val="FootnoteText"/>
        <w:rPr>
          <w:sz w:val="20"/>
          <w:szCs w:val="20"/>
          <w:vertAlign w:val="baseline"/>
          <w:lang w:val="en-US"/>
        </w:rPr>
      </w:pPr>
      <w:r w:rsidRPr="00DE0B6B">
        <w:rPr>
          <w:rStyle w:val="FootnoteReference"/>
          <w:sz w:val="20"/>
          <w:szCs w:val="20"/>
        </w:rPr>
        <w:footnoteRef/>
      </w:r>
      <w:r w:rsidRPr="00DE0B6B">
        <w:rPr>
          <w:sz w:val="20"/>
          <w:szCs w:val="20"/>
        </w:rPr>
        <w:t xml:space="preserve"> </w:t>
      </w:r>
      <w:r>
        <w:rPr>
          <w:sz w:val="20"/>
          <w:szCs w:val="20"/>
          <w:vertAlign w:val="baseline"/>
          <w:lang w:val="en-US"/>
        </w:rPr>
        <w:t>ibid</w:t>
      </w:r>
      <w:r w:rsidRPr="00DE0B6B">
        <w:rPr>
          <w:sz w:val="20"/>
          <w:szCs w:val="20"/>
          <w:vertAlign w:val="baseline"/>
          <w:lang w:val="en-US"/>
        </w:rPr>
        <w:t xml:space="preserve"> 368</w:t>
      </w:r>
    </w:p>
  </w:footnote>
  <w:footnote w:id="1141">
    <w:p w14:paraId="43E90A8F" w14:textId="49A53661" w:rsidR="00431A55" w:rsidRPr="00DE0B6B" w:rsidRDefault="00431A55" w:rsidP="008C3633">
      <w:pPr>
        <w:pStyle w:val="FootnoteText"/>
        <w:rPr>
          <w:sz w:val="20"/>
          <w:szCs w:val="20"/>
          <w:vertAlign w:val="baseline"/>
          <w:lang w:val="en-US"/>
        </w:rPr>
      </w:pPr>
      <w:r w:rsidRPr="00DE0B6B">
        <w:rPr>
          <w:rStyle w:val="FootnoteReference"/>
          <w:sz w:val="20"/>
          <w:szCs w:val="20"/>
        </w:rPr>
        <w:footnoteRef/>
      </w:r>
      <w:r w:rsidRPr="00DE0B6B">
        <w:rPr>
          <w:sz w:val="20"/>
          <w:szCs w:val="20"/>
        </w:rPr>
        <w:t xml:space="preserve"> </w:t>
      </w:r>
      <w:r>
        <w:rPr>
          <w:sz w:val="20"/>
          <w:szCs w:val="20"/>
          <w:vertAlign w:val="baseline"/>
          <w:lang w:val="en-US"/>
        </w:rPr>
        <w:t>ibid</w:t>
      </w:r>
    </w:p>
  </w:footnote>
  <w:footnote w:id="1142">
    <w:p w14:paraId="5E46EB83" w14:textId="1A868B39" w:rsidR="00431A55" w:rsidRPr="00C95D4B" w:rsidRDefault="00431A55" w:rsidP="008C3633">
      <w:pPr>
        <w:pStyle w:val="FootnoteText"/>
        <w:rPr>
          <w:lang w:val="en-US"/>
        </w:rPr>
      </w:pPr>
      <w:r w:rsidRPr="00DE0B6B">
        <w:rPr>
          <w:rStyle w:val="FootnoteReference"/>
          <w:sz w:val="20"/>
          <w:szCs w:val="20"/>
        </w:rPr>
        <w:footnoteRef/>
      </w:r>
      <w:r w:rsidRPr="00DE0B6B">
        <w:rPr>
          <w:sz w:val="20"/>
          <w:szCs w:val="20"/>
          <w:vertAlign w:val="baseline"/>
        </w:rPr>
        <w:t xml:space="preserve"> </w:t>
      </w:r>
      <w:r>
        <w:rPr>
          <w:sz w:val="20"/>
          <w:szCs w:val="20"/>
          <w:vertAlign w:val="baseline"/>
          <w:lang w:val="en-US"/>
        </w:rPr>
        <w:t>ibid</w:t>
      </w:r>
    </w:p>
  </w:footnote>
  <w:footnote w:id="1143">
    <w:p w14:paraId="61C5D914" w14:textId="7A77753F" w:rsidR="00431A55" w:rsidRPr="00253944" w:rsidRDefault="00431A55" w:rsidP="008C3633">
      <w:pPr>
        <w:pStyle w:val="FootnoteText"/>
        <w:rPr>
          <w:sz w:val="20"/>
          <w:szCs w:val="20"/>
          <w:vertAlign w:val="baseline"/>
          <w:lang w:val="en-US"/>
        </w:rPr>
      </w:pPr>
      <w:r w:rsidRPr="00253944">
        <w:rPr>
          <w:rStyle w:val="FootnoteReference"/>
          <w:sz w:val="20"/>
          <w:szCs w:val="20"/>
        </w:rPr>
        <w:footnoteRef/>
      </w:r>
      <w:r w:rsidRPr="00253944">
        <w:rPr>
          <w:sz w:val="20"/>
          <w:szCs w:val="20"/>
        </w:rPr>
        <w:t xml:space="preserve"> </w:t>
      </w:r>
      <w:r>
        <w:rPr>
          <w:sz w:val="20"/>
          <w:szCs w:val="20"/>
          <w:vertAlign w:val="baseline"/>
          <w:lang w:val="en-US"/>
        </w:rPr>
        <w:t>ibid</w:t>
      </w:r>
      <w:r w:rsidRPr="00253944">
        <w:rPr>
          <w:sz w:val="20"/>
          <w:szCs w:val="20"/>
          <w:vertAlign w:val="baseline"/>
          <w:lang w:val="en-US"/>
        </w:rPr>
        <w:t xml:space="preserve"> 375</w:t>
      </w:r>
    </w:p>
  </w:footnote>
  <w:footnote w:id="1144">
    <w:p w14:paraId="7E25C1F5" w14:textId="3A3A816D" w:rsidR="00431A55" w:rsidRPr="00253944" w:rsidRDefault="00431A55" w:rsidP="008C3633">
      <w:pPr>
        <w:pStyle w:val="FootnoteText"/>
        <w:rPr>
          <w:sz w:val="20"/>
          <w:szCs w:val="20"/>
          <w:vertAlign w:val="baseline"/>
          <w:lang w:val="en-US"/>
        </w:rPr>
      </w:pPr>
      <w:r w:rsidRPr="00253944">
        <w:rPr>
          <w:rStyle w:val="FootnoteReference"/>
          <w:sz w:val="20"/>
          <w:szCs w:val="20"/>
        </w:rPr>
        <w:footnoteRef/>
      </w:r>
      <w:r w:rsidRPr="00253944">
        <w:rPr>
          <w:sz w:val="20"/>
          <w:szCs w:val="20"/>
        </w:rPr>
        <w:t xml:space="preserve"> </w:t>
      </w:r>
      <w:r>
        <w:rPr>
          <w:sz w:val="20"/>
          <w:szCs w:val="20"/>
          <w:vertAlign w:val="baseline"/>
          <w:lang w:val="en-US"/>
        </w:rPr>
        <w:t>ibid</w:t>
      </w:r>
      <w:r w:rsidRPr="00253944">
        <w:rPr>
          <w:sz w:val="20"/>
          <w:szCs w:val="20"/>
          <w:vertAlign w:val="baseline"/>
          <w:lang w:val="en-US"/>
        </w:rPr>
        <w:t xml:space="preserve"> 376</w:t>
      </w:r>
    </w:p>
  </w:footnote>
  <w:footnote w:id="1145">
    <w:p w14:paraId="098ED136" w14:textId="2B7FAEC7" w:rsidR="00431A55" w:rsidRPr="00253944" w:rsidRDefault="00431A55" w:rsidP="008C3633">
      <w:pPr>
        <w:pStyle w:val="FootnoteText"/>
        <w:rPr>
          <w:sz w:val="20"/>
          <w:szCs w:val="20"/>
          <w:vertAlign w:val="baseline"/>
          <w:lang w:val="en-US"/>
        </w:rPr>
      </w:pPr>
      <w:r w:rsidRPr="00253944">
        <w:rPr>
          <w:rStyle w:val="FootnoteReference"/>
          <w:sz w:val="20"/>
          <w:szCs w:val="20"/>
        </w:rPr>
        <w:footnoteRef/>
      </w:r>
      <w:r w:rsidRPr="00253944">
        <w:rPr>
          <w:sz w:val="20"/>
          <w:szCs w:val="20"/>
          <w:vertAlign w:val="baseline"/>
        </w:rPr>
        <w:t xml:space="preserve"> </w:t>
      </w:r>
      <w:r w:rsidRPr="00253944">
        <w:rPr>
          <w:rFonts w:cs="Times New Roman"/>
          <w:sz w:val="20"/>
          <w:szCs w:val="20"/>
          <w:vertAlign w:val="baseline"/>
        </w:rPr>
        <w:t>1 GLR 730 (Court of Appeal, Accra, Ghana 3 July 1997)</w:t>
      </w:r>
    </w:p>
  </w:footnote>
  <w:footnote w:id="1146">
    <w:p w14:paraId="46FCCC2C" w14:textId="54B118DC" w:rsidR="00431A55" w:rsidRPr="00253944" w:rsidRDefault="00431A55" w:rsidP="008C3633">
      <w:pPr>
        <w:pStyle w:val="FootnoteText"/>
        <w:rPr>
          <w:sz w:val="20"/>
          <w:szCs w:val="20"/>
          <w:vertAlign w:val="baseline"/>
          <w:lang w:val="en-US"/>
        </w:rPr>
      </w:pPr>
      <w:r w:rsidRPr="00253944">
        <w:rPr>
          <w:rStyle w:val="FootnoteReference"/>
          <w:sz w:val="20"/>
          <w:szCs w:val="20"/>
        </w:rPr>
        <w:footnoteRef/>
      </w:r>
      <w:r w:rsidRPr="00253944">
        <w:rPr>
          <w:sz w:val="20"/>
          <w:szCs w:val="20"/>
          <w:vertAlign w:val="baseline"/>
        </w:rPr>
        <w:t xml:space="preserve"> </w:t>
      </w:r>
      <w:r w:rsidRPr="009277E0">
        <w:rPr>
          <w:rFonts w:cs="Times New Roman"/>
          <w:sz w:val="20"/>
          <w:szCs w:val="20"/>
          <w:vertAlign w:val="baseline"/>
        </w:rPr>
        <w:t>ibid</w:t>
      </w:r>
      <w:r w:rsidRPr="00253944">
        <w:rPr>
          <w:rFonts w:cs="Times New Roman"/>
          <w:sz w:val="20"/>
          <w:szCs w:val="20"/>
          <w:vertAlign w:val="baseline"/>
        </w:rPr>
        <w:t xml:space="preserve"> 731</w:t>
      </w:r>
    </w:p>
  </w:footnote>
  <w:footnote w:id="1147">
    <w:p w14:paraId="6B319FBB" w14:textId="6FB25753" w:rsidR="00431A55" w:rsidRPr="00111574" w:rsidRDefault="00431A55" w:rsidP="008C3633">
      <w:pPr>
        <w:pStyle w:val="FootnoteText"/>
        <w:rPr>
          <w:lang w:val="en-US"/>
        </w:rPr>
      </w:pPr>
      <w:r w:rsidRPr="00253944">
        <w:rPr>
          <w:rStyle w:val="FootnoteReference"/>
          <w:sz w:val="20"/>
          <w:szCs w:val="20"/>
        </w:rPr>
        <w:footnoteRef/>
      </w:r>
      <w:r w:rsidRPr="00253944">
        <w:rPr>
          <w:sz w:val="20"/>
          <w:szCs w:val="20"/>
        </w:rPr>
        <w:t xml:space="preserve"> </w:t>
      </w:r>
      <w:r w:rsidRPr="009277E0">
        <w:rPr>
          <w:rFonts w:cs="Times New Roman"/>
          <w:sz w:val="20"/>
          <w:szCs w:val="20"/>
          <w:vertAlign w:val="baseline"/>
        </w:rPr>
        <w:t>ibid</w:t>
      </w:r>
    </w:p>
  </w:footnote>
  <w:footnote w:id="1148">
    <w:p w14:paraId="69C9AA6A" w14:textId="3DE84C67" w:rsidR="00431A55" w:rsidRPr="00B9738E" w:rsidRDefault="00431A55" w:rsidP="008C3633">
      <w:pPr>
        <w:pStyle w:val="FootnoteText"/>
        <w:rPr>
          <w:sz w:val="20"/>
          <w:szCs w:val="20"/>
          <w:vertAlign w:val="baseline"/>
          <w:lang w:val="en-US"/>
        </w:rPr>
      </w:pPr>
      <w:r w:rsidRPr="00B9738E">
        <w:rPr>
          <w:rStyle w:val="FootnoteReference"/>
          <w:sz w:val="20"/>
          <w:szCs w:val="20"/>
        </w:rPr>
        <w:footnoteRef/>
      </w:r>
      <w:r w:rsidRPr="00B9738E">
        <w:rPr>
          <w:sz w:val="20"/>
          <w:szCs w:val="20"/>
          <w:vertAlign w:val="baseline"/>
        </w:rPr>
        <w:t xml:space="preserve"> </w:t>
      </w:r>
      <w:r>
        <w:rPr>
          <w:rFonts w:cs="Times New Roman"/>
          <w:sz w:val="20"/>
          <w:szCs w:val="20"/>
          <w:vertAlign w:val="baseline"/>
        </w:rPr>
        <w:t>ibid</w:t>
      </w:r>
      <w:r w:rsidRPr="00B9738E">
        <w:rPr>
          <w:rFonts w:cs="Times New Roman"/>
          <w:sz w:val="20"/>
          <w:szCs w:val="20"/>
          <w:vertAlign w:val="baseline"/>
        </w:rPr>
        <w:t xml:space="preserve"> 732</w:t>
      </w:r>
    </w:p>
  </w:footnote>
  <w:footnote w:id="1149">
    <w:p w14:paraId="789B8A7B" w14:textId="74CFFC5F" w:rsidR="00431A55" w:rsidRPr="00B9738E" w:rsidRDefault="00431A55" w:rsidP="008C3633">
      <w:pPr>
        <w:pStyle w:val="FootnoteText"/>
        <w:rPr>
          <w:sz w:val="20"/>
          <w:szCs w:val="20"/>
          <w:vertAlign w:val="baseline"/>
          <w:lang w:val="en-US"/>
        </w:rPr>
      </w:pPr>
      <w:r w:rsidRPr="00B9738E">
        <w:rPr>
          <w:rStyle w:val="FootnoteReference"/>
          <w:sz w:val="20"/>
          <w:szCs w:val="20"/>
        </w:rPr>
        <w:footnoteRef/>
      </w:r>
      <w:r w:rsidRPr="00B9738E">
        <w:rPr>
          <w:sz w:val="20"/>
          <w:szCs w:val="20"/>
          <w:vertAlign w:val="baseline"/>
        </w:rPr>
        <w:t xml:space="preserve"> </w:t>
      </w:r>
      <w:r w:rsidRPr="001245DA">
        <w:rPr>
          <w:rFonts w:cs="Times New Roman"/>
          <w:sz w:val="20"/>
          <w:szCs w:val="20"/>
          <w:vertAlign w:val="baseline"/>
        </w:rPr>
        <w:t>ibid</w:t>
      </w:r>
    </w:p>
  </w:footnote>
  <w:footnote w:id="1150">
    <w:p w14:paraId="021C990F" w14:textId="4A4A9422" w:rsidR="00431A55" w:rsidRPr="00B9738E" w:rsidRDefault="00431A55" w:rsidP="008C3633">
      <w:pPr>
        <w:pStyle w:val="FootnoteText"/>
        <w:rPr>
          <w:sz w:val="20"/>
          <w:szCs w:val="20"/>
          <w:vertAlign w:val="baseline"/>
          <w:lang w:val="en-US"/>
        </w:rPr>
      </w:pPr>
      <w:r w:rsidRPr="00B9738E">
        <w:rPr>
          <w:rStyle w:val="FootnoteReference"/>
          <w:sz w:val="20"/>
          <w:szCs w:val="20"/>
        </w:rPr>
        <w:footnoteRef/>
      </w:r>
      <w:r w:rsidRPr="00B9738E">
        <w:rPr>
          <w:sz w:val="20"/>
          <w:szCs w:val="20"/>
        </w:rPr>
        <w:t xml:space="preserve"> </w:t>
      </w:r>
      <w:r w:rsidRPr="00B9738E">
        <w:rPr>
          <w:sz w:val="20"/>
          <w:szCs w:val="20"/>
          <w:vertAlign w:val="baseline"/>
        </w:rPr>
        <w:t xml:space="preserve">The currency in Ghana is the </w:t>
      </w:r>
      <w:r w:rsidRPr="00B9738E">
        <w:rPr>
          <w:sz w:val="20"/>
          <w:szCs w:val="20"/>
          <w:vertAlign w:val="baseline"/>
          <w:lang w:val="en-US"/>
        </w:rPr>
        <w:t>Ghanai</w:t>
      </w:r>
      <w:r>
        <w:rPr>
          <w:sz w:val="20"/>
          <w:szCs w:val="20"/>
          <w:vertAlign w:val="baseline"/>
          <w:lang w:val="en-US"/>
        </w:rPr>
        <w:t>a</w:t>
      </w:r>
      <w:r w:rsidRPr="00B9738E">
        <w:rPr>
          <w:sz w:val="20"/>
          <w:szCs w:val="20"/>
          <w:vertAlign w:val="baseline"/>
          <w:lang w:val="en-US"/>
        </w:rPr>
        <w:t>n cedi</w:t>
      </w:r>
    </w:p>
  </w:footnote>
  <w:footnote w:id="1151">
    <w:p w14:paraId="1E28780B" w14:textId="06ED9C49" w:rsidR="00431A55" w:rsidRPr="00B9738E" w:rsidRDefault="00431A55" w:rsidP="008C3633">
      <w:pPr>
        <w:pStyle w:val="FootnoteText"/>
        <w:rPr>
          <w:sz w:val="20"/>
          <w:szCs w:val="20"/>
          <w:vertAlign w:val="baseline"/>
          <w:lang w:val="en-US"/>
        </w:rPr>
      </w:pPr>
      <w:r w:rsidRPr="00B9738E">
        <w:rPr>
          <w:rStyle w:val="FootnoteReference"/>
          <w:sz w:val="20"/>
          <w:szCs w:val="20"/>
        </w:rPr>
        <w:footnoteRef/>
      </w:r>
      <w:r w:rsidRPr="00B9738E">
        <w:rPr>
          <w:sz w:val="20"/>
          <w:szCs w:val="20"/>
        </w:rPr>
        <w:t xml:space="preserve"> </w:t>
      </w:r>
      <w:r w:rsidRPr="00B9738E">
        <w:rPr>
          <w:i/>
          <w:sz w:val="20"/>
          <w:szCs w:val="20"/>
          <w:vertAlign w:val="baseline"/>
          <w:lang w:val="en-US"/>
        </w:rPr>
        <w:t xml:space="preserve"> </w:t>
      </w:r>
      <w:r w:rsidRPr="00B9738E">
        <w:rPr>
          <w:sz w:val="20"/>
          <w:szCs w:val="20"/>
          <w:vertAlign w:val="baseline"/>
          <w:lang w:val="en-US"/>
        </w:rPr>
        <w:t>[1963] 1 GLR 332</w:t>
      </w:r>
    </w:p>
  </w:footnote>
  <w:footnote w:id="1152">
    <w:p w14:paraId="1191FC31" w14:textId="4781A3E6" w:rsidR="00431A55" w:rsidRPr="00B9738E" w:rsidRDefault="00431A55" w:rsidP="008C3633">
      <w:pPr>
        <w:pStyle w:val="FootnoteText"/>
        <w:rPr>
          <w:sz w:val="20"/>
          <w:szCs w:val="20"/>
          <w:vertAlign w:val="baseline"/>
          <w:lang w:val="en-US"/>
        </w:rPr>
      </w:pPr>
      <w:r w:rsidRPr="00B9738E">
        <w:rPr>
          <w:rStyle w:val="FootnoteReference"/>
          <w:sz w:val="20"/>
          <w:szCs w:val="20"/>
        </w:rPr>
        <w:footnoteRef/>
      </w:r>
      <w:r w:rsidRPr="00B9738E">
        <w:rPr>
          <w:sz w:val="20"/>
          <w:szCs w:val="20"/>
          <w:vertAlign w:val="baseline"/>
        </w:rPr>
        <w:t xml:space="preserve"> </w:t>
      </w:r>
      <w:r>
        <w:rPr>
          <w:sz w:val="20"/>
          <w:szCs w:val="20"/>
          <w:vertAlign w:val="baseline"/>
          <w:lang w:val="en-US"/>
        </w:rPr>
        <w:t>ibid</w:t>
      </w:r>
      <w:r w:rsidRPr="00B9738E">
        <w:rPr>
          <w:sz w:val="20"/>
          <w:szCs w:val="20"/>
          <w:vertAlign w:val="baseline"/>
          <w:lang w:val="en-US"/>
        </w:rPr>
        <w:t xml:space="preserve"> 334</w:t>
      </w:r>
    </w:p>
  </w:footnote>
  <w:footnote w:id="1153">
    <w:p w14:paraId="2884A524" w14:textId="3415EE10" w:rsidR="00431A55" w:rsidRPr="00B9738E" w:rsidRDefault="00431A55" w:rsidP="008C3633">
      <w:pPr>
        <w:pStyle w:val="FootnoteText"/>
        <w:rPr>
          <w:sz w:val="20"/>
          <w:szCs w:val="20"/>
          <w:vertAlign w:val="baseline"/>
          <w:lang w:val="en-US"/>
        </w:rPr>
      </w:pPr>
      <w:r w:rsidRPr="00B9738E">
        <w:rPr>
          <w:rStyle w:val="FootnoteReference"/>
          <w:sz w:val="20"/>
          <w:szCs w:val="20"/>
        </w:rPr>
        <w:footnoteRef/>
      </w:r>
      <w:r w:rsidRPr="00B9738E">
        <w:rPr>
          <w:sz w:val="20"/>
          <w:szCs w:val="20"/>
        </w:rPr>
        <w:t xml:space="preserve"> </w:t>
      </w:r>
      <w:r w:rsidRPr="00B9738E">
        <w:rPr>
          <w:i/>
          <w:sz w:val="20"/>
          <w:szCs w:val="20"/>
          <w:vertAlign w:val="baseline"/>
          <w:lang w:val="en-US"/>
        </w:rPr>
        <w:t xml:space="preserve"> </w:t>
      </w:r>
      <w:r w:rsidRPr="00B9738E">
        <w:rPr>
          <w:sz w:val="20"/>
          <w:szCs w:val="20"/>
          <w:vertAlign w:val="baseline"/>
          <w:lang w:val="en-US"/>
        </w:rPr>
        <w:t>[1968] GLR 768</w:t>
      </w:r>
    </w:p>
  </w:footnote>
  <w:footnote w:id="1154">
    <w:p w14:paraId="03C0188B" w14:textId="79CE2CB6" w:rsidR="00431A55" w:rsidRPr="00FB1422" w:rsidRDefault="00431A55" w:rsidP="008C3633">
      <w:pPr>
        <w:pStyle w:val="FootnoteText"/>
        <w:rPr>
          <w:lang w:val="en-US"/>
        </w:rPr>
      </w:pPr>
      <w:r w:rsidRPr="00B9738E">
        <w:rPr>
          <w:rStyle w:val="FootnoteReference"/>
          <w:sz w:val="20"/>
          <w:szCs w:val="20"/>
        </w:rPr>
        <w:footnoteRef/>
      </w:r>
      <w:r w:rsidRPr="00B9738E">
        <w:rPr>
          <w:sz w:val="20"/>
          <w:szCs w:val="20"/>
        </w:rPr>
        <w:t xml:space="preserve"> </w:t>
      </w:r>
      <w:r>
        <w:rPr>
          <w:sz w:val="20"/>
          <w:szCs w:val="20"/>
          <w:vertAlign w:val="baseline"/>
          <w:lang w:val="en-US"/>
        </w:rPr>
        <w:t>ibid</w:t>
      </w:r>
    </w:p>
  </w:footnote>
  <w:footnote w:id="1155">
    <w:p w14:paraId="7B7A4464" w14:textId="206CB642" w:rsidR="00431A55" w:rsidRPr="002764E8" w:rsidRDefault="00431A55" w:rsidP="008C3633">
      <w:pPr>
        <w:pStyle w:val="FootnoteText"/>
        <w:rPr>
          <w:sz w:val="20"/>
          <w:szCs w:val="20"/>
          <w:vertAlign w:val="baseline"/>
          <w:lang w:val="en-US"/>
        </w:rPr>
      </w:pPr>
      <w:r w:rsidRPr="002764E8">
        <w:rPr>
          <w:rStyle w:val="FootnoteReference"/>
          <w:sz w:val="20"/>
          <w:szCs w:val="20"/>
        </w:rPr>
        <w:footnoteRef/>
      </w:r>
      <w:r w:rsidRPr="002764E8">
        <w:rPr>
          <w:sz w:val="20"/>
          <w:szCs w:val="20"/>
        </w:rPr>
        <w:t xml:space="preserve"> </w:t>
      </w:r>
      <w:r>
        <w:rPr>
          <w:sz w:val="20"/>
          <w:szCs w:val="20"/>
          <w:vertAlign w:val="baseline"/>
          <w:lang w:val="en-US"/>
        </w:rPr>
        <w:t>ibid</w:t>
      </w:r>
    </w:p>
  </w:footnote>
  <w:footnote w:id="1156">
    <w:p w14:paraId="1C9E9D80" w14:textId="5394B9D7" w:rsidR="00431A55" w:rsidRPr="002764E8" w:rsidRDefault="00431A55" w:rsidP="008C3633">
      <w:pPr>
        <w:pStyle w:val="FootnoteText"/>
        <w:rPr>
          <w:sz w:val="20"/>
          <w:szCs w:val="20"/>
          <w:vertAlign w:val="baseline"/>
          <w:lang w:val="en-US"/>
        </w:rPr>
      </w:pPr>
      <w:r w:rsidRPr="002764E8">
        <w:rPr>
          <w:rStyle w:val="FootnoteReference"/>
          <w:sz w:val="20"/>
          <w:szCs w:val="20"/>
        </w:rPr>
        <w:footnoteRef/>
      </w:r>
      <w:r w:rsidRPr="002764E8">
        <w:rPr>
          <w:sz w:val="20"/>
          <w:szCs w:val="20"/>
        </w:rPr>
        <w:t xml:space="preserve"> </w:t>
      </w:r>
      <w:r>
        <w:rPr>
          <w:sz w:val="20"/>
          <w:szCs w:val="20"/>
          <w:vertAlign w:val="baseline"/>
          <w:lang w:val="en-US"/>
        </w:rPr>
        <w:t>ibid</w:t>
      </w:r>
      <w:r w:rsidRPr="002764E8">
        <w:rPr>
          <w:sz w:val="20"/>
          <w:szCs w:val="20"/>
          <w:vertAlign w:val="baseline"/>
          <w:lang w:val="en-US"/>
        </w:rPr>
        <w:t xml:space="preserve"> 769</w:t>
      </w:r>
    </w:p>
  </w:footnote>
  <w:footnote w:id="1157">
    <w:p w14:paraId="0C0D0401" w14:textId="34D4BB2C" w:rsidR="00431A55" w:rsidRPr="002764E8" w:rsidRDefault="00431A55" w:rsidP="008C3633">
      <w:pPr>
        <w:pStyle w:val="FootnoteText"/>
        <w:rPr>
          <w:sz w:val="20"/>
          <w:szCs w:val="20"/>
          <w:vertAlign w:val="baseline"/>
          <w:lang w:val="en-US"/>
        </w:rPr>
      </w:pPr>
      <w:r w:rsidRPr="002764E8">
        <w:rPr>
          <w:rStyle w:val="FootnoteReference"/>
          <w:sz w:val="20"/>
          <w:szCs w:val="20"/>
        </w:rPr>
        <w:footnoteRef/>
      </w:r>
      <w:r>
        <w:rPr>
          <w:sz w:val="20"/>
          <w:szCs w:val="20"/>
        </w:rPr>
        <w:t xml:space="preserve"> </w:t>
      </w:r>
      <w:r>
        <w:rPr>
          <w:sz w:val="20"/>
          <w:szCs w:val="20"/>
          <w:vertAlign w:val="baseline"/>
          <w:lang w:val="en-US"/>
        </w:rPr>
        <w:t xml:space="preserve">Atiemo (n 1114) </w:t>
      </w:r>
      <w:r w:rsidRPr="002764E8">
        <w:rPr>
          <w:sz w:val="20"/>
          <w:szCs w:val="20"/>
          <w:vertAlign w:val="baseline"/>
          <w:lang w:val="en-US"/>
        </w:rPr>
        <w:t>376</w:t>
      </w:r>
    </w:p>
  </w:footnote>
  <w:footnote w:id="1158">
    <w:p w14:paraId="6A5F5F4C" w14:textId="6254AD9B" w:rsidR="00431A55" w:rsidRPr="002764E8" w:rsidRDefault="00431A55" w:rsidP="008C3633">
      <w:pPr>
        <w:pStyle w:val="FootnoteText"/>
        <w:rPr>
          <w:sz w:val="20"/>
          <w:szCs w:val="20"/>
          <w:vertAlign w:val="baseline"/>
          <w:lang w:val="en-US"/>
        </w:rPr>
      </w:pPr>
      <w:r w:rsidRPr="002764E8">
        <w:rPr>
          <w:rStyle w:val="FootnoteReference"/>
          <w:sz w:val="20"/>
          <w:szCs w:val="20"/>
        </w:rPr>
        <w:footnoteRef/>
      </w:r>
      <w:r w:rsidRPr="002764E8">
        <w:rPr>
          <w:sz w:val="20"/>
          <w:szCs w:val="20"/>
        </w:rPr>
        <w:t xml:space="preserve"> </w:t>
      </w:r>
      <w:r>
        <w:rPr>
          <w:sz w:val="20"/>
          <w:szCs w:val="20"/>
          <w:vertAlign w:val="baseline"/>
          <w:lang w:val="en-US"/>
        </w:rPr>
        <w:t xml:space="preserve">Quarmyne (n 1130) </w:t>
      </w:r>
      <w:r w:rsidRPr="002764E8">
        <w:rPr>
          <w:sz w:val="20"/>
          <w:szCs w:val="20"/>
          <w:vertAlign w:val="baseline"/>
          <w:lang w:val="en-US"/>
        </w:rPr>
        <w:t>484</w:t>
      </w:r>
    </w:p>
  </w:footnote>
  <w:footnote w:id="1159">
    <w:p w14:paraId="67D7C4A4" w14:textId="6FF92325" w:rsidR="00431A55" w:rsidRPr="00C30B4A" w:rsidRDefault="00431A55" w:rsidP="008C3633">
      <w:pPr>
        <w:pStyle w:val="FootnoteText"/>
        <w:rPr>
          <w:lang w:val="en-US"/>
        </w:rPr>
      </w:pPr>
      <w:r w:rsidRPr="002764E8">
        <w:rPr>
          <w:rStyle w:val="FootnoteReference"/>
          <w:sz w:val="20"/>
          <w:szCs w:val="20"/>
        </w:rPr>
        <w:footnoteRef/>
      </w:r>
      <w:r w:rsidRPr="002764E8">
        <w:rPr>
          <w:sz w:val="20"/>
          <w:szCs w:val="20"/>
        </w:rPr>
        <w:t xml:space="preserve"> </w:t>
      </w:r>
      <w:r>
        <w:rPr>
          <w:sz w:val="20"/>
          <w:szCs w:val="20"/>
          <w:vertAlign w:val="baseline"/>
        </w:rPr>
        <w:t>ibid</w:t>
      </w:r>
      <w:r w:rsidRPr="002764E8">
        <w:rPr>
          <w:sz w:val="20"/>
          <w:szCs w:val="20"/>
          <w:vertAlign w:val="baseline"/>
        </w:rPr>
        <w:t xml:space="preserve"> 485</w:t>
      </w:r>
    </w:p>
  </w:footnote>
  <w:footnote w:id="1160">
    <w:p w14:paraId="5B9FC635" w14:textId="280E84A8" w:rsidR="00431A55" w:rsidRPr="008773BD" w:rsidRDefault="00431A55" w:rsidP="008C3633">
      <w:pPr>
        <w:pStyle w:val="FootnoteText"/>
        <w:rPr>
          <w:sz w:val="20"/>
          <w:szCs w:val="20"/>
          <w:vertAlign w:val="baseline"/>
          <w:lang w:val="en-US"/>
        </w:rPr>
      </w:pPr>
      <w:r w:rsidRPr="008773BD">
        <w:rPr>
          <w:rStyle w:val="FootnoteReference"/>
          <w:sz w:val="20"/>
          <w:szCs w:val="20"/>
        </w:rPr>
        <w:footnoteRef/>
      </w:r>
      <w:r w:rsidRPr="008773BD">
        <w:rPr>
          <w:sz w:val="20"/>
          <w:szCs w:val="20"/>
        </w:rPr>
        <w:t xml:space="preserve"> </w:t>
      </w:r>
      <w:r>
        <w:rPr>
          <w:sz w:val="20"/>
          <w:szCs w:val="20"/>
          <w:vertAlign w:val="baseline"/>
        </w:rPr>
        <w:t>ibid</w:t>
      </w:r>
    </w:p>
  </w:footnote>
  <w:footnote w:id="1161">
    <w:p w14:paraId="1B83B80C" w14:textId="3FC55C56" w:rsidR="00431A55" w:rsidRPr="008773BD" w:rsidRDefault="00431A55" w:rsidP="008C3633">
      <w:pPr>
        <w:pStyle w:val="FootnoteText"/>
        <w:rPr>
          <w:sz w:val="20"/>
          <w:szCs w:val="20"/>
          <w:vertAlign w:val="baseline"/>
          <w:lang w:val="en-US"/>
        </w:rPr>
      </w:pPr>
      <w:r w:rsidRPr="008773BD">
        <w:rPr>
          <w:rStyle w:val="FootnoteReference"/>
          <w:sz w:val="20"/>
          <w:szCs w:val="20"/>
        </w:rPr>
        <w:footnoteRef/>
      </w:r>
      <w:r w:rsidRPr="008773BD">
        <w:rPr>
          <w:sz w:val="20"/>
          <w:szCs w:val="20"/>
        </w:rPr>
        <w:t xml:space="preserve"> </w:t>
      </w:r>
      <w:r>
        <w:rPr>
          <w:sz w:val="20"/>
          <w:szCs w:val="20"/>
          <w:vertAlign w:val="baseline"/>
        </w:rPr>
        <w:t>ibid</w:t>
      </w:r>
      <w:r w:rsidRPr="008773BD">
        <w:rPr>
          <w:sz w:val="20"/>
          <w:szCs w:val="20"/>
          <w:vertAlign w:val="baseline"/>
        </w:rPr>
        <w:t xml:space="preserve"> 486</w:t>
      </w:r>
    </w:p>
  </w:footnote>
  <w:footnote w:id="1162">
    <w:p w14:paraId="27386134" w14:textId="7747FB40" w:rsidR="00431A55" w:rsidRPr="008773BD" w:rsidRDefault="00431A55" w:rsidP="008C3633">
      <w:pPr>
        <w:pStyle w:val="FootnoteText"/>
        <w:rPr>
          <w:sz w:val="20"/>
          <w:szCs w:val="20"/>
          <w:vertAlign w:val="baseline"/>
        </w:rPr>
      </w:pPr>
      <w:r w:rsidRPr="008773BD">
        <w:rPr>
          <w:rStyle w:val="FootnoteReference"/>
          <w:sz w:val="20"/>
          <w:szCs w:val="20"/>
        </w:rPr>
        <w:footnoteRef/>
      </w:r>
      <w:r w:rsidRPr="008773BD">
        <w:rPr>
          <w:sz w:val="20"/>
          <w:szCs w:val="20"/>
        </w:rPr>
        <w:t xml:space="preserve"> </w:t>
      </w:r>
      <w:r w:rsidRPr="008773BD">
        <w:rPr>
          <w:sz w:val="20"/>
          <w:szCs w:val="20"/>
          <w:vertAlign w:val="baseline"/>
        </w:rPr>
        <w:t>Jacqueline Murray and Lauren Wallace, ‘In Africa, accusations of witchcraft still a reality for women’ (</w:t>
      </w:r>
      <w:r w:rsidRPr="008773BD">
        <w:rPr>
          <w:i/>
          <w:sz w:val="20"/>
          <w:szCs w:val="20"/>
          <w:vertAlign w:val="baseline"/>
        </w:rPr>
        <w:t>Globe and Mail</w:t>
      </w:r>
      <w:r w:rsidRPr="008773BD">
        <w:rPr>
          <w:sz w:val="20"/>
          <w:szCs w:val="20"/>
          <w:vertAlign w:val="baseline"/>
        </w:rPr>
        <w:t>, 25 November 2013) &lt;</w:t>
      </w:r>
      <w:hyperlink r:id="rId131" w:history="1">
        <w:r w:rsidRPr="008773BD">
          <w:rPr>
            <w:rStyle w:val="Hyperlink"/>
            <w:sz w:val="20"/>
            <w:szCs w:val="20"/>
            <w:vertAlign w:val="baseline"/>
          </w:rPr>
          <w:t>http://www.theglobeandmail.com/globe-debate/in-africa-accusations-of-witchcraft-still-a-reality-for-many-women/article15582182/</w:t>
        </w:r>
      </w:hyperlink>
      <w:r w:rsidRPr="008773BD">
        <w:rPr>
          <w:sz w:val="20"/>
          <w:szCs w:val="20"/>
          <w:vertAlign w:val="baseline"/>
        </w:rPr>
        <w:t xml:space="preserve">&gt; accessed 19 August 2015; Sophie Morgan, ‘Torture camps and ritual killings: Is this the worst place in the world to be disabled’ </w:t>
      </w:r>
      <w:r w:rsidRPr="008773BD">
        <w:rPr>
          <w:i/>
          <w:sz w:val="20"/>
          <w:szCs w:val="20"/>
          <w:vertAlign w:val="baseline"/>
        </w:rPr>
        <w:t xml:space="preserve">The Mirror </w:t>
      </w:r>
      <w:r w:rsidRPr="008773BD">
        <w:rPr>
          <w:sz w:val="20"/>
          <w:szCs w:val="20"/>
          <w:vertAlign w:val="baseline"/>
        </w:rPr>
        <w:t>(London 26 July 2015)</w:t>
      </w:r>
      <w:r>
        <w:rPr>
          <w:sz w:val="20"/>
          <w:szCs w:val="20"/>
          <w:vertAlign w:val="baseline"/>
        </w:rPr>
        <w:t xml:space="preserve">; </w:t>
      </w:r>
      <w:r w:rsidRPr="008773BD">
        <w:rPr>
          <w:sz w:val="20"/>
          <w:szCs w:val="20"/>
          <w:vertAlign w:val="baseline"/>
        </w:rPr>
        <w:t xml:space="preserve">’72 year old grandmother burned for being a witch’ </w:t>
      </w:r>
      <w:r w:rsidRPr="008773BD">
        <w:rPr>
          <w:i/>
          <w:sz w:val="20"/>
          <w:szCs w:val="20"/>
          <w:vertAlign w:val="baseline"/>
        </w:rPr>
        <w:t>Daily Mail Online</w:t>
      </w:r>
      <w:r w:rsidRPr="008773BD">
        <w:rPr>
          <w:sz w:val="20"/>
          <w:szCs w:val="20"/>
          <w:vertAlign w:val="baseline"/>
        </w:rPr>
        <w:t xml:space="preserve"> (London, 29 November 2010) &lt;</w:t>
      </w:r>
      <w:hyperlink r:id="rId132" w:history="1">
        <w:r w:rsidRPr="008773BD">
          <w:rPr>
            <w:rStyle w:val="Hyperlink"/>
            <w:sz w:val="20"/>
            <w:szCs w:val="20"/>
            <w:vertAlign w:val="baseline"/>
          </w:rPr>
          <w:t>http://www.dailymail.co.uk/news/article-1334075/72-year-old-grandmother-burned-alive-Ghana-witch.html</w:t>
        </w:r>
      </w:hyperlink>
      <w:r w:rsidRPr="008773BD">
        <w:rPr>
          <w:sz w:val="20"/>
          <w:szCs w:val="20"/>
          <w:vertAlign w:val="baseline"/>
        </w:rPr>
        <w:t>&gt; accessed 19 August 2015</w:t>
      </w:r>
    </w:p>
  </w:footnote>
  <w:footnote w:id="1163">
    <w:p w14:paraId="38F5CE40" w14:textId="22D0AFD0" w:rsidR="00431A55" w:rsidRPr="00616C41" w:rsidRDefault="00431A55" w:rsidP="008C3633">
      <w:pPr>
        <w:pStyle w:val="FootnoteText"/>
        <w:rPr>
          <w:lang w:val="en-US"/>
        </w:rPr>
      </w:pPr>
      <w:r w:rsidRPr="008773BD">
        <w:rPr>
          <w:rStyle w:val="FootnoteReference"/>
          <w:sz w:val="20"/>
          <w:szCs w:val="20"/>
        </w:rPr>
        <w:footnoteRef/>
      </w:r>
      <w:r>
        <w:rPr>
          <w:sz w:val="20"/>
          <w:szCs w:val="20"/>
          <w:vertAlign w:val="baseline"/>
        </w:rPr>
        <w:t xml:space="preserve"> </w:t>
      </w:r>
      <w:r w:rsidRPr="008773BD">
        <w:rPr>
          <w:sz w:val="20"/>
          <w:szCs w:val="20"/>
          <w:vertAlign w:val="baseline"/>
        </w:rPr>
        <w:t>A</w:t>
      </w:r>
      <w:r>
        <w:rPr>
          <w:sz w:val="20"/>
          <w:szCs w:val="20"/>
          <w:vertAlign w:val="baseline"/>
        </w:rPr>
        <w:t xml:space="preserve">dinkrah (n 455) </w:t>
      </w:r>
      <w:r w:rsidRPr="008773BD">
        <w:rPr>
          <w:sz w:val="20"/>
          <w:szCs w:val="20"/>
          <w:vertAlign w:val="baseline"/>
        </w:rPr>
        <w:t>334</w:t>
      </w:r>
    </w:p>
  </w:footnote>
  <w:footnote w:id="1164">
    <w:p w14:paraId="48F6363B" w14:textId="7D51BC28" w:rsidR="00431A55" w:rsidRPr="00FD424A" w:rsidRDefault="00431A55" w:rsidP="008C3633">
      <w:pPr>
        <w:pStyle w:val="FootnoteText"/>
        <w:rPr>
          <w:sz w:val="20"/>
          <w:szCs w:val="20"/>
          <w:vertAlign w:val="baseline"/>
          <w:lang w:val="en-US"/>
        </w:rPr>
      </w:pPr>
      <w:r w:rsidRPr="00FD424A">
        <w:rPr>
          <w:rStyle w:val="FootnoteReference"/>
          <w:sz w:val="20"/>
          <w:szCs w:val="20"/>
        </w:rPr>
        <w:footnoteRef/>
      </w:r>
      <w:r w:rsidRPr="00FD424A">
        <w:rPr>
          <w:sz w:val="20"/>
          <w:szCs w:val="20"/>
          <w:vertAlign w:val="baseline"/>
        </w:rPr>
        <w:t xml:space="preserve"> </w:t>
      </w:r>
      <w:r>
        <w:rPr>
          <w:sz w:val="20"/>
          <w:szCs w:val="20"/>
          <w:vertAlign w:val="baseline"/>
        </w:rPr>
        <w:t>ibid</w:t>
      </w:r>
    </w:p>
  </w:footnote>
  <w:footnote w:id="1165">
    <w:p w14:paraId="288B4C21" w14:textId="77777777" w:rsidR="00431A55" w:rsidRPr="00FD424A" w:rsidRDefault="00431A55" w:rsidP="008C3633">
      <w:pPr>
        <w:pStyle w:val="FootnoteText"/>
        <w:rPr>
          <w:sz w:val="20"/>
          <w:szCs w:val="20"/>
          <w:vertAlign w:val="baseline"/>
          <w:lang w:val="en-US"/>
        </w:rPr>
      </w:pPr>
      <w:r w:rsidRPr="00FD424A">
        <w:rPr>
          <w:rStyle w:val="FootnoteReference"/>
          <w:sz w:val="20"/>
          <w:szCs w:val="20"/>
        </w:rPr>
        <w:footnoteRef/>
      </w:r>
      <w:r w:rsidRPr="00FD424A">
        <w:rPr>
          <w:sz w:val="20"/>
          <w:szCs w:val="20"/>
        </w:rPr>
        <w:t xml:space="preserve"> </w:t>
      </w:r>
      <w:r w:rsidRPr="00FD424A">
        <w:rPr>
          <w:sz w:val="20"/>
          <w:szCs w:val="20"/>
          <w:vertAlign w:val="baseline"/>
          <w:lang w:val="en-US"/>
        </w:rPr>
        <w:t>South Africa - Witchcraft Suppression Act no.3 (1957); Zimbabwe - Witchcraft Suppression Act 1890 (amended in 2001); Tanzania – Witchcraft Ordinance (1928) (amended in 2001)</w:t>
      </w:r>
    </w:p>
  </w:footnote>
  <w:footnote w:id="1166">
    <w:p w14:paraId="02F4478A" w14:textId="21908BFB" w:rsidR="00431A55" w:rsidRPr="00FD424A" w:rsidRDefault="00431A55" w:rsidP="008C3633">
      <w:pPr>
        <w:pStyle w:val="FootnoteText"/>
        <w:rPr>
          <w:sz w:val="20"/>
          <w:szCs w:val="20"/>
          <w:vertAlign w:val="baseline"/>
          <w:lang w:val="en-US"/>
        </w:rPr>
      </w:pPr>
      <w:r w:rsidRPr="00FD424A">
        <w:rPr>
          <w:rStyle w:val="FootnoteReference"/>
          <w:sz w:val="20"/>
          <w:szCs w:val="20"/>
        </w:rPr>
        <w:footnoteRef/>
      </w:r>
      <w:r>
        <w:rPr>
          <w:sz w:val="20"/>
          <w:szCs w:val="20"/>
          <w:vertAlign w:val="baseline"/>
        </w:rPr>
        <w:t xml:space="preserve"> Quarmyne (n 1130) </w:t>
      </w:r>
      <w:r w:rsidRPr="00FD424A">
        <w:rPr>
          <w:sz w:val="20"/>
          <w:szCs w:val="20"/>
          <w:vertAlign w:val="baseline"/>
        </w:rPr>
        <w:t>491</w:t>
      </w:r>
    </w:p>
  </w:footnote>
  <w:footnote w:id="1167">
    <w:p w14:paraId="7069196D" w14:textId="77777777" w:rsidR="00431A55" w:rsidRPr="009027B7" w:rsidRDefault="00431A55" w:rsidP="008C3633">
      <w:pPr>
        <w:pStyle w:val="FootnoteText"/>
        <w:rPr>
          <w:lang w:val="en-US"/>
        </w:rPr>
      </w:pPr>
      <w:r w:rsidRPr="00FD424A">
        <w:rPr>
          <w:rStyle w:val="FootnoteReference"/>
          <w:sz w:val="20"/>
          <w:szCs w:val="20"/>
        </w:rPr>
        <w:footnoteRef/>
      </w:r>
      <w:r w:rsidRPr="00FD424A">
        <w:rPr>
          <w:sz w:val="20"/>
          <w:szCs w:val="20"/>
        </w:rPr>
        <w:t xml:space="preserve"> </w:t>
      </w:r>
      <w:r w:rsidRPr="00FD424A">
        <w:rPr>
          <w:sz w:val="20"/>
          <w:szCs w:val="20"/>
          <w:vertAlign w:val="baseline"/>
          <w:lang w:val="en-US"/>
        </w:rPr>
        <w:t>‘Belief in Witchcraft and the Effects on Human Rights’ (</w:t>
      </w:r>
      <w:r w:rsidRPr="00FD424A">
        <w:rPr>
          <w:i/>
          <w:sz w:val="20"/>
          <w:szCs w:val="20"/>
          <w:vertAlign w:val="baseline"/>
          <w:lang w:val="en-US"/>
        </w:rPr>
        <w:t>ModernGhana</w:t>
      </w:r>
      <w:r w:rsidRPr="00FD424A">
        <w:rPr>
          <w:sz w:val="20"/>
          <w:szCs w:val="20"/>
          <w:vertAlign w:val="baseline"/>
          <w:lang w:val="en-US"/>
        </w:rPr>
        <w:t>, 2 December 2010) &lt;</w:t>
      </w:r>
      <w:hyperlink r:id="rId133" w:history="1">
        <w:r w:rsidRPr="00FD424A">
          <w:rPr>
            <w:rStyle w:val="Hyperlink"/>
            <w:sz w:val="20"/>
            <w:szCs w:val="20"/>
            <w:vertAlign w:val="baseline"/>
            <w:lang w:val="en-US"/>
          </w:rPr>
          <w:t>http://www.modernghana.com/lifestyle/1744/16/belief-in-witchcraft-and-the-effects-on-human-righ.html</w:t>
        </w:r>
      </w:hyperlink>
      <w:r w:rsidRPr="00FD424A">
        <w:rPr>
          <w:sz w:val="20"/>
          <w:szCs w:val="20"/>
          <w:vertAlign w:val="baseline"/>
          <w:lang w:val="en-US"/>
        </w:rPr>
        <w:t>&gt; accessed 23 September 2015</w:t>
      </w:r>
    </w:p>
  </w:footnote>
  <w:footnote w:id="1168">
    <w:p w14:paraId="0B014F75" w14:textId="3E770961" w:rsidR="00431A55" w:rsidRPr="00641DAC" w:rsidRDefault="00431A55" w:rsidP="008C3633">
      <w:pPr>
        <w:pStyle w:val="FootnoteText"/>
        <w:rPr>
          <w:sz w:val="20"/>
          <w:szCs w:val="20"/>
          <w:vertAlign w:val="baseline"/>
          <w:lang w:val="en-US"/>
        </w:rPr>
      </w:pPr>
      <w:r w:rsidRPr="00B07243">
        <w:rPr>
          <w:rStyle w:val="FootnoteReference"/>
          <w:sz w:val="20"/>
          <w:szCs w:val="20"/>
        </w:rPr>
        <w:footnoteRef/>
      </w:r>
      <w:r w:rsidRPr="00B07243">
        <w:rPr>
          <w:sz w:val="20"/>
          <w:szCs w:val="20"/>
        </w:rPr>
        <w:t xml:space="preserve"> </w:t>
      </w:r>
      <w:r w:rsidRPr="00641DAC">
        <w:rPr>
          <w:sz w:val="20"/>
          <w:szCs w:val="20"/>
          <w:shd w:val="clear" w:color="auto" w:fill="FFFFFF"/>
          <w:vertAlign w:val="baseline"/>
        </w:rPr>
        <w:t>Constitut</w:t>
      </w:r>
      <w:r>
        <w:rPr>
          <w:sz w:val="20"/>
          <w:szCs w:val="20"/>
          <w:shd w:val="clear" w:color="auto" w:fill="FFFFFF"/>
          <w:vertAlign w:val="baseline"/>
        </w:rPr>
        <w:t>ion of the Republic of Ghana (n 1110) Ch 5 Art</w:t>
      </w:r>
      <w:r w:rsidRPr="00641DAC">
        <w:rPr>
          <w:sz w:val="20"/>
          <w:szCs w:val="20"/>
          <w:shd w:val="clear" w:color="auto" w:fill="FFFFFF"/>
          <w:vertAlign w:val="baseline"/>
        </w:rPr>
        <w:t xml:space="preserve"> 26(2)</w:t>
      </w:r>
    </w:p>
  </w:footnote>
  <w:footnote w:id="1169">
    <w:p w14:paraId="4C51F26D" w14:textId="5B18D6F1" w:rsidR="00431A55" w:rsidRPr="006B4B07" w:rsidRDefault="00431A55" w:rsidP="008C3633">
      <w:pPr>
        <w:jc w:val="both"/>
        <w:rPr>
          <w:rFonts w:eastAsia="Times New Roman" w:cs="Times New Roman"/>
          <w:color w:val="000000"/>
          <w:vertAlign w:val="baseline"/>
        </w:rPr>
      </w:pPr>
      <w:r w:rsidRPr="00641DAC">
        <w:rPr>
          <w:rStyle w:val="FootnoteReference"/>
        </w:rPr>
        <w:footnoteRef/>
      </w:r>
      <w:r w:rsidRPr="00641DAC">
        <w:t xml:space="preserve"> </w:t>
      </w:r>
      <w:r>
        <w:rPr>
          <w:vertAlign w:val="baseline"/>
        </w:rPr>
        <w:t xml:space="preserve"> See Glossary Section, 15</w:t>
      </w:r>
    </w:p>
  </w:footnote>
  <w:footnote w:id="1170">
    <w:p w14:paraId="7ECE1EE7" w14:textId="689089D8" w:rsidR="00431A55" w:rsidRPr="00641DAC" w:rsidRDefault="00431A55" w:rsidP="008C3633">
      <w:pPr>
        <w:pStyle w:val="FootnoteText"/>
        <w:rPr>
          <w:sz w:val="20"/>
          <w:szCs w:val="20"/>
          <w:vertAlign w:val="baseline"/>
          <w:lang w:val="en-US"/>
        </w:rPr>
      </w:pPr>
      <w:r w:rsidRPr="00641DAC">
        <w:rPr>
          <w:rStyle w:val="FootnoteReference"/>
          <w:sz w:val="20"/>
          <w:szCs w:val="20"/>
        </w:rPr>
        <w:footnoteRef/>
      </w:r>
      <w:r w:rsidRPr="00641DAC">
        <w:rPr>
          <w:sz w:val="20"/>
          <w:szCs w:val="20"/>
        </w:rPr>
        <w:t xml:space="preserve"> </w:t>
      </w:r>
      <w:r w:rsidRPr="00641DAC">
        <w:rPr>
          <w:sz w:val="20"/>
          <w:szCs w:val="20"/>
          <w:vertAlign w:val="baseline"/>
          <w:lang w:val="en-US"/>
        </w:rPr>
        <w:t>Berhane Ras-Work, ‘Legislation to Address the Issue of Female Genital Mutilation’ (United Nations Division for the Advancement of Women, 21 May 2009) EGM/GPLHP/2009/EP.01, 9</w:t>
      </w:r>
    </w:p>
  </w:footnote>
  <w:footnote w:id="1171">
    <w:p w14:paraId="448485EB" w14:textId="4E652BEF" w:rsidR="00431A55" w:rsidRPr="00641DAC" w:rsidRDefault="00431A55" w:rsidP="008C3633">
      <w:pPr>
        <w:rPr>
          <w:rFonts w:eastAsia="Times New Roman" w:cs="Times New Roman"/>
          <w:vertAlign w:val="baseline"/>
        </w:rPr>
      </w:pPr>
      <w:r w:rsidRPr="00641DAC">
        <w:rPr>
          <w:rStyle w:val="FootnoteReference"/>
        </w:rPr>
        <w:footnoteRef/>
      </w:r>
      <w:r w:rsidRPr="00641DAC">
        <w:t xml:space="preserve"> </w:t>
      </w:r>
      <w:r w:rsidRPr="00641DAC">
        <w:rPr>
          <w:vertAlign w:val="baseline"/>
        </w:rPr>
        <w:t xml:space="preserve">Amended </w:t>
      </w:r>
      <w:r w:rsidRPr="00641DAC">
        <w:rPr>
          <w:vertAlign w:val="baseline"/>
          <w:lang w:val="en-US"/>
        </w:rPr>
        <w:t>Section 69A now states, ‘</w:t>
      </w:r>
      <w:r w:rsidRPr="00641DAC">
        <w:rPr>
          <w:rFonts w:eastAsia="Times New Roman" w:cs="Times New Roman"/>
          <w:vertAlign w:val="baseline"/>
        </w:rPr>
        <w:t>Whoever carries out female genital mutilation and excises, infibulates or otherwise mutilates the whole or any part of the labia minora, labia majora and the clitoris of another person commits an offence, and is liable on summary conviction to imprisonment for a term of not less than five years and not more than ten years. Whoever participates in or is concerned with a ritual or customary activity that subjects a person to female genital mutilation commits an offence and is liable on summary conviction to imprisonment for a term of not less than five ye</w:t>
      </w:r>
      <w:r>
        <w:rPr>
          <w:rFonts w:eastAsia="Times New Roman" w:cs="Times New Roman"/>
          <w:vertAlign w:val="baseline"/>
        </w:rPr>
        <w:t>ars and not more than ten years</w:t>
      </w:r>
      <w:r w:rsidRPr="00641DAC">
        <w:rPr>
          <w:rFonts w:eastAsia="Times New Roman" w:cs="Times New Roman"/>
          <w:vertAlign w:val="baseline"/>
        </w:rPr>
        <w:t>’</w:t>
      </w:r>
    </w:p>
  </w:footnote>
  <w:footnote w:id="1172">
    <w:p w14:paraId="2B1267E8" w14:textId="2A036B1A" w:rsidR="00431A55" w:rsidRPr="00641DAC" w:rsidRDefault="00431A55" w:rsidP="008C3633">
      <w:pPr>
        <w:pStyle w:val="FootnoteText"/>
        <w:rPr>
          <w:sz w:val="20"/>
          <w:szCs w:val="20"/>
          <w:vertAlign w:val="baseline"/>
          <w:lang w:val="en-US"/>
        </w:rPr>
      </w:pPr>
      <w:r w:rsidRPr="00641DAC">
        <w:rPr>
          <w:rStyle w:val="FootnoteReference"/>
          <w:sz w:val="20"/>
          <w:szCs w:val="20"/>
        </w:rPr>
        <w:footnoteRef/>
      </w:r>
      <w:r w:rsidRPr="00641DAC">
        <w:rPr>
          <w:sz w:val="20"/>
          <w:szCs w:val="20"/>
        </w:rPr>
        <w:t xml:space="preserve"> </w:t>
      </w:r>
      <w:r>
        <w:rPr>
          <w:sz w:val="20"/>
          <w:szCs w:val="20"/>
          <w:vertAlign w:val="baseline"/>
          <w:lang w:val="en-US"/>
        </w:rPr>
        <w:t xml:space="preserve">Ras-Work (n 1170) </w:t>
      </w:r>
      <w:r w:rsidRPr="00641DAC">
        <w:rPr>
          <w:sz w:val="20"/>
          <w:szCs w:val="20"/>
          <w:vertAlign w:val="baseline"/>
          <w:lang w:val="en-US"/>
        </w:rPr>
        <w:t>10</w:t>
      </w:r>
    </w:p>
  </w:footnote>
  <w:footnote w:id="1173">
    <w:p w14:paraId="7C28F975" w14:textId="77777777" w:rsidR="00431A55" w:rsidRPr="0035063C" w:rsidRDefault="00431A55" w:rsidP="008C3633">
      <w:pPr>
        <w:pStyle w:val="FootnoteText"/>
        <w:rPr>
          <w:lang w:val="en-US"/>
        </w:rPr>
      </w:pPr>
      <w:r w:rsidRPr="00641DAC">
        <w:rPr>
          <w:rStyle w:val="FootnoteReference"/>
          <w:sz w:val="20"/>
          <w:szCs w:val="20"/>
        </w:rPr>
        <w:footnoteRef/>
      </w:r>
      <w:r w:rsidRPr="00641DAC">
        <w:rPr>
          <w:sz w:val="20"/>
          <w:szCs w:val="20"/>
        </w:rPr>
        <w:t xml:space="preserve"> </w:t>
      </w:r>
      <w:r w:rsidRPr="00641DAC">
        <w:rPr>
          <w:sz w:val="20"/>
          <w:szCs w:val="20"/>
          <w:vertAlign w:val="baseline"/>
        </w:rPr>
        <w:t>E.K. Quansah, ‘Religion, Democracy and Civil Society: The case of ‘witches’ in Ghana’ (2012) International Centre for Law and Religion Studies &lt;</w:t>
      </w:r>
      <w:hyperlink r:id="rId134" w:history="1">
        <w:r w:rsidRPr="00641DAC">
          <w:rPr>
            <w:rStyle w:val="Hyperlink"/>
            <w:sz w:val="20"/>
            <w:szCs w:val="20"/>
            <w:vertAlign w:val="baseline"/>
          </w:rPr>
          <w:t>http://www.iclrs.org/content/events/26/510.pdf</w:t>
        </w:r>
      </w:hyperlink>
      <w:r w:rsidRPr="00641DAC">
        <w:rPr>
          <w:sz w:val="20"/>
          <w:szCs w:val="20"/>
          <w:vertAlign w:val="baseline"/>
        </w:rPr>
        <w:t xml:space="preserve">&gt; accessed 20 August 2015; Abamfo Ofori Atiemo, </w:t>
      </w:r>
      <w:r w:rsidRPr="00641DAC">
        <w:rPr>
          <w:i/>
          <w:sz w:val="20"/>
          <w:szCs w:val="20"/>
          <w:vertAlign w:val="baseline"/>
        </w:rPr>
        <w:t xml:space="preserve">Religion and the Inculturation of Human Rights in Ghana </w:t>
      </w:r>
      <w:r w:rsidRPr="00641DAC">
        <w:rPr>
          <w:sz w:val="20"/>
          <w:szCs w:val="20"/>
          <w:vertAlign w:val="baseline"/>
        </w:rPr>
        <w:t xml:space="preserve">(A&amp;C Black, 2013) 141; Ann R Taket, </w:t>
      </w:r>
      <w:r w:rsidRPr="00641DAC">
        <w:rPr>
          <w:i/>
          <w:sz w:val="20"/>
          <w:szCs w:val="20"/>
          <w:vertAlign w:val="baseline"/>
        </w:rPr>
        <w:t>Health Equity, Social Justice and Human Rights</w:t>
      </w:r>
      <w:r w:rsidRPr="00641DAC">
        <w:rPr>
          <w:sz w:val="20"/>
          <w:szCs w:val="20"/>
          <w:vertAlign w:val="baseline"/>
        </w:rPr>
        <w:t xml:space="preserve"> (Routledge, 2012) 59</w:t>
      </w:r>
    </w:p>
  </w:footnote>
  <w:footnote w:id="1174">
    <w:p w14:paraId="4AF6F6F6" w14:textId="77777777" w:rsidR="00431A55" w:rsidRPr="00325F0E" w:rsidRDefault="00431A55" w:rsidP="008C3633">
      <w:pPr>
        <w:pStyle w:val="FootnoteText"/>
        <w:rPr>
          <w:sz w:val="20"/>
          <w:szCs w:val="20"/>
          <w:vertAlign w:val="baseline"/>
          <w:lang w:val="en-US"/>
        </w:rPr>
      </w:pPr>
      <w:r w:rsidRPr="00325F0E">
        <w:rPr>
          <w:rStyle w:val="FootnoteReference"/>
          <w:sz w:val="20"/>
          <w:szCs w:val="20"/>
        </w:rPr>
        <w:footnoteRef/>
      </w:r>
      <w:r w:rsidRPr="00325F0E">
        <w:rPr>
          <w:sz w:val="20"/>
          <w:szCs w:val="20"/>
        </w:rPr>
        <w:t xml:space="preserve"> </w:t>
      </w:r>
      <w:r w:rsidRPr="00325F0E">
        <w:rPr>
          <w:sz w:val="20"/>
          <w:szCs w:val="20"/>
          <w:vertAlign w:val="baseline"/>
          <w:lang w:val="en-US"/>
        </w:rPr>
        <w:t>National Portal of India, ‘Constitution of India’ &lt;</w:t>
      </w:r>
      <w:hyperlink r:id="rId135" w:history="1">
        <w:r w:rsidRPr="00325F0E">
          <w:rPr>
            <w:rStyle w:val="Hyperlink"/>
            <w:sz w:val="20"/>
            <w:szCs w:val="20"/>
            <w:vertAlign w:val="baseline"/>
            <w:lang w:val="en-US"/>
          </w:rPr>
          <w:t>http://india.gov.in/my-government/constitution-india</w:t>
        </w:r>
      </w:hyperlink>
      <w:r w:rsidRPr="00325F0E">
        <w:rPr>
          <w:sz w:val="20"/>
          <w:szCs w:val="20"/>
          <w:vertAlign w:val="baseline"/>
          <w:lang w:val="en-US"/>
        </w:rPr>
        <w:t>&gt; accessed 25 August 2015</w:t>
      </w:r>
    </w:p>
  </w:footnote>
  <w:footnote w:id="1175">
    <w:p w14:paraId="7F6D2623" w14:textId="77777777" w:rsidR="00431A55" w:rsidRPr="00325F0E" w:rsidRDefault="00431A55" w:rsidP="008C3633">
      <w:pPr>
        <w:pStyle w:val="FootnoteText"/>
        <w:rPr>
          <w:sz w:val="20"/>
          <w:szCs w:val="20"/>
          <w:vertAlign w:val="baseline"/>
          <w:lang w:val="en-US"/>
        </w:rPr>
      </w:pPr>
      <w:r w:rsidRPr="00325F0E">
        <w:rPr>
          <w:rStyle w:val="FootnoteReference"/>
          <w:sz w:val="20"/>
          <w:szCs w:val="20"/>
        </w:rPr>
        <w:footnoteRef/>
      </w:r>
      <w:r w:rsidRPr="00325F0E">
        <w:rPr>
          <w:sz w:val="20"/>
          <w:szCs w:val="20"/>
        </w:rPr>
        <w:t xml:space="preserve"> </w:t>
      </w:r>
      <w:r w:rsidRPr="00325F0E">
        <w:rPr>
          <w:sz w:val="20"/>
          <w:szCs w:val="20"/>
          <w:vertAlign w:val="baseline"/>
          <w:lang w:val="en-US"/>
        </w:rPr>
        <w:t>Vijay Jaiswal, ‘Main Features of Indian Constitution’ (</w:t>
      </w:r>
      <w:r w:rsidRPr="00325F0E">
        <w:rPr>
          <w:i/>
          <w:sz w:val="20"/>
          <w:szCs w:val="20"/>
          <w:vertAlign w:val="baseline"/>
          <w:lang w:val="en-US"/>
        </w:rPr>
        <w:t xml:space="preserve">Important India, </w:t>
      </w:r>
      <w:r w:rsidRPr="00325F0E">
        <w:rPr>
          <w:sz w:val="20"/>
          <w:szCs w:val="20"/>
          <w:vertAlign w:val="baseline"/>
          <w:lang w:val="en-US"/>
        </w:rPr>
        <w:t>24 August 2013) &lt;</w:t>
      </w:r>
      <w:hyperlink r:id="rId136" w:history="1">
        <w:r w:rsidRPr="00325F0E">
          <w:rPr>
            <w:rStyle w:val="Hyperlink"/>
            <w:sz w:val="20"/>
            <w:szCs w:val="20"/>
            <w:vertAlign w:val="baseline"/>
            <w:lang w:val="en-US"/>
          </w:rPr>
          <w:t>http://www.importantindia.com/1986/main-features-of-indian-constitution/</w:t>
        </w:r>
      </w:hyperlink>
      <w:r w:rsidRPr="00325F0E">
        <w:rPr>
          <w:sz w:val="20"/>
          <w:szCs w:val="20"/>
          <w:vertAlign w:val="baseline"/>
          <w:lang w:val="en-US"/>
        </w:rPr>
        <w:t>&gt; accessed 25 August 2015</w:t>
      </w:r>
    </w:p>
  </w:footnote>
  <w:footnote w:id="1176">
    <w:p w14:paraId="195D06B3" w14:textId="77777777" w:rsidR="00431A55" w:rsidRPr="00325F0E" w:rsidRDefault="00431A55" w:rsidP="008C3633">
      <w:pPr>
        <w:pStyle w:val="FootnoteText"/>
        <w:rPr>
          <w:sz w:val="20"/>
          <w:szCs w:val="20"/>
          <w:vertAlign w:val="baseline"/>
          <w:lang w:val="en-US"/>
        </w:rPr>
      </w:pPr>
      <w:r w:rsidRPr="00325F0E">
        <w:rPr>
          <w:rStyle w:val="FootnoteReference"/>
          <w:sz w:val="20"/>
          <w:szCs w:val="20"/>
        </w:rPr>
        <w:footnoteRef/>
      </w:r>
      <w:r w:rsidRPr="00325F0E">
        <w:rPr>
          <w:sz w:val="20"/>
          <w:szCs w:val="20"/>
          <w:vertAlign w:val="baseline"/>
        </w:rPr>
        <w:t xml:space="preserve"> </w:t>
      </w:r>
      <w:r w:rsidRPr="00325F0E">
        <w:rPr>
          <w:sz w:val="20"/>
          <w:szCs w:val="20"/>
          <w:vertAlign w:val="baseline"/>
          <w:lang w:val="en-US"/>
        </w:rPr>
        <w:t>Zoya Hasan, ‘Diversity and Democracy in India’ (Discussion paper, 9th EU-India Round Table, European Economic and Social Committee, 18 September 2005) 2 &lt;</w:t>
      </w:r>
      <w:hyperlink r:id="rId137" w:history="1">
        <w:r w:rsidRPr="00325F0E">
          <w:rPr>
            <w:rStyle w:val="Hyperlink"/>
            <w:sz w:val="20"/>
            <w:szCs w:val="20"/>
            <w:vertAlign w:val="baseline"/>
            <w:lang w:val="en-US"/>
          </w:rPr>
          <w:t>http://www.eesc.europa.eu/?i=portal.en.eu-india-ninth-round-table-reports.5148</w:t>
        </w:r>
      </w:hyperlink>
      <w:r w:rsidRPr="00325F0E">
        <w:rPr>
          <w:sz w:val="20"/>
          <w:szCs w:val="20"/>
          <w:vertAlign w:val="baseline"/>
          <w:lang w:val="en-US"/>
        </w:rPr>
        <w:t>&gt; accessed 25 August 2015</w:t>
      </w:r>
    </w:p>
  </w:footnote>
  <w:footnote w:id="1177">
    <w:p w14:paraId="20D6CFC7" w14:textId="3342C30C" w:rsidR="00431A55" w:rsidRPr="00325F0E" w:rsidRDefault="00431A55" w:rsidP="008C3633">
      <w:pPr>
        <w:pStyle w:val="FootnoteText"/>
        <w:rPr>
          <w:sz w:val="20"/>
          <w:szCs w:val="20"/>
          <w:vertAlign w:val="baseline"/>
          <w:lang w:val="en-US"/>
        </w:rPr>
      </w:pPr>
      <w:r w:rsidRPr="00325F0E">
        <w:rPr>
          <w:rStyle w:val="FootnoteReference"/>
          <w:sz w:val="20"/>
          <w:szCs w:val="20"/>
        </w:rPr>
        <w:footnoteRef/>
      </w:r>
      <w:r w:rsidRPr="00325F0E">
        <w:rPr>
          <w:sz w:val="20"/>
          <w:szCs w:val="20"/>
        </w:rPr>
        <w:t xml:space="preserve"> </w:t>
      </w:r>
      <w:r w:rsidRPr="00325F0E">
        <w:rPr>
          <w:sz w:val="20"/>
          <w:szCs w:val="20"/>
          <w:vertAlign w:val="baseline"/>
          <w:lang w:val="en-US"/>
        </w:rPr>
        <w:t>Constitution of India 1949</w:t>
      </w:r>
      <w:r>
        <w:rPr>
          <w:sz w:val="20"/>
          <w:szCs w:val="20"/>
          <w:vertAlign w:val="baseline"/>
          <w:lang w:val="en-US"/>
        </w:rPr>
        <w:t xml:space="preserve"> </w:t>
      </w:r>
      <w:r w:rsidRPr="00325F0E">
        <w:rPr>
          <w:sz w:val="20"/>
          <w:szCs w:val="20"/>
          <w:vertAlign w:val="baseline"/>
        </w:rPr>
        <w:t xml:space="preserve">Part XI, </w:t>
      </w:r>
      <w:r>
        <w:rPr>
          <w:sz w:val="20"/>
          <w:szCs w:val="20"/>
          <w:vertAlign w:val="baseline"/>
          <w:lang w:val="en-US"/>
        </w:rPr>
        <w:t>Art</w:t>
      </w:r>
      <w:r w:rsidRPr="00325F0E">
        <w:rPr>
          <w:sz w:val="20"/>
          <w:szCs w:val="20"/>
          <w:vertAlign w:val="baseline"/>
          <w:lang w:val="en-US"/>
        </w:rPr>
        <w:t xml:space="preserve"> 245(1) </w:t>
      </w:r>
    </w:p>
  </w:footnote>
  <w:footnote w:id="1178">
    <w:p w14:paraId="6BEDDB75" w14:textId="50488FC7" w:rsidR="00431A55" w:rsidRPr="00325F0E" w:rsidRDefault="00431A55" w:rsidP="008C3633">
      <w:pPr>
        <w:pStyle w:val="FootnoteText"/>
        <w:rPr>
          <w:sz w:val="20"/>
          <w:szCs w:val="20"/>
          <w:vertAlign w:val="baseline"/>
          <w:lang w:val="en-US"/>
        </w:rPr>
      </w:pPr>
      <w:r w:rsidRPr="00325F0E">
        <w:rPr>
          <w:rStyle w:val="FootnoteReference"/>
          <w:sz w:val="20"/>
          <w:szCs w:val="20"/>
        </w:rPr>
        <w:footnoteRef/>
      </w:r>
      <w:r w:rsidRPr="00325F0E">
        <w:rPr>
          <w:sz w:val="20"/>
          <w:szCs w:val="20"/>
        </w:rPr>
        <w:t xml:space="preserve"> </w:t>
      </w:r>
      <w:r>
        <w:rPr>
          <w:sz w:val="20"/>
          <w:szCs w:val="20"/>
          <w:vertAlign w:val="baseline"/>
          <w:lang w:val="en-US"/>
        </w:rPr>
        <w:t>ibid, Part XI, Art 251</w:t>
      </w:r>
    </w:p>
  </w:footnote>
  <w:footnote w:id="1179">
    <w:p w14:paraId="1F09135D" w14:textId="77777777" w:rsidR="00431A55" w:rsidRPr="000B2956" w:rsidRDefault="00431A55" w:rsidP="008C3633">
      <w:pPr>
        <w:rPr>
          <w:rFonts w:ascii="Times" w:eastAsia="Times New Roman" w:hAnsi="Times" w:cs="Times New Roman"/>
        </w:rPr>
      </w:pPr>
      <w:r w:rsidRPr="00325F0E">
        <w:rPr>
          <w:rStyle w:val="FootnoteReference"/>
        </w:rPr>
        <w:footnoteRef/>
      </w:r>
      <w:r w:rsidRPr="00325F0E">
        <w:t xml:space="preserve"> </w:t>
      </w:r>
      <w:r w:rsidRPr="00325F0E">
        <w:rPr>
          <w:vertAlign w:val="baseline"/>
        </w:rPr>
        <w:t>Constitution of India, adopted on 26 November 1949, entering into force 26 January 1950. Part III, Article 15(1)</w:t>
      </w:r>
    </w:p>
  </w:footnote>
  <w:footnote w:id="1180">
    <w:p w14:paraId="3A389401" w14:textId="77777777" w:rsidR="00431A55" w:rsidRPr="000011DC" w:rsidRDefault="00431A55" w:rsidP="008C3633">
      <w:pPr>
        <w:pStyle w:val="FootnoteText"/>
        <w:rPr>
          <w:sz w:val="20"/>
          <w:szCs w:val="20"/>
          <w:vertAlign w:val="baseline"/>
          <w:lang w:val="en-US"/>
        </w:rPr>
      </w:pPr>
      <w:r w:rsidRPr="000011DC">
        <w:rPr>
          <w:rStyle w:val="FootnoteReference"/>
          <w:sz w:val="20"/>
          <w:szCs w:val="20"/>
        </w:rPr>
        <w:footnoteRef/>
      </w:r>
      <w:r w:rsidRPr="000011DC">
        <w:rPr>
          <w:sz w:val="20"/>
          <w:szCs w:val="20"/>
        </w:rPr>
        <w:t xml:space="preserve"> </w:t>
      </w:r>
      <w:r w:rsidRPr="000011DC">
        <w:rPr>
          <w:sz w:val="20"/>
          <w:szCs w:val="20"/>
          <w:vertAlign w:val="baseline"/>
          <w:lang w:val="en-US"/>
        </w:rPr>
        <w:t>Divya Vikram, ‘India’s Response Against the Act of Torture’ (</w:t>
      </w:r>
      <w:r w:rsidRPr="000011DC">
        <w:rPr>
          <w:i/>
          <w:sz w:val="20"/>
          <w:szCs w:val="20"/>
          <w:vertAlign w:val="baseline"/>
          <w:lang w:val="en-US"/>
        </w:rPr>
        <w:t>Law Resource India,</w:t>
      </w:r>
      <w:r w:rsidRPr="000011DC">
        <w:rPr>
          <w:sz w:val="20"/>
          <w:szCs w:val="20"/>
          <w:vertAlign w:val="baseline"/>
          <w:lang w:val="en-US"/>
        </w:rPr>
        <w:t xml:space="preserve"> 22 July 2010) &lt;</w:t>
      </w:r>
      <w:hyperlink r:id="rId138" w:history="1">
        <w:r w:rsidRPr="000011DC">
          <w:rPr>
            <w:rStyle w:val="Hyperlink"/>
            <w:sz w:val="20"/>
            <w:szCs w:val="20"/>
            <w:vertAlign w:val="baseline"/>
            <w:lang w:val="en-US"/>
          </w:rPr>
          <w:t>https://indialawyers.wordpress.com/2010/07/22/india%E2%80%99s-response-against-the-act-of-torture/</w:t>
        </w:r>
      </w:hyperlink>
      <w:r w:rsidRPr="000011DC">
        <w:rPr>
          <w:sz w:val="20"/>
          <w:szCs w:val="20"/>
          <w:vertAlign w:val="baseline"/>
          <w:lang w:val="en-US"/>
        </w:rPr>
        <w:t>&gt; accessed 30 September 2015</w:t>
      </w:r>
    </w:p>
  </w:footnote>
  <w:footnote w:id="1181">
    <w:p w14:paraId="2792AD33" w14:textId="713F36B3" w:rsidR="00431A55" w:rsidRPr="000011DC" w:rsidRDefault="00431A55" w:rsidP="008C3633">
      <w:pPr>
        <w:pStyle w:val="FootnoteText"/>
        <w:rPr>
          <w:sz w:val="20"/>
          <w:szCs w:val="20"/>
          <w:vertAlign w:val="baseline"/>
          <w:lang w:val="en-US"/>
        </w:rPr>
      </w:pPr>
      <w:r w:rsidRPr="000011DC">
        <w:rPr>
          <w:rStyle w:val="FootnoteReference"/>
          <w:sz w:val="20"/>
          <w:szCs w:val="20"/>
        </w:rPr>
        <w:footnoteRef/>
      </w:r>
      <w:r w:rsidRPr="000011DC">
        <w:rPr>
          <w:sz w:val="20"/>
          <w:szCs w:val="20"/>
          <w:vertAlign w:val="baseline"/>
        </w:rPr>
        <w:t xml:space="preserve"> </w:t>
      </w:r>
      <w:r w:rsidRPr="000011DC">
        <w:rPr>
          <w:sz w:val="20"/>
          <w:szCs w:val="20"/>
          <w:vertAlign w:val="baseline"/>
          <w:lang w:val="en-US"/>
        </w:rPr>
        <w:t xml:space="preserve"> Constitution of India 1949</w:t>
      </w:r>
      <w:r>
        <w:rPr>
          <w:sz w:val="20"/>
          <w:szCs w:val="20"/>
          <w:vertAlign w:val="baseline"/>
          <w:lang w:val="en-US"/>
        </w:rPr>
        <w:t xml:space="preserve"> Art</w:t>
      </w:r>
      <w:r w:rsidRPr="000011DC">
        <w:rPr>
          <w:sz w:val="20"/>
          <w:szCs w:val="20"/>
          <w:vertAlign w:val="baseline"/>
          <w:lang w:val="en-US"/>
        </w:rPr>
        <w:t xml:space="preserve"> 13(a) </w:t>
      </w:r>
    </w:p>
  </w:footnote>
  <w:footnote w:id="1182">
    <w:p w14:paraId="410B5844" w14:textId="77777777" w:rsidR="00431A55" w:rsidRPr="000011DC" w:rsidRDefault="00431A55" w:rsidP="008C3633">
      <w:pPr>
        <w:pStyle w:val="FootnoteText"/>
        <w:rPr>
          <w:sz w:val="20"/>
          <w:szCs w:val="20"/>
          <w:vertAlign w:val="baseline"/>
          <w:lang w:val="en-US"/>
        </w:rPr>
      </w:pPr>
      <w:r w:rsidRPr="000011DC">
        <w:rPr>
          <w:rStyle w:val="FootnoteReference"/>
          <w:sz w:val="20"/>
          <w:szCs w:val="20"/>
        </w:rPr>
        <w:footnoteRef/>
      </w:r>
      <w:r w:rsidRPr="000011DC">
        <w:rPr>
          <w:sz w:val="20"/>
          <w:szCs w:val="20"/>
        </w:rPr>
        <w:t xml:space="preserve"> </w:t>
      </w:r>
      <w:r w:rsidRPr="000011DC">
        <w:rPr>
          <w:sz w:val="20"/>
          <w:szCs w:val="20"/>
          <w:vertAlign w:val="baseline"/>
          <w:lang w:val="en-US"/>
        </w:rPr>
        <w:t xml:space="preserve">Tariq Ahmed as quoted in Jiunn-Rong Yeh and Weh-Chen Chang (eds) </w:t>
      </w:r>
      <w:r w:rsidRPr="000011DC">
        <w:rPr>
          <w:i/>
          <w:sz w:val="20"/>
          <w:szCs w:val="20"/>
          <w:vertAlign w:val="baseline"/>
          <w:lang w:val="en-US"/>
        </w:rPr>
        <w:t xml:space="preserve">Asian Courts in Context </w:t>
      </w:r>
      <w:r w:rsidRPr="000011DC">
        <w:rPr>
          <w:sz w:val="20"/>
          <w:szCs w:val="20"/>
          <w:vertAlign w:val="baseline"/>
          <w:lang w:val="en-US"/>
        </w:rPr>
        <w:t>(Cambridge University Press 2015) 288</w:t>
      </w:r>
    </w:p>
  </w:footnote>
  <w:footnote w:id="1183">
    <w:p w14:paraId="6B460144" w14:textId="77777777" w:rsidR="00431A55" w:rsidRPr="000D0676" w:rsidRDefault="00431A55" w:rsidP="008C3633">
      <w:pPr>
        <w:pStyle w:val="FootnoteText"/>
        <w:rPr>
          <w:lang w:val="en-US"/>
        </w:rPr>
      </w:pPr>
      <w:r w:rsidRPr="000011DC">
        <w:rPr>
          <w:rStyle w:val="FootnoteReference"/>
          <w:sz w:val="20"/>
          <w:szCs w:val="20"/>
        </w:rPr>
        <w:footnoteRef/>
      </w:r>
      <w:r w:rsidRPr="000011DC">
        <w:rPr>
          <w:sz w:val="20"/>
          <w:szCs w:val="20"/>
        </w:rPr>
        <w:t xml:space="preserve"> </w:t>
      </w:r>
      <w:r w:rsidRPr="000011DC">
        <w:rPr>
          <w:sz w:val="20"/>
          <w:szCs w:val="20"/>
          <w:vertAlign w:val="baseline"/>
          <w:lang w:val="en-US"/>
        </w:rPr>
        <w:t xml:space="preserve">Jayanth K. Krishnan, ‘The significance of judicial power in India’ in Jiunn-Rong Yeh and Weh-Chen Chang (eds) </w:t>
      </w:r>
      <w:r w:rsidRPr="000011DC">
        <w:rPr>
          <w:i/>
          <w:sz w:val="20"/>
          <w:szCs w:val="20"/>
          <w:vertAlign w:val="baseline"/>
          <w:lang w:val="en-US"/>
        </w:rPr>
        <w:t xml:space="preserve">Asian Courts in Context </w:t>
      </w:r>
      <w:r w:rsidRPr="000011DC">
        <w:rPr>
          <w:sz w:val="20"/>
          <w:szCs w:val="20"/>
          <w:vertAlign w:val="baseline"/>
          <w:lang w:val="en-US"/>
        </w:rPr>
        <w:t>(Cambridge University Press 2015) 288-290</w:t>
      </w:r>
    </w:p>
  </w:footnote>
  <w:footnote w:id="1184">
    <w:p w14:paraId="77AB825D" w14:textId="77777777" w:rsidR="00431A55" w:rsidRPr="00D74968" w:rsidRDefault="00431A55" w:rsidP="008C3633">
      <w:pPr>
        <w:pStyle w:val="FootnoteText"/>
        <w:rPr>
          <w:sz w:val="20"/>
          <w:szCs w:val="20"/>
          <w:vertAlign w:val="baseline"/>
          <w:lang w:val="en-US"/>
        </w:rPr>
      </w:pPr>
      <w:r w:rsidRPr="00D74968">
        <w:rPr>
          <w:rStyle w:val="FootnoteReference"/>
          <w:sz w:val="20"/>
          <w:szCs w:val="20"/>
        </w:rPr>
        <w:footnoteRef/>
      </w:r>
      <w:r w:rsidRPr="00D74968">
        <w:rPr>
          <w:sz w:val="20"/>
          <w:szCs w:val="20"/>
        </w:rPr>
        <w:t xml:space="preserve"> </w:t>
      </w:r>
      <w:r w:rsidRPr="00D74968">
        <w:rPr>
          <w:sz w:val="20"/>
          <w:szCs w:val="20"/>
          <w:vertAlign w:val="baseline"/>
        </w:rPr>
        <w:t xml:space="preserve">Manisha Desai, ‘Legal Pluralism Versus a Uniform Civil Code: The Continuing Debates in India’ in Kenneth M. Curo (ed) </w:t>
      </w:r>
      <w:r w:rsidRPr="00D74968">
        <w:rPr>
          <w:i/>
          <w:sz w:val="20"/>
          <w:szCs w:val="20"/>
          <w:vertAlign w:val="baseline"/>
        </w:rPr>
        <w:t>Family, Gender and Law in a Globalizing Middle East and South Asia</w:t>
      </w:r>
      <w:r w:rsidRPr="00D74968">
        <w:rPr>
          <w:sz w:val="20"/>
          <w:szCs w:val="20"/>
          <w:vertAlign w:val="baseline"/>
        </w:rPr>
        <w:t xml:space="preserve"> (Syracuse University Press, 2009) 86 </w:t>
      </w:r>
    </w:p>
  </w:footnote>
  <w:footnote w:id="1185">
    <w:p w14:paraId="09B522F3" w14:textId="414F898F" w:rsidR="00431A55" w:rsidRPr="00D74968" w:rsidRDefault="00431A55" w:rsidP="008C3633">
      <w:pPr>
        <w:pStyle w:val="FootnoteText"/>
        <w:rPr>
          <w:sz w:val="20"/>
          <w:szCs w:val="20"/>
          <w:vertAlign w:val="baseline"/>
          <w:lang w:val="en-US"/>
        </w:rPr>
      </w:pPr>
      <w:r w:rsidRPr="00D74968">
        <w:rPr>
          <w:rStyle w:val="FootnoteReference"/>
          <w:sz w:val="20"/>
          <w:szCs w:val="20"/>
        </w:rPr>
        <w:footnoteRef/>
      </w:r>
      <w:r w:rsidRPr="00D74968">
        <w:rPr>
          <w:sz w:val="20"/>
          <w:szCs w:val="20"/>
        </w:rPr>
        <w:t xml:space="preserve"> </w:t>
      </w:r>
      <w:r>
        <w:rPr>
          <w:sz w:val="20"/>
          <w:szCs w:val="20"/>
          <w:vertAlign w:val="baseline"/>
          <w:lang w:val="en-US"/>
        </w:rPr>
        <w:t xml:space="preserve">Hasan (n 1176) </w:t>
      </w:r>
      <w:r w:rsidRPr="00D74968">
        <w:rPr>
          <w:sz w:val="20"/>
          <w:szCs w:val="20"/>
          <w:vertAlign w:val="baseline"/>
          <w:lang w:val="en-US"/>
        </w:rPr>
        <w:t>3</w:t>
      </w:r>
    </w:p>
  </w:footnote>
  <w:footnote w:id="1186">
    <w:p w14:paraId="050A6CD1" w14:textId="420B86B6" w:rsidR="00431A55" w:rsidRPr="00D74968" w:rsidRDefault="00431A55" w:rsidP="008C3633">
      <w:pPr>
        <w:pStyle w:val="FootnoteText"/>
        <w:rPr>
          <w:sz w:val="20"/>
          <w:szCs w:val="20"/>
          <w:vertAlign w:val="baseline"/>
          <w:lang w:val="en-US"/>
        </w:rPr>
      </w:pPr>
      <w:r w:rsidRPr="00D74968">
        <w:rPr>
          <w:rStyle w:val="FootnoteReference"/>
          <w:sz w:val="20"/>
          <w:szCs w:val="20"/>
        </w:rPr>
        <w:footnoteRef/>
      </w:r>
      <w:r w:rsidRPr="00D74968">
        <w:rPr>
          <w:sz w:val="20"/>
          <w:szCs w:val="20"/>
        </w:rPr>
        <w:t xml:space="preserve"> </w:t>
      </w:r>
      <w:r w:rsidRPr="00D74968">
        <w:rPr>
          <w:sz w:val="20"/>
          <w:szCs w:val="20"/>
          <w:vertAlign w:val="baseline"/>
          <w:lang w:val="en-US"/>
        </w:rPr>
        <w:t>Krishnan</w:t>
      </w:r>
      <w:r>
        <w:rPr>
          <w:sz w:val="20"/>
          <w:szCs w:val="20"/>
          <w:vertAlign w:val="baseline"/>
          <w:lang w:val="en-US"/>
        </w:rPr>
        <w:t xml:space="preserve"> (n 1183) </w:t>
      </w:r>
      <w:r w:rsidRPr="00D74968">
        <w:rPr>
          <w:sz w:val="20"/>
          <w:szCs w:val="20"/>
          <w:vertAlign w:val="baseline"/>
          <w:lang w:val="en-US"/>
        </w:rPr>
        <w:t>290</w:t>
      </w:r>
    </w:p>
  </w:footnote>
  <w:footnote w:id="1187">
    <w:p w14:paraId="7BFD4BAA" w14:textId="6156F211" w:rsidR="00431A55" w:rsidRPr="00D74968" w:rsidRDefault="00431A55" w:rsidP="008C3633">
      <w:pPr>
        <w:pStyle w:val="FootnoteText"/>
        <w:rPr>
          <w:sz w:val="20"/>
          <w:szCs w:val="20"/>
          <w:vertAlign w:val="baseline"/>
          <w:lang w:val="en-US"/>
        </w:rPr>
      </w:pPr>
      <w:r w:rsidRPr="00D74968">
        <w:rPr>
          <w:rStyle w:val="FootnoteReference"/>
          <w:sz w:val="20"/>
          <w:szCs w:val="20"/>
        </w:rPr>
        <w:footnoteRef/>
      </w:r>
      <w:r w:rsidRPr="00D74968">
        <w:rPr>
          <w:sz w:val="20"/>
          <w:szCs w:val="20"/>
        </w:rPr>
        <w:t xml:space="preserve"> </w:t>
      </w:r>
      <w:r w:rsidRPr="00D74968">
        <w:rPr>
          <w:sz w:val="20"/>
          <w:szCs w:val="20"/>
          <w:vertAlign w:val="baseline"/>
          <w:lang w:val="en-US"/>
        </w:rPr>
        <w:t>Ghosh</w:t>
      </w:r>
      <w:r>
        <w:rPr>
          <w:sz w:val="20"/>
          <w:szCs w:val="20"/>
          <w:vertAlign w:val="baseline"/>
          <w:lang w:val="en-US"/>
        </w:rPr>
        <w:t xml:space="preserve"> (n 1088) </w:t>
      </w:r>
      <w:r w:rsidRPr="00D74968">
        <w:rPr>
          <w:sz w:val="20"/>
          <w:szCs w:val="20"/>
          <w:vertAlign w:val="baseline"/>
          <w:lang w:val="en-US"/>
        </w:rPr>
        <w:t>9</w:t>
      </w:r>
    </w:p>
  </w:footnote>
  <w:footnote w:id="1188">
    <w:p w14:paraId="3F4CAC5F" w14:textId="212B695C" w:rsidR="00431A55" w:rsidRPr="00FA36BE" w:rsidRDefault="00431A55" w:rsidP="008C3633">
      <w:pPr>
        <w:pStyle w:val="FootnoteText"/>
        <w:rPr>
          <w:lang w:val="en-US"/>
        </w:rPr>
      </w:pPr>
      <w:r w:rsidRPr="00D74968">
        <w:rPr>
          <w:rStyle w:val="FootnoteReference"/>
          <w:sz w:val="20"/>
          <w:szCs w:val="20"/>
        </w:rPr>
        <w:footnoteRef/>
      </w:r>
      <w:r w:rsidRPr="00D74968">
        <w:rPr>
          <w:sz w:val="20"/>
          <w:szCs w:val="20"/>
          <w:vertAlign w:val="baseline"/>
        </w:rPr>
        <w:t xml:space="preserve"> </w:t>
      </w:r>
      <w:r>
        <w:rPr>
          <w:sz w:val="20"/>
          <w:szCs w:val="20"/>
          <w:vertAlign w:val="baseline"/>
          <w:lang w:val="en-US"/>
        </w:rPr>
        <w:t>ibid</w:t>
      </w:r>
      <w:r w:rsidRPr="00D74968">
        <w:rPr>
          <w:sz w:val="20"/>
          <w:szCs w:val="20"/>
          <w:vertAlign w:val="baseline"/>
          <w:lang w:val="en-US"/>
        </w:rPr>
        <w:t xml:space="preserve"> 10</w:t>
      </w:r>
    </w:p>
  </w:footnote>
  <w:footnote w:id="1189">
    <w:p w14:paraId="7B7D9CD6" w14:textId="521E3739" w:rsidR="00431A55" w:rsidRPr="00A32853" w:rsidRDefault="00431A55" w:rsidP="008C3633">
      <w:pPr>
        <w:pStyle w:val="FootnoteText"/>
        <w:rPr>
          <w:sz w:val="20"/>
          <w:szCs w:val="20"/>
          <w:vertAlign w:val="baseline"/>
          <w:lang w:val="en-US"/>
        </w:rPr>
      </w:pPr>
      <w:r w:rsidRPr="00A32853">
        <w:rPr>
          <w:rStyle w:val="FootnoteReference"/>
          <w:sz w:val="20"/>
          <w:szCs w:val="20"/>
        </w:rPr>
        <w:footnoteRef/>
      </w:r>
      <w:r w:rsidRPr="00A32853">
        <w:rPr>
          <w:sz w:val="20"/>
          <w:szCs w:val="20"/>
          <w:vertAlign w:val="baseline"/>
        </w:rPr>
        <w:t xml:space="preserve"> </w:t>
      </w:r>
      <w:r>
        <w:rPr>
          <w:sz w:val="20"/>
          <w:szCs w:val="20"/>
          <w:vertAlign w:val="baseline"/>
          <w:lang w:val="en-US"/>
        </w:rPr>
        <w:t>ibid</w:t>
      </w:r>
    </w:p>
  </w:footnote>
  <w:footnote w:id="1190">
    <w:p w14:paraId="1CF6C644" w14:textId="350F5964" w:rsidR="00431A55" w:rsidRPr="00A32853" w:rsidRDefault="00431A55" w:rsidP="008C3633">
      <w:pPr>
        <w:pStyle w:val="FootnoteText"/>
        <w:rPr>
          <w:sz w:val="20"/>
          <w:szCs w:val="20"/>
          <w:vertAlign w:val="baseline"/>
          <w:lang w:val="en-US"/>
        </w:rPr>
      </w:pPr>
      <w:r w:rsidRPr="00A32853">
        <w:rPr>
          <w:rStyle w:val="FootnoteReference"/>
          <w:sz w:val="20"/>
          <w:szCs w:val="20"/>
        </w:rPr>
        <w:footnoteRef/>
      </w:r>
      <w:r w:rsidRPr="00A32853">
        <w:rPr>
          <w:sz w:val="20"/>
          <w:szCs w:val="20"/>
        </w:rPr>
        <w:t xml:space="preserve"> </w:t>
      </w:r>
      <w:r w:rsidRPr="00A32853">
        <w:rPr>
          <w:sz w:val="20"/>
          <w:szCs w:val="20"/>
          <w:vertAlign w:val="baseline"/>
          <w:lang w:val="en-US"/>
        </w:rPr>
        <w:t>Kirit Singh, ‘Obstacles to Women’</w:t>
      </w:r>
      <w:r>
        <w:rPr>
          <w:sz w:val="20"/>
          <w:szCs w:val="20"/>
          <w:vertAlign w:val="baseline"/>
          <w:lang w:val="en-US"/>
        </w:rPr>
        <w:t xml:space="preserve">s Rights in India’ in </w:t>
      </w:r>
      <w:r w:rsidRPr="00A32853">
        <w:rPr>
          <w:sz w:val="20"/>
          <w:szCs w:val="20"/>
          <w:vertAlign w:val="baseline"/>
          <w:lang w:val="en-US"/>
        </w:rPr>
        <w:t xml:space="preserve">Cook </w:t>
      </w:r>
      <w:r>
        <w:rPr>
          <w:sz w:val="20"/>
          <w:szCs w:val="20"/>
          <w:vertAlign w:val="baseline"/>
          <w:lang w:val="en-US"/>
        </w:rPr>
        <w:t xml:space="preserve">(n 16) </w:t>
      </w:r>
      <w:r w:rsidRPr="00A32853">
        <w:rPr>
          <w:sz w:val="20"/>
          <w:szCs w:val="20"/>
          <w:vertAlign w:val="baseline"/>
          <w:lang w:val="en-US"/>
        </w:rPr>
        <w:t>379</w:t>
      </w:r>
    </w:p>
  </w:footnote>
  <w:footnote w:id="1191">
    <w:p w14:paraId="4220D061" w14:textId="77F0141C" w:rsidR="00431A55" w:rsidRPr="00A32853" w:rsidRDefault="00431A55" w:rsidP="008C3633">
      <w:pPr>
        <w:pStyle w:val="FootnoteText"/>
        <w:rPr>
          <w:sz w:val="20"/>
          <w:szCs w:val="20"/>
          <w:vertAlign w:val="baseline"/>
          <w:lang w:val="en-US"/>
        </w:rPr>
      </w:pPr>
      <w:r w:rsidRPr="00A32853">
        <w:rPr>
          <w:rStyle w:val="FootnoteReference"/>
          <w:sz w:val="20"/>
          <w:szCs w:val="20"/>
        </w:rPr>
        <w:footnoteRef/>
      </w:r>
      <w:r w:rsidRPr="00A32853">
        <w:rPr>
          <w:sz w:val="20"/>
          <w:szCs w:val="20"/>
        </w:rPr>
        <w:t xml:space="preserve"> </w:t>
      </w:r>
      <w:r>
        <w:rPr>
          <w:sz w:val="20"/>
          <w:szCs w:val="20"/>
          <w:vertAlign w:val="baseline"/>
          <w:lang w:val="en-US"/>
        </w:rPr>
        <w:t>ibid</w:t>
      </w:r>
    </w:p>
  </w:footnote>
  <w:footnote w:id="1192">
    <w:p w14:paraId="7FE7037C" w14:textId="5596C0C6" w:rsidR="00431A55" w:rsidRPr="00A32853" w:rsidRDefault="00431A55" w:rsidP="008C3633">
      <w:pPr>
        <w:pStyle w:val="FootnoteText"/>
        <w:rPr>
          <w:sz w:val="20"/>
          <w:szCs w:val="20"/>
          <w:vertAlign w:val="baseline"/>
          <w:lang w:val="en-US"/>
        </w:rPr>
      </w:pPr>
      <w:r w:rsidRPr="00A32853">
        <w:rPr>
          <w:rStyle w:val="FootnoteReference"/>
          <w:sz w:val="20"/>
          <w:szCs w:val="20"/>
        </w:rPr>
        <w:footnoteRef/>
      </w:r>
      <w:r w:rsidRPr="00A32853">
        <w:rPr>
          <w:sz w:val="20"/>
          <w:szCs w:val="20"/>
        </w:rPr>
        <w:t xml:space="preserve"> </w:t>
      </w:r>
      <w:r>
        <w:rPr>
          <w:sz w:val="20"/>
          <w:szCs w:val="20"/>
          <w:vertAlign w:val="baseline"/>
          <w:lang w:val="en-US"/>
        </w:rPr>
        <w:t>ibid</w:t>
      </w:r>
    </w:p>
  </w:footnote>
  <w:footnote w:id="1193">
    <w:p w14:paraId="5C7D9B9D" w14:textId="77777777" w:rsidR="00431A55" w:rsidRPr="00A32853" w:rsidRDefault="00431A55" w:rsidP="008C3633">
      <w:pPr>
        <w:pStyle w:val="FootnoteText"/>
        <w:rPr>
          <w:sz w:val="20"/>
          <w:szCs w:val="20"/>
          <w:vertAlign w:val="baseline"/>
          <w:lang w:val="en-US"/>
        </w:rPr>
      </w:pPr>
      <w:r w:rsidRPr="00A32853">
        <w:rPr>
          <w:rStyle w:val="FootnoteReference"/>
          <w:sz w:val="20"/>
          <w:szCs w:val="20"/>
        </w:rPr>
        <w:footnoteRef/>
      </w:r>
      <w:r w:rsidRPr="00A32853">
        <w:rPr>
          <w:sz w:val="20"/>
          <w:szCs w:val="20"/>
        </w:rPr>
        <w:t xml:space="preserve"> </w:t>
      </w:r>
      <w:r w:rsidRPr="00A32853">
        <w:rPr>
          <w:sz w:val="20"/>
          <w:szCs w:val="20"/>
          <w:vertAlign w:val="baseline"/>
        </w:rPr>
        <w:t xml:space="preserve">Peu Ghosh, </w:t>
      </w:r>
      <w:r w:rsidRPr="00A32853">
        <w:rPr>
          <w:i/>
          <w:sz w:val="20"/>
          <w:szCs w:val="20"/>
          <w:vertAlign w:val="baseline"/>
        </w:rPr>
        <w:t xml:space="preserve">Indian Government and Politics </w:t>
      </w:r>
      <w:r w:rsidRPr="00A32853">
        <w:rPr>
          <w:sz w:val="20"/>
          <w:szCs w:val="20"/>
          <w:vertAlign w:val="baseline"/>
        </w:rPr>
        <w:t xml:space="preserve">(PHI Learning Private Delhi, 2012) </w:t>
      </w:r>
      <w:r w:rsidRPr="00A32853">
        <w:rPr>
          <w:sz w:val="20"/>
          <w:szCs w:val="20"/>
          <w:vertAlign w:val="baseline"/>
          <w:lang w:val="en-US"/>
        </w:rPr>
        <w:t>415</w:t>
      </w:r>
    </w:p>
  </w:footnote>
  <w:footnote w:id="1194">
    <w:p w14:paraId="59C7C1B5" w14:textId="77777777" w:rsidR="00431A55" w:rsidRPr="00261B41" w:rsidRDefault="00431A55" w:rsidP="008C3633">
      <w:pPr>
        <w:pStyle w:val="FootnoteText"/>
      </w:pPr>
      <w:r w:rsidRPr="00A32853">
        <w:rPr>
          <w:rStyle w:val="FootnoteReference"/>
          <w:sz w:val="20"/>
          <w:szCs w:val="20"/>
        </w:rPr>
        <w:footnoteRef/>
      </w:r>
      <w:r w:rsidRPr="00A32853">
        <w:rPr>
          <w:sz w:val="20"/>
          <w:szCs w:val="20"/>
        </w:rPr>
        <w:t xml:space="preserve"> </w:t>
      </w:r>
      <w:r w:rsidRPr="00A32853">
        <w:rPr>
          <w:sz w:val="20"/>
          <w:szCs w:val="20"/>
          <w:vertAlign w:val="baseline"/>
        </w:rPr>
        <w:t>Girls Not Brides, ‘Child marriage: India’ &lt;</w:t>
      </w:r>
      <w:hyperlink r:id="rId139" w:history="1">
        <w:r w:rsidRPr="00A32853">
          <w:rPr>
            <w:rStyle w:val="Hyperlink"/>
            <w:sz w:val="20"/>
            <w:szCs w:val="20"/>
            <w:vertAlign w:val="baseline"/>
          </w:rPr>
          <w:t>http://www.girlsnotbrides.org/child-marriage/india/</w:t>
        </w:r>
      </w:hyperlink>
      <w:r w:rsidRPr="00A32853">
        <w:rPr>
          <w:sz w:val="20"/>
          <w:szCs w:val="20"/>
          <w:vertAlign w:val="baseline"/>
        </w:rPr>
        <w:t>&gt; accessed 26 August 2015</w:t>
      </w:r>
    </w:p>
  </w:footnote>
  <w:footnote w:id="1195">
    <w:p w14:paraId="5F5F1744" w14:textId="686EF051" w:rsidR="00431A55" w:rsidRPr="007F6E45" w:rsidRDefault="00431A55" w:rsidP="008C3633">
      <w:pPr>
        <w:pStyle w:val="FootnoteText"/>
        <w:rPr>
          <w:sz w:val="20"/>
          <w:szCs w:val="20"/>
          <w:vertAlign w:val="baseline"/>
          <w:lang w:val="en-US"/>
        </w:rPr>
      </w:pPr>
      <w:r w:rsidRPr="007F6E45">
        <w:rPr>
          <w:rStyle w:val="FootnoteReference"/>
          <w:sz w:val="20"/>
          <w:szCs w:val="20"/>
        </w:rPr>
        <w:footnoteRef/>
      </w:r>
      <w:r>
        <w:rPr>
          <w:sz w:val="20"/>
          <w:szCs w:val="20"/>
          <w:vertAlign w:val="baseline"/>
        </w:rPr>
        <w:t xml:space="preserve"> Peu Ghosh (n 1193)</w:t>
      </w:r>
    </w:p>
  </w:footnote>
  <w:footnote w:id="1196">
    <w:p w14:paraId="5E0C75BA" w14:textId="1322FB72" w:rsidR="00431A55" w:rsidRPr="007F6E45" w:rsidRDefault="00431A55" w:rsidP="008C3633">
      <w:pPr>
        <w:pStyle w:val="FootnoteText"/>
        <w:rPr>
          <w:sz w:val="20"/>
          <w:szCs w:val="20"/>
          <w:vertAlign w:val="baseline"/>
          <w:lang w:val="en-US"/>
        </w:rPr>
      </w:pPr>
      <w:r w:rsidRPr="007F6E45">
        <w:rPr>
          <w:rStyle w:val="FootnoteReference"/>
          <w:sz w:val="20"/>
          <w:szCs w:val="20"/>
        </w:rPr>
        <w:footnoteRef/>
      </w:r>
      <w:r w:rsidRPr="007F6E45">
        <w:rPr>
          <w:sz w:val="20"/>
          <w:szCs w:val="20"/>
          <w:vertAlign w:val="baseline"/>
        </w:rPr>
        <w:t xml:space="preserve"> </w:t>
      </w:r>
      <w:r>
        <w:rPr>
          <w:sz w:val="20"/>
          <w:szCs w:val="20"/>
          <w:vertAlign w:val="baseline"/>
        </w:rPr>
        <w:t xml:space="preserve">Kirit </w:t>
      </w:r>
      <w:r w:rsidRPr="007F6E45">
        <w:rPr>
          <w:sz w:val="20"/>
          <w:szCs w:val="20"/>
          <w:vertAlign w:val="baseline"/>
          <w:lang w:val="en-US"/>
        </w:rPr>
        <w:t>Singh</w:t>
      </w:r>
      <w:r>
        <w:rPr>
          <w:sz w:val="20"/>
          <w:szCs w:val="20"/>
          <w:vertAlign w:val="baseline"/>
          <w:lang w:val="en-US"/>
        </w:rPr>
        <w:t xml:space="preserve"> (n 1190) </w:t>
      </w:r>
      <w:r w:rsidRPr="007F6E45">
        <w:rPr>
          <w:sz w:val="20"/>
          <w:szCs w:val="20"/>
          <w:vertAlign w:val="baseline"/>
          <w:lang w:val="en-US"/>
        </w:rPr>
        <w:t>375</w:t>
      </w:r>
    </w:p>
  </w:footnote>
  <w:footnote w:id="1197">
    <w:p w14:paraId="1F0D3B3C" w14:textId="71E09AE2" w:rsidR="00431A55" w:rsidRPr="007F6E45" w:rsidRDefault="00431A55" w:rsidP="008C3633">
      <w:pPr>
        <w:rPr>
          <w:rFonts w:ascii="Times" w:eastAsia="Times New Roman" w:hAnsi="Times" w:cs="Times New Roman"/>
          <w:vertAlign w:val="baseline"/>
        </w:rPr>
      </w:pPr>
      <w:r w:rsidRPr="007F6E45">
        <w:rPr>
          <w:rStyle w:val="FootnoteReference"/>
        </w:rPr>
        <w:footnoteRef/>
      </w:r>
      <w:r w:rsidRPr="007F6E45">
        <w:t xml:space="preserve"> </w:t>
      </w:r>
      <w:r w:rsidRPr="007F6E45">
        <w:rPr>
          <w:vertAlign w:val="baseline"/>
        </w:rPr>
        <w:t>CEDAW Article 5</w:t>
      </w:r>
      <w:r w:rsidRPr="007F6E45">
        <w:rPr>
          <w:rFonts w:eastAsia="Times New Roman" w:cs="Arial"/>
          <w:color w:val="000000"/>
          <w:shd w:val="clear" w:color="auto" w:fill="FFFFFF"/>
          <w:vertAlign w:val="baseline"/>
        </w:rPr>
        <w:t xml:space="preserve">(a) </w:t>
      </w:r>
      <w:r>
        <w:rPr>
          <w:rFonts w:eastAsia="Times New Roman" w:cs="Arial"/>
          <w:color w:val="000000"/>
          <w:shd w:val="clear" w:color="auto" w:fill="FFFFFF"/>
          <w:vertAlign w:val="baseline"/>
        </w:rPr>
        <w:t>(n 700)</w:t>
      </w:r>
    </w:p>
  </w:footnote>
  <w:footnote w:id="1198">
    <w:p w14:paraId="59A63E64" w14:textId="383013F6" w:rsidR="00431A55" w:rsidRPr="007F6E45" w:rsidRDefault="00431A55" w:rsidP="008C3633">
      <w:pPr>
        <w:rPr>
          <w:rFonts w:eastAsia="Times New Roman" w:cs="Times New Roman"/>
          <w:vertAlign w:val="baseline"/>
        </w:rPr>
      </w:pPr>
      <w:r w:rsidRPr="007F6E45">
        <w:rPr>
          <w:rStyle w:val="FootnoteReference"/>
        </w:rPr>
        <w:footnoteRef/>
      </w:r>
      <w:r w:rsidRPr="007F6E45">
        <w:t xml:space="preserve"> </w:t>
      </w:r>
      <w:r w:rsidRPr="007F6E45">
        <w:rPr>
          <w:vertAlign w:val="baseline"/>
        </w:rPr>
        <w:t>CEDAW Article 16(</w:t>
      </w:r>
      <w:r w:rsidRPr="007F6E45">
        <w:rPr>
          <w:rFonts w:eastAsia="Times New Roman" w:cs="Arial"/>
          <w:color w:val="000000"/>
          <w:shd w:val="clear" w:color="auto" w:fill="FFFFFF"/>
          <w:vertAlign w:val="baseline"/>
        </w:rPr>
        <w:t xml:space="preserve">1) </w:t>
      </w:r>
      <w:r>
        <w:rPr>
          <w:rFonts w:eastAsia="Times New Roman" w:cs="Arial"/>
          <w:color w:val="000000"/>
          <w:shd w:val="clear" w:color="auto" w:fill="FFFFFF"/>
          <w:vertAlign w:val="baseline"/>
        </w:rPr>
        <w:t>(n 701)</w:t>
      </w:r>
    </w:p>
  </w:footnote>
  <w:footnote w:id="1199">
    <w:p w14:paraId="59B47B1C" w14:textId="0769FF74" w:rsidR="00431A55" w:rsidRPr="007F6E45" w:rsidRDefault="00431A55" w:rsidP="008C3633">
      <w:pPr>
        <w:pStyle w:val="FootnoteText"/>
        <w:rPr>
          <w:sz w:val="20"/>
          <w:szCs w:val="20"/>
          <w:vertAlign w:val="baseline"/>
          <w:lang w:val="en-US"/>
        </w:rPr>
      </w:pPr>
      <w:r w:rsidRPr="007F6E45">
        <w:rPr>
          <w:rStyle w:val="FootnoteReference"/>
          <w:sz w:val="20"/>
          <w:szCs w:val="20"/>
        </w:rPr>
        <w:footnoteRef/>
      </w:r>
      <w:r w:rsidRPr="007F6E45">
        <w:rPr>
          <w:sz w:val="20"/>
          <w:szCs w:val="20"/>
          <w:vertAlign w:val="baseline"/>
        </w:rPr>
        <w:t xml:space="preserve"> UN Women</w:t>
      </w:r>
      <w:r>
        <w:rPr>
          <w:sz w:val="20"/>
          <w:szCs w:val="20"/>
          <w:vertAlign w:val="baseline"/>
        </w:rPr>
        <w:t xml:space="preserve"> (n 1027)</w:t>
      </w:r>
    </w:p>
  </w:footnote>
  <w:footnote w:id="1200">
    <w:p w14:paraId="7BE3D9E1" w14:textId="77777777" w:rsidR="00431A55" w:rsidRPr="007F6E45" w:rsidRDefault="00431A55" w:rsidP="008C3633">
      <w:pPr>
        <w:pStyle w:val="FootnoteText"/>
        <w:rPr>
          <w:sz w:val="20"/>
          <w:szCs w:val="20"/>
          <w:vertAlign w:val="baseline"/>
          <w:lang w:val="en-US"/>
        </w:rPr>
      </w:pPr>
      <w:r w:rsidRPr="007F6E45">
        <w:rPr>
          <w:rStyle w:val="FootnoteReference"/>
          <w:sz w:val="20"/>
          <w:szCs w:val="20"/>
        </w:rPr>
        <w:footnoteRef/>
      </w:r>
      <w:r w:rsidRPr="007F6E45">
        <w:rPr>
          <w:sz w:val="20"/>
          <w:szCs w:val="20"/>
          <w:vertAlign w:val="baseline"/>
        </w:rPr>
        <w:t xml:space="preserve"> </w:t>
      </w:r>
      <w:r w:rsidRPr="007F6E45">
        <w:rPr>
          <w:i/>
          <w:sz w:val="20"/>
          <w:szCs w:val="20"/>
          <w:vertAlign w:val="baseline"/>
          <w:lang w:val="en-US"/>
        </w:rPr>
        <w:t>Krishna Singh v Mathura Ahir</w:t>
      </w:r>
      <w:r w:rsidRPr="007F6E45">
        <w:rPr>
          <w:sz w:val="20"/>
          <w:szCs w:val="20"/>
          <w:vertAlign w:val="baseline"/>
          <w:lang w:val="en-US"/>
        </w:rPr>
        <w:t xml:space="preserve"> (1980) AIR SC 707; </w:t>
      </w:r>
      <w:r w:rsidRPr="007F6E45">
        <w:rPr>
          <w:i/>
          <w:sz w:val="20"/>
          <w:szCs w:val="20"/>
          <w:vertAlign w:val="baseline"/>
          <w:lang w:val="en-US"/>
        </w:rPr>
        <w:t>Maharshi Avdhesh v Union of India</w:t>
      </w:r>
      <w:r w:rsidRPr="007F6E45">
        <w:rPr>
          <w:sz w:val="20"/>
          <w:szCs w:val="20"/>
          <w:vertAlign w:val="baseline"/>
          <w:lang w:val="en-US"/>
        </w:rPr>
        <w:t xml:space="preserve"> (1994) Supp (1) SCC 713; </w:t>
      </w:r>
      <w:r w:rsidRPr="007F6E45">
        <w:rPr>
          <w:i/>
          <w:sz w:val="20"/>
          <w:szCs w:val="20"/>
          <w:vertAlign w:val="baseline"/>
          <w:lang w:val="en-US"/>
        </w:rPr>
        <w:t>Ahmedabad Women Action Group &amp; Ors. v Union of India</w:t>
      </w:r>
      <w:r w:rsidRPr="007F6E45">
        <w:rPr>
          <w:sz w:val="20"/>
          <w:szCs w:val="20"/>
          <w:vertAlign w:val="baseline"/>
          <w:lang w:val="en-US"/>
        </w:rPr>
        <w:t xml:space="preserve"> (1997) 3 SCC 573</w:t>
      </w:r>
    </w:p>
  </w:footnote>
  <w:footnote w:id="1201">
    <w:p w14:paraId="6F2A7E7A" w14:textId="77777777" w:rsidR="00431A55" w:rsidRPr="00C22DF5" w:rsidRDefault="00431A55" w:rsidP="008C3633">
      <w:pPr>
        <w:pStyle w:val="FootnoteText"/>
        <w:rPr>
          <w:sz w:val="20"/>
          <w:szCs w:val="20"/>
          <w:vertAlign w:val="baseline"/>
          <w:lang w:val="en-US"/>
        </w:rPr>
      </w:pPr>
      <w:r w:rsidRPr="00C22DF5">
        <w:rPr>
          <w:rStyle w:val="FootnoteReference"/>
          <w:sz w:val="20"/>
          <w:szCs w:val="20"/>
        </w:rPr>
        <w:footnoteRef/>
      </w:r>
      <w:r w:rsidRPr="00C22DF5">
        <w:rPr>
          <w:sz w:val="20"/>
          <w:szCs w:val="20"/>
        </w:rPr>
        <w:t xml:space="preserve"> </w:t>
      </w:r>
      <w:r w:rsidRPr="00C22DF5">
        <w:rPr>
          <w:i/>
          <w:sz w:val="20"/>
          <w:szCs w:val="20"/>
          <w:vertAlign w:val="baseline"/>
          <w:lang w:val="en-US"/>
        </w:rPr>
        <w:t xml:space="preserve">Anil Kumar Mhasi v Union of India </w:t>
      </w:r>
      <w:r w:rsidRPr="00C22DF5">
        <w:rPr>
          <w:sz w:val="20"/>
          <w:szCs w:val="20"/>
          <w:vertAlign w:val="baseline"/>
          <w:lang w:val="en-US"/>
        </w:rPr>
        <w:t xml:space="preserve">(1994) 5 SCC 704; </w:t>
      </w:r>
      <w:r w:rsidRPr="00C22DF5">
        <w:rPr>
          <w:i/>
          <w:sz w:val="20"/>
          <w:szCs w:val="20"/>
          <w:vertAlign w:val="baseline"/>
          <w:lang w:val="en-US"/>
        </w:rPr>
        <w:t xml:space="preserve">Madhu Kishwar v State of Bihar </w:t>
      </w:r>
      <w:r w:rsidRPr="00C22DF5">
        <w:rPr>
          <w:sz w:val="20"/>
          <w:szCs w:val="20"/>
          <w:vertAlign w:val="baseline"/>
          <w:lang w:val="en-US"/>
        </w:rPr>
        <w:t xml:space="preserve">(1996) 5 SCC 125; </w:t>
      </w:r>
      <w:r w:rsidRPr="00C22DF5">
        <w:rPr>
          <w:i/>
          <w:sz w:val="20"/>
          <w:szCs w:val="20"/>
          <w:vertAlign w:val="baseline"/>
          <w:lang w:val="en-US"/>
        </w:rPr>
        <w:t xml:space="preserve">Githa Hariharan v Reserve Bank of India </w:t>
      </w:r>
      <w:r w:rsidRPr="00C22DF5">
        <w:rPr>
          <w:sz w:val="20"/>
          <w:szCs w:val="20"/>
          <w:vertAlign w:val="baseline"/>
          <w:lang w:val="en-US"/>
        </w:rPr>
        <w:t xml:space="preserve">(1999) 2 SCC 228; </w:t>
      </w:r>
      <w:r w:rsidRPr="00C22DF5">
        <w:rPr>
          <w:i/>
          <w:sz w:val="20"/>
          <w:szCs w:val="20"/>
          <w:vertAlign w:val="baseline"/>
          <w:lang w:val="en-US"/>
        </w:rPr>
        <w:t xml:space="preserve">Daniel Latifi v Union of India </w:t>
      </w:r>
      <w:r w:rsidRPr="00C22DF5">
        <w:rPr>
          <w:sz w:val="20"/>
          <w:szCs w:val="20"/>
          <w:vertAlign w:val="baseline"/>
          <w:lang w:val="en-US"/>
        </w:rPr>
        <w:t>(2001) 7 SCC 740</w:t>
      </w:r>
    </w:p>
  </w:footnote>
  <w:footnote w:id="1202">
    <w:p w14:paraId="4C430455" w14:textId="309F2368" w:rsidR="00431A55" w:rsidRPr="00C22DF5" w:rsidRDefault="00431A55" w:rsidP="008C3633">
      <w:pPr>
        <w:rPr>
          <w:rFonts w:ascii="Times" w:eastAsia="Times New Roman" w:hAnsi="Times" w:cs="Times New Roman"/>
          <w:vertAlign w:val="baseline"/>
        </w:rPr>
      </w:pPr>
      <w:r w:rsidRPr="00C22DF5">
        <w:rPr>
          <w:rStyle w:val="FootnoteReference"/>
        </w:rPr>
        <w:footnoteRef/>
      </w:r>
      <w:r w:rsidRPr="00C22DF5">
        <w:t xml:space="preserve"> </w:t>
      </w:r>
      <w:r w:rsidRPr="00C22DF5">
        <w:rPr>
          <w:vertAlign w:val="baseline"/>
        </w:rPr>
        <w:t xml:space="preserve">Article </w:t>
      </w:r>
      <w:r w:rsidRPr="00C22DF5">
        <w:rPr>
          <w:rFonts w:eastAsia="Times New Roman" w:cs="Times New Roman"/>
          <w:vertAlign w:val="baseline"/>
        </w:rPr>
        <w:t>13(1) states, ‘All laws in force in the territory of India immediately before the commencement of this Constitution, in so far as they are inconsistent with the provisions of this Part, shall, to the extent of such inconsistency, be</w:t>
      </w:r>
      <w:r>
        <w:rPr>
          <w:rFonts w:eastAsia="Times New Roman" w:cs="Times New Roman"/>
          <w:vertAlign w:val="baseline"/>
        </w:rPr>
        <w:t xml:space="preserve"> void</w:t>
      </w:r>
      <w:r w:rsidRPr="00C22DF5">
        <w:rPr>
          <w:rFonts w:eastAsia="Times New Roman" w:cs="Times New Roman"/>
          <w:vertAlign w:val="baseline"/>
        </w:rPr>
        <w:t>’</w:t>
      </w:r>
    </w:p>
  </w:footnote>
  <w:footnote w:id="1203">
    <w:p w14:paraId="420A0E04" w14:textId="77777777" w:rsidR="00431A55" w:rsidRPr="00C22DF5" w:rsidRDefault="00431A55" w:rsidP="008C3633">
      <w:pPr>
        <w:pStyle w:val="FootnoteText"/>
        <w:rPr>
          <w:sz w:val="20"/>
          <w:szCs w:val="20"/>
          <w:vertAlign w:val="baseline"/>
          <w:lang w:val="en-US"/>
        </w:rPr>
      </w:pPr>
      <w:r w:rsidRPr="00C22DF5">
        <w:rPr>
          <w:rStyle w:val="FootnoteReference"/>
          <w:sz w:val="20"/>
          <w:szCs w:val="20"/>
        </w:rPr>
        <w:footnoteRef/>
      </w:r>
      <w:r w:rsidRPr="00C22DF5">
        <w:rPr>
          <w:sz w:val="20"/>
          <w:szCs w:val="20"/>
        </w:rPr>
        <w:t xml:space="preserve"> </w:t>
      </w:r>
      <w:r w:rsidRPr="00C22DF5">
        <w:rPr>
          <w:sz w:val="20"/>
          <w:szCs w:val="20"/>
          <w:vertAlign w:val="baseline"/>
          <w:lang w:val="en-US"/>
        </w:rPr>
        <w:t>Mihir Desai, ‘Flip-flop on personal laws’ (2004) 3(4) Combat Law &lt;</w:t>
      </w:r>
      <w:hyperlink r:id="rId140" w:history="1">
        <w:r w:rsidRPr="00C22DF5">
          <w:rPr>
            <w:rStyle w:val="Hyperlink"/>
            <w:sz w:val="20"/>
            <w:szCs w:val="20"/>
            <w:vertAlign w:val="baseline"/>
            <w:lang w:val="en-US"/>
          </w:rPr>
          <w:t>http://indiatogether.org/combatlaw/vol3/issue4/flipflop.htm</w:t>
        </w:r>
      </w:hyperlink>
      <w:r w:rsidRPr="00C22DF5">
        <w:rPr>
          <w:sz w:val="20"/>
          <w:szCs w:val="20"/>
          <w:vertAlign w:val="baseline"/>
          <w:lang w:val="en-US"/>
        </w:rPr>
        <w:t>&gt; accessed 30 September 2015</w:t>
      </w:r>
    </w:p>
  </w:footnote>
  <w:footnote w:id="1204">
    <w:p w14:paraId="16C880D4" w14:textId="77777777" w:rsidR="00431A55" w:rsidRPr="00C22DF5" w:rsidRDefault="00431A55" w:rsidP="008C3633">
      <w:pPr>
        <w:pStyle w:val="FootnoteText"/>
        <w:rPr>
          <w:sz w:val="20"/>
          <w:szCs w:val="20"/>
          <w:vertAlign w:val="baseline"/>
          <w:lang w:val="en-US"/>
        </w:rPr>
      </w:pPr>
      <w:r w:rsidRPr="00C22DF5">
        <w:rPr>
          <w:rStyle w:val="FootnoteReference"/>
          <w:sz w:val="20"/>
          <w:szCs w:val="20"/>
        </w:rPr>
        <w:footnoteRef/>
      </w:r>
      <w:r w:rsidRPr="00C22DF5">
        <w:rPr>
          <w:sz w:val="20"/>
          <w:szCs w:val="20"/>
        </w:rPr>
        <w:t xml:space="preserve"> </w:t>
      </w:r>
      <w:r w:rsidRPr="00C22DF5">
        <w:rPr>
          <w:sz w:val="20"/>
          <w:szCs w:val="20"/>
          <w:vertAlign w:val="baseline"/>
          <w:lang w:val="en-US"/>
        </w:rPr>
        <w:t xml:space="preserve">Utkarsh Anand, ‘Uniform Civil Code: There’s total confusion, why can’t it be done, SC asks govt’ </w:t>
      </w:r>
      <w:r w:rsidRPr="00C22DF5">
        <w:rPr>
          <w:i/>
          <w:sz w:val="20"/>
          <w:szCs w:val="20"/>
          <w:vertAlign w:val="baseline"/>
          <w:lang w:val="en-US"/>
        </w:rPr>
        <w:t xml:space="preserve">The Indian Express </w:t>
      </w:r>
      <w:r w:rsidRPr="00C22DF5">
        <w:rPr>
          <w:sz w:val="20"/>
          <w:szCs w:val="20"/>
          <w:vertAlign w:val="baseline"/>
          <w:lang w:val="en-US"/>
        </w:rPr>
        <w:t>(New Delhi, 13 October 2015) &lt;</w:t>
      </w:r>
      <w:hyperlink r:id="rId141" w:history="1">
        <w:r w:rsidRPr="00C22DF5">
          <w:rPr>
            <w:rStyle w:val="Hyperlink"/>
            <w:sz w:val="20"/>
            <w:szCs w:val="20"/>
            <w:vertAlign w:val="baseline"/>
            <w:lang w:val="en-US"/>
          </w:rPr>
          <w:t>http://indianexpress.com/article/india/india-news-india/uniform-civil-code-supreme-court-asks-govt-why-cant-it-be-done-tell-us-your-plan/</w:t>
        </w:r>
      </w:hyperlink>
      <w:r w:rsidRPr="00C22DF5">
        <w:rPr>
          <w:sz w:val="20"/>
          <w:szCs w:val="20"/>
          <w:vertAlign w:val="baseline"/>
          <w:lang w:val="en-US"/>
        </w:rPr>
        <w:t>&gt; accessed 1 February 2016</w:t>
      </w:r>
    </w:p>
  </w:footnote>
  <w:footnote w:id="1205">
    <w:p w14:paraId="25030289" w14:textId="7BD51AD3" w:rsidR="00431A55" w:rsidRPr="00C22DF5" w:rsidRDefault="00431A55" w:rsidP="008C3633">
      <w:pPr>
        <w:pStyle w:val="FootnoteText"/>
        <w:rPr>
          <w:sz w:val="20"/>
          <w:szCs w:val="20"/>
          <w:vertAlign w:val="baseline"/>
          <w:lang w:val="en-US"/>
        </w:rPr>
      </w:pPr>
      <w:r w:rsidRPr="00C22DF5">
        <w:rPr>
          <w:rStyle w:val="FootnoteReference"/>
          <w:sz w:val="20"/>
          <w:szCs w:val="20"/>
        </w:rPr>
        <w:footnoteRef/>
      </w:r>
      <w:r w:rsidRPr="00C22DF5">
        <w:rPr>
          <w:sz w:val="20"/>
          <w:szCs w:val="20"/>
        </w:rPr>
        <w:t xml:space="preserve"> </w:t>
      </w:r>
      <w:r>
        <w:rPr>
          <w:sz w:val="20"/>
          <w:szCs w:val="20"/>
          <w:vertAlign w:val="baseline"/>
          <w:lang w:val="en-US"/>
        </w:rPr>
        <w:t>ibid</w:t>
      </w:r>
    </w:p>
  </w:footnote>
  <w:footnote w:id="1206">
    <w:p w14:paraId="7F84FA1D" w14:textId="77777777" w:rsidR="00431A55" w:rsidRPr="00245A99" w:rsidRDefault="00431A55" w:rsidP="008C3633">
      <w:pPr>
        <w:pStyle w:val="FootnoteText"/>
        <w:rPr>
          <w:lang w:val="en-US"/>
        </w:rPr>
      </w:pPr>
      <w:r w:rsidRPr="00C22DF5">
        <w:rPr>
          <w:rStyle w:val="FootnoteReference"/>
          <w:sz w:val="20"/>
          <w:szCs w:val="20"/>
        </w:rPr>
        <w:footnoteRef/>
      </w:r>
      <w:r w:rsidRPr="00C22DF5">
        <w:rPr>
          <w:sz w:val="20"/>
          <w:szCs w:val="20"/>
        </w:rPr>
        <w:t xml:space="preserve"> </w:t>
      </w:r>
      <w:r w:rsidRPr="00C22DF5">
        <w:rPr>
          <w:i/>
          <w:sz w:val="20"/>
          <w:szCs w:val="20"/>
          <w:vertAlign w:val="baseline"/>
          <w:lang w:val="en-US"/>
        </w:rPr>
        <w:t xml:space="preserve">Saumya Ann Thomas vs. Union of India &amp; Others </w:t>
      </w:r>
      <w:r w:rsidRPr="00C22DF5">
        <w:rPr>
          <w:sz w:val="20"/>
          <w:szCs w:val="20"/>
          <w:vertAlign w:val="baseline"/>
          <w:lang w:val="en-US"/>
        </w:rPr>
        <w:t xml:space="preserve">[2010] 1 KLT 869; </w:t>
      </w:r>
      <w:r w:rsidRPr="00C22DF5">
        <w:rPr>
          <w:i/>
          <w:sz w:val="20"/>
          <w:szCs w:val="20"/>
          <w:vertAlign w:val="baseline"/>
          <w:lang w:val="en-US"/>
        </w:rPr>
        <w:t xml:space="preserve">Shiv Kumar vs. Union of India </w:t>
      </w:r>
      <w:r w:rsidRPr="00C22DF5">
        <w:rPr>
          <w:sz w:val="20"/>
          <w:szCs w:val="20"/>
          <w:vertAlign w:val="baseline"/>
          <w:lang w:val="en-US"/>
        </w:rPr>
        <w:t>[2014] Writ Petition No. 13112/2012</w:t>
      </w:r>
    </w:p>
  </w:footnote>
  <w:footnote w:id="1207">
    <w:p w14:paraId="2B7C1B27" w14:textId="3FE32020" w:rsidR="00431A55" w:rsidRPr="00505107" w:rsidRDefault="00431A55" w:rsidP="008C3633">
      <w:pPr>
        <w:pStyle w:val="FootnoteText"/>
        <w:rPr>
          <w:sz w:val="20"/>
          <w:szCs w:val="20"/>
          <w:vertAlign w:val="baseline"/>
          <w:lang w:val="en-US"/>
        </w:rPr>
      </w:pPr>
      <w:r w:rsidRPr="00505107">
        <w:rPr>
          <w:rStyle w:val="FootnoteReference"/>
          <w:sz w:val="20"/>
          <w:szCs w:val="20"/>
        </w:rPr>
        <w:footnoteRef/>
      </w:r>
      <w:r w:rsidRPr="00505107">
        <w:rPr>
          <w:sz w:val="20"/>
          <w:szCs w:val="20"/>
          <w:vertAlign w:val="baseline"/>
        </w:rPr>
        <w:t xml:space="preserve"> </w:t>
      </w:r>
      <w:r w:rsidRPr="00505107">
        <w:rPr>
          <w:sz w:val="20"/>
          <w:szCs w:val="20"/>
          <w:vertAlign w:val="baseline"/>
          <w:lang w:val="en-US"/>
        </w:rPr>
        <w:t>Anand</w:t>
      </w:r>
      <w:r>
        <w:rPr>
          <w:sz w:val="20"/>
          <w:szCs w:val="20"/>
          <w:vertAlign w:val="baseline"/>
          <w:lang w:val="en-US"/>
        </w:rPr>
        <w:t xml:space="preserve"> (n 1204)</w:t>
      </w:r>
    </w:p>
  </w:footnote>
  <w:footnote w:id="1208">
    <w:p w14:paraId="532A814E" w14:textId="77777777" w:rsidR="00431A55" w:rsidRPr="00505107" w:rsidRDefault="00431A55" w:rsidP="008C3633">
      <w:pPr>
        <w:pStyle w:val="NoSpacing"/>
        <w:rPr>
          <w:vertAlign w:val="baseline"/>
        </w:rPr>
      </w:pPr>
      <w:r w:rsidRPr="00505107">
        <w:rPr>
          <w:rStyle w:val="FootnoteReference"/>
        </w:rPr>
        <w:footnoteRef/>
      </w:r>
      <w:r w:rsidRPr="00505107">
        <w:rPr>
          <w:vertAlign w:val="baseline"/>
        </w:rPr>
        <w:t xml:space="preserve"> Chhattisgarh Tonahi Pratadna Nivaran Act 2005 (Act No.17 of 2005)</w:t>
      </w:r>
    </w:p>
  </w:footnote>
  <w:footnote w:id="1209">
    <w:p w14:paraId="20AF7AE2" w14:textId="31448BF6" w:rsidR="00431A55" w:rsidRPr="00505107" w:rsidRDefault="00431A55" w:rsidP="008C3633">
      <w:pPr>
        <w:pStyle w:val="NoSpacing"/>
        <w:ind w:left="720" w:hanging="720"/>
        <w:rPr>
          <w:vertAlign w:val="baseline"/>
          <w:lang w:val="en-US"/>
        </w:rPr>
      </w:pPr>
      <w:r w:rsidRPr="00505107">
        <w:rPr>
          <w:rStyle w:val="FootnoteReference"/>
        </w:rPr>
        <w:footnoteRef/>
      </w:r>
      <w:r w:rsidRPr="00505107">
        <w:rPr>
          <w:vertAlign w:val="baseline"/>
        </w:rPr>
        <w:t xml:space="preserve"> </w:t>
      </w:r>
      <w:r w:rsidRPr="00505107">
        <w:rPr>
          <w:i/>
          <w:vertAlign w:val="baseline"/>
        </w:rPr>
        <w:t>Tonahi</w:t>
      </w:r>
      <w:r>
        <w:rPr>
          <w:vertAlign w:val="baseline"/>
        </w:rPr>
        <w:t xml:space="preserve"> is the Hindu word for witch</w:t>
      </w:r>
    </w:p>
  </w:footnote>
  <w:footnote w:id="1210">
    <w:p w14:paraId="0709F903" w14:textId="77777777" w:rsidR="00431A55" w:rsidRPr="00505107" w:rsidRDefault="00431A55" w:rsidP="008C3633">
      <w:pPr>
        <w:pStyle w:val="FootnoteText"/>
        <w:rPr>
          <w:sz w:val="20"/>
          <w:szCs w:val="20"/>
          <w:vertAlign w:val="baseline"/>
          <w:lang w:val="en-US"/>
        </w:rPr>
      </w:pPr>
      <w:r w:rsidRPr="00505107">
        <w:rPr>
          <w:rStyle w:val="FootnoteReference"/>
          <w:sz w:val="20"/>
          <w:szCs w:val="20"/>
        </w:rPr>
        <w:footnoteRef/>
      </w:r>
      <w:r w:rsidRPr="00505107">
        <w:rPr>
          <w:sz w:val="20"/>
          <w:szCs w:val="20"/>
        </w:rPr>
        <w:t xml:space="preserve"> </w:t>
      </w:r>
      <w:r w:rsidRPr="00505107">
        <w:rPr>
          <w:sz w:val="20"/>
          <w:szCs w:val="20"/>
          <w:vertAlign w:val="baseline"/>
          <w:lang w:val="en-US"/>
        </w:rPr>
        <w:t>Prevention of Witchcraft (Daain) Practices Act 1999 (Daain Partha Nishedh Adhiniyam 1999)</w:t>
      </w:r>
    </w:p>
  </w:footnote>
  <w:footnote w:id="1211">
    <w:p w14:paraId="24A29174" w14:textId="77777777" w:rsidR="00431A55" w:rsidRPr="00505107" w:rsidRDefault="00431A55" w:rsidP="008C3633">
      <w:pPr>
        <w:pStyle w:val="FootnoteText"/>
        <w:rPr>
          <w:sz w:val="20"/>
          <w:szCs w:val="20"/>
          <w:vertAlign w:val="baseline"/>
        </w:rPr>
      </w:pPr>
      <w:r w:rsidRPr="00505107">
        <w:rPr>
          <w:rStyle w:val="FootnoteReference"/>
          <w:sz w:val="20"/>
          <w:szCs w:val="20"/>
        </w:rPr>
        <w:footnoteRef/>
      </w:r>
      <w:r w:rsidRPr="00505107">
        <w:rPr>
          <w:sz w:val="20"/>
          <w:szCs w:val="20"/>
        </w:rPr>
        <w:t xml:space="preserve"> </w:t>
      </w:r>
      <w:r w:rsidRPr="00505107">
        <w:rPr>
          <w:sz w:val="20"/>
          <w:szCs w:val="20"/>
          <w:vertAlign w:val="baseline"/>
        </w:rPr>
        <w:t>‘Rajasthan Assembly Passes Anti-Witchcraft Law’ (</w:t>
      </w:r>
      <w:r w:rsidRPr="00505107">
        <w:rPr>
          <w:i/>
          <w:sz w:val="20"/>
          <w:szCs w:val="20"/>
          <w:vertAlign w:val="baseline"/>
        </w:rPr>
        <w:t>Outlook India</w:t>
      </w:r>
      <w:r w:rsidRPr="00505107">
        <w:rPr>
          <w:sz w:val="20"/>
          <w:szCs w:val="20"/>
          <w:vertAlign w:val="baseline"/>
        </w:rPr>
        <w:t>, 9 April 2015) &lt;</w:t>
      </w:r>
      <w:hyperlink r:id="rId142" w:history="1">
        <w:r w:rsidRPr="00505107">
          <w:rPr>
            <w:rStyle w:val="Hyperlink"/>
            <w:sz w:val="20"/>
            <w:szCs w:val="20"/>
            <w:vertAlign w:val="baseline"/>
          </w:rPr>
          <w:t>http://www.outlookindia.com/news/article/rajasthan-assembly-passes-antiwitch-craft-law/890655</w:t>
        </w:r>
      </w:hyperlink>
      <w:r w:rsidRPr="00505107">
        <w:rPr>
          <w:sz w:val="20"/>
          <w:szCs w:val="20"/>
          <w:vertAlign w:val="baseline"/>
        </w:rPr>
        <w:t>&gt; accessed 25 August 2015</w:t>
      </w:r>
    </w:p>
  </w:footnote>
  <w:footnote w:id="1212">
    <w:p w14:paraId="0BB2CCCF" w14:textId="77777777" w:rsidR="00431A55" w:rsidRPr="00E00B9B" w:rsidRDefault="00431A55" w:rsidP="008C3633">
      <w:pPr>
        <w:pStyle w:val="FootnoteText"/>
        <w:rPr>
          <w:lang w:val="en-US"/>
        </w:rPr>
      </w:pPr>
      <w:r w:rsidRPr="00505107">
        <w:rPr>
          <w:rStyle w:val="FootnoteReference"/>
          <w:sz w:val="20"/>
          <w:szCs w:val="20"/>
        </w:rPr>
        <w:footnoteRef/>
      </w:r>
      <w:r w:rsidRPr="00505107">
        <w:rPr>
          <w:sz w:val="20"/>
          <w:szCs w:val="20"/>
          <w:vertAlign w:val="baseline"/>
        </w:rPr>
        <w:t xml:space="preserve"> </w:t>
      </w:r>
      <w:r w:rsidRPr="00505107">
        <w:rPr>
          <w:sz w:val="20"/>
          <w:szCs w:val="20"/>
          <w:vertAlign w:val="baseline"/>
          <w:lang w:val="en-US"/>
        </w:rPr>
        <w:t>Rishi Iyengar, ‘A State in India just outlawed Witch Hunting but many fear that won’t stop the practice’ (</w:t>
      </w:r>
      <w:r w:rsidRPr="00505107">
        <w:rPr>
          <w:i/>
          <w:sz w:val="20"/>
          <w:szCs w:val="20"/>
          <w:vertAlign w:val="baseline"/>
          <w:lang w:val="en-US"/>
        </w:rPr>
        <w:t xml:space="preserve">Time, </w:t>
      </w:r>
      <w:r w:rsidRPr="00505107">
        <w:rPr>
          <w:sz w:val="20"/>
          <w:szCs w:val="20"/>
          <w:vertAlign w:val="baseline"/>
          <w:lang w:val="en-US"/>
        </w:rPr>
        <w:t>17 August 2015) &lt;</w:t>
      </w:r>
      <w:hyperlink r:id="rId143" w:history="1">
        <w:r w:rsidRPr="00505107">
          <w:rPr>
            <w:rStyle w:val="Hyperlink"/>
            <w:sz w:val="20"/>
            <w:szCs w:val="20"/>
            <w:vertAlign w:val="baseline"/>
            <w:lang w:val="en-US"/>
          </w:rPr>
          <w:t>http://time.com/4000006/assam-witch-hunting-bill-passed-jharkhand-india/</w:t>
        </w:r>
      </w:hyperlink>
      <w:r w:rsidRPr="00505107">
        <w:rPr>
          <w:sz w:val="20"/>
          <w:szCs w:val="20"/>
          <w:vertAlign w:val="baseline"/>
          <w:lang w:val="en-US"/>
        </w:rPr>
        <w:t>&gt; accessed 25 August 2015</w:t>
      </w:r>
    </w:p>
  </w:footnote>
  <w:footnote w:id="1213">
    <w:p w14:paraId="6567E77B" w14:textId="77777777" w:rsidR="00431A55" w:rsidRPr="007F1239" w:rsidRDefault="00431A55" w:rsidP="008C3633">
      <w:pPr>
        <w:pStyle w:val="FootnoteText"/>
        <w:rPr>
          <w:sz w:val="20"/>
          <w:szCs w:val="20"/>
          <w:vertAlign w:val="baseline"/>
          <w:lang w:val="en-US"/>
        </w:rPr>
      </w:pPr>
      <w:r w:rsidRPr="003046DE">
        <w:rPr>
          <w:rStyle w:val="FootnoteReference"/>
          <w:sz w:val="20"/>
          <w:szCs w:val="20"/>
        </w:rPr>
        <w:footnoteRef/>
      </w:r>
      <w:r w:rsidRPr="007F1239">
        <w:rPr>
          <w:sz w:val="20"/>
          <w:szCs w:val="20"/>
          <w:vertAlign w:val="baseline"/>
        </w:rPr>
        <w:t xml:space="preserve"> </w:t>
      </w:r>
      <w:r w:rsidRPr="007F1239">
        <w:rPr>
          <w:sz w:val="20"/>
          <w:szCs w:val="20"/>
          <w:vertAlign w:val="baseline"/>
          <w:lang w:val="en-US"/>
        </w:rPr>
        <w:t xml:space="preserve">‘Dabholkar murder: Maharashtra first state to ban black magic’ </w:t>
      </w:r>
      <w:r w:rsidRPr="007F1239">
        <w:rPr>
          <w:i/>
          <w:sz w:val="20"/>
          <w:szCs w:val="20"/>
          <w:vertAlign w:val="baseline"/>
          <w:lang w:val="en-US"/>
        </w:rPr>
        <w:t xml:space="preserve">Hindustan Times </w:t>
      </w:r>
      <w:r w:rsidRPr="007F1239">
        <w:rPr>
          <w:sz w:val="20"/>
          <w:szCs w:val="20"/>
          <w:vertAlign w:val="baseline"/>
          <w:lang w:val="en-US"/>
        </w:rPr>
        <w:t>(Mumbai, 25 August 2013) &lt;</w:t>
      </w:r>
      <w:hyperlink r:id="rId144" w:history="1">
        <w:r w:rsidRPr="007F1239">
          <w:rPr>
            <w:rStyle w:val="Hyperlink"/>
            <w:sz w:val="20"/>
            <w:szCs w:val="20"/>
            <w:vertAlign w:val="baseline"/>
            <w:lang w:val="en-US"/>
          </w:rPr>
          <w:t>http://www.hindustantimes.com/mumbai/dabholkar-murder-maharashtra-first-state-to-ban-black-magic/article1-1112686.aspx</w:t>
        </w:r>
      </w:hyperlink>
      <w:r w:rsidRPr="007F1239">
        <w:rPr>
          <w:sz w:val="20"/>
          <w:szCs w:val="20"/>
          <w:vertAlign w:val="baseline"/>
          <w:lang w:val="en-US"/>
        </w:rPr>
        <w:t>&gt; accessed 25 August 2015</w:t>
      </w:r>
    </w:p>
  </w:footnote>
  <w:footnote w:id="1214">
    <w:p w14:paraId="5E28420F" w14:textId="77777777" w:rsidR="00431A55" w:rsidRPr="007F1239" w:rsidRDefault="00431A55" w:rsidP="008C3633">
      <w:pPr>
        <w:pStyle w:val="FootnoteText"/>
        <w:rPr>
          <w:sz w:val="20"/>
          <w:szCs w:val="20"/>
          <w:vertAlign w:val="baseline"/>
        </w:rPr>
      </w:pPr>
      <w:r w:rsidRPr="003046DE">
        <w:rPr>
          <w:rStyle w:val="FootnoteReference"/>
          <w:sz w:val="20"/>
          <w:szCs w:val="20"/>
        </w:rPr>
        <w:footnoteRef/>
      </w:r>
      <w:r w:rsidRPr="007F1239">
        <w:rPr>
          <w:rFonts w:ascii="Times New Roman" w:eastAsia="Times New Roman" w:hAnsi="Times New Roman" w:cs="Times New Roman"/>
          <w:color w:val="262626"/>
          <w:sz w:val="20"/>
          <w:szCs w:val="20"/>
          <w:shd w:val="clear" w:color="auto" w:fill="FFFFFF"/>
          <w:vertAlign w:val="baseline"/>
        </w:rPr>
        <w:t xml:space="preserve"> </w:t>
      </w:r>
      <w:r w:rsidRPr="007F1239">
        <w:rPr>
          <w:rFonts w:eastAsia="Times New Roman" w:cs="Times New Roman"/>
          <w:color w:val="262626"/>
          <w:sz w:val="20"/>
          <w:szCs w:val="20"/>
          <w:shd w:val="clear" w:color="auto" w:fill="FFFFFF"/>
          <w:vertAlign w:val="baseline"/>
        </w:rPr>
        <w:t>Maharashtra Andhashraddha Nirmoolan Samiti</w:t>
      </w:r>
      <w:r w:rsidRPr="007F1239">
        <w:rPr>
          <w:sz w:val="20"/>
          <w:szCs w:val="20"/>
          <w:vertAlign w:val="baseline"/>
        </w:rPr>
        <w:t xml:space="preserve"> (Committee for the Eradication of Blind Faith) &lt;</w:t>
      </w:r>
      <w:hyperlink r:id="rId145" w:history="1">
        <w:r w:rsidRPr="007F1239">
          <w:rPr>
            <w:rStyle w:val="Hyperlink"/>
            <w:sz w:val="20"/>
            <w:szCs w:val="20"/>
            <w:vertAlign w:val="baseline"/>
          </w:rPr>
          <w:t>http://www.antisuperstition.org/</w:t>
        </w:r>
      </w:hyperlink>
      <w:r w:rsidRPr="007F1239">
        <w:rPr>
          <w:sz w:val="20"/>
          <w:szCs w:val="20"/>
          <w:vertAlign w:val="baseline"/>
        </w:rPr>
        <w:t xml:space="preserve">&gt; accessed 25 August 2015 </w:t>
      </w:r>
    </w:p>
  </w:footnote>
  <w:footnote w:id="1215">
    <w:p w14:paraId="497B1443" w14:textId="494184CB" w:rsidR="00431A55" w:rsidRPr="00301E4D" w:rsidRDefault="00431A55" w:rsidP="008C3633">
      <w:pPr>
        <w:pStyle w:val="FootnoteText"/>
        <w:rPr>
          <w:sz w:val="20"/>
          <w:szCs w:val="20"/>
          <w:vertAlign w:val="baseline"/>
          <w:lang w:val="en-US"/>
        </w:rPr>
      </w:pPr>
      <w:r w:rsidRPr="003046DE">
        <w:rPr>
          <w:rStyle w:val="FootnoteReference"/>
          <w:sz w:val="20"/>
          <w:szCs w:val="20"/>
        </w:rPr>
        <w:footnoteRef/>
      </w:r>
      <w:r w:rsidRPr="007F1239">
        <w:rPr>
          <w:sz w:val="20"/>
          <w:szCs w:val="20"/>
          <w:vertAlign w:val="baseline"/>
        </w:rPr>
        <w:t xml:space="preserve"> </w:t>
      </w:r>
      <w:r w:rsidRPr="007F1239">
        <w:rPr>
          <w:sz w:val="20"/>
          <w:szCs w:val="20"/>
          <w:vertAlign w:val="baseline"/>
          <w:lang w:val="en-US"/>
        </w:rPr>
        <w:t xml:space="preserve">Maharashtra chief minister Prithviraj Chavan as quoted in ‘Dabholkar murder: Maharashtra first state to ban black magic’ </w:t>
      </w:r>
      <w:r>
        <w:rPr>
          <w:sz w:val="20"/>
          <w:szCs w:val="20"/>
          <w:vertAlign w:val="baseline"/>
          <w:lang w:val="en-US"/>
        </w:rPr>
        <w:t>(n 1198)</w:t>
      </w:r>
    </w:p>
  </w:footnote>
  <w:footnote w:id="1216">
    <w:p w14:paraId="11C52DE0" w14:textId="01E7D225" w:rsidR="00431A55" w:rsidRPr="007F1239" w:rsidRDefault="00431A55" w:rsidP="008C3633">
      <w:pPr>
        <w:pStyle w:val="FootnoteText"/>
        <w:rPr>
          <w:sz w:val="20"/>
          <w:szCs w:val="20"/>
          <w:vertAlign w:val="baseline"/>
          <w:lang w:val="en-US"/>
        </w:rPr>
      </w:pPr>
      <w:r w:rsidRPr="003046DE">
        <w:rPr>
          <w:rStyle w:val="FootnoteReference"/>
          <w:sz w:val="20"/>
          <w:szCs w:val="20"/>
        </w:rPr>
        <w:footnoteRef/>
      </w:r>
      <w:r w:rsidRPr="007F1239">
        <w:rPr>
          <w:sz w:val="20"/>
          <w:szCs w:val="20"/>
          <w:vertAlign w:val="baseline"/>
        </w:rPr>
        <w:t xml:space="preserve"> </w:t>
      </w:r>
      <w:r>
        <w:rPr>
          <w:sz w:val="20"/>
          <w:szCs w:val="20"/>
          <w:vertAlign w:val="baseline"/>
        </w:rPr>
        <w:t>See Glossary Section, 12</w:t>
      </w:r>
    </w:p>
  </w:footnote>
  <w:footnote w:id="1217">
    <w:p w14:paraId="547DB48E" w14:textId="77777777" w:rsidR="00431A55" w:rsidRPr="00C556FD" w:rsidRDefault="00431A55" w:rsidP="008C3633">
      <w:pPr>
        <w:pStyle w:val="FootnoteText"/>
        <w:rPr>
          <w:lang w:val="en-US"/>
        </w:rPr>
      </w:pPr>
      <w:r w:rsidRPr="003046DE">
        <w:rPr>
          <w:rStyle w:val="FootnoteReference"/>
          <w:sz w:val="20"/>
          <w:szCs w:val="20"/>
        </w:rPr>
        <w:footnoteRef/>
      </w:r>
      <w:r w:rsidRPr="007F1239">
        <w:rPr>
          <w:sz w:val="20"/>
          <w:szCs w:val="20"/>
          <w:vertAlign w:val="baseline"/>
        </w:rPr>
        <w:t xml:space="preserve"> Preamble to the </w:t>
      </w:r>
      <w:r w:rsidRPr="007F1239">
        <w:rPr>
          <w:rFonts w:eastAsia="Times New Roman" w:cs="Times New Roman"/>
          <w:sz w:val="20"/>
          <w:szCs w:val="20"/>
          <w:vertAlign w:val="baseline"/>
        </w:rPr>
        <w:t>Maharashtra Prevention and Eradication of Human Sacrifice and Other Inhuman, Evil and</w:t>
      </w:r>
      <w:r w:rsidRPr="007F1239">
        <w:rPr>
          <w:rStyle w:val="apple-converted-space"/>
          <w:rFonts w:eastAsia="Times New Roman" w:cs="Times New Roman"/>
          <w:sz w:val="20"/>
          <w:szCs w:val="20"/>
          <w:vertAlign w:val="baseline"/>
        </w:rPr>
        <w:t> </w:t>
      </w:r>
      <w:r w:rsidRPr="007F1239">
        <w:rPr>
          <w:rStyle w:val="Emphasis"/>
          <w:rFonts w:eastAsia="Times New Roman" w:cs="Times New Roman"/>
          <w:sz w:val="20"/>
          <w:szCs w:val="20"/>
          <w:bdr w:val="none" w:sz="0" w:space="0" w:color="auto" w:frame="1"/>
          <w:vertAlign w:val="baseline"/>
        </w:rPr>
        <w:t>Aghori</w:t>
      </w:r>
      <w:r w:rsidRPr="007F1239">
        <w:rPr>
          <w:rStyle w:val="apple-converted-space"/>
          <w:rFonts w:eastAsia="Times New Roman" w:cs="Times New Roman"/>
          <w:sz w:val="20"/>
          <w:szCs w:val="20"/>
          <w:vertAlign w:val="baseline"/>
        </w:rPr>
        <w:t> </w:t>
      </w:r>
      <w:r w:rsidRPr="007F1239">
        <w:rPr>
          <w:rFonts w:eastAsia="Times New Roman" w:cs="Times New Roman"/>
          <w:sz w:val="20"/>
          <w:szCs w:val="20"/>
          <w:vertAlign w:val="baseline"/>
        </w:rPr>
        <w:t>Practices and Black Magic Ordinance (Maharashtra Ordinance XIV of 2013)</w:t>
      </w:r>
    </w:p>
  </w:footnote>
  <w:footnote w:id="1218">
    <w:p w14:paraId="75847EAE" w14:textId="67B77468" w:rsidR="00431A55" w:rsidRPr="009278C9" w:rsidRDefault="00431A55" w:rsidP="008C3633">
      <w:pPr>
        <w:pStyle w:val="FootnoteText"/>
        <w:rPr>
          <w:sz w:val="20"/>
          <w:szCs w:val="20"/>
          <w:vertAlign w:val="baseline"/>
          <w:lang w:val="en-US"/>
        </w:rPr>
      </w:pPr>
      <w:r w:rsidRPr="009278C9">
        <w:rPr>
          <w:rStyle w:val="FootnoteReference"/>
          <w:sz w:val="20"/>
          <w:szCs w:val="20"/>
        </w:rPr>
        <w:footnoteRef/>
      </w:r>
      <w:r w:rsidRPr="009278C9">
        <w:rPr>
          <w:sz w:val="20"/>
          <w:szCs w:val="20"/>
          <w:vertAlign w:val="baseline"/>
        </w:rPr>
        <w:t xml:space="preserve"> </w:t>
      </w:r>
      <w:r>
        <w:rPr>
          <w:sz w:val="20"/>
          <w:szCs w:val="20"/>
          <w:vertAlign w:val="baseline"/>
        </w:rPr>
        <w:t xml:space="preserve">ibid, Art </w:t>
      </w:r>
      <w:r w:rsidRPr="009278C9">
        <w:rPr>
          <w:sz w:val="20"/>
          <w:szCs w:val="20"/>
          <w:vertAlign w:val="baseline"/>
        </w:rPr>
        <w:t xml:space="preserve">3(2) </w:t>
      </w:r>
    </w:p>
  </w:footnote>
  <w:footnote w:id="1219">
    <w:p w14:paraId="76FCC3E8" w14:textId="77777777" w:rsidR="00431A55" w:rsidRPr="009278C9" w:rsidRDefault="00431A55" w:rsidP="008C3633">
      <w:pPr>
        <w:pStyle w:val="FootnoteText"/>
        <w:rPr>
          <w:sz w:val="20"/>
          <w:szCs w:val="20"/>
          <w:vertAlign w:val="baseline"/>
          <w:lang w:val="en-US"/>
        </w:rPr>
      </w:pPr>
      <w:r w:rsidRPr="009278C9">
        <w:rPr>
          <w:rStyle w:val="FootnoteReference"/>
          <w:sz w:val="20"/>
          <w:szCs w:val="20"/>
        </w:rPr>
        <w:footnoteRef/>
      </w:r>
      <w:r w:rsidRPr="009278C9">
        <w:rPr>
          <w:sz w:val="20"/>
          <w:szCs w:val="20"/>
          <w:vertAlign w:val="baseline"/>
        </w:rPr>
        <w:t xml:space="preserve"> </w:t>
      </w:r>
      <w:r w:rsidRPr="009278C9">
        <w:rPr>
          <w:sz w:val="20"/>
          <w:szCs w:val="20"/>
          <w:vertAlign w:val="baseline"/>
          <w:lang w:val="en-US"/>
        </w:rPr>
        <w:t xml:space="preserve">‘In 18 mths, 150 cases filed under anti-superstition Act; most victims women’ </w:t>
      </w:r>
      <w:r w:rsidRPr="009278C9">
        <w:rPr>
          <w:i/>
          <w:sz w:val="20"/>
          <w:szCs w:val="20"/>
          <w:vertAlign w:val="baseline"/>
          <w:lang w:val="en-US"/>
        </w:rPr>
        <w:t xml:space="preserve">The Times of India </w:t>
      </w:r>
      <w:r w:rsidRPr="009278C9">
        <w:rPr>
          <w:sz w:val="20"/>
          <w:szCs w:val="20"/>
          <w:vertAlign w:val="baseline"/>
          <w:lang w:val="en-US"/>
        </w:rPr>
        <w:t>(Pune, 21 August 2015) &lt;</w:t>
      </w:r>
      <w:hyperlink r:id="rId146" w:history="1">
        <w:r w:rsidRPr="009278C9">
          <w:rPr>
            <w:rStyle w:val="Hyperlink"/>
            <w:sz w:val="20"/>
            <w:szCs w:val="20"/>
            <w:vertAlign w:val="baseline"/>
            <w:lang w:val="en-US"/>
          </w:rPr>
          <w:t>http://timesofindia.indiatimes.com/city/pune/In-18-mths-150-cases-filed-under-anti-superstition-Act-most-victims-women/articleshow/48566329.cms</w:t>
        </w:r>
      </w:hyperlink>
      <w:r w:rsidRPr="009278C9">
        <w:rPr>
          <w:sz w:val="20"/>
          <w:szCs w:val="20"/>
          <w:vertAlign w:val="baseline"/>
          <w:lang w:val="en-US"/>
        </w:rPr>
        <w:t>&gt; accessed 1 February 2016</w:t>
      </w:r>
    </w:p>
  </w:footnote>
  <w:footnote w:id="1220">
    <w:p w14:paraId="59F48E4C" w14:textId="77777777" w:rsidR="00431A55" w:rsidRPr="009278C9" w:rsidRDefault="00431A55" w:rsidP="008C3633">
      <w:pPr>
        <w:pStyle w:val="FootnoteText"/>
        <w:rPr>
          <w:sz w:val="20"/>
          <w:szCs w:val="20"/>
          <w:vertAlign w:val="baseline"/>
          <w:lang w:val="en-US"/>
        </w:rPr>
      </w:pPr>
      <w:r w:rsidRPr="009278C9">
        <w:rPr>
          <w:rStyle w:val="FootnoteReference"/>
          <w:sz w:val="20"/>
          <w:szCs w:val="20"/>
        </w:rPr>
        <w:footnoteRef/>
      </w:r>
      <w:r w:rsidRPr="009278C9">
        <w:rPr>
          <w:sz w:val="20"/>
          <w:szCs w:val="20"/>
          <w:vertAlign w:val="baseline"/>
        </w:rPr>
        <w:t xml:space="preserve"> </w:t>
      </w:r>
      <w:r w:rsidRPr="009278C9">
        <w:rPr>
          <w:sz w:val="20"/>
          <w:szCs w:val="20"/>
          <w:vertAlign w:val="baseline"/>
          <w:lang w:val="en-US"/>
        </w:rPr>
        <w:t xml:space="preserve">Mohamen Thaver, ‘Black Magic Act: First conviction now course material for police training’ </w:t>
      </w:r>
      <w:r w:rsidRPr="009278C9">
        <w:rPr>
          <w:i/>
          <w:sz w:val="20"/>
          <w:szCs w:val="20"/>
          <w:vertAlign w:val="baseline"/>
          <w:lang w:val="en-US"/>
        </w:rPr>
        <w:t xml:space="preserve">The Indian Express </w:t>
      </w:r>
      <w:r w:rsidRPr="009278C9">
        <w:rPr>
          <w:sz w:val="20"/>
          <w:szCs w:val="20"/>
          <w:vertAlign w:val="baseline"/>
          <w:lang w:val="en-US"/>
        </w:rPr>
        <w:t>(Mumbai, 20 August 2015) &lt;</w:t>
      </w:r>
      <w:hyperlink r:id="rId147" w:history="1">
        <w:r w:rsidRPr="009278C9">
          <w:rPr>
            <w:rStyle w:val="Hyperlink"/>
            <w:sz w:val="20"/>
            <w:szCs w:val="20"/>
            <w:vertAlign w:val="baseline"/>
            <w:lang w:val="en-US"/>
          </w:rPr>
          <w:t>http://indianexpress.com/article/cities/mumbai/black-magic-act-first-conviction-now-course-material-for-police-training/</w:t>
        </w:r>
      </w:hyperlink>
      <w:r w:rsidRPr="009278C9">
        <w:rPr>
          <w:sz w:val="20"/>
          <w:szCs w:val="20"/>
          <w:vertAlign w:val="baseline"/>
          <w:lang w:val="en-US"/>
        </w:rPr>
        <w:t>&gt; accessed 1 February 2016</w:t>
      </w:r>
    </w:p>
  </w:footnote>
  <w:footnote w:id="1221">
    <w:p w14:paraId="1603CC8F" w14:textId="77777777" w:rsidR="00431A55" w:rsidRPr="009278C9" w:rsidRDefault="00431A55" w:rsidP="008C3633">
      <w:pPr>
        <w:pStyle w:val="FootnoteText"/>
        <w:rPr>
          <w:sz w:val="20"/>
          <w:szCs w:val="20"/>
          <w:vertAlign w:val="baseline"/>
          <w:lang w:val="en-US"/>
        </w:rPr>
      </w:pPr>
      <w:r w:rsidRPr="009278C9">
        <w:rPr>
          <w:rStyle w:val="FootnoteReference"/>
          <w:sz w:val="20"/>
          <w:szCs w:val="20"/>
        </w:rPr>
        <w:footnoteRef/>
      </w:r>
      <w:r w:rsidRPr="009278C9">
        <w:rPr>
          <w:sz w:val="20"/>
          <w:szCs w:val="20"/>
        </w:rPr>
        <w:t xml:space="preserve"> </w:t>
      </w:r>
      <w:r w:rsidRPr="009278C9">
        <w:rPr>
          <w:sz w:val="20"/>
          <w:szCs w:val="20"/>
          <w:vertAlign w:val="baseline"/>
          <w:lang w:val="en-US"/>
        </w:rPr>
        <w:t>Ahmed Raza, ‘Witch Hunting in Jharkhand…A curse on society’ (</w:t>
      </w:r>
      <w:r w:rsidRPr="009278C9">
        <w:rPr>
          <w:i/>
          <w:sz w:val="20"/>
          <w:szCs w:val="20"/>
          <w:vertAlign w:val="baseline"/>
          <w:lang w:val="en-US"/>
        </w:rPr>
        <w:t>Access to Justice</w:t>
      </w:r>
      <w:r w:rsidRPr="009278C9">
        <w:rPr>
          <w:sz w:val="20"/>
          <w:szCs w:val="20"/>
          <w:vertAlign w:val="baseline"/>
          <w:lang w:val="en-US"/>
        </w:rPr>
        <w:t>, 9 March 2011) &lt;</w:t>
      </w:r>
      <w:hyperlink r:id="rId148" w:history="1">
        <w:r w:rsidRPr="009278C9">
          <w:rPr>
            <w:rStyle w:val="Hyperlink"/>
            <w:sz w:val="20"/>
            <w:szCs w:val="20"/>
            <w:vertAlign w:val="baseline"/>
            <w:lang w:val="en-US"/>
          </w:rPr>
          <w:t>http://razahmed2003.blog.com/2011/03/09/witch-hunting-in-jharkhand-a-curse-on-the-society/</w:t>
        </w:r>
      </w:hyperlink>
      <w:r w:rsidRPr="009278C9">
        <w:rPr>
          <w:sz w:val="20"/>
          <w:szCs w:val="20"/>
          <w:vertAlign w:val="baseline"/>
          <w:lang w:val="en-US"/>
        </w:rPr>
        <w:t>&gt; accessed 25 August 2015</w:t>
      </w:r>
    </w:p>
  </w:footnote>
  <w:footnote w:id="1222">
    <w:p w14:paraId="2ACB4059" w14:textId="008FF956" w:rsidR="00431A55" w:rsidRPr="009278C9" w:rsidRDefault="00431A55" w:rsidP="008C3633">
      <w:pPr>
        <w:pStyle w:val="FootnoteText"/>
        <w:rPr>
          <w:sz w:val="20"/>
          <w:szCs w:val="20"/>
          <w:vertAlign w:val="baseline"/>
          <w:lang w:val="en-US"/>
        </w:rPr>
      </w:pPr>
      <w:r w:rsidRPr="009278C9">
        <w:rPr>
          <w:rStyle w:val="FootnoteReference"/>
          <w:sz w:val="20"/>
          <w:szCs w:val="20"/>
        </w:rPr>
        <w:footnoteRef/>
      </w:r>
      <w:r w:rsidRPr="009278C9">
        <w:rPr>
          <w:sz w:val="20"/>
          <w:szCs w:val="20"/>
        </w:rPr>
        <w:t xml:space="preserve"> </w:t>
      </w:r>
      <w:r>
        <w:rPr>
          <w:sz w:val="20"/>
          <w:szCs w:val="20"/>
          <w:vertAlign w:val="baseline"/>
          <w:lang w:val="en-US"/>
        </w:rPr>
        <w:t>ibid</w:t>
      </w:r>
    </w:p>
  </w:footnote>
  <w:footnote w:id="1223">
    <w:p w14:paraId="52706B3A" w14:textId="77777777" w:rsidR="00431A55" w:rsidRPr="00C066D8" w:rsidRDefault="00431A55" w:rsidP="008C3633">
      <w:pPr>
        <w:pStyle w:val="FootnoteText"/>
      </w:pPr>
      <w:r w:rsidRPr="009278C9">
        <w:rPr>
          <w:rStyle w:val="FootnoteReference"/>
          <w:sz w:val="20"/>
          <w:szCs w:val="20"/>
        </w:rPr>
        <w:footnoteRef/>
      </w:r>
      <w:r w:rsidRPr="009278C9">
        <w:rPr>
          <w:sz w:val="20"/>
          <w:szCs w:val="20"/>
        </w:rPr>
        <w:t xml:space="preserve"> </w:t>
      </w:r>
      <w:r w:rsidRPr="009278C9">
        <w:rPr>
          <w:sz w:val="20"/>
          <w:szCs w:val="20"/>
          <w:vertAlign w:val="baseline"/>
        </w:rPr>
        <w:t xml:space="preserve">Mugdha Kapoor, ‘Witch Hunting on the Rise Across Several Indian States’ </w:t>
      </w:r>
      <w:r w:rsidRPr="009278C9">
        <w:rPr>
          <w:i/>
          <w:sz w:val="20"/>
          <w:szCs w:val="20"/>
          <w:vertAlign w:val="baseline"/>
        </w:rPr>
        <w:t>India Times</w:t>
      </w:r>
      <w:r w:rsidRPr="009278C9">
        <w:rPr>
          <w:sz w:val="20"/>
          <w:szCs w:val="20"/>
          <w:vertAlign w:val="baseline"/>
        </w:rPr>
        <w:t xml:space="preserve"> (India, 19 March 2015) &lt;</w:t>
      </w:r>
      <w:hyperlink r:id="rId149" w:history="1">
        <w:r w:rsidRPr="009278C9">
          <w:rPr>
            <w:rStyle w:val="Hyperlink"/>
            <w:sz w:val="20"/>
            <w:szCs w:val="20"/>
            <w:vertAlign w:val="baseline"/>
          </w:rPr>
          <w:t>http://www.indiatimes.com/news/india/witch-hunting-on-the-rise-across-several-indian-states-231133.html</w:t>
        </w:r>
      </w:hyperlink>
      <w:r w:rsidRPr="009278C9">
        <w:rPr>
          <w:sz w:val="20"/>
          <w:szCs w:val="20"/>
          <w:vertAlign w:val="baseline"/>
        </w:rPr>
        <w:t>&gt; accessed 25 August 2015</w:t>
      </w:r>
    </w:p>
  </w:footnote>
  <w:footnote w:id="1224">
    <w:p w14:paraId="3DCE6231" w14:textId="77777777" w:rsidR="00431A55" w:rsidRPr="00D3462E" w:rsidRDefault="00431A55" w:rsidP="008C3633">
      <w:pPr>
        <w:pStyle w:val="FootnoteText"/>
        <w:rPr>
          <w:sz w:val="20"/>
          <w:szCs w:val="20"/>
          <w:vertAlign w:val="baseline"/>
        </w:rPr>
      </w:pPr>
      <w:r w:rsidRPr="00D3462E">
        <w:rPr>
          <w:rStyle w:val="FootnoteReference"/>
          <w:sz w:val="20"/>
          <w:szCs w:val="20"/>
        </w:rPr>
        <w:footnoteRef/>
      </w:r>
      <w:r w:rsidRPr="00D3462E">
        <w:rPr>
          <w:sz w:val="20"/>
          <w:szCs w:val="20"/>
          <w:vertAlign w:val="baseline"/>
        </w:rPr>
        <w:t xml:space="preserve"> Dr Dinesh Mishra as quoted in Shuriah Niazi, ‘India: Protective Laws Fall Short for Women Charged with Witchcraft’ (</w:t>
      </w:r>
      <w:r w:rsidRPr="00D3462E">
        <w:rPr>
          <w:i/>
          <w:sz w:val="20"/>
          <w:szCs w:val="20"/>
          <w:vertAlign w:val="baseline"/>
        </w:rPr>
        <w:t xml:space="preserve">Women News Network, </w:t>
      </w:r>
      <w:r w:rsidRPr="00D3462E">
        <w:rPr>
          <w:sz w:val="20"/>
          <w:szCs w:val="20"/>
          <w:vertAlign w:val="baseline"/>
        </w:rPr>
        <w:t>21 March 2010) &lt;</w:t>
      </w:r>
      <w:hyperlink r:id="rId150" w:history="1">
        <w:r w:rsidRPr="00D3462E">
          <w:rPr>
            <w:rStyle w:val="Hyperlink"/>
            <w:sz w:val="20"/>
            <w:szCs w:val="20"/>
            <w:vertAlign w:val="baseline"/>
          </w:rPr>
          <w:t>http://womennewsnetwork.net/2010/03/21/witchcraft-india-89/</w:t>
        </w:r>
      </w:hyperlink>
      <w:r w:rsidRPr="00D3462E">
        <w:rPr>
          <w:sz w:val="20"/>
          <w:szCs w:val="20"/>
          <w:vertAlign w:val="baseline"/>
        </w:rPr>
        <w:t>&gt; accessed 26 August 2015</w:t>
      </w:r>
    </w:p>
  </w:footnote>
  <w:footnote w:id="1225">
    <w:p w14:paraId="3199CEA3" w14:textId="77777777" w:rsidR="00431A55" w:rsidRPr="00D3462E" w:rsidRDefault="00431A55" w:rsidP="008C3633">
      <w:pPr>
        <w:pStyle w:val="FootnoteText"/>
        <w:rPr>
          <w:sz w:val="20"/>
          <w:szCs w:val="20"/>
          <w:vertAlign w:val="baseline"/>
        </w:rPr>
      </w:pPr>
      <w:r w:rsidRPr="00D3462E">
        <w:rPr>
          <w:rStyle w:val="FootnoteReference"/>
          <w:sz w:val="20"/>
          <w:szCs w:val="20"/>
        </w:rPr>
        <w:footnoteRef/>
      </w:r>
      <w:r w:rsidRPr="00D3462E">
        <w:rPr>
          <w:sz w:val="20"/>
          <w:szCs w:val="20"/>
          <w:vertAlign w:val="baseline"/>
        </w:rPr>
        <w:t xml:space="preserve"> </w:t>
      </w:r>
      <w:r w:rsidRPr="00D3462E">
        <w:rPr>
          <w:sz w:val="20"/>
          <w:szCs w:val="20"/>
          <w:vertAlign w:val="baseline"/>
          <w:lang w:val="en-US"/>
        </w:rPr>
        <w:t xml:space="preserve">Rahul Kumar </w:t>
      </w:r>
      <w:r w:rsidRPr="00D3462E">
        <w:rPr>
          <w:sz w:val="20"/>
          <w:szCs w:val="20"/>
          <w:vertAlign w:val="baseline"/>
        </w:rPr>
        <w:t>as quoted in Shuriah Niazi, ‘India: Protective Laws Fall Short for Women Charged with Witchcraft’ (</w:t>
      </w:r>
      <w:r w:rsidRPr="00D3462E">
        <w:rPr>
          <w:i/>
          <w:sz w:val="20"/>
          <w:szCs w:val="20"/>
          <w:vertAlign w:val="baseline"/>
        </w:rPr>
        <w:t xml:space="preserve">Women News Network, </w:t>
      </w:r>
      <w:r w:rsidRPr="00D3462E">
        <w:rPr>
          <w:sz w:val="20"/>
          <w:szCs w:val="20"/>
          <w:vertAlign w:val="baseline"/>
        </w:rPr>
        <w:t>21 March 2010) &lt;</w:t>
      </w:r>
      <w:hyperlink r:id="rId151" w:history="1">
        <w:r w:rsidRPr="00D3462E">
          <w:rPr>
            <w:rStyle w:val="Hyperlink"/>
            <w:sz w:val="20"/>
            <w:szCs w:val="20"/>
            <w:vertAlign w:val="baseline"/>
          </w:rPr>
          <w:t>http://womennewsnetwork.net/2010/03/21/witchcraft-india-89/</w:t>
        </w:r>
      </w:hyperlink>
      <w:r w:rsidRPr="00D3462E">
        <w:rPr>
          <w:sz w:val="20"/>
          <w:szCs w:val="20"/>
          <w:vertAlign w:val="baseline"/>
        </w:rPr>
        <w:t>&gt; accessed 26 August 2015</w:t>
      </w:r>
    </w:p>
  </w:footnote>
  <w:footnote w:id="1226">
    <w:p w14:paraId="74991F13" w14:textId="47690D7F" w:rsidR="00431A55" w:rsidRPr="00DA4FD8" w:rsidRDefault="00431A55" w:rsidP="008C3633">
      <w:pPr>
        <w:pStyle w:val="FootnoteText"/>
        <w:rPr>
          <w:lang w:val="en-US"/>
        </w:rPr>
      </w:pPr>
      <w:r w:rsidRPr="00D3462E">
        <w:rPr>
          <w:rStyle w:val="FootnoteReference"/>
          <w:sz w:val="20"/>
          <w:szCs w:val="20"/>
        </w:rPr>
        <w:footnoteRef/>
      </w:r>
      <w:r w:rsidRPr="00D3462E">
        <w:rPr>
          <w:sz w:val="20"/>
          <w:szCs w:val="20"/>
        </w:rPr>
        <w:t xml:space="preserve"> </w:t>
      </w:r>
      <w:r w:rsidRPr="00D3462E">
        <w:rPr>
          <w:rFonts w:eastAsia="Times New Roman" w:cs="Times New Roman"/>
          <w:i/>
          <w:color w:val="000000"/>
          <w:sz w:val="20"/>
          <w:szCs w:val="20"/>
          <w:vertAlign w:val="baseline"/>
        </w:rPr>
        <w:t>Tula Devi And Ors. vs The State Of Jharkhand And Anr</w:t>
      </w:r>
      <w:r w:rsidRPr="00D3462E">
        <w:rPr>
          <w:rFonts w:eastAsia="Times New Roman" w:cs="Times New Roman"/>
          <w:color w:val="000000"/>
          <w:sz w:val="20"/>
          <w:szCs w:val="20"/>
          <w:vertAlign w:val="baseline"/>
        </w:rPr>
        <w:t>.</w:t>
      </w:r>
      <w:r>
        <w:rPr>
          <w:rFonts w:eastAsia="Times New Roman" w:cs="Times New Roman"/>
          <w:color w:val="000000"/>
          <w:sz w:val="20"/>
          <w:szCs w:val="20"/>
          <w:vertAlign w:val="baseline"/>
        </w:rPr>
        <w:t>, 18 April 2006 (3) JCR 222 Jhr</w:t>
      </w:r>
    </w:p>
  </w:footnote>
  <w:footnote w:id="1227">
    <w:p w14:paraId="314A1044" w14:textId="1D2AA313" w:rsidR="00431A55" w:rsidRPr="00E01A51" w:rsidRDefault="00431A55" w:rsidP="008C3633">
      <w:pPr>
        <w:pStyle w:val="FootnoteText"/>
        <w:rPr>
          <w:rFonts w:ascii="Calibri" w:eastAsia="Times New Roman" w:hAnsi="Calibri" w:cs="Times New Roman"/>
          <w:bCs/>
          <w:color w:val="000000"/>
          <w:sz w:val="20"/>
          <w:szCs w:val="20"/>
          <w:vertAlign w:val="baseline"/>
        </w:rPr>
      </w:pPr>
      <w:r w:rsidRPr="00E01A51">
        <w:rPr>
          <w:rStyle w:val="FootnoteReference"/>
          <w:sz w:val="20"/>
          <w:szCs w:val="20"/>
        </w:rPr>
        <w:footnoteRef/>
      </w:r>
      <w:r w:rsidRPr="00E01A51">
        <w:rPr>
          <w:sz w:val="20"/>
          <w:szCs w:val="20"/>
          <w:vertAlign w:val="baseline"/>
        </w:rPr>
        <w:t xml:space="preserve"> </w:t>
      </w:r>
      <w:r w:rsidRPr="00E01A51">
        <w:rPr>
          <w:rFonts w:ascii="Calibri" w:eastAsia="Times New Roman" w:hAnsi="Calibri" w:cs="Times New Roman"/>
          <w:bCs/>
          <w:i/>
          <w:color w:val="000000"/>
          <w:sz w:val="20"/>
          <w:szCs w:val="20"/>
          <w:vertAlign w:val="baseline"/>
        </w:rPr>
        <w:t>Madhu Munda And Ors. vs State Of Bihar</w:t>
      </w:r>
      <w:r w:rsidRPr="00E01A51">
        <w:rPr>
          <w:rFonts w:ascii="Calibri" w:eastAsia="Times New Roman" w:hAnsi="Calibri" w:cs="Times New Roman"/>
          <w:bCs/>
          <w:color w:val="000000"/>
          <w:sz w:val="20"/>
          <w:szCs w:val="20"/>
          <w:vertAlign w:val="baseline"/>
        </w:rPr>
        <w:t>, 24 April 2003 (3) JCR 156 Jhr</w:t>
      </w:r>
    </w:p>
  </w:footnote>
  <w:footnote w:id="1228">
    <w:p w14:paraId="015EDDFE" w14:textId="708FCB25" w:rsidR="00431A55" w:rsidRPr="00E01A51" w:rsidRDefault="00431A55" w:rsidP="008C3633">
      <w:pPr>
        <w:rPr>
          <w:rFonts w:eastAsia="Times New Roman" w:cs="Times New Roman"/>
          <w:bCs/>
          <w:color w:val="000000"/>
          <w:shd w:val="clear" w:color="auto" w:fill="FFFFFF"/>
          <w:vertAlign w:val="baseline"/>
        </w:rPr>
      </w:pPr>
      <w:r w:rsidRPr="00E01A51">
        <w:rPr>
          <w:rStyle w:val="FootnoteReference"/>
        </w:rPr>
        <w:footnoteRef/>
      </w:r>
      <w:r w:rsidRPr="00E01A51">
        <w:t xml:space="preserve"> </w:t>
      </w:r>
      <w:r w:rsidRPr="00E01A51">
        <w:rPr>
          <w:vertAlign w:val="baseline"/>
        </w:rPr>
        <w:t>Free Legal Aid Committee (FRAC) as quoted in Shuriah Niazi, ‘India: Protective Laws Fall Short for Women Charged with Witchcraft’ (</w:t>
      </w:r>
      <w:r w:rsidRPr="00E01A51">
        <w:rPr>
          <w:i/>
          <w:vertAlign w:val="baseline"/>
        </w:rPr>
        <w:t xml:space="preserve">Women News Network, </w:t>
      </w:r>
      <w:r w:rsidRPr="00E01A51">
        <w:rPr>
          <w:vertAlign w:val="baseline"/>
        </w:rPr>
        <w:t>21 March 2010) &lt;</w:t>
      </w:r>
      <w:hyperlink r:id="rId152" w:history="1">
        <w:r w:rsidRPr="00E01A51">
          <w:rPr>
            <w:rStyle w:val="Hyperlink"/>
            <w:vertAlign w:val="baseline"/>
          </w:rPr>
          <w:t>http://womennewsnetwork.net/2010/03/21/witchcraft-india-89/</w:t>
        </w:r>
      </w:hyperlink>
      <w:r w:rsidRPr="00E01A51">
        <w:rPr>
          <w:vertAlign w:val="baseline"/>
        </w:rPr>
        <w:t xml:space="preserve">&gt; accessed 26 August 2015; see </w:t>
      </w:r>
      <w:r w:rsidRPr="00E01A51">
        <w:rPr>
          <w:rFonts w:eastAsia="Times New Roman" w:cs="Times New Roman"/>
          <w:bCs/>
          <w:i/>
          <w:color w:val="000000"/>
          <w:shd w:val="clear" w:color="auto" w:fill="FFFFFF"/>
          <w:vertAlign w:val="baseline"/>
        </w:rPr>
        <w:t>Mangla Hansda And Others vs The State Of West Bengal</w:t>
      </w:r>
      <w:r w:rsidRPr="00E01A51">
        <w:rPr>
          <w:rFonts w:eastAsia="Times New Roman" w:cs="Times New Roman"/>
          <w:bCs/>
          <w:color w:val="000000"/>
          <w:shd w:val="clear" w:color="auto" w:fill="FFFFFF"/>
          <w:vertAlign w:val="baseline"/>
        </w:rPr>
        <w:t>, 8 April 2014, Kolkata High Court</w:t>
      </w:r>
      <w:r>
        <w:rPr>
          <w:rFonts w:eastAsia="Times New Roman" w:cs="Times New Roman"/>
          <w:bCs/>
          <w:color w:val="000000"/>
          <w:shd w:val="clear" w:color="auto" w:fill="FFFFFF"/>
          <w:vertAlign w:val="baseline"/>
        </w:rPr>
        <w:t>;</w:t>
      </w:r>
      <w:r w:rsidRPr="00E01A51">
        <w:rPr>
          <w:rFonts w:eastAsia="Times New Roman" w:cs="Times New Roman"/>
          <w:bCs/>
          <w:color w:val="000000"/>
          <w:shd w:val="clear" w:color="auto" w:fill="FFFFFF"/>
          <w:vertAlign w:val="baseline"/>
        </w:rPr>
        <w:t xml:space="preserve"> </w:t>
      </w:r>
      <w:r w:rsidRPr="00E01A51">
        <w:rPr>
          <w:rFonts w:eastAsia="Times New Roman" w:cs="Times New Roman"/>
          <w:bCs/>
          <w:i/>
          <w:color w:val="000000"/>
          <w:vertAlign w:val="baseline"/>
        </w:rPr>
        <w:t>Samtul Dhobi And Anr. vs State Of Bihar</w:t>
      </w:r>
      <w:r w:rsidRPr="00E01A51">
        <w:rPr>
          <w:rFonts w:eastAsia="Times New Roman" w:cs="Times New Roman"/>
          <w:bCs/>
          <w:color w:val="000000"/>
          <w:vertAlign w:val="baseline"/>
        </w:rPr>
        <w:t>, 30 March 1993 (2) BLJR 1041</w:t>
      </w:r>
      <w:r w:rsidRPr="00E01A51">
        <w:rPr>
          <w:rFonts w:eastAsia="Times New Roman" w:cs="Times New Roman"/>
          <w:bCs/>
          <w:color w:val="000000"/>
          <w:shd w:val="clear" w:color="auto" w:fill="FFFFFF"/>
          <w:vertAlign w:val="baseline"/>
        </w:rPr>
        <w:t xml:space="preserve"> for examples</w:t>
      </w:r>
      <w:r>
        <w:rPr>
          <w:rFonts w:eastAsia="Times New Roman" w:cs="Times New Roman"/>
          <w:bCs/>
          <w:color w:val="000000"/>
          <w:shd w:val="clear" w:color="auto" w:fill="FFFFFF"/>
          <w:vertAlign w:val="baseline"/>
        </w:rPr>
        <w:t xml:space="preserve"> of cases leading to conviction</w:t>
      </w:r>
    </w:p>
  </w:footnote>
  <w:footnote w:id="1229">
    <w:p w14:paraId="2F771238" w14:textId="7D1F9C78" w:rsidR="00431A55" w:rsidRPr="003C44D1" w:rsidRDefault="00431A55" w:rsidP="008C3633">
      <w:pPr>
        <w:pStyle w:val="FootnoteText"/>
        <w:rPr>
          <w:lang w:val="en-US"/>
        </w:rPr>
      </w:pPr>
      <w:r w:rsidRPr="00E01A51">
        <w:rPr>
          <w:rStyle w:val="FootnoteReference"/>
          <w:sz w:val="20"/>
          <w:szCs w:val="20"/>
        </w:rPr>
        <w:footnoteRef/>
      </w:r>
      <w:r w:rsidRPr="00E01A51">
        <w:rPr>
          <w:sz w:val="20"/>
          <w:szCs w:val="20"/>
        </w:rPr>
        <w:t xml:space="preserve"> </w:t>
      </w:r>
      <w:r>
        <w:rPr>
          <w:sz w:val="20"/>
          <w:szCs w:val="20"/>
          <w:vertAlign w:val="baseline"/>
          <w:lang w:val="en-US"/>
        </w:rPr>
        <w:t>Section 5.4.2</w:t>
      </w:r>
    </w:p>
  </w:footnote>
  <w:footnote w:id="1230">
    <w:p w14:paraId="0602C9FC" w14:textId="77777777" w:rsidR="00431A55" w:rsidRPr="001B6705" w:rsidRDefault="00431A55" w:rsidP="008C3633">
      <w:pPr>
        <w:pStyle w:val="FootnoteText"/>
        <w:rPr>
          <w:sz w:val="20"/>
          <w:szCs w:val="20"/>
          <w:vertAlign w:val="baseline"/>
          <w:lang w:val="en-US"/>
        </w:rPr>
      </w:pPr>
      <w:r w:rsidRPr="001B6705">
        <w:rPr>
          <w:rStyle w:val="FootnoteReference"/>
          <w:sz w:val="20"/>
          <w:szCs w:val="20"/>
        </w:rPr>
        <w:footnoteRef/>
      </w:r>
      <w:r w:rsidRPr="001B6705">
        <w:rPr>
          <w:sz w:val="20"/>
          <w:szCs w:val="20"/>
        </w:rPr>
        <w:t xml:space="preserve"> </w:t>
      </w:r>
      <w:r w:rsidRPr="001B6705">
        <w:rPr>
          <w:sz w:val="20"/>
          <w:szCs w:val="20"/>
          <w:vertAlign w:val="baseline"/>
        </w:rPr>
        <w:t>‘About Nepal’ (</w:t>
      </w:r>
      <w:r w:rsidRPr="001B6705">
        <w:rPr>
          <w:i/>
          <w:sz w:val="20"/>
          <w:szCs w:val="20"/>
          <w:vertAlign w:val="baseline"/>
        </w:rPr>
        <w:t xml:space="preserve">UNDP, </w:t>
      </w:r>
      <w:r w:rsidRPr="001B6705">
        <w:rPr>
          <w:sz w:val="20"/>
          <w:szCs w:val="20"/>
          <w:vertAlign w:val="baseline"/>
        </w:rPr>
        <w:t>2013) &lt;</w:t>
      </w:r>
      <w:hyperlink r:id="rId153" w:history="1">
        <w:r w:rsidRPr="001B6705">
          <w:rPr>
            <w:rStyle w:val="Hyperlink"/>
            <w:sz w:val="20"/>
            <w:szCs w:val="20"/>
            <w:vertAlign w:val="baseline"/>
          </w:rPr>
          <w:t>http://www.np.undp.org/content/nepal/en/home/countryinfo.html</w:t>
        </w:r>
      </w:hyperlink>
      <w:r w:rsidRPr="001B6705">
        <w:rPr>
          <w:sz w:val="20"/>
          <w:szCs w:val="20"/>
          <w:vertAlign w:val="baseline"/>
        </w:rPr>
        <w:t>&gt; accessed 26 August 2015</w:t>
      </w:r>
    </w:p>
  </w:footnote>
  <w:footnote w:id="1231">
    <w:p w14:paraId="340B8D25" w14:textId="7C69DCF8" w:rsidR="00431A55" w:rsidRPr="001B6705" w:rsidRDefault="00431A55" w:rsidP="008C3633">
      <w:pPr>
        <w:pStyle w:val="FootnoteText"/>
        <w:rPr>
          <w:sz w:val="20"/>
          <w:szCs w:val="20"/>
          <w:vertAlign w:val="baseline"/>
          <w:lang w:val="en-US"/>
        </w:rPr>
      </w:pPr>
      <w:r w:rsidRPr="001B6705">
        <w:rPr>
          <w:rStyle w:val="FootnoteReference"/>
          <w:sz w:val="20"/>
          <w:szCs w:val="20"/>
        </w:rPr>
        <w:footnoteRef/>
      </w:r>
      <w:r w:rsidRPr="001B6705">
        <w:rPr>
          <w:sz w:val="20"/>
          <w:szCs w:val="20"/>
          <w:vertAlign w:val="baseline"/>
        </w:rPr>
        <w:t xml:space="preserve"> </w:t>
      </w:r>
      <w:r w:rsidRPr="001B6705">
        <w:rPr>
          <w:sz w:val="20"/>
          <w:szCs w:val="20"/>
          <w:vertAlign w:val="baseline"/>
          <w:lang w:val="en-US"/>
        </w:rPr>
        <w:t xml:space="preserve">Euan McKirdy and Sugam Pokharel, ‘Protesters in western Nepal kill police with spears, axes’ </w:t>
      </w:r>
      <w:r w:rsidRPr="001B6705">
        <w:rPr>
          <w:i/>
          <w:sz w:val="20"/>
          <w:szCs w:val="20"/>
          <w:vertAlign w:val="baseline"/>
          <w:lang w:val="en-US"/>
        </w:rPr>
        <w:t xml:space="preserve">CNN </w:t>
      </w:r>
      <w:r w:rsidRPr="001B6705">
        <w:rPr>
          <w:sz w:val="20"/>
          <w:szCs w:val="20"/>
          <w:vertAlign w:val="baseline"/>
          <w:lang w:val="en-US"/>
        </w:rPr>
        <w:t>(Kathmandu, 25 August 2015) &lt;</w:t>
      </w:r>
      <w:hyperlink r:id="rId154" w:history="1">
        <w:r w:rsidRPr="001B6705">
          <w:rPr>
            <w:rStyle w:val="Hyperlink"/>
            <w:sz w:val="20"/>
            <w:szCs w:val="20"/>
            <w:vertAlign w:val="baseline"/>
            <w:lang w:val="en-US"/>
          </w:rPr>
          <w:t>http://edition.cnn.com/2015/08/25/asia/nepal-police-protester-deaths/</w:t>
        </w:r>
      </w:hyperlink>
      <w:r w:rsidRPr="001B6705">
        <w:rPr>
          <w:sz w:val="20"/>
          <w:szCs w:val="20"/>
          <w:vertAlign w:val="baseline"/>
          <w:lang w:val="en-US"/>
        </w:rPr>
        <w:t xml:space="preserve">&gt; accessed 26 August 2015; Corey Charlton, ‘One police officer is burned alive and six others are hacked to death with axes and scythes by protestors in Nepal as thousands demonstrate against country’s new constitution’ </w:t>
      </w:r>
      <w:r>
        <w:rPr>
          <w:i/>
          <w:sz w:val="20"/>
          <w:szCs w:val="20"/>
          <w:vertAlign w:val="baseline"/>
          <w:lang w:val="en-US"/>
        </w:rPr>
        <w:t>Daily Mail</w:t>
      </w:r>
      <w:r w:rsidRPr="001B6705">
        <w:rPr>
          <w:i/>
          <w:sz w:val="20"/>
          <w:szCs w:val="20"/>
          <w:vertAlign w:val="baseline"/>
          <w:lang w:val="en-US"/>
        </w:rPr>
        <w:t xml:space="preserve"> </w:t>
      </w:r>
      <w:r w:rsidRPr="001B6705">
        <w:rPr>
          <w:sz w:val="20"/>
          <w:szCs w:val="20"/>
          <w:vertAlign w:val="baseline"/>
          <w:lang w:val="en-US"/>
        </w:rPr>
        <w:t>(London, 25 August 2015)</w:t>
      </w:r>
    </w:p>
  </w:footnote>
  <w:footnote w:id="1232">
    <w:p w14:paraId="3A32964D" w14:textId="7CD2B3B1" w:rsidR="00431A55" w:rsidRPr="001B6705" w:rsidRDefault="00431A55" w:rsidP="008C3633">
      <w:pPr>
        <w:pStyle w:val="FootnoteText"/>
        <w:rPr>
          <w:sz w:val="20"/>
          <w:szCs w:val="20"/>
          <w:vertAlign w:val="baseline"/>
        </w:rPr>
      </w:pPr>
      <w:r w:rsidRPr="001B6705">
        <w:rPr>
          <w:rStyle w:val="FootnoteReference"/>
          <w:sz w:val="20"/>
          <w:szCs w:val="20"/>
        </w:rPr>
        <w:footnoteRef/>
      </w:r>
      <w:r w:rsidRPr="001B6705">
        <w:rPr>
          <w:sz w:val="20"/>
          <w:szCs w:val="20"/>
          <w:vertAlign w:val="baseline"/>
        </w:rPr>
        <w:t xml:space="preserve"> ‘Nepal clashes at protest over constitution leave eight dead’ </w:t>
      </w:r>
      <w:r w:rsidRPr="001B6705">
        <w:rPr>
          <w:i/>
          <w:sz w:val="20"/>
          <w:szCs w:val="20"/>
          <w:vertAlign w:val="baseline"/>
        </w:rPr>
        <w:t xml:space="preserve">BBC News </w:t>
      </w:r>
      <w:r w:rsidRPr="001B6705">
        <w:rPr>
          <w:sz w:val="20"/>
          <w:szCs w:val="20"/>
          <w:vertAlign w:val="baseline"/>
        </w:rPr>
        <w:t>(Asia, 24 August 2015)</w:t>
      </w:r>
    </w:p>
  </w:footnote>
  <w:footnote w:id="1233">
    <w:p w14:paraId="41BCDF9A" w14:textId="77777777" w:rsidR="00431A55" w:rsidRPr="005711B7" w:rsidRDefault="00431A55" w:rsidP="008C3633">
      <w:pPr>
        <w:pStyle w:val="FootnoteText"/>
        <w:rPr>
          <w:lang w:val="en-US"/>
        </w:rPr>
      </w:pPr>
      <w:r w:rsidRPr="001B6705">
        <w:rPr>
          <w:rStyle w:val="FootnoteReference"/>
          <w:sz w:val="20"/>
          <w:szCs w:val="20"/>
        </w:rPr>
        <w:footnoteRef/>
      </w:r>
      <w:r w:rsidRPr="001B6705">
        <w:rPr>
          <w:sz w:val="20"/>
          <w:szCs w:val="20"/>
          <w:vertAlign w:val="baseline"/>
        </w:rPr>
        <w:t xml:space="preserve"> </w:t>
      </w:r>
      <w:r w:rsidRPr="001B6705">
        <w:rPr>
          <w:sz w:val="20"/>
          <w:szCs w:val="20"/>
          <w:vertAlign w:val="baseline"/>
          <w:lang w:val="en-US"/>
        </w:rPr>
        <w:t>Interim Constitution of Nepal 2063 (2007)</w:t>
      </w:r>
    </w:p>
  </w:footnote>
  <w:footnote w:id="1234">
    <w:p w14:paraId="05DAEE04" w14:textId="406A75F8" w:rsidR="00431A55" w:rsidRPr="00E828DE" w:rsidRDefault="00431A55" w:rsidP="008C3633">
      <w:pPr>
        <w:pStyle w:val="FootnoteText"/>
        <w:rPr>
          <w:sz w:val="20"/>
          <w:szCs w:val="20"/>
          <w:vertAlign w:val="baseline"/>
          <w:lang w:val="en-US"/>
        </w:rPr>
      </w:pPr>
      <w:r w:rsidRPr="00E828DE">
        <w:rPr>
          <w:rStyle w:val="FootnoteReference"/>
          <w:sz w:val="20"/>
          <w:szCs w:val="20"/>
        </w:rPr>
        <w:footnoteRef/>
      </w:r>
      <w:r w:rsidRPr="00E828DE">
        <w:rPr>
          <w:sz w:val="20"/>
          <w:szCs w:val="20"/>
          <w:vertAlign w:val="baseline"/>
        </w:rPr>
        <w:t xml:space="preserve"> </w:t>
      </w:r>
      <w:r>
        <w:rPr>
          <w:sz w:val="20"/>
          <w:szCs w:val="20"/>
          <w:vertAlign w:val="baseline"/>
        </w:rPr>
        <w:t xml:space="preserve">ibid, </w:t>
      </w:r>
      <w:r w:rsidRPr="00E828DE">
        <w:rPr>
          <w:sz w:val="20"/>
          <w:szCs w:val="20"/>
          <w:vertAlign w:val="baseline"/>
          <w:lang w:val="en-US"/>
        </w:rPr>
        <w:t xml:space="preserve">Article 20 </w:t>
      </w:r>
    </w:p>
  </w:footnote>
  <w:footnote w:id="1235">
    <w:p w14:paraId="3AE9C57A" w14:textId="666B60B9" w:rsidR="00431A55" w:rsidRPr="00E828DE" w:rsidRDefault="00431A55" w:rsidP="008C3633">
      <w:pPr>
        <w:pStyle w:val="FootnoteText"/>
        <w:rPr>
          <w:sz w:val="20"/>
          <w:szCs w:val="20"/>
          <w:vertAlign w:val="baseline"/>
          <w:lang w:val="en-US"/>
        </w:rPr>
      </w:pPr>
      <w:r w:rsidRPr="00E828DE">
        <w:rPr>
          <w:rStyle w:val="FootnoteReference"/>
          <w:sz w:val="20"/>
          <w:szCs w:val="20"/>
        </w:rPr>
        <w:footnoteRef/>
      </w:r>
      <w:r w:rsidRPr="00E828DE">
        <w:rPr>
          <w:sz w:val="20"/>
          <w:szCs w:val="20"/>
          <w:vertAlign w:val="baseline"/>
        </w:rPr>
        <w:t xml:space="preserve"> </w:t>
      </w:r>
      <w:r>
        <w:rPr>
          <w:sz w:val="20"/>
          <w:szCs w:val="20"/>
          <w:vertAlign w:val="baseline"/>
        </w:rPr>
        <w:t xml:space="preserve">ibid, </w:t>
      </w:r>
      <w:r>
        <w:rPr>
          <w:sz w:val="20"/>
          <w:szCs w:val="20"/>
          <w:vertAlign w:val="baseline"/>
          <w:lang w:val="en-US"/>
        </w:rPr>
        <w:t>Article 28</w:t>
      </w:r>
    </w:p>
  </w:footnote>
  <w:footnote w:id="1236">
    <w:p w14:paraId="3549B1BD" w14:textId="77777777" w:rsidR="00431A55" w:rsidRPr="00E828DE" w:rsidRDefault="00431A55" w:rsidP="008C3633">
      <w:pPr>
        <w:rPr>
          <w:rFonts w:eastAsia="Times New Roman" w:cs="Times New Roman"/>
          <w:vertAlign w:val="baseline"/>
        </w:rPr>
      </w:pPr>
      <w:r w:rsidRPr="00E828DE">
        <w:rPr>
          <w:rStyle w:val="FootnoteReference"/>
        </w:rPr>
        <w:footnoteRef/>
      </w:r>
      <w:r w:rsidRPr="00E828DE">
        <w:rPr>
          <w:vertAlign w:val="baseline"/>
        </w:rPr>
        <w:t xml:space="preserve"> OHCHR, ‘The Situation of Dalit Rural Women’ </w:t>
      </w:r>
      <w:r w:rsidRPr="00E828DE">
        <w:rPr>
          <w:rFonts w:eastAsia="Times New Roman" w:cs="Times New Roman"/>
          <w:vertAlign w:val="baseline"/>
        </w:rPr>
        <w:t>Submission to Discussion on CEDAW General Comment on rural women – Article 14’ (</w:t>
      </w:r>
      <w:r w:rsidRPr="00E828DE">
        <w:rPr>
          <w:rFonts w:eastAsia="Times New Roman" w:cs="Times New Roman"/>
          <w:i/>
          <w:vertAlign w:val="baseline"/>
        </w:rPr>
        <w:t xml:space="preserve">Navsarjan Trust (India), FEDO (Nepal) and the International Dalit Solidarity Network, </w:t>
      </w:r>
      <w:r w:rsidRPr="00E828DE">
        <w:rPr>
          <w:rFonts w:eastAsia="Times New Roman" w:cs="Times New Roman"/>
          <w:vertAlign w:val="baseline"/>
        </w:rPr>
        <w:t>September 2013) &lt;</w:t>
      </w:r>
      <w:hyperlink r:id="rId155" w:history="1">
        <w:r w:rsidRPr="00E828DE">
          <w:rPr>
            <w:rStyle w:val="Hyperlink"/>
            <w:rFonts w:eastAsia="Times New Roman" w:cs="Times New Roman"/>
            <w:vertAlign w:val="baseline"/>
          </w:rPr>
          <w:t>http://www.ohchr.org/Documents/HRBodies/CEDAW/RuralWomen/FEDONavsarjanTrustIDS.pdf</w:t>
        </w:r>
      </w:hyperlink>
      <w:r w:rsidRPr="00E828DE">
        <w:rPr>
          <w:rFonts w:eastAsia="Times New Roman" w:cs="Times New Roman"/>
          <w:vertAlign w:val="baseline"/>
        </w:rPr>
        <w:t>&gt; accessed 26 August 2015</w:t>
      </w:r>
    </w:p>
  </w:footnote>
  <w:footnote w:id="1237">
    <w:p w14:paraId="67346006" w14:textId="77777777" w:rsidR="00431A55" w:rsidRPr="00E828DE" w:rsidRDefault="00431A55" w:rsidP="008C3633">
      <w:pPr>
        <w:pStyle w:val="FootnoteText"/>
        <w:rPr>
          <w:sz w:val="20"/>
          <w:szCs w:val="20"/>
          <w:vertAlign w:val="baseline"/>
        </w:rPr>
      </w:pPr>
      <w:r w:rsidRPr="00E828DE">
        <w:rPr>
          <w:rStyle w:val="FootnoteReference"/>
          <w:sz w:val="20"/>
          <w:szCs w:val="20"/>
        </w:rPr>
        <w:footnoteRef/>
      </w:r>
      <w:r w:rsidRPr="00E828DE">
        <w:rPr>
          <w:sz w:val="20"/>
          <w:szCs w:val="20"/>
        </w:rPr>
        <w:t xml:space="preserve"> </w:t>
      </w:r>
      <w:r w:rsidRPr="00E828DE">
        <w:rPr>
          <w:sz w:val="20"/>
          <w:szCs w:val="20"/>
          <w:vertAlign w:val="baseline"/>
        </w:rPr>
        <w:t>UNESCAP, ‘Harmful Traditional Practices in Three Countries of South Asia: culture, human rights and violence against women’ Gender and Development</w:t>
      </w:r>
    </w:p>
    <w:p w14:paraId="5F54A124" w14:textId="573FE089" w:rsidR="00431A55" w:rsidRPr="00E828DE" w:rsidRDefault="00431A55" w:rsidP="008C3633">
      <w:pPr>
        <w:pStyle w:val="FootnoteText"/>
        <w:rPr>
          <w:sz w:val="20"/>
          <w:szCs w:val="20"/>
          <w:vertAlign w:val="baseline"/>
        </w:rPr>
      </w:pPr>
      <w:r w:rsidRPr="00E828DE">
        <w:rPr>
          <w:sz w:val="20"/>
          <w:szCs w:val="20"/>
          <w:vertAlign w:val="baseline"/>
        </w:rPr>
        <w:t>Discussion Paper Series No. 21, ST/ESCAP/2530</w:t>
      </w:r>
      <w:r>
        <w:rPr>
          <w:sz w:val="20"/>
          <w:szCs w:val="20"/>
          <w:vertAlign w:val="baseline"/>
        </w:rPr>
        <w:t xml:space="preserve">, </w:t>
      </w:r>
      <w:r w:rsidRPr="00E828DE">
        <w:rPr>
          <w:sz w:val="20"/>
          <w:szCs w:val="20"/>
          <w:vertAlign w:val="baseline"/>
          <w:lang w:val="en-US"/>
        </w:rPr>
        <w:t>29</w:t>
      </w:r>
    </w:p>
  </w:footnote>
  <w:footnote w:id="1238">
    <w:p w14:paraId="4CB6CF8C" w14:textId="77777777" w:rsidR="00431A55" w:rsidRPr="00DE75B8" w:rsidRDefault="00431A55" w:rsidP="008C3633">
      <w:pPr>
        <w:pStyle w:val="FootnoteText"/>
        <w:rPr>
          <w:lang w:val="en-US"/>
        </w:rPr>
      </w:pPr>
      <w:r w:rsidRPr="00E828DE">
        <w:rPr>
          <w:rStyle w:val="FootnoteReference"/>
          <w:sz w:val="20"/>
          <w:szCs w:val="20"/>
        </w:rPr>
        <w:footnoteRef/>
      </w:r>
      <w:r w:rsidRPr="00E828DE">
        <w:rPr>
          <w:sz w:val="20"/>
          <w:szCs w:val="20"/>
          <w:vertAlign w:val="baseline"/>
        </w:rPr>
        <w:t xml:space="preserve"> </w:t>
      </w:r>
      <w:r w:rsidRPr="00E828DE">
        <w:rPr>
          <w:sz w:val="20"/>
          <w:szCs w:val="20"/>
          <w:vertAlign w:val="baseline"/>
          <w:lang w:val="en-US"/>
        </w:rPr>
        <w:t>UNICEF, ‘Nepal: Statistics’ (</w:t>
      </w:r>
      <w:r w:rsidRPr="00E828DE">
        <w:rPr>
          <w:i/>
          <w:sz w:val="20"/>
          <w:szCs w:val="20"/>
          <w:vertAlign w:val="baseline"/>
          <w:lang w:val="en-US"/>
        </w:rPr>
        <w:t xml:space="preserve">UNICEF, </w:t>
      </w:r>
      <w:r w:rsidRPr="00E828DE">
        <w:rPr>
          <w:sz w:val="20"/>
          <w:szCs w:val="20"/>
          <w:vertAlign w:val="baseline"/>
          <w:lang w:val="en-US"/>
        </w:rPr>
        <w:t>27 December 2013) &lt;</w:t>
      </w:r>
      <w:hyperlink r:id="rId156" w:history="1">
        <w:r w:rsidRPr="00E828DE">
          <w:rPr>
            <w:rStyle w:val="Hyperlink"/>
            <w:sz w:val="20"/>
            <w:szCs w:val="20"/>
            <w:vertAlign w:val="baseline"/>
            <w:lang w:val="en-US"/>
          </w:rPr>
          <w:t>http://www.unicef.org/infobycountry/nepal_nepal_statistics.html</w:t>
        </w:r>
      </w:hyperlink>
      <w:r w:rsidRPr="00E828DE">
        <w:rPr>
          <w:sz w:val="20"/>
          <w:szCs w:val="20"/>
          <w:vertAlign w:val="baseline"/>
          <w:lang w:val="en-US"/>
        </w:rPr>
        <w:t>&gt; accessed 26 August 2015</w:t>
      </w:r>
    </w:p>
  </w:footnote>
  <w:footnote w:id="1239">
    <w:p w14:paraId="515F35F0" w14:textId="66764F51" w:rsidR="00431A55" w:rsidRPr="00C02486" w:rsidRDefault="00431A55">
      <w:pPr>
        <w:pStyle w:val="FootnoteText"/>
        <w:rPr>
          <w:sz w:val="20"/>
          <w:szCs w:val="20"/>
          <w:vertAlign w:val="baseline"/>
          <w:lang w:val="en-US"/>
        </w:rPr>
      </w:pPr>
      <w:r w:rsidRPr="00C02486">
        <w:rPr>
          <w:rStyle w:val="FootnoteReference"/>
          <w:sz w:val="20"/>
          <w:szCs w:val="20"/>
        </w:rPr>
        <w:footnoteRef/>
      </w:r>
      <w:r w:rsidRPr="00C02486">
        <w:rPr>
          <w:sz w:val="20"/>
          <w:szCs w:val="20"/>
        </w:rPr>
        <w:t xml:space="preserve"> </w:t>
      </w:r>
      <w:r>
        <w:rPr>
          <w:sz w:val="20"/>
          <w:szCs w:val="20"/>
          <w:vertAlign w:val="baseline"/>
        </w:rPr>
        <w:t>Section 4.5.1, 159</w:t>
      </w:r>
    </w:p>
  </w:footnote>
  <w:footnote w:id="1240">
    <w:p w14:paraId="1C451629" w14:textId="77777777" w:rsidR="00431A55" w:rsidRPr="00060B12" w:rsidRDefault="00431A55" w:rsidP="008C3633">
      <w:pPr>
        <w:pStyle w:val="FootnoteText"/>
        <w:rPr>
          <w:sz w:val="20"/>
          <w:szCs w:val="20"/>
          <w:vertAlign w:val="baseline"/>
          <w:lang w:val="en-US"/>
        </w:rPr>
      </w:pPr>
      <w:r w:rsidRPr="00060B12">
        <w:rPr>
          <w:rStyle w:val="FootnoteReference"/>
          <w:sz w:val="20"/>
          <w:szCs w:val="20"/>
        </w:rPr>
        <w:footnoteRef/>
      </w:r>
      <w:r w:rsidRPr="00060B12">
        <w:rPr>
          <w:sz w:val="20"/>
          <w:szCs w:val="20"/>
          <w:vertAlign w:val="baseline"/>
        </w:rPr>
        <w:t xml:space="preserve"> </w:t>
      </w:r>
      <w:r w:rsidRPr="00060B12">
        <w:rPr>
          <w:sz w:val="20"/>
          <w:szCs w:val="20"/>
          <w:vertAlign w:val="baseline"/>
          <w:lang w:val="en-US"/>
        </w:rPr>
        <w:t>Muluki Ain 1963, Part IV, Chapter 19 ‘On Decency/Etiquette (Adal) Numbers 9, 10</w:t>
      </w:r>
    </w:p>
  </w:footnote>
  <w:footnote w:id="1241">
    <w:p w14:paraId="216FF6BE" w14:textId="77777777" w:rsidR="00431A55" w:rsidRPr="00060B12" w:rsidRDefault="00431A55" w:rsidP="008C3633">
      <w:pPr>
        <w:pStyle w:val="FootnoteText"/>
        <w:rPr>
          <w:sz w:val="20"/>
          <w:szCs w:val="20"/>
          <w:vertAlign w:val="baseline"/>
          <w:lang w:val="en-US"/>
        </w:rPr>
      </w:pPr>
      <w:r w:rsidRPr="00060B12">
        <w:rPr>
          <w:rStyle w:val="FootnoteReference"/>
          <w:sz w:val="20"/>
          <w:szCs w:val="20"/>
        </w:rPr>
        <w:footnoteRef/>
      </w:r>
      <w:r w:rsidRPr="00060B12">
        <w:rPr>
          <w:sz w:val="20"/>
          <w:szCs w:val="20"/>
        </w:rPr>
        <w:t xml:space="preserve"> </w:t>
      </w:r>
      <w:r w:rsidRPr="00060B12">
        <w:rPr>
          <w:sz w:val="20"/>
          <w:szCs w:val="20"/>
          <w:vertAlign w:val="baseline"/>
          <w:lang w:val="en-US"/>
        </w:rPr>
        <w:t xml:space="preserve">See Ramjee P. Parajulee, </w:t>
      </w:r>
      <w:r w:rsidRPr="00060B12">
        <w:rPr>
          <w:i/>
          <w:sz w:val="20"/>
          <w:szCs w:val="20"/>
          <w:vertAlign w:val="baseline"/>
          <w:lang w:val="en-US"/>
        </w:rPr>
        <w:t>The Democratic Transition in Nepal</w:t>
      </w:r>
      <w:r w:rsidRPr="00060B12">
        <w:rPr>
          <w:sz w:val="20"/>
          <w:szCs w:val="20"/>
          <w:vertAlign w:val="baseline"/>
          <w:lang w:val="en-US"/>
        </w:rPr>
        <w:t xml:space="preserve"> (Rowman and Littlefield 2000)</w:t>
      </w:r>
    </w:p>
  </w:footnote>
  <w:footnote w:id="1242">
    <w:p w14:paraId="5F599450" w14:textId="77777777" w:rsidR="00431A55" w:rsidRPr="00060B12" w:rsidRDefault="00431A55" w:rsidP="008C3633">
      <w:pPr>
        <w:pStyle w:val="FootnoteText"/>
        <w:rPr>
          <w:sz w:val="20"/>
          <w:szCs w:val="20"/>
          <w:vertAlign w:val="baseline"/>
          <w:lang w:val="en-US"/>
        </w:rPr>
      </w:pPr>
      <w:r w:rsidRPr="00060B12">
        <w:rPr>
          <w:rStyle w:val="FootnoteReference"/>
          <w:sz w:val="20"/>
          <w:szCs w:val="20"/>
        </w:rPr>
        <w:footnoteRef/>
      </w:r>
      <w:r w:rsidRPr="00060B12">
        <w:rPr>
          <w:sz w:val="20"/>
          <w:szCs w:val="20"/>
        </w:rPr>
        <w:t xml:space="preserve"> </w:t>
      </w:r>
      <w:r w:rsidRPr="00060B12">
        <w:rPr>
          <w:sz w:val="20"/>
          <w:szCs w:val="20"/>
          <w:vertAlign w:val="baseline"/>
        </w:rPr>
        <w:t>Kanak Bikram Thapa, ‘Religion and Law in Nepal,’ International Centre for Law and Religion Studies, 517 &lt;</w:t>
      </w:r>
      <w:hyperlink r:id="rId157" w:history="1">
        <w:r w:rsidRPr="00060B12">
          <w:rPr>
            <w:rStyle w:val="Hyperlink"/>
            <w:sz w:val="20"/>
            <w:szCs w:val="20"/>
            <w:vertAlign w:val="baseline"/>
          </w:rPr>
          <w:t>http://www.iclrs.org/content/blurb/files/Nepal.pdf</w:t>
        </w:r>
      </w:hyperlink>
      <w:r w:rsidRPr="00060B12">
        <w:rPr>
          <w:sz w:val="20"/>
          <w:szCs w:val="20"/>
          <w:vertAlign w:val="baseline"/>
        </w:rPr>
        <w:t>&gt; accessed 7 October 2015</w:t>
      </w:r>
    </w:p>
  </w:footnote>
  <w:footnote w:id="1243">
    <w:p w14:paraId="0A9BB13C" w14:textId="09174A72" w:rsidR="00431A55" w:rsidRPr="00060B12" w:rsidRDefault="00431A55" w:rsidP="008C3633">
      <w:pPr>
        <w:pStyle w:val="FootnoteText"/>
        <w:rPr>
          <w:sz w:val="20"/>
          <w:szCs w:val="20"/>
          <w:vertAlign w:val="baseline"/>
          <w:lang w:val="en-US"/>
        </w:rPr>
      </w:pPr>
      <w:r w:rsidRPr="00060B12">
        <w:rPr>
          <w:rStyle w:val="FootnoteReference"/>
          <w:sz w:val="20"/>
          <w:szCs w:val="20"/>
        </w:rPr>
        <w:footnoteRef/>
      </w:r>
      <w:r w:rsidRPr="00060B12">
        <w:rPr>
          <w:sz w:val="20"/>
          <w:szCs w:val="20"/>
          <w:vertAlign w:val="baseline"/>
        </w:rPr>
        <w:t xml:space="preserve"> </w:t>
      </w:r>
      <w:r>
        <w:rPr>
          <w:sz w:val="20"/>
          <w:szCs w:val="20"/>
          <w:vertAlign w:val="baseline"/>
        </w:rPr>
        <w:t>ibid</w:t>
      </w:r>
    </w:p>
  </w:footnote>
  <w:footnote w:id="1244">
    <w:p w14:paraId="11EAFB0E" w14:textId="217E9ECC" w:rsidR="00431A55" w:rsidRPr="00060B12" w:rsidRDefault="00431A55" w:rsidP="008C3633">
      <w:pPr>
        <w:pStyle w:val="FootnoteText"/>
        <w:rPr>
          <w:sz w:val="20"/>
          <w:szCs w:val="20"/>
          <w:vertAlign w:val="baseline"/>
          <w:lang w:val="en-US"/>
        </w:rPr>
      </w:pPr>
      <w:r w:rsidRPr="00060B12">
        <w:rPr>
          <w:rStyle w:val="FootnoteReference"/>
          <w:sz w:val="20"/>
          <w:szCs w:val="20"/>
        </w:rPr>
        <w:footnoteRef/>
      </w:r>
      <w:r w:rsidRPr="00060B12">
        <w:rPr>
          <w:sz w:val="20"/>
          <w:szCs w:val="20"/>
          <w:vertAlign w:val="baseline"/>
        </w:rPr>
        <w:t xml:space="preserve"> </w:t>
      </w:r>
      <w:r w:rsidRPr="00060B12">
        <w:rPr>
          <w:sz w:val="20"/>
          <w:szCs w:val="20"/>
          <w:vertAlign w:val="baseline"/>
          <w:lang w:val="en-US"/>
        </w:rPr>
        <w:t>Ghosh</w:t>
      </w:r>
      <w:r>
        <w:rPr>
          <w:sz w:val="20"/>
          <w:szCs w:val="20"/>
          <w:vertAlign w:val="baseline"/>
          <w:lang w:val="en-US"/>
        </w:rPr>
        <w:t xml:space="preserve"> (n 1088) </w:t>
      </w:r>
      <w:r w:rsidRPr="00060B12">
        <w:rPr>
          <w:sz w:val="20"/>
          <w:szCs w:val="20"/>
          <w:vertAlign w:val="baseline"/>
          <w:lang w:val="en-US"/>
        </w:rPr>
        <w:t>191</w:t>
      </w:r>
    </w:p>
  </w:footnote>
  <w:footnote w:id="1245">
    <w:p w14:paraId="7EADFAA9" w14:textId="329BCBC0" w:rsidR="00431A55" w:rsidRPr="00060B12" w:rsidRDefault="00431A55" w:rsidP="008C3633">
      <w:pPr>
        <w:pStyle w:val="FootnoteText"/>
        <w:rPr>
          <w:sz w:val="20"/>
          <w:szCs w:val="20"/>
          <w:vertAlign w:val="baseline"/>
          <w:lang w:val="en-US"/>
        </w:rPr>
      </w:pPr>
      <w:r w:rsidRPr="00060B12">
        <w:rPr>
          <w:rStyle w:val="FootnoteReference"/>
          <w:sz w:val="20"/>
          <w:szCs w:val="20"/>
        </w:rPr>
        <w:footnoteRef/>
      </w:r>
      <w:r w:rsidRPr="00060B12">
        <w:rPr>
          <w:sz w:val="20"/>
          <w:szCs w:val="20"/>
        </w:rPr>
        <w:t xml:space="preserve"> </w:t>
      </w:r>
      <w:r>
        <w:rPr>
          <w:sz w:val="20"/>
          <w:szCs w:val="20"/>
          <w:vertAlign w:val="baseline"/>
        </w:rPr>
        <w:t xml:space="preserve">Thapa (n 1242) </w:t>
      </w:r>
      <w:r w:rsidRPr="00060B12">
        <w:rPr>
          <w:sz w:val="20"/>
          <w:szCs w:val="20"/>
          <w:vertAlign w:val="baseline"/>
        </w:rPr>
        <w:t>518</w:t>
      </w:r>
    </w:p>
  </w:footnote>
  <w:footnote w:id="1246">
    <w:p w14:paraId="73761689" w14:textId="109691BF" w:rsidR="00431A55" w:rsidRPr="005B5B78" w:rsidRDefault="00431A55" w:rsidP="008C3633">
      <w:pPr>
        <w:pStyle w:val="FootnoteText"/>
        <w:rPr>
          <w:lang w:val="en-US"/>
        </w:rPr>
      </w:pPr>
      <w:r w:rsidRPr="00060B12">
        <w:rPr>
          <w:rStyle w:val="FootnoteReference"/>
          <w:sz w:val="20"/>
          <w:szCs w:val="20"/>
        </w:rPr>
        <w:footnoteRef/>
      </w:r>
      <w:r w:rsidRPr="00060B12">
        <w:rPr>
          <w:sz w:val="20"/>
          <w:szCs w:val="20"/>
        </w:rPr>
        <w:t xml:space="preserve"> </w:t>
      </w:r>
      <w:r w:rsidRPr="00060B12">
        <w:rPr>
          <w:sz w:val="20"/>
          <w:szCs w:val="20"/>
          <w:vertAlign w:val="baseline"/>
          <w:lang w:val="en-US"/>
        </w:rPr>
        <w:t>Ghosh</w:t>
      </w:r>
      <w:r>
        <w:rPr>
          <w:sz w:val="20"/>
          <w:szCs w:val="20"/>
          <w:vertAlign w:val="baseline"/>
          <w:lang w:val="en-US"/>
        </w:rPr>
        <w:t xml:space="preserve"> (n 1088) </w:t>
      </w:r>
      <w:r w:rsidRPr="00060B12">
        <w:rPr>
          <w:sz w:val="20"/>
          <w:szCs w:val="20"/>
          <w:vertAlign w:val="baseline"/>
          <w:lang w:val="en-US"/>
        </w:rPr>
        <w:t>193</w:t>
      </w:r>
    </w:p>
  </w:footnote>
  <w:footnote w:id="1247">
    <w:p w14:paraId="144B6A67" w14:textId="5C5B608B" w:rsidR="00431A55" w:rsidRPr="001D4540" w:rsidRDefault="00431A55" w:rsidP="008C3633">
      <w:pPr>
        <w:pStyle w:val="FootnoteText"/>
        <w:rPr>
          <w:sz w:val="20"/>
          <w:szCs w:val="20"/>
          <w:vertAlign w:val="baseline"/>
          <w:lang w:val="en-US"/>
        </w:rPr>
      </w:pPr>
      <w:r w:rsidRPr="001D4540">
        <w:rPr>
          <w:rStyle w:val="FootnoteReference"/>
          <w:sz w:val="20"/>
          <w:szCs w:val="20"/>
        </w:rPr>
        <w:footnoteRef/>
      </w:r>
      <w:r w:rsidRPr="001D4540">
        <w:rPr>
          <w:sz w:val="20"/>
          <w:szCs w:val="20"/>
          <w:vertAlign w:val="baseline"/>
        </w:rPr>
        <w:t xml:space="preserve"> </w:t>
      </w:r>
      <w:r>
        <w:rPr>
          <w:sz w:val="20"/>
          <w:szCs w:val="20"/>
          <w:vertAlign w:val="baseline"/>
        </w:rPr>
        <w:t xml:space="preserve">Thapa (n 1242) </w:t>
      </w:r>
      <w:r w:rsidRPr="001D4540">
        <w:rPr>
          <w:sz w:val="20"/>
          <w:szCs w:val="20"/>
          <w:vertAlign w:val="baseline"/>
        </w:rPr>
        <w:t xml:space="preserve">520 </w:t>
      </w:r>
    </w:p>
  </w:footnote>
  <w:footnote w:id="1248">
    <w:p w14:paraId="2C3DA2CC" w14:textId="77777777" w:rsidR="00431A55" w:rsidRPr="001D4540" w:rsidRDefault="00431A55" w:rsidP="008C3633">
      <w:pPr>
        <w:pStyle w:val="FootnoteText"/>
        <w:rPr>
          <w:sz w:val="20"/>
          <w:szCs w:val="20"/>
          <w:vertAlign w:val="baseline"/>
          <w:lang w:val="en-US"/>
        </w:rPr>
      </w:pPr>
      <w:r w:rsidRPr="001D4540">
        <w:rPr>
          <w:rStyle w:val="FootnoteReference"/>
          <w:sz w:val="20"/>
          <w:szCs w:val="20"/>
        </w:rPr>
        <w:footnoteRef/>
      </w:r>
      <w:r w:rsidRPr="001D4540">
        <w:rPr>
          <w:sz w:val="20"/>
          <w:szCs w:val="20"/>
          <w:vertAlign w:val="baseline"/>
        </w:rPr>
        <w:t xml:space="preserve"> </w:t>
      </w:r>
      <w:r w:rsidRPr="001D4540">
        <w:rPr>
          <w:sz w:val="20"/>
          <w:szCs w:val="20"/>
          <w:vertAlign w:val="baseline"/>
          <w:lang w:val="en-US"/>
        </w:rPr>
        <w:t>Muluki Ain (General Code) 2020</w:t>
      </w:r>
    </w:p>
  </w:footnote>
  <w:footnote w:id="1249">
    <w:p w14:paraId="539B3A7C" w14:textId="16CA89D0" w:rsidR="00431A55" w:rsidRPr="001D4540" w:rsidRDefault="00431A55" w:rsidP="008C3633">
      <w:pPr>
        <w:pStyle w:val="FootnoteText"/>
        <w:rPr>
          <w:sz w:val="20"/>
          <w:szCs w:val="20"/>
          <w:vertAlign w:val="baseline"/>
          <w:lang w:val="en-US"/>
        </w:rPr>
      </w:pPr>
      <w:r w:rsidRPr="001D4540">
        <w:rPr>
          <w:rStyle w:val="FootnoteReference"/>
          <w:sz w:val="20"/>
          <w:szCs w:val="20"/>
        </w:rPr>
        <w:footnoteRef/>
      </w:r>
      <w:r w:rsidRPr="001D4540">
        <w:rPr>
          <w:sz w:val="20"/>
          <w:szCs w:val="20"/>
          <w:vertAlign w:val="baseline"/>
        </w:rPr>
        <w:t xml:space="preserve"> </w:t>
      </w:r>
      <w:r>
        <w:rPr>
          <w:sz w:val="20"/>
          <w:szCs w:val="20"/>
          <w:vertAlign w:val="baseline"/>
        </w:rPr>
        <w:t xml:space="preserve">ibid, </w:t>
      </w:r>
      <w:r w:rsidRPr="001D4540">
        <w:rPr>
          <w:sz w:val="20"/>
          <w:szCs w:val="20"/>
          <w:vertAlign w:val="baseline"/>
          <w:lang w:val="en-US"/>
        </w:rPr>
        <w:t xml:space="preserve">Number 10B </w:t>
      </w:r>
    </w:p>
  </w:footnote>
  <w:footnote w:id="1250">
    <w:p w14:paraId="051F80BD" w14:textId="77777777" w:rsidR="00431A55" w:rsidRPr="001D4540" w:rsidRDefault="00431A55" w:rsidP="008C3633">
      <w:pPr>
        <w:pStyle w:val="FootnoteText"/>
        <w:rPr>
          <w:sz w:val="20"/>
          <w:szCs w:val="20"/>
          <w:vertAlign w:val="baseline"/>
          <w:lang w:val="en-US"/>
        </w:rPr>
      </w:pPr>
      <w:r w:rsidRPr="001D4540">
        <w:rPr>
          <w:rStyle w:val="FootnoteReference"/>
          <w:sz w:val="20"/>
          <w:szCs w:val="20"/>
        </w:rPr>
        <w:footnoteRef/>
      </w:r>
      <w:r w:rsidRPr="001D4540">
        <w:rPr>
          <w:sz w:val="20"/>
          <w:szCs w:val="20"/>
        </w:rPr>
        <w:t xml:space="preserve"> </w:t>
      </w:r>
      <w:r w:rsidRPr="001D4540">
        <w:rPr>
          <w:sz w:val="20"/>
          <w:szCs w:val="20"/>
          <w:vertAlign w:val="baseline"/>
        </w:rPr>
        <w:t xml:space="preserve">Sapana Pradhan Malla, </w:t>
      </w:r>
      <w:r w:rsidRPr="001D4540">
        <w:rPr>
          <w:sz w:val="20"/>
          <w:szCs w:val="20"/>
          <w:vertAlign w:val="baseline"/>
          <w:lang w:val="en-US"/>
        </w:rPr>
        <w:t>Founder for Women, Law and Development &lt;</w:t>
      </w:r>
      <w:hyperlink r:id="rId158" w:history="1">
        <w:r w:rsidRPr="001D4540">
          <w:rPr>
            <w:rStyle w:val="Hyperlink"/>
            <w:sz w:val="20"/>
            <w:szCs w:val="20"/>
            <w:vertAlign w:val="baseline"/>
            <w:lang w:val="en-US"/>
          </w:rPr>
          <w:t>http://www.fwld.org/</w:t>
        </w:r>
      </w:hyperlink>
      <w:r w:rsidRPr="001D4540">
        <w:rPr>
          <w:sz w:val="20"/>
          <w:szCs w:val="20"/>
          <w:vertAlign w:val="baseline"/>
          <w:lang w:val="en-US"/>
        </w:rPr>
        <w:t>&gt; accessed 26 August 2015</w:t>
      </w:r>
    </w:p>
  </w:footnote>
  <w:footnote w:id="1251">
    <w:p w14:paraId="249A9666" w14:textId="77777777" w:rsidR="00431A55" w:rsidRPr="001E26C6" w:rsidRDefault="00431A55" w:rsidP="008C3633">
      <w:pPr>
        <w:pStyle w:val="FootnoteText"/>
        <w:rPr>
          <w:lang w:val="en-US"/>
        </w:rPr>
      </w:pPr>
      <w:r w:rsidRPr="001D4540">
        <w:rPr>
          <w:rStyle w:val="FootnoteReference"/>
          <w:sz w:val="20"/>
          <w:szCs w:val="20"/>
        </w:rPr>
        <w:footnoteRef/>
      </w:r>
      <w:r w:rsidRPr="001D4540">
        <w:rPr>
          <w:sz w:val="20"/>
          <w:szCs w:val="20"/>
          <w:vertAlign w:val="baseline"/>
        </w:rPr>
        <w:t xml:space="preserve"> </w:t>
      </w:r>
      <w:r w:rsidRPr="001D4540">
        <w:rPr>
          <w:sz w:val="20"/>
          <w:szCs w:val="20"/>
          <w:vertAlign w:val="baseline"/>
          <w:lang w:val="en-US"/>
        </w:rPr>
        <w:t>Mohana Ansari, former spokeswoman for the National Women Commission, Nepal.</w:t>
      </w:r>
    </w:p>
  </w:footnote>
  <w:footnote w:id="1252">
    <w:p w14:paraId="59888252" w14:textId="38ACD7E5" w:rsidR="00431A55" w:rsidRPr="003645D1" w:rsidRDefault="00431A55" w:rsidP="008C3633">
      <w:pPr>
        <w:pStyle w:val="FootnoteText"/>
        <w:rPr>
          <w:sz w:val="20"/>
          <w:szCs w:val="20"/>
          <w:vertAlign w:val="baseline"/>
          <w:lang w:val="en-US"/>
        </w:rPr>
      </w:pPr>
      <w:r w:rsidRPr="003645D1">
        <w:rPr>
          <w:rStyle w:val="FootnoteReference"/>
          <w:sz w:val="20"/>
          <w:szCs w:val="20"/>
        </w:rPr>
        <w:footnoteRef/>
      </w:r>
      <w:r w:rsidRPr="003645D1">
        <w:rPr>
          <w:sz w:val="20"/>
          <w:szCs w:val="20"/>
          <w:vertAlign w:val="baseline"/>
        </w:rPr>
        <w:t xml:space="preserve"> </w:t>
      </w:r>
      <w:r w:rsidRPr="003645D1">
        <w:rPr>
          <w:sz w:val="20"/>
          <w:szCs w:val="20"/>
          <w:vertAlign w:val="baseline"/>
          <w:lang w:val="en-US"/>
        </w:rPr>
        <w:t xml:space="preserve">Mohana Ansari as quoted in Weena Pun, ‘Bill passage could encourage victims to report crime’ </w:t>
      </w:r>
      <w:r w:rsidRPr="003645D1">
        <w:rPr>
          <w:i/>
          <w:sz w:val="20"/>
          <w:szCs w:val="20"/>
          <w:vertAlign w:val="baseline"/>
          <w:lang w:val="en-US"/>
        </w:rPr>
        <w:t xml:space="preserve">The Kathmandu Post </w:t>
      </w:r>
      <w:r w:rsidRPr="003645D1">
        <w:rPr>
          <w:sz w:val="20"/>
          <w:szCs w:val="20"/>
          <w:vertAlign w:val="baseline"/>
          <w:lang w:val="en-US"/>
        </w:rPr>
        <w:t>(Kathmandu, 24 August 2014) &lt;</w:t>
      </w:r>
      <w:hyperlink r:id="rId159" w:history="1">
        <w:r w:rsidRPr="003645D1">
          <w:rPr>
            <w:rStyle w:val="Hyperlink"/>
            <w:sz w:val="20"/>
            <w:szCs w:val="20"/>
            <w:vertAlign w:val="baseline"/>
            <w:lang w:val="en-US"/>
          </w:rPr>
          <w:t>http://kathmandupost.ekantipur.com/news/2014-08-24/bill-passage-could-encourage-victims-to-report-crime.html</w:t>
        </w:r>
      </w:hyperlink>
      <w:r w:rsidRPr="003645D1">
        <w:rPr>
          <w:sz w:val="20"/>
          <w:szCs w:val="20"/>
          <w:vertAlign w:val="baseline"/>
          <w:lang w:val="en-US"/>
        </w:rPr>
        <w:t>&gt; accessed 26 August 2015</w:t>
      </w:r>
    </w:p>
  </w:footnote>
  <w:footnote w:id="1253">
    <w:p w14:paraId="64FC77A0" w14:textId="7309DA56" w:rsidR="00431A55" w:rsidRPr="003645D1" w:rsidRDefault="00431A55" w:rsidP="008C3633">
      <w:pPr>
        <w:pStyle w:val="FootnoteText"/>
        <w:rPr>
          <w:sz w:val="20"/>
          <w:szCs w:val="20"/>
          <w:vertAlign w:val="baseline"/>
          <w:lang w:val="en-US"/>
        </w:rPr>
      </w:pPr>
      <w:r w:rsidRPr="003645D1">
        <w:rPr>
          <w:rStyle w:val="FootnoteReference"/>
          <w:sz w:val="20"/>
          <w:szCs w:val="20"/>
        </w:rPr>
        <w:footnoteRef/>
      </w:r>
      <w:r w:rsidRPr="003645D1">
        <w:rPr>
          <w:sz w:val="20"/>
          <w:szCs w:val="20"/>
        </w:rPr>
        <w:t xml:space="preserve"> </w:t>
      </w:r>
      <w:r>
        <w:rPr>
          <w:sz w:val="20"/>
          <w:szCs w:val="20"/>
          <w:vertAlign w:val="baseline"/>
          <w:lang w:val="en-US"/>
        </w:rPr>
        <w:t>See Glossary Section, 12</w:t>
      </w:r>
    </w:p>
  </w:footnote>
  <w:footnote w:id="1254">
    <w:p w14:paraId="44862E49" w14:textId="77777777" w:rsidR="00431A55" w:rsidRPr="003645D1" w:rsidRDefault="00431A55" w:rsidP="008C3633">
      <w:pPr>
        <w:pStyle w:val="FootnoteText"/>
        <w:rPr>
          <w:sz w:val="20"/>
          <w:szCs w:val="20"/>
          <w:vertAlign w:val="baseline"/>
          <w:lang w:val="en-US"/>
        </w:rPr>
      </w:pPr>
      <w:r w:rsidRPr="003645D1">
        <w:rPr>
          <w:rStyle w:val="FootnoteReference"/>
          <w:sz w:val="20"/>
          <w:szCs w:val="20"/>
        </w:rPr>
        <w:footnoteRef/>
      </w:r>
      <w:r w:rsidRPr="003645D1">
        <w:rPr>
          <w:sz w:val="20"/>
          <w:szCs w:val="20"/>
          <w:vertAlign w:val="baseline"/>
        </w:rPr>
        <w:t xml:space="preserve"> </w:t>
      </w:r>
      <w:r w:rsidRPr="003645D1">
        <w:rPr>
          <w:sz w:val="20"/>
          <w:szCs w:val="20"/>
          <w:vertAlign w:val="baseline"/>
          <w:lang w:val="en-US"/>
        </w:rPr>
        <w:t>Government of Nepal, ‘Third Periodic Report of the Government of Nepal on Measures Taken to Give Effect to the International Covenant on Economic, Social and Cultural Rights’ (</w:t>
      </w:r>
      <w:r w:rsidRPr="003645D1">
        <w:rPr>
          <w:i/>
          <w:sz w:val="20"/>
          <w:szCs w:val="20"/>
          <w:vertAlign w:val="baseline"/>
          <w:lang w:val="en-US"/>
        </w:rPr>
        <w:t xml:space="preserve">ICESCR </w:t>
      </w:r>
      <w:r w:rsidRPr="003645D1">
        <w:rPr>
          <w:sz w:val="20"/>
          <w:szCs w:val="20"/>
          <w:vertAlign w:val="baseline"/>
          <w:lang w:val="en-US"/>
        </w:rPr>
        <w:t>2011) &lt;</w:t>
      </w:r>
      <w:hyperlink r:id="rId160" w:history="1">
        <w:r w:rsidRPr="003645D1">
          <w:rPr>
            <w:rStyle w:val="Hyperlink"/>
            <w:sz w:val="20"/>
            <w:szCs w:val="20"/>
            <w:vertAlign w:val="baseline"/>
            <w:lang w:val="en-US"/>
          </w:rPr>
          <w:t>http://www.opmcm.gov.np/uploads/resources/file/ICESCRThirdPeriodicReportsubmittedtoGeneva_20120626120615.pdf</w:t>
        </w:r>
      </w:hyperlink>
      <w:r w:rsidRPr="003645D1">
        <w:rPr>
          <w:sz w:val="20"/>
          <w:szCs w:val="20"/>
          <w:vertAlign w:val="baseline"/>
          <w:lang w:val="en-US"/>
        </w:rPr>
        <w:t>&gt; accessed 13 October 2015, para 55</w:t>
      </w:r>
    </w:p>
  </w:footnote>
  <w:footnote w:id="1255">
    <w:p w14:paraId="6AAA7558" w14:textId="25EDB30C" w:rsidR="00431A55" w:rsidRPr="003645D1" w:rsidRDefault="00431A55" w:rsidP="008C3633">
      <w:pPr>
        <w:pStyle w:val="FootnoteText"/>
        <w:rPr>
          <w:sz w:val="20"/>
          <w:szCs w:val="20"/>
          <w:vertAlign w:val="baseline"/>
          <w:lang w:val="en-US"/>
        </w:rPr>
      </w:pPr>
      <w:r w:rsidRPr="003645D1">
        <w:rPr>
          <w:rStyle w:val="FootnoteReference"/>
          <w:sz w:val="20"/>
          <w:szCs w:val="20"/>
        </w:rPr>
        <w:footnoteRef/>
      </w:r>
      <w:r w:rsidRPr="003645D1">
        <w:rPr>
          <w:sz w:val="20"/>
          <w:szCs w:val="20"/>
        </w:rPr>
        <w:t xml:space="preserve"> </w:t>
      </w:r>
      <w:r>
        <w:rPr>
          <w:sz w:val="20"/>
          <w:szCs w:val="20"/>
          <w:vertAlign w:val="baseline"/>
          <w:lang w:val="en-US"/>
        </w:rPr>
        <w:t>Resma Thapa v HMG Nepal (n 762)</w:t>
      </w:r>
    </w:p>
  </w:footnote>
  <w:footnote w:id="1256">
    <w:p w14:paraId="28648E1B" w14:textId="65CAB1C3" w:rsidR="00431A55" w:rsidRPr="003645D1" w:rsidRDefault="00431A55" w:rsidP="008C3633">
      <w:pPr>
        <w:pStyle w:val="FootnoteText"/>
        <w:rPr>
          <w:sz w:val="20"/>
          <w:szCs w:val="20"/>
          <w:vertAlign w:val="baseline"/>
          <w:lang w:val="en-US"/>
        </w:rPr>
      </w:pPr>
      <w:r w:rsidRPr="003645D1">
        <w:rPr>
          <w:rStyle w:val="FootnoteReference"/>
          <w:sz w:val="20"/>
          <w:szCs w:val="20"/>
        </w:rPr>
        <w:footnoteRef/>
      </w:r>
      <w:r w:rsidRPr="003645D1">
        <w:rPr>
          <w:sz w:val="20"/>
          <w:szCs w:val="20"/>
          <w:vertAlign w:val="baseline"/>
        </w:rPr>
        <w:t xml:space="preserve"> </w:t>
      </w:r>
      <w:r w:rsidRPr="003645D1">
        <w:rPr>
          <w:sz w:val="20"/>
          <w:szCs w:val="20"/>
          <w:vertAlign w:val="baseline"/>
          <w:lang w:val="en-US"/>
        </w:rPr>
        <w:t>Government of Nepal</w:t>
      </w:r>
      <w:r>
        <w:rPr>
          <w:sz w:val="20"/>
          <w:szCs w:val="20"/>
          <w:vertAlign w:val="baseline"/>
          <w:lang w:val="en-US"/>
        </w:rPr>
        <w:t xml:space="preserve"> (n 1247) </w:t>
      </w:r>
      <w:r w:rsidRPr="003645D1">
        <w:rPr>
          <w:sz w:val="20"/>
          <w:szCs w:val="20"/>
          <w:vertAlign w:val="baseline"/>
          <w:lang w:val="en-US"/>
        </w:rPr>
        <w:t>para 56</w:t>
      </w:r>
    </w:p>
  </w:footnote>
  <w:footnote w:id="1257">
    <w:p w14:paraId="34AC732F" w14:textId="6D747377" w:rsidR="00431A55" w:rsidRPr="003645D1" w:rsidRDefault="00431A55" w:rsidP="008C3633">
      <w:pPr>
        <w:pStyle w:val="FootnoteText"/>
        <w:rPr>
          <w:sz w:val="20"/>
          <w:szCs w:val="20"/>
          <w:vertAlign w:val="baseline"/>
          <w:lang w:val="en-US"/>
        </w:rPr>
      </w:pPr>
      <w:r w:rsidRPr="003645D1">
        <w:rPr>
          <w:rStyle w:val="FootnoteReference"/>
          <w:sz w:val="20"/>
          <w:szCs w:val="20"/>
        </w:rPr>
        <w:footnoteRef/>
      </w:r>
      <w:r w:rsidRPr="003645D1">
        <w:rPr>
          <w:sz w:val="20"/>
          <w:szCs w:val="20"/>
        </w:rPr>
        <w:t xml:space="preserve"> </w:t>
      </w:r>
      <w:r w:rsidRPr="00A92D4E">
        <w:rPr>
          <w:i/>
          <w:sz w:val="20"/>
          <w:szCs w:val="20"/>
          <w:vertAlign w:val="baseline"/>
          <w:lang w:val="en-US"/>
        </w:rPr>
        <w:t>Resma Thapa v HMG Nepal</w:t>
      </w:r>
      <w:r>
        <w:rPr>
          <w:sz w:val="20"/>
          <w:szCs w:val="20"/>
          <w:vertAlign w:val="baseline"/>
          <w:lang w:val="en-US"/>
        </w:rPr>
        <w:t xml:space="preserve"> (n 762)</w:t>
      </w:r>
      <w:r w:rsidRPr="003645D1">
        <w:rPr>
          <w:sz w:val="20"/>
          <w:szCs w:val="20"/>
          <w:vertAlign w:val="baseline"/>
          <w:lang w:val="en-US"/>
        </w:rPr>
        <w:t xml:space="preserve"> 11</w:t>
      </w:r>
    </w:p>
  </w:footnote>
  <w:footnote w:id="1258">
    <w:p w14:paraId="56CB8F97" w14:textId="78D3BBED" w:rsidR="00431A55" w:rsidRPr="00D622D3" w:rsidRDefault="00431A55" w:rsidP="008C3633">
      <w:pPr>
        <w:pStyle w:val="FootnoteText"/>
        <w:rPr>
          <w:lang w:val="en-US"/>
        </w:rPr>
      </w:pPr>
      <w:r w:rsidRPr="003645D1">
        <w:rPr>
          <w:rStyle w:val="FootnoteReference"/>
          <w:sz w:val="20"/>
          <w:szCs w:val="20"/>
        </w:rPr>
        <w:footnoteRef/>
      </w:r>
      <w:r w:rsidRPr="003645D1">
        <w:rPr>
          <w:sz w:val="20"/>
          <w:szCs w:val="20"/>
        </w:rPr>
        <w:t xml:space="preserve"> </w:t>
      </w:r>
      <w:r w:rsidRPr="003645D1">
        <w:rPr>
          <w:sz w:val="20"/>
          <w:szCs w:val="20"/>
          <w:vertAlign w:val="baseline"/>
          <w:lang w:val="en-US"/>
        </w:rPr>
        <w:t>Government of Nepal</w:t>
      </w:r>
      <w:r>
        <w:rPr>
          <w:sz w:val="20"/>
          <w:szCs w:val="20"/>
          <w:vertAlign w:val="baseline"/>
          <w:lang w:val="en-US"/>
        </w:rPr>
        <w:t xml:space="preserve"> (n 1247)</w:t>
      </w:r>
    </w:p>
  </w:footnote>
  <w:footnote w:id="1259">
    <w:p w14:paraId="5A507290" w14:textId="502E5197" w:rsidR="00431A55" w:rsidRPr="00127F3F" w:rsidRDefault="00431A55" w:rsidP="008C3633">
      <w:pPr>
        <w:pStyle w:val="FootnoteText"/>
        <w:rPr>
          <w:sz w:val="20"/>
          <w:szCs w:val="20"/>
          <w:vertAlign w:val="baseline"/>
          <w:lang w:val="en-US"/>
        </w:rPr>
      </w:pPr>
      <w:r w:rsidRPr="00127F3F">
        <w:rPr>
          <w:rStyle w:val="FootnoteReference"/>
          <w:sz w:val="20"/>
          <w:szCs w:val="20"/>
        </w:rPr>
        <w:footnoteRef/>
      </w:r>
      <w:r w:rsidRPr="00127F3F">
        <w:rPr>
          <w:sz w:val="20"/>
          <w:szCs w:val="20"/>
          <w:vertAlign w:val="baseline"/>
        </w:rPr>
        <w:t xml:space="preserve"> </w:t>
      </w:r>
      <w:r>
        <w:rPr>
          <w:sz w:val="20"/>
          <w:szCs w:val="20"/>
          <w:vertAlign w:val="baseline"/>
          <w:lang w:val="en-US"/>
        </w:rPr>
        <w:t>ibid,</w:t>
      </w:r>
      <w:r w:rsidRPr="00127F3F">
        <w:rPr>
          <w:sz w:val="20"/>
          <w:szCs w:val="20"/>
          <w:vertAlign w:val="baseline"/>
          <w:lang w:val="en-US"/>
        </w:rPr>
        <w:t xml:space="preserve"> para 56</w:t>
      </w:r>
    </w:p>
  </w:footnote>
  <w:footnote w:id="1260">
    <w:p w14:paraId="5B47EEEE" w14:textId="53736541" w:rsidR="00431A55" w:rsidRPr="005B0F7A" w:rsidRDefault="00431A55" w:rsidP="008C3633">
      <w:pPr>
        <w:pStyle w:val="FootnoteText"/>
        <w:rPr>
          <w:lang w:val="en-US"/>
        </w:rPr>
      </w:pPr>
      <w:r w:rsidRPr="00127F3F">
        <w:rPr>
          <w:rStyle w:val="FootnoteReference"/>
          <w:sz w:val="20"/>
          <w:szCs w:val="20"/>
        </w:rPr>
        <w:footnoteRef/>
      </w:r>
      <w:r w:rsidRPr="00127F3F">
        <w:rPr>
          <w:sz w:val="20"/>
          <w:szCs w:val="20"/>
          <w:vertAlign w:val="baseline"/>
        </w:rPr>
        <w:t xml:space="preserve"> </w:t>
      </w:r>
      <w:r>
        <w:rPr>
          <w:sz w:val="20"/>
          <w:szCs w:val="20"/>
          <w:vertAlign w:val="baseline"/>
          <w:lang w:val="en-US"/>
        </w:rPr>
        <w:t>ibid,</w:t>
      </w:r>
      <w:r w:rsidRPr="00127F3F">
        <w:rPr>
          <w:sz w:val="20"/>
          <w:szCs w:val="20"/>
          <w:vertAlign w:val="baseline"/>
          <w:lang w:val="en-US"/>
        </w:rPr>
        <w:t xml:space="preserve"> para 57</w:t>
      </w:r>
    </w:p>
  </w:footnote>
  <w:footnote w:id="1261">
    <w:p w14:paraId="71A5FA86" w14:textId="77777777" w:rsidR="00431A55" w:rsidRPr="000772D1" w:rsidRDefault="00431A55" w:rsidP="000772D1">
      <w:pPr>
        <w:pStyle w:val="FootnoteText"/>
        <w:rPr>
          <w:sz w:val="20"/>
          <w:szCs w:val="20"/>
          <w:vertAlign w:val="baseline"/>
        </w:rPr>
      </w:pPr>
      <w:r w:rsidRPr="000772D1">
        <w:rPr>
          <w:rStyle w:val="FootnoteReference"/>
          <w:sz w:val="20"/>
          <w:szCs w:val="20"/>
        </w:rPr>
        <w:footnoteRef/>
      </w:r>
      <w:r w:rsidRPr="000772D1">
        <w:rPr>
          <w:sz w:val="20"/>
          <w:szCs w:val="20"/>
        </w:rPr>
        <w:t xml:space="preserve"> </w:t>
      </w:r>
      <w:r w:rsidRPr="000772D1">
        <w:rPr>
          <w:sz w:val="20"/>
          <w:szCs w:val="20"/>
          <w:vertAlign w:val="baseline"/>
        </w:rPr>
        <w:t>Australian Government Department of Foreign Affairs and Trade, ‘Papua New Guinea Country Brief’ &lt;</w:t>
      </w:r>
      <w:hyperlink r:id="rId161" w:history="1">
        <w:r w:rsidRPr="000772D1">
          <w:rPr>
            <w:rStyle w:val="Hyperlink"/>
            <w:sz w:val="20"/>
            <w:szCs w:val="20"/>
            <w:vertAlign w:val="baseline"/>
          </w:rPr>
          <w:t>http://dfat.gov.au/geo/papua-new-guinea/pages/papua-new-guinea-country-brief.aspx</w:t>
        </w:r>
      </w:hyperlink>
      <w:r w:rsidRPr="000772D1">
        <w:rPr>
          <w:sz w:val="20"/>
          <w:szCs w:val="20"/>
          <w:vertAlign w:val="baseline"/>
        </w:rPr>
        <w:t>&gt; accessed 26 August 2015</w:t>
      </w:r>
    </w:p>
  </w:footnote>
  <w:footnote w:id="1262">
    <w:p w14:paraId="0788CD43" w14:textId="77777777" w:rsidR="00431A55" w:rsidRPr="000772D1" w:rsidRDefault="00431A55" w:rsidP="000772D1">
      <w:pPr>
        <w:pStyle w:val="FootnoteText"/>
        <w:rPr>
          <w:sz w:val="20"/>
          <w:szCs w:val="20"/>
          <w:vertAlign w:val="baseline"/>
          <w:lang w:val="en-US"/>
        </w:rPr>
      </w:pPr>
      <w:r w:rsidRPr="000772D1">
        <w:rPr>
          <w:rStyle w:val="FootnoteReference"/>
          <w:sz w:val="20"/>
          <w:szCs w:val="20"/>
        </w:rPr>
        <w:footnoteRef/>
      </w:r>
      <w:r w:rsidRPr="000772D1">
        <w:rPr>
          <w:sz w:val="20"/>
          <w:szCs w:val="20"/>
        </w:rPr>
        <w:t xml:space="preserve"> </w:t>
      </w:r>
      <w:r w:rsidRPr="000772D1">
        <w:rPr>
          <w:sz w:val="20"/>
          <w:szCs w:val="20"/>
          <w:vertAlign w:val="baseline"/>
          <w:lang w:val="en-US"/>
        </w:rPr>
        <w:t>Part II Constitution of Papua New Guinea 1975, 9</w:t>
      </w:r>
    </w:p>
  </w:footnote>
  <w:footnote w:id="1263">
    <w:p w14:paraId="26372A14" w14:textId="77777777" w:rsidR="00431A55" w:rsidRPr="000772D1" w:rsidRDefault="00431A55" w:rsidP="000772D1">
      <w:pPr>
        <w:pStyle w:val="FootnoteText"/>
        <w:rPr>
          <w:sz w:val="20"/>
          <w:szCs w:val="20"/>
          <w:vertAlign w:val="baseline"/>
          <w:lang w:val="en-US"/>
        </w:rPr>
      </w:pPr>
      <w:r w:rsidRPr="000772D1">
        <w:rPr>
          <w:rStyle w:val="FootnoteReference"/>
          <w:sz w:val="20"/>
          <w:szCs w:val="20"/>
        </w:rPr>
        <w:footnoteRef/>
      </w:r>
      <w:r w:rsidRPr="000772D1">
        <w:rPr>
          <w:sz w:val="20"/>
          <w:szCs w:val="20"/>
        </w:rPr>
        <w:t xml:space="preserve"> </w:t>
      </w:r>
      <w:r w:rsidRPr="000772D1">
        <w:rPr>
          <w:sz w:val="20"/>
          <w:szCs w:val="20"/>
          <w:vertAlign w:val="baseline"/>
          <w:lang w:val="en-US"/>
        </w:rPr>
        <w:t>Division 3 – Adoption, Reception and Development of Certain Laws, Part II Constitution of Papua New Guinea 1975, 16</w:t>
      </w:r>
    </w:p>
  </w:footnote>
  <w:footnote w:id="1264">
    <w:p w14:paraId="2D561796" w14:textId="77777777" w:rsidR="00431A55" w:rsidRPr="000772D1" w:rsidRDefault="00431A55" w:rsidP="000772D1">
      <w:pPr>
        <w:pStyle w:val="FootnoteText"/>
        <w:rPr>
          <w:sz w:val="20"/>
          <w:szCs w:val="20"/>
          <w:vertAlign w:val="baseline"/>
          <w:lang w:val="en-US"/>
        </w:rPr>
      </w:pPr>
      <w:r w:rsidRPr="000772D1">
        <w:rPr>
          <w:rStyle w:val="FootnoteReference"/>
          <w:sz w:val="20"/>
          <w:szCs w:val="20"/>
        </w:rPr>
        <w:footnoteRef/>
      </w:r>
      <w:r w:rsidRPr="000772D1">
        <w:rPr>
          <w:sz w:val="20"/>
          <w:szCs w:val="20"/>
        </w:rPr>
        <w:t xml:space="preserve"> </w:t>
      </w:r>
      <w:r w:rsidRPr="000772D1">
        <w:rPr>
          <w:sz w:val="20"/>
          <w:szCs w:val="20"/>
          <w:vertAlign w:val="baseline"/>
          <w:lang w:val="en-US"/>
        </w:rPr>
        <w:t>Schedule 2 ‘Adoption, etc., of Certain Laws,’ Constitution of Papua New Guinea 1975, 157</w:t>
      </w:r>
    </w:p>
  </w:footnote>
  <w:footnote w:id="1265">
    <w:p w14:paraId="5AD3928F" w14:textId="77777777" w:rsidR="00431A55" w:rsidRPr="000772D1" w:rsidRDefault="00431A55" w:rsidP="000772D1">
      <w:pPr>
        <w:pStyle w:val="FootnoteText"/>
        <w:rPr>
          <w:sz w:val="20"/>
          <w:szCs w:val="20"/>
          <w:vertAlign w:val="baseline"/>
          <w:lang w:val="en-US"/>
        </w:rPr>
      </w:pPr>
      <w:r w:rsidRPr="000772D1">
        <w:rPr>
          <w:rStyle w:val="FootnoteReference"/>
          <w:sz w:val="20"/>
          <w:szCs w:val="20"/>
        </w:rPr>
        <w:footnoteRef/>
      </w:r>
      <w:r w:rsidRPr="000772D1">
        <w:rPr>
          <w:sz w:val="20"/>
          <w:szCs w:val="20"/>
        </w:rPr>
        <w:t xml:space="preserve"> </w:t>
      </w:r>
      <w:r w:rsidRPr="000772D1">
        <w:rPr>
          <w:sz w:val="20"/>
          <w:szCs w:val="20"/>
          <w:vertAlign w:val="baseline"/>
          <w:lang w:val="en-US"/>
        </w:rPr>
        <w:t xml:space="preserve">Brendan Tobin, </w:t>
      </w:r>
      <w:r w:rsidRPr="000772D1">
        <w:rPr>
          <w:i/>
          <w:sz w:val="20"/>
          <w:szCs w:val="20"/>
          <w:vertAlign w:val="baseline"/>
          <w:lang w:val="en-US"/>
        </w:rPr>
        <w:t>Indigenous Peoples, Customary Law and Human Rights – Why Living Law Matters</w:t>
      </w:r>
      <w:r w:rsidRPr="000772D1">
        <w:rPr>
          <w:sz w:val="20"/>
          <w:szCs w:val="20"/>
          <w:vertAlign w:val="baseline"/>
          <w:lang w:val="en-US"/>
        </w:rPr>
        <w:t xml:space="preserve"> (Routledge 2014) 60</w:t>
      </w:r>
    </w:p>
  </w:footnote>
  <w:footnote w:id="1266">
    <w:p w14:paraId="01AA5337" w14:textId="769320ED" w:rsidR="00431A55" w:rsidRPr="000772D1" w:rsidRDefault="00431A55" w:rsidP="000772D1">
      <w:pPr>
        <w:pStyle w:val="FootnoteText"/>
        <w:rPr>
          <w:sz w:val="20"/>
          <w:szCs w:val="20"/>
          <w:vertAlign w:val="baseline"/>
          <w:lang w:val="en-US"/>
        </w:rPr>
      </w:pPr>
      <w:r w:rsidRPr="000772D1">
        <w:rPr>
          <w:rStyle w:val="FootnoteReference"/>
          <w:sz w:val="20"/>
          <w:szCs w:val="20"/>
        </w:rPr>
        <w:footnoteRef/>
      </w:r>
      <w:r w:rsidRPr="000772D1">
        <w:rPr>
          <w:sz w:val="20"/>
          <w:szCs w:val="20"/>
        </w:rPr>
        <w:t xml:space="preserve"> </w:t>
      </w:r>
      <w:r w:rsidRPr="000772D1">
        <w:rPr>
          <w:sz w:val="20"/>
          <w:szCs w:val="20"/>
          <w:vertAlign w:val="baseline"/>
          <w:lang w:val="en-US"/>
        </w:rPr>
        <w:t>Constitution of Papua New Guinea 1957</w:t>
      </w:r>
      <w:r>
        <w:rPr>
          <w:sz w:val="20"/>
          <w:szCs w:val="20"/>
          <w:vertAlign w:val="baseline"/>
          <w:lang w:val="en-US"/>
        </w:rPr>
        <w:t xml:space="preserve">, </w:t>
      </w:r>
      <w:r w:rsidRPr="000772D1">
        <w:rPr>
          <w:sz w:val="20"/>
          <w:szCs w:val="20"/>
          <w:vertAlign w:val="baseline"/>
          <w:lang w:val="en-US"/>
        </w:rPr>
        <w:t>Schedule 1.2, 147</w:t>
      </w:r>
    </w:p>
  </w:footnote>
  <w:footnote w:id="1267">
    <w:p w14:paraId="7E472198" w14:textId="08227605" w:rsidR="00431A55" w:rsidRPr="000772D1" w:rsidRDefault="00431A55" w:rsidP="000772D1">
      <w:pPr>
        <w:pStyle w:val="FootnoteText"/>
        <w:rPr>
          <w:sz w:val="20"/>
          <w:szCs w:val="20"/>
          <w:vertAlign w:val="baseline"/>
          <w:lang w:val="en-US"/>
        </w:rPr>
      </w:pPr>
      <w:r w:rsidRPr="000772D1">
        <w:rPr>
          <w:rStyle w:val="FootnoteReference"/>
          <w:sz w:val="20"/>
          <w:szCs w:val="20"/>
        </w:rPr>
        <w:footnoteRef/>
      </w:r>
      <w:r w:rsidRPr="000772D1">
        <w:rPr>
          <w:sz w:val="20"/>
          <w:szCs w:val="20"/>
          <w:vertAlign w:val="baseline"/>
        </w:rPr>
        <w:t xml:space="preserve"> </w:t>
      </w:r>
      <w:r>
        <w:rPr>
          <w:sz w:val="20"/>
          <w:szCs w:val="20"/>
          <w:vertAlign w:val="baseline"/>
        </w:rPr>
        <w:t xml:space="preserve">ibid, </w:t>
      </w:r>
      <w:r>
        <w:rPr>
          <w:sz w:val="20"/>
          <w:szCs w:val="20"/>
          <w:vertAlign w:val="baseline"/>
          <w:lang w:val="en-US"/>
        </w:rPr>
        <w:t xml:space="preserve">Schedule 2.1, </w:t>
      </w:r>
      <w:r w:rsidRPr="000772D1">
        <w:rPr>
          <w:sz w:val="20"/>
          <w:szCs w:val="20"/>
          <w:vertAlign w:val="baseline"/>
          <w:lang w:val="en-US"/>
        </w:rPr>
        <w:t>157</w:t>
      </w:r>
    </w:p>
  </w:footnote>
  <w:footnote w:id="1268">
    <w:p w14:paraId="09E0C267" w14:textId="4F3339A5" w:rsidR="00431A55" w:rsidRPr="000772D1" w:rsidRDefault="00431A55" w:rsidP="000772D1">
      <w:pPr>
        <w:pStyle w:val="FootnoteText"/>
        <w:rPr>
          <w:sz w:val="20"/>
          <w:szCs w:val="20"/>
          <w:vertAlign w:val="baseline"/>
          <w:lang w:val="en-US"/>
        </w:rPr>
      </w:pPr>
      <w:r w:rsidRPr="000772D1">
        <w:rPr>
          <w:rStyle w:val="FootnoteReference"/>
          <w:sz w:val="20"/>
          <w:szCs w:val="20"/>
        </w:rPr>
        <w:footnoteRef/>
      </w:r>
      <w:r w:rsidRPr="000772D1">
        <w:rPr>
          <w:sz w:val="20"/>
          <w:szCs w:val="20"/>
          <w:vertAlign w:val="baseline"/>
        </w:rPr>
        <w:t xml:space="preserve"> </w:t>
      </w:r>
      <w:r>
        <w:rPr>
          <w:sz w:val="20"/>
          <w:szCs w:val="20"/>
          <w:vertAlign w:val="baseline"/>
          <w:lang w:val="en-US"/>
        </w:rPr>
        <w:t>ibid</w:t>
      </w:r>
    </w:p>
  </w:footnote>
  <w:footnote w:id="1269">
    <w:p w14:paraId="0E8EA3F1" w14:textId="15EF6FCD" w:rsidR="00431A55" w:rsidRPr="000772D1" w:rsidRDefault="00431A55" w:rsidP="000772D1">
      <w:pPr>
        <w:pStyle w:val="FootnoteText"/>
        <w:rPr>
          <w:sz w:val="20"/>
          <w:szCs w:val="20"/>
          <w:vertAlign w:val="baseline"/>
          <w:lang w:val="en-US"/>
        </w:rPr>
      </w:pPr>
      <w:r w:rsidRPr="000772D1">
        <w:rPr>
          <w:rStyle w:val="FootnoteReference"/>
          <w:sz w:val="20"/>
          <w:szCs w:val="20"/>
        </w:rPr>
        <w:footnoteRef/>
      </w:r>
      <w:r w:rsidRPr="000772D1">
        <w:rPr>
          <w:sz w:val="20"/>
          <w:szCs w:val="20"/>
        </w:rPr>
        <w:t xml:space="preserve"> </w:t>
      </w:r>
      <w:r>
        <w:rPr>
          <w:sz w:val="20"/>
          <w:szCs w:val="20"/>
          <w:vertAlign w:val="baseline"/>
          <w:lang w:val="en-US"/>
        </w:rPr>
        <w:t>ibid</w:t>
      </w:r>
    </w:p>
  </w:footnote>
  <w:footnote w:id="1270">
    <w:p w14:paraId="113402B6" w14:textId="4EE14E62" w:rsidR="00431A55" w:rsidRPr="007E7975" w:rsidRDefault="00431A55" w:rsidP="000772D1">
      <w:pPr>
        <w:pStyle w:val="FootnoteText"/>
        <w:rPr>
          <w:sz w:val="20"/>
          <w:szCs w:val="20"/>
          <w:vertAlign w:val="baseline"/>
          <w:lang w:val="en-US"/>
        </w:rPr>
      </w:pPr>
      <w:r w:rsidRPr="007E7975">
        <w:rPr>
          <w:rStyle w:val="FootnoteReference"/>
          <w:sz w:val="20"/>
          <w:szCs w:val="20"/>
        </w:rPr>
        <w:footnoteRef/>
      </w:r>
      <w:r w:rsidRPr="007E7975">
        <w:rPr>
          <w:sz w:val="20"/>
          <w:szCs w:val="20"/>
        </w:rPr>
        <w:t xml:space="preserve"> </w:t>
      </w:r>
      <w:r>
        <w:rPr>
          <w:sz w:val="20"/>
          <w:szCs w:val="20"/>
          <w:vertAlign w:val="baseline"/>
          <w:lang w:val="en-US"/>
        </w:rPr>
        <w:t>ibid, S</w:t>
      </w:r>
      <w:r w:rsidRPr="007E7975">
        <w:rPr>
          <w:sz w:val="20"/>
          <w:szCs w:val="20"/>
          <w:vertAlign w:val="baseline"/>
          <w:lang w:val="en-US"/>
        </w:rPr>
        <w:t>chedule 2.2(1)(c), 158</w:t>
      </w:r>
    </w:p>
  </w:footnote>
  <w:footnote w:id="1271">
    <w:p w14:paraId="1358AF66" w14:textId="77777777" w:rsidR="00431A55" w:rsidRPr="007E7975" w:rsidRDefault="00431A55" w:rsidP="008C3633">
      <w:pPr>
        <w:pStyle w:val="FootnoteText"/>
        <w:rPr>
          <w:sz w:val="20"/>
          <w:szCs w:val="20"/>
          <w:vertAlign w:val="baseline"/>
          <w:lang w:val="en-US"/>
        </w:rPr>
      </w:pPr>
      <w:r w:rsidRPr="007E7975">
        <w:rPr>
          <w:rStyle w:val="FootnoteReference"/>
          <w:sz w:val="20"/>
          <w:szCs w:val="20"/>
        </w:rPr>
        <w:footnoteRef/>
      </w:r>
      <w:r w:rsidRPr="007E7975">
        <w:rPr>
          <w:sz w:val="20"/>
          <w:szCs w:val="20"/>
        </w:rPr>
        <w:t xml:space="preserve"> </w:t>
      </w:r>
      <w:r w:rsidRPr="007E7975">
        <w:rPr>
          <w:sz w:val="20"/>
          <w:szCs w:val="20"/>
          <w:vertAlign w:val="baseline"/>
          <w:lang w:val="en-US"/>
        </w:rPr>
        <w:t>Noel Sarei, ‘Country Report: Papua New Guinea’ Resource Material Series No. 63 (2003) &lt;</w:t>
      </w:r>
      <w:hyperlink r:id="rId162" w:history="1">
        <w:r w:rsidRPr="007E7975">
          <w:rPr>
            <w:rStyle w:val="Hyperlink"/>
            <w:sz w:val="20"/>
            <w:szCs w:val="20"/>
            <w:vertAlign w:val="baseline"/>
            <w:lang w:val="en-US"/>
          </w:rPr>
          <w:t>http://www.unafei.or.jp/english/pdf/RS_No63/No63_20PA_Sarei.pdf</w:t>
        </w:r>
      </w:hyperlink>
      <w:r w:rsidRPr="007E7975">
        <w:rPr>
          <w:sz w:val="20"/>
          <w:szCs w:val="20"/>
          <w:vertAlign w:val="baseline"/>
          <w:lang w:val="en-US"/>
        </w:rPr>
        <w:t>&gt; accessed 13 October 2015</w:t>
      </w:r>
    </w:p>
  </w:footnote>
  <w:footnote w:id="1272">
    <w:p w14:paraId="4C4DA722" w14:textId="13829FFB" w:rsidR="00431A55" w:rsidRPr="007E7975" w:rsidRDefault="00431A55" w:rsidP="008C3633">
      <w:pPr>
        <w:pStyle w:val="FootnoteText"/>
        <w:rPr>
          <w:sz w:val="20"/>
          <w:szCs w:val="20"/>
          <w:vertAlign w:val="baseline"/>
          <w:lang w:val="en-US"/>
        </w:rPr>
      </w:pPr>
      <w:r w:rsidRPr="007E7975">
        <w:rPr>
          <w:rStyle w:val="FootnoteReference"/>
          <w:sz w:val="20"/>
          <w:szCs w:val="20"/>
        </w:rPr>
        <w:footnoteRef/>
      </w:r>
      <w:r w:rsidRPr="007E7975">
        <w:rPr>
          <w:sz w:val="20"/>
          <w:szCs w:val="20"/>
          <w:vertAlign w:val="baseline"/>
        </w:rPr>
        <w:t xml:space="preserve"> </w:t>
      </w:r>
      <w:r w:rsidRPr="007E7975">
        <w:rPr>
          <w:sz w:val="20"/>
          <w:szCs w:val="20"/>
          <w:vertAlign w:val="baseline"/>
          <w:lang w:val="en-US"/>
        </w:rPr>
        <w:t>Tobin</w:t>
      </w:r>
      <w:r>
        <w:rPr>
          <w:sz w:val="20"/>
          <w:szCs w:val="20"/>
          <w:vertAlign w:val="baseline"/>
          <w:lang w:val="en-US"/>
        </w:rPr>
        <w:t xml:space="preserve"> (n 1265) </w:t>
      </w:r>
      <w:r w:rsidRPr="007E7975">
        <w:rPr>
          <w:sz w:val="20"/>
          <w:szCs w:val="20"/>
          <w:vertAlign w:val="baseline"/>
          <w:lang w:val="en-US"/>
        </w:rPr>
        <w:t>61</w:t>
      </w:r>
    </w:p>
  </w:footnote>
  <w:footnote w:id="1273">
    <w:p w14:paraId="5A119D57" w14:textId="4577A0E3" w:rsidR="00431A55" w:rsidRPr="007E7975" w:rsidRDefault="00431A55" w:rsidP="008C3633">
      <w:pPr>
        <w:pStyle w:val="FootnoteText"/>
        <w:rPr>
          <w:sz w:val="20"/>
          <w:szCs w:val="20"/>
          <w:vertAlign w:val="baseline"/>
          <w:lang w:val="en-US"/>
        </w:rPr>
      </w:pPr>
      <w:r w:rsidRPr="007E7975">
        <w:rPr>
          <w:rStyle w:val="FootnoteReference"/>
          <w:sz w:val="20"/>
          <w:szCs w:val="20"/>
        </w:rPr>
        <w:footnoteRef/>
      </w:r>
      <w:r w:rsidRPr="007E7975">
        <w:rPr>
          <w:sz w:val="20"/>
          <w:szCs w:val="20"/>
          <w:vertAlign w:val="baseline"/>
        </w:rPr>
        <w:t xml:space="preserve"> </w:t>
      </w:r>
      <w:r w:rsidRPr="007E7975">
        <w:rPr>
          <w:sz w:val="20"/>
          <w:szCs w:val="20"/>
          <w:vertAlign w:val="baseline"/>
          <w:lang w:val="en-US"/>
        </w:rPr>
        <w:t xml:space="preserve">Ravunamu Auka, Barbara Gore and Pealiwan Rebecca Koralyo, ‘Sorcery and Witchcraft-Related Killings in Papua New Guinea: The Criminal Justice System Response’ in Miranda Forsyth and Richard Eves (eds) </w:t>
      </w:r>
      <w:r w:rsidRPr="007E7975">
        <w:rPr>
          <w:i/>
          <w:sz w:val="20"/>
          <w:szCs w:val="20"/>
          <w:vertAlign w:val="baseline"/>
          <w:lang w:val="en-US"/>
        </w:rPr>
        <w:t xml:space="preserve">Talking it Through: Responses to Sorcery and Witchcraft Beliefs and Practices in Melanesia </w:t>
      </w:r>
      <w:r w:rsidRPr="007E7975">
        <w:rPr>
          <w:sz w:val="20"/>
          <w:szCs w:val="20"/>
          <w:vertAlign w:val="baseline"/>
          <w:lang w:val="en-US"/>
        </w:rPr>
        <w:t>(Australian National University Press 2015) 243</w:t>
      </w:r>
    </w:p>
  </w:footnote>
  <w:footnote w:id="1274">
    <w:p w14:paraId="70CDF236" w14:textId="77777777" w:rsidR="00431A55" w:rsidRPr="007E7975" w:rsidRDefault="00431A55" w:rsidP="008C3633">
      <w:pPr>
        <w:pStyle w:val="FootnoteText"/>
        <w:rPr>
          <w:sz w:val="20"/>
          <w:szCs w:val="20"/>
          <w:vertAlign w:val="baseline"/>
          <w:lang w:val="en-US"/>
        </w:rPr>
      </w:pPr>
      <w:r w:rsidRPr="007E7975">
        <w:rPr>
          <w:rStyle w:val="FootnoteReference"/>
          <w:sz w:val="20"/>
          <w:szCs w:val="20"/>
        </w:rPr>
        <w:footnoteRef/>
      </w:r>
      <w:r w:rsidRPr="007E7975">
        <w:rPr>
          <w:sz w:val="20"/>
          <w:szCs w:val="20"/>
        </w:rPr>
        <w:t xml:space="preserve"> </w:t>
      </w:r>
      <w:r w:rsidRPr="007E7975">
        <w:rPr>
          <w:sz w:val="20"/>
          <w:szCs w:val="20"/>
          <w:vertAlign w:val="baseline"/>
          <w:lang w:val="en-US"/>
        </w:rPr>
        <w:t>The first National Chief Justice of PNG</w:t>
      </w:r>
    </w:p>
  </w:footnote>
  <w:footnote w:id="1275">
    <w:p w14:paraId="27D1F921" w14:textId="55F1A661" w:rsidR="00431A55" w:rsidRPr="00952864" w:rsidRDefault="00431A55" w:rsidP="008C3633">
      <w:pPr>
        <w:pStyle w:val="FootnoteText"/>
        <w:rPr>
          <w:lang w:val="en-US"/>
        </w:rPr>
      </w:pPr>
      <w:r w:rsidRPr="007E7975">
        <w:rPr>
          <w:rStyle w:val="FootnoteReference"/>
          <w:sz w:val="20"/>
          <w:szCs w:val="20"/>
        </w:rPr>
        <w:footnoteRef/>
      </w:r>
      <w:r w:rsidRPr="007E7975">
        <w:rPr>
          <w:sz w:val="20"/>
          <w:szCs w:val="20"/>
        </w:rPr>
        <w:t xml:space="preserve"> </w:t>
      </w:r>
      <w:r w:rsidRPr="007E7975">
        <w:rPr>
          <w:sz w:val="20"/>
          <w:szCs w:val="20"/>
          <w:vertAlign w:val="baseline"/>
          <w:lang w:val="en-US"/>
        </w:rPr>
        <w:t>[1983] N452 (M) (20 September 1983)</w:t>
      </w:r>
    </w:p>
  </w:footnote>
  <w:footnote w:id="1276">
    <w:p w14:paraId="3D4F360A" w14:textId="2532B210" w:rsidR="00431A55" w:rsidRPr="004E48D7" w:rsidRDefault="00431A55" w:rsidP="008C3633">
      <w:pPr>
        <w:pStyle w:val="FootnoteText"/>
        <w:rPr>
          <w:sz w:val="20"/>
          <w:szCs w:val="20"/>
          <w:vertAlign w:val="baseline"/>
          <w:lang w:val="en-US"/>
        </w:rPr>
      </w:pPr>
      <w:r w:rsidRPr="004E48D7">
        <w:rPr>
          <w:rStyle w:val="FootnoteReference"/>
          <w:sz w:val="20"/>
          <w:szCs w:val="20"/>
        </w:rPr>
        <w:footnoteRef/>
      </w:r>
      <w:r w:rsidRPr="004E48D7">
        <w:rPr>
          <w:sz w:val="20"/>
          <w:szCs w:val="20"/>
          <w:vertAlign w:val="baseline"/>
        </w:rPr>
        <w:t xml:space="preserve"> </w:t>
      </w:r>
      <w:r>
        <w:rPr>
          <w:sz w:val="20"/>
          <w:szCs w:val="20"/>
          <w:vertAlign w:val="baseline"/>
        </w:rPr>
        <w:t>ibid</w:t>
      </w:r>
    </w:p>
  </w:footnote>
  <w:footnote w:id="1277">
    <w:p w14:paraId="22D8E950" w14:textId="772B5529" w:rsidR="00431A55" w:rsidRPr="004E48D7" w:rsidRDefault="00431A55" w:rsidP="008C3633">
      <w:pPr>
        <w:pStyle w:val="FootnoteText"/>
        <w:jc w:val="both"/>
        <w:rPr>
          <w:sz w:val="20"/>
          <w:szCs w:val="20"/>
          <w:vertAlign w:val="baseline"/>
        </w:rPr>
      </w:pPr>
      <w:r w:rsidRPr="004E48D7">
        <w:rPr>
          <w:rStyle w:val="FootnoteReference"/>
          <w:sz w:val="20"/>
          <w:szCs w:val="20"/>
        </w:rPr>
        <w:footnoteRef/>
      </w:r>
      <w:r w:rsidRPr="004E48D7">
        <w:rPr>
          <w:sz w:val="20"/>
          <w:szCs w:val="20"/>
          <w:vertAlign w:val="baseline"/>
        </w:rPr>
        <w:t xml:space="preserve"> Section 172 Establishment of Other Courts: (1) Subject to this Constitution, Acts of the Parliament may establish, or provide for the establishment of, courts within the National Judicial System in addition to the Supreme Court and the National Court, and may define, or provide for the definition of, their respective powers, functions and jurisdictions and their relationship with other components </w:t>
      </w:r>
      <w:r>
        <w:rPr>
          <w:sz w:val="20"/>
          <w:szCs w:val="20"/>
          <w:vertAlign w:val="baseline"/>
        </w:rPr>
        <w:t>of the National Judicial System</w:t>
      </w:r>
    </w:p>
  </w:footnote>
  <w:footnote w:id="1278">
    <w:p w14:paraId="767B6712" w14:textId="77777777" w:rsidR="00431A55" w:rsidRPr="004E48D7" w:rsidRDefault="00431A55" w:rsidP="008C3633">
      <w:pPr>
        <w:pStyle w:val="FootnoteText"/>
        <w:rPr>
          <w:sz w:val="20"/>
          <w:szCs w:val="20"/>
          <w:vertAlign w:val="baseline"/>
        </w:rPr>
      </w:pPr>
      <w:r w:rsidRPr="004E48D7">
        <w:rPr>
          <w:rStyle w:val="FootnoteReference"/>
          <w:sz w:val="20"/>
          <w:szCs w:val="20"/>
        </w:rPr>
        <w:footnoteRef/>
      </w:r>
      <w:r w:rsidRPr="004E48D7">
        <w:rPr>
          <w:sz w:val="20"/>
          <w:szCs w:val="20"/>
          <w:vertAlign w:val="baseline"/>
        </w:rPr>
        <w:t xml:space="preserve"> ‘Courts and Cases Papua New Guinea’ (</w:t>
      </w:r>
      <w:r w:rsidRPr="004E48D7">
        <w:rPr>
          <w:i/>
          <w:sz w:val="20"/>
          <w:szCs w:val="20"/>
          <w:vertAlign w:val="baseline"/>
        </w:rPr>
        <w:t xml:space="preserve">Lexadin, </w:t>
      </w:r>
      <w:r w:rsidRPr="004E48D7">
        <w:rPr>
          <w:sz w:val="20"/>
          <w:szCs w:val="20"/>
          <w:vertAlign w:val="baseline"/>
        </w:rPr>
        <w:t>24 October 2009) &lt;</w:t>
      </w:r>
      <w:hyperlink r:id="rId163" w:history="1">
        <w:r w:rsidRPr="004E48D7">
          <w:rPr>
            <w:rStyle w:val="Hyperlink"/>
            <w:sz w:val="20"/>
            <w:szCs w:val="20"/>
            <w:vertAlign w:val="baseline"/>
          </w:rPr>
          <w:t>http://www.lexadin.nl/wlg/courts/nofr/oeur/lxctpng.htm</w:t>
        </w:r>
      </w:hyperlink>
      <w:r w:rsidRPr="004E48D7">
        <w:rPr>
          <w:sz w:val="20"/>
          <w:szCs w:val="20"/>
          <w:vertAlign w:val="baseline"/>
        </w:rPr>
        <w:t>&gt; accessed 2 September 2015</w:t>
      </w:r>
    </w:p>
  </w:footnote>
  <w:footnote w:id="1279">
    <w:p w14:paraId="772E028A" w14:textId="77777777" w:rsidR="00431A55" w:rsidRPr="004E48D7" w:rsidRDefault="00431A55" w:rsidP="008C3633">
      <w:pPr>
        <w:pStyle w:val="FootnoteText"/>
        <w:rPr>
          <w:sz w:val="20"/>
          <w:szCs w:val="20"/>
          <w:vertAlign w:val="baseline"/>
          <w:lang w:val="en-US"/>
        </w:rPr>
      </w:pPr>
      <w:r w:rsidRPr="004E48D7">
        <w:rPr>
          <w:rStyle w:val="FootnoteReference"/>
          <w:sz w:val="20"/>
          <w:szCs w:val="20"/>
        </w:rPr>
        <w:footnoteRef/>
      </w:r>
      <w:r w:rsidRPr="004E48D7">
        <w:rPr>
          <w:sz w:val="20"/>
          <w:szCs w:val="20"/>
        </w:rPr>
        <w:t xml:space="preserve"> </w:t>
      </w:r>
      <w:r w:rsidRPr="004E48D7">
        <w:rPr>
          <w:sz w:val="20"/>
          <w:szCs w:val="20"/>
          <w:vertAlign w:val="baseline"/>
        </w:rPr>
        <w:t>Village Courts Act 1989 (no.37 of 1989) Division 6 (Mediatory Jurisdiction) Section 52 (Primary Function of Village Courts)</w:t>
      </w:r>
    </w:p>
  </w:footnote>
  <w:footnote w:id="1280">
    <w:p w14:paraId="3B2462A4" w14:textId="77777777" w:rsidR="00431A55" w:rsidRPr="004E48D7" w:rsidRDefault="00431A55" w:rsidP="008C3633">
      <w:pPr>
        <w:pStyle w:val="FootnoteText"/>
        <w:rPr>
          <w:sz w:val="20"/>
          <w:szCs w:val="20"/>
          <w:vertAlign w:val="baseline"/>
        </w:rPr>
      </w:pPr>
      <w:r w:rsidRPr="004E48D7">
        <w:rPr>
          <w:rStyle w:val="FootnoteReference"/>
          <w:sz w:val="20"/>
          <w:szCs w:val="20"/>
        </w:rPr>
        <w:footnoteRef/>
      </w:r>
      <w:r w:rsidRPr="004E48D7">
        <w:rPr>
          <w:sz w:val="20"/>
          <w:szCs w:val="20"/>
        </w:rPr>
        <w:t xml:space="preserve"> </w:t>
      </w:r>
      <w:r w:rsidRPr="004E48D7">
        <w:rPr>
          <w:sz w:val="20"/>
          <w:szCs w:val="20"/>
          <w:vertAlign w:val="baseline"/>
        </w:rPr>
        <w:t xml:space="preserve">Alana Rosenbaum, ‘Women of Papua New Guinea’s Village Courts’ </w:t>
      </w:r>
      <w:r w:rsidRPr="004E48D7">
        <w:rPr>
          <w:i/>
          <w:sz w:val="20"/>
          <w:szCs w:val="20"/>
          <w:vertAlign w:val="baseline"/>
        </w:rPr>
        <w:t xml:space="preserve">The Monthly </w:t>
      </w:r>
      <w:r w:rsidRPr="004E48D7">
        <w:rPr>
          <w:sz w:val="20"/>
          <w:szCs w:val="20"/>
          <w:vertAlign w:val="baseline"/>
        </w:rPr>
        <w:t>(Melbourne, August 2014) &lt;</w:t>
      </w:r>
      <w:hyperlink r:id="rId164" w:history="1">
        <w:r w:rsidRPr="004E48D7">
          <w:rPr>
            <w:rStyle w:val="Hyperlink"/>
            <w:sz w:val="20"/>
            <w:szCs w:val="20"/>
            <w:vertAlign w:val="baseline"/>
          </w:rPr>
          <w:t>https://www.themonthly.com.au/issue/2014/august/1406815200/alana-rosenbaum/women-papua-new-guinea%E2%80%99s-village-courts</w:t>
        </w:r>
      </w:hyperlink>
      <w:r w:rsidRPr="004E48D7">
        <w:rPr>
          <w:sz w:val="20"/>
          <w:szCs w:val="20"/>
          <w:vertAlign w:val="baseline"/>
        </w:rPr>
        <w:t>&gt; accessed 2 September 2015</w:t>
      </w:r>
    </w:p>
  </w:footnote>
  <w:footnote w:id="1281">
    <w:p w14:paraId="7DE906D0" w14:textId="77777777" w:rsidR="00431A55" w:rsidRPr="006C32E2" w:rsidRDefault="00431A55" w:rsidP="008C3633">
      <w:pPr>
        <w:pStyle w:val="FootnoteText"/>
      </w:pPr>
      <w:r w:rsidRPr="004E48D7">
        <w:rPr>
          <w:rStyle w:val="FootnoteReference"/>
          <w:sz w:val="20"/>
          <w:szCs w:val="20"/>
        </w:rPr>
        <w:footnoteRef/>
      </w:r>
      <w:r w:rsidRPr="004E48D7">
        <w:rPr>
          <w:sz w:val="20"/>
          <w:szCs w:val="20"/>
        </w:rPr>
        <w:t xml:space="preserve"> </w:t>
      </w:r>
      <w:r w:rsidRPr="004E48D7">
        <w:rPr>
          <w:sz w:val="20"/>
          <w:szCs w:val="20"/>
          <w:vertAlign w:val="baseline"/>
        </w:rPr>
        <w:t xml:space="preserve">‘Two charged in Papua New Guinea ‘sorcery’ case’ </w:t>
      </w:r>
      <w:r w:rsidRPr="004E48D7">
        <w:rPr>
          <w:i/>
          <w:sz w:val="20"/>
          <w:szCs w:val="20"/>
          <w:vertAlign w:val="baseline"/>
        </w:rPr>
        <w:t xml:space="preserve">BBC News </w:t>
      </w:r>
      <w:r w:rsidRPr="004E48D7">
        <w:rPr>
          <w:sz w:val="20"/>
          <w:szCs w:val="20"/>
          <w:vertAlign w:val="baseline"/>
        </w:rPr>
        <w:t>(Asia, 19 February 2013) &lt;</w:t>
      </w:r>
      <w:hyperlink r:id="rId165" w:history="1">
        <w:r w:rsidRPr="004E48D7">
          <w:rPr>
            <w:rStyle w:val="Hyperlink"/>
            <w:sz w:val="20"/>
            <w:szCs w:val="20"/>
            <w:vertAlign w:val="baseline"/>
          </w:rPr>
          <w:t>http://www.bbc.co.uk/news/world-asia-21501955</w:t>
        </w:r>
      </w:hyperlink>
      <w:r w:rsidRPr="004E48D7">
        <w:rPr>
          <w:sz w:val="20"/>
          <w:szCs w:val="20"/>
          <w:vertAlign w:val="baseline"/>
        </w:rPr>
        <w:t>&gt; accessed 13 October 2015</w:t>
      </w:r>
    </w:p>
  </w:footnote>
  <w:footnote w:id="1282">
    <w:p w14:paraId="6FB76693" w14:textId="77777777" w:rsidR="00431A55" w:rsidRPr="00D75CDA" w:rsidRDefault="00431A55" w:rsidP="008C3633">
      <w:pPr>
        <w:pStyle w:val="FootnoteText"/>
        <w:rPr>
          <w:sz w:val="20"/>
          <w:szCs w:val="20"/>
          <w:vertAlign w:val="baseline"/>
        </w:rPr>
      </w:pPr>
      <w:r w:rsidRPr="00D75CDA">
        <w:rPr>
          <w:rStyle w:val="FootnoteReference"/>
          <w:sz w:val="20"/>
          <w:szCs w:val="20"/>
        </w:rPr>
        <w:footnoteRef/>
      </w:r>
      <w:r w:rsidRPr="00D75CDA">
        <w:rPr>
          <w:sz w:val="20"/>
          <w:szCs w:val="20"/>
        </w:rPr>
        <w:t xml:space="preserve"> </w:t>
      </w:r>
      <w:r w:rsidRPr="00D75CDA">
        <w:rPr>
          <w:sz w:val="20"/>
          <w:szCs w:val="20"/>
          <w:vertAlign w:val="baseline"/>
        </w:rPr>
        <w:t>Amnesty International, ‘Papua New Guinea: Help release women held captive, accused of sorcery’ (</w:t>
      </w:r>
      <w:r w:rsidRPr="00D75CDA">
        <w:rPr>
          <w:i/>
          <w:sz w:val="20"/>
          <w:szCs w:val="20"/>
          <w:vertAlign w:val="baseline"/>
        </w:rPr>
        <w:t>Amnesty International</w:t>
      </w:r>
      <w:r w:rsidRPr="00D75CDA">
        <w:rPr>
          <w:sz w:val="20"/>
          <w:szCs w:val="20"/>
          <w:vertAlign w:val="baseline"/>
        </w:rPr>
        <w:t>, 12 April 2013) &lt;</w:t>
      </w:r>
      <w:hyperlink r:id="rId166" w:history="1">
        <w:r w:rsidRPr="00D75CDA">
          <w:rPr>
            <w:rStyle w:val="Hyperlink"/>
            <w:sz w:val="20"/>
            <w:szCs w:val="20"/>
            <w:vertAlign w:val="baseline"/>
          </w:rPr>
          <w:t>http://www.amnesty.org.uk/blogs/sms-action-network/papua-new-guinea-women-accused-sorcery-risk-beheading-stop-mob</w:t>
        </w:r>
      </w:hyperlink>
      <w:r w:rsidRPr="00D75CDA">
        <w:rPr>
          <w:sz w:val="20"/>
          <w:szCs w:val="20"/>
          <w:vertAlign w:val="baseline"/>
        </w:rPr>
        <w:t>&gt; accessed 13 October 2015</w:t>
      </w:r>
    </w:p>
  </w:footnote>
  <w:footnote w:id="1283">
    <w:p w14:paraId="69E70FE8" w14:textId="1EEA1865" w:rsidR="00431A55" w:rsidRPr="00D75CDA" w:rsidRDefault="00431A55" w:rsidP="008C3633">
      <w:pPr>
        <w:pStyle w:val="FootnoteText"/>
        <w:rPr>
          <w:sz w:val="20"/>
          <w:szCs w:val="20"/>
          <w:vertAlign w:val="baseline"/>
          <w:lang w:val="en-US"/>
        </w:rPr>
      </w:pPr>
      <w:r w:rsidRPr="00D75CDA">
        <w:rPr>
          <w:rStyle w:val="FootnoteReference"/>
          <w:sz w:val="20"/>
          <w:szCs w:val="20"/>
        </w:rPr>
        <w:footnoteRef/>
      </w:r>
      <w:r w:rsidRPr="00D75CDA">
        <w:rPr>
          <w:sz w:val="20"/>
          <w:szCs w:val="20"/>
        </w:rPr>
        <w:t xml:space="preserve"> </w:t>
      </w:r>
      <w:r w:rsidRPr="00D75CDA">
        <w:rPr>
          <w:sz w:val="20"/>
          <w:szCs w:val="20"/>
          <w:vertAlign w:val="baseline"/>
        </w:rPr>
        <w:t>The Criminal Code (Amendment) Act (CC (A)) 2013 was adopted on 28 May 2013.</w:t>
      </w:r>
    </w:p>
  </w:footnote>
  <w:footnote w:id="1284">
    <w:p w14:paraId="605A36E2" w14:textId="331862C9" w:rsidR="00431A55" w:rsidRPr="00D75CDA" w:rsidRDefault="00431A55" w:rsidP="008C3633">
      <w:pPr>
        <w:pStyle w:val="FootnoteText"/>
        <w:rPr>
          <w:sz w:val="20"/>
          <w:szCs w:val="20"/>
          <w:vertAlign w:val="baseline"/>
          <w:lang w:val="en-US"/>
        </w:rPr>
      </w:pPr>
      <w:r w:rsidRPr="00D75CDA">
        <w:rPr>
          <w:rStyle w:val="FootnoteReference"/>
          <w:sz w:val="20"/>
          <w:szCs w:val="20"/>
        </w:rPr>
        <w:footnoteRef/>
      </w:r>
      <w:r w:rsidRPr="00D75CDA">
        <w:rPr>
          <w:sz w:val="20"/>
          <w:szCs w:val="20"/>
          <w:vertAlign w:val="baseline"/>
        </w:rPr>
        <w:t xml:space="preserve"> </w:t>
      </w:r>
      <w:r>
        <w:rPr>
          <w:sz w:val="20"/>
          <w:szCs w:val="20"/>
          <w:vertAlign w:val="baseline"/>
        </w:rPr>
        <w:t xml:space="preserve">Amnesty International, </w:t>
      </w:r>
      <w:r w:rsidRPr="00D75CDA">
        <w:rPr>
          <w:sz w:val="20"/>
          <w:szCs w:val="20"/>
          <w:vertAlign w:val="baseline"/>
          <w:lang w:val="en-US"/>
        </w:rPr>
        <w:t xml:space="preserve">‘Papua </w:t>
      </w:r>
      <w:r>
        <w:rPr>
          <w:sz w:val="20"/>
          <w:szCs w:val="20"/>
          <w:vertAlign w:val="baseline"/>
          <w:lang w:val="en-US"/>
        </w:rPr>
        <w:t>New Guinea</w:t>
      </w:r>
      <w:r w:rsidRPr="00D75CDA">
        <w:rPr>
          <w:sz w:val="20"/>
          <w:szCs w:val="20"/>
          <w:vertAlign w:val="baseline"/>
          <w:lang w:val="en-US"/>
        </w:rPr>
        <w:t xml:space="preserve">’ </w:t>
      </w:r>
      <w:r>
        <w:rPr>
          <w:sz w:val="20"/>
          <w:szCs w:val="20"/>
          <w:vertAlign w:val="baseline"/>
          <w:lang w:val="en-US"/>
        </w:rPr>
        <w:t>(n 1019);</w:t>
      </w:r>
      <w:r w:rsidRPr="00D75CDA">
        <w:rPr>
          <w:sz w:val="20"/>
          <w:szCs w:val="20"/>
          <w:vertAlign w:val="baseline"/>
          <w:lang w:val="en-US"/>
        </w:rPr>
        <w:t xml:space="preserve"> Vasudevan Sridharan, ‘Papua New Guinea: Woman Branded Witch Tortured and Burnt Alive by Mob’ </w:t>
      </w:r>
      <w:r w:rsidRPr="00D75CDA">
        <w:rPr>
          <w:i/>
          <w:sz w:val="20"/>
          <w:szCs w:val="20"/>
          <w:vertAlign w:val="baseline"/>
          <w:lang w:val="en-US"/>
        </w:rPr>
        <w:t xml:space="preserve">International Business Times </w:t>
      </w:r>
      <w:r w:rsidRPr="00D75CDA">
        <w:rPr>
          <w:sz w:val="20"/>
          <w:szCs w:val="20"/>
          <w:vertAlign w:val="baseline"/>
          <w:lang w:val="en-US"/>
        </w:rPr>
        <w:t>(London, 8 February 2013) &lt;</w:t>
      </w:r>
      <w:hyperlink r:id="rId167" w:history="1">
        <w:r w:rsidRPr="00D75CDA">
          <w:rPr>
            <w:rStyle w:val="Hyperlink"/>
            <w:sz w:val="20"/>
            <w:szCs w:val="20"/>
            <w:vertAlign w:val="baseline"/>
            <w:lang w:val="en-US"/>
          </w:rPr>
          <w:t>http://www.ibtimes.co.uk/papua-new-guinea-witch-burning-hunt-sorcery-432995</w:t>
        </w:r>
      </w:hyperlink>
      <w:r w:rsidRPr="00D75CDA">
        <w:rPr>
          <w:sz w:val="20"/>
          <w:szCs w:val="20"/>
          <w:vertAlign w:val="baseline"/>
          <w:lang w:val="en-US"/>
        </w:rPr>
        <w:t>&gt; accessed 2 September 2015</w:t>
      </w:r>
    </w:p>
  </w:footnote>
  <w:footnote w:id="1285">
    <w:p w14:paraId="7FF862C0" w14:textId="77777777" w:rsidR="00431A55" w:rsidRPr="00214539" w:rsidRDefault="00431A55" w:rsidP="008C3633">
      <w:pPr>
        <w:pStyle w:val="FootnoteText"/>
        <w:rPr>
          <w:lang w:val="en-US"/>
        </w:rPr>
      </w:pPr>
      <w:r w:rsidRPr="00D75CDA">
        <w:rPr>
          <w:rStyle w:val="FootnoteReference"/>
          <w:sz w:val="20"/>
          <w:szCs w:val="20"/>
        </w:rPr>
        <w:footnoteRef/>
      </w:r>
      <w:r w:rsidRPr="00D75CDA">
        <w:rPr>
          <w:sz w:val="20"/>
          <w:szCs w:val="20"/>
        </w:rPr>
        <w:t xml:space="preserve"> </w:t>
      </w:r>
      <w:r w:rsidRPr="00D75CDA">
        <w:rPr>
          <w:sz w:val="20"/>
          <w:szCs w:val="20"/>
          <w:vertAlign w:val="baseline"/>
          <w:lang w:val="en-US"/>
        </w:rPr>
        <w:t>Section 299 A Criminal Code (Amendment) Act 2013</w:t>
      </w:r>
      <w:r>
        <w:rPr>
          <w:lang w:val="en-US"/>
        </w:rPr>
        <w:t xml:space="preserve"> </w:t>
      </w:r>
    </w:p>
  </w:footnote>
  <w:footnote w:id="1286">
    <w:p w14:paraId="76F15A1B" w14:textId="7E0729CB" w:rsidR="00431A55" w:rsidRPr="00C842C0" w:rsidRDefault="00431A55" w:rsidP="008C3633">
      <w:pPr>
        <w:pStyle w:val="FootnoteText"/>
        <w:rPr>
          <w:sz w:val="20"/>
          <w:szCs w:val="20"/>
          <w:vertAlign w:val="baseline"/>
          <w:lang w:val="en-US"/>
        </w:rPr>
      </w:pPr>
      <w:r w:rsidRPr="00C842C0">
        <w:rPr>
          <w:rStyle w:val="FootnoteReference"/>
          <w:sz w:val="20"/>
          <w:szCs w:val="20"/>
        </w:rPr>
        <w:footnoteRef/>
      </w:r>
      <w:r w:rsidRPr="00C842C0">
        <w:rPr>
          <w:sz w:val="20"/>
          <w:szCs w:val="20"/>
          <w:vertAlign w:val="baseline"/>
        </w:rPr>
        <w:t xml:space="preserve"> </w:t>
      </w:r>
      <w:r>
        <w:rPr>
          <w:sz w:val="20"/>
          <w:szCs w:val="20"/>
          <w:vertAlign w:val="baseline"/>
        </w:rPr>
        <w:t xml:space="preserve">Amnesty International, </w:t>
      </w:r>
      <w:r>
        <w:rPr>
          <w:sz w:val="20"/>
          <w:szCs w:val="20"/>
          <w:vertAlign w:val="baseline"/>
          <w:lang w:val="en-US"/>
        </w:rPr>
        <w:t>‘Papua New Guinea’ (n 1019)</w:t>
      </w:r>
    </w:p>
  </w:footnote>
  <w:footnote w:id="1287">
    <w:p w14:paraId="241AAF7A" w14:textId="77777777" w:rsidR="00431A55" w:rsidRPr="00C842C0" w:rsidRDefault="00431A55" w:rsidP="008C3633">
      <w:pPr>
        <w:pStyle w:val="FootnoteText"/>
        <w:rPr>
          <w:sz w:val="20"/>
          <w:szCs w:val="20"/>
          <w:vertAlign w:val="baseline"/>
        </w:rPr>
      </w:pPr>
      <w:r w:rsidRPr="00C842C0">
        <w:rPr>
          <w:rStyle w:val="FootnoteReference"/>
          <w:sz w:val="20"/>
          <w:szCs w:val="20"/>
        </w:rPr>
        <w:footnoteRef/>
      </w:r>
      <w:r w:rsidRPr="00C842C0">
        <w:rPr>
          <w:sz w:val="20"/>
          <w:szCs w:val="20"/>
        </w:rPr>
        <w:t xml:space="preserve"> </w:t>
      </w:r>
      <w:r w:rsidRPr="00C842C0">
        <w:rPr>
          <w:sz w:val="20"/>
          <w:szCs w:val="20"/>
          <w:vertAlign w:val="baseline"/>
        </w:rPr>
        <w:t xml:space="preserve">Hannah Osbourne, ‘Papua New Guinea Mob Torture and Behead Suspected Witch’ </w:t>
      </w:r>
      <w:r w:rsidRPr="00C842C0">
        <w:rPr>
          <w:i/>
          <w:sz w:val="20"/>
          <w:szCs w:val="20"/>
          <w:vertAlign w:val="baseline"/>
        </w:rPr>
        <w:t>International Business Times</w:t>
      </w:r>
      <w:r w:rsidRPr="00C842C0">
        <w:rPr>
          <w:sz w:val="20"/>
          <w:szCs w:val="20"/>
          <w:vertAlign w:val="baseline"/>
        </w:rPr>
        <w:t xml:space="preserve"> (London, 10 June 2013) &lt;</w:t>
      </w:r>
      <w:hyperlink r:id="rId168" w:history="1">
        <w:r w:rsidRPr="00C842C0">
          <w:rPr>
            <w:rStyle w:val="Hyperlink"/>
            <w:sz w:val="20"/>
            <w:szCs w:val="20"/>
            <w:vertAlign w:val="baseline"/>
          </w:rPr>
          <w:t>http://www.ibtimes.co.uk/papua-new-guinea-witchcraft-sorcery-woman-tortured-476839</w:t>
        </w:r>
      </w:hyperlink>
      <w:r w:rsidRPr="00C842C0">
        <w:rPr>
          <w:sz w:val="20"/>
          <w:szCs w:val="20"/>
          <w:vertAlign w:val="baseline"/>
        </w:rPr>
        <w:t>&gt; accessed 2 September 2015</w:t>
      </w:r>
    </w:p>
  </w:footnote>
  <w:footnote w:id="1288">
    <w:p w14:paraId="2ECAA3ED" w14:textId="581C3699" w:rsidR="00431A55" w:rsidRPr="00F648FF" w:rsidRDefault="00431A55" w:rsidP="008C3633">
      <w:pPr>
        <w:pStyle w:val="FootnoteText"/>
        <w:rPr>
          <w:sz w:val="20"/>
          <w:szCs w:val="20"/>
          <w:vertAlign w:val="baseline"/>
        </w:rPr>
      </w:pPr>
      <w:r w:rsidRPr="00C842C0">
        <w:rPr>
          <w:rStyle w:val="FootnoteReference"/>
          <w:sz w:val="20"/>
          <w:szCs w:val="20"/>
        </w:rPr>
        <w:footnoteRef/>
      </w:r>
      <w:r w:rsidRPr="00C842C0">
        <w:rPr>
          <w:sz w:val="20"/>
          <w:szCs w:val="20"/>
          <w:vertAlign w:val="baseline"/>
        </w:rPr>
        <w:t xml:space="preserve"> ‘Woman accused of witchcraft axed to death in Papua New Guinea’ </w:t>
      </w:r>
      <w:r>
        <w:rPr>
          <w:sz w:val="20"/>
          <w:szCs w:val="20"/>
          <w:vertAlign w:val="baseline"/>
        </w:rPr>
        <w:t>(n 1019)</w:t>
      </w:r>
    </w:p>
  </w:footnote>
  <w:footnote w:id="1289">
    <w:p w14:paraId="2EFF9550" w14:textId="504BA6EE" w:rsidR="00431A55" w:rsidRPr="00FA4F87" w:rsidRDefault="00431A55" w:rsidP="008C3633">
      <w:pPr>
        <w:pStyle w:val="FootnoteText"/>
        <w:rPr>
          <w:lang w:val="en-US"/>
        </w:rPr>
      </w:pPr>
      <w:r w:rsidRPr="00C842C0">
        <w:rPr>
          <w:rStyle w:val="FootnoteReference"/>
          <w:sz w:val="20"/>
          <w:szCs w:val="20"/>
        </w:rPr>
        <w:footnoteRef/>
      </w:r>
      <w:r w:rsidRPr="00C842C0">
        <w:rPr>
          <w:sz w:val="20"/>
          <w:szCs w:val="20"/>
          <w:vertAlign w:val="baseline"/>
        </w:rPr>
        <w:t xml:space="preserve"> </w:t>
      </w:r>
      <w:r>
        <w:rPr>
          <w:sz w:val="20"/>
          <w:szCs w:val="20"/>
          <w:vertAlign w:val="baseline"/>
          <w:lang w:val="en-US"/>
        </w:rPr>
        <w:t xml:space="preserve">Auka, </w:t>
      </w:r>
      <w:r w:rsidRPr="00C842C0">
        <w:rPr>
          <w:sz w:val="20"/>
          <w:szCs w:val="20"/>
          <w:vertAlign w:val="baseline"/>
          <w:lang w:val="en-US"/>
        </w:rPr>
        <w:t>Gore and Koralyo</w:t>
      </w:r>
      <w:r>
        <w:rPr>
          <w:sz w:val="20"/>
          <w:szCs w:val="20"/>
          <w:vertAlign w:val="baseline"/>
          <w:lang w:val="en-US"/>
        </w:rPr>
        <w:t xml:space="preserve"> (n 1273) </w:t>
      </w:r>
      <w:r w:rsidRPr="00C842C0">
        <w:rPr>
          <w:sz w:val="20"/>
          <w:szCs w:val="20"/>
          <w:vertAlign w:val="baseline"/>
          <w:lang w:val="en-US"/>
        </w:rPr>
        <w:t>244</w:t>
      </w:r>
    </w:p>
  </w:footnote>
  <w:footnote w:id="1290">
    <w:p w14:paraId="1E0FEC37" w14:textId="77777777" w:rsidR="00431A55" w:rsidRPr="00E004FD" w:rsidRDefault="00431A55" w:rsidP="008C3633">
      <w:pPr>
        <w:pStyle w:val="FootnoteText"/>
        <w:rPr>
          <w:sz w:val="20"/>
          <w:szCs w:val="20"/>
          <w:vertAlign w:val="baseline"/>
          <w:lang w:val="en-US"/>
        </w:rPr>
      </w:pPr>
      <w:r w:rsidRPr="00E004FD">
        <w:rPr>
          <w:rStyle w:val="FootnoteReference"/>
          <w:sz w:val="20"/>
          <w:szCs w:val="20"/>
        </w:rPr>
        <w:footnoteRef/>
      </w:r>
      <w:r w:rsidRPr="00E004FD">
        <w:rPr>
          <w:sz w:val="20"/>
          <w:szCs w:val="20"/>
          <w:vertAlign w:val="baseline"/>
        </w:rPr>
        <w:t xml:space="preserve"> Ian Lloyd Neubauer, ‘Despite Legal Moves, PNG’s Terrifying Witchcraft Killings Look Set to Continue’ </w:t>
      </w:r>
      <w:r w:rsidRPr="00E004FD">
        <w:rPr>
          <w:i/>
          <w:sz w:val="20"/>
          <w:szCs w:val="20"/>
          <w:vertAlign w:val="baseline"/>
        </w:rPr>
        <w:t xml:space="preserve">Time </w:t>
      </w:r>
      <w:r w:rsidRPr="00E004FD">
        <w:rPr>
          <w:sz w:val="20"/>
          <w:szCs w:val="20"/>
          <w:vertAlign w:val="baseline"/>
        </w:rPr>
        <w:t>(London, 5 June 2013) &lt;</w:t>
      </w:r>
      <w:hyperlink r:id="rId169" w:history="1">
        <w:r w:rsidRPr="00E004FD">
          <w:rPr>
            <w:rStyle w:val="Hyperlink"/>
            <w:sz w:val="20"/>
            <w:szCs w:val="20"/>
            <w:vertAlign w:val="baseline"/>
          </w:rPr>
          <w:t>http://world.time.com/2013/06/05/despite-legal-moves-pngs-terrifying-witchcraft-killings-look-set-to-continue/</w:t>
        </w:r>
      </w:hyperlink>
      <w:r w:rsidRPr="00E004FD">
        <w:rPr>
          <w:sz w:val="20"/>
          <w:szCs w:val="20"/>
          <w:vertAlign w:val="baseline"/>
        </w:rPr>
        <w:t>&gt; accessed 2 September 2015</w:t>
      </w:r>
    </w:p>
  </w:footnote>
  <w:footnote w:id="1291">
    <w:p w14:paraId="63E5BEC3" w14:textId="77777777" w:rsidR="00431A55" w:rsidRPr="00E004FD" w:rsidRDefault="00431A55" w:rsidP="008C3633">
      <w:pPr>
        <w:pStyle w:val="FootnoteText"/>
        <w:rPr>
          <w:sz w:val="20"/>
          <w:szCs w:val="20"/>
          <w:vertAlign w:val="baseline"/>
          <w:lang w:val="en-US"/>
        </w:rPr>
      </w:pPr>
      <w:r w:rsidRPr="00E004FD">
        <w:rPr>
          <w:rStyle w:val="FootnoteReference"/>
          <w:sz w:val="20"/>
          <w:szCs w:val="20"/>
        </w:rPr>
        <w:footnoteRef/>
      </w:r>
      <w:r w:rsidRPr="00E004FD">
        <w:rPr>
          <w:sz w:val="20"/>
          <w:szCs w:val="20"/>
        </w:rPr>
        <w:t xml:space="preserve"> </w:t>
      </w:r>
      <w:r w:rsidRPr="00E004FD">
        <w:rPr>
          <w:sz w:val="20"/>
          <w:szCs w:val="20"/>
          <w:vertAlign w:val="baseline"/>
          <w:lang w:val="en-US"/>
        </w:rPr>
        <w:t xml:space="preserve">Jack Urame, ‘The Spread of Sorcery Killing and its Social Implications’ in Miranda Forsyth and Richard Eves (eds) </w:t>
      </w:r>
      <w:r w:rsidRPr="00E004FD">
        <w:rPr>
          <w:i/>
          <w:sz w:val="20"/>
          <w:szCs w:val="20"/>
          <w:vertAlign w:val="baseline"/>
          <w:lang w:val="en-US"/>
        </w:rPr>
        <w:t xml:space="preserve">Talking it Through: Responses to Sorcery and Witchcraft Beliefs and Practices in Melanesia </w:t>
      </w:r>
      <w:r w:rsidRPr="00E004FD">
        <w:rPr>
          <w:sz w:val="20"/>
          <w:szCs w:val="20"/>
          <w:vertAlign w:val="baseline"/>
          <w:lang w:val="en-US"/>
        </w:rPr>
        <w:t>(Australian National University Press 2015) 25</w:t>
      </w:r>
    </w:p>
  </w:footnote>
  <w:footnote w:id="1292">
    <w:p w14:paraId="7FD4354C" w14:textId="57DFD913" w:rsidR="00431A55" w:rsidRPr="00E004FD" w:rsidRDefault="00431A55" w:rsidP="008C3633">
      <w:pPr>
        <w:pStyle w:val="FootnoteText"/>
        <w:rPr>
          <w:sz w:val="20"/>
          <w:szCs w:val="20"/>
          <w:vertAlign w:val="baseline"/>
          <w:lang w:val="en-US"/>
        </w:rPr>
      </w:pPr>
      <w:r w:rsidRPr="00E004FD">
        <w:rPr>
          <w:rStyle w:val="FootnoteReference"/>
          <w:sz w:val="20"/>
          <w:szCs w:val="20"/>
        </w:rPr>
        <w:footnoteRef/>
      </w:r>
      <w:r w:rsidRPr="00E004FD">
        <w:rPr>
          <w:sz w:val="20"/>
          <w:szCs w:val="20"/>
        </w:rPr>
        <w:t xml:space="preserve"> </w:t>
      </w:r>
      <w:r>
        <w:rPr>
          <w:sz w:val="20"/>
          <w:szCs w:val="20"/>
          <w:vertAlign w:val="baseline"/>
          <w:lang w:val="en-US"/>
        </w:rPr>
        <w:t>ibid</w:t>
      </w:r>
      <w:r w:rsidRPr="00E004FD">
        <w:rPr>
          <w:sz w:val="20"/>
          <w:szCs w:val="20"/>
          <w:vertAlign w:val="baseline"/>
          <w:lang w:val="en-US"/>
        </w:rPr>
        <w:t xml:space="preserve"> 30</w:t>
      </w:r>
    </w:p>
  </w:footnote>
  <w:footnote w:id="1293">
    <w:p w14:paraId="0B0DAB7C" w14:textId="77777777" w:rsidR="00431A55" w:rsidRPr="003407E1" w:rsidRDefault="00431A55" w:rsidP="008C3633">
      <w:pPr>
        <w:pStyle w:val="FootnoteText"/>
        <w:rPr>
          <w:lang w:val="en-US"/>
        </w:rPr>
      </w:pPr>
      <w:r w:rsidRPr="00E004FD">
        <w:rPr>
          <w:rStyle w:val="FootnoteReference"/>
          <w:sz w:val="20"/>
          <w:szCs w:val="20"/>
        </w:rPr>
        <w:footnoteRef/>
      </w:r>
      <w:r w:rsidRPr="00E004FD">
        <w:rPr>
          <w:sz w:val="20"/>
          <w:szCs w:val="20"/>
          <w:vertAlign w:val="baseline"/>
        </w:rPr>
        <w:t xml:space="preserve"> Miranda Forsyth, ‘A Pluralist Response to the Regulation of Sorcery and Witchcraft in Melanesia’ </w:t>
      </w:r>
      <w:r w:rsidRPr="00E004FD">
        <w:rPr>
          <w:sz w:val="20"/>
          <w:szCs w:val="20"/>
          <w:vertAlign w:val="baseline"/>
          <w:lang w:val="en-US"/>
        </w:rPr>
        <w:t xml:space="preserve">in Miranda Forsyth and Richard Eves (eds) </w:t>
      </w:r>
      <w:r w:rsidRPr="00E004FD">
        <w:rPr>
          <w:i/>
          <w:sz w:val="20"/>
          <w:szCs w:val="20"/>
          <w:vertAlign w:val="baseline"/>
          <w:lang w:val="en-US"/>
        </w:rPr>
        <w:t xml:space="preserve">Talking it Through: Responses to Sorcery and Witchcraft Beliefs and Practices in Melanesia </w:t>
      </w:r>
      <w:r w:rsidRPr="00E004FD">
        <w:rPr>
          <w:sz w:val="20"/>
          <w:szCs w:val="20"/>
          <w:vertAlign w:val="baseline"/>
          <w:lang w:val="en-US"/>
        </w:rPr>
        <w:t>(Australian National University Press 2015) 220</w:t>
      </w:r>
    </w:p>
  </w:footnote>
  <w:footnote w:id="1294">
    <w:p w14:paraId="267865BA" w14:textId="71A34320" w:rsidR="00431A55" w:rsidRPr="00F2418B" w:rsidRDefault="00431A55" w:rsidP="008C3633">
      <w:pPr>
        <w:pStyle w:val="FootnoteText"/>
        <w:rPr>
          <w:sz w:val="20"/>
          <w:szCs w:val="20"/>
          <w:lang w:val="en-US"/>
        </w:rPr>
      </w:pPr>
      <w:r w:rsidRPr="00F2418B">
        <w:rPr>
          <w:rStyle w:val="FootnoteReference"/>
          <w:sz w:val="20"/>
          <w:szCs w:val="20"/>
        </w:rPr>
        <w:footnoteRef/>
      </w:r>
      <w:r w:rsidRPr="00F2418B">
        <w:rPr>
          <w:sz w:val="20"/>
          <w:szCs w:val="20"/>
          <w:vertAlign w:val="baseline"/>
        </w:rPr>
        <w:t xml:space="preserve"> </w:t>
      </w:r>
      <w:r>
        <w:rPr>
          <w:sz w:val="20"/>
          <w:szCs w:val="20"/>
          <w:vertAlign w:val="baseline"/>
        </w:rPr>
        <w:t>ibid</w:t>
      </w:r>
    </w:p>
  </w:footnote>
  <w:footnote w:id="1295">
    <w:p w14:paraId="73E35474" w14:textId="7035EEDE" w:rsidR="00431A55" w:rsidRPr="00F2418B" w:rsidRDefault="00431A55" w:rsidP="008C3633">
      <w:pPr>
        <w:pStyle w:val="FootnoteText"/>
        <w:rPr>
          <w:sz w:val="20"/>
          <w:szCs w:val="20"/>
          <w:vertAlign w:val="baseline"/>
          <w:lang w:val="en-US"/>
        </w:rPr>
      </w:pPr>
      <w:r w:rsidRPr="00F2418B">
        <w:rPr>
          <w:rStyle w:val="FootnoteReference"/>
          <w:sz w:val="20"/>
          <w:szCs w:val="20"/>
        </w:rPr>
        <w:footnoteRef/>
      </w:r>
      <w:r w:rsidRPr="00F2418B">
        <w:rPr>
          <w:sz w:val="20"/>
          <w:szCs w:val="20"/>
          <w:vertAlign w:val="baseline"/>
        </w:rPr>
        <w:t xml:space="preserve"> </w:t>
      </w:r>
      <w:r>
        <w:rPr>
          <w:sz w:val="20"/>
          <w:szCs w:val="20"/>
          <w:vertAlign w:val="baseline"/>
        </w:rPr>
        <w:t>ibid</w:t>
      </w:r>
    </w:p>
  </w:footnote>
  <w:footnote w:id="1296">
    <w:p w14:paraId="732BD5B5" w14:textId="1390A790" w:rsidR="00431A55" w:rsidRPr="00921FD8" w:rsidRDefault="00431A55" w:rsidP="008C3633">
      <w:pPr>
        <w:pStyle w:val="FootnoteText"/>
        <w:rPr>
          <w:lang w:val="en-US"/>
        </w:rPr>
      </w:pPr>
      <w:r w:rsidRPr="00F2418B">
        <w:rPr>
          <w:rStyle w:val="FootnoteReference"/>
          <w:sz w:val="20"/>
          <w:szCs w:val="20"/>
        </w:rPr>
        <w:footnoteRef/>
      </w:r>
      <w:r w:rsidRPr="00F2418B">
        <w:rPr>
          <w:sz w:val="20"/>
          <w:szCs w:val="20"/>
        </w:rPr>
        <w:t xml:space="preserve"> </w:t>
      </w:r>
      <w:r w:rsidRPr="00F2418B">
        <w:rPr>
          <w:sz w:val="20"/>
          <w:szCs w:val="20"/>
          <w:vertAlign w:val="baseline"/>
        </w:rPr>
        <w:t xml:space="preserve">‘Woman accused of witchcraft axed to death in Papua New Guinea’ </w:t>
      </w:r>
      <w:r>
        <w:rPr>
          <w:sz w:val="20"/>
          <w:szCs w:val="20"/>
          <w:vertAlign w:val="baseline"/>
        </w:rPr>
        <w:t>(n 1019)</w:t>
      </w:r>
    </w:p>
  </w:footnote>
  <w:footnote w:id="1297">
    <w:p w14:paraId="73B26C6C" w14:textId="6FED1280" w:rsidR="00431A55" w:rsidRPr="00674753" w:rsidRDefault="00431A55" w:rsidP="008C3633">
      <w:pPr>
        <w:pStyle w:val="FootnoteText"/>
        <w:rPr>
          <w:sz w:val="20"/>
          <w:szCs w:val="20"/>
          <w:vertAlign w:val="baseline"/>
          <w:lang w:val="en-US"/>
        </w:rPr>
      </w:pPr>
      <w:r w:rsidRPr="00674753">
        <w:rPr>
          <w:rStyle w:val="FootnoteReference"/>
          <w:sz w:val="20"/>
          <w:szCs w:val="20"/>
        </w:rPr>
        <w:footnoteRef/>
      </w:r>
      <w:r w:rsidRPr="00674753">
        <w:rPr>
          <w:sz w:val="20"/>
          <w:szCs w:val="20"/>
          <w:vertAlign w:val="baseline"/>
        </w:rPr>
        <w:t xml:space="preserve"> </w:t>
      </w:r>
      <w:r>
        <w:rPr>
          <w:sz w:val="20"/>
          <w:szCs w:val="20"/>
          <w:vertAlign w:val="baseline"/>
          <w:lang w:val="en-US"/>
        </w:rPr>
        <w:t>See Section 4.4.1, 130</w:t>
      </w:r>
    </w:p>
  </w:footnote>
  <w:footnote w:id="1298">
    <w:p w14:paraId="0A00177D" w14:textId="1857238A" w:rsidR="00431A55" w:rsidRPr="00DA1C13" w:rsidRDefault="00431A55" w:rsidP="00F946B4">
      <w:pPr>
        <w:pStyle w:val="FootnoteText"/>
        <w:rPr>
          <w:sz w:val="20"/>
          <w:szCs w:val="20"/>
          <w:lang w:val="en-US"/>
        </w:rPr>
      </w:pPr>
      <w:r w:rsidRPr="00DA1C13">
        <w:rPr>
          <w:rStyle w:val="FootnoteReference"/>
          <w:sz w:val="20"/>
          <w:szCs w:val="20"/>
        </w:rPr>
        <w:footnoteRef/>
      </w:r>
      <w:r w:rsidRPr="00DA1C13">
        <w:rPr>
          <w:sz w:val="20"/>
          <w:szCs w:val="20"/>
        </w:rPr>
        <w:t xml:space="preserve"> </w:t>
      </w:r>
      <w:r>
        <w:rPr>
          <w:sz w:val="20"/>
          <w:szCs w:val="20"/>
          <w:vertAlign w:val="baseline"/>
        </w:rPr>
        <w:t>Section 5.2.1</w:t>
      </w:r>
    </w:p>
  </w:footnote>
  <w:footnote w:id="1299">
    <w:p w14:paraId="073EF338" w14:textId="129DE8BB" w:rsidR="00431A55" w:rsidRPr="00182684" w:rsidRDefault="00431A55">
      <w:pPr>
        <w:pStyle w:val="FootnoteText"/>
        <w:rPr>
          <w:sz w:val="20"/>
          <w:szCs w:val="20"/>
          <w:vertAlign w:val="baseline"/>
          <w:lang w:val="en-US"/>
        </w:rPr>
      </w:pPr>
      <w:r w:rsidRPr="00182684">
        <w:rPr>
          <w:rStyle w:val="FootnoteReference"/>
          <w:sz w:val="20"/>
          <w:szCs w:val="20"/>
        </w:rPr>
        <w:footnoteRef/>
      </w:r>
      <w:r w:rsidRPr="00182684">
        <w:rPr>
          <w:sz w:val="20"/>
          <w:szCs w:val="20"/>
        </w:rPr>
        <w:t xml:space="preserve"> </w:t>
      </w:r>
      <w:r>
        <w:rPr>
          <w:sz w:val="20"/>
          <w:szCs w:val="20"/>
          <w:vertAlign w:val="baseline"/>
        </w:rPr>
        <w:t>Section 4.3, 122</w:t>
      </w:r>
    </w:p>
  </w:footnote>
  <w:footnote w:id="1300">
    <w:p w14:paraId="5349D01A" w14:textId="5BECC551" w:rsidR="00431A55" w:rsidRPr="000965F2" w:rsidRDefault="00431A55">
      <w:pPr>
        <w:pStyle w:val="FootnoteText"/>
        <w:rPr>
          <w:lang w:val="en-US"/>
        </w:rPr>
      </w:pPr>
      <w:r w:rsidRPr="000965F2">
        <w:rPr>
          <w:rStyle w:val="FootnoteReference"/>
          <w:sz w:val="20"/>
          <w:szCs w:val="20"/>
        </w:rPr>
        <w:footnoteRef/>
      </w:r>
      <w:r w:rsidRPr="000965F2">
        <w:rPr>
          <w:sz w:val="20"/>
          <w:szCs w:val="20"/>
        </w:rPr>
        <w:t xml:space="preserve"> </w:t>
      </w:r>
      <w:r>
        <w:rPr>
          <w:sz w:val="20"/>
          <w:szCs w:val="20"/>
          <w:vertAlign w:val="baseline"/>
        </w:rPr>
        <w:t>ibid</w:t>
      </w:r>
    </w:p>
  </w:footnote>
  <w:footnote w:id="1301">
    <w:p w14:paraId="52412538" w14:textId="33C35487" w:rsidR="00431A55" w:rsidRPr="00B35CC3" w:rsidRDefault="00431A55">
      <w:pPr>
        <w:pStyle w:val="FootnoteText"/>
        <w:rPr>
          <w:lang w:val="en-US"/>
        </w:rPr>
      </w:pPr>
      <w:r w:rsidRPr="00B35CC3">
        <w:rPr>
          <w:rStyle w:val="FootnoteReference"/>
          <w:sz w:val="20"/>
          <w:szCs w:val="20"/>
        </w:rPr>
        <w:footnoteRef/>
      </w:r>
      <w:r>
        <w:t xml:space="preserve"> </w:t>
      </w:r>
      <w:r>
        <w:rPr>
          <w:sz w:val="20"/>
          <w:szCs w:val="20"/>
          <w:vertAlign w:val="baseline"/>
        </w:rPr>
        <w:t>Section 4.3, 125</w:t>
      </w:r>
    </w:p>
  </w:footnote>
  <w:footnote w:id="1302">
    <w:p w14:paraId="0B136FFC" w14:textId="198D4E96" w:rsidR="00431A55" w:rsidRPr="002108EF" w:rsidRDefault="00431A55">
      <w:pPr>
        <w:pStyle w:val="FootnoteText"/>
        <w:rPr>
          <w:lang w:val="en-US"/>
        </w:rPr>
      </w:pPr>
      <w:r w:rsidRPr="002108EF">
        <w:rPr>
          <w:rStyle w:val="FootnoteReference"/>
          <w:sz w:val="20"/>
          <w:szCs w:val="20"/>
        </w:rPr>
        <w:footnoteRef/>
      </w:r>
      <w:r>
        <w:t xml:space="preserve"> </w:t>
      </w:r>
      <w:r>
        <w:rPr>
          <w:sz w:val="20"/>
          <w:szCs w:val="20"/>
          <w:vertAlign w:val="baseline"/>
        </w:rPr>
        <w:t>ibid 123</w:t>
      </w:r>
    </w:p>
  </w:footnote>
  <w:footnote w:id="1303">
    <w:p w14:paraId="073418E7" w14:textId="2E229871" w:rsidR="00431A55" w:rsidRPr="00793C2F" w:rsidRDefault="00431A55">
      <w:pPr>
        <w:pStyle w:val="FootnoteText"/>
        <w:rPr>
          <w:sz w:val="20"/>
          <w:szCs w:val="20"/>
          <w:lang w:val="en-US"/>
        </w:rPr>
      </w:pPr>
      <w:r w:rsidRPr="00793C2F">
        <w:rPr>
          <w:rStyle w:val="FootnoteReference"/>
          <w:sz w:val="20"/>
          <w:szCs w:val="20"/>
        </w:rPr>
        <w:footnoteRef/>
      </w:r>
      <w:r w:rsidRPr="00793C2F">
        <w:rPr>
          <w:sz w:val="20"/>
          <w:szCs w:val="20"/>
        </w:rPr>
        <w:t xml:space="preserve"> </w:t>
      </w:r>
      <w:r>
        <w:rPr>
          <w:sz w:val="20"/>
          <w:szCs w:val="20"/>
          <w:vertAlign w:val="baseline"/>
        </w:rPr>
        <w:t>Section 3.9, see (n 347)</w:t>
      </w:r>
    </w:p>
  </w:footnote>
  <w:footnote w:id="1304">
    <w:p w14:paraId="690BEDC6" w14:textId="08703F40" w:rsidR="00431A55" w:rsidRPr="0068283E" w:rsidRDefault="00431A55">
      <w:pPr>
        <w:pStyle w:val="FootnoteText"/>
        <w:rPr>
          <w:sz w:val="20"/>
          <w:szCs w:val="20"/>
          <w:lang w:val="en-US"/>
        </w:rPr>
      </w:pPr>
      <w:r w:rsidRPr="0068283E">
        <w:rPr>
          <w:rStyle w:val="FootnoteReference"/>
          <w:sz w:val="20"/>
          <w:szCs w:val="20"/>
        </w:rPr>
        <w:footnoteRef/>
      </w:r>
      <w:r w:rsidRPr="0068283E">
        <w:rPr>
          <w:sz w:val="20"/>
          <w:szCs w:val="20"/>
        </w:rPr>
        <w:t xml:space="preserve"> </w:t>
      </w:r>
      <w:r>
        <w:rPr>
          <w:sz w:val="20"/>
          <w:szCs w:val="20"/>
          <w:vertAlign w:val="baseline"/>
        </w:rPr>
        <w:t>See Sections 3.10, 3.5.1</w:t>
      </w:r>
    </w:p>
  </w:footnote>
  <w:footnote w:id="1305">
    <w:p w14:paraId="16B54974" w14:textId="52F33DE5" w:rsidR="00431A55" w:rsidRPr="0067607F" w:rsidRDefault="00431A55">
      <w:pPr>
        <w:pStyle w:val="FootnoteText"/>
        <w:rPr>
          <w:sz w:val="20"/>
          <w:szCs w:val="20"/>
          <w:vertAlign w:val="baseline"/>
        </w:rPr>
      </w:pPr>
      <w:r w:rsidRPr="0068283E">
        <w:rPr>
          <w:rStyle w:val="FootnoteReference"/>
          <w:sz w:val="20"/>
          <w:szCs w:val="20"/>
        </w:rPr>
        <w:footnoteRef/>
      </w:r>
      <w:r w:rsidRPr="0068283E">
        <w:rPr>
          <w:sz w:val="20"/>
          <w:szCs w:val="20"/>
        </w:rPr>
        <w:t xml:space="preserve"> </w:t>
      </w:r>
      <w:r>
        <w:rPr>
          <w:sz w:val="20"/>
          <w:szCs w:val="20"/>
        </w:rPr>
        <w:t xml:space="preserve"> </w:t>
      </w:r>
      <w:r>
        <w:rPr>
          <w:sz w:val="20"/>
          <w:szCs w:val="20"/>
          <w:vertAlign w:val="baseline"/>
        </w:rPr>
        <w:t>‘Richest Pastors in Africa 2015’</w:t>
      </w:r>
      <w:r>
        <w:rPr>
          <w:sz w:val="20"/>
          <w:szCs w:val="20"/>
        </w:rPr>
        <w:t xml:space="preserve"> </w:t>
      </w:r>
      <w:r>
        <w:rPr>
          <w:sz w:val="20"/>
          <w:szCs w:val="20"/>
          <w:vertAlign w:val="baseline"/>
        </w:rPr>
        <w:t>(Africa Ranking 2015) &lt;</w:t>
      </w:r>
      <w:hyperlink r:id="rId170" w:history="1">
        <w:r w:rsidRPr="005A7AAF">
          <w:rPr>
            <w:rStyle w:val="Hyperlink"/>
            <w:sz w:val="20"/>
            <w:szCs w:val="20"/>
            <w:vertAlign w:val="baseline"/>
          </w:rPr>
          <w:t>http://www.africaranking.com/richest-pastors-in-africa/</w:t>
        </w:r>
      </w:hyperlink>
      <w:r>
        <w:rPr>
          <w:sz w:val="20"/>
          <w:szCs w:val="20"/>
          <w:vertAlign w:val="baseline"/>
        </w:rPr>
        <w:t>&gt; accessed 7 April 2016</w:t>
      </w:r>
    </w:p>
  </w:footnote>
  <w:footnote w:id="1306">
    <w:p w14:paraId="21F16816" w14:textId="4191493C" w:rsidR="00431A55" w:rsidRPr="007E2A3F" w:rsidRDefault="00431A55">
      <w:pPr>
        <w:pStyle w:val="FootnoteText"/>
        <w:rPr>
          <w:sz w:val="20"/>
          <w:szCs w:val="20"/>
          <w:lang w:val="en-US"/>
        </w:rPr>
      </w:pPr>
      <w:r w:rsidRPr="007E2A3F">
        <w:rPr>
          <w:rStyle w:val="FootnoteReference"/>
          <w:sz w:val="20"/>
          <w:szCs w:val="20"/>
        </w:rPr>
        <w:footnoteRef/>
      </w:r>
      <w:r w:rsidRPr="007E2A3F">
        <w:rPr>
          <w:sz w:val="20"/>
          <w:szCs w:val="20"/>
        </w:rPr>
        <w:t xml:space="preserve"> </w:t>
      </w:r>
      <w:r>
        <w:rPr>
          <w:sz w:val="20"/>
          <w:szCs w:val="20"/>
          <w:vertAlign w:val="baseline"/>
          <w:lang w:val="en-US"/>
        </w:rPr>
        <w:t>Section 4.5.2</w:t>
      </w:r>
    </w:p>
  </w:footnote>
  <w:footnote w:id="1307">
    <w:p w14:paraId="3329DA9F" w14:textId="15814D6A" w:rsidR="00431A55" w:rsidRPr="00C124F1" w:rsidRDefault="00431A55">
      <w:pPr>
        <w:pStyle w:val="FootnoteText"/>
        <w:rPr>
          <w:lang w:val="en-US"/>
        </w:rPr>
      </w:pPr>
      <w:r w:rsidRPr="00C124F1">
        <w:rPr>
          <w:rStyle w:val="FootnoteReference"/>
          <w:sz w:val="20"/>
          <w:szCs w:val="20"/>
        </w:rPr>
        <w:footnoteRef/>
      </w:r>
      <w:r w:rsidRPr="00C124F1">
        <w:rPr>
          <w:sz w:val="20"/>
          <w:szCs w:val="20"/>
        </w:rPr>
        <w:t xml:space="preserve"> </w:t>
      </w:r>
      <w:r>
        <w:rPr>
          <w:sz w:val="20"/>
          <w:szCs w:val="20"/>
          <w:vertAlign w:val="baseline"/>
        </w:rPr>
        <w:t>See Section 5.4.3 (n 836)</w:t>
      </w:r>
    </w:p>
  </w:footnote>
  <w:footnote w:id="1308">
    <w:p w14:paraId="176A9E18" w14:textId="6E8299A1" w:rsidR="00431A55" w:rsidRPr="004B7C29" w:rsidRDefault="00431A55">
      <w:pPr>
        <w:pStyle w:val="FootnoteText"/>
        <w:rPr>
          <w:lang w:val="en-US"/>
        </w:rPr>
      </w:pPr>
      <w:r w:rsidRPr="004B7C29">
        <w:rPr>
          <w:rStyle w:val="FootnoteReference"/>
          <w:sz w:val="20"/>
          <w:szCs w:val="20"/>
        </w:rPr>
        <w:footnoteRef/>
      </w:r>
      <w:r w:rsidRPr="004B7C29">
        <w:rPr>
          <w:sz w:val="20"/>
          <w:szCs w:val="20"/>
        </w:rPr>
        <w:t xml:space="preserve"> </w:t>
      </w:r>
      <w:r>
        <w:rPr>
          <w:sz w:val="20"/>
          <w:szCs w:val="20"/>
          <w:vertAlign w:val="baseline"/>
        </w:rPr>
        <w:t>See Section 4.4, 132, 140, 149, 15</w:t>
      </w:r>
      <w:r w:rsidR="00F350CF">
        <w:rPr>
          <w:sz w:val="20"/>
          <w:szCs w:val="20"/>
          <w:vertAlign w:val="baseline"/>
        </w:rPr>
        <w:t>3</w:t>
      </w:r>
    </w:p>
  </w:footnote>
  <w:footnote w:id="1309">
    <w:p w14:paraId="3C1F7FC2" w14:textId="6B500FD0" w:rsidR="00431A55" w:rsidRPr="00B96AB9" w:rsidRDefault="00431A55">
      <w:pPr>
        <w:pStyle w:val="FootnoteText"/>
        <w:rPr>
          <w:lang w:val="en-US"/>
        </w:rPr>
      </w:pPr>
      <w:r w:rsidRPr="00B96AB9">
        <w:rPr>
          <w:rStyle w:val="FootnoteReference"/>
          <w:sz w:val="20"/>
          <w:szCs w:val="20"/>
        </w:rPr>
        <w:footnoteRef/>
      </w:r>
      <w:r w:rsidRPr="00B96AB9">
        <w:rPr>
          <w:sz w:val="20"/>
          <w:szCs w:val="20"/>
        </w:rPr>
        <w:t xml:space="preserve"> </w:t>
      </w:r>
      <w:r>
        <w:rPr>
          <w:sz w:val="20"/>
          <w:szCs w:val="20"/>
          <w:vertAlign w:val="baseline"/>
        </w:rPr>
        <w:t>ibid 150</w:t>
      </w:r>
    </w:p>
  </w:footnote>
  <w:footnote w:id="1310">
    <w:p w14:paraId="0A8A9C76" w14:textId="5841B401" w:rsidR="00431A55" w:rsidRPr="00C86ED3" w:rsidRDefault="00431A55">
      <w:pPr>
        <w:pStyle w:val="FootnoteText"/>
        <w:rPr>
          <w:lang w:val="en-US"/>
        </w:rPr>
      </w:pPr>
      <w:r w:rsidRPr="00C86ED3">
        <w:rPr>
          <w:rStyle w:val="FootnoteReference"/>
          <w:sz w:val="20"/>
          <w:szCs w:val="20"/>
        </w:rPr>
        <w:footnoteRef/>
      </w:r>
      <w:r w:rsidRPr="00C86ED3">
        <w:rPr>
          <w:sz w:val="20"/>
          <w:szCs w:val="20"/>
        </w:rPr>
        <w:t xml:space="preserve"> </w:t>
      </w:r>
      <w:r w:rsidR="00F350CF">
        <w:rPr>
          <w:sz w:val="20"/>
          <w:szCs w:val="20"/>
          <w:vertAlign w:val="baseline"/>
        </w:rPr>
        <w:t>Section 1.3</w:t>
      </w:r>
      <w:r>
        <w:rPr>
          <w:sz w:val="20"/>
          <w:szCs w:val="20"/>
          <w:vertAlign w:val="baseline"/>
        </w:rPr>
        <w:t>, 2</w:t>
      </w:r>
      <w:r w:rsidR="00F350CF">
        <w:rPr>
          <w:sz w:val="20"/>
          <w:szCs w:val="20"/>
          <w:vertAlign w:val="baseline"/>
        </w:rPr>
        <w:t>9</w:t>
      </w:r>
    </w:p>
  </w:footnote>
  <w:footnote w:id="1311">
    <w:p w14:paraId="725799FF" w14:textId="76A6CC4B" w:rsidR="00431A55" w:rsidRPr="000204AE" w:rsidRDefault="00431A55">
      <w:pPr>
        <w:pStyle w:val="FootnoteText"/>
        <w:rPr>
          <w:sz w:val="20"/>
          <w:szCs w:val="20"/>
          <w:vertAlign w:val="baseline"/>
          <w:lang w:val="en-US"/>
        </w:rPr>
      </w:pPr>
      <w:r w:rsidRPr="000204AE">
        <w:rPr>
          <w:rStyle w:val="FootnoteReference"/>
          <w:sz w:val="20"/>
          <w:szCs w:val="20"/>
        </w:rPr>
        <w:footnoteRef/>
      </w:r>
      <w:r w:rsidRPr="000204AE">
        <w:rPr>
          <w:sz w:val="20"/>
          <w:szCs w:val="20"/>
        </w:rPr>
        <w:t xml:space="preserve"> </w:t>
      </w:r>
      <w:r w:rsidR="00F350CF">
        <w:rPr>
          <w:sz w:val="20"/>
          <w:szCs w:val="20"/>
          <w:vertAlign w:val="baseline"/>
        </w:rPr>
        <w:t>Coomaraswamy (n 1079</w:t>
      </w:r>
      <w:r>
        <w:rPr>
          <w:sz w:val="20"/>
          <w:szCs w:val="20"/>
          <w:vertAlign w:val="baseline"/>
        </w:rPr>
        <w:t>)</w:t>
      </w:r>
    </w:p>
  </w:footnote>
  <w:footnote w:id="1312">
    <w:p w14:paraId="01949D2B" w14:textId="13EC5E5E" w:rsidR="00431A55" w:rsidRPr="002D43B1" w:rsidRDefault="00431A55">
      <w:pPr>
        <w:pStyle w:val="FootnoteText"/>
        <w:rPr>
          <w:sz w:val="20"/>
          <w:szCs w:val="20"/>
          <w:vertAlign w:val="baseline"/>
          <w:lang w:val="en-US"/>
        </w:rPr>
      </w:pPr>
      <w:r w:rsidRPr="002D43B1">
        <w:rPr>
          <w:rStyle w:val="FootnoteReference"/>
          <w:sz w:val="20"/>
          <w:szCs w:val="20"/>
        </w:rPr>
        <w:footnoteRef/>
      </w:r>
      <w:r w:rsidRPr="002D43B1">
        <w:rPr>
          <w:sz w:val="20"/>
          <w:szCs w:val="20"/>
        </w:rPr>
        <w:t xml:space="preserve"> </w:t>
      </w:r>
      <w:r w:rsidRPr="002D43B1">
        <w:rPr>
          <w:sz w:val="20"/>
          <w:szCs w:val="20"/>
          <w:vertAlign w:val="baseline"/>
          <w:lang w:val="en-US"/>
        </w:rPr>
        <w:t>Chhattisgarh,</w:t>
      </w:r>
      <w:r>
        <w:rPr>
          <w:sz w:val="20"/>
          <w:szCs w:val="20"/>
          <w:vertAlign w:val="baseline"/>
          <w:lang w:val="en-US"/>
        </w:rPr>
        <w:t xml:space="preserve"> Bihar, Jharkhand, Rajasthan, Assam, Maharashtra and Odisha </w:t>
      </w:r>
    </w:p>
  </w:footnote>
  <w:footnote w:id="1313">
    <w:p w14:paraId="18B7B811" w14:textId="0A5C0742" w:rsidR="00431A55" w:rsidRPr="00216991" w:rsidRDefault="00431A55">
      <w:pPr>
        <w:pStyle w:val="FootnoteText"/>
        <w:rPr>
          <w:sz w:val="20"/>
          <w:szCs w:val="20"/>
          <w:vertAlign w:val="baseline"/>
          <w:lang w:val="en-US"/>
        </w:rPr>
      </w:pPr>
      <w:r w:rsidRPr="00216991">
        <w:rPr>
          <w:rStyle w:val="FootnoteReference"/>
          <w:sz w:val="20"/>
          <w:szCs w:val="20"/>
        </w:rPr>
        <w:footnoteRef/>
      </w:r>
      <w:r w:rsidRPr="00216991">
        <w:rPr>
          <w:sz w:val="20"/>
          <w:szCs w:val="20"/>
        </w:rPr>
        <w:t xml:space="preserve"> </w:t>
      </w:r>
      <w:r>
        <w:rPr>
          <w:sz w:val="20"/>
          <w:szCs w:val="20"/>
          <w:vertAlign w:val="baseline"/>
        </w:rPr>
        <w:t>See table (Fig.1) for full l</w:t>
      </w:r>
      <w:r w:rsidR="00F350CF">
        <w:rPr>
          <w:sz w:val="20"/>
          <w:szCs w:val="20"/>
          <w:vertAlign w:val="baseline"/>
        </w:rPr>
        <w:t>ist of treaty ratifications, 179</w:t>
      </w:r>
    </w:p>
  </w:footnote>
  <w:footnote w:id="1314">
    <w:p w14:paraId="29794DDF" w14:textId="7201959C" w:rsidR="00431A55" w:rsidRPr="00086CCC" w:rsidRDefault="00431A55">
      <w:pPr>
        <w:pStyle w:val="FootnoteText"/>
        <w:rPr>
          <w:sz w:val="20"/>
          <w:szCs w:val="20"/>
          <w:vertAlign w:val="baseline"/>
          <w:lang w:val="en-US"/>
        </w:rPr>
      </w:pPr>
      <w:r w:rsidRPr="00086CCC">
        <w:rPr>
          <w:rStyle w:val="FootnoteReference"/>
          <w:sz w:val="20"/>
          <w:szCs w:val="20"/>
        </w:rPr>
        <w:footnoteRef/>
      </w:r>
      <w:r w:rsidRPr="00086CCC">
        <w:rPr>
          <w:sz w:val="20"/>
          <w:szCs w:val="20"/>
        </w:rPr>
        <w:t xml:space="preserve"> </w:t>
      </w:r>
      <w:r>
        <w:rPr>
          <w:sz w:val="20"/>
          <w:szCs w:val="20"/>
          <w:vertAlign w:val="baseline"/>
        </w:rPr>
        <w:t xml:space="preserve">Greg Mortenson and David Oliver Relin, </w:t>
      </w:r>
      <w:r>
        <w:rPr>
          <w:i/>
          <w:sz w:val="20"/>
          <w:szCs w:val="20"/>
          <w:vertAlign w:val="baseline"/>
        </w:rPr>
        <w:t>Three Cups of Tea</w:t>
      </w:r>
      <w:r>
        <w:rPr>
          <w:sz w:val="20"/>
          <w:szCs w:val="20"/>
          <w:vertAlign w:val="baseline"/>
        </w:rPr>
        <w:t xml:space="preserve"> (Penguin 2006) 209</w:t>
      </w:r>
    </w:p>
  </w:footnote>
  <w:footnote w:id="1315">
    <w:p w14:paraId="301A3524" w14:textId="76F99AAD" w:rsidR="00431A55" w:rsidRPr="00CA1DCB" w:rsidRDefault="00431A55">
      <w:pPr>
        <w:pStyle w:val="FootnoteText"/>
        <w:rPr>
          <w:sz w:val="20"/>
          <w:szCs w:val="20"/>
          <w:vertAlign w:val="baseline"/>
          <w:lang w:val="en-US"/>
        </w:rPr>
      </w:pPr>
      <w:r w:rsidRPr="00CA1DCB">
        <w:rPr>
          <w:rStyle w:val="FootnoteReference"/>
          <w:sz w:val="20"/>
          <w:szCs w:val="20"/>
        </w:rPr>
        <w:footnoteRef/>
      </w:r>
      <w:r w:rsidRPr="00CA1DCB">
        <w:rPr>
          <w:sz w:val="20"/>
          <w:szCs w:val="20"/>
        </w:rPr>
        <w:t xml:space="preserve"> </w:t>
      </w:r>
      <w:r>
        <w:rPr>
          <w:sz w:val="20"/>
          <w:szCs w:val="20"/>
          <w:vertAlign w:val="baseline"/>
        </w:rPr>
        <w:t xml:space="preserve">Bertrand Russell, </w:t>
      </w:r>
      <w:r>
        <w:rPr>
          <w:i/>
          <w:sz w:val="20"/>
          <w:szCs w:val="20"/>
          <w:vertAlign w:val="baseline"/>
        </w:rPr>
        <w:t>Unpopular Essays</w:t>
      </w:r>
      <w:r>
        <w:rPr>
          <w:sz w:val="20"/>
          <w:szCs w:val="20"/>
          <w:vertAlign w:val="baseline"/>
        </w:rPr>
        <w:t xml:space="preserve"> (first published 1951, Routledge 2009)</w:t>
      </w:r>
      <w:r>
        <w:rPr>
          <w:i/>
          <w:sz w:val="20"/>
          <w:szCs w:val="20"/>
          <w:vertAlign w:val="baseline"/>
        </w:rPr>
        <w:t xml:space="preserve"> </w:t>
      </w:r>
      <w:r>
        <w:rPr>
          <w:sz w:val="20"/>
          <w:szCs w:val="20"/>
          <w:vertAlign w:val="baseline"/>
        </w:rPr>
        <w:t>103</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63D2D"/>
    <w:multiLevelType w:val="hybridMultilevel"/>
    <w:tmpl w:val="979A63F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7A46D2"/>
    <w:multiLevelType w:val="multilevel"/>
    <w:tmpl w:val="E6AE23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79F088D"/>
    <w:multiLevelType w:val="hybridMultilevel"/>
    <w:tmpl w:val="4D2AC778"/>
    <w:lvl w:ilvl="0" w:tplc="4EDCD53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B917E53"/>
    <w:multiLevelType w:val="multilevel"/>
    <w:tmpl w:val="FC2AA472"/>
    <w:lvl w:ilvl="0">
      <w:start w:val="6"/>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0C850488"/>
    <w:multiLevelType w:val="multilevel"/>
    <w:tmpl w:val="E6AE23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39C055D"/>
    <w:multiLevelType w:val="hybridMultilevel"/>
    <w:tmpl w:val="01AEEF62"/>
    <w:lvl w:ilvl="0" w:tplc="C08AFF0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13DF7BC6"/>
    <w:multiLevelType w:val="hybridMultilevel"/>
    <w:tmpl w:val="822AF7C4"/>
    <w:lvl w:ilvl="0" w:tplc="6FC0A43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13F003F2"/>
    <w:multiLevelType w:val="hybridMultilevel"/>
    <w:tmpl w:val="BA9A33A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56A4168"/>
    <w:multiLevelType w:val="hybridMultilevel"/>
    <w:tmpl w:val="4E6C1C1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81211C8"/>
    <w:multiLevelType w:val="hybridMultilevel"/>
    <w:tmpl w:val="264ECB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3D566D1"/>
    <w:multiLevelType w:val="hybridMultilevel"/>
    <w:tmpl w:val="5ABC6998"/>
    <w:lvl w:ilvl="0" w:tplc="A73C139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53F2D6A"/>
    <w:multiLevelType w:val="hybridMultilevel"/>
    <w:tmpl w:val="5FDA9C6C"/>
    <w:lvl w:ilvl="0" w:tplc="28E4FC2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AEF4171"/>
    <w:multiLevelType w:val="multilevel"/>
    <w:tmpl w:val="7B587208"/>
    <w:lvl w:ilvl="0">
      <w:start w:val="6"/>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2CCE09DC"/>
    <w:multiLevelType w:val="hybridMultilevel"/>
    <w:tmpl w:val="4E6C1C1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33F2F75"/>
    <w:multiLevelType w:val="multilevel"/>
    <w:tmpl w:val="AEC68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43C11A9"/>
    <w:multiLevelType w:val="hybridMultilevel"/>
    <w:tmpl w:val="3A44B7C8"/>
    <w:lvl w:ilvl="0" w:tplc="0B8A1E86">
      <w:start w:val="3"/>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1A179E9"/>
    <w:multiLevelType w:val="hybridMultilevel"/>
    <w:tmpl w:val="4E6C1C1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BB100AC"/>
    <w:multiLevelType w:val="hybridMultilevel"/>
    <w:tmpl w:val="5ABC6998"/>
    <w:lvl w:ilvl="0" w:tplc="A73C139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C0E7E67"/>
    <w:multiLevelType w:val="hybridMultilevel"/>
    <w:tmpl w:val="4D96E26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F5944BB"/>
    <w:multiLevelType w:val="multilevel"/>
    <w:tmpl w:val="1E2E5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0A9724C"/>
    <w:multiLevelType w:val="hybridMultilevel"/>
    <w:tmpl w:val="5ABC6998"/>
    <w:lvl w:ilvl="0" w:tplc="A73C139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1"/>
  </w:num>
  <w:num w:numId="3">
    <w:abstractNumId w:val="10"/>
  </w:num>
  <w:num w:numId="4">
    <w:abstractNumId w:val="18"/>
  </w:num>
  <w:num w:numId="5">
    <w:abstractNumId w:val="17"/>
  </w:num>
  <w:num w:numId="6">
    <w:abstractNumId w:val="20"/>
  </w:num>
  <w:num w:numId="7">
    <w:abstractNumId w:val="3"/>
  </w:num>
  <w:num w:numId="8">
    <w:abstractNumId w:val="12"/>
  </w:num>
  <w:num w:numId="9">
    <w:abstractNumId w:val="2"/>
  </w:num>
  <w:num w:numId="10">
    <w:abstractNumId w:val="19"/>
  </w:num>
  <w:num w:numId="11">
    <w:abstractNumId w:val="14"/>
  </w:num>
  <w:num w:numId="12">
    <w:abstractNumId w:val="6"/>
  </w:num>
  <w:num w:numId="13">
    <w:abstractNumId w:val="5"/>
  </w:num>
  <w:num w:numId="14">
    <w:abstractNumId w:val="4"/>
    <w:lvlOverride w:ilvl="0">
      <w:startOverride w:val="299"/>
    </w:lvlOverride>
  </w:num>
  <w:num w:numId="15">
    <w:abstractNumId w:val="1"/>
  </w:num>
  <w:num w:numId="16">
    <w:abstractNumId w:val="7"/>
  </w:num>
  <w:num w:numId="17">
    <w:abstractNumId w:val="9"/>
  </w:num>
  <w:num w:numId="18">
    <w:abstractNumId w:val="15"/>
  </w:num>
  <w:num w:numId="19">
    <w:abstractNumId w:val="16"/>
  </w:num>
  <w:num w:numId="20">
    <w:abstractNumId w:val="8"/>
  </w:num>
  <w:num w:numId="21">
    <w:abstractNumId w:val="1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activeWritingStyle w:appName="MSWord" w:lang="en-GB" w:vendorID="64" w:dllVersion="131078" w:nlCheck="1" w:checkStyle="1"/>
  <w:activeWritingStyle w:appName="MSWord" w:lang="en-US" w:vendorID="64" w:dllVersion="131078" w:nlCheck="1" w:checkStyle="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2769"/>
    <w:rsid w:val="000011DC"/>
    <w:rsid w:val="000029F5"/>
    <w:rsid w:val="000031AE"/>
    <w:rsid w:val="00003391"/>
    <w:rsid w:val="00003C11"/>
    <w:rsid w:val="00003E4D"/>
    <w:rsid w:val="000042D7"/>
    <w:rsid w:val="00006646"/>
    <w:rsid w:val="0000703F"/>
    <w:rsid w:val="000076EB"/>
    <w:rsid w:val="0001059C"/>
    <w:rsid w:val="00011267"/>
    <w:rsid w:val="00011A10"/>
    <w:rsid w:val="000120DE"/>
    <w:rsid w:val="000120EC"/>
    <w:rsid w:val="0001268D"/>
    <w:rsid w:val="00012BB3"/>
    <w:rsid w:val="000131B6"/>
    <w:rsid w:val="000134FE"/>
    <w:rsid w:val="00016FFB"/>
    <w:rsid w:val="000204AE"/>
    <w:rsid w:val="000209AD"/>
    <w:rsid w:val="0002227C"/>
    <w:rsid w:val="00022BA4"/>
    <w:rsid w:val="00022FC1"/>
    <w:rsid w:val="0002300A"/>
    <w:rsid w:val="000234A6"/>
    <w:rsid w:val="000234B7"/>
    <w:rsid w:val="00023690"/>
    <w:rsid w:val="00023C28"/>
    <w:rsid w:val="00023F68"/>
    <w:rsid w:val="00024977"/>
    <w:rsid w:val="0002519D"/>
    <w:rsid w:val="00030F2C"/>
    <w:rsid w:val="000313B9"/>
    <w:rsid w:val="000315BD"/>
    <w:rsid w:val="00031DE5"/>
    <w:rsid w:val="00031E28"/>
    <w:rsid w:val="00032D8F"/>
    <w:rsid w:val="00032E65"/>
    <w:rsid w:val="000330D4"/>
    <w:rsid w:val="00034561"/>
    <w:rsid w:val="00034A3E"/>
    <w:rsid w:val="00034EC6"/>
    <w:rsid w:val="00035CA2"/>
    <w:rsid w:val="00035CC6"/>
    <w:rsid w:val="00036573"/>
    <w:rsid w:val="000374EE"/>
    <w:rsid w:val="0003798A"/>
    <w:rsid w:val="000408C4"/>
    <w:rsid w:val="000424E6"/>
    <w:rsid w:val="00042E2F"/>
    <w:rsid w:val="00044590"/>
    <w:rsid w:val="000450FC"/>
    <w:rsid w:val="000453C7"/>
    <w:rsid w:val="00047C7D"/>
    <w:rsid w:val="000504E8"/>
    <w:rsid w:val="00050E18"/>
    <w:rsid w:val="00052349"/>
    <w:rsid w:val="0005295C"/>
    <w:rsid w:val="00052DB9"/>
    <w:rsid w:val="00053794"/>
    <w:rsid w:val="00054671"/>
    <w:rsid w:val="000547B3"/>
    <w:rsid w:val="00055A53"/>
    <w:rsid w:val="00055C98"/>
    <w:rsid w:val="000560A6"/>
    <w:rsid w:val="000563FF"/>
    <w:rsid w:val="000602E5"/>
    <w:rsid w:val="00060B12"/>
    <w:rsid w:val="00061265"/>
    <w:rsid w:val="00061DFA"/>
    <w:rsid w:val="00062204"/>
    <w:rsid w:val="000630BB"/>
    <w:rsid w:val="000632CE"/>
    <w:rsid w:val="00064338"/>
    <w:rsid w:val="0006496C"/>
    <w:rsid w:val="00064B24"/>
    <w:rsid w:val="00064E02"/>
    <w:rsid w:val="0006557E"/>
    <w:rsid w:val="00066B3D"/>
    <w:rsid w:val="0006791B"/>
    <w:rsid w:val="00070641"/>
    <w:rsid w:val="00070DAD"/>
    <w:rsid w:val="0007127E"/>
    <w:rsid w:val="000718B3"/>
    <w:rsid w:val="00071F28"/>
    <w:rsid w:val="00072D4C"/>
    <w:rsid w:val="00073464"/>
    <w:rsid w:val="000734AF"/>
    <w:rsid w:val="00073B24"/>
    <w:rsid w:val="0007532E"/>
    <w:rsid w:val="00075968"/>
    <w:rsid w:val="00076B54"/>
    <w:rsid w:val="00076BA5"/>
    <w:rsid w:val="000772D1"/>
    <w:rsid w:val="00077BD4"/>
    <w:rsid w:val="00077BDD"/>
    <w:rsid w:val="0008088F"/>
    <w:rsid w:val="00081047"/>
    <w:rsid w:val="0008132A"/>
    <w:rsid w:val="00081E8B"/>
    <w:rsid w:val="000820AB"/>
    <w:rsid w:val="0008238A"/>
    <w:rsid w:val="00082CFA"/>
    <w:rsid w:val="000832EC"/>
    <w:rsid w:val="00083FD9"/>
    <w:rsid w:val="0008580A"/>
    <w:rsid w:val="00086CCC"/>
    <w:rsid w:val="00086F6E"/>
    <w:rsid w:val="00087EB5"/>
    <w:rsid w:val="000908D7"/>
    <w:rsid w:val="00092548"/>
    <w:rsid w:val="00092C8E"/>
    <w:rsid w:val="00095751"/>
    <w:rsid w:val="00095779"/>
    <w:rsid w:val="000965F2"/>
    <w:rsid w:val="0009660F"/>
    <w:rsid w:val="00096B04"/>
    <w:rsid w:val="000971AC"/>
    <w:rsid w:val="00097C34"/>
    <w:rsid w:val="00097F3C"/>
    <w:rsid w:val="000A093E"/>
    <w:rsid w:val="000A1AB4"/>
    <w:rsid w:val="000A1D5C"/>
    <w:rsid w:val="000A2FDC"/>
    <w:rsid w:val="000A39B9"/>
    <w:rsid w:val="000A3B92"/>
    <w:rsid w:val="000A3CFB"/>
    <w:rsid w:val="000A45A9"/>
    <w:rsid w:val="000A556C"/>
    <w:rsid w:val="000A5DA0"/>
    <w:rsid w:val="000A6308"/>
    <w:rsid w:val="000A675B"/>
    <w:rsid w:val="000A6A6F"/>
    <w:rsid w:val="000A6E6D"/>
    <w:rsid w:val="000A6EF7"/>
    <w:rsid w:val="000A6F32"/>
    <w:rsid w:val="000A6FED"/>
    <w:rsid w:val="000A7A2C"/>
    <w:rsid w:val="000B047E"/>
    <w:rsid w:val="000B136C"/>
    <w:rsid w:val="000B147D"/>
    <w:rsid w:val="000B152D"/>
    <w:rsid w:val="000B2305"/>
    <w:rsid w:val="000B26B0"/>
    <w:rsid w:val="000B2D81"/>
    <w:rsid w:val="000B3AED"/>
    <w:rsid w:val="000B441C"/>
    <w:rsid w:val="000B50BD"/>
    <w:rsid w:val="000B651D"/>
    <w:rsid w:val="000B7C26"/>
    <w:rsid w:val="000B7ED4"/>
    <w:rsid w:val="000C0D74"/>
    <w:rsid w:val="000C1A2B"/>
    <w:rsid w:val="000C220B"/>
    <w:rsid w:val="000C245D"/>
    <w:rsid w:val="000C2853"/>
    <w:rsid w:val="000C286A"/>
    <w:rsid w:val="000C2C46"/>
    <w:rsid w:val="000C2DFF"/>
    <w:rsid w:val="000C3557"/>
    <w:rsid w:val="000C4370"/>
    <w:rsid w:val="000C4AE3"/>
    <w:rsid w:val="000C570C"/>
    <w:rsid w:val="000C63F6"/>
    <w:rsid w:val="000C671B"/>
    <w:rsid w:val="000C674C"/>
    <w:rsid w:val="000C67D9"/>
    <w:rsid w:val="000C6B30"/>
    <w:rsid w:val="000D18A7"/>
    <w:rsid w:val="000D19D0"/>
    <w:rsid w:val="000D2680"/>
    <w:rsid w:val="000D5921"/>
    <w:rsid w:val="000D72E6"/>
    <w:rsid w:val="000D75A4"/>
    <w:rsid w:val="000D7FA8"/>
    <w:rsid w:val="000E07A1"/>
    <w:rsid w:val="000E1474"/>
    <w:rsid w:val="000E2C34"/>
    <w:rsid w:val="000E4490"/>
    <w:rsid w:val="000E5AFA"/>
    <w:rsid w:val="000E5B14"/>
    <w:rsid w:val="000E72C8"/>
    <w:rsid w:val="000E738C"/>
    <w:rsid w:val="000E7C89"/>
    <w:rsid w:val="000F1222"/>
    <w:rsid w:val="000F1E8E"/>
    <w:rsid w:val="000F24F1"/>
    <w:rsid w:val="000F2CD8"/>
    <w:rsid w:val="000F2CDB"/>
    <w:rsid w:val="000F2E5B"/>
    <w:rsid w:val="000F3642"/>
    <w:rsid w:val="000F3713"/>
    <w:rsid w:val="000F371C"/>
    <w:rsid w:val="000F681A"/>
    <w:rsid w:val="000F68D6"/>
    <w:rsid w:val="000F73A7"/>
    <w:rsid w:val="000F7754"/>
    <w:rsid w:val="00101011"/>
    <w:rsid w:val="001012CD"/>
    <w:rsid w:val="001012DB"/>
    <w:rsid w:val="001020DF"/>
    <w:rsid w:val="00102721"/>
    <w:rsid w:val="00102A31"/>
    <w:rsid w:val="00103141"/>
    <w:rsid w:val="0010462E"/>
    <w:rsid w:val="00105093"/>
    <w:rsid w:val="00105475"/>
    <w:rsid w:val="00110145"/>
    <w:rsid w:val="00110CE7"/>
    <w:rsid w:val="001114F6"/>
    <w:rsid w:val="001140FC"/>
    <w:rsid w:val="001146B6"/>
    <w:rsid w:val="001148E0"/>
    <w:rsid w:val="00114C9F"/>
    <w:rsid w:val="00117987"/>
    <w:rsid w:val="0012097A"/>
    <w:rsid w:val="00121657"/>
    <w:rsid w:val="001222E1"/>
    <w:rsid w:val="001229EA"/>
    <w:rsid w:val="0012339F"/>
    <w:rsid w:val="00123902"/>
    <w:rsid w:val="001245DA"/>
    <w:rsid w:val="00125645"/>
    <w:rsid w:val="00125869"/>
    <w:rsid w:val="00125C73"/>
    <w:rsid w:val="001264D1"/>
    <w:rsid w:val="00126690"/>
    <w:rsid w:val="0012690E"/>
    <w:rsid w:val="0012736B"/>
    <w:rsid w:val="00127F3F"/>
    <w:rsid w:val="001300E1"/>
    <w:rsid w:val="00130ED6"/>
    <w:rsid w:val="00131620"/>
    <w:rsid w:val="00131744"/>
    <w:rsid w:val="00132370"/>
    <w:rsid w:val="00132887"/>
    <w:rsid w:val="001336B2"/>
    <w:rsid w:val="00134136"/>
    <w:rsid w:val="001353D1"/>
    <w:rsid w:val="001373E2"/>
    <w:rsid w:val="00140B85"/>
    <w:rsid w:val="001414BB"/>
    <w:rsid w:val="0014156E"/>
    <w:rsid w:val="00141ECE"/>
    <w:rsid w:val="00142ACB"/>
    <w:rsid w:val="00143D3B"/>
    <w:rsid w:val="001457DB"/>
    <w:rsid w:val="0014586C"/>
    <w:rsid w:val="00145B85"/>
    <w:rsid w:val="00146D3C"/>
    <w:rsid w:val="001478B2"/>
    <w:rsid w:val="0015079C"/>
    <w:rsid w:val="00150BB7"/>
    <w:rsid w:val="00150E38"/>
    <w:rsid w:val="00151415"/>
    <w:rsid w:val="00152036"/>
    <w:rsid w:val="00152210"/>
    <w:rsid w:val="001536F7"/>
    <w:rsid w:val="0015470C"/>
    <w:rsid w:val="00154BBE"/>
    <w:rsid w:val="00155114"/>
    <w:rsid w:val="00155CA6"/>
    <w:rsid w:val="001571CF"/>
    <w:rsid w:val="00157262"/>
    <w:rsid w:val="00160DA3"/>
    <w:rsid w:val="001622C7"/>
    <w:rsid w:val="00162B03"/>
    <w:rsid w:val="00162F34"/>
    <w:rsid w:val="00163DA2"/>
    <w:rsid w:val="001652AB"/>
    <w:rsid w:val="0016564E"/>
    <w:rsid w:val="001656F9"/>
    <w:rsid w:val="00166AFD"/>
    <w:rsid w:val="00170AE3"/>
    <w:rsid w:val="00170E57"/>
    <w:rsid w:val="001717EA"/>
    <w:rsid w:val="00172487"/>
    <w:rsid w:val="00172BC5"/>
    <w:rsid w:val="00172EFB"/>
    <w:rsid w:val="00172FCF"/>
    <w:rsid w:val="0017366A"/>
    <w:rsid w:val="00174AA9"/>
    <w:rsid w:val="0017748B"/>
    <w:rsid w:val="00177C02"/>
    <w:rsid w:val="00181045"/>
    <w:rsid w:val="00181684"/>
    <w:rsid w:val="00182684"/>
    <w:rsid w:val="00182BD0"/>
    <w:rsid w:val="00182ED6"/>
    <w:rsid w:val="001839DC"/>
    <w:rsid w:val="00183A10"/>
    <w:rsid w:val="001848DC"/>
    <w:rsid w:val="001858BD"/>
    <w:rsid w:val="00187589"/>
    <w:rsid w:val="001876C7"/>
    <w:rsid w:val="00187D3E"/>
    <w:rsid w:val="001908E2"/>
    <w:rsid w:val="00191835"/>
    <w:rsid w:val="001919C5"/>
    <w:rsid w:val="00192829"/>
    <w:rsid w:val="0019334A"/>
    <w:rsid w:val="00193E84"/>
    <w:rsid w:val="00194F71"/>
    <w:rsid w:val="00195A33"/>
    <w:rsid w:val="00196FE1"/>
    <w:rsid w:val="00197180"/>
    <w:rsid w:val="0019748F"/>
    <w:rsid w:val="00197EC0"/>
    <w:rsid w:val="001A0A64"/>
    <w:rsid w:val="001A1913"/>
    <w:rsid w:val="001A1F35"/>
    <w:rsid w:val="001A20B1"/>
    <w:rsid w:val="001A2AD6"/>
    <w:rsid w:val="001A34FD"/>
    <w:rsid w:val="001A3A59"/>
    <w:rsid w:val="001A44BB"/>
    <w:rsid w:val="001A45E5"/>
    <w:rsid w:val="001A5C89"/>
    <w:rsid w:val="001A6C4E"/>
    <w:rsid w:val="001A6FF7"/>
    <w:rsid w:val="001A7848"/>
    <w:rsid w:val="001B0E3E"/>
    <w:rsid w:val="001B0FC5"/>
    <w:rsid w:val="001B1071"/>
    <w:rsid w:val="001B1E60"/>
    <w:rsid w:val="001B2F99"/>
    <w:rsid w:val="001B3015"/>
    <w:rsid w:val="001B4D5F"/>
    <w:rsid w:val="001B4F60"/>
    <w:rsid w:val="001B56A7"/>
    <w:rsid w:val="001B6389"/>
    <w:rsid w:val="001B6705"/>
    <w:rsid w:val="001B6769"/>
    <w:rsid w:val="001B68F7"/>
    <w:rsid w:val="001B7134"/>
    <w:rsid w:val="001C0DE8"/>
    <w:rsid w:val="001C0E72"/>
    <w:rsid w:val="001C2B7D"/>
    <w:rsid w:val="001C37E5"/>
    <w:rsid w:val="001C397F"/>
    <w:rsid w:val="001C4397"/>
    <w:rsid w:val="001C4E38"/>
    <w:rsid w:val="001C5994"/>
    <w:rsid w:val="001C669C"/>
    <w:rsid w:val="001C6724"/>
    <w:rsid w:val="001C689B"/>
    <w:rsid w:val="001C70F9"/>
    <w:rsid w:val="001D0FA7"/>
    <w:rsid w:val="001D20FE"/>
    <w:rsid w:val="001D39FF"/>
    <w:rsid w:val="001D3B57"/>
    <w:rsid w:val="001D4540"/>
    <w:rsid w:val="001D48DE"/>
    <w:rsid w:val="001D4E01"/>
    <w:rsid w:val="001D6356"/>
    <w:rsid w:val="001D724B"/>
    <w:rsid w:val="001D7609"/>
    <w:rsid w:val="001D7995"/>
    <w:rsid w:val="001E0A35"/>
    <w:rsid w:val="001E2EB3"/>
    <w:rsid w:val="001E4AFD"/>
    <w:rsid w:val="001E4E40"/>
    <w:rsid w:val="001E5717"/>
    <w:rsid w:val="001E5A6A"/>
    <w:rsid w:val="001E5F2B"/>
    <w:rsid w:val="001E6286"/>
    <w:rsid w:val="001E62AB"/>
    <w:rsid w:val="001E6B73"/>
    <w:rsid w:val="001E761F"/>
    <w:rsid w:val="001F0B94"/>
    <w:rsid w:val="001F19E9"/>
    <w:rsid w:val="001F1B9B"/>
    <w:rsid w:val="001F2606"/>
    <w:rsid w:val="001F3CAB"/>
    <w:rsid w:val="001F50F6"/>
    <w:rsid w:val="001F5BEA"/>
    <w:rsid w:val="001F5EF2"/>
    <w:rsid w:val="001F7B22"/>
    <w:rsid w:val="0020035A"/>
    <w:rsid w:val="0020053B"/>
    <w:rsid w:val="00201141"/>
    <w:rsid w:val="002018ED"/>
    <w:rsid w:val="00202B79"/>
    <w:rsid w:val="00203743"/>
    <w:rsid w:val="00204EC1"/>
    <w:rsid w:val="00205013"/>
    <w:rsid w:val="002053B5"/>
    <w:rsid w:val="00206156"/>
    <w:rsid w:val="002062F2"/>
    <w:rsid w:val="00206807"/>
    <w:rsid w:val="002070D1"/>
    <w:rsid w:val="00207EC1"/>
    <w:rsid w:val="002108EF"/>
    <w:rsid w:val="002110D1"/>
    <w:rsid w:val="00211867"/>
    <w:rsid w:val="00211982"/>
    <w:rsid w:val="00211DAA"/>
    <w:rsid w:val="00212046"/>
    <w:rsid w:val="00212656"/>
    <w:rsid w:val="00212F46"/>
    <w:rsid w:val="002133BD"/>
    <w:rsid w:val="002138BF"/>
    <w:rsid w:val="0021455C"/>
    <w:rsid w:val="00214986"/>
    <w:rsid w:val="00214995"/>
    <w:rsid w:val="002149BD"/>
    <w:rsid w:val="00215898"/>
    <w:rsid w:val="00216991"/>
    <w:rsid w:val="00216EAB"/>
    <w:rsid w:val="0021754E"/>
    <w:rsid w:val="002176DE"/>
    <w:rsid w:val="00217B44"/>
    <w:rsid w:val="00220DD4"/>
    <w:rsid w:val="00221255"/>
    <w:rsid w:val="00221810"/>
    <w:rsid w:val="00221D50"/>
    <w:rsid w:val="0022241F"/>
    <w:rsid w:val="00222E80"/>
    <w:rsid w:val="00223132"/>
    <w:rsid w:val="00224084"/>
    <w:rsid w:val="00227602"/>
    <w:rsid w:val="00230089"/>
    <w:rsid w:val="00230E17"/>
    <w:rsid w:val="00230E94"/>
    <w:rsid w:val="00232B58"/>
    <w:rsid w:val="0023415C"/>
    <w:rsid w:val="00234819"/>
    <w:rsid w:val="00234F7E"/>
    <w:rsid w:val="00236263"/>
    <w:rsid w:val="002365C9"/>
    <w:rsid w:val="00236E66"/>
    <w:rsid w:val="00237478"/>
    <w:rsid w:val="00243A7B"/>
    <w:rsid w:val="00243F4D"/>
    <w:rsid w:val="00245940"/>
    <w:rsid w:val="00245BE9"/>
    <w:rsid w:val="00247E07"/>
    <w:rsid w:val="0025031E"/>
    <w:rsid w:val="002507F2"/>
    <w:rsid w:val="00251646"/>
    <w:rsid w:val="00252848"/>
    <w:rsid w:val="00253227"/>
    <w:rsid w:val="00253944"/>
    <w:rsid w:val="00253AED"/>
    <w:rsid w:val="00253C7E"/>
    <w:rsid w:val="00254936"/>
    <w:rsid w:val="002554A5"/>
    <w:rsid w:val="00255CD2"/>
    <w:rsid w:val="00255EFB"/>
    <w:rsid w:val="00257BD7"/>
    <w:rsid w:val="0026048A"/>
    <w:rsid w:val="002613BC"/>
    <w:rsid w:val="002621BF"/>
    <w:rsid w:val="00264194"/>
    <w:rsid w:val="002659E6"/>
    <w:rsid w:val="002666E6"/>
    <w:rsid w:val="00266919"/>
    <w:rsid w:val="00267648"/>
    <w:rsid w:val="0026786E"/>
    <w:rsid w:val="002678AD"/>
    <w:rsid w:val="00270212"/>
    <w:rsid w:val="0027025E"/>
    <w:rsid w:val="00270FE6"/>
    <w:rsid w:val="00272335"/>
    <w:rsid w:val="002727B0"/>
    <w:rsid w:val="002728B6"/>
    <w:rsid w:val="00273300"/>
    <w:rsid w:val="00275FEC"/>
    <w:rsid w:val="00276418"/>
    <w:rsid w:val="002764E8"/>
    <w:rsid w:val="00276558"/>
    <w:rsid w:val="00276588"/>
    <w:rsid w:val="00277362"/>
    <w:rsid w:val="00277A93"/>
    <w:rsid w:val="00277BB7"/>
    <w:rsid w:val="00277BE1"/>
    <w:rsid w:val="00277FBC"/>
    <w:rsid w:val="002800BA"/>
    <w:rsid w:val="00280BC3"/>
    <w:rsid w:val="00281DC1"/>
    <w:rsid w:val="0028216B"/>
    <w:rsid w:val="002823A1"/>
    <w:rsid w:val="00283192"/>
    <w:rsid w:val="0028353E"/>
    <w:rsid w:val="002843F8"/>
    <w:rsid w:val="00285341"/>
    <w:rsid w:val="00285554"/>
    <w:rsid w:val="00285A31"/>
    <w:rsid w:val="002914CC"/>
    <w:rsid w:val="002920F2"/>
    <w:rsid w:val="00292DC3"/>
    <w:rsid w:val="00293278"/>
    <w:rsid w:val="00293CA8"/>
    <w:rsid w:val="002947EF"/>
    <w:rsid w:val="00295042"/>
    <w:rsid w:val="00295E04"/>
    <w:rsid w:val="00296F6F"/>
    <w:rsid w:val="00297993"/>
    <w:rsid w:val="002A1327"/>
    <w:rsid w:val="002A177D"/>
    <w:rsid w:val="002A24FF"/>
    <w:rsid w:val="002A543B"/>
    <w:rsid w:val="002A5577"/>
    <w:rsid w:val="002A584B"/>
    <w:rsid w:val="002A661C"/>
    <w:rsid w:val="002A6A42"/>
    <w:rsid w:val="002A6E36"/>
    <w:rsid w:val="002A6EAB"/>
    <w:rsid w:val="002B0469"/>
    <w:rsid w:val="002B1402"/>
    <w:rsid w:val="002B249F"/>
    <w:rsid w:val="002B4CD5"/>
    <w:rsid w:val="002B5DF8"/>
    <w:rsid w:val="002B5F52"/>
    <w:rsid w:val="002B675A"/>
    <w:rsid w:val="002B6D0E"/>
    <w:rsid w:val="002C0F27"/>
    <w:rsid w:val="002C4A6E"/>
    <w:rsid w:val="002C4D38"/>
    <w:rsid w:val="002C57E0"/>
    <w:rsid w:val="002C7031"/>
    <w:rsid w:val="002C71C3"/>
    <w:rsid w:val="002C7A23"/>
    <w:rsid w:val="002D0567"/>
    <w:rsid w:val="002D102F"/>
    <w:rsid w:val="002D1C4E"/>
    <w:rsid w:val="002D2AE9"/>
    <w:rsid w:val="002D3623"/>
    <w:rsid w:val="002D399D"/>
    <w:rsid w:val="002D43B1"/>
    <w:rsid w:val="002D48E1"/>
    <w:rsid w:val="002D5A51"/>
    <w:rsid w:val="002D5B70"/>
    <w:rsid w:val="002D6848"/>
    <w:rsid w:val="002D757C"/>
    <w:rsid w:val="002E0A34"/>
    <w:rsid w:val="002E377D"/>
    <w:rsid w:val="002E4A3F"/>
    <w:rsid w:val="002E535C"/>
    <w:rsid w:val="002E5431"/>
    <w:rsid w:val="002E663E"/>
    <w:rsid w:val="002E69F1"/>
    <w:rsid w:val="002E6DF5"/>
    <w:rsid w:val="002E6E62"/>
    <w:rsid w:val="002E72E3"/>
    <w:rsid w:val="002E77A5"/>
    <w:rsid w:val="002E7A23"/>
    <w:rsid w:val="002F0887"/>
    <w:rsid w:val="002F1037"/>
    <w:rsid w:val="002F1EC9"/>
    <w:rsid w:val="002F2E94"/>
    <w:rsid w:val="002F2F5C"/>
    <w:rsid w:val="002F3052"/>
    <w:rsid w:val="002F316B"/>
    <w:rsid w:val="002F5BC1"/>
    <w:rsid w:val="002F70B3"/>
    <w:rsid w:val="002F7651"/>
    <w:rsid w:val="002F787B"/>
    <w:rsid w:val="002F7B17"/>
    <w:rsid w:val="0030034D"/>
    <w:rsid w:val="00300427"/>
    <w:rsid w:val="00301E4D"/>
    <w:rsid w:val="00303550"/>
    <w:rsid w:val="0030395A"/>
    <w:rsid w:val="003046DE"/>
    <w:rsid w:val="00304863"/>
    <w:rsid w:val="00305829"/>
    <w:rsid w:val="00306174"/>
    <w:rsid w:val="00306E98"/>
    <w:rsid w:val="0031053D"/>
    <w:rsid w:val="00311FC9"/>
    <w:rsid w:val="00312D63"/>
    <w:rsid w:val="00313C06"/>
    <w:rsid w:val="00313CBE"/>
    <w:rsid w:val="00314282"/>
    <w:rsid w:val="00315A9F"/>
    <w:rsid w:val="00316115"/>
    <w:rsid w:val="0031723A"/>
    <w:rsid w:val="003230B4"/>
    <w:rsid w:val="003236AA"/>
    <w:rsid w:val="0032397A"/>
    <w:rsid w:val="00324ADA"/>
    <w:rsid w:val="003259A1"/>
    <w:rsid w:val="00325F0E"/>
    <w:rsid w:val="00326BF4"/>
    <w:rsid w:val="00326DF6"/>
    <w:rsid w:val="00330FBB"/>
    <w:rsid w:val="003311F3"/>
    <w:rsid w:val="00331E4E"/>
    <w:rsid w:val="00333565"/>
    <w:rsid w:val="00333E13"/>
    <w:rsid w:val="00334EE1"/>
    <w:rsid w:val="00335DCC"/>
    <w:rsid w:val="00337D21"/>
    <w:rsid w:val="00340297"/>
    <w:rsid w:val="00340400"/>
    <w:rsid w:val="0034052F"/>
    <w:rsid w:val="0034159C"/>
    <w:rsid w:val="00341AD4"/>
    <w:rsid w:val="00341D32"/>
    <w:rsid w:val="0034297F"/>
    <w:rsid w:val="00342C8D"/>
    <w:rsid w:val="0034550D"/>
    <w:rsid w:val="00345FAB"/>
    <w:rsid w:val="00346F57"/>
    <w:rsid w:val="0035018B"/>
    <w:rsid w:val="00350757"/>
    <w:rsid w:val="0035109F"/>
    <w:rsid w:val="00351CEB"/>
    <w:rsid w:val="003535B9"/>
    <w:rsid w:val="00353D86"/>
    <w:rsid w:val="00354AC4"/>
    <w:rsid w:val="00354AF3"/>
    <w:rsid w:val="003553ED"/>
    <w:rsid w:val="00355E0F"/>
    <w:rsid w:val="003601CE"/>
    <w:rsid w:val="00362BFB"/>
    <w:rsid w:val="003643E3"/>
    <w:rsid w:val="003645D1"/>
    <w:rsid w:val="00365114"/>
    <w:rsid w:val="00365A6D"/>
    <w:rsid w:val="00365E60"/>
    <w:rsid w:val="00366B34"/>
    <w:rsid w:val="00370F95"/>
    <w:rsid w:val="003714B0"/>
    <w:rsid w:val="00371A61"/>
    <w:rsid w:val="00371E69"/>
    <w:rsid w:val="003720CC"/>
    <w:rsid w:val="00373BC1"/>
    <w:rsid w:val="00373FDF"/>
    <w:rsid w:val="00374FF1"/>
    <w:rsid w:val="00375182"/>
    <w:rsid w:val="00375717"/>
    <w:rsid w:val="003765A3"/>
    <w:rsid w:val="0037766D"/>
    <w:rsid w:val="00380EC1"/>
    <w:rsid w:val="00383414"/>
    <w:rsid w:val="00383BF9"/>
    <w:rsid w:val="003847FE"/>
    <w:rsid w:val="003850A6"/>
    <w:rsid w:val="003857BA"/>
    <w:rsid w:val="00385802"/>
    <w:rsid w:val="00385CB2"/>
    <w:rsid w:val="003861F4"/>
    <w:rsid w:val="003878B8"/>
    <w:rsid w:val="00387A9C"/>
    <w:rsid w:val="0039062E"/>
    <w:rsid w:val="00390AC4"/>
    <w:rsid w:val="00390B36"/>
    <w:rsid w:val="00391041"/>
    <w:rsid w:val="003923F8"/>
    <w:rsid w:val="00392A0C"/>
    <w:rsid w:val="00393CAB"/>
    <w:rsid w:val="0039527A"/>
    <w:rsid w:val="00395953"/>
    <w:rsid w:val="00395B87"/>
    <w:rsid w:val="00395DB7"/>
    <w:rsid w:val="00396604"/>
    <w:rsid w:val="003970AD"/>
    <w:rsid w:val="00397E44"/>
    <w:rsid w:val="00397E8E"/>
    <w:rsid w:val="00397EBA"/>
    <w:rsid w:val="003A0100"/>
    <w:rsid w:val="003A01A8"/>
    <w:rsid w:val="003A155B"/>
    <w:rsid w:val="003A16DF"/>
    <w:rsid w:val="003A2AEA"/>
    <w:rsid w:val="003A2B1D"/>
    <w:rsid w:val="003A3FAE"/>
    <w:rsid w:val="003A49C2"/>
    <w:rsid w:val="003A685C"/>
    <w:rsid w:val="003A6A35"/>
    <w:rsid w:val="003A7286"/>
    <w:rsid w:val="003A7F84"/>
    <w:rsid w:val="003B397D"/>
    <w:rsid w:val="003B4157"/>
    <w:rsid w:val="003B42CE"/>
    <w:rsid w:val="003B4A1B"/>
    <w:rsid w:val="003B5B61"/>
    <w:rsid w:val="003B66FC"/>
    <w:rsid w:val="003B68AC"/>
    <w:rsid w:val="003B69FD"/>
    <w:rsid w:val="003C029B"/>
    <w:rsid w:val="003C2592"/>
    <w:rsid w:val="003C2647"/>
    <w:rsid w:val="003C3733"/>
    <w:rsid w:val="003C4A7E"/>
    <w:rsid w:val="003C4FD4"/>
    <w:rsid w:val="003C525A"/>
    <w:rsid w:val="003C66BB"/>
    <w:rsid w:val="003C6866"/>
    <w:rsid w:val="003D018E"/>
    <w:rsid w:val="003D0731"/>
    <w:rsid w:val="003D0A18"/>
    <w:rsid w:val="003D0E60"/>
    <w:rsid w:val="003D2C2E"/>
    <w:rsid w:val="003D33DF"/>
    <w:rsid w:val="003D3D30"/>
    <w:rsid w:val="003D4389"/>
    <w:rsid w:val="003D43C7"/>
    <w:rsid w:val="003D5207"/>
    <w:rsid w:val="003D6AF4"/>
    <w:rsid w:val="003D77F1"/>
    <w:rsid w:val="003D7C56"/>
    <w:rsid w:val="003E2C58"/>
    <w:rsid w:val="003E2FF2"/>
    <w:rsid w:val="003E45B1"/>
    <w:rsid w:val="003E5AA7"/>
    <w:rsid w:val="003E5AC4"/>
    <w:rsid w:val="003E65A1"/>
    <w:rsid w:val="003F18A5"/>
    <w:rsid w:val="003F1C43"/>
    <w:rsid w:val="003F2470"/>
    <w:rsid w:val="003F2D58"/>
    <w:rsid w:val="003F3B69"/>
    <w:rsid w:val="003F4C1F"/>
    <w:rsid w:val="003F5996"/>
    <w:rsid w:val="003F707A"/>
    <w:rsid w:val="003F79E0"/>
    <w:rsid w:val="00400900"/>
    <w:rsid w:val="00400C98"/>
    <w:rsid w:val="00401E27"/>
    <w:rsid w:val="00402BE2"/>
    <w:rsid w:val="00403C56"/>
    <w:rsid w:val="00403C59"/>
    <w:rsid w:val="0040429E"/>
    <w:rsid w:val="004062BD"/>
    <w:rsid w:val="00406527"/>
    <w:rsid w:val="00410627"/>
    <w:rsid w:val="004107A1"/>
    <w:rsid w:val="00410DBC"/>
    <w:rsid w:val="00411FCD"/>
    <w:rsid w:val="004120B6"/>
    <w:rsid w:val="004125B6"/>
    <w:rsid w:val="00412787"/>
    <w:rsid w:val="00413017"/>
    <w:rsid w:val="00414218"/>
    <w:rsid w:val="00414304"/>
    <w:rsid w:val="00414365"/>
    <w:rsid w:val="00415375"/>
    <w:rsid w:val="004155FF"/>
    <w:rsid w:val="00416404"/>
    <w:rsid w:val="00416B41"/>
    <w:rsid w:val="004172B3"/>
    <w:rsid w:val="00417877"/>
    <w:rsid w:val="00417EBA"/>
    <w:rsid w:val="00420B76"/>
    <w:rsid w:val="00421FB5"/>
    <w:rsid w:val="0042245A"/>
    <w:rsid w:val="00423614"/>
    <w:rsid w:val="00424F5C"/>
    <w:rsid w:val="00425BE1"/>
    <w:rsid w:val="00426361"/>
    <w:rsid w:val="00426CD6"/>
    <w:rsid w:val="004273E2"/>
    <w:rsid w:val="00427DF0"/>
    <w:rsid w:val="0043009B"/>
    <w:rsid w:val="00430C85"/>
    <w:rsid w:val="00430D00"/>
    <w:rsid w:val="00431A55"/>
    <w:rsid w:val="00431BD2"/>
    <w:rsid w:val="00432B98"/>
    <w:rsid w:val="00433D74"/>
    <w:rsid w:val="004344C3"/>
    <w:rsid w:val="00436265"/>
    <w:rsid w:val="00436D8E"/>
    <w:rsid w:val="00437038"/>
    <w:rsid w:val="00437170"/>
    <w:rsid w:val="004409E3"/>
    <w:rsid w:val="00440D18"/>
    <w:rsid w:val="0044119D"/>
    <w:rsid w:val="00441B44"/>
    <w:rsid w:val="00442236"/>
    <w:rsid w:val="0044261C"/>
    <w:rsid w:val="0044325A"/>
    <w:rsid w:val="0044388D"/>
    <w:rsid w:val="00444E65"/>
    <w:rsid w:val="004467C6"/>
    <w:rsid w:val="00446CAA"/>
    <w:rsid w:val="00447977"/>
    <w:rsid w:val="00450090"/>
    <w:rsid w:val="00450AF3"/>
    <w:rsid w:val="0045177B"/>
    <w:rsid w:val="00451D9A"/>
    <w:rsid w:val="00453F39"/>
    <w:rsid w:val="00454729"/>
    <w:rsid w:val="004550B8"/>
    <w:rsid w:val="00455546"/>
    <w:rsid w:val="004558A5"/>
    <w:rsid w:val="00457B5B"/>
    <w:rsid w:val="004604E2"/>
    <w:rsid w:val="0046053F"/>
    <w:rsid w:val="00460F57"/>
    <w:rsid w:val="0046120C"/>
    <w:rsid w:val="0046256A"/>
    <w:rsid w:val="004625CE"/>
    <w:rsid w:val="004627F5"/>
    <w:rsid w:val="004629A0"/>
    <w:rsid w:val="004642A0"/>
    <w:rsid w:val="00464416"/>
    <w:rsid w:val="00464630"/>
    <w:rsid w:val="00464727"/>
    <w:rsid w:val="00465564"/>
    <w:rsid w:val="00465604"/>
    <w:rsid w:val="00465C9A"/>
    <w:rsid w:val="00467294"/>
    <w:rsid w:val="0046746A"/>
    <w:rsid w:val="004678DD"/>
    <w:rsid w:val="00467964"/>
    <w:rsid w:val="00467D3E"/>
    <w:rsid w:val="0047006A"/>
    <w:rsid w:val="00470924"/>
    <w:rsid w:val="0047256E"/>
    <w:rsid w:val="00472E34"/>
    <w:rsid w:val="00474B34"/>
    <w:rsid w:val="00475418"/>
    <w:rsid w:val="004756D3"/>
    <w:rsid w:val="00476470"/>
    <w:rsid w:val="00477913"/>
    <w:rsid w:val="00480341"/>
    <w:rsid w:val="00482028"/>
    <w:rsid w:val="00482630"/>
    <w:rsid w:val="00482EDD"/>
    <w:rsid w:val="00484DE1"/>
    <w:rsid w:val="00485D71"/>
    <w:rsid w:val="0048601A"/>
    <w:rsid w:val="00486561"/>
    <w:rsid w:val="004868EC"/>
    <w:rsid w:val="0048745F"/>
    <w:rsid w:val="00487CA1"/>
    <w:rsid w:val="00490F1E"/>
    <w:rsid w:val="00492060"/>
    <w:rsid w:val="00493B97"/>
    <w:rsid w:val="004946E4"/>
    <w:rsid w:val="00495542"/>
    <w:rsid w:val="00496061"/>
    <w:rsid w:val="00497DDD"/>
    <w:rsid w:val="004A06E7"/>
    <w:rsid w:val="004A144F"/>
    <w:rsid w:val="004A20B8"/>
    <w:rsid w:val="004A4072"/>
    <w:rsid w:val="004A4353"/>
    <w:rsid w:val="004A443A"/>
    <w:rsid w:val="004A456E"/>
    <w:rsid w:val="004B0885"/>
    <w:rsid w:val="004B0FC5"/>
    <w:rsid w:val="004B1412"/>
    <w:rsid w:val="004B2C3D"/>
    <w:rsid w:val="004B2FE8"/>
    <w:rsid w:val="004B3048"/>
    <w:rsid w:val="004B305B"/>
    <w:rsid w:val="004B31F0"/>
    <w:rsid w:val="004B5046"/>
    <w:rsid w:val="004B508A"/>
    <w:rsid w:val="004B74CC"/>
    <w:rsid w:val="004B7C29"/>
    <w:rsid w:val="004C0036"/>
    <w:rsid w:val="004C1E1A"/>
    <w:rsid w:val="004C2CA8"/>
    <w:rsid w:val="004C3E45"/>
    <w:rsid w:val="004C44AF"/>
    <w:rsid w:val="004C496A"/>
    <w:rsid w:val="004C4E25"/>
    <w:rsid w:val="004C4E96"/>
    <w:rsid w:val="004C4F1D"/>
    <w:rsid w:val="004C6B9D"/>
    <w:rsid w:val="004C6EA2"/>
    <w:rsid w:val="004D036B"/>
    <w:rsid w:val="004D1020"/>
    <w:rsid w:val="004D1257"/>
    <w:rsid w:val="004D146C"/>
    <w:rsid w:val="004D230B"/>
    <w:rsid w:val="004D25C3"/>
    <w:rsid w:val="004D3B32"/>
    <w:rsid w:val="004D4386"/>
    <w:rsid w:val="004D45C2"/>
    <w:rsid w:val="004D55E9"/>
    <w:rsid w:val="004D619C"/>
    <w:rsid w:val="004D679E"/>
    <w:rsid w:val="004D6D4D"/>
    <w:rsid w:val="004D7313"/>
    <w:rsid w:val="004E1046"/>
    <w:rsid w:val="004E1DB5"/>
    <w:rsid w:val="004E2908"/>
    <w:rsid w:val="004E3FC4"/>
    <w:rsid w:val="004E434A"/>
    <w:rsid w:val="004E438B"/>
    <w:rsid w:val="004E457B"/>
    <w:rsid w:val="004E4604"/>
    <w:rsid w:val="004E48D7"/>
    <w:rsid w:val="004E58B8"/>
    <w:rsid w:val="004E6167"/>
    <w:rsid w:val="004E65AF"/>
    <w:rsid w:val="004E6981"/>
    <w:rsid w:val="004E6DD5"/>
    <w:rsid w:val="004E780B"/>
    <w:rsid w:val="004F0D82"/>
    <w:rsid w:val="004F221B"/>
    <w:rsid w:val="004F3D04"/>
    <w:rsid w:val="004F54BC"/>
    <w:rsid w:val="004F584A"/>
    <w:rsid w:val="004F5FF5"/>
    <w:rsid w:val="004F6E05"/>
    <w:rsid w:val="004F6E7E"/>
    <w:rsid w:val="004F722C"/>
    <w:rsid w:val="005011DB"/>
    <w:rsid w:val="00501830"/>
    <w:rsid w:val="00501B3D"/>
    <w:rsid w:val="005046E8"/>
    <w:rsid w:val="00505107"/>
    <w:rsid w:val="0050537B"/>
    <w:rsid w:val="005054AC"/>
    <w:rsid w:val="00505B79"/>
    <w:rsid w:val="00505DD6"/>
    <w:rsid w:val="00506211"/>
    <w:rsid w:val="00506589"/>
    <w:rsid w:val="00506E84"/>
    <w:rsid w:val="00510676"/>
    <w:rsid w:val="00511B20"/>
    <w:rsid w:val="00511DAE"/>
    <w:rsid w:val="00511E2C"/>
    <w:rsid w:val="0051335A"/>
    <w:rsid w:val="005145DF"/>
    <w:rsid w:val="00515186"/>
    <w:rsid w:val="00515D8E"/>
    <w:rsid w:val="0051679C"/>
    <w:rsid w:val="00517578"/>
    <w:rsid w:val="0052003C"/>
    <w:rsid w:val="005200E4"/>
    <w:rsid w:val="005201B2"/>
    <w:rsid w:val="00521F22"/>
    <w:rsid w:val="00522DCF"/>
    <w:rsid w:val="005236E0"/>
    <w:rsid w:val="00523A45"/>
    <w:rsid w:val="00524BD2"/>
    <w:rsid w:val="00524CB8"/>
    <w:rsid w:val="005257A3"/>
    <w:rsid w:val="00525A99"/>
    <w:rsid w:val="00526341"/>
    <w:rsid w:val="005273DE"/>
    <w:rsid w:val="005275AE"/>
    <w:rsid w:val="00527C40"/>
    <w:rsid w:val="00530936"/>
    <w:rsid w:val="00532B98"/>
    <w:rsid w:val="00532BC1"/>
    <w:rsid w:val="00532DC0"/>
    <w:rsid w:val="00532EE2"/>
    <w:rsid w:val="00532F91"/>
    <w:rsid w:val="0053385C"/>
    <w:rsid w:val="00534E2E"/>
    <w:rsid w:val="00535056"/>
    <w:rsid w:val="005358BF"/>
    <w:rsid w:val="00535EBE"/>
    <w:rsid w:val="0053683C"/>
    <w:rsid w:val="00536A7D"/>
    <w:rsid w:val="0053783E"/>
    <w:rsid w:val="00540033"/>
    <w:rsid w:val="005408C5"/>
    <w:rsid w:val="00541F17"/>
    <w:rsid w:val="00542C39"/>
    <w:rsid w:val="005442F4"/>
    <w:rsid w:val="00544ACD"/>
    <w:rsid w:val="00544EF6"/>
    <w:rsid w:val="00545BA0"/>
    <w:rsid w:val="00546A04"/>
    <w:rsid w:val="00546EC6"/>
    <w:rsid w:val="005475B9"/>
    <w:rsid w:val="00547FCA"/>
    <w:rsid w:val="00550094"/>
    <w:rsid w:val="0055009B"/>
    <w:rsid w:val="00550181"/>
    <w:rsid w:val="0055029A"/>
    <w:rsid w:val="00550927"/>
    <w:rsid w:val="005510B1"/>
    <w:rsid w:val="005515FD"/>
    <w:rsid w:val="0055281E"/>
    <w:rsid w:val="005529EE"/>
    <w:rsid w:val="00552C40"/>
    <w:rsid w:val="00553056"/>
    <w:rsid w:val="005531BB"/>
    <w:rsid w:val="005531BE"/>
    <w:rsid w:val="00553EDD"/>
    <w:rsid w:val="005540A1"/>
    <w:rsid w:val="00554F90"/>
    <w:rsid w:val="00555A4F"/>
    <w:rsid w:val="00555D2A"/>
    <w:rsid w:val="005565BE"/>
    <w:rsid w:val="00557154"/>
    <w:rsid w:val="005605A2"/>
    <w:rsid w:val="00560757"/>
    <w:rsid w:val="00560F40"/>
    <w:rsid w:val="00561373"/>
    <w:rsid w:val="00561790"/>
    <w:rsid w:val="0056264D"/>
    <w:rsid w:val="005631FE"/>
    <w:rsid w:val="00563DAB"/>
    <w:rsid w:val="00564DD5"/>
    <w:rsid w:val="00564E0C"/>
    <w:rsid w:val="00564E9A"/>
    <w:rsid w:val="00564F4F"/>
    <w:rsid w:val="00566F12"/>
    <w:rsid w:val="00567108"/>
    <w:rsid w:val="00567ED9"/>
    <w:rsid w:val="00570B0F"/>
    <w:rsid w:val="005721E7"/>
    <w:rsid w:val="00572811"/>
    <w:rsid w:val="0057376B"/>
    <w:rsid w:val="0057404E"/>
    <w:rsid w:val="00574C30"/>
    <w:rsid w:val="00576011"/>
    <w:rsid w:val="005763FF"/>
    <w:rsid w:val="00580D61"/>
    <w:rsid w:val="00580E7E"/>
    <w:rsid w:val="00580FD7"/>
    <w:rsid w:val="00581F52"/>
    <w:rsid w:val="005853D7"/>
    <w:rsid w:val="00586176"/>
    <w:rsid w:val="005915AF"/>
    <w:rsid w:val="005918D7"/>
    <w:rsid w:val="00592048"/>
    <w:rsid w:val="00592441"/>
    <w:rsid w:val="005944EC"/>
    <w:rsid w:val="0059580B"/>
    <w:rsid w:val="00597015"/>
    <w:rsid w:val="005974C6"/>
    <w:rsid w:val="005A07C8"/>
    <w:rsid w:val="005A142C"/>
    <w:rsid w:val="005A15D1"/>
    <w:rsid w:val="005A2111"/>
    <w:rsid w:val="005A29A1"/>
    <w:rsid w:val="005A2D7D"/>
    <w:rsid w:val="005A2FC3"/>
    <w:rsid w:val="005A3C4B"/>
    <w:rsid w:val="005A7D22"/>
    <w:rsid w:val="005B0212"/>
    <w:rsid w:val="005B18D2"/>
    <w:rsid w:val="005B194D"/>
    <w:rsid w:val="005B2BA2"/>
    <w:rsid w:val="005B3E27"/>
    <w:rsid w:val="005B603D"/>
    <w:rsid w:val="005B61DE"/>
    <w:rsid w:val="005B6C98"/>
    <w:rsid w:val="005C0ADF"/>
    <w:rsid w:val="005C25F2"/>
    <w:rsid w:val="005C3E8B"/>
    <w:rsid w:val="005C5196"/>
    <w:rsid w:val="005C5219"/>
    <w:rsid w:val="005C6223"/>
    <w:rsid w:val="005C6D59"/>
    <w:rsid w:val="005C7450"/>
    <w:rsid w:val="005D2583"/>
    <w:rsid w:val="005D2C26"/>
    <w:rsid w:val="005D3578"/>
    <w:rsid w:val="005D411D"/>
    <w:rsid w:val="005D4517"/>
    <w:rsid w:val="005D48F7"/>
    <w:rsid w:val="005D55F6"/>
    <w:rsid w:val="005D584D"/>
    <w:rsid w:val="005D5D19"/>
    <w:rsid w:val="005D63DE"/>
    <w:rsid w:val="005D7B79"/>
    <w:rsid w:val="005E10E6"/>
    <w:rsid w:val="005E147E"/>
    <w:rsid w:val="005E1A60"/>
    <w:rsid w:val="005E207E"/>
    <w:rsid w:val="005E23E8"/>
    <w:rsid w:val="005E2C5E"/>
    <w:rsid w:val="005E2ECB"/>
    <w:rsid w:val="005E3565"/>
    <w:rsid w:val="005E39D5"/>
    <w:rsid w:val="005E3B5B"/>
    <w:rsid w:val="005E4510"/>
    <w:rsid w:val="005E4907"/>
    <w:rsid w:val="005E5BBE"/>
    <w:rsid w:val="005E6CC6"/>
    <w:rsid w:val="005F0450"/>
    <w:rsid w:val="005F069C"/>
    <w:rsid w:val="005F2E2B"/>
    <w:rsid w:val="005F2F29"/>
    <w:rsid w:val="005F3BE6"/>
    <w:rsid w:val="005F3C85"/>
    <w:rsid w:val="005F407E"/>
    <w:rsid w:val="005F411D"/>
    <w:rsid w:val="005F4B0E"/>
    <w:rsid w:val="005F5046"/>
    <w:rsid w:val="005F5491"/>
    <w:rsid w:val="005F578E"/>
    <w:rsid w:val="005F6D5D"/>
    <w:rsid w:val="005F7752"/>
    <w:rsid w:val="00600651"/>
    <w:rsid w:val="00600CD6"/>
    <w:rsid w:val="006030EF"/>
    <w:rsid w:val="00604D57"/>
    <w:rsid w:val="00604FEF"/>
    <w:rsid w:val="006064AE"/>
    <w:rsid w:val="006065A0"/>
    <w:rsid w:val="00606CA6"/>
    <w:rsid w:val="00606EF6"/>
    <w:rsid w:val="00607E8F"/>
    <w:rsid w:val="0061098D"/>
    <w:rsid w:val="0061175A"/>
    <w:rsid w:val="00611ED9"/>
    <w:rsid w:val="0061277C"/>
    <w:rsid w:val="00612E50"/>
    <w:rsid w:val="00613703"/>
    <w:rsid w:val="00614828"/>
    <w:rsid w:val="00614AA9"/>
    <w:rsid w:val="00614BA6"/>
    <w:rsid w:val="00615CE4"/>
    <w:rsid w:val="00615E1F"/>
    <w:rsid w:val="0061611E"/>
    <w:rsid w:val="006167D3"/>
    <w:rsid w:val="0061692E"/>
    <w:rsid w:val="00616B61"/>
    <w:rsid w:val="0061747E"/>
    <w:rsid w:val="00617A25"/>
    <w:rsid w:val="00620537"/>
    <w:rsid w:val="006206C1"/>
    <w:rsid w:val="0062084A"/>
    <w:rsid w:val="0062151F"/>
    <w:rsid w:val="00621647"/>
    <w:rsid w:val="00621969"/>
    <w:rsid w:val="00622755"/>
    <w:rsid w:val="00622F48"/>
    <w:rsid w:val="006258DA"/>
    <w:rsid w:val="00626D3B"/>
    <w:rsid w:val="00626F3D"/>
    <w:rsid w:val="00627B61"/>
    <w:rsid w:val="00627E58"/>
    <w:rsid w:val="00630911"/>
    <w:rsid w:val="006310DC"/>
    <w:rsid w:val="006316D8"/>
    <w:rsid w:val="006319F5"/>
    <w:rsid w:val="006337B8"/>
    <w:rsid w:val="006365A4"/>
    <w:rsid w:val="00636E07"/>
    <w:rsid w:val="00636E7D"/>
    <w:rsid w:val="006375D9"/>
    <w:rsid w:val="00637A29"/>
    <w:rsid w:val="006403CA"/>
    <w:rsid w:val="00640612"/>
    <w:rsid w:val="006411FE"/>
    <w:rsid w:val="00641DAC"/>
    <w:rsid w:val="006422CB"/>
    <w:rsid w:val="00642954"/>
    <w:rsid w:val="00642EA9"/>
    <w:rsid w:val="006432F3"/>
    <w:rsid w:val="00643419"/>
    <w:rsid w:val="0064377B"/>
    <w:rsid w:val="00643DDF"/>
    <w:rsid w:val="00645C9D"/>
    <w:rsid w:val="00645F07"/>
    <w:rsid w:val="0064696D"/>
    <w:rsid w:val="0065094C"/>
    <w:rsid w:val="006515DE"/>
    <w:rsid w:val="00652685"/>
    <w:rsid w:val="006537C7"/>
    <w:rsid w:val="0065388C"/>
    <w:rsid w:val="00653B8D"/>
    <w:rsid w:val="00654035"/>
    <w:rsid w:val="00655AC9"/>
    <w:rsid w:val="00655C14"/>
    <w:rsid w:val="00655F9D"/>
    <w:rsid w:val="006562E3"/>
    <w:rsid w:val="006563FB"/>
    <w:rsid w:val="006568DF"/>
    <w:rsid w:val="00656B3B"/>
    <w:rsid w:val="00656C47"/>
    <w:rsid w:val="00657297"/>
    <w:rsid w:val="0065761B"/>
    <w:rsid w:val="006579FE"/>
    <w:rsid w:val="00660215"/>
    <w:rsid w:val="00660706"/>
    <w:rsid w:val="00660AFA"/>
    <w:rsid w:val="00661BBB"/>
    <w:rsid w:val="00663665"/>
    <w:rsid w:val="006643AB"/>
    <w:rsid w:val="00666B4D"/>
    <w:rsid w:val="00666B5F"/>
    <w:rsid w:val="00667C0B"/>
    <w:rsid w:val="006701D5"/>
    <w:rsid w:val="0067046D"/>
    <w:rsid w:val="00670751"/>
    <w:rsid w:val="0067105D"/>
    <w:rsid w:val="00671876"/>
    <w:rsid w:val="00672C28"/>
    <w:rsid w:val="00672C97"/>
    <w:rsid w:val="00672F73"/>
    <w:rsid w:val="0067369D"/>
    <w:rsid w:val="00674753"/>
    <w:rsid w:val="0067492E"/>
    <w:rsid w:val="00674AF3"/>
    <w:rsid w:val="00675970"/>
    <w:rsid w:val="00675F2A"/>
    <w:rsid w:val="0067607F"/>
    <w:rsid w:val="006760F9"/>
    <w:rsid w:val="00677F4C"/>
    <w:rsid w:val="006808D8"/>
    <w:rsid w:val="00681017"/>
    <w:rsid w:val="00681E11"/>
    <w:rsid w:val="006821E1"/>
    <w:rsid w:val="0068271F"/>
    <w:rsid w:val="0068283E"/>
    <w:rsid w:val="006829A7"/>
    <w:rsid w:val="00682C0D"/>
    <w:rsid w:val="00685886"/>
    <w:rsid w:val="00685961"/>
    <w:rsid w:val="00686024"/>
    <w:rsid w:val="00686366"/>
    <w:rsid w:val="0068759D"/>
    <w:rsid w:val="00687E1F"/>
    <w:rsid w:val="00690244"/>
    <w:rsid w:val="006906F5"/>
    <w:rsid w:val="00690A43"/>
    <w:rsid w:val="00690AC5"/>
    <w:rsid w:val="00690EBD"/>
    <w:rsid w:val="00692D0F"/>
    <w:rsid w:val="00692EF5"/>
    <w:rsid w:val="006938AD"/>
    <w:rsid w:val="00696557"/>
    <w:rsid w:val="006976D9"/>
    <w:rsid w:val="00697C79"/>
    <w:rsid w:val="006A0209"/>
    <w:rsid w:val="006A3EAA"/>
    <w:rsid w:val="006A4ADD"/>
    <w:rsid w:val="006A4F50"/>
    <w:rsid w:val="006A57B0"/>
    <w:rsid w:val="006A62F3"/>
    <w:rsid w:val="006B1095"/>
    <w:rsid w:val="006B2516"/>
    <w:rsid w:val="006B2539"/>
    <w:rsid w:val="006B2875"/>
    <w:rsid w:val="006B3C9A"/>
    <w:rsid w:val="006B3E0A"/>
    <w:rsid w:val="006B4B07"/>
    <w:rsid w:val="006B557A"/>
    <w:rsid w:val="006B5E48"/>
    <w:rsid w:val="006B64EA"/>
    <w:rsid w:val="006C074F"/>
    <w:rsid w:val="006C1489"/>
    <w:rsid w:val="006C1DFA"/>
    <w:rsid w:val="006C2097"/>
    <w:rsid w:val="006C4419"/>
    <w:rsid w:val="006C4A44"/>
    <w:rsid w:val="006C5200"/>
    <w:rsid w:val="006C54BB"/>
    <w:rsid w:val="006C5C72"/>
    <w:rsid w:val="006C66F3"/>
    <w:rsid w:val="006C6767"/>
    <w:rsid w:val="006C7463"/>
    <w:rsid w:val="006D0389"/>
    <w:rsid w:val="006D072F"/>
    <w:rsid w:val="006D11DD"/>
    <w:rsid w:val="006D14C1"/>
    <w:rsid w:val="006D204F"/>
    <w:rsid w:val="006D2CCE"/>
    <w:rsid w:val="006D3342"/>
    <w:rsid w:val="006D480C"/>
    <w:rsid w:val="006D4DDF"/>
    <w:rsid w:val="006D70DE"/>
    <w:rsid w:val="006D77FF"/>
    <w:rsid w:val="006D7986"/>
    <w:rsid w:val="006D79BF"/>
    <w:rsid w:val="006D7BBB"/>
    <w:rsid w:val="006D7DAA"/>
    <w:rsid w:val="006E2265"/>
    <w:rsid w:val="006E23CE"/>
    <w:rsid w:val="006E5454"/>
    <w:rsid w:val="006E675A"/>
    <w:rsid w:val="006E6DB1"/>
    <w:rsid w:val="006E7ECF"/>
    <w:rsid w:val="006F0E3C"/>
    <w:rsid w:val="006F1574"/>
    <w:rsid w:val="006F18DC"/>
    <w:rsid w:val="006F1A33"/>
    <w:rsid w:val="006F2AF7"/>
    <w:rsid w:val="006F301C"/>
    <w:rsid w:val="006F3A67"/>
    <w:rsid w:val="006F4248"/>
    <w:rsid w:val="006F572F"/>
    <w:rsid w:val="006F5B03"/>
    <w:rsid w:val="006F60F0"/>
    <w:rsid w:val="006F6163"/>
    <w:rsid w:val="006F6550"/>
    <w:rsid w:val="006F780A"/>
    <w:rsid w:val="00700BCD"/>
    <w:rsid w:val="00701435"/>
    <w:rsid w:val="00703833"/>
    <w:rsid w:val="00705A26"/>
    <w:rsid w:val="00705DD4"/>
    <w:rsid w:val="007065CE"/>
    <w:rsid w:val="00706FBD"/>
    <w:rsid w:val="00711207"/>
    <w:rsid w:val="007121CA"/>
    <w:rsid w:val="00712D9D"/>
    <w:rsid w:val="00713748"/>
    <w:rsid w:val="00713985"/>
    <w:rsid w:val="00713A46"/>
    <w:rsid w:val="00714370"/>
    <w:rsid w:val="00714CB3"/>
    <w:rsid w:val="00714ECC"/>
    <w:rsid w:val="00714F03"/>
    <w:rsid w:val="0071511A"/>
    <w:rsid w:val="00715316"/>
    <w:rsid w:val="00715C6A"/>
    <w:rsid w:val="007163BF"/>
    <w:rsid w:val="007173A5"/>
    <w:rsid w:val="0072035C"/>
    <w:rsid w:val="0072114C"/>
    <w:rsid w:val="0072128E"/>
    <w:rsid w:val="00721DCA"/>
    <w:rsid w:val="00722AB2"/>
    <w:rsid w:val="00725245"/>
    <w:rsid w:val="00725834"/>
    <w:rsid w:val="00726940"/>
    <w:rsid w:val="00727160"/>
    <w:rsid w:val="00730CB4"/>
    <w:rsid w:val="0073170B"/>
    <w:rsid w:val="00731FEC"/>
    <w:rsid w:val="00732830"/>
    <w:rsid w:val="00733352"/>
    <w:rsid w:val="0073354D"/>
    <w:rsid w:val="00733D8F"/>
    <w:rsid w:val="00733E38"/>
    <w:rsid w:val="00733F5F"/>
    <w:rsid w:val="00734EA3"/>
    <w:rsid w:val="0073613B"/>
    <w:rsid w:val="007363E3"/>
    <w:rsid w:val="00736EC1"/>
    <w:rsid w:val="00741021"/>
    <w:rsid w:val="007415E6"/>
    <w:rsid w:val="00741C15"/>
    <w:rsid w:val="00743099"/>
    <w:rsid w:val="007444E9"/>
    <w:rsid w:val="007449B8"/>
    <w:rsid w:val="00744F00"/>
    <w:rsid w:val="00744F6A"/>
    <w:rsid w:val="00744F76"/>
    <w:rsid w:val="00745275"/>
    <w:rsid w:val="00745AA5"/>
    <w:rsid w:val="00747DCF"/>
    <w:rsid w:val="00750081"/>
    <w:rsid w:val="00751DC3"/>
    <w:rsid w:val="007520E5"/>
    <w:rsid w:val="007521EE"/>
    <w:rsid w:val="007525B2"/>
    <w:rsid w:val="007537E3"/>
    <w:rsid w:val="00753B09"/>
    <w:rsid w:val="00753F88"/>
    <w:rsid w:val="00754F67"/>
    <w:rsid w:val="00755F14"/>
    <w:rsid w:val="00756472"/>
    <w:rsid w:val="00757156"/>
    <w:rsid w:val="00757C91"/>
    <w:rsid w:val="00760B2D"/>
    <w:rsid w:val="00761FE8"/>
    <w:rsid w:val="00763249"/>
    <w:rsid w:val="007647FB"/>
    <w:rsid w:val="00765A92"/>
    <w:rsid w:val="00765AE2"/>
    <w:rsid w:val="007661F0"/>
    <w:rsid w:val="00766821"/>
    <w:rsid w:val="00766826"/>
    <w:rsid w:val="0076765B"/>
    <w:rsid w:val="00767FD0"/>
    <w:rsid w:val="00770D45"/>
    <w:rsid w:val="00771207"/>
    <w:rsid w:val="007729E2"/>
    <w:rsid w:val="007738C3"/>
    <w:rsid w:val="00773A07"/>
    <w:rsid w:val="007750A0"/>
    <w:rsid w:val="007754E8"/>
    <w:rsid w:val="00776057"/>
    <w:rsid w:val="0077637E"/>
    <w:rsid w:val="0077663A"/>
    <w:rsid w:val="00776F77"/>
    <w:rsid w:val="00780441"/>
    <w:rsid w:val="007807E1"/>
    <w:rsid w:val="007818FE"/>
    <w:rsid w:val="00782794"/>
    <w:rsid w:val="007836AD"/>
    <w:rsid w:val="00785985"/>
    <w:rsid w:val="007859E6"/>
    <w:rsid w:val="007863C0"/>
    <w:rsid w:val="0078777B"/>
    <w:rsid w:val="00790322"/>
    <w:rsid w:val="00790453"/>
    <w:rsid w:val="00790FB3"/>
    <w:rsid w:val="007921A2"/>
    <w:rsid w:val="00792CA0"/>
    <w:rsid w:val="0079378D"/>
    <w:rsid w:val="00793C2F"/>
    <w:rsid w:val="007957AB"/>
    <w:rsid w:val="007973EB"/>
    <w:rsid w:val="00797DDF"/>
    <w:rsid w:val="00797F67"/>
    <w:rsid w:val="007A02F7"/>
    <w:rsid w:val="007A162B"/>
    <w:rsid w:val="007A1779"/>
    <w:rsid w:val="007A1DE8"/>
    <w:rsid w:val="007A2518"/>
    <w:rsid w:val="007A2F97"/>
    <w:rsid w:val="007A3E2B"/>
    <w:rsid w:val="007A4401"/>
    <w:rsid w:val="007A4EEB"/>
    <w:rsid w:val="007B08D3"/>
    <w:rsid w:val="007B1978"/>
    <w:rsid w:val="007B1A27"/>
    <w:rsid w:val="007B23FD"/>
    <w:rsid w:val="007B3CE4"/>
    <w:rsid w:val="007B52A4"/>
    <w:rsid w:val="007B67E0"/>
    <w:rsid w:val="007C0843"/>
    <w:rsid w:val="007C16B0"/>
    <w:rsid w:val="007C1A55"/>
    <w:rsid w:val="007C2D36"/>
    <w:rsid w:val="007C335C"/>
    <w:rsid w:val="007C33C3"/>
    <w:rsid w:val="007C3B71"/>
    <w:rsid w:val="007C47C1"/>
    <w:rsid w:val="007C4D2F"/>
    <w:rsid w:val="007C4EE3"/>
    <w:rsid w:val="007C569F"/>
    <w:rsid w:val="007C68E5"/>
    <w:rsid w:val="007C7109"/>
    <w:rsid w:val="007C7C72"/>
    <w:rsid w:val="007D05E5"/>
    <w:rsid w:val="007D0900"/>
    <w:rsid w:val="007D11E4"/>
    <w:rsid w:val="007D2750"/>
    <w:rsid w:val="007D29EE"/>
    <w:rsid w:val="007D2A7F"/>
    <w:rsid w:val="007D3441"/>
    <w:rsid w:val="007D4666"/>
    <w:rsid w:val="007D521C"/>
    <w:rsid w:val="007D5DB6"/>
    <w:rsid w:val="007D6B5F"/>
    <w:rsid w:val="007D7209"/>
    <w:rsid w:val="007D74FA"/>
    <w:rsid w:val="007E03D4"/>
    <w:rsid w:val="007E0826"/>
    <w:rsid w:val="007E1902"/>
    <w:rsid w:val="007E1BAF"/>
    <w:rsid w:val="007E1C6C"/>
    <w:rsid w:val="007E208E"/>
    <w:rsid w:val="007E2A3F"/>
    <w:rsid w:val="007E2CCD"/>
    <w:rsid w:val="007E34E6"/>
    <w:rsid w:val="007E351F"/>
    <w:rsid w:val="007E4437"/>
    <w:rsid w:val="007E494A"/>
    <w:rsid w:val="007E5E1D"/>
    <w:rsid w:val="007E6302"/>
    <w:rsid w:val="007E642A"/>
    <w:rsid w:val="007E7345"/>
    <w:rsid w:val="007E74EA"/>
    <w:rsid w:val="007E786D"/>
    <w:rsid w:val="007E7975"/>
    <w:rsid w:val="007E7D60"/>
    <w:rsid w:val="007E7F0F"/>
    <w:rsid w:val="007F0287"/>
    <w:rsid w:val="007F1239"/>
    <w:rsid w:val="007F127A"/>
    <w:rsid w:val="007F154D"/>
    <w:rsid w:val="007F1582"/>
    <w:rsid w:val="007F183A"/>
    <w:rsid w:val="007F20A2"/>
    <w:rsid w:val="007F28BC"/>
    <w:rsid w:val="007F3AD1"/>
    <w:rsid w:val="007F440C"/>
    <w:rsid w:val="007F452F"/>
    <w:rsid w:val="007F45F0"/>
    <w:rsid w:val="007F4806"/>
    <w:rsid w:val="007F5480"/>
    <w:rsid w:val="007F60BE"/>
    <w:rsid w:val="007F6E45"/>
    <w:rsid w:val="00800BA3"/>
    <w:rsid w:val="00800DAA"/>
    <w:rsid w:val="00800DAE"/>
    <w:rsid w:val="00801049"/>
    <w:rsid w:val="00801757"/>
    <w:rsid w:val="008019B1"/>
    <w:rsid w:val="00801D48"/>
    <w:rsid w:val="00802A08"/>
    <w:rsid w:val="008059FC"/>
    <w:rsid w:val="00805D9F"/>
    <w:rsid w:val="0080645C"/>
    <w:rsid w:val="0080667E"/>
    <w:rsid w:val="00806894"/>
    <w:rsid w:val="00806BE4"/>
    <w:rsid w:val="00810426"/>
    <w:rsid w:val="0081074E"/>
    <w:rsid w:val="008114E6"/>
    <w:rsid w:val="008118A8"/>
    <w:rsid w:val="00811E4D"/>
    <w:rsid w:val="0081262F"/>
    <w:rsid w:val="00812892"/>
    <w:rsid w:val="00812BF0"/>
    <w:rsid w:val="008138BB"/>
    <w:rsid w:val="00813F20"/>
    <w:rsid w:val="008155A7"/>
    <w:rsid w:val="008158D5"/>
    <w:rsid w:val="00815E52"/>
    <w:rsid w:val="00815EB5"/>
    <w:rsid w:val="00821115"/>
    <w:rsid w:val="008215E0"/>
    <w:rsid w:val="00821A14"/>
    <w:rsid w:val="00823CED"/>
    <w:rsid w:val="00823F83"/>
    <w:rsid w:val="00824318"/>
    <w:rsid w:val="008259AE"/>
    <w:rsid w:val="00825A14"/>
    <w:rsid w:val="0082645F"/>
    <w:rsid w:val="00826F9C"/>
    <w:rsid w:val="00827745"/>
    <w:rsid w:val="0083003A"/>
    <w:rsid w:val="008313A7"/>
    <w:rsid w:val="008323A0"/>
    <w:rsid w:val="008331DE"/>
    <w:rsid w:val="008350EB"/>
    <w:rsid w:val="008355D7"/>
    <w:rsid w:val="00840F2D"/>
    <w:rsid w:val="0084120A"/>
    <w:rsid w:val="008416B0"/>
    <w:rsid w:val="00841AA3"/>
    <w:rsid w:val="0084284C"/>
    <w:rsid w:val="00842A82"/>
    <w:rsid w:val="00842CA6"/>
    <w:rsid w:val="00843A7C"/>
    <w:rsid w:val="00843E91"/>
    <w:rsid w:val="00844615"/>
    <w:rsid w:val="00844A48"/>
    <w:rsid w:val="00847227"/>
    <w:rsid w:val="008475BD"/>
    <w:rsid w:val="00847DF9"/>
    <w:rsid w:val="0085029F"/>
    <w:rsid w:val="00850389"/>
    <w:rsid w:val="008508B5"/>
    <w:rsid w:val="00850996"/>
    <w:rsid w:val="008511BE"/>
    <w:rsid w:val="00851AC5"/>
    <w:rsid w:val="00851F38"/>
    <w:rsid w:val="008528BA"/>
    <w:rsid w:val="00852A95"/>
    <w:rsid w:val="00852FAD"/>
    <w:rsid w:val="0085317D"/>
    <w:rsid w:val="00853C2F"/>
    <w:rsid w:val="00853D5F"/>
    <w:rsid w:val="00854327"/>
    <w:rsid w:val="008574C4"/>
    <w:rsid w:val="0085753B"/>
    <w:rsid w:val="0085781C"/>
    <w:rsid w:val="00860009"/>
    <w:rsid w:val="00860383"/>
    <w:rsid w:val="00862194"/>
    <w:rsid w:val="00863092"/>
    <w:rsid w:val="00864071"/>
    <w:rsid w:val="0086470F"/>
    <w:rsid w:val="008658D3"/>
    <w:rsid w:val="00866080"/>
    <w:rsid w:val="00866934"/>
    <w:rsid w:val="00867680"/>
    <w:rsid w:val="008676CB"/>
    <w:rsid w:val="00867CD3"/>
    <w:rsid w:val="00870F76"/>
    <w:rsid w:val="008710FF"/>
    <w:rsid w:val="00871A8B"/>
    <w:rsid w:val="00871E53"/>
    <w:rsid w:val="00872ED7"/>
    <w:rsid w:val="00872EE2"/>
    <w:rsid w:val="00872F4A"/>
    <w:rsid w:val="00873C76"/>
    <w:rsid w:val="008749FE"/>
    <w:rsid w:val="00874C55"/>
    <w:rsid w:val="008751E8"/>
    <w:rsid w:val="00875475"/>
    <w:rsid w:val="0087667B"/>
    <w:rsid w:val="00876800"/>
    <w:rsid w:val="008773BD"/>
    <w:rsid w:val="008777D8"/>
    <w:rsid w:val="00881B55"/>
    <w:rsid w:val="008824B8"/>
    <w:rsid w:val="0088288F"/>
    <w:rsid w:val="00883013"/>
    <w:rsid w:val="008830C9"/>
    <w:rsid w:val="008843A3"/>
    <w:rsid w:val="00884E36"/>
    <w:rsid w:val="00884E58"/>
    <w:rsid w:val="00885BF1"/>
    <w:rsid w:val="00886F23"/>
    <w:rsid w:val="008878AC"/>
    <w:rsid w:val="008900B1"/>
    <w:rsid w:val="0089064E"/>
    <w:rsid w:val="008925EB"/>
    <w:rsid w:val="008926D0"/>
    <w:rsid w:val="00892ABC"/>
    <w:rsid w:val="00892C9F"/>
    <w:rsid w:val="008931F7"/>
    <w:rsid w:val="0089364F"/>
    <w:rsid w:val="008937F9"/>
    <w:rsid w:val="0089391A"/>
    <w:rsid w:val="00893CFD"/>
    <w:rsid w:val="00895BE3"/>
    <w:rsid w:val="00895C40"/>
    <w:rsid w:val="00897B94"/>
    <w:rsid w:val="008A1511"/>
    <w:rsid w:val="008A1E34"/>
    <w:rsid w:val="008A3BC0"/>
    <w:rsid w:val="008A5394"/>
    <w:rsid w:val="008A5781"/>
    <w:rsid w:val="008A63DA"/>
    <w:rsid w:val="008A688A"/>
    <w:rsid w:val="008A6FDA"/>
    <w:rsid w:val="008A7759"/>
    <w:rsid w:val="008A7A16"/>
    <w:rsid w:val="008A7AAB"/>
    <w:rsid w:val="008B3135"/>
    <w:rsid w:val="008B3338"/>
    <w:rsid w:val="008B452B"/>
    <w:rsid w:val="008B4705"/>
    <w:rsid w:val="008B471D"/>
    <w:rsid w:val="008B4773"/>
    <w:rsid w:val="008B4D0A"/>
    <w:rsid w:val="008B54F2"/>
    <w:rsid w:val="008B571F"/>
    <w:rsid w:val="008B763F"/>
    <w:rsid w:val="008B7E63"/>
    <w:rsid w:val="008B7EB6"/>
    <w:rsid w:val="008B7FE2"/>
    <w:rsid w:val="008C0C99"/>
    <w:rsid w:val="008C15FB"/>
    <w:rsid w:val="008C1E5F"/>
    <w:rsid w:val="008C2A2B"/>
    <w:rsid w:val="008C3633"/>
    <w:rsid w:val="008C4769"/>
    <w:rsid w:val="008C478C"/>
    <w:rsid w:val="008C4A0C"/>
    <w:rsid w:val="008C509C"/>
    <w:rsid w:val="008C7A2C"/>
    <w:rsid w:val="008D062D"/>
    <w:rsid w:val="008D139E"/>
    <w:rsid w:val="008D1BB8"/>
    <w:rsid w:val="008D1FC3"/>
    <w:rsid w:val="008D3C87"/>
    <w:rsid w:val="008D48DF"/>
    <w:rsid w:val="008D543F"/>
    <w:rsid w:val="008D5E3B"/>
    <w:rsid w:val="008D5F28"/>
    <w:rsid w:val="008D6940"/>
    <w:rsid w:val="008D6E20"/>
    <w:rsid w:val="008D732B"/>
    <w:rsid w:val="008D798B"/>
    <w:rsid w:val="008D79EE"/>
    <w:rsid w:val="008D7A97"/>
    <w:rsid w:val="008E0D32"/>
    <w:rsid w:val="008E1EA6"/>
    <w:rsid w:val="008E232D"/>
    <w:rsid w:val="008E3434"/>
    <w:rsid w:val="008E3DC7"/>
    <w:rsid w:val="008E633D"/>
    <w:rsid w:val="008E69E1"/>
    <w:rsid w:val="008F049A"/>
    <w:rsid w:val="008F07F9"/>
    <w:rsid w:val="008F1513"/>
    <w:rsid w:val="008F2111"/>
    <w:rsid w:val="008F2A54"/>
    <w:rsid w:val="008F40F3"/>
    <w:rsid w:val="008F5862"/>
    <w:rsid w:val="008F6516"/>
    <w:rsid w:val="008F7FE9"/>
    <w:rsid w:val="00900389"/>
    <w:rsid w:val="0090061C"/>
    <w:rsid w:val="00900F48"/>
    <w:rsid w:val="009014F7"/>
    <w:rsid w:val="009033CC"/>
    <w:rsid w:val="00903502"/>
    <w:rsid w:val="009047AC"/>
    <w:rsid w:val="00905CB5"/>
    <w:rsid w:val="00905DDD"/>
    <w:rsid w:val="009061BE"/>
    <w:rsid w:val="00906788"/>
    <w:rsid w:val="00906D16"/>
    <w:rsid w:val="0091112E"/>
    <w:rsid w:val="00911F85"/>
    <w:rsid w:val="00912FE7"/>
    <w:rsid w:val="00914991"/>
    <w:rsid w:val="009157AD"/>
    <w:rsid w:val="00915A9D"/>
    <w:rsid w:val="00917A1D"/>
    <w:rsid w:val="00920288"/>
    <w:rsid w:val="0092113E"/>
    <w:rsid w:val="00921305"/>
    <w:rsid w:val="00921FD8"/>
    <w:rsid w:val="0092238B"/>
    <w:rsid w:val="00922D5A"/>
    <w:rsid w:val="00924CC6"/>
    <w:rsid w:val="00924F35"/>
    <w:rsid w:val="009258F5"/>
    <w:rsid w:val="00926FE1"/>
    <w:rsid w:val="0092733D"/>
    <w:rsid w:val="0092773B"/>
    <w:rsid w:val="009277E0"/>
    <w:rsid w:val="009278C9"/>
    <w:rsid w:val="00927F46"/>
    <w:rsid w:val="00930026"/>
    <w:rsid w:val="00930A13"/>
    <w:rsid w:val="0093165B"/>
    <w:rsid w:val="00931A2B"/>
    <w:rsid w:val="009331DE"/>
    <w:rsid w:val="00933FB1"/>
    <w:rsid w:val="009354DB"/>
    <w:rsid w:val="009354F0"/>
    <w:rsid w:val="009362F4"/>
    <w:rsid w:val="00940000"/>
    <w:rsid w:val="009406A8"/>
    <w:rsid w:val="00940CAA"/>
    <w:rsid w:val="009416F8"/>
    <w:rsid w:val="009419CC"/>
    <w:rsid w:val="0094277E"/>
    <w:rsid w:val="00942E52"/>
    <w:rsid w:val="009430F1"/>
    <w:rsid w:val="0094358E"/>
    <w:rsid w:val="00944A9F"/>
    <w:rsid w:val="009458A0"/>
    <w:rsid w:val="00945F4C"/>
    <w:rsid w:val="00950A5B"/>
    <w:rsid w:val="00952A42"/>
    <w:rsid w:val="00954485"/>
    <w:rsid w:val="00955534"/>
    <w:rsid w:val="009562F8"/>
    <w:rsid w:val="0095631A"/>
    <w:rsid w:val="00956664"/>
    <w:rsid w:val="009567C8"/>
    <w:rsid w:val="00956863"/>
    <w:rsid w:val="00956E88"/>
    <w:rsid w:val="0095773F"/>
    <w:rsid w:val="00957ECE"/>
    <w:rsid w:val="0096019F"/>
    <w:rsid w:val="00960958"/>
    <w:rsid w:val="00960F37"/>
    <w:rsid w:val="00961230"/>
    <w:rsid w:val="00961E5D"/>
    <w:rsid w:val="00963AE7"/>
    <w:rsid w:val="00964E83"/>
    <w:rsid w:val="00965403"/>
    <w:rsid w:val="0096582A"/>
    <w:rsid w:val="00965A65"/>
    <w:rsid w:val="00967209"/>
    <w:rsid w:val="0096799D"/>
    <w:rsid w:val="00970DFD"/>
    <w:rsid w:val="009724B9"/>
    <w:rsid w:val="00973AF3"/>
    <w:rsid w:val="0097572A"/>
    <w:rsid w:val="00975ABD"/>
    <w:rsid w:val="00977618"/>
    <w:rsid w:val="00977E5D"/>
    <w:rsid w:val="00980234"/>
    <w:rsid w:val="00980BEF"/>
    <w:rsid w:val="0098110A"/>
    <w:rsid w:val="009814C8"/>
    <w:rsid w:val="0098257C"/>
    <w:rsid w:val="009828F1"/>
    <w:rsid w:val="00983180"/>
    <w:rsid w:val="0098391A"/>
    <w:rsid w:val="0098460B"/>
    <w:rsid w:val="00986FB5"/>
    <w:rsid w:val="00987984"/>
    <w:rsid w:val="00990647"/>
    <w:rsid w:val="00992576"/>
    <w:rsid w:val="00992689"/>
    <w:rsid w:val="00993948"/>
    <w:rsid w:val="0099394A"/>
    <w:rsid w:val="00993A05"/>
    <w:rsid w:val="009942D7"/>
    <w:rsid w:val="00994944"/>
    <w:rsid w:val="0099741B"/>
    <w:rsid w:val="009A04F8"/>
    <w:rsid w:val="009A0685"/>
    <w:rsid w:val="009A0A93"/>
    <w:rsid w:val="009A1251"/>
    <w:rsid w:val="009A14E7"/>
    <w:rsid w:val="009A1552"/>
    <w:rsid w:val="009A17A3"/>
    <w:rsid w:val="009A355D"/>
    <w:rsid w:val="009A4A02"/>
    <w:rsid w:val="009A5569"/>
    <w:rsid w:val="009A6FB1"/>
    <w:rsid w:val="009A7ACF"/>
    <w:rsid w:val="009B10AC"/>
    <w:rsid w:val="009B12B1"/>
    <w:rsid w:val="009B1CB2"/>
    <w:rsid w:val="009B281B"/>
    <w:rsid w:val="009B3FCA"/>
    <w:rsid w:val="009B45B8"/>
    <w:rsid w:val="009B5131"/>
    <w:rsid w:val="009B5525"/>
    <w:rsid w:val="009B5E90"/>
    <w:rsid w:val="009B6A8A"/>
    <w:rsid w:val="009B7AF8"/>
    <w:rsid w:val="009B7B75"/>
    <w:rsid w:val="009B7D92"/>
    <w:rsid w:val="009C00BE"/>
    <w:rsid w:val="009C1190"/>
    <w:rsid w:val="009C19C1"/>
    <w:rsid w:val="009C1BC9"/>
    <w:rsid w:val="009C1D4A"/>
    <w:rsid w:val="009C34D9"/>
    <w:rsid w:val="009C3687"/>
    <w:rsid w:val="009C568D"/>
    <w:rsid w:val="009C5916"/>
    <w:rsid w:val="009C5F46"/>
    <w:rsid w:val="009C6997"/>
    <w:rsid w:val="009C7D5D"/>
    <w:rsid w:val="009D0937"/>
    <w:rsid w:val="009D0DF6"/>
    <w:rsid w:val="009D1085"/>
    <w:rsid w:val="009D194F"/>
    <w:rsid w:val="009D3DD0"/>
    <w:rsid w:val="009D4430"/>
    <w:rsid w:val="009D6416"/>
    <w:rsid w:val="009D6B2D"/>
    <w:rsid w:val="009D76B4"/>
    <w:rsid w:val="009D76DC"/>
    <w:rsid w:val="009E0B4B"/>
    <w:rsid w:val="009E4D6D"/>
    <w:rsid w:val="009E5724"/>
    <w:rsid w:val="009E5A67"/>
    <w:rsid w:val="009E5BE7"/>
    <w:rsid w:val="009E65A4"/>
    <w:rsid w:val="009E6DE5"/>
    <w:rsid w:val="009E7071"/>
    <w:rsid w:val="009E741A"/>
    <w:rsid w:val="009F10FE"/>
    <w:rsid w:val="009F15EB"/>
    <w:rsid w:val="009F1B03"/>
    <w:rsid w:val="009F20AE"/>
    <w:rsid w:val="009F32C3"/>
    <w:rsid w:val="009F6990"/>
    <w:rsid w:val="009F7611"/>
    <w:rsid w:val="009F789C"/>
    <w:rsid w:val="009F7F27"/>
    <w:rsid w:val="00A005CF"/>
    <w:rsid w:val="00A00F69"/>
    <w:rsid w:val="00A0107C"/>
    <w:rsid w:val="00A012D2"/>
    <w:rsid w:val="00A02BD7"/>
    <w:rsid w:val="00A02E98"/>
    <w:rsid w:val="00A02EA7"/>
    <w:rsid w:val="00A0395B"/>
    <w:rsid w:val="00A0450C"/>
    <w:rsid w:val="00A04C40"/>
    <w:rsid w:val="00A05C4F"/>
    <w:rsid w:val="00A05EF8"/>
    <w:rsid w:val="00A062BF"/>
    <w:rsid w:val="00A06491"/>
    <w:rsid w:val="00A071C4"/>
    <w:rsid w:val="00A0729D"/>
    <w:rsid w:val="00A07E08"/>
    <w:rsid w:val="00A07F38"/>
    <w:rsid w:val="00A10B25"/>
    <w:rsid w:val="00A11615"/>
    <w:rsid w:val="00A12678"/>
    <w:rsid w:val="00A1303A"/>
    <w:rsid w:val="00A132B0"/>
    <w:rsid w:val="00A13CCE"/>
    <w:rsid w:val="00A14169"/>
    <w:rsid w:val="00A169B7"/>
    <w:rsid w:val="00A208DC"/>
    <w:rsid w:val="00A22AE5"/>
    <w:rsid w:val="00A2354D"/>
    <w:rsid w:val="00A244C8"/>
    <w:rsid w:val="00A253E8"/>
    <w:rsid w:val="00A25645"/>
    <w:rsid w:val="00A26EE9"/>
    <w:rsid w:val="00A273ED"/>
    <w:rsid w:val="00A27865"/>
    <w:rsid w:val="00A27AA8"/>
    <w:rsid w:val="00A27E39"/>
    <w:rsid w:val="00A27E51"/>
    <w:rsid w:val="00A3094E"/>
    <w:rsid w:val="00A3130F"/>
    <w:rsid w:val="00A3192A"/>
    <w:rsid w:val="00A32184"/>
    <w:rsid w:val="00A323AD"/>
    <w:rsid w:val="00A32833"/>
    <w:rsid w:val="00A32853"/>
    <w:rsid w:val="00A32D7D"/>
    <w:rsid w:val="00A33165"/>
    <w:rsid w:val="00A34198"/>
    <w:rsid w:val="00A35205"/>
    <w:rsid w:val="00A354AC"/>
    <w:rsid w:val="00A357F2"/>
    <w:rsid w:val="00A35B2C"/>
    <w:rsid w:val="00A3659E"/>
    <w:rsid w:val="00A36AF7"/>
    <w:rsid w:val="00A40190"/>
    <w:rsid w:val="00A408D8"/>
    <w:rsid w:val="00A4094E"/>
    <w:rsid w:val="00A4109D"/>
    <w:rsid w:val="00A41B35"/>
    <w:rsid w:val="00A428CB"/>
    <w:rsid w:val="00A433FF"/>
    <w:rsid w:val="00A436A8"/>
    <w:rsid w:val="00A44034"/>
    <w:rsid w:val="00A45EBE"/>
    <w:rsid w:val="00A467F6"/>
    <w:rsid w:val="00A469B5"/>
    <w:rsid w:val="00A52649"/>
    <w:rsid w:val="00A52ABA"/>
    <w:rsid w:val="00A52AD7"/>
    <w:rsid w:val="00A54BB8"/>
    <w:rsid w:val="00A54E58"/>
    <w:rsid w:val="00A55150"/>
    <w:rsid w:val="00A55611"/>
    <w:rsid w:val="00A55627"/>
    <w:rsid w:val="00A55952"/>
    <w:rsid w:val="00A56B18"/>
    <w:rsid w:val="00A57840"/>
    <w:rsid w:val="00A60240"/>
    <w:rsid w:val="00A60606"/>
    <w:rsid w:val="00A61586"/>
    <w:rsid w:val="00A61657"/>
    <w:rsid w:val="00A6197B"/>
    <w:rsid w:val="00A61A35"/>
    <w:rsid w:val="00A61C96"/>
    <w:rsid w:val="00A6225F"/>
    <w:rsid w:val="00A624B2"/>
    <w:rsid w:val="00A62818"/>
    <w:rsid w:val="00A62844"/>
    <w:rsid w:val="00A632FA"/>
    <w:rsid w:val="00A63E44"/>
    <w:rsid w:val="00A640AA"/>
    <w:rsid w:val="00A66097"/>
    <w:rsid w:val="00A66237"/>
    <w:rsid w:val="00A670E7"/>
    <w:rsid w:val="00A679DF"/>
    <w:rsid w:val="00A67D05"/>
    <w:rsid w:val="00A7043F"/>
    <w:rsid w:val="00A721F5"/>
    <w:rsid w:val="00A7238A"/>
    <w:rsid w:val="00A72CA1"/>
    <w:rsid w:val="00A739F9"/>
    <w:rsid w:val="00A7473D"/>
    <w:rsid w:val="00A749D2"/>
    <w:rsid w:val="00A7511E"/>
    <w:rsid w:val="00A751D9"/>
    <w:rsid w:val="00A7531F"/>
    <w:rsid w:val="00A777A9"/>
    <w:rsid w:val="00A77898"/>
    <w:rsid w:val="00A80CCA"/>
    <w:rsid w:val="00A81702"/>
    <w:rsid w:val="00A818F1"/>
    <w:rsid w:val="00A82CE1"/>
    <w:rsid w:val="00A83A50"/>
    <w:rsid w:val="00A849EE"/>
    <w:rsid w:val="00A85D4D"/>
    <w:rsid w:val="00A86533"/>
    <w:rsid w:val="00A8677F"/>
    <w:rsid w:val="00A8678D"/>
    <w:rsid w:val="00A909FD"/>
    <w:rsid w:val="00A913FC"/>
    <w:rsid w:val="00A92D4E"/>
    <w:rsid w:val="00A931A4"/>
    <w:rsid w:val="00A9400D"/>
    <w:rsid w:val="00A9544C"/>
    <w:rsid w:val="00A95984"/>
    <w:rsid w:val="00A968A2"/>
    <w:rsid w:val="00A97405"/>
    <w:rsid w:val="00A97B93"/>
    <w:rsid w:val="00AA1A54"/>
    <w:rsid w:val="00AA2CED"/>
    <w:rsid w:val="00AA404A"/>
    <w:rsid w:val="00AA414A"/>
    <w:rsid w:val="00AA4300"/>
    <w:rsid w:val="00AA4F0B"/>
    <w:rsid w:val="00AA522B"/>
    <w:rsid w:val="00AA608B"/>
    <w:rsid w:val="00AA75B8"/>
    <w:rsid w:val="00AA7B11"/>
    <w:rsid w:val="00AA7FCE"/>
    <w:rsid w:val="00AB0EF3"/>
    <w:rsid w:val="00AB1157"/>
    <w:rsid w:val="00AB20D7"/>
    <w:rsid w:val="00AB2A80"/>
    <w:rsid w:val="00AB4602"/>
    <w:rsid w:val="00AB486A"/>
    <w:rsid w:val="00AB610D"/>
    <w:rsid w:val="00AB66FB"/>
    <w:rsid w:val="00AB6D4B"/>
    <w:rsid w:val="00AB6F7D"/>
    <w:rsid w:val="00AB7029"/>
    <w:rsid w:val="00AC0034"/>
    <w:rsid w:val="00AC2A80"/>
    <w:rsid w:val="00AC3C81"/>
    <w:rsid w:val="00AC4A8A"/>
    <w:rsid w:val="00AC5184"/>
    <w:rsid w:val="00AC5513"/>
    <w:rsid w:val="00AC56E4"/>
    <w:rsid w:val="00AC61DD"/>
    <w:rsid w:val="00AC621D"/>
    <w:rsid w:val="00AC6854"/>
    <w:rsid w:val="00AC6A37"/>
    <w:rsid w:val="00AC716B"/>
    <w:rsid w:val="00AD0C21"/>
    <w:rsid w:val="00AD1305"/>
    <w:rsid w:val="00AD1ADE"/>
    <w:rsid w:val="00AD1D88"/>
    <w:rsid w:val="00AD2A8E"/>
    <w:rsid w:val="00AD34CB"/>
    <w:rsid w:val="00AD3F64"/>
    <w:rsid w:val="00AD42CB"/>
    <w:rsid w:val="00AD434D"/>
    <w:rsid w:val="00AD5692"/>
    <w:rsid w:val="00AD616B"/>
    <w:rsid w:val="00AD6E96"/>
    <w:rsid w:val="00AD7E95"/>
    <w:rsid w:val="00AE0122"/>
    <w:rsid w:val="00AE0FEE"/>
    <w:rsid w:val="00AE1E26"/>
    <w:rsid w:val="00AE3A75"/>
    <w:rsid w:val="00AE3DE7"/>
    <w:rsid w:val="00AE427B"/>
    <w:rsid w:val="00AE4798"/>
    <w:rsid w:val="00AE4D42"/>
    <w:rsid w:val="00AE58D2"/>
    <w:rsid w:val="00AE617E"/>
    <w:rsid w:val="00AE62FC"/>
    <w:rsid w:val="00AE67D8"/>
    <w:rsid w:val="00AE6C45"/>
    <w:rsid w:val="00AE71D5"/>
    <w:rsid w:val="00AF0943"/>
    <w:rsid w:val="00AF0AEC"/>
    <w:rsid w:val="00AF2CBE"/>
    <w:rsid w:val="00AF4025"/>
    <w:rsid w:val="00AF4381"/>
    <w:rsid w:val="00AF45BA"/>
    <w:rsid w:val="00AF4784"/>
    <w:rsid w:val="00AF567F"/>
    <w:rsid w:val="00AF5F4D"/>
    <w:rsid w:val="00AF6571"/>
    <w:rsid w:val="00AF6AED"/>
    <w:rsid w:val="00AF72B3"/>
    <w:rsid w:val="00AF7654"/>
    <w:rsid w:val="00AF7812"/>
    <w:rsid w:val="00B01C4A"/>
    <w:rsid w:val="00B02B8A"/>
    <w:rsid w:val="00B03191"/>
    <w:rsid w:val="00B035E9"/>
    <w:rsid w:val="00B04025"/>
    <w:rsid w:val="00B04D80"/>
    <w:rsid w:val="00B05414"/>
    <w:rsid w:val="00B058BD"/>
    <w:rsid w:val="00B06522"/>
    <w:rsid w:val="00B06C72"/>
    <w:rsid w:val="00B07243"/>
    <w:rsid w:val="00B07AA8"/>
    <w:rsid w:val="00B07AC7"/>
    <w:rsid w:val="00B10935"/>
    <w:rsid w:val="00B1099D"/>
    <w:rsid w:val="00B10C72"/>
    <w:rsid w:val="00B110C6"/>
    <w:rsid w:val="00B118E0"/>
    <w:rsid w:val="00B13618"/>
    <w:rsid w:val="00B13974"/>
    <w:rsid w:val="00B14214"/>
    <w:rsid w:val="00B14B64"/>
    <w:rsid w:val="00B14CE9"/>
    <w:rsid w:val="00B15175"/>
    <w:rsid w:val="00B1670C"/>
    <w:rsid w:val="00B2060F"/>
    <w:rsid w:val="00B21517"/>
    <w:rsid w:val="00B2187D"/>
    <w:rsid w:val="00B22564"/>
    <w:rsid w:val="00B22B58"/>
    <w:rsid w:val="00B2421B"/>
    <w:rsid w:val="00B2463F"/>
    <w:rsid w:val="00B2480A"/>
    <w:rsid w:val="00B24F20"/>
    <w:rsid w:val="00B257B1"/>
    <w:rsid w:val="00B25F54"/>
    <w:rsid w:val="00B260F1"/>
    <w:rsid w:val="00B279E6"/>
    <w:rsid w:val="00B27ABF"/>
    <w:rsid w:val="00B27D57"/>
    <w:rsid w:val="00B27F2A"/>
    <w:rsid w:val="00B30F65"/>
    <w:rsid w:val="00B315B5"/>
    <w:rsid w:val="00B31EB7"/>
    <w:rsid w:val="00B32DEF"/>
    <w:rsid w:val="00B33030"/>
    <w:rsid w:val="00B3365A"/>
    <w:rsid w:val="00B346A2"/>
    <w:rsid w:val="00B3532C"/>
    <w:rsid w:val="00B35BD0"/>
    <w:rsid w:val="00B35CC3"/>
    <w:rsid w:val="00B36788"/>
    <w:rsid w:val="00B372EB"/>
    <w:rsid w:val="00B40E14"/>
    <w:rsid w:val="00B41C86"/>
    <w:rsid w:val="00B4308C"/>
    <w:rsid w:val="00B43C5B"/>
    <w:rsid w:val="00B4465D"/>
    <w:rsid w:val="00B44989"/>
    <w:rsid w:val="00B44FB2"/>
    <w:rsid w:val="00B45C22"/>
    <w:rsid w:val="00B45F66"/>
    <w:rsid w:val="00B46382"/>
    <w:rsid w:val="00B463FA"/>
    <w:rsid w:val="00B46504"/>
    <w:rsid w:val="00B46E48"/>
    <w:rsid w:val="00B4754D"/>
    <w:rsid w:val="00B50189"/>
    <w:rsid w:val="00B50592"/>
    <w:rsid w:val="00B506DF"/>
    <w:rsid w:val="00B51424"/>
    <w:rsid w:val="00B524AD"/>
    <w:rsid w:val="00B53137"/>
    <w:rsid w:val="00B53378"/>
    <w:rsid w:val="00B53404"/>
    <w:rsid w:val="00B54B60"/>
    <w:rsid w:val="00B54FB0"/>
    <w:rsid w:val="00B55886"/>
    <w:rsid w:val="00B559B3"/>
    <w:rsid w:val="00B575F6"/>
    <w:rsid w:val="00B57EB9"/>
    <w:rsid w:val="00B60019"/>
    <w:rsid w:val="00B60162"/>
    <w:rsid w:val="00B60CB8"/>
    <w:rsid w:val="00B60D2E"/>
    <w:rsid w:val="00B6172F"/>
    <w:rsid w:val="00B633FB"/>
    <w:rsid w:val="00B63BC9"/>
    <w:rsid w:val="00B64674"/>
    <w:rsid w:val="00B66307"/>
    <w:rsid w:val="00B6641D"/>
    <w:rsid w:val="00B6656F"/>
    <w:rsid w:val="00B6782A"/>
    <w:rsid w:val="00B70C16"/>
    <w:rsid w:val="00B71B39"/>
    <w:rsid w:val="00B71EFD"/>
    <w:rsid w:val="00B71FAA"/>
    <w:rsid w:val="00B7216D"/>
    <w:rsid w:val="00B74690"/>
    <w:rsid w:val="00B74789"/>
    <w:rsid w:val="00B74B53"/>
    <w:rsid w:val="00B74BA4"/>
    <w:rsid w:val="00B74C00"/>
    <w:rsid w:val="00B751C2"/>
    <w:rsid w:val="00B754E2"/>
    <w:rsid w:val="00B80527"/>
    <w:rsid w:val="00B834A1"/>
    <w:rsid w:val="00B843D8"/>
    <w:rsid w:val="00B844E7"/>
    <w:rsid w:val="00B848A7"/>
    <w:rsid w:val="00B84FBD"/>
    <w:rsid w:val="00B85C00"/>
    <w:rsid w:val="00B87D6D"/>
    <w:rsid w:val="00B87FF7"/>
    <w:rsid w:val="00B90192"/>
    <w:rsid w:val="00B90348"/>
    <w:rsid w:val="00B90531"/>
    <w:rsid w:val="00B905B5"/>
    <w:rsid w:val="00B916D7"/>
    <w:rsid w:val="00B91E68"/>
    <w:rsid w:val="00B923EE"/>
    <w:rsid w:val="00B923F5"/>
    <w:rsid w:val="00B925A3"/>
    <w:rsid w:val="00B92C8B"/>
    <w:rsid w:val="00B92D4E"/>
    <w:rsid w:val="00B92D5C"/>
    <w:rsid w:val="00B92EBD"/>
    <w:rsid w:val="00B932F6"/>
    <w:rsid w:val="00B935F6"/>
    <w:rsid w:val="00B944F6"/>
    <w:rsid w:val="00B94A41"/>
    <w:rsid w:val="00B957CD"/>
    <w:rsid w:val="00B957E7"/>
    <w:rsid w:val="00B95CD7"/>
    <w:rsid w:val="00B9644B"/>
    <w:rsid w:val="00B96AB9"/>
    <w:rsid w:val="00B9738E"/>
    <w:rsid w:val="00B978FD"/>
    <w:rsid w:val="00B97A9B"/>
    <w:rsid w:val="00B97F6E"/>
    <w:rsid w:val="00BA07B8"/>
    <w:rsid w:val="00BA0C02"/>
    <w:rsid w:val="00BA0D60"/>
    <w:rsid w:val="00BA1C82"/>
    <w:rsid w:val="00BA1DD5"/>
    <w:rsid w:val="00BA251A"/>
    <w:rsid w:val="00BA36F0"/>
    <w:rsid w:val="00BA3905"/>
    <w:rsid w:val="00BA4491"/>
    <w:rsid w:val="00BA4DAD"/>
    <w:rsid w:val="00BA5178"/>
    <w:rsid w:val="00BA51FA"/>
    <w:rsid w:val="00BA5A47"/>
    <w:rsid w:val="00BA67AE"/>
    <w:rsid w:val="00BA685F"/>
    <w:rsid w:val="00BB1ABD"/>
    <w:rsid w:val="00BB249A"/>
    <w:rsid w:val="00BB255A"/>
    <w:rsid w:val="00BB29A7"/>
    <w:rsid w:val="00BB2D0D"/>
    <w:rsid w:val="00BB2E21"/>
    <w:rsid w:val="00BB72E6"/>
    <w:rsid w:val="00BB7FE1"/>
    <w:rsid w:val="00BC09C4"/>
    <w:rsid w:val="00BC0C53"/>
    <w:rsid w:val="00BC106A"/>
    <w:rsid w:val="00BC1399"/>
    <w:rsid w:val="00BC2C68"/>
    <w:rsid w:val="00BC2CA3"/>
    <w:rsid w:val="00BC332C"/>
    <w:rsid w:val="00BC4C92"/>
    <w:rsid w:val="00BC58E8"/>
    <w:rsid w:val="00BC5ECD"/>
    <w:rsid w:val="00BC699C"/>
    <w:rsid w:val="00BC71D6"/>
    <w:rsid w:val="00BD0F2D"/>
    <w:rsid w:val="00BD1105"/>
    <w:rsid w:val="00BD14AA"/>
    <w:rsid w:val="00BD1A3E"/>
    <w:rsid w:val="00BD2D54"/>
    <w:rsid w:val="00BD3572"/>
    <w:rsid w:val="00BD5013"/>
    <w:rsid w:val="00BD7696"/>
    <w:rsid w:val="00BD7C3B"/>
    <w:rsid w:val="00BE12AB"/>
    <w:rsid w:val="00BE1AB6"/>
    <w:rsid w:val="00BE1FB4"/>
    <w:rsid w:val="00BE24AF"/>
    <w:rsid w:val="00BE297B"/>
    <w:rsid w:val="00BE2E2B"/>
    <w:rsid w:val="00BE35B9"/>
    <w:rsid w:val="00BE3914"/>
    <w:rsid w:val="00BE5B76"/>
    <w:rsid w:val="00BE65D2"/>
    <w:rsid w:val="00BE69A6"/>
    <w:rsid w:val="00BE74E3"/>
    <w:rsid w:val="00BF05E4"/>
    <w:rsid w:val="00BF0A2E"/>
    <w:rsid w:val="00BF5160"/>
    <w:rsid w:val="00BF5F9D"/>
    <w:rsid w:val="00BF6355"/>
    <w:rsid w:val="00BF670C"/>
    <w:rsid w:val="00BF6B02"/>
    <w:rsid w:val="00BF6B66"/>
    <w:rsid w:val="00BF708A"/>
    <w:rsid w:val="00BF7AA6"/>
    <w:rsid w:val="00C0008A"/>
    <w:rsid w:val="00C01119"/>
    <w:rsid w:val="00C02486"/>
    <w:rsid w:val="00C0373D"/>
    <w:rsid w:val="00C03A25"/>
    <w:rsid w:val="00C03AF9"/>
    <w:rsid w:val="00C061F6"/>
    <w:rsid w:val="00C0632B"/>
    <w:rsid w:val="00C06AC1"/>
    <w:rsid w:val="00C071DB"/>
    <w:rsid w:val="00C072C4"/>
    <w:rsid w:val="00C07696"/>
    <w:rsid w:val="00C101B8"/>
    <w:rsid w:val="00C10709"/>
    <w:rsid w:val="00C10A6B"/>
    <w:rsid w:val="00C10C6B"/>
    <w:rsid w:val="00C111D6"/>
    <w:rsid w:val="00C11721"/>
    <w:rsid w:val="00C117E7"/>
    <w:rsid w:val="00C12381"/>
    <w:rsid w:val="00C124F1"/>
    <w:rsid w:val="00C13CED"/>
    <w:rsid w:val="00C14919"/>
    <w:rsid w:val="00C1529C"/>
    <w:rsid w:val="00C15353"/>
    <w:rsid w:val="00C16837"/>
    <w:rsid w:val="00C16AA8"/>
    <w:rsid w:val="00C173D1"/>
    <w:rsid w:val="00C175FB"/>
    <w:rsid w:val="00C202F4"/>
    <w:rsid w:val="00C20314"/>
    <w:rsid w:val="00C2252B"/>
    <w:rsid w:val="00C22B54"/>
    <w:rsid w:val="00C22DF5"/>
    <w:rsid w:val="00C2403A"/>
    <w:rsid w:val="00C25EF6"/>
    <w:rsid w:val="00C26637"/>
    <w:rsid w:val="00C300F8"/>
    <w:rsid w:val="00C30F8F"/>
    <w:rsid w:val="00C319D2"/>
    <w:rsid w:val="00C32073"/>
    <w:rsid w:val="00C3212A"/>
    <w:rsid w:val="00C325E7"/>
    <w:rsid w:val="00C327E7"/>
    <w:rsid w:val="00C32C32"/>
    <w:rsid w:val="00C33530"/>
    <w:rsid w:val="00C338D7"/>
    <w:rsid w:val="00C343BE"/>
    <w:rsid w:val="00C34567"/>
    <w:rsid w:val="00C35FB0"/>
    <w:rsid w:val="00C366F5"/>
    <w:rsid w:val="00C36B38"/>
    <w:rsid w:val="00C36EA2"/>
    <w:rsid w:val="00C408B0"/>
    <w:rsid w:val="00C42F78"/>
    <w:rsid w:val="00C436B0"/>
    <w:rsid w:val="00C45028"/>
    <w:rsid w:val="00C463B7"/>
    <w:rsid w:val="00C4689C"/>
    <w:rsid w:val="00C471BE"/>
    <w:rsid w:val="00C47E48"/>
    <w:rsid w:val="00C5085B"/>
    <w:rsid w:val="00C51E18"/>
    <w:rsid w:val="00C52BEC"/>
    <w:rsid w:val="00C52F00"/>
    <w:rsid w:val="00C52F55"/>
    <w:rsid w:val="00C53E9D"/>
    <w:rsid w:val="00C5437F"/>
    <w:rsid w:val="00C54467"/>
    <w:rsid w:val="00C562FE"/>
    <w:rsid w:val="00C577C5"/>
    <w:rsid w:val="00C609CA"/>
    <w:rsid w:val="00C615C9"/>
    <w:rsid w:val="00C62564"/>
    <w:rsid w:val="00C629F9"/>
    <w:rsid w:val="00C639C8"/>
    <w:rsid w:val="00C63CD5"/>
    <w:rsid w:val="00C63E20"/>
    <w:rsid w:val="00C668C2"/>
    <w:rsid w:val="00C66D5A"/>
    <w:rsid w:val="00C6727D"/>
    <w:rsid w:val="00C67F91"/>
    <w:rsid w:val="00C715F5"/>
    <w:rsid w:val="00C73A41"/>
    <w:rsid w:val="00C73BD0"/>
    <w:rsid w:val="00C755AC"/>
    <w:rsid w:val="00C7572A"/>
    <w:rsid w:val="00C761B1"/>
    <w:rsid w:val="00C76695"/>
    <w:rsid w:val="00C76BA3"/>
    <w:rsid w:val="00C77120"/>
    <w:rsid w:val="00C771DD"/>
    <w:rsid w:val="00C7771A"/>
    <w:rsid w:val="00C82003"/>
    <w:rsid w:val="00C82836"/>
    <w:rsid w:val="00C835D9"/>
    <w:rsid w:val="00C842C0"/>
    <w:rsid w:val="00C84404"/>
    <w:rsid w:val="00C8483C"/>
    <w:rsid w:val="00C84E26"/>
    <w:rsid w:val="00C86216"/>
    <w:rsid w:val="00C86227"/>
    <w:rsid w:val="00C86ED3"/>
    <w:rsid w:val="00C8718F"/>
    <w:rsid w:val="00C87D7F"/>
    <w:rsid w:val="00C90187"/>
    <w:rsid w:val="00C90406"/>
    <w:rsid w:val="00C912AD"/>
    <w:rsid w:val="00C937C4"/>
    <w:rsid w:val="00C93DCA"/>
    <w:rsid w:val="00C9495E"/>
    <w:rsid w:val="00C96024"/>
    <w:rsid w:val="00CA0438"/>
    <w:rsid w:val="00CA16F7"/>
    <w:rsid w:val="00CA1A89"/>
    <w:rsid w:val="00CA1DCB"/>
    <w:rsid w:val="00CA2909"/>
    <w:rsid w:val="00CA2D21"/>
    <w:rsid w:val="00CA3118"/>
    <w:rsid w:val="00CA31C3"/>
    <w:rsid w:val="00CA3257"/>
    <w:rsid w:val="00CA348D"/>
    <w:rsid w:val="00CA3ADF"/>
    <w:rsid w:val="00CA6832"/>
    <w:rsid w:val="00CA79B1"/>
    <w:rsid w:val="00CB2639"/>
    <w:rsid w:val="00CB37F8"/>
    <w:rsid w:val="00CB3C85"/>
    <w:rsid w:val="00CB3E1B"/>
    <w:rsid w:val="00CB4B1D"/>
    <w:rsid w:val="00CB583A"/>
    <w:rsid w:val="00CB6798"/>
    <w:rsid w:val="00CB6A06"/>
    <w:rsid w:val="00CC07BD"/>
    <w:rsid w:val="00CC15A8"/>
    <w:rsid w:val="00CC18F3"/>
    <w:rsid w:val="00CC1953"/>
    <w:rsid w:val="00CC251F"/>
    <w:rsid w:val="00CC260D"/>
    <w:rsid w:val="00CC29AF"/>
    <w:rsid w:val="00CC2A57"/>
    <w:rsid w:val="00CC3A52"/>
    <w:rsid w:val="00CC541D"/>
    <w:rsid w:val="00CC5591"/>
    <w:rsid w:val="00CC5A8A"/>
    <w:rsid w:val="00CC64E4"/>
    <w:rsid w:val="00CC6E1A"/>
    <w:rsid w:val="00CC6F4B"/>
    <w:rsid w:val="00CC7C83"/>
    <w:rsid w:val="00CD0893"/>
    <w:rsid w:val="00CD10C2"/>
    <w:rsid w:val="00CD1CC7"/>
    <w:rsid w:val="00CD35C1"/>
    <w:rsid w:val="00CD3DD5"/>
    <w:rsid w:val="00CD40D5"/>
    <w:rsid w:val="00CD4638"/>
    <w:rsid w:val="00CD6162"/>
    <w:rsid w:val="00CD63CB"/>
    <w:rsid w:val="00CD6578"/>
    <w:rsid w:val="00CD708A"/>
    <w:rsid w:val="00CD795A"/>
    <w:rsid w:val="00CE0640"/>
    <w:rsid w:val="00CE1D77"/>
    <w:rsid w:val="00CE206D"/>
    <w:rsid w:val="00CE2AB8"/>
    <w:rsid w:val="00CE6A11"/>
    <w:rsid w:val="00CE7619"/>
    <w:rsid w:val="00CE7C98"/>
    <w:rsid w:val="00CF07B2"/>
    <w:rsid w:val="00CF0B77"/>
    <w:rsid w:val="00CF1DB0"/>
    <w:rsid w:val="00CF2202"/>
    <w:rsid w:val="00CF2235"/>
    <w:rsid w:val="00CF25FD"/>
    <w:rsid w:val="00CF3F96"/>
    <w:rsid w:val="00CF460B"/>
    <w:rsid w:val="00CF4EB0"/>
    <w:rsid w:val="00CF540D"/>
    <w:rsid w:val="00CF57FA"/>
    <w:rsid w:val="00CF5DA2"/>
    <w:rsid w:val="00CF64C1"/>
    <w:rsid w:val="00CF7C19"/>
    <w:rsid w:val="00D0087F"/>
    <w:rsid w:val="00D00BA9"/>
    <w:rsid w:val="00D00CA4"/>
    <w:rsid w:val="00D00F02"/>
    <w:rsid w:val="00D0105A"/>
    <w:rsid w:val="00D011D1"/>
    <w:rsid w:val="00D01C72"/>
    <w:rsid w:val="00D02999"/>
    <w:rsid w:val="00D03E47"/>
    <w:rsid w:val="00D040CD"/>
    <w:rsid w:val="00D0454A"/>
    <w:rsid w:val="00D048E3"/>
    <w:rsid w:val="00D04A59"/>
    <w:rsid w:val="00D04DEC"/>
    <w:rsid w:val="00D052F9"/>
    <w:rsid w:val="00D0786C"/>
    <w:rsid w:val="00D07CF6"/>
    <w:rsid w:val="00D12AB5"/>
    <w:rsid w:val="00D1345B"/>
    <w:rsid w:val="00D14D28"/>
    <w:rsid w:val="00D178C6"/>
    <w:rsid w:val="00D204C1"/>
    <w:rsid w:val="00D20ADE"/>
    <w:rsid w:val="00D20F1E"/>
    <w:rsid w:val="00D211F3"/>
    <w:rsid w:val="00D21789"/>
    <w:rsid w:val="00D21E90"/>
    <w:rsid w:val="00D21F86"/>
    <w:rsid w:val="00D22EA3"/>
    <w:rsid w:val="00D23276"/>
    <w:rsid w:val="00D237DA"/>
    <w:rsid w:val="00D2392A"/>
    <w:rsid w:val="00D23FE7"/>
    <w:rsid w:val="00D246E0"/>
    <w:rsid w:val="00D25277"/>
    <w:rsid w:val="00D2576F"/>
    <w:rsid w:val="00D258BA"/>
    <w:rsid w:val="00D25BF5"/>
    <w:rsid w:val="00D2678C"/>
    <w:rsid w:val="00D2681E"/>
    <w:rsid w:val="00D274FD"/>
    <w:rsid w:val="00D27569"/>
    <w:rsid w:val="00D30443"/>
    <w:rsid w:val="00D3159E"/>
    <w:rsid w:val="00D318AD"/>
    <w:rsid w:val="00D319D8"/>
    <w:rsid w:val="00D3258B"/>
    <w:rsid w:val="00D32D1E"/>
    <w:rsid w:val="00D32F65"/>
    <w:rsid w:val="00D3316F"/>
    <w:rsid w:val="00D335B6"/>
    <w:rsid w:val="00D338D9"/>
    <w:rsid w:val="00D3462E"/>
    <w:rsid w:val="00D351CB"/>
    <w:rsid w:val="00D3525F"/>
    <w:rsid w:val="00D3550D"/>
    <w:rsid w:val="00D3560F"/>
    <w:rsid w:val="00D359DD"/>
    <w:rsid w:val="00D3637C"/>
    <w:rsid w:val="00D368C6"/>
    <w:rsid w:val="00D36D1C"/>
    <w:rsid w:val="00D36E4F"/>
    <w:rsid w:val="00D372CB"/>
    <w:rsid w:val="00D37C44"/>
    <w:rsid w:val="00D400BC"/>
    <w:rsid w:val="00D402F3"/>
    <w:rsid w:val="00D408D6"/>
    <w:rsid w:val="00D4104C"/>
    <w:rsid w:val="00D41390"/>
    <w:rsid w:val="00D41E5E"/>
    <w:rsid w:val="00D42A06"/>
    <w:rsid w:val="00D42D99"/>
    <w:rsid w:val="00D44A71"/>
    <w:rsid w:val="00D44E62"/>
    <w:rsid w:val="00D4608E"/>
    <w:rsid w:val="00D4649A"/>
    <w:rsid w:val="00D46F31"/>
    <w:rsid w:val="00D47807"/>
    <w:rsid w:val="00D47C37"/>
    <w:rsid w:val="00D50338"/>
    <w:rsid w:val="00D5076B"/>
    <w:rsid w:val="00D50834"/>
    <w:rsid w:val="00D50DC0"/>
    <w:rsid w:val="00D5101B"/>
    <w:rsid w:val="00D511B5"/>
    <w:rsid w:val="00D511FC"/>
    <w:rsid w:val="00D51369"/>
    <w:rsid w:val="00D51F47"/>
    <w:rsid w:val="00D51FE1"/>
    <w:rsid w:val="00D5241E"/>
    <w:rsid w:val="00D528D6"/>
    <w:rsid w:val="00D52D4E"/>
    <w:rsid w:val="00D548A8"/>
    <w:rsid w:val="00D5586F"/>
    <w:rsid w:val="00D5639E"/>
    <w:rsid w:val="00D563CD"/>
    <w:rsid w:val="00D56B3F"/>
    <w:rsid w:val="00D57411"/>
    <w:rsid w:val="00D5798C"/>
    <w:rsid w:val="00D60ED1"/>
    <w:rsid w:val="00D617F7"/>
    <w:rsid w:val="00D62885"/>
    <w:rsid w:val="00D62ABE"/>
    <w:rsid w:val="00D62B17"/>
    <w:rsid w:val="00D6466C"/>
    <w:rsid w:val="00D66772"/>
    <w:rsid w:val="00D66CF5"/>
    <w:rsid w:val="00D677C1"/>
    <w:rsid w:val="00D7162F"/>
    <w:rsid w:val="00D71AFF"/>
    <w:rsid w:val="00D72644"/>
    <w:rsid w:val="00D72EBD"/>
    <w:rsid w:val="00D731CE"/>
    <w:rsid w:val="00D73F54"/>
    <w:rsid w:val="00D741AB"/>
    <w:rsid w:val="00D74683"/>
    <w:rsid w:val="00D74968"/>
    <w:rsid w:val="00D75CDA"/>
    <w:rsid w:val="00D76870"/>
    <w:rsid w:val="00D7705F"/>
    <w:rsid w:val="00D8049E"/>
    <w:rsid w:val="00D817A3"/>
    <w:rsid w:val="00D81BFB"/>
    <w:rsid w:val="00D82A49"/>
    <w:rsid w:val="00D83291"/>
    <w:rsid w:val="00D83930"/>
    <w:rsid w:val="00D84354"/>
    <w:rsid w:val="00D8553D"/>
    <w:rsid w:val="00D85A43"/>
    <w:rsid w:val="00D85E0A"/>
    <w:rsid w:val="00D8627B"/>
    <w:rsid w:val="00D86A9F"/>
    <w:rsid w:val="00D8734E"/>
    <w:rsid w:val="00D87540"/>
    <w:rsid w:val="00D87E61"/>
    <w:rsid w:val="00D900A8"/>
    <w:rsid w:val="00D90C6D"/>
    <w:rsid w:val="00D911F7"/>
    <w:rsid w:val="00D9188D"/>
    <w:rsid w:val="00D92667"/>
    <w:rsid w:val="00D933F7"/>
    <w:rsid w:val="00D93CF9"/>
    <w:rsid w:val="00D93F39"/>
    <w:rsid w:val="00D9492D"/>
    <w:rsid w:val="00D963AF"/>
    <w:rsid w:val="00D96517"/>
    <w:rsid w:val="00DA11AE"/>
    <w:rsid w:val="00DA1C13"/>
    <w:rsid w:val="00DA2C80"/>
    <w:rsid w:val="00DA3550"/>
    <w:rsid w:val="00DA38E5"/>
    <w:rsid w:val="00DA5DC5"/>
    <w:rsid w:val="00DA614C"/>
    <w:rsid w:val="00DA7148"/>
    <w:rsid w:val="00DA76A7"/>
    <w:rsid w:val="00DA78D7"/>
    <w:rsid w:val="00DA7D08"/>
    <w:rsid w:val="00DB12E2"/>
    <w:rsid w:val="00DB1740"/>
    <w:rsid w:val="00DB29E0"/>
    <w:rsid w:val="00DB34F0"/>
    <w:rsid w:val="00DB3CCE"/>
    <w:rsid w:val="00DB4A4F"/>
    <w:rsid w:val="00DB5040"/>
    <w:rsid w:val="00DB523B"/>
    <w:rsid w:val="00DB5897"/>
    <w:rsid w:val="00DB6026"/>
    <w:rsid w:val="00DB67DC"/>
    <w:rsid w:val="00DB6AA4"/>
    <w:rsid w:val="00DB6B32"/>
    <w:rsid w:val="00DB7667"/>
    <w:rsid w:val="00DB7EB2"/>
    <w:rsid w:val="00DC023F"/>
    <w:rsid w:val="00DC08B5"/>
    <w:rsid w:val="00DC17F6"/>
    <w:rsid w:val="00DC3309"/>
    <w:rsid w:val="00DC3C7E"/>
    <w:rsid w:val="00DC4396"/>
    <w:rsid w:val="00DC46C0"/>
    <w:rsid w:val="00DC4D23"/>
    <w:rsid w:val="00DC616B"/>
    <w:rsid w:val="00DC7701"/>
    <w:rsid w:val="00DC7A3F"/>
    <w:rsid w:val="00DD0A48"/>
    <w:rsid w:val="00DD0DFC"/>
    <w:rsid w:val="00DD2628"/>
    <w:rsid w:val="00DD2941"/>
    <w:rsid w:val="00DD2F8A"/>
    <w:rsid w:val="00DD38F5"/>
    <w:rsid w:val="00DD492F"/>
    <w:rsid w:val="00DD4B03"/>
    <w:rsid w:val="00DD5391"/>
    <w:rsid w:val="00DD62D3"/>
    <w:rsid w:val="00DD71BA"/>
    <w:rsid w:val="00DD72D7"/>
    <w:rsid w:val="00DD78C6"/>
    <w:rsid w:val="00DD7A34"/>
    <w:rsid w:val="00DD7CA1"/>
    <w:rsid w:val="00DE0B6B"/>
    <w:rsid w:val="00DE17C1"/>
    <w:rsid w:val="00DE181D"/>
    <w:rsid w:val="00DE1926"/>
    <w:rsid w:val="00DE3F8A"/>
    <w:rsid w:val="00DE40D5"/>
    <w:rsid w:val="00DE4B67"/>
    <w:rsid w:val="00DE4D74"/>
    <w:rsid w:val="00DF0057"/>
    <w:rsid w:val="00DF0ADB"/>
    <w:rsid w:val="00DF1313"/>
    <w:rsid w:val="00DF3C7C"/>
    <w:rsid w:val="00DF3FBD"/>
    <w:rsid w:val="00DF4D84"/>
    <w:rsid w:val="00DF540B"/>
    <w:rsid w:val="00DF596F"/>
    <w:rsid w:val="00DF5C97"/>
    <w:rsid w:val="00DF5F95"/>
    <w:rsid w:val="00E0011A"/>
    <w:rsid w:val="00E004FD"/>
    <w:rsid w:val="00E00AE7"/>
    <w:rsid w:val="00E01A51"/>
    <w:rsid w:val="00E025E6"/>
    <w:rsid w:val="00E044E2"/>
    <w:rsid w:val="00E048B2"/>
    <w:rsid w:val="00E0537B"/>
    <w:rsid w:val="00E0550A"/>
    <w:rsid w:val="00E05C29"/>
    <w:rsid w:val="00E06D86"/>
    <w:rsid w:val="00E0753F"/>
    <w:rsid w:val="00E076B1"/>
    <w:rsid w:val="00E11BB9"/>
    <w:rsid w:val="00E12333"/>
    <w:rsid w:val="00E1287D"/>
    <w:rsid w:val="00E15078"/>
    <w:rsid w:val="00E151FF"/>
    <w:rsid w:val="00E15945"/>
    <w:rsid w:val="00E16720"/>
    <w:rsid w:val="00E17482"/>
    <w:rsid w:val="00E17A75"/>
    <w:rsid w:val="00E2035C"/>
    <w:rsid w:val="00E20590"/>
    <w:rsid w:val="00E20CAA"/>
    <w:rsid w:val="00E216A7"/>
    <w:rsid w:val="00E22358"/>
    <w:rsid w:val="00E23B9F"/>
    <w:rsid w:val="00E2407B"/>
    <w:rsid w:val="00E246AA"/>
    <w:rsid w:val="00E253CC"/>
    <w:rsid w:val="00E25AEB"/>
    <w:rsid w:val="00E25C36"/>
    <w:rsid w:val="00E27AF0"/>
    <w:rsid w:val="00E27D75"/>
    <w:rsid w:val="00E304D7"/>
    <w:rsid w:val="00E3054A"/>
    <w:rsid w:val="00E308EC"/>
    <w:rsid w:val="00E30C9B"/>
    <w:rsid w:val="00E31090"/>
    <w:rsid w:val="00E3332B"/>
    <w:rsid w:val="00E3496F"/>
    <w:rsid w:val="00E34C92"/>
    <w:rsid w:val="00E35390"/>
    <w:rsid w:val="00E3663D"/>
    <w:rsid w:val="00E366B9"/>
    <w:rsid w:val="00E36CDA"/>
    <w:rsid w:val="00E36DEB"/>
    <w:rsid w:val="00E37017"/>
    <w:rsid w:val="00E41D97"/>
    <w:rsid w:val="00E42027"/>
    <w:rsid w:val="00E43FF4"/>
    <w:rsid w:val="00E444B3"/>
    <w:rsid w:val="00E44993"/>
    <w:rsid w:val="00E4593B"/>
    <w:rsid w:val="00E45F63"/>
    <w:rsid w:val="00E500F7"/>
    <w:rsid w:val="00E50211"/>
    <w:rsid w:val="00E5034D"/>
    <w:rsid w:val="00E5206E"/>
    <w:rsid w:val="00E528B1"/>
    <w:rsid w:val="00E5295D"/>
    <w:rsid w:val="00E53B8D"/>
    <w:rsid w:val="00E54817"/>
    <w:rsid w:val="00E549DD"/>
    <w:rsid w:val="00E54E77"/>
    <w:rsid w:val="00E55BB5"/>
    <w:rsid w:val="00E56867"/>
    <w:rsid w:val="00E606E1"/>
    <w:rsid w:val="00E61038"/>
    <w:rsid w:val="00E61470"/>
    <w:rsid w:val="00E615A2"/>
    <w:rsid w:val="00E620DA"/>
    <w:rsid w:val="00E629C0"/>
    <w:rsid w:val="00E63239"/>
    <w:rsid w:val="00E64152"/>
    <w:rsid w:val="00E647E6"/>
    <w:rsid w:val="00E649ED"/>
    <w:rsid w:val="00E652C6"/>
    <w:rsid w:val="00E66BE7"/>
    <w:rsid w:val="00E66D94"/>
    <w:rsid w:val="00E6717B"/>
    <w:rsid w:val="00E677C3"/>
    <w:rsid w:val="00E67C14"/>
    <w:rsid w:val="00E7012D"/>
    <w:rsid w:val="00E71217"/>
    <w:rsid w:val="00E71B23"/>
    <w:rsid w:val="00E72332"/>
    <w:rsid w:val="00E72608"/>
    <w:rsid w:val="00E743AD"/>
    <w:rsid w:val="00E743BE"/>
    <w:rsid w:val="00E74B67"/>
    <w:rsid w:val="00E75E23"/>
    <w:rsid w:val="00E77420"/>
    <w:rsid w:val="00E77715"/>
    <w:rsid w:val="00E808FD"/>
    <w:rsid w:val="00E814A9"/>
    <w:rsid w:val="00E817BD"/>
    <w:rsid w:val="00E825CD"/>
    <w:rsid w:val="00E828DE"/>
    <w:rsid w:val="00E83061"/>
    <w:rsid w:val="00E83C8E"/>
    <w:rsid w:val="00E83C9D"/>
    <w:rsid w:val="00E83DCE"/>
    <w:rsid w:val="00E84879"/>
    <w:rsid w:val="00E848DF"/>
    <w:rsid w:val="00E85890"/>
    <w:rsid w:val="00E86025"/>
    <w:rsid w:val="00E8651F"/>
    <w:rsid w:val="00E865CE"/>
    <w:rsid w:val="00E869A1"/>
    <w:rsid w:val="00E86C68"/>
    <w:rsid w:val="00E87624"/>
    <w:rsid w:val="00E87FB1"/>
    <w:rsid w:val="00E914A3"/>
    <w:rsid w:val="00E92CB4"/>
    <w:rsid w:val="00E93E25"/>
    <w:rsid w:val="00E94130"/>
    <w:rsid w:val="00E94F0B"/>
    <w:rsid w:val="00E953AD"/>
    <w:rsid w:val="00E95C9A"/>
    <w:rsid w:val="00EA0513"/>
    <w:rsid w:val="00EA111B"/>
    <w:rsid w:val="00EA188E"/>
    <w:rsid w:val="00EA1BFD"/>
    <w:rsid w:val="00EA2769"/>
    <w:rsid w:val="00EA31B6"/>
    <w:rsid w:val="00EA359D"/>
    <w:rsid w:val="00EA3655"/>
    <w:rsid w:val="00EA44C5"/>
    <w:rsid w:val="00EA494D"/>
    <w:rsid w:val="00EA52BA"/>
    <w:rsid w:val="00EA5503"/>
    <w:rsid w:val="00EA5553"/>
    <w:rsid w:val="00EA7321"/>
    <w:rsid w:val="00EA7AC6"/>
    <w:rsid w:val="00EA7F3C"/>
    <w:rsid w:val="00EB069A"/>
    <w:rsid w:val="00EB0FD4"/>
    <w:rsid w:val="00EB2500"/>
    <w:rsid w:val="00EB29D7"/>
    <w:rsid w:val="00EB3939"/>
    <w:rsid w:val="00EB3D65"/>
    <w:rsid w:val="00EB4C7B"/>
    <w:rsid w:val="00EB5CF2"/>
    <w:rsid w:val="00EB761E"/>
    <w:rsid w:val="00EC0986"/>
    <w:rsid w:val="00EC0D5C"/>
    <w:rsid w:val="00EC1524"/>
    <w:rsid w:val="00EC17FE"/>
    <w:rsid w:val="00EC1CDE"/>
    <w:rsid w:val="00EC2762"/>
    <w:rsid w:val="00EC2CBD"/>
    <w:rsid w:val="00EC36F1"/>
    <w:rsid w:val="00EC48DA"/>
    <w:rsid w:val="00EC4A81"/>
    <w:rsid w:val="00EC5BF6"/>
    <w:rsid w:val="00EC5DE5"/>
    <w:rsid w:val="00EC6B6A"/>
    <w:rsid w:val="00EC7531"/>
    <w:rsid w:val="00EC775D"/>
    <w:rsid w:val="00EC7CBE"/>
    <w:rsid w:val="00EC7E83"/>
    <w:rsid w:val="00ED11D9"/>
    <w:rsid w:val="00ED249C"/>
    <w:rsid w:val="00ED3022"/>
    <w:rsid w:val="00ED3500"/>
    <w:rsid w:val="00ED3552"/>
    <w:rsid w:val="00ED3606"/>
    <w:rsid w:val="00ED360E"/>
    <w:rsid w:val="00ED3FB0"/>
    <w:rsid w:val="00ED402F"/>
    <w:rsid w:val="00ED41C6"/>
    <w:rsid w:val="00ED478A"/>
    <w:rsid w:val="00ED5D53"/>
    <w:rsid w:val="00ED69FF"/>
    <w:rsid w:val="00ED70EB"/>
    <w:rsid w:val="00EE23D3"/>
    <w:rsid w:val="00EE251E"/>
    <w:rsid w:val="00EE2B8E"/>
    <w:rsid w:val="00EE4843"/>
    <w:rsid w:val="00EE68E6"/>
    <w:rsid w:val="00EE7131"/>
    <w:rsid w:val="00EE7D7B"/>
    <w:rsid w:val="00EF00ED"/>
    <w:rsid w:val="00EF0383"/>
    <w:rsid w:val="00EF08F9"/>
    <w:rsid w:val="00EF0FCD"/>
    <w:rsid w:val="00EF3FEC"/>
    <w:rsid w:val="00EF45E9"/>
    <w:rsid w:val="00EF4F5F"/>
    <w:rsid w:val="00EF6F5D"/>
    <w:rsid w:val="00EF74A4"/>
    <w:rsid w:val="00EF7C07"/>
    <w:rsid w:val="00F008D5"/>
    <w:rsid w:val="00F008E9"/>
    <w:rsid w:val="00F012E4"/>
    <w:rsid w:val="00F01785"/>
    <w:rsid w:val="00F0328C"/>
    <w:rsid w:val="00F03E02"/>
    <w:rsid w:val="00F043C3"/>
    <w:rsid w:val="00F0486D"/>
    <w:rsid w:val="00F057B0"/>
    <w:rsid w:val="00F0617C"/>
    <w:rsid w:val="00F0680E"/>
    <w:rsid w:val="00F072C9"/>
    <w:rsid w:val="00F109AF"/>
    <w:rsid w:val="00F10F3A"/>
    <w:rsid w:val="00F12DE0"/>
    <w:rsid w:val="00F13394"/>
    <w:rsid w:val="00F14654"/>
    <w:rsid w:val="00F14910"/>
    <w:rsid w:val="00F150A9"/>
    <w:rsid w:val="00F1734B"/>
    <w:rsid w:val="00F17591"/>
    <w:rsid w:val="00F17BA5"/>
    <w:rsid w:val="00F17F2A"/>
    <w:rsid w:val="00F17F67"/>
    <w:rsid w:val="00F20C32"/>
    <w:rsid w:val="00F21730"/>
    <w:rsid w:val="00F226EE"/>
    <w:rsid w:val="00F22D82"/>
    <w:rsid w:val="00F232A1"/>
    <w:rsid w:val="00F23567"/>
    <w:rsid w:val="00F236BF"/>
    <w:rsid w:val="00F2418B"/>
    <w:rsid w:val="00F24D46"/>
    <w:rsid w:val="00F2573F"/>
    <w:rsid w:val="00F30014"/>
    <w:rsid w:val="00F31B7E"/>
    <w:rsid w:val="00F31C23"/>
    <w:rsid w:val="00F34345"/>
    <w:rsid w:val="00F3493E"/>
    <w:rsid w:val="00F350CF"/>
    <w:rsid w:val="00F35DFC"/>
    <w:rsid w:val="00F371DF"/>
    <w:rsid w:val="00F377BB"/>
    <w:rsid w:val="00F37979"/>
    <w:rsid w:val="00F4039D"/>
    <w:rsid w:val="00F40BEF"/>
    <w:rsid w:val="00F410CE"/>
    <w:rsid w:val="00F41CC5"/>
    <w:rsid w:val="00F42E31"/>
    <w:rsid w:val="00F4338A"/>
    <w:rsid w:val="00F439FE"/>
    <w:rsid w:val="00F44A4A"/>
    <w:rsid w:val="00F44C2C"/>
    <w:rsid w:val="00F47BCC"/>
    <w:rsid w:val="00F47CD1"/>
    <w:rsid w:val="00F51FBB"/>
    <w:rsid w:val="00F52A00"/>
    <w:rsid w:val="00F52C41"/>
    <w:rsid w:val="00F534B8"/>
    <w:rsid w:val="00F53522"/>
    <w:rsid w:val="00F539C4"/>
    <w:rsid w:val="00F540A1"/>
    <w:rsid w:val="00F54480"/>
    <w:rsid w:val="00F556A6"/>
    <w:rsid w:val="00F5747A"/>
    <w:rsid w:val="00F57EC4"/>
    <w:rsid w:val="00F600B7"/>
    <w:rsid w:val="00F6083C"/>
    <w:rsid w:val="00F618DF"/>
    <w:rsid w:val="00F625A6"/>
    <w:rsid w:val="00F62D2C"/>
    <w:rsid w:val="00F635D7"/>
    <w:rsid w:val="00F6432C"/>
    <w:rsid w:val="00F6453F"/>
    <w:rsid w:val="00F648FF"/>
    <w:rsid w:val="00F64A99"/>
    <w:rsid w:val="00F64C4F"/>
    <w:rsid w:val="00F64E7C"/>
    <w:rsid w:val="00F66028"/>
    <w:rsid w:val="00F6608D"/>
    <w:rsid w:val="00F6684D"/>
    <w:rsid w:val="00F67094"/>
    <w:rsid w:val="00F67103"/>
    <w:rsid w:val="00F67407"/>
    <w:rsid w:val="00F718B7"/>
    <w:rsid w:val="00F7237C"/>
    <w:rsid w:val="00F73481"/>
    <w:rsid w:val="00F73834"/>
    <w:rsid w:val="00F73A3C"/>
    <w:rsid w:val="00F73E33"/>
    <w:rsid w:val="00F74010"/>
    <w:rsid w:val="00F7424D"/>
    <w:rsid w:val="00F74839"/>
    <w:rsid w:val="00F75AFC"/>
    <w:rsid w:val="00F77B9E"/>
    <w:rsid w:val="00F807E0"/>
    <w:rsid w:val="00F81892"/>
    <w:rsid w:val="00F81DE6"/>
    <w:rsid w:val="00F82240"/>
    <w:rsid w:val="00F84379"/>
    <w:rsid w:val="00F8475E"/>
    <w:rsid w:val="00F85738"/>
    <w:rsid w:val="00F86438"/>
    <w:rsid w:val="00F86CEA"/>
    <w:rsid w:val="00F900F4"/>
    <w:rsid w:val="00F9043E"/>
    <w:rsid w:val="00F90AAD"/>
    <w:rsid w:val="00F90EED"/>
    <w:rsid w:val="00F9202E"/>
    <w:rsid w:val="00F925C0"/>
    <w:rsid w:val="00F92C76"/>
    <w:rsid w:val="00F92F92"/>
    <w:rsid w:val="00F930C6"/>
    <w:rsid w:val="00F93585"/>
    <w:rsid w:val="00F93F62"/>
    <w:rsid w:val="00F942AA"/>
    <w:rsid w:val="00F946B4"/>
    <w:rsid w:val="00F964E9"/>
    <w:rsid w:val="00F96B0B"/>
    <w:rsid w:val="00FA009B"/>
    <w:rsid w:val="00FA1702"/>
    <w:rsid w:val="00FA19D9"/>
    <w:rsid w:val="00FA1A66"/>
    <w:rsid w:val="00FA1AA7"/>
    <w:rsid w:val="00FA1E28"/>
    <w:rsid w:val="00FA21D6"/>
    <w:rsid w:val="00FA2447"/>
    <w:rsid w:val="00FA264A"/>
    <w:rsid w:val="00FA3848"/>
    <w:rsid w:val="00FA3B99"/>
    <w:rsid w:val="00FA42C0"/>
    <w:rsid w:val="00FA5D3C"/>
    <w:rsid w:val="00FA5FA3"/>
    <w:rsid w:val="00FA7AB0"/>
    <w:rsid w:val="00FB0869"/>
    <w:rsid w:val="00FB2CCF"/>
    <w:rsid w:val="00FB398C"/>
    <w:rsid w:val="00FB3BCF"/>
    <w:rsid w:val="00FB5523"/>
    <w:rsid w:val="00FB5CA9"/>
    <w:rsid w:val="00FB7A42"/>
    <w:rsid w:val="00FC098B"/>
    <w:rsid w:val="00FC19D5"/>
    <w:rsid w:val="00FC215E"/>
    <w:rsid w:val="00FC2209"/>
    <w:rsid w:val="00FC272E"/>
    <w:rsid w:val="00FC3AAE"/>
    <w:rsid w:val="00FC471E"/>
    <w:rsid w:val="00FC483D"/>
    <w:rsid w:val="00FC5494"/>
    <w:rsid w:val="00FC56C6"/>
    <w:rsid w:val="00FC5C8A"/>
    <w:rsid w:val="00FC5CDF"/>
    <w:rsid w:val="00FC7A24"/>
    <w:rsid w:val="00FC7D1F"/>
    <w:rsid w:val="00FD029D"/>
    <w:rsid w:val="00FD1118"/>
    <w:rsid w:val="00FD22AC"/>
    <w:rsid w:val="00FD313E"/>
    <w:rsid w:val="00FD38BA"/>
    <w:rsid w:val="00FD424A"/>
    <w:rsid w:val="00FD5F99"/>
    <w:rsid w:val="00FE05C1"/>
    <w:rsid w:val="00FE0604"/>
    <w:rsid w:val="00FE0C86"/>
    <w:rsid w:val="00FE1AB2"/>
    <w:rsid w:val="00FE1F17"/>
    <w:rsid w:val="00FE28A5"/>
    <w:rsid w:val="00FE36D3"/>
    <w:rsid w:val="00FE47AF"/>
    <w:rsid w:val="00FE4856"/>
    <w:rsid w:val="00FE4938"/>
    <w:rsid w:val="00FE4AE2"/>
    <w:rsid w:val="00FE4CFC"/>
    <w:rsid w:val="00FE5F41"/>
    <w:rsid w:val="00FE68B9"/>
    <w:rsid w:val="00FE753D"/>
    <w:rsid w:val="00FF005A"/>
    <w:rsid w:val="00FF0FA8"/>
    <w:rsid w:val="00FF2714"/>
    <w:rsid w:val="00FF2BD5"/>
    <w:rsid w:val="00FF33B7"/>
    <w:rsid w:val="00FF454E"/>
    <w:rsid w:val="00FF5E7D"/>
    <w:rsid w:val="00FF641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97BDBE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ajorHAnsi" w:eastAsiaTheme="minorEastAsia" w:hAnsiTheme="majorHAnsi" w:cstheme="minorBidi"/>
        <w:vertAlign w:val="superscript"/>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D11E4"/>
    <w:pPr>
      <w:keepNext/>
      <w:keepLines/>
      <w:spacing w:before="240" w:line="259" w:lineRule="auto"/>
      <w:outlineLvl w:val="0"/>
    </w:pPr>
    <w:rPr>
      <w:rFonts w:eastAsiaTheme="majorEastAsia" w:cstheme="majorBidi"/>
      <w:color w:val="365F91" w:themeColor="accent1" w:themeShade="BF"/>
      <w:sz w:val="32"/>
      <w:szCs w:val="32"/>
      <w:vertAlign w:val="baseline"/>
      <w:lang w:val="en-US"/>
    </w:rPr>
  </w:style>
  <w:style w:type="paragraph" w:styleId="Heading2">
    <w:name w:val="heading 2"/>
    <w:basedOn w:val="Normal"/>
    <w:next w:val="Normal"/>
    <w:link w:val="Heading2Char"/>
    <w:uiPriority w:val="9"/>
    <w:unhideWhenUsed/>
    <w:qFormat/>
    <w:rsid w:val="001C6724"/>
    <w:pPr>
      <w:keepNext/>
      <w:keepLines/>
      <w:spacing w:before="200"/>
      <w:outlineLvl w:val="1"/>
    </w:pPr>
    <w:rPr>
      <w:rFonts w:eastAsiaTheme="majorEastAsia" w:cstheme="majorBidi"/>
      <w:b/>
      <w:bCs/>
      <w:color w:val="4F81BD" w:themeColor="accent1"/>
      <w:sz w:val="26"/>
      <w:szCs w:val="26"/>
      <w:vertAlign w:val="baseline"/>
    </w:rPr>
  </w:style>
  <w:style w:type="paragraph" w:styleId="Heading3">
    <w:name w:val="heading 3"/>
    <w:basedOn w:val="Normal"/>
    <w:next w:val="Normal"/>
    <w:link w:val="Heading3Char"/>
    <w:uiPriority w:val="9"/>
    <w:semiHidden/>
    <w:unhideWhenUsed/>
    <w:qFormat/>
    <w:rsid w:val="001C6724"/>
    <w:pPr>
      <w:keepNext/>
      <w:keepLines/>
      <w:spacing w:before="200"/>
      <w:outlineLvl w:val="2"/>
    </w:pPr>
    <w:rPr>
      <w:rFonts w:eastAsiaTheme="majorEastAsia" w:cstheme="majorBidi"/>
      <w:b/>
      <w:bCs/>
      <w:color w:val="4F81BD" w:themeColor="accent1"/>
      <w:vertAlign w:val="baseli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A2769"/>
    <w:pPr>
      <w:tabs>
        <w:tab w:val="center" w:pos="4513"/>
        <w:tab w:val="right" w:pos="9026"/>
      </w:tabs>
    </w:pPr>
    <w:rPr>
      <w:rFonts w:asciiTheme="minorHAnsi" w:eastAsiaTheme="minorHAnsi" w:hAnsiTheme="minorHAnsi"/>
      <w:sz w:val="22"/>
      <w:szCs w:val="22"/>
      <w:vertAlign w:val="baseline"/>
    </w:rPr>
  </w:style>
  <w:style w:type="character" w:customStyle="1" w:styleId="HeaderChar">
    <w:name w:val="Header Char"/>
    <w:basedOn w:val="DefaultParagraphFont"/>
    <w:link w:val="Header"/>
    <w:uiPriority w:val="99"/>
    <w:rsid w:val="00EA2769"/>
    <w:rPr>
      <w:rFonts w:asciiTheme="minorHAnsi" w:eastAsiaTheme="minorHAnsi" w:hAnsiTheme="minorHAnsi"/>
      <w:sz w:val="22"/>
      <w:szCs w:val="22"/>
      <w:vertAlign w:val="baseline"/>
    </w:rPr>
  </w:style>
  <w:style w:type="paragraph" w:styleId="Footer">
    <w:name w:val="footer"/>
    <w:basedOn w:val="Normal"/>
    <w:link w:val="FooterChar"/>
    <w:uiPriority w:val="99"/>
    <w:unhideWhenUsed/>
    <w:rsid w:val="008926D0"/>
    <w:pPr>
      <w:tabs>
        <w:tab w:val="center" w:pos="4320"/>
        <w:tab w:val="right" w:pos="8640"/>
      </w:tabs>
    </w:pPr>
  </w:style>
  <w:style w:type="character" w:customStyle="1" w:styleId="FooterChar">
    <w:name w:val="Footer Char"/>
    <w:basedOn w:val="DefaultParagraphFont"/>
    <w:link w:val="Footer"/>
    <w:uiPriority w:val="99"/>
    <w:rsid w:val="008926D0"/>
  </w:style>
  <w:style w:type="character" w:styleId="PageNumber">
    <w:name w:val="page number"/>
    <w:basedOn w:val="DefaultParagraphFont"/>
    <w:uiPriority w:val="99"/>
    <w:semiHidden/>
    <w:unhideWhenUsed/>
    <w:rsid w:val="008926D0"/>
  </w:style>
  <w:style w:type="paragraph" w:styleId="FootnoteText">
    <w:name w:val="footnote text"/>
    <w:aliases w:val="5_G"/>
    <w:basedOn w:val="Normal"/>
    <w:link w:val="FootnoteTextChar"/>
    <w:unhideWhenUsed/>
    <w:qFormat/>
    <w:rsid w:val="007E494A"/>
    <w:rPr>
      <w:sz w:val="24"/>
      <w:szCs w:val="24"/>
    </w:rPr>
  </w:style>
  <w:style w:type="character" w:customStyle="1" w:styleId="FootnoteTextChar">
    <w:name w:val="Footnote Text Char"/>
    <w:aliases w:val="5_G Char"/>
    <w:basedOn w:val="DefaultParagraphFont"/>
    <w:link w:val="FootnoteText"/>
    <w:rsid w:val="007E494A"/>
    <w:rPr>
      <w:sz w:val="24"/>
      <w:szCs w:val="24"/>
    </w:rPr>
  </w:style>
  <w:style w:type="character" w:styleId="FootnoteReference">
    <w:name w:val="footnote reference"/>
    <w:aliases w:val="4_G,Footnotes refss"/>
    <w:basedOn w:val="DefaultParagraphFont"/>
    <w:uiPriority w:val="99"/>
    <w:unhideWhenUsed/>
    <w:qFormat/>
    <w:rsid w:val="007E494A"/>
    <w:rPr>
      <w:vertAlign w:val="superscript"/>
    </w:rPr>
  </w:style>
  <w:style w:type="character" w:styleId="Hyperlink">
    <w:name w:val="Hyperlink"/>
    <w:basedOn w:val="DefaultParagraphFont"/>
    <w:uiPriority w:val="99"/>
    <w:unhideWhenUsed/>
    <w:rsid w:val="007E494A"/>
    <w:rPr>
      <w:color w:val="0000FF" w:themeColor="hyperlink"/>
      <w:u w:val="single"/>
    </w:rPr>
  </w:style>
  <w:style w:type="paragraph" w:styleId="BalloonText">
    <w:name w:val="Balloon Text"/>
    <w:basedOn w:val="Normal"/>
    <w:link w:val="BalloonTextChar"/>
    <w:uiPriority w:val="99"/>
    <w:semiHidden/>
    <w:unhideWhenUsed/>
    <w:rsid w:val="007E494A"/>
    <w:rPr>
      <w:rFonts w:ascii="Lucida Grande" w:hAnsi="Lucida Grande"/>
      <w:sz w:val="18"/>
      <w:szCs w:val="18"/>
    </w:rPr>
  </w:style>
  <w:style w:type="character" w:customStyle="1" w:styleId="BalloonTextChar">
    <w:name w:val="Balloon Text Char"/>
    <w:basedOn w:val="DefaultParagraphFont"/>
    <w:link w:val="BalloonText"/>
    <w:uiPriority w:val="99"/>
    <w:semiHidden/>
    <w:rsid w:val="007E494A"/>
    <w:rPr>
      <w:rFonts w:ascii="Lucida Grande" w:hAnsi="Lucida Grande"/>
      <w:sz w:val="18"/>
      <w:szCs w:val="18"/>
    </w:rPr>
  </w:style>
  <w:style w:type="character" w:styleId="FollowedHyperlink">
    <w:name w:val="FollowedHyperlink"/>
    <w:basedOn w:val="DefaultParagraphFont"/>
    <w:uiPriority w:val="99"/>
    <w:semiHidden/>
    <w:unhideWhenUsed/>
    <w:rsid w:val="00733352"/>
    <w:rPr>
      <w:color w:val="800080" w:themeColor="followedHyperlink"/>
      <w:u w:val="single"/>
    </w:rPr>
  </w:style>
  <w:style w:type="character" w:customStyle="1" w:styleId="Heading1Char">
    <w:name w:val="Heading 1 Char"/>
    <w:basedOn w:val="DefaultParagraphFont"/>
    <w:link w:val="Heading1"/>
    <w:uiPriority w:val="9"/>
    <w:rsid w:val="007D11E4"/>
    <w:rPr>
      <w:rFonts w:eastAsiaTheme="majorEastAsia" w:cstheme="majorBidi"/>
      <w:color w:val="365F91" w:themeColor="accent1" w:themeShade="BF"/>
      <w:sz w:val="32"/>
      <w:szCs w:val="32"/>
      <w:vertAlign w:val="baseline"/>
      <w:lang w:val="en-US"/>
    </w:rPr>
  </w:style>
  <w:style w:type="paragraph" w:styleId="ListParagraph">
    <w:name w:val="List Paragraph"/>
    <w:basedOn w:val="Normal"/>
    <w:uiPriority w:val="34"/>
    <w:qFormat/>
    <w:rsid w:val="007D11E4"/>
    <w:pPr>
      <w:spacing w:after="160" w:line="259" w:lineRule="auto"/>
      <w:ind w:left="720"/>
      <w:contextualSpacing/>
    </w:pPr>
    <w:rPr>
      <w:rFonts w:asciiTheme="minorHAnsi" w:eastAsiaTheme="minorHAnsi" w:hAnsiTheme="minorHAnsi"/>
      <w:sz w:val="22"/>
      <w:szCs w:val="22"/>
      <w:vertAlign w:val="baseline"/>
    </w:rPr>
  </w:style>
  <w:style w:type="paragraph" w:styleId="NoSpacing">
    <w:name w:val="No Spacing"/>
    <w:uiPriority w:val="1"/>
    <w:qFormat/>
    <w:rsid w:val="00EC775D"/>
  </w:style>
  <w:style w:type="character" w:styleId="BookTitle">
    <w:name w:val="Book Title"/>
    <w:basedOn w:val="DefaultParagraphFont"/>
    <w:uiPriority w:val="33"/>
    <w:qFormat/>
    <w:rsid w:val="00EC775D"/>
    <w:rPr>
      <w:b/>
      <w:bCs/>
      <w:smallCaps/>
      <w:spacing w:val="5"/>
    </w:rPr>
  </w:style>
  <w:style w:type="paragraph" w:styleId="NormalWeb">
    <w:name w:val="Normal (Web)"/>
    <w:basedOn w:val="Normal"/>
    <w:uiPriority w:val="99"/>
    <w:unhideWhenUsed/>
    <w:rsid w:val="005F7752"/>
    <w:pPr>
      <w:spacing w:before="100" w:beforeAutospacing="1" w:after="100" w:afterAutospacing="1"/>
    </w:pPr>
    <w:rPr>
      <w:rFonts w:ascii="Times New Roman" w:eastAsia="Times New Roman" w:hAnsi="Times New Roman" w:cs="Times New Roman"/>
      <w:sz w:val="24"/>
      <w:szCs w:val="24"/>
      <w:vertAlign w:val="baseline"/>
      <w:lang w:eastAsia="en-GB"/>
    </w:rPr>
  </w:style>
  <w:style w:type="character" w:styleId="Strong">
    <w:name w:val="Strong"/>
    <w:basedOn w:val="DefaultParagraphFont"/>
    <w:uiPriority w:val="22"/>
    <w:qFormat/>
    <w:rsid w:val="005F7752"/>
    <w:rPr>
      <w:b/>
      <w:bCs/>
    </w:rPr>
  </w:style>
  <w:style w:type="character" w:customStyle="1" w:styleId="apple-converted-space">
    <w:name w:val="apple-converted-space"/>
    <w:basedOn w:val="DefaultParagraphFont"/>
    <w:rsid w:val="005F7752"/>
  </w:style>
  <w:style w:type="character" w:styleId="Emphasis">
    <w:name w:val="Emphasis"/>
    <w:basedOn w:val="DefaultParagraphFont"/>
    <w:uiPriority w:val="20"/>
    <w:qFormat/>
    <w:rsid w:val="005F7752"/>
    <w:rPr>
      <w:i/>
      <w:iCs/>
    </w:rPr>
  </w:style>
  <w:style w:type="character" w:customStyle="1" w:styleId="Heading2Char">
    <w:name w:val="Heading 2 Char"/>
    <w:basedOn w:val="DefaultParagraphFont"/>
    <w:link w:val="Heading2"/>
    <w:uiPriority w:val="9"/>
    <w:rsid w:val="001C6724"/>
    <w:rPr>
      <w:rFonts w:eastAsiaTheme="majorEastAsia" w:cstheme="majorBidi"/>
      <w:b/>
      <w:bCs/>
      <w:color w:val="4F81BD" w:themeColor="accent1"/>
      <w:sz w:val="26"/>
      <w:szCs w:val="26"/>
      <w:vertAlign w:val="baseline"/>
    </w:rPr>
  </w:style>
  <w:style w:type="character" w:customStyle="1" w:styleId="Heading3Char">
    <w:name w:val="Heading 3 Char"/>
    <w:basedOn w:val="DefaultParagraphFont"/>
    <w:link w:val="Heading3"/>
    <w:uiPriority w:val="9"/>
    <w:semiHidden/>
    <w:rsid w:val="001C6724"/>
    <w:rPr>
      <w:rFonts w:eastAsiaTheme="majorEastAsia" w:cstheme="majorBidi"/>
      <w:b/>
      <w:bCs/>
      <w:color w:val="4F81BD" w:themeColor="accent1"/>
      <w:vertAlign w:val="baseline"/>
    </w:rPr>
  </w:style>
  <w:style w:type="paragraph" w:styleId="HTMLPreformatted">
    <w:name w:val="HTML Preformatted"/>
    <w:basedOn w:val="Normal"/>
    <w:link w:val="HTMLPreformattedChar"/>
    <w:uiPriority w:val="99"/>
    <w:unhideWhenUsed/>
    <w:rsid w:val="001C67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hAnsi="Courier" w:cs="Courier"/>
      <w:vertAlign w:val="baseline"/>
    </w:rPr>
  </w:style>
  <w:style w:type="character" w:customStyle="1" w:styleId="HTMLPreformattedChar">
    <w:name w:val="HTML Preformatted Char"/>
    <w:basedOn w:val="DefaultParagraphFont"/>
    <w:link w:val="HTMLPreformatted"/>
    <w:uiPriority w:val="99"/>
    <w:rsid w:val="001C6724"/>
    <w:rPr>
      <w:rFonts w:ascii="Courier" w:hAnsi="Courier" w:cs="Courier"/>
      <w:vertAlign w:val="baseline"/>
    </w:rPr>
  </w:style>
  <w:style w:type="paragraph" w:customStyle="1" w:styleId="contenttext">
    <w:name w:val="contenttext"/>
    <w:basedOn w:val="Normal"/>
    <w:rsid w:val="001C6724"/>
    <w:pPr>
      <w:spacing w:before="100" w:beforeAutospacing="1" w:after="100" w:afterAutospacing="1"/>
    </w:pPr>
    <w:rPr>
      <w:rFonts w:ascii="Times" w:hAnsi="Times"/>
      <w:vertAlign w:val="baseline"/>
    </w:rPr>
  </w:style>
  <w:style w:type="paragraph" w:customStyle="1" w:styleId="SingleTxtG">
    <w:name w:val="_ Single Txt_G"/>
    <w:basedOn w:val="Normal"/>
    <w:link w:val="SingleTxtGChar"/>
    <w:rsid w:val="001C6724"/>
    <w:pPr>
      <w:suppressAutoHyphens/>
      <w:spacing w:after="120" w:line="240" w:lineRule="atLeast"/>
      <w:ind w:left="1134" w:right="1134"/>
      <w:jc w:val="both"/>
    </w:pPr>
    <w:rPr>
      <w:rFonts w:ascii="Times New Roman" w:eastAsia="Times New Roman" w:hAnsi="Times New Roman" w:cs="Times New Roman"/>
      <w:vertAlign w:val="baseline"/>
    </w:rPr>
  </w:style>
  <w:style w:type="character" w:customStyle="1" w:styleId="SingleTxtGChar">
    <w:name w:val="_ Single Txt_G Char"/>
    <w:link w:val="SingleTxtG"/>
    <w:rsid w:val="001C6724"/>
    <w:rPr>
      <w:rFonts w:ascii="Times New Roman" w:eastAsia="Times New Roman" w:hAnsi="Times New Roman" w:cs="Times New Roman"/>
      <w:vertAlign w:val="baseline"/>
    </w:rPr>
  </w:style>
  <w:style w:type="paragraph" w:customStyle="1" w:styleId="SingleTxt">
    <w:name w:val="__Single Txt"/>
    <w:basedOn w:val="Normal"/>
    <w:rsid w:val="001C6724"/>
    <w:pPr>
      <w:tabs>
        <w:tab w:val="left" w:pos="1267"/>
        <w:tab w:val="left" w:pos="1742"/>
        <w:tab w:val="left" w:pos="2218"/>
        <w:tab w:val="left" w:pos="2693"/>
        <w:tab w:val="left" w:pos="3182"/>
        <w:tab w:val="left" w:pos="3658"/>
        <w:tab w:val="left" w:pos="4133"/>
        <w:tab w:val="left" w:pos="4622"/>
        <w:tab w:val="left" w:pos="5098"/>
        <w:tab w:val="left" w:pos="5573"/>
        <w:tab w:val="left" w:pos="6048"/>
      </w:tabs>
      <w:suppressAutoHyphens/>
      <w:spacing w:after="120" w:line="240" w:lineRule="exact"/>
      <w:ind w:left="1267" w:right="1267"/>
      <w:jc w:val="both"/>
    </w:pPr>
    <w:rPr>
      <w:rFonts w:ascii="Times New Roman" w:eastAsia="Times New Roman" w:hAnsi="Times New Roman" w:cs="Times New Roman"/>
      <w:spacing w:val="4"/>
      <w:w w:val="103"/>
      <w:kern w:val="14"/>
      <w:vertAlign w:val="baseline"/>
    </w:rPr>
  </w:style>
  <w:style w:type="paragraph" w:customStyle="1" w:styleId="H23">
    <w:name w:val="_ H_2/3"/>
    <w:basedOn w:val="Normal"/>
    <w:next w:val="SingleTxt"/>
    <w:rsid w:val="001C6724"/>
    <w:pPr>
      <w:keepNext/>
      <w:keepLines/>
      <w:tabs>
        <w:tab w:val="right" w:pos="1022"/>
        <w:tab w:val="left" w:pos="1267"/>
        <w:tab w:val="left" w:pos="1742"/>
        <w:tab w:val="left" w:pos="2218"/>
        <w:tab w:val="left" w:pos="2693"/>
        <w:tab w:val="left" w:pos="3182"/>
        <w:tab w:val="left" w:pos="3658"/>
        <w:tab w:val="left" w:pos="4133"/>
        <w:tab w:val="left" w:pos="4622"/>
        <w:tab w:val="left" w:pos="5098"/>
        <w:tab w:val="left" w:pos="5573"/>
        <w:tab w:val="left" w:pos="6048"/>
      </w:tabs>
      <w:suppressAutoHyphens/>
      <w:spacing w:line="240" w:lineRule="exact"/>
      <w:ind w:left="1267" w:right="1267" w:hanging="1267"/>
      <w:outlineLvl w:val="1"/>
    </w:pPr>
    <w:rPr>
      <w:rFonts w:ascii="Times New Roman" w:eastAsia="Times New Roman" w:hAnsi="Times New Roman" w:cs="Times New Roman"/>
      <w:b/>
      <w:spacing w:val="2"/>
      <w:w w:val="103"/>
      <w:kern w:val="14"/>
      <w:vertAlign w:val="baseline"/>
    </w:rPr>
  </w:style>
  <w:style w:type="table" w:styleId="TableGrid">
    <w:name w:val="Table Grid"/>
    <w:basedOn w:val="TableNormal"/>
    <w:uiPriority w:val="59"/>
    <w:rsid w:val="001C6724"/>
    <w:rPr>
      <w:vertAlign w:val="baseli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n">
    <w:name w:val="fn"/>
    <w:basedOn w:val="DefaultParagraphFont"/>
    <w:rsid w:val="001C6724"/>
  </w:style>
  <w:style w:type="character" w:customStyle="1" w:styleId="subtitle1">
    <w:name w:val="subtitle1"/>
    <w:basedOn w:val="DefaultParagraphFont"/>
    <w:rsid w:val="001C6724"/>
  </w:style>
  <w:style w:type="paragraph" w:styleId="EndnoteText">
    <w:name w:val="endnote text"/>
    <w:basedOn w:val="Normal"/>
    <w:link w:val="EndnoteTextChar"/>
    <w:uiPriority w:val="99"/>
    <w:unhideWhenUsed/>
    <w:rsid w:val="008C3633"/>
    <w:rPr>
      <w:sz w:val="24"/>
      <w:szCs w:val="24"/>
      <w:vertAlign w:val="baseline"/>
    </w:rPr>
  </w:style>
  <w:style w:type="character" w:customStyle="1" w:styleId="EndnoteTextChar">
    <w:name w:val="Endnote Text Char"/>
    <w:basedOn w:val="DefaultParagraphFont"/>
    <w:link w:val="EndnoteText"/>
    <w:uiPriority w:val="99"/>
    <w:rsid w:val="008C3633"/>
    <w:rPr>
      <w:sz w:val="24"/>
      <w:szCs w:val="24"/>
      <w:vertAlign w:val="baseline"/>
    </w:rPr>
  </w:style>
  <w:style w:type="character" w:styleId="EndnoteReference">
    <w:name w:val="endnote reference"/>
    <w:basedOn w:val="DefaultParagraphFont"/>
    <w:uiPriority w:val="99"/>
    <w:unhideWhenUsed/>
    <w:rsid w:val="008C3633"/>
    <w:rPr>
      <w:vertAlign w:val="superscript"/>
    </w:rPr>
  </w:style>
  <w:style w:type="character" w:customStyle="1" w:styleId="tgc">
    <w:name w:val="_tgc"/>
    <w:basedOn w:val="DefaultParagraphFont"/>
    <w:rsid w:val="008C3633"/>
  </w:style>
  <w:style w:type="character" w:styleId="CommentReference">
    <w:name w:val="annotation reference"/>
    <w:basedOn w:val="DefaultParagraphFont"/>
    <w:uiPriority w:val="99"/>
    <w:semiHidden/>
    <w:unhideWhenUsed/>
    <w:rsid w:val="003D43C7"/>
    <w:rPr>
      <w:sz w:val="18"/>
      <w:szCs w:val="18"/>
    </w:rPr>
  </w:style>
  <w:style w:type="paragraph" w:styleId="CommentText">
    <w:name w:val="annotation text"/>
    <w:basedOn w:val="Normal"/>
    <w:link w:val="CommentTextChar"/>
    <w:uiPriority w:val="99"/>
    <w:semiHidden/>
    <w:unhideWhenUsed/>
    <w:rsid w:val="003D43C7"/>
    <w:rPr>
      <w:sz w:val="24"/>
      <w:szCs w:val="24"/>
    </w:rPr>
  </w:style>
  <w:style w:type="character" w:customStyle="1" w:styleId="CommentTextChar">
    <w:name w:val="Comment Text Char"/>
    <w:basedOn w:val="DefaultParagraphFont"/>
    <w:link w:val="CommentText"/>
    <w:uiPriority w:val="99"/>
    <w:semiHidden/>
    <w:rsid w:val="003D43C7"/>
    <w:rPr>
      <w:sz w:val="24"/>
      <w:szCs w:val="24"/>
    </w:rPr>
  </w:style>
  <w:style w:type="paragraph" w:styleId="CommentSubject">
    <w:name w:val="annotation subject"/>
    <w:basedOn w:val="CommentText"/>
    <w:next w:val="CommentText"/>
    <w:link w:val="CommentSubjectChar"/>
    <w:uiPriority w:val="99"/>
    <w:semiHidden/>
    <w:unhideWhenUsed/>
    <w:rsid w:val="003D43C7"/>
    <w:rPr>
      <w:b/>
      <w:bCs/>
      <w:sz w:val="20"/>
      <w:szCs w:val="20"/>
    </w:rPr>
  </w:style>
  <w:style w:type="character" w:customStyle="1" w:styleId="CommentSubjectChar">
    <w:name w:val="Comment Subject Char"/>
    <w:basedOn w:val="CommentTextChar"/>
    <w:link w:val="CommentSubject"/>
    <w:uiPriority w:val="99"/>
    <w:semiHidden/>
    <w:rsid w:val="003D43C7"/>
    <w:rPr>
      <w:b/>
      <w:bCs/>
      <w:sz w:val="24"/>
      <w:szCs w:val="24"/>
    </w:rPr>
  </w:style>
  <w:style w:type="paragraph" w:styleId="Revision">
    <w:name w:val="Revision"/>
    <w:hidden/>
    <w:uiPriority w:val="99"/>
    <w:semiHidden/>
    <w:rsid w:val="00F64C4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ajorHAnsi" w:eastAsiaTheme="minorEastAsia" w:hAnsiTheme="majorHAnsi" w:cstheme="minorBidi"/>
        <w:vertAlign w:val="superscript"/>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D11E4"/>
    <w:pPr>
      <w:keepNext/>
      <w:keepLines/>
      <w:spacing w:before="240" w:line="259" w:lineRule="auto"/>
      <w:outlineLvl w:val="0"/>
    </w:pPr>
    <w:rPr>
      <w:rFonts w:eastAsiaTheme="majorEastAsia" w:cstheme="majorBidi"/>
      <w:color w:val="365F91" w:themeColor="accent1" w:themeShade="BF"/>
      <w:sz w:val="32"/>
      <w:szCs w:val="32"/>
      <w:vertAlign w:val="baseline"/>
      <w:lang w:val="en-US"/>
    </w:rPr>
  </w:style>
  <w:style w:type="paragraph" w:styleId="Heading2">
    <w:name w:val="heading 2"/>
    <w:basedOn w:val="Normal"/>
    <w:next w:val="Normal"/>
    <w:link w:val="Heading2Char"/>
    <w:uiPriority w:val="9"/>
    <w:unhideWhenUsed/>
    <w:qFormat/>
    <w:rsid w:val="001C6724"/>
    <w:pPr>
      <w:keepNext/>
      <w:keepLines/>
      <w:spacing w:before="200"/>
      <w:outlineLvl w:val="1"/>
    </w:pPr>
    <w:rPr>
      <w:rFonts w:eastAsiaTheme="majorEastAsia" w:cstheme="majorBidi"/>
      <w:b/>
      <w:bCs/>
      <w:color w:val="4F81BD" w:themeColor="accent1"/>
      <w:sz w:val="26"/>
      <w:szCs w:val="26"/>
      <w:vertAlign w:val="baseline"/>
    </w:rPr>
  </w:style>
  <w:style w:type="paragraph" w:styleId="Heading3">
    <w:name w:val="heading 3"/>
    <w:basedOn w:val="Normal"/>
    <w:next w:val="Normal"/>
    <w:link w:val="Heading3Char"/>
    <w:uiPriority w:val="9"/>
    <w:semiHidden/>
    <w:unhideWhenUsed/>
    <w:qFormat/>
    <w:rsid w:val="001C6724"/>
    <w:pPr>
      <w:keepNext/>
      <w:keepLines/>
      <w:spacing w:before="200"/>
      <w:outlineLvl w:val="2"/>
    </w:pPr>
    <w:rPr>
      <w:rFonts w:eastAsiaTheme="majorEastAsia" w:cstheme="majorBidi"/>
      <w:b/>
      <w:bCs/>
      <w:color w:val="4F81BD" w:themeColor="accent1"/>
      <w:vertAlign w:val="baseli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A2769"/>
    <w:pPr>
      <w:tabs>
        <w:tab w:val="center" w:pos="4513"/>
        <w:tab w:val="right" w:pos="9026"/>
      </w:tabs>
    </w:pPr>
    <w:rPr>
      <w:rFonts w:asciiTheme="minorHAnsi" w:eastAsiaTheme="minorHAnsi" w:hAnsiTheme="minorHAnsi"/>
      <w:sz w:val="22"/>
      <w:szCs w:val="22"/>
      <w:vertAlign w:val="baseline"/>
    </w:rPr>
  </w:style>
  <w:style w:type="character" w:customStyle="1" w:styleId="HeaderChar">
    <w:name w:val="Header Char"/>
    <w:basedOn w:val="DefaultParagraphFont"/>
    <w:link w:val="Header"/>
    <w:uiPriority w:val="99"/>
    <w:rsid w:val="00EA2769"/>
    <w:rPr>
      <w:rFonts w:asciiTheme="minorHAnsi" w:eastAsiaTheme="minorHAnsi" w:hAnsiTheme="minorHAnsi"/>
      <w:sz w:val="22"/>
      <w:szCs w:val="22"/>
      <w:vertAlign w:val="baseline"/>
    </w:rPr>
  </w:style>
  <w:style w:type="paragraph" w:styleId="Footer">
    <w:name w:val="footer"/>
    <w:basedOn w:val="Normal"/>
    <w:link w:val="FooterChar"/>
    <w:uiPriority w:val="99"/>
    <w:unhideWhenUsed/>
    <w:rsid w:val="008926D0"/>
    <w:pPr>
      <w:tabs>
        <w:tab w:val="center" w:pos="4320"/>
        <w:tab w:val="right" w:pos="8640"/>
      </w:tabs>
    </w:pPr>
  </w:style>
  <w:style w:type="character" w:customStyle="1" w:styleId="FooterChar">
    <w:name w:val="Footer Char"/>
    <w:basedOn w:val="DefaultParagraphFont"/>
    <w:link w:val="Footer"/>
    <w:uiPriority w:val="99"/>
    <w:rsid w:val="008926D0"/>
  </w:style>
  <w:style w:type="character" w:styleId="PageNumber">
    <w:name w:val="page number"/>
    <w:basedOn w:val="DefaultParagraphFont"/>
    <w:uiPriority w:val="99"/>
    <w:semiHidden/>
    <w:unhideWhenUsed/>
    <w:rsid w:val="008926D0"/>
  </w:style>
  <w:style w:type="paragraph" w:styleId="FootnoteText">
    <w:name w:val="footnote text"/>
    <w:aliases w:val="5_G"/>
    <w:basedOn w:val="Normal"/>
    <w:link w:val="FootnoteTextChar"/>
    <w:unhideWhenUsed/>
    <w:qFormat/>
    <w:rsid w:val="007E494A"/>
    <w:rPr>
      <w:sz w:val="24"/>
      <w:szCs w:val="24"/>
    </w:rPr>
  </w:style>
  <w:style w:type="character" w:customStyle="1" w:styleId="FootnoteTextChar">
    <w:name w:val="Footnote Text Char"/>
    <w:aliases w:val="5_G Char"/>
    <w:basedOn w:val="DefaultParagraphFont"/>
    <w:link w:val="FootnoteText"/>
    <w:rsid w:val="007E494A"/>
    <w:rPr>
      <w:sz w:val="24"/>
      <w:szCs w:val="24"/>
    </w:rPr>
  </w:style>
  <w:style w:type="character" w:styleId="FootnoteReference">
    <w:name w:val="footnote reference"/>
    <w:aliases w:val="4_G,Footnotes refss"/>
    <w:basedOn w:val="DefaultParagraphFont"/>
    <w:uiPriority w:val="99"/>
    <w:unhideWhenUsed/>
    <w:qFormat/>
    <w:rsid w:val="007E494A"/>
    <w:rPr>
      <w:vertAlign w:val="superscript"/>
    </w:rPr>
  </w:style>
  <w:style w:type="character" w:styleId="Hyperlink">
    <w:name w:val="Hyperlink"/>
    <w:basedOn w:val="DefaultParagraphFont"/>
    <w:uiPriority w:val="99"/>
    <w:unhideWhenUsed/>
    <w:rsid w:val="007E494A"/>
    <w:rPr>
      <w:color w:val="0000FF" w:themeColor="hyperlink"/>
      <w:u w:val="single"/>
    </w:rPr>
  </w:style>
  <w:style w:type="paragraph" w:styleId="BalloonText">
    <w:name w:val="Balloon Text"/>
    <w:basedOn w:val="Normal"/>
    <w:link w:val="BalloonTextChar"/>
    <w:uiPriority w:val="99"/>
    <w:semiHidden/>
    <w:unhideWhenUsed/>
    <w:rsid w:val="007E494A"/>
    <w:rPr>
      <w:rFonts w:ascii="Lucida Grande" w:hAnsi="Lucida Grande"/>
      <w:sz w:val="18"/>
      <w:szCs w:val="18"/>
    </w:rPr>
  </w:style>
  <w:style w:type="character" w:customStyle="1" w:styleId="BalloonTextChar">
    <w:name w:val="Balloon Text Char"/>
    <w:basedOn w:val="DefaultParagraphFont"/>
    <w:link w:val="BalloonText"/>
    <w:uiPriority w:val="99"/>
    <w:semiHidden/>
    <w:rsid w:val="007E494A"/>
    <w:rPr>
      <w:rFonts w:ascii="Lucida Grande" w:hAnsi="Lucida Grande"/>
      <w:sz w:val="18"/>
      <w:szCs w:val="18"/>
    </w:rPr>
  </w:style>
  <w:style w:type="character" w:styleId="FollowedHyperlink">
    <w:name w:val="FollowedHyperlink"/>
    <w:basedOn w:val="DefaultParagraphFont"/>
    <w:uiPriority w:val="99"/>
    <w:semiHidden/>
    <w:unhideWhenUsed/>
    <w:rsid w:val="00733352"/>
    <w:rPr>
      <w:color w:val="800080" w:themeColor="followedHyperlink"/>
      <w:u w:val="single"/>
    </w:rPr>
  </w:style>
  <w:style w:type="character" w:customStyle="1" w:styleId="Heading1Char">
    <w:name w:val="Heading 1 Char"/>
    <w:basedOn w:val="DefaultParagraphFont"/>
    <w:link w:val="Heading1"/>
    <w:uiPriority w:val="9"/>
    <w:rsid w:val="007D11E4"/>
    <w:rPr>
      <w:rFonts w:eastAsiaTheme="majorEastAsia" w:cstheme="majorBidi"/>
      <w:color w:val="365F91" w:themeColor="accent1" w:themeShade="BF"/>
      <w:sz w:val="32"/>
      <w:szCs w:val="32"/>
      <w:vertAlign w:val="baseline"/>
      <w:lang w:val="en-US"/>
    </w:rPr>
  </w:style>
  <w:style w:type="paragraph" w:styleId="ListParagraph">
    <w:name w:val="List Paragraph"/>
    <w:basedOn w:val="Normal"/>
    <w:uiPriority w:val="34"/>
    <w:qFormat/>
    <w:rsid w:val="007D11E4"/>
    <w:pPr>
      <w:spacing w:after="160" w:line="259" w:lineRule="auto"/>
      <w:ind w:left="720"/>
      <w:contextualSpacing/>
    </w:pPr>
    <w:rPr>
      <w:rFonts w:asciiTheme="minorHAnsi" w:eastAsiaTheme="minorHAnsi" w:hAnsiTheme="minorHAnsi"/>
      <w:sz w:val="22"/>
      <w:szCs w:val="22"/>
      <w:vertAlign w:val="baseline"/>
    </w:rPr>
  </w:style>
  <w:style w:type="paragraph" w:styleId="NoSpacing">
    <w:name w:val="No Spacing"/>
    <w:uiPriority w:val="1"/>
    <w:qFormat/>
    <w:rsid w:val="00EC775D"/>
  </w:style>
  <w:style w:type="character" w:styleId="BookTitle">
    <w:name w:val="Book Title"/>
    <w:basedOn w:val="DefaultParagraphFont"/>
    <w:uiPriority w:val="33"/>
    <w:qFormat/>
    <w:rsid w:val="00EC775D"/>
    <w:rPr>
      <w:b/>
      <w:bCs/>
      <w:smallCaps/>
      <w:spacing w:val="5"/>
    </w:rPr>
  </w:style>
  <w:style w:type="paragraph" w:styleId="NormalWeb">
    <w:name w:val="Normal (Web)"/>
    <w:basedOn w:val="Normal"/>
    <w:uiPriority w:val="99"/>
    <w:unhideWhenUsed/>
    <w:rsid w:val="005F7752"/>
    <w:pPr>
      <w:spacing w:before="100" w:beforeAutospacing="1" w:after="100" w:afterAutospacing="1"/>
    </w:pPr>
    <w:rPr>
      <w:rFonts w:ascii="Times New Roman" w:eastAsia="Times New Roman" w:hAnsi="Times New Roman" w:cs="Times New Roman"/>
      <w:sz w:val="24"/>
      <w:szCs w:val="24"/>
      <w:vertAlign w:val="baseline"/>
      <w:lang w:eastAsia="en-GB"/>
    </w:rPr>
  </w:style>
  <w:style w:type="character" w:styleId="Strong">
    <w:name w:val="Strong"/>
    <w:basedOn w:val="DefaultParagraphFont"/>
    <w:uiPriority w:val="22"/>
    <w:qFormat/>
    <w:rsid w:val="005F7752"/>
    <w:rPr>
      <w:b/>
      <w:bCs/>
    </w:rPr>
  </w:style>
  <w:style w:type="character" w:customStyle="1" w:styleId="apple-converted-space">
    <w:name w:val="apple-converted-space"/>
    <w:basedOn w:val="DefaultParagraphFont"/>
    <w:rsid w:val="005F7752"/>
  </w:style>
  <w:style w:type="character" w:styleId="Emphasis">
    <w:name w:val="Emphasis"/>
    <w:basedOn w:val="DefaultParagraphFont"/>
    <w:uiPriority w:val="20"/>
    <w:qFormat/>
    <w:rsid w:val="005F7752"/>
    <w:rPr>
      <w:i/>
      <w:iCs/>
    </w:rPr>
  </w:style>
  <w:style w:type="character" w:customStyle="1" w:styleId="Heading2Char">
    <w:name w:val="Heading 2 Char"/>
    <w:basedOn w:val="DefaultParagraphFont"/>
    <w:link w:val="Heading2"/>
    <w:uiPriority w:val="9"/>
    <w:rsid w:val="001C6724"/>
    <w:rPr>
      <w:rFonts w:eastAsiaTheme="majorEastAsia" w:cstheme="majorBidi"/>
      <w:b/>
      <w:bCs/>
      <w:color w:val="4F81BD" w:themeColor="accent1"/>
      <w:sz w:val="26"/>
      <w:szCs w:val="26"/>
      <w:vertAlign w:val="baseline"/>
    </w:rPr>
  </w:style>
  <w:style w:type="character" w:customStyle="1" w:styleId="Heading3Char">
    <w:name w:val="Heading 3 Char"/>
    <w:basedOn w:val="DefaultParagraphFont"/>
    <w:link w:val="Heading3"/>
    <w:uiPriority w:val="9"/>
    <w:semiHidden/>
    <w:rsid w:val="001C6724"/>
    <w:rPr>
      <w:rFonts w:eastAsiaTheme="majorEastAsia" w:cstheme="majorBidi"/>
      <w:b/>
      <w:bCs/>
      <w:color w:val="4F81BD" w:themeColor="accent1"/>
      <w:vertAlign w:val="baseline"/>
    </w:rPr>
  </w:style>
  <w:style w:type="paragraph" w:styleId="HTMLPreformatted">
    <w:name w:val="HTML Preformatted"/>
    <w:basedOn w:val="Normal"/>
    <w:link w:val="HTMLPreformattedChar"/>
    <w:uiPriority w:val="99"/>
    <w:unhideWhenUsed/>
    <w:rsid w:val="001C67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hAnsi="Courier" w:cs="Courier"/>
      <w:vertAlign w:val="baseline"/>
    </w:rPr>
  </w:style>
  <w:style w:type="character" w:customStyle="1" w:styleId="HTMLPreformattedChar">
    <w:name w:val="HTML Preformatted Char"/>
    <w:basedOn w:val="DefaultParagraphFont"/>
    <w:link w:val="HTMLPreformatted"/>
    <w:uiPriority w:val="99"/>
    <w:rsid w:val="001C6724"/>
    <w:rPr>
      <w:rFonts w:ascii="Courier" w:hAnsi="Courier" w:cs="Courier"/>
      <w:vertAlign w:val="baseline"/>
    </w:rPr>
  </w:style>
  <w:style w:type="paragraph" w:customStyle="1" w:styleId="contenttext">
    <w:name w:val="contenttext"/>
    <w:basedOn w:val="Normal"/>
    <w:rsid w:val="001C6724"/>
    <w:pPr>
      <w:spacing w:before="100" w:beforeAutospacing="1" w:after="100" w:afterAutospacing="1"/>
    </w:pPr>
    <w:rPr>
      <w:rFonts w:ascii="Times" w:hAnsi="Times"/>
      <w:vertAlign w:val="baseline"/>
    </w:rPr>
  </w:style>
  <w:style w:type="paragraph" w:customStyle="1" w:styleId="SingleTxtG">
    <w:name w:val="_ Single Txt_G"/>
    <w:basedOn w:val="Normal"/>
    <w:link w:val="SingleTxtGChar"/>
    <w:rsid w:val="001C6724"/>
    <w:pPr>
      <w:suppressAutoHyphens/>
      <w:spacing w:after="120" w:line="240" w:lineRule="atLeast"/>
      <w:ind w:left="1134" w:right="1134"/>
      <w:jc w:val="both"/>
    </w:pPr>
    <w:rPr>
      <w:rFonts w:ascii="Times New Roman" w:eastAsia="Times New Roman" w:hAnsi="Times New Roman" w:cs="Times New Roman"/>
      <w:vertAlign w:val="baseline"/>
    </w:rPr>
  </w:style>
  <w:style w:type="character" w:customStyle="1" w:styleId="SingleTxtGChar">
    <w:name w:val="_ Single Txt_G Char"/>
    <w:link w:val="SingleTxtG"/>
    <w:rsid w:val="001C6724"/>
    <w:rPr>
      <w:rFonts w:ascii="Times New Roman" w:eastAsia="Times New Roman" w:hAnsi="Times New Roman" w:cs="Times New Roman"/>
      <w:vertAlign w:val="baseline"/>
    </w:rPr>
  </w:style>
  <w:style w:type="paragraph" w:customStyle="1" w:styleId="SingleTxt">
    <w:name w:val="__Single Txt"/>
    <w:basedOn w:val="Normal"/>
    <w:rsid w:val="001C6724"/>
    <w:pPr>
      <w:tabs>
        <w:tab w:val="left" w:pos="1267"/>
        <w:tab w:val="left" w:pos="1742"/>
        <w:tab w:val="left" w:pos="2218"/>
        <w:tab w:val="left" w:pos="2693"/>
        <w:tab w:val="left" w:pos="3182"/>
        <w:tab w:val="left" w:pos="3658"/>
        <w:tab w:val="left" w:pos="4133"/>
        <w:tab w:val="left" w:pos="4622"/>
        <w:tab w:val="left" w:pos="5098"/>
        <w:tab w:val="left" w:pos="5573"/>
        <w:tab w:val="left" w:pos="6048"/>
      </w:tabs>
      <w:suppressAutoHyphens/>
      <w:spacing w:after="120" w:line="240" w:lineRule="exact"/>
      <w:ind w:left="1267" w:right="1267"/>
      <w:jc w:val="both"/>
    </w:pPr>
    <w:rPr>
      <w:rFonts w:ascii="Times New Roman" w:eastAsia="Times New Roman" w:hAnsi="Times New Roman" w:cs="Times New Roman"/>
      <w:spacing w:val="4"/>
      <w:w w:val="103"/>
      <w:kern w:val="14"/>
      <w:vertAlign w:val="baseline"/>
    </w:rPr>
  </w:style>
  <w:style w:type="paragraph" w:customStyle="1" w:styleId="H23">
    <w:name w:val="_ H_2/3"/>
    <w:basedOn w:val="Normal"/>
    <w:next w:val="SingleTxt"/>
    <w:rsid w:val="001C6724"/>
    <w:pPr>
      <w:keepNext/>
      <w:keepLines/>
      <w:tabs>
        <w:tab w:val="right" w:pos="1022"/>
        <w:tab w:val="left" w:pos="1267"/>
        <w:tab w:val="left" w:pos="1742"/>
        <w:tab w:val="left" w:pos="2218"/>
        <w:tab w:val="left" w:pos="2693"/>
        <w:tab w:val="left" w:pos="3182"/>
        <w:tab w:val="left" w:pos="3658"/>
        <w:tab w:val="left" w:pos="4133"/>
        <w:tab w:val="left" w:pos="4622"/>
        <w:tab w:val="left" w:pos="5098"/>
        <w:tab w:val="left" w:pos="5573"/>
        <w:tab w:val="left" w:pos="6048"/>
      </w:tabs>
      <w:suppressAutoHyphens/>
      <w:spacing w:line="240" w:lineRule="exact"/>
      <w:ind w:left="1267" w:right="1267" w:hanging="1267"/>
      <w:outlineLvl w:val="1"/>
    </w:pPr>
    <w:rPr>
      <w:rFonts w:ascii="Times New Roman" w:eastAsia="Times New Roman" w:hAnsi="Times New Roman" w:cs="Times New Roman"/>
      <w:b/>
      <w:spacing w:val="2"/>
      <w:w w:val="103"/>
      <w:kern w:val="14"/>
      <w:vertAlign w:val="baseline"/>
    </w:rPr>
  </w:style>
  <w:style w:type="table" w:styleId="TableGrid">
    <w:name w:val="Table Grid"/>
    <w:basedOn w:val="TableNormal"/>
    <w:uiPriority w:val="59"/>
    <w:rsid w:val="001C6724"/>
    <w:rPr>
      <w:vertAlign w:val="baseli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n">
    <w:name w:val="fn"/>
    <w:basedOn w:val="DefaultParagraphFont"/>
    <w:rsid w:val="001C6724"/>
  </w:style>
  <w:style w:type="character" w:customStyle="1" w:styleId="subtitle1">
    <w:name w:val="subtitle1"/>
    <w:basedOn w:val="DefaultParagraphFont"/>
    <w:rsid w:val="001C6724"/>
  </w:style>
  <w:style w:type="paragraph" w:styleId="EndnoteText">
    <w:name w:val="endnote text"/>
    <w:basedOn w:val="Normal"/>
    <w:link w:val="EndnoteTextChar"/>
    <w:uiPriority w:val="99"/>
    <w:unhideWhenUsed/>
    <w:rsid w:val="008C3633"/>
    <w:rPr>
      <w:sz w:val="24"/>
      <w:szCs w:val="24"/>
      <w:vertAlign w:val="baseline"/>
    </w:rPr>
  </w:style>
  <w:style w:type="character" w:customStyle="1" w:styleId="EndnoteTextChar">
    <w:name w:val="Endnote Text Char"/>
    <w:basedOn w:val="DefaultParagraphFont"/>
    <w:link w:val="EndnoteText"/>
    <w:uiPriority w:val="99"/>
    <w:rsid w:val="008C3633"/>
    <w:rPr>
      <w:sz w:val="24"/>
      <w:szCs w:val="24"/>
      <w:vertAlign w:val="baseline"/>
    </w:rPr>
  </w:style>
  <w:style w:type="character" w:styleId="EndnoteReference">
    <w:name w:val="endnote reference"/>
    <w:basedOn w:val="DefaultParagraphFont"/>
    <w:uiPriority w:val="99"/>
    <w:unhideWhenUsed/>
    <w:rsid w:val="008C3633"/>
    <w:rPr>
      <w:vertAlign w:val="superscript"/>
    </w:rPr>
  </w:style>
  <w:style w:type="character" w:customStyle="1" w:styleId="tgc">
    <w:name w:val="_tgc"/>
    <w:basedOn w:val="DefaultParagraphFont"/>
    <w:rsid w:val="008C3633"/>
  </w:style>
  <w:style w:type="character" w:styleId="CommentReference">
    <w:name w:val="annotation reference"/>
    <w:basedOn w:val="DefaultParagraphFont"/>
    <w:uiPriority w:val="99"/>
    <w:semiHidden/>
    <w:unhideWhenUsed/>
    <w:rsid w:val="003D43C7"/>
    <w:rPr>
      <w:sz w:val="18"/>
      <w:szCs w:val="18"/>
    </w:rPr>
  </w:style>
  <w:style w:type="paragraph" w:styleId="CommentText">
    <w:name w:val="annotation text"/>
    <w:basedOn w:val="Normal"/>
    <w:link w:val="CommentTextChar"/>
    <w:uiPriority w:val="99"/>
    <w:semiHidden/>
    <w:unhideWhenUsed/>
    <w:rsid w:val="003D43C7"/>
    <w:rPr>
      <w:sz w:val="24"/>
      <w:szCs w:val="24"/>
    </w:rPr>
  </w:style>
  <w:style w:type="character" w:customStyle="1" w:styleId="CommentTextChar">
    <w:name w:val="Comment Text Char"/>
    <w:basedOn w:val="DefaultParagraphFont"/>
    <w:link w:val="CommentText"/>
    <w:uiPriority w:val="99"/>
    <w:semiHidden/>
    <w:rsid w:val="003D43C7"/>
    <w:rPr>
      <w:sz w:val="24"/>
      <w:szCs w:val="24"/>
    </w:rPr>
  </w:style>
  <w:style w:type="paragraph" w:styleId="CommentSubject">
    <w:name w:val="annotation subject"/>
    <w:basedOn w:val="CommentText"/>
    <w:next w:val="CommentText"/>
    <w:link w:val="CommentSubjectChar"/>
    <w:uiPriority w:val="99"/>
    <w:semiHidden/>
    <w:unhideWhenUsed/>
    <w:rsid w:val="003D43C7"/>
    <w:rPr>
      <w:b/>
      <w:bCs/>
      <w:sz w:val="20"/>
      <w:szCs w:val="20"/>
    </w:rPr>
  </w:style>
  <w:style w:type="character" w:customStyle="1" w:styleId="CommentSubjectChar">
    <w:name w:val="Comment Subject Char"/>
    <w:basedOn w:val="CommentTextChar"/>
    <w:link w:val="CommentSubject"/>
    <w:uiPriority w:val="99"/>
    <w:semiHidden/>
    <w:rsid w:val="003D43C7"/>
    <w:rPr>
      <w:b/>
      <w:bCs/>
      <w:sz w:val="24"/>
      <w:szCs w:val="24"/>
    </w:rPr>
  </w:style>
  <w:style w:type="paragraph" w:styleId="Revision">
    <w:name w:val="Revision"/>
    <w:hidden/>
    <w:uiPriority w:val="99"/>
    <w:semiHidden/>
    <w:rsid w:val="00F64C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115668">
      <w:bodyDiv w:val="1"/>
      <w:marLeft w:val="0"/>
      <w:marRight w:val="0"/>
      <w:marTop w:val="0"/>
      <w:marBottom w:val="0"/>
      <w:divBdr>
        <w:top w:val="none" w:sz="0" w:space="0" w:color="auto"/>
        <w:left w:val="none" w:sz="0" w:space="0" w:color="auto"/>
        <w:bottom w:val="none" w:sz="0" w:space="0" w:color="auto"/>
        <w:right w:val="none" w:sz="0" w:space="0" w:color="auto"/>
      </w:divBdr>
    </w:div>
    <w:div w:id="277027412">
      <w:bodyDiv w:val="1"/>
      <w:marLeft w:val="0"/>
      <w:marRight w:val="0"/>
      <w:marTop w:val="0"/>
      <w:marBottom w:val="0"/>
      <w:divBdr>
        <w:top w:val="none" w:sz="0" w:space="0" w:color="auto"/>
        <w:left w:val="none" w:sz="0" w:space="0" w:color="auto"/>
        <w:bottom w:val="none" w:sz="0" w:space="0" w:color="auto"/>
        <w:right w:val="none" w:sz="0" w:space="0" w:color="auto"/>
      </w:divBdr>
    </w:div>
    <w:div w:id="292055587">
      <w:bodyDiv w:val="1"/>
      <w:marLeft w:val="0"/>
      <w:marRight w:val="0"/>
      <w:marTop w:val="0"/>
      <w:marBottom w:val="0"/>
      <w:divBdr>
        <w:top w:val="none" w:sz="0" w:space="0" w:color="auto"/>
        <w:left w:val="none" w:sz="0" w:space="0" w:color="auto"/>
        <w:bottom w:val="none" w:sz="0" w:space="0" w:color="auto"/>
        <w:right w:val="none" w:sz="0" w:space="0" w:color="auto"/>
      </w:divBdr>
    </w:div>
    <w:div w:id="443354954">
      <w:bodyDiv w:val="1"/>
      <w:marLeft w:val="0"/>
      <w:marRight w:val="0"/>
      <w:marTop w:val="0"/>
      <w:marBottom w:val="0"/>
      <w:divBdr>
        <w:top w:val="none" w:sz="0" w:space="0" w:color="auto"/>
        <w:left w:val="none" w:sz="0" w:space="0" w:color="auto"/>
        <w:bottom w:val="none" w:sz="0" w:space="0" w:color="auto"/>
        <w:right w:val="none" w:sz="0" w:space="0" w:color="auto"/>
      </w:divBdr>
    </w:div>
    <w:div w:id="555508179">
      <w:bodyDiv w:val="1"/>
      <w:marLeft w:val="0"/>
      <w:marRight w:val="0"/>
      <w:marTop w:val="0"/>
      <w:marBottom w:val="0"/>
      <w:divBdr>
        <w:top w:val="none" w:sz="0" w:space="0" w:color="auto"/>
        <w:left w:val="none" w:sz="0" w:space="0" w:color="auto"/>
        <w:bottom w:val="none" w:sz="0" w:space="0" w:color="auto"/>
        <w:right w:val="none" w:sz="0" w:space="0" w:color="auto"/>
      </w:divBdr>
    </w:div>
    <w:div w:id="605696227">
      <w:bodyDiv w:val="1"/>
      <w:marLeft w:val="0"/>
      <w:marRight w:val="0"/>
      <w:marTop w:val="0"/>
      <w:marBottom w:val="0"/>
      <w:divBdr>
        <w:top w:val="none" w:sz="0" w:space="0" w:color="auto"/>
        <w:left w:val="none" w:sz="0" w:space="0" w:color="auto"/>
        <w:bottom w:val="none" w:sz="0" w:space="0" w:color="auto"/>
        <w:right w:val="none" w:sz="0" w:space="0" w:color="auto"/>
      </w:divBdr>
      <w:divsChild>
        <w:div w:id="1040670260">
          <w:marLeft w:val="0"/>
          <w:marRight w:val="0"/>
          <w:marTop w:val="0"/>
          <w:marBottom w:val="0"/>
          <w:divBdr>
            <w:top w:val="none" w:sz="0" w:space="0" w:color="auto"/>
            <w:left w:val="none" w:sz="0" w:space="0" w:color="auto"/>
            <w:bottom w:val="none" w:sz="0" w:space="0" w:color="auto"/>
            <w:right w:val="none" w:sz="0" w:space="0" w:color="auto"/>
          </w:divBdr>
        </w:div>
      </w:divsChild>
    </w:div>
    <w:div w:id="645746665">
      <w:bodyDiv w:val="1"/>
      <w:marLeft w:val="0"/>
      <w:marRight w:val="0"/>
      <w:marTop w:val="0"/>
      <w:marBottom w:val="0"/>
      <w:divBdr>
        <w:top w:val="none" w:sz="0" w:space="0" w:color="auto"/>
        <w:left w:val="none" w:sz="0" w:space="0" w:color="auto"/>
        <w:bottom w:val="none" w:sz="0" w:space="0" w:color="auto"/>
        <w:right w:val="none" w:sz="0" w:space="0" w:color="auto"/>
      </w:divBdr>
      <w:divsChild>
        <w:div w:id="1441292503">
          <w:marLeft w:val="0"/>
          <w:marRight w:val="0"/>
          <w:marTop w:val="0"/>
          <w:marBottom w:val="0"/>
          <w:divBdr>
            <w:top w:val="none" w:sz="0" w:space="0" w:color="auto"/>
            <w:left w:val="none" w:sz="0" w:space="0" w:color="auto"/>
            <w:bottom w:val="none" w:sz="0" w:space="0" w:color="auto"/>
            <w:right w:val="none" w:sz="0" w:space="0" w:color="auto"/>
          </w:divBdr>
        </w:div>
        <w:div w:id="715929385">
          <w:marLeft w:val="0"/>
          <w:marRight w:val="0"/>
          <w:marTop w:val="240"/>
          <w:marBottom w:val="240"/>
          <w:divBdr>
            <w:top w:val="none" w:sz="0" w:space="0" w:color="auto"/>
            <w:left w:val="none" w:sz="0" w:space="0" w:color="auto"/>
            <w:bottom w:val="none" w:sz="0" w:space="0" w:color="auto"/>
            <w:right w:val="none" w:sz="0" w:space="0" w:color="auto"/>
          </w:divBdr>
        </w:div>
      </w:divsChild>
    </w:div>
    <w:div w:id="691145978">
      <w:bodyDiv w:val="1"/>
      <w:marLeft w:val="0"/>
      <w:marRight w:val="0"/>
      <w:marTop w:val="0"/>
      <w:marBottom w:val="0"/>
      <w:divBdr>
        <w:top w:val="none" w:sz="0" w:space="0" w:color="auto"/>
        <w:left w:val="none" w:sz="0" w:space="0" w:color="auto"/>
        <w:bottom w:val="none" w:sz="0" w:space="0" w:color="auto"/>
        <w:right w:val="none" w:sz="0" w:space="0" w:color="auto"/>
      </w:divBdr>
    </w:div>
    <w:div w:id="724332235">
      <w:bodyDiv w:val="1"/>
      <w:marLeft w:val="0"/>
      <w:marRight w:val="0"/>
      <w:marTop w:val="0"/>
      <w:marBottom w:val="0"/>
      <w:divBdr>
        <w:top w:val="none" w:sz="0" w:space="0" w:color="auto"/>
        <w:left w:val="none" w:sz="0" w:space="0" w:color="auto"/>
        <w:bottom w:val="none" w:sz="0" w:space="0" w:color="auto"/>
        <w:right w:val="none" w:sz="0" w:space="0" w:color="auto"/>
      </w:divBdr>
    </w:div>
    <w:div w:id="804157255">
      <w:bodyDiv w:val="1"/>
      <w:marLeft w:val="0"/>
      <w:marRight w:val="0"/>
      <w:marTop w:val="0"/>
      <w:marBottom w:val="0"/>
      <w:divBdr>
        <w:top w:val="none" w:sz="0" w:space="0" w:color="auto"/>
        <w:left w:val="none" w:sz="0" w:space="0" w:color="auto"/>
        <w:bottom w:val="none" w:sz="0" w:space="0" w:color="auto"/>
        <w:right w:val="none" w:sz="0" w:space="0" w:color="auto"/>
      </w:divBdr>
    </w:div>
    <w:div w:id="1132095430">
      <w:bodyDiv w:val="1"/>
      <w:marLeft w:val="0"/>
      <w:marRight w:val="0"/>
      <w:marTop w:val="0"/>
      <w:marBottom w:val="0"/>
      <w:divBdr>
        <w:top w:val="none" w:sz="0" w:space="0" w:color="auto"/>
        <w:left w:val="none" w:sz="0" w:space="0" w:color="auto"/>
        <w:bottom w:val="none" w:sz="0" w:space="0" w:color="auto"/>
        <w:right w:val="none" w:sz="0" w:space="0" w:color="auto"/>
      </w:divBdr>
    </w:div>
    <w:div w:id="1211459049">
      <w:bodyDiv w:val="1"/>
      <w:marLeft w:val="0"/>
      <w:marRight w:val="0"/>
      <w:marTop w:val="0"/>
      <w:marBottom w:val="0"/>
      <w:divBdr>
        <w:top w:val="none" w:sz="0" w:space="0" w:color="auto"/>
        <w:left w:val="none" w:sz="0" w:space="0" w:color="auto"/>
        <w:bottom w:val="none" w:sz="0" w:space="0" w:color="auto"/>
        <w:right w:val="none" w:sz="0" w:space="0" w:color="auto"/>
      </w:divBdr>
    </w:div>
    <w:div w:id="1693603720">
      <w:bodyDiv w:val="1"/>
      <w:marLeft w:val="0"/>
      <w:marRight w:val="0"/>
      <w:marTop w:val="0"/>
      <w:marBottom w:val="0"/>
      <w:divBdr>
        <w:top w:val="none" w:sz="0" w:space="0" w:color="auto"/>
        <w:left w:val="none" w:sz="0" w:space="0" w:color="auto"/>
        <w:bottom w:val="none" w:sz="0" w:space="0" w:color="auto"/>
        <w:right w:val="none" w:sz="0" w:space="0" w:color="auto"/>
      </w:divBdr>
    </w:div>
    <w:div w:id="1717927046">
      <w:bodyDiv w:val="1"/>
      <w:marLeft w:val="0"/>
      <w:marRight w:val="0"/>
      <w:marTop w:val="0"/>
      <w:marBottom w:val="0"/>
      <w:divBdr>
        <w:top w:val="none" w:sz="0" w:space="0" w:color="auto"/>
        <w:left w:val="none" w:sz="0" w:space="0" w:color="auto"/>
        <w:bottom w:val="none" w:sz="0" w:space="0" w:color="auto"/>
        <w:right w:val="none" w:sz="0" w:space="0" w:color="auto"/>
      </w:divBdr>
    </w:div>
    <w:div w:id="1753434697">
      <w:bodyDiv w:val="1"/>
      <w:marLeft w:val="0"/>
      <w:marRight w:val="0"/>
      <w:marTop w:val="0"/>
      <w:marBottom w:val="0"/>
      <w:divBdr>
        <w:top w:val="none" w:sz="0" w:space="0" w:color="auto"/>
        <w:left w:val="none" w:sz="0" w:space="0" w:color="auto"/>
        <w:bottom w:val="none" w:sz="0" w:space="0" w:color="auto"/>
        <w:right w:val="none" w:sz="0" w:space="0" w:color="auto"/>
      </w:divBdr>
    </w:div>
    <w:div w:id="2080786548">
      <w:bodyDiv w:val="1"/>
      <w:marLeft w:val="0"/>
      <w:marRight w:val="0"/>
      <w:marTop w:val="0"/>
      <w:marBottom w:val="0"/>
      <w:divBdr>
        <w:top w:val="none" w:sz="0" w:space="0" w:color="auto"/>
        <w:left w:val="none" w:sz="0" w:space="0" w:color="auto"/>
        <w:bottom w:val="none" w:sz="0" w:space="0" w:color="auto"/>
        <w:right w:val="none" w:sz="0" w:space="0" w:color="auto"/>
      </w:divBdr>
    </w:div>
    <w:div w:id="2124762132">
      <w:bodyDiv w:val="1"/>
      <w:marLeft w:val="0"/>
      <w:marRight w:val="0"/>
      <w:marTop w:val="0"/>
      <w:marBottom w:val="0"/>
      <w:divBdr>
        <w:top w:val="none" w:sz="0" w:space="0" w:color="auto"/>
        <w:left w:val="none" w:sz="0" w:space="0" w:color="auto"/>
        <w:bottom w:val="none" w:sz="0" w:space="0" w:color="auto"/>
        <w:right w:val="none" w:sz="0" w:space="0" w:color="auto"/>
      </w:divBdr>
    </w:div>
    <w:div w:id="214095210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42" Type="http://schemas.openxmlformats.org/officeDocument/2006/relationships/hyperlink" Target="http://chieftaincy.org/" TargetMode="External"/><Relationship Id="rId143" Type="http://schemas.openxmlformats.org/officeDocument/2006/relationships/hyperlink" Target="http://documents.worldbank.org/curated/en/2011/03/14238095/tackling-poverty-northern-ghana" TargetMode="External"/><Relationship Id="rId144" Type="http://schemas.openxmlformats.org/officeDocument/2006/relationships/hyperlink" Target="http://www.dailymail.co.uk/news/article-158843/Witchdoctors-exposed.html" TargetMode="External"/><Relationship Id="rId145" Type="http://schemas.openxmlformats.org/officeDocument/2006/relationships/hyperlink" Target="http://www.trust.org/" TargetMode="External"/><Relationship Id="rId146" Type="http://schemas.openxmlformats.org/officeDocument/2006/relationships/hyperlink" Target="http://www.thenational.ae/world/south-asia/three-burnt-to-death-by-indian-mob-over-human-sacrifice-rumours" TargetMode="External"/><Relationship Id="rId147" Type="http://schemas.openxmlformats.org/officeDocument/2006/relationships/hyperlink" Target="http://pulitzercenter.org/reporting/womans-place-nepal" TargetMode="External"/><Relationship Id="rId148" Type="http://schemas.openxmlformats.org/officeDocument/2006/relationships/hyperlink" Target="http://www.trust.org/item/20110615000000-hurik/?source=spotlight" TargetMode="External"/><Relationship Id="rId149" Type="http://schemas.openxmlformats.org/officeDocument/2006/relationships/hyperlink" Target="http://www.bbc.co.uk/news/world-asia-21501955" TargetMode="External"/><Relationship Id="rId180" Type="http://schemas.openxmlformats.org/officeDocument/2006/relationships/hyperlink" Target="http://www.whrin.org/wp-content/uploads/2014/03/WHRIN-UN-report_small-FINAL.pdf" TargetMode="External"/><Relationship Id="rId181" Type="http://schemas.openxmlformats.org/officeDocument/2006/relationships/hyperlink" Target="http://www.whrin.org/wp-content/uploads/2014/04/2480903_nepal_report_FINAL.pdf" TargetMode="External"/><Relationship Id="rId182" Type="http://schemas.openxmlformats.org/officeDocument/2006/relationships/hyperlink" Target="http://www.ibtimes.co.uk/witch-hunting-india-poor-low-caste-widows-main-targets-145709" TargetMode="External"/><Relationship Id="rId40" Type="http://schemas.openxmlformats.org/officeDocument/2006/relationships/hyperlink" Target="http://www.hindustantimes.com/mumbai/dabholkar-murder-maharashtra-first-state-to-ban-black-magic/article1-1112686.aspx" TargetMode="External"/><Relationship Id="rId41" Type="http://schemas.openxmlformats.org/officeDocument/2006/relationships/hyperlink" Target="http://www.thehimalayantimes.com/fullNews.php?headline=Widow+branded+as+witch%26sbquo%3B+fed+human+excreta&amp;NewsID=386502" TargetMode="External"/><Relationship Id="rId42" Type="http://schemas.openxmlformats.org/officeDocument/2006/relationships/hyperlink" Target="http://indiatogether.org/combatlaw/vol3/issue4/flipflop.htm" TargetMode="External"/><Relationship Id="rId43" Type="http://schemas.openxmlformats.org/officeDocument/2006/relationships/hyperlink" Target="http://nepalitimes.com/news.php?id=19040" TargetMode="External"/><Relationship Id="rId44" Type="http://schemas.openxmlformats.org/officeDocument/2006/relationships/hyperlink" Target="http://www.dw.de/un-urges-papua-new-guinea-to-halt-witch-hunting/a-17709745" TargetMode="External"/><Relationship Id="rId45" Type="http://schemas.openxmlformats.org/officeDocument/2006/relationships/hyperlink" Target="http://timesofindia.indiatimes.com/india/210-women-tortured-to-death-for-witchcraft-in-Chhattisgarh-many-await-justice/articleshow/45397113.cms" TargetMode="External"/><Relationship Id="rId46" Type="http://schemas.openxmlformats.org/officeDocument/2006/relationships/hyperlink" Target="http://www.cbc.ca/news/world/ghana-witch-camps-shutting-down-leaving-accused-in-limbo-1.2979863" TargetMode="External"/><Relationship Id="rId47" Type="http://schemas.openxmlformats.org/officeDocument/2006/relationships/hyperlink" Target="http://www.dgtp.org.pg/old_site/partner_ESCOW.htm" TargetMode="External"/><Relationship Id="rId48" Type="http://schemas.openxmlformats.org/officeDocument/2006/relationships/hyperlink" Target="http://www.prospectmagazine.co.uk/features/how-does-indias-caste-system-work" TargetMode="External"/><Relationship Id="rId49" Type="http://schemas.openxmlformats.org/officeDocument/2006/relationships/hyperlink" Target="http://www.dailymail.co.uk/news/article-3276057/My-grandmother-died-said-witch-drink-salt-water-stuck-fingers-throat-pieces-said-d-eaten-Congo-s-child-witches-exorcised-devil-beaten-them.html" TargetMode="External"/><Relationship Id="rId183" Type="http://schemas.openxmlformats.org/officeDocument/2006/relationships/hyperlink" Target="http://www.womenenabled.org/hrc.html" TargetMode="External"/><Relationship Id="rId184" Type="http://schemas.openxmlformats.org/officeDocument/2006/relationships/hyperlink" Target="http://www.telegraph.co.uk/news/worldnews/australiaandthepacific/papuanewguinea/11633375/Woman-accused-of-witchcraft-axed-to-death-in-Papua-New-Guinea.html" TargetMode="External"/><Relationship Id="rId185" Type="http://schemas.openxmlformats.org/officeDocument/2006/relationships/hyperlink" Target="http://timesofindia.indiatimes.com/city/patna/Woman-dubbed-witch-burnt-alive-by-distant-relatives/articleshow/17023995.cms" TargetMode="External"/><Relationship Id="rId186" Type="http://schemas.openxmlformats.org/officeDocument/2006/relationships/hyperlink" Target="http://www.thehimalayantimes.com/fullNews.php?headline=Woman+killed+for+%27witchcraft%27&amp;NewsID=400951" TargetMode="External"/><Relationship Id="rId187" Type="http://schemas.openxmlformats.org/officeDocument/2006/relationships/hyperlink" Target="http://www.fwld.org/" TargetMode="External"/><Relationship Id="rId188" Type="http://schemas.openxmlformats.org/officeDocument/2006/relationships/hyperlink" Target="http://womennewsnetwork.net/" TargetMode="External"/><Relationship Id="rId189" Type="http://schemas.openxmlformats.org/officeDocument/2006/relationships/hyperlink" Target="http://www.thehimalayantimes.com/fullNews.php?headline=Woman+thrashed+on+witchcraft+charge+&amp;NewsID=424728" TargetMode="External"/><Relationship Id="rId80" Type="http://schemas.openxmlformats.org/officeDocument/2006/relationships/hyperlink" Target="http://www.importantindia.com/1986/main-features-of-indian-constitution/" TargetMode="External"/><Relationship Id="rId81" Type="http://schemas.openxmlformats.org/officeDocument/2006/relationships/hyperlink" Target="http://www.oxfordbibliographies.com/view/document/obo-9780199766567/obo-9780199766567-0006.xml" TargetMode="External"/><Relationship Id="rId82" Type="http://schemas.openxmlformats.org/officeDocument/2006/relationships/hyperlink" Target="http://www.indiatimes.com/news/india/witch-hunting-on-the-rise-across-several-indian-states-231133.html" TargetMode="External"/><Relationship Id="rId83" Type="http://schemas.openxmlformats.org/officeDocument/2006/relationships/hyperlink" Target="http://www.internal-displacement.org/south-and-south-east-asia/papua-new-guinea/2014/papua-new-guinea-invisible-and-neglected-protracted-displacement" TargetMode="External"/><Relationship Id="rId84" Type="http://schemas.openxmlformats.org/officeDocument/2006/relationships/hyperlink" Target="http://www.oxfam.org.nz/what-we-do/where-we-work/papua-new-guinea/our-partners/kup-women-for-peace" TargetMode="External"/><Relationship Id="rId85" Type="http://schemas.openxmlformats.org/officeDocument/2006/relationships/hyperlink" Target="http://www.theafricareport.com/Society-and-Culture/ghana-shuts-down-witches-camp.html" TargetMode="External"/><Relationship Id="rId86" Type="http://schemas.openxmlformats.org/officeDocument/2006/relationships/hyperlink" Target="http://www.lordinafoundation.org/" TargetMode="External"/><Relationship Id="rId87" Type="http://schemas.openxmlformats.org/officeDocument/2006/relationships/hyperlink" Target="http://www.talktrafficking.org/wordpress/?p=565" TargetMode="External"/><Relationship Id="rId88" Type="http://schemas.openxmlformats.org/officeDocument/2006/relationships/hyperlink" Target="http://www.antisuperstition.org/" TargetMode="External"/><Relationship Id="rId89" Type="http://schemas.openxmlformats.org/officeDocument/2006/relationships/hyperlink" Target="http://edition.cnn.com/2015/08/25/asia/nepal-police-protester-deaths/" TargetMode="External"/><Relationship Id="rId110" Type="http://schemas.openxmlformats.org/officeDocument/2006/relationships/hyperlink" Target="http://tbinternet.ohchr.org/_layouts/TreatyBodyExternal/Countries.aspx?CountryCode=PNG&amp;Lang=EN" TargetMode="External"/><Relationship Id="rId111" Type="http://schemas.openxmlformats.org/officeDocument/2006/relationships/hyperlink" Target="http://www.ohchr.org/Documents/HRBodies/CEDAW/RuralWomen/FEDONavsarjanTrustIDS.pdf" TargetMode="External"/><Relationship Id="rId112" Type="http://schemas.openxmlformats.org/officeDocument/2006/relationships/hyperlink" Target="http://www.ohchr.org/EN/HRBodies/UPR/Pages/BasicFacts.aspx" TargetMode="External"/><Relationship Id="rId113" Type="http://schemas.openxmlformats.org/officeDocument/2006/relationships/hyperlink" Target="http://www.ibtimes.co.uk/papua-new-guinea-witchcraft-sorcery-woman-tortured-476839" TargetMode="External"/><Relationship Id="rId114" Type="http://schemas.openxmlformats.org/officeDocument/2006/relationships/hyperlink" Target="http://www.oxfam.org.nz/sites/default/files/reports/Sorcery_report_FINAL.pdf" TargetMode="External"/><Relationship Id="rId115" Type="http://schemas.openxmlformats.org/officeDocument/2006/relationships/hyperlink" Target="http://www.ibtimes.co.uk/evil-fake-witch-doctor-juliette-dsouza-jailed-1m-spiritual-healing-scam-1450610" TargetMode="External"/><Relationship Id="rId116" Type="http://schemas.openxmlformats.org/officeDocument/2006/relationships/hyperlink" Target="http://www.ethicsinaction.asia/archive/2011-ethics-in-action/vol.-5-no.-6-december-2011/womens-concerns-within-nepal2019s-patriarchal/" TargetMode="External"/><Relationship Id="rId117" Type="http://schemas.openxmlformats.org/officeDocument/2006/relationships/hyperlink" Target="http://www.humanrights.asia/opinions/columns/AHRC-ETC-056-2011" TargetMode="External"/><Relationship Id="rId118" Type="http://schemas.openxmlformats.org/officeDocument/2006/relationships/hyperlink" Target="http://www.peacewomen.org/why-WPS" TargetMode="External"/><Relationship Id="rId119" Type="http://schemas.openxmlformats.org/officeDocument/2006/relationships/hyperlink" Target="http://www.redressonline.com/2014/03/gender-and-caste-discrimination-in-india/" TargetMode="External"/><Relationship Id="rId150" Type="http://schemas.openxmlformats.org/officeDocument/2006/relationships/hyperlink" Target="http://www.unaids.org/en/regionscountries/countries/papuanewguinea" TargetMode="External"/><Relationship Id="rId151" Type="http://schemas.openxmlformats.org/officeDocument/2006/relationships/hyperlink" Target="http://www.unaids.org/sites/default/files/country/documents//PNG_narrative_report_2014.pdf" TargetMode="External"/><Relationship Id="rId152" Type="http://schemas.openxmlformats.org/officeDocument/2006/relationships/hyperlink" Target="http://www.un.org/womenwatch/daw/cedaw/committee.htm" TargetMode="External"/><Relationship Id="rId10" Type="http://schemas.openxmlformats.org/officeDocument/2006/relationships/hyperlink" Target="http://www.actionaid.org.uk/news-and-views/witchcraft-in-ghana-the-women-cursed-by-superstition" TargetMode="External"/><Relationship Id="rId11" Type="http://schemas.openxmlformats.org/officeDocument/2006/relationships/hyperlink" Target="http://www.actionaid.org.uk/sites/default/files/doc_lib/ghana_report_single_pages.pdf" TargetMode="External"/><Relationship Id="rId12" Type="http://schemas.openxmlformats.org/officeDocument/2006/relationships/hyperlink" Target="http://www.stopvaw.org/devaw" TargetMode="External"/><Relationship Id="rId13" Type="http://schemas.openxmlformats.org/officeDocument/2006/relationships/hyperlink" Target="http://www.humanrights.asia/opinions/news/urgent-appeals/AHRC-UAC-038-2009" TargetMode="External"/><Relationship Id="rId14" Type="http://schemas.openxmlformats.org/officeDocument/2006/relationships/hyperlink" Target="http://news.bbc.co.uk/1/hi/world/south_asia/7317378.stm" TargetMode="External"/><Relationship Id="rId15" Type="http://schemas.openxmlformats.org/officeDocument/2006/relationships/hyperlink" Target="http://www.amnesty.org.au/features/comments/34094/" TargetMode="External"/><Relationship Id="rId16" Type="http://schemas.openxmlformats.org/officeDocument/2006/relationships/hyperlink" Target="https://www.amnesty.org/en/articles/news/2013/05/papua-new-guinea-repeals-sorcery-act-while-moving-closer-executions/" TargetMode="External"/><Relationship Id="rId17" Type="http://schemas.openxmlformats.org/officeDocument/2006/relationships/hyperlink" Target="http://www.amnesty.org.uk/blogs/sms-action-network/papua-new-guinea-women-accused-sorcery-risk-beheading-stop-mob" TargetMode="External"/><Relationship Id="rId18" Type="http://schemas.openxmlformats.org/officeDocument/2006/relationships/hyperlink" Target="http://www.amnesty.org.au/news/comments/37276/" TargetMode="External"/><Relationship Id="rId19" Type="http://schemas.openxmlformats.org/officeDocument/2006/relationships/hyperlink" Target="http://www.amnesty.org.au/images/uploads/svaw/Papua_New_Guinea_briefing%2020100907.pdf" TargetMode="External"/><Relationship Id="rId153" Type="http://schemas.openxmlformats.org/officeDocument/2006/relationships/hyperlink" Target="http://www.np.undp.org/content/nepal/en/home/countryinfo.html" TargetMode="External"/><Relationship Id="rId154" Type="http://schemas.openxmlformats.org/officeDocument/2006/relationships/hyperlink" Target="http://hdr.undp.org/en/content/table-4-gender-inequality-index" TargetMode="External"/><Relationship Id="rId155" Type="http://schemas.openxmlformats.org/officeDocument/2006/relationships/hyperlink" Target="http://hdr.undp.org/en/content/table-6-multidimensional-poverty-index-mpi" TargetMode="External"/><Relationship Id="rId156" Type="http://schemas.openxmlformats.org/officeDocument/2006/relationships/hyperlink" Target="http://hdr.undp.org/en/content/table-1-human-development-index-and-its-components" TargetMode="External"/><Relationship Id="rId157" Type="http://schemas.openxmlformats.org/officeDocument/2006/relationships/hyperlink" Target="http://www.unescapsdd.org/files/documents/SDD_pub_2530.pdf" TargetMode="External"/><Relationship Id="rId158" Type="http://schemas.openxmlformats.org/officeDocument/2006/relationships/hyperlink" Target="http://www.unhcr.org/49dcbeb72.html" TargetMode="External"/><Relationship Id="rId159" Type="http://schemas.openxmlformats.org/officeDocument/2006/relationships/hyperlink" Target="http://www.ohchr.org/EN/HRBodies/CAT/Pages/CATIntro.aspx" TargetMode="External"/><Relationship Id="rId190" Type="http://schemas.openxmlformats.org/officeDocument/2006/relationships/hyperlink" Target="http://www.womankind.org.uk/where-we-work/ghana/" TargetMode="External"/><Relationship Id="rId191" Type="http://schemas.openxmlformats.org/officeDocument/2006/relationships/hyperlink" Target="http://www.worldywca.org/Member-Associations/Regions/Pacific/The-YWCA-of-Papua-New-Guinea-Celebrates-International-Youth-Day" TargetMode="External"/><Relationship Id="rId192" Type="http://schemas.openxmlformats.org/officeDocument/2006/relationships/hyperlink" Target="http://www.dailymail.co.uk/news/article-1334075/72-year-old-grandmother-burned-alive-Ghana-witch.html" TargetMode="External"/><Relationship Id="rId50" Type="http://schemas.openxmlformats.org/officeDocument/2006/relationships/hyperlink" Target="http://harvardhrj.com/2014/11/promoting-rule-of-law-in-customary-tribunals-in-ghana/" TargetMode="External"/><Relationship Id="rId51" Type="http://schemas.openxmlformats.org/officeDocument/2006/relationships/hyperlink" Target="http://www.ghanaweb.com/GhanaHomePage/tribes/" TargetMode="External"/><Relationship Id="rId52" Type="http://schemas.openxmlformats.org/officeDocument/2006/relationships/hyperlink" Target="http://www.girlsnotbrides.org/" TargetMode="External"/><Relationship Id="rId53" Type="http://schemas.openxmlformats.org/officeDocument/2006/relationships/hyperlink" Target="http://www.girlsnotbrides.org/child-marriage/india/" TargetMode="External"/><Relationship Id="rId54" Type="http://schemas.openxmlformats.org/officeDocument/2006/relationships/hyperlink" Target="http://www.ghana.gov.gh/index.php/about-ghana/regions/northern" TargetMode="External"/><Relationship Id="rId55" Type="http://schemas.openxmlformats.org/officeDocument/2006/relationships/hyperlink" Target="http://cbs.gov.np/wp-content/uploads/2012/11/National%20Report.pdf" TargetMode="External"/><Relationship Id="rId56" Type="http://schemas.openxmlformats.org/officeDocument/2006/relationships/hyperlink" Target="http://www.bede.org.uk/decline.htm" TargetMode="External"/><Relationship Id="rId57" Type="http://schemas.openxmlformats.org/officeDocument/2006/relationships/hyperlink" Target="http://www.europarl.europa.eu/RegData/etudes/note/join/2013/433714/EXPO-DROI_NT(2013)433714_EN.pdf" TargetMode="External"/><Relationship Id="rId58" Type="http://schemas.openxmlformats.org/officeDocument/2006/relationships/hyperlink" Target="http://www.eesc.europa.eu/?i=portal.en.eu-india-ninth-round-table-reports.5148" TargetMode="External"/><Relationship Id="rId59" Type="http://schemas.openxmlformats.org/officeDocument/2006/relationships/hyperlink" Target="http://womenrightsdefenders.wix.com/papuanewguinea" TargetMode="External"/><Relationship Id="rId193" Type="http://schemas.openxmlformats.org/officeDocument/2006/relationships/fontTable" Target="fontTable.xml"/><Relationship Id="rId194" Type="http://schemas.openxmlformats.org/officeDocument/2006/relationships/theme" Target="theme/theme1.xml"/><Relationship Id="rId90" Type="http://schemas.openxmlformats.org/officeDocument/2006/relationships/hyperlink" Target="http://www.bbc.co.uk/news/world-asia-25881705" TargetMode="External"/><Relationship Id="rId91" Type="http://schemas.openxmlformats.org/officeDocument/2006/relationships/hyperlink" Target="http://www.malawidemocrat.com/malawian-swindler-witchdoctors-found-heaven-in-botswana/" TargetMode="External"/><Relationship Id="rId92" Type="http://schemas.openxmlformats.org/officeDocument/2006/relationships/hyperlink" Target="http://www.mirror.co.uk/news/real-life-stories/torture-camps-ritual-killings-worst-6132829" TargetMode="External"/><Relationship Id="rId93" Type="http://schemas.openxmlformats.org/officeDocument/2006/relationships/hyperlink" Target="http://www.theglobeandmail.com/globe-debate/in-africa-accusations-of-witchcraft-still-a-reality-for-many-women/article15582182/" TargetMode="External"/><Relationship Id="rId94" Type="http://schemas.openxmlformats.org/officeDocument/2006/relationships/hyperlink" Target="http://ncrb.gov.in/CD-CII2013/compendium%202013.pdf" TargetMode="External"/><Relationship Id="rId95" Type="http://schemas.openxmlformats.org/officeDocument/2006/relationships/hyperlink" Target="https://india.gov.in/%3E" TargetMode="External"/><Relationship Id="rId96" Type="http://schemas.openxmlformats.org/officeDocument/2006/relationships/hyperlink" Target="http://www.bbc.co.uk/news/world-asia-34038566" TargetMode="External"/><Relationship Id="rId97" Type="http://schemas.openxmlformats.org/officeDocument/2006/relationships/hyperlink" Target="http://www.telegraph.co.uk/news/worldnews/asia/nepal/9089001/Nepal-mob-burns-witch-alive-in-horrifying-attack.html" TargetMode="External"/><Relationship Id="rId98" Type="http://schemas.openxmlformats.org/officeDocument/2006/relationships/hyperlink" Target="http://lawyersnepal.wordpress.com/2009/12/28/nepal-police-fail-to-charge-those-who-accused-a-dalit-woman-of-witchcraft-and-forced-her-to-eat-human-excreta/" TargetMode="External"/><Relationship Id="rId99" Type="http://schemas.openxmlformats.org/officeDocument/2006/relationships/hyperlink" Target="http://world.time.com/2013/06/05/despite-legal-moves-pngs-terrifying-witchcraft-killings-look-set-to-continue/" TargetMode="External"/><Relationship Id="rId120" Type="http://schemas.openxmlformats.org/officeDocument/2006/relationships/hyperlink" Target="http://judaism.about.com/od/judaismbasics/a/jewishbeliefsatan.htm" TargetMode="External"/><Relationship Id="rId121" Type="http://schemas.openxmlformats.org/officeDocument/2006/relationships/hyperlink" Target="https://www.greenleft.org.au/node/13248" TargetMode="External"/><Relationship Id="rId122" Type="http://schemas.openxmlformats.org/officeDocument/2006/relationships/hyperlink" Target="http://www.poverty.ac.uk/definitions-poverty/social-exclusion" TargetMode="External"/><Relationship Id="rId123" Type="http://schemas.openxmlformats.org/officeDocument/2006/relationships/hyperlink" Target="http://www.pprnepal.org.np/index.php?option=com_content&amp;view=article&amp;id=36&amp;Itemid=19" TargetMode="External"/><Relationship Id="rId124" Type="http://schemas.openxmlformats.org/officeDocument/2006/relationships/hyperlink" Target="http://www.pprnepal.org.np/index.php?option=com_content&amp;view=article&amp;id=36&amp;Itemid=19" TargetMode="External"/><Relationship Id="rId125" Type="http://schemas.openxmlformats.org/officeDocument/2006/relationships/hyperlink" Target="http://kathmandupost.ekantipur.com/news/2014-08-24/bill-passage-could-encourage-victims-to-report-crime.html" TargetMode="External"/><Relationship Id="rId126" Type="http://schemas.openxmlformats.org/officeDocument/2006/relationships/hyperlink" Target="http://www.iclrs.org/content/events/26/510.pdf" TargetMode="External"/><Relationship Id="rId127" Type="http://schemas.openxmlformats.org/officeDocument/2006/relationships/hyperlink" Target="http://www.outlookindia.com/news/article/rajasthan-assembly-passes-antiwitch-craft-law/890655" TargetMode="External"/><Relationship Id="rId128" Type="http://schemas.openxmlformats.org/officeDocument/2006/relationships/hyperlink" Target="http://razahmed2003.blog.com/2011/03/09/witch-hunting-in-jharkhand-a-curse-on-the-society/" TargetMode="External"/><Relationship Id="rId129" Type="http://schemas.openxmlformats.org/officeDocument/2006/relationships/hyperlink" Target="http://www.africaranking.com/richest-pastors-in-africa/" TargetMode="External"/><Relationship Id="rId160" Type="http://schemas.openxmlformats.org/officeDocument/2006/relationships/hyperlink" Target="http://tbinternet.ohchr.org/_layouts/TreatyBodyExternal/Countries.aspx?CountryCode=PNG&amp;Lang=EN" TargetMode="External"/><Relationship Id="rId161" Type="http://schemas.openxmlformats.org/officeDocument/2006/relationships/hyperlink" Target="http://www.unicef.org.uk" TargetMode="External"/><Relationship Id="rId162" Type="http://schemas.openxmlformats.org/officeDocument/2006/relationships/hyperlink" Target="http://www.ohchr.org/Documents/Issues/Torture/UNVFVT/Interpretation_torture_2011_EN.pdf" TargetMode="External"/><Relationship Id="rId20" Type="http://schemas.openxmlformats.org/officeDocument/2006/relationships/hyperlink" Target="http://indianexpress.com/article/india/india-news-india/uniform-civil-code-supreme-court-asks-govt-why-cant-it-be-done-tell-us-your-plan/" TargetMode="External"/><Relationship Id="rId21" Type="http://schemas.openxmlformats.org/officeDocument/2006/relationships/hyperlink" Target="http://www.ipsnews.net/2009/12/nepal-witch-tag-only-on-dalits-minorities/" TargetMode="External"/><Relationship Id="rId22" Type="http://schemas.openxmlformats.org/officeDocument/2006/relationships/hyperlink" Target="http://www.asmita.org.np/" TargetMode="External"/><Relationship Id="rId23" Type="http://schemas.openxmlformats.org/officeDocument/2006/relationships/hyperlink" Target="http://dfat.gov.au/geo/papua-new-guinea/pages/papua-new-guinea-country-brief.aspx" TargetMode="External"/><Relationship Id="rId24" Type="http://schemas.openxmlformats.org/officeDocument/2006/relationships/hyperlink" Target="http://allafrica.com/stories/201307080071.html" TargetMode="External"/><Relationship Id="rId25" Type="http://schemas.openxmlformats.org/officeDocument/2006/relationships/hyperlink" Target="http://www.bbc.co.uk/religion/religions/hinduism/ataglance/glance.shtml" TargetMode="External"/><Relationship Id="rId26" Type="http://schemas.openxmlformats.org/officeDocument/2006/relationships/hyperlink" Target="http://www.modernghana.com/lifestyle/1744/16/belief-in-witchcraft-and-the-effects-on-human-righ.html" TargetMode="External"/><Relationship Id="rId27" Type="http://schemas.openxmlformats.org/officeDocument/2006/relationships/hyperlink" Target="http://www.bbc.co.uk/news/uk-14044205" TargetMode="External"/><Relationship Id="rId28" Type="http://schemas.openxmlformats.org/officeDocument/2006/relationships/hyperlink" Target="http://news.oneindia.in/india/woman-forced-to-eat-human-excreta-on-witchcraft-charge-1501754.html" TargetMode="External"/><Relationship Id="rId29" Type="http://schemas.openxmlformats.org/officeDocument/2006/relationships/hyperlink" Target="http://derrenbrown.co.uk/derren-brown-miracles-sale-tonight-9pm/" TargetMode="External"/><Relationship Id="rId163" Type="http://schemas.openxmlformats.org/officeDocument/2006/relationships/hyperlink" Target="http://www.unicef.org/infobycountry/nepal_nepal_statistics.html" TargetMode="External"/><Relationship Id="rId164" Type="http://schemas.openxmlformats.org/officeDocument/2006/relationships/hyperlink" Target="http://www.unwomen.org/en" TargetMode="External"/><Relationship Id="rId165" Type="http://schemas.openxmlformats.org/officeDocument/2006/relationships/hyperlink" Target="http://www.un.org/womenwatch/daw/cedaw/reservations-country.htm" TargetMode="External"/><Relationship Id="rId166" Type="http://schemas.openxmlformats.org/officeDocument/2006/relationships/hyperlink" Target="http://www.unwomen.org/en/news/stories/2012/9/closing-remarks-by-michelle-bachelet-at-high-level-event-on-strengthening-women-s-access-to-justice" TargetMode="External"/><Relationship Id="rId167" Type="http://schemas.openxmlformats.org/officeDocument/2006/relationships/hyperlink" Target="http://www.unwomen.org/en/news/stories/2013/10/remarks-by-ded-john-hendra-on-taking-action-against-killings-of-women" TargetMode="External"/><Relationship Id="rId168" Type="http://schemas.openxmlformats.org/officeDocument/2006/relationships/hyperlink" Target="http://www.unwomen.org/en/news/stories/2013/3/speech-by-michelle-bachelet-reclaiming-public-spaces-for-the-empowerment-of-women-and-girls" TargetMode="External"/><Relationship Id="rId169" Type="http://schemas.openxmlformats.org/officeDocument/2006/relationships/hyperlink" Target="http://www.unwomen.org/en/news/stories/2012/6/un-women-calls-on-member-states-and-stakeholders-to-take-urgent-action-against-femicide" TargetMode="External"/><Relationship Id="rId60" Type="http://schemas.openxmlformats.org/officeDocument/2006/relationships/hyperlink" Target="http://www.abc.net.au/news/2014-11-13/png-police-lack-manpower-to-halt-escalating-tribal-war/5889886" TargetMode="External"/><Relationship Id="rId61" Type="http://schemas.openxmlformats.org/officeDocument/2006/relationships/hyperlink" Target="https://www.hrw.org/report/2007/02/12/hidden-apartheid/caste-discrimination-against-indias-untouchables" TargetMode="External"/><Relationship Id="rId62" Type="http://schemas.openxmlformats.org/officeDocument/2006/relationships/hyperlink" Target="https://www.hrw.org/world-report/2015/country-chapters/india" TargetMode="External"/><Relationship Id="rId63" Type="http://schemas.openxmlformats.org/officeDocument/2006/relationships/hyperlink" Target="https://www.hrw.org/world-report/2015/country-chapters/papua-new-guinea" TargetMode="External"/><Relationship Id="rId64" Type="http://schemas.openxmlformats.org/officeDocument/2006/relationships/hyperlink" Target="http://www.opmcm.gov.np/uploads/resources/file/ICESCRThirdPeriodicReportsubmittedtoGeneva_20120626120615.pdf" TargetMode="External"/><Relationship Id="rId65" Type="http://schemas.openxmlformats.org/officeDocument/2006/relationships/hyperlink" Target="http://www.commonwealthofnations.org/organisations/individual_and_community_rights__advocacy_forum_icraf/" TargetMode="External"/><Relationship Id="rId66" Type="http://schemas.openxmlformats.org/officeDocument/2006/relationships/hyperlink" Target="http://www.ruralpovertyportal.org/country/home/tags/nepal" TargetMode="External"/><Relationship Id="rId67" Type="http://schemas.openxmlformats.org/officeDocument/2006/relationships/hyperlink" Target="http://iheu.org/iheu-calls-better-education-and-policing-eliminate-witchcraft-and-witch-cures-africa/" TargetMode="External"/><Relationship Id="rId68" Type="http://schemas.openxmlformats.org/officeDocument/2006/relationships/hyperlink" Target="http://www.iwraw-ap.org/cedaw/what-is-cedaw/reservations/" TargetMode="External"/><Relationship Id="rId69" Type="http://schemas.openxmlformats.org/officeDocument/2006/relationships/hyperlink" Target="http://www.csicop.org/sb/show/ritual_killing_and_pseudoscience_in_nigeria/" TargetMode="External"/><Relationship Id="rId130" Type="http://schemas.openxmlformats.org/officeDocument/2006/relationships/hyperlink" Target="https://www.themonthly.com.au/issue/2014/august/1406815200/alana-rosenbaum/women-papua-new-guinea%E2%80%99s-village-courts" TargetMode="External"/><Relationship Id="rId131" Type="http://schemas.openxmlformats.org/officeDocument/2006/relationships/hyperlink" Target="http://www.consultancyafrica.com/index.php?option=com_content&amp;view=article&amp;id=318&amp;Itemid=216" TargetMode="External"/><Relationship Id="rId132" Type="http://schemas.openxmlformats.org/officeDocument/2006/relationships/hyperlink" Target="http://www.unafei.or.jp/english/pdf/RS_No63/No63_20PA_Sarei.pdf" TargetMode="External"/><Relationship Id="rId133" Type="http://schemas.openxmlformats.org/officeDocument/2006/relationships/hyperlink" Target="http://www.theguardian.com/world/2014/apr/29/defining-african-feminism-join-the-debate" TargetMode="External"/><Relationship Id="rId134" Type="http://schemas.openxmlformats.org/officeDocument/2006/relationships/hyperlink" Target="http://www.dailymail.co.uk/news/article-2274821/Accused-witch-Kepari-Leniata-burned-alive-pile-tyres-Papua-New-Guinea.html" TargetMode="External"/><Relationship Id="rId135" Type="http://schemas.openxmlformats.org/officeDocument/2006/relationships/hyperlink" Target="http://www.theguardian.com/world/2010/nov/29/ghanaian-woman-burned-death-witch" TargetMode="External"/><Relationship Id="rId136" Type="http://schemas.openxmlformats.org/officeDocument/2006/relationships/hyperlink" Target="http://www.ibtimes.co.uk/papua-new-guinea-witch-burning-hunt-sorcery-432995" TargetMode="External"/><Relationship Id="rId137" Type="http://schemas.openxmlformats.org/officeDocument/2006/relationships/hyperlink" Target="http://www.steppingstonesnigeria.org/images/pdf/ssn_report_to_commission.pdf" TargetMode="External"/><Relationship Id="rId138" Type="http://schemas.openxmlformats.org/officeDocument/2006/relationships/hyperlink" Target="http://www.steppingstonesnigeria.org/images/pdf/Shadow_Report_Low_Res.pdf" TargetMode="External"/><Relationship Id="rId139" Type="http://schemas.openxmlformats.org/officeDocument/2006/relationships/hyperlink" Target="http://www.tewa.org.np/site/index.php" TargetMode="External"/><Relationship Id="rId170" Type="http://schemas.openxmlformats.org/officeDocument/2006/relationships/hyperlink" Target="http://www.underthesamesun.com/" TargetMode="External"/><Relationship Id="rId171" Type="http://schemas.openxmlformats.org/officeDocument/2006/relationships/hyperlink" Target="http://www.comparativereligion.com/evil.html" TargetMode="External"/><Relationship Id="rId172" Type="http://schemas.openxmlformats.org/officeDocument/2006/relationships/hyperlink" Target="http://womenenews.org/story/international-policyunited-nations/100730/papua-new-guinea-apologizescedaw-record" TargetMode="External"/><Relationship Id="rId30" Type="http://schemas.openxmlformats.org/officeDocument/2006/relationships/hyperlink" Target="http://www.state.gov/documents/organization/208470.pdf" TargetMode="External"/><Relationship Id="rId31" Type="http://schemas.openxmlformats.org/officeDocument/2006/relationships/hyperlink" Target="http://borgenproject.org/poverty-in-ghana/" TargetMode="External"/><Relationship Id="rId32" Type="http://schemas.openxmlformats.org/officeDocument/2006/relationships/hyperlink" Target="https://www.cambridgenetwork.co.uk/news/meningococcal-meningitis-outbreaks-spreading-from-ghana-news1704/" TargetMode="External"/><Relationship Id="rId33" Type="http://schemas.openxmlformats.org/officeDocument/2006/relationships/hyperlink" Target="http://www.censusindia.gov.in/Census_And_You/religion.aspx" TargetMode="External"/><Relationship Id="rId34" Type="http://schemas.openxmlformats.org/officeDocument/2006/relationships/hyperlink" Target="http://www.lowyinstitute.org/publications/violence-against-women-png-how-men-are-getting-away-murder" TargetMode="External"/><Relationship Id="rId35" Type="http://schemas.openxmlformats.org/officeDocument/2006/relationships/hyperlink" Target="http://www.dailymail.co.uk/news/article-3210376/One-police-officer-burned-alive-six-hacked-death-axes-scythes-protesters-Nepal-thousands-demonstrate-against-country-s-new-constitution.html" TargetMode="External"/><Relationship Id="rId36" Type="http://schemas.openxmlformats.org/officeDocument/2006/relationships/hyperlink" Target="http://www.washingtontimes.com/news/2013/jun/10/teacher-publicly-tortured-beheaded-witchcraft-papu/" TargetMode="External"/><Relationship Id="rId37" Type="http://schemas.openxmlformats.org/officeDocument/2006/relationships/hyperlink" Target="http://www.modernghana.com/news/306261/1/chraj-others-condemn-burning-of-woman.html" TargetMode="External"/><Relationship Id="rId38" Type="http://schemas.openxmlformats.org/officeDocument/2006/relationships/hyperlink" Target="http://madangcwapng.weebly.com/" TargetMode="External"/><Relationship Id="rId39" Type="http://schemas.openxmlformats.org/officeDocument/2006/relationships/hyperlink" Target="http://www.lexadin.nl/wlg/courts/nofr/oeur/lxctpng.htm" TargetMode="External"/><Relationship Id="rId173" Type="http://schemas.openxmlformats.org/officeDocument/2006/relationships/hyperlink" Target="http://www.foxnews.com/world/2014/07/02/vatican-gives-legal-approval-to-exorcist-group-in-sign-pope-concern-about-devil/" TargetMode="External"/><Relationship Id="rId174" Type="http://schemas.openxmlformats.org/officeDocument/2006/relationships/hyperlink" Target="http://www.vawhack.org/about-hackathon" TargetMode="External"/><Relationship Id="rId175" Type="http://schemas.openxmlformats.org/officeDocument/2006/relationships/hyperlink" Target="https://indialawyers.wordpress.com/2010/07/22/india%E2%80%99s-response-against-the-act-of-torture/" TargetMode="External"/><Relationship Id="rId176" Type="http://schemas.openxmlformats.org/officeDocument/2006/relationships/hyperlink" Target="http://www.violenceisnotourculture.org/content/nepal-witch-tag-only-dalits-minorities" TargetMode="External"/><Relationship Id="rId177" Type="http://schemas.openxmlformats.org/officeDocument/2006/relationships/hyperlink" Target="http://www.visitnepal.com/nepal_information/people.php" TargetMode="External"/><Relationship Id="rId178" Type="http://schemas.openxmlformats.org/officeDocument/2006/relationships/hyperlink" Target="http://news.bbc.co.uk/1/hi/8441813.stm" TargetMode="External"/><Relationship Id="rId179" Type="http://schemas.openxmlformats.org/officeDocument/2006/relationships/hyperlink" Target="http://www.bbc.co.uk/news/magazine-19437130" TargetMode="External"/><Relationship Id="rId70" Type="http://schemas.openxmlformats.org/officeDocument/2006/relationships/hyperlink" Target="http://www.ghanaweb.com/GhanaHomePage/NewsArchive/artikel.php?ID=315659" TargetMode="External"/><Relationship Id="rId71" Type="http://schemas.openxmlformats.org/officeDocument/2006/relationships/hyperlink" Target="http://www.ghanaweb.com/GhanaHomePage/features/Witchcraft-Accusation-in-Ghana-Is-Disbanding-Witch-Camps-the-Solution-394167" TargetMode="External"/><Relationship Id="rId72" Type="http://schemas.openxmlformats.org/officeDocument/2006/relationships/hyperlink" Target="http://www.ghanaweb.com/GhanaHomePage/features/artikel.php?ID=321575" TargetMode="External"/><Relationship Id="rId73" Type="http://schemas.openxmlformats.org/officeDocument/2006/relationships/hyperlink" Target="http://timesofindia.indiatimes.com/city/pune/In-18-mths-150-cases-filed-under-anti-superstition-Act-most-victims-women/articleshow/48566329.cms" TargetMode="External"/><Relationship Id="rId74" Type="http://schemas.openxmlformats.org/officeDocument/2006/relationships/hyperlink" Target="http://www.telegraph.co.uk/news/worldnews/asia/india/10120682/India-villagers-kill-two-for-witchcraft.html" TargetMode="External"/><Relationship Id="rId75" Type="http://schemas.openxmlformats.org/officeDocument/2006/relationships/hyperlink" Target="http://www.bbc.co.uk/news/world-asia-india-29782808" TargetMode="External"/><Relationship Id="rId76" Type="http://schemas.openxmlformats.org/officeDocument/2006/relationships/hyperlink" Target="http://www.indexmundi.com/india/demographics_profile.html" TargetMode="External"/><Relationship Id="rId77" Type="http://schemas.openxmlformats.org/officeDocument/2006/relationships/hyperlink" Target="http://www.stunninghijab.com/pages/The-Curse-of-the-Evil-Eye.html" TargetMode="External"/><Relationship Id="rId78" Type="http://schemas.openxmlformats.org/officeDocument/2006/relationships/hyperlink" Target="http://time.com/4000006/assam-witch-hunting-bill-passed-jharkhand-india/" TargetMode="External"/><Relationship Id="rId79" Type="http://schemas.openxmlformats.org/officeDocument/2006/relationships/hyperlink" Target="file://localhost/%3Chttp/::www.myjewishlearning.com:beliefs:Theology:Suffering_and_Evil:satan.shtml%3E"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100" Type="http://schemas.openxmlformats.org/officeDocument/2006/relationships/hyperlink" Target="http://www.nhs.uk/conditions/albinism/Pages/introduction.aspx" TargetMode="External"/><Relationship Id="rId101" Type="http://schemas.openxmlformats.org/officeDocument/2006/relationships/hyperlink" Target="http://womennewsnetwork.net/2010/03/21/witchcraft-india-89/" TargetMode="External"/><Relationship Id="rId102" Type="http://schemas.openxmlformats.org/officeDocument/2006/relationships/hyperlink" Target="http://articles.economictimes.indiatimes.com/2015-03-12/news/60047860_1_requests-india-human-rights-council" TargetMode="External"/><Relationship Id="rId103" Type="http://schemas.openxmlformats.org/officeDocument/2006/relationships/hyperlink" Target="http://news.bbc.co.uk/1/hi/world/africa/8119201.stm" TargetMode="External"/><Relationship Id="rId104" Type="http://schemas.openxmlformats.org/officeDocument/2006/relationships/hyperlink" Target="http://www.ohchr.org/EN/Issues/Pages/WhatareHumanRights.aspx" TargetMode="External"/><Relationship Id="rId105" Type="http://schemas.openxmlformats.org/officeDocument/2006/relationships/hyperlink" Target="http://www.pacificdisaster.net/pdnadmin/data/original/OHCHR_2010_PNG_armed_Tribal_conflict.pdf" TargetMode="External"/><Relationship Id="rId106" Type="http://schemas.openxmlformats.org/officeDocument/2006/relationships/hyperlink" Target="http://www.ohchr.org/EN/NewsEvents/Pages/FightingAgainstSorceryRelatedKillings.aspx" TargetMode="External"/><Relationship Id="rId107" Type="http://schemas.openxmlformats.org/officeDocument/2006/relationships/hyperlink" Target="http://www.ohchr.org/EN/HRBodies/HRC/Pages/AboutCouncil.aspx" TargetMode="External"/><Relationship Id="rId108" Type="http://schemas.openxmlformats.org/officeDocument/2006/relationships/hyperlink" Target="http://www.ohchr.org/EN/NewsEvents/Pages/StopTribalFighting.aspx" TargetMode="External"/><Relationship Id="rId109" Type="http://schemas.openxmlformats.org/officeDocument/2006/relationships/hyperlink" Target="http://tbinternet.ohchr.org/_layouts/TreatyBodyExternal/Countries.aspx?CountryCode=IND&amp;Lang=EN" TargetMode="Externa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40" Type="http://schemas.openxmlformats.org/officeDocument/2006/relationships/hyperlink" Target="http://www.iclrs.org/content/blurb/files/Nepal.pdf" TargetMode="External"/><Relationship Id="rId141" Type="http://schemas.openxmlformats.org/officeDocument/2006/relationships/hyperlink" Target="http://indianexpress.com/article/cities/mumbai/black-magic-act-first-conviction-now-course-material-for-police-training/" TargetMode="External"/></Relationships>
</file>

<file path=word/_rels/footnotes.xml.rels><?xml version="1.0" encoding="UTF-8" standalone="yes"?>
<Relationships xmlns="http://schemas.openxmlformats.org/package/2006/relationships"><Relationship Id="rId142" Type="http://schemas.openxmlformats.org/officeDocument/2006/relationships/hyperlink" Target="http://www.outlookindia.com/news/article/rajasthan-assembly-passes-antiwitch-craft-law/890655" TargetMode="External"/><Relationship Id="rId143" Type="http://schemas.openxmlformats.org/officeDocument/2006/relationships/hyperlink" Target="http://time.com/4000006/assam-witch-hunting-bill-passed-jharkhand-india/" TargetMode="External"/><Relationship Id="rId144" Type="http://schemas.openxmlformats.org/officeDocument/2006/relationships/hyperlink" Target="http://www.hindustantimes.com/mumbai/dabholkar-murder-maharashtra-first-state-to-ban-black-magic/article1-1112686.aspx" TargetMode="External"/><Relationship Id="rId145" Type="http://schemas.openxmlformats.org/officeDocument/2006/relationships/hyperlink" Target="http://www.antisuperstition.org/" TargetMode="External"/><Relationship Id="rId146" Type="http://schemas.openxmlformats.org/officeDocument/2006/relationships/hyperlink" Target="http://timesofindia.indiatimes.com/city/pune/In-18-mths-150-cases-filed-under-anti-superstition-Act-most-victims-women/articleshow/48566329.cms" TargetMode="External"/><Relationship Id="rId147" Type="http://schemas.openxmlformats.org/officeDocument/2006/relationships/hyperlink" Target="http://indianexpress.com/article/cities/mumbai/black-magic-act-first-conviction-now-course-material-for-police-training/" TargetMode="External"/><Relationship Id="rId148" Type="http://schemas.openxmlformats.org/officeDocument/2006/relationships/hyperlink" Target="http://razahmed2003.blog.com/2011/03/09/witch-hunting-in-jharkhand-a-curse-on-the-society/" TargetMode="External"/><Relationship Id="rId149" Type="http://schemas.openxmlformats.org/officeDocument/2006/relationships/hyperlink" Target="http://www.indiatimes.com/news/india/witch-hunting-on-the-rise-across-several-indian-states-231133.html" TargetMode="External"/><Relationship Id="rId40" Type="http://schemas.openxmlformats.org/officeDocument/2006/relationships/hyperlink" Target="http://news.oneindia.in/india/woman-forced-to-eat-human-excreta-on-witchcraft-charge-1501754.html" TargetMode="External"/><Relationship Id="rId41" Type="http://schemas.openxmlformats.org/officeDocument/2006/relationships/hyperlink" Target="http://www.humanrights.asia/opinions/news/urgent-appeals/AHRC-UAC-038-2009" TargetMode="External"/><Relationship Id="rId42" Type="http://schemas.openxmlformats.org/officeDocument/2006/relationships/hyperlink" Target="http://derrenbrown.co.uk/derren-brown-miracles-sale-tonight-9pm/" TargetMode="External"/><Relationship Id="rId43" Type="http://schemas.openxmlformats.org/officeDocument/2006/relationships/hyperlink" Target="http://www.oxforddictionaries.com/definition/english/ritual" TargetMode="External"/><Relationship Id="rId44" Type="http://schemas.openxmlformats.org/officeDocument/2006/relationships/hyperlink" Target="http://www.ghanaweb.com/GhanaHomePage/NewsArchive/artikel.php?ID=315659" TargetMode="External"/><Relationship Id="rId45" Type="http://schemas.openxmlformats.org/officeDocument/2006/relationships/hyperlink" Target="http://www.whrin.org/frequently-asked-questions/" TargetMode="External"/><Relationship Id="rId46" Type="http://schemas.openxmlformats.org/officeDocument/2006/relationships/hyperlink" Target="http://www.talktrafficking.org/wordpress/?p=565" TargetMode="External"/><Relationship Id="rId47" Type="http://schemas.openxmlformats.org/officeDocument/2006/relationships/hyperlink" Target="http://www.whrin.org/wp-content/uploads/2014/03/WHRIN-UN-report_small-FINAL.pdf" TargetMode="External"/><Relationship Id="rId48" Type="http://schemas.openxmlformats.org/officeDocument/2006/relationships/hyperlink" Target="http://www.merriam-webster.com/dictionary/oneiromancy" TargetMode="External"/><Relationship Id="rId49" Type="http://schemas.openxmlformats.org/officeDocument/2006/relationships/hyperlink" Target="http://www.merriam-webster.com/dictionary/necromancy?show=0&amp;t=1410864361" TargetMode="External"/><Relationship Id="rId80" Type="http://schemas.openxmlformats.org/officeDocument/2006/relationships/hyperlink" Target="http://www.violenceisnotourculture.org/content/nepal-witch-tag-only-dalits-minorities" TargetMode="External"/><Relationship Id="rId81" Type="http://schemas.openxmlformats.org/officeDocument/2006/relationships/hyperlink" Target="http://www.vawhack.org/about-hackathon" TargetMode="External"/><Relationship Id="rId82" Type="http://schemas.openxmlformats.org/officeDocument/2006/relationships/hyperlink" Target="http://www.pprnepal.org.np/index.php?option=com_content&amp;view=article&amp;id=36&amp;Itemid=19" TargetMode="External"/><Relationship Id="rId83" Type="http://schemas.openxmlformats.org/officeDocument/2006/relationships/hyperlink" Target="http://hdr.undp.org/en/content/table-1-human-development-index-and-its-components" TargetMode="External"/><Relationship Id="rId84" Type="http://schemas.openxmlformats.org/officeDocument/2006/relationships/hyperlink" Target="http://www.ruralpovertyportal.org/country/home/tags/nepal" TargetMode="External"/><Relationship Id="rId85" Type="http://schemas.openxmlformats.org/officeDocument/2006/relationships/hyperlink" Target="http://www.pprnepal.org.np/index.php?option=com_content&amp;view=article&amp;id=36&amp;Itemid=19" TargetMode="External"/><Relationship Id="rId86" Type="http://schemas.openxmlformats.org/officeDocument/2006/relationships/hyperlink" Target="http://dfat.gov.au/geo/papua-new-guinea/pages/papua-new-guinea-country-brief.aspx" TargetMode="External"/><Relationship Id="rId87" Type="http://schemas.openxmlformats.org/officeDocument/2006/relationships/hyperlink" Target="http://www.state.gov/documents/organization/208470.pdf" TargetMode="External"/><Relationship Id="rId88" Type="http://schemas.openxmlformats.org/officeDocument/2006/relationships/hyperlink" Target="http://www.abc.net.au/news/2014-11-13/png-police-lack-manpower-to-halt-escalating-tribal-war/5889886" TargetMode="External"/><Relationship Id="rId89" Type="http://schemas.openxmlformats.org/officeDocument/2006/relationships/hyperlink" Target="http://www.internal-displacement.org/south-and-south-east-asia/papua-new-guinea/2014/papua-new-guinea-invisible-and-neglected-protracted-displacement" TargetMode="External"/><Relationship Id="rId110" Type="http://schemas.openxmlformats.org/officeDocument/2006/relationships/hyperlink" Target="http://www.ohchr.org/Documents/Issues/Torture/UNVFVT/Interpretation_torture_2011_EN.pdf" TargetMode="External"/><Relationship Id="rId111" Type="http://schemas.openxmlformats.org/officeDocument/2006/relationships/hyperlink" Target="http://tbinternet.ohchr.org/_layouts/TreatyBodyExternal/Countries.aspx?CountryCode=IND&amp;Lang=EN" TargetMode="External"/><Relationship Id="rId112" Type="http://schemas.openxmlformats.org/officeDocument/2006/relationships/hyperlink" Target="http://www.ohchr.org/EN/HRBodies/HRC/Pages/AboutCouncil.aspx" TargetMode="External"/><Relationship Id="rId113" Type="http://schemas.openxmlformats.org/officeDocument/2006/relationships/hyperlink" Target="http://iheu.org/iheu-calls-better-education-and-policing-eliminate-witchcraft-and-witch-cures-africa/" TargetMode="External"/><Relationship Id="rId114" Type="http://schemas.openxmlformats.org/officeDocument/2006/relationships/hyperlink" Target="http://www.womenenabled.org/hrc.html" TargetMode="External"/><Relationship Id="rId115" Type="http://schemas.openxmlformats.org/officeDocument/2006/relationships/hyperlink" Target="http://www.ohchr.org/EN/HRBodies/SP/Pages/Introduction.aspx" TargetMode="External"/><Relationship Id="rId116" Type="http://schemas.openxmlformats.org/officeDocument/2006/relationships/hyperlink" Target="http://articles.economictimes.indiatimes.com/2015-03-12/news/60047860_1_requests-india-human-rights-council" TargetMode="External"/><Relationship Id="rId117" Type="http://schemas.openxmlformats.org/officeDocument/2006/relationships/hyperlink" Target="http://www.ohchr.org/EN/HRBodies/UPR/Pages/BasicFacts.aspx" TargetMode="External"/><Relationship Id="rId118" Type="http://schemas.openxmlformats.org/officeDocument/2006/relationships/hyperlink" Target="http://www.ghanaweb.com/GhanaHomePage/features/Witchcraft-Accusation-in-Ghana-Is-Disbanding-Witch-Camps-the-Solution-394167" TargetMode="External"/><Relationship Id="rId119" Type="http://schemas.openxmlformats.org/officeDocument/2006/relationships/hyperlink" Target="http://www.cbc.ca/news/world/ghana-witch-camps-shutting-down-leaving-accused-in-limbo-1.2979863" TargetMode="External"/><Relationship Id="rId150" Type="http://schemas.openxmlformats.org/officeDocument/2006/relationships/hyperlink" Target="http://womennewsnetwork.net/2010/03/21/witchcraft-india-89/" TargetMode="External"/><Relationship Id="rId151" Type="http://schemas.openxmlformats.org/officeDocument/2006/relationships/hyperlink" Target="http://womennewsnetwork.net/2010/03/21/witchcraft-india-89/" TargetMode="External"/><Relationship Id="rId152" Type="http://schemas.openxmlformats.org/officeDocument/2006/relationships/hyperlink" Target="http://womennewsnetwork.net/2010/03/21/witchcraft-india-89/" TargetMode="External"/><Relationship Id="rId10" Type="http://schemas.openxmlformats.org/officeDocument/2006/relationships/hyperlink" Target="http://www.worldywca.org/Member-Associations/Regions/Pacific/The-YWCA-of-Papua-New-Guinea-Celebrates-International-Youth-Day" TargetMode="External"/><Relationship Id="rId11" Type="http://schemas.openxmlformats.org/officeDocument/2006/relationships/hyperlink" Target="http://madangcwapng.weebly.com/" TargetMode="External"/><Relationship Id="rId12" Type="http://schemas.openxmlformats.org/officeDocument/2006/relationships/hyperlink" Target="http://www.peacewomen.org/why-WPS" TargetMode="External"/><Relationship Id="rId13" Type="http://schemas.openxmlformats.org/officeDocument/2006/relationships/hyperlink" Target="http://www.commonwealthofnations.org/organisations/individual_and_community_rights__advocacy_forum_icraf/" TargetMode="External"/><Relationship Id="rId14" Type="http://schemas.openxmlformats.org/officeDocument/2006/relationships/hyperlink" Target="http://www.dgtp.org.pg/old_site/partner_ESCOW.htm" TargetMode="External"/><Relationship Id="rId15" Type="http://schemas.openxmlformats.org/officeDocument/2006/relationships/hyperlink" Target="http://www.ohchr.org/EN/NewsEvents/Pages/StopTribalFighting.aspx" TargetMode="External"/><Relationship Id="rId16" Type="http://schemas.openxmlformats.org/officeDocument/2006/relationships/hyperlink" Target="http://www.ohchr.org/EN/NewsEvents/Pages/FightingAgainstSorceryRelatedKillings.aspx" TargetMode="External"/><Relationship Id="rId17" Type="http://schemas.openxmlformats.org/officeDocument/2006/relationships/hyperlink" Target="http://womenrightsdefenders.wix.com/papuanewguinea" TargetMode="External"/><Relationship Id="rId18" Type="http://schemas.openxmlformats.org/officeDocument/2006/relationships/hyperlink" Target="http://www.oxfam.org.nz/what-we-do/where-we-work/papua-new-guinea/our-partners/kup-women-for-peace" TargetMode="External"/><Relationship Id="rId19" Type="http://schemas.openxmlformats.org/officeDocument/2006/relationships/hyperlink" Target="http://www.amnesty.org.au/features/comments/34094/" TargetMode="External"/><Relationship Id="rId153" Type="http://schemas.openxmlformats.org/officeDocument/2006/relationships/hyperlink" Target="http://www.np.undp.org/content/nepal/en/home/countryinfo.html" TargetMode="External"/><Relationship Id="rId154" Type="http://schemas.openxmlformats.org/officeDocument/2006/relationships/hyperlink" Target="http://edition.cnn.com/2015/08/25/asia/nepal-police-protester-deaths/" TargetMode="External"/><Relationship Id="rId155" Type="http://schemas.openxmlformats.org/officeDocument/2006/relationships/hyperlink" Target="http://www.ohchr.org/Documents/HRBodies/CEDAW/RuralWomen/FEDONavsarjanTrustIDS.pdf" TargetMode="External"/><Relationship Id="rId156" Type="http://schemas.openxmlformats.org/officeDocument/2006/relationships/hyperlink" Target="http://www.unicef.org/infobycountry/nepal_nepal_statistics.html" TargetMode="External"/><Relationship Id="rId157" Type="http://schemas.openxmlformats.org/officeDocument/2006/relationships/hyperlink" Target="http://www.iclrs.org/content/blurb/files/Nepal.pdf" TargetMode="External"/><Relationship Id="rId158" Type="http://schemas.openxmlformats.org/officeDocument/2006/relationships/hyperlink" Target="http://www.fwld.org/" TargetMode="External"/><Relationship Id="rId159" Type="http://schemas.openxmlformats.org/officeDocument/2006/relationships/hyperlink" Target="http://kathmandupost.ekantipur.com/news/2014-08-24/bill-passage-could-encourage-victims-to-report-crime.html" TargetMode="External"/><Relationship Id="rId50" Type="http://schemas.openxmlformats.org/officeDocument/2006/relationships/hyperlink" Target="http://www.merriam-webster.com/dictionary/presentiments" TargetMode="External"/><Relationship Id="rId51" Type="http://schemas.openxmlformats.org/officeDocument/2006/relationships/hyperlink" Target="http://www.merriam-webster.com/dictionary/prophecy" TargetMode="External"/><Relationship Id="rId52" Type="http://schemas.openxmlformats.org/officeDocument/2006/relationships/hyperlink" Target="http://www.actionaid.org.uk/news-and-views/witchcraft-in-ghana-the-women-cursed-by-superstition" TargetMode="External"/><Relationship Id="rId53" Type="http://schemas.openxmlformats.org/officeDocument/2006/relationships/hyperlink" Target="http://www.ghanaweb.com/GhanaHomePage/tribes/akan.php" TargetMode="External"/><Relationship Id="rId54" Type="http://schemas.openxmlformats.org/officeDocument/2006/relationships/hyperlink" Target="http://www.ghanaweb.com/GhanaHomePage/tribes/ewe.php" TargetMode="External"/><Relationship Id="rId55" Type="http://schemas.openxmlformats.org/officeDocument/2006/relationships/hyperlink" Target="http://www.ghanaweb.com/GhanaHomePage/tribes/dagomba.php" TargetMode="External"/><Relationship Id="rId56" Type="http://schemas.openxmlformats.org/officeDocument/2006/relationships/hyperlink" Target="http://www.ghanaweb.com/GhanaHomePage/tribes/guan.php" TargetMode="External"/><Relationship Id="rId57" Type="http://schemas.openxmlformats.org/officeDocument/2006/relationships/hyperlink" Target="http://www.ghanaweb.com/GhanaHomePage/tribes/adangbe.php" TargetMode="External"/><Relationship Id="rId58" Type="http://schemas.openxmlformats.org/officeDocument/2006/relationships/hyperlink" Target="http://www.ghanaweb.com/GhanaHomePage/tribes/" TargetMode="External"/><Relationship Id="rId59" Type="http://schemas.openxmlformats.org/officeDocument/2006/relationships/hyperlink" Target="http://hdr.undp.org/en/content/table-4-gender-inequality-index" TargetMode="External"/><Relationship Id="rId90" Type="http://schemas.openxmlformats.org/officeDocument/2006/relationships/hyperlink" Target="http://www.lowyinstitute.org/publications/violence-against-women-png-how-men-are-getting-away-murder" TargetMode="External"/><Relationship Id="rId91" Type="http://schemas.openxmlformats.org/officeDocument/2006/relationships/hyperlink" Target="https://www.hrw.org/world-report/2015/country-chapters/papua-new-guinea" TargetMode="External"/><Relationship Id="rId92" Type="http://schemas.openxmlformats.org/officeDocument/2006/relationships/hyperlink" Target="http://www.dw.de/un-urges-papua-new-guinea-to-halt-witch-hunting/a-17709745" TargetMode="External"/><Relationship Id="rId93" Type="http://schemas.openxmlformats.org/officeDocument/2006/relationships/hyperlink" Target="http://www.unicef.org/infobycountry/nepal_nepal_statistics.html" TargetMode="External"/><Relationship Id="rId94" Type="http://schemas.openxmlformats.org/officeDocument/2006/relationships/hyperlink" Target="http://hdr.undp.org/en/content/table-6-multidimensional-poverty-index-mpi" TargetMode="External"/><Relationship Id="rId95" Type="http://schemas.openxmlformats.org/officeDocument/2006/relationships/hyperlink" Target="http://documents.worldbank.org/curated/en/2011/03/14238095/tackling-poverty-northern-ghana" TargetMode="External"/><Relationship Id="rId96" Type="http://schemas.openxmlformats.org/officeDocument/2006/relationships/hyperlink" Target="http://borgenproject.org/poverty-in-ghana/" TargetMode="External"/><Relationship Id="rId97" Type="http://schemas.openxmlformats.org/officeDocument/2006/relationships/hyperlink" Target="http://womenenews.org/story/international-policyunited-nations/100730/papua-new-guinea-apologizescedaw-record" TargetMode="External"/><Relationship Id="rId98" Type="http://schemas.openxmlformats.org/officeDocument/2006/relationships/hyperlink" Target="http://www.unaids.org/en/regionscountries/countries/papuanewguinea" TargetMode="External"/><Relationship Id="rId99" Type="http://schemas.openxmlformats.org/officeDocument/2006/relationships/hyperlink" Target="http://www.ibtimes.co.uk/witch-hunting-india-poor-low-caste-widows-main-targets-145709" TargetMode="External"/><Relationship Id="rId120" Type="http://schemas.openxmlformats.org/officeDocument/2006/relationships/hyperlink" Target="http://www.unwomen.org/csw" TargetMode="External"/><Relationship Id="rId121" Type="http://schemas.openxmlformats.org/officeDocument/2006/relationships/hyperlink" Target="http://www.unwomen.org/en/about-us/about-un-women" TargetMode="External"/><Relationship Id="rId122" Type="http://schemas.openxmlformats.org/officeDocument/2006/relationships/hyperlink" Target="http://www.unwomen.org/en/news/stories/2012/6/un-women-calls-on-member-states-and-stakeholders-to-take-urgent-action-against-femicide" TargetMode="External"/><Relationship Id="rId123" Type="http://schemas.openxmlformats.org/officeDocument/2006/relationships/hyperlink" Target="http://www.unwomen.org/en/news/stories/2012/9/closing-remarks-by-michelle-bachelet-at-high-level-event-on-strengthening-women-s-access-to-justice" TargetMode="External"/><Relationship Id="rId124" Type="http://schemas.openxmlformats.org/officeDocument/2006/relationships/hyperlink" Target="http://www.unwomen.org/en/news/stories/2013/3/speech-by-michelle-bachelet-reclaiming-public-spaces-for-the-empowerment-of-women-and-girls" TargetMode="External"/><Relationship Id="rId125" Type="http://schemas.openxmlformats.org/officeDocument/2006/relationships/hyperlink" Target="http://www.unwomen.org/en/news/stories/2013/10/remarks-by-ded-john-hendra-on-taking-action-against-killings-of-women" TargetMode="External"/><Relationship Id="rId126" Type="http://schemas.openxmlformats.org/officeDocument/2006/relationships/hyperlink" Target="https://www.amnesty.org/en/articles/news/2013/05/papua-new-guinea-repeals-sorcery-act-while-moving-closer-executions/" TargetMode="External"/><Relationship Id="rId127" Type="http://schemas.openxmlformats.org/officeDocument/2006/relationships/hyperlink" Target="http://www.iwraw-ap.org/cedaw/what-is-cedaw/reservations/" TargetMode="External"/><Relationship Id="rId128" Type="http://schemas.openxmlformats.org/officeDocument/2006/relationships/hyperlink" Target="http://chieftaincy.org/" TargetMode="External"/><Relationship Id="rId129" Type="http://schemas.openxmlformats.org/officeDocument/2006/relationships/hyperlink" Target="http://chieftaincy.org/" TargetMode="External"/><Relationship Id="rId160" Type="http://schemas.openxmlformats.org/officeDocument/2006/relationships/hyperlink" Target="http://www.opmcm.gov.np/uploads/resources/file/ICESCRThirdPeriodicReportsubmittedtoGeneva_20120626120615.pdf" TargetMode="External"/><Relationship Id="rId161" Type="http://schemas.openxmlformats.org/officeDocument/2006/relationships/hyperlink" Target="http://dfat.gov.au/geo/papua-new-guinea/pages/papua-new-guinea-country-brief.aspx" TargetMode="External"/><Relationship Id="rId162" Type="http://schemas.openxmlformats.org/officeDocument/2006/relationships/hyperlink" Target="http://www.unafei.or.jp/english/pdf/RS_No63/No63_20PA_Sarei.pdf" TargetMode="External"/><Relationship Id="rId20" Type="http://schemas.openxmlformats.org/officeDocument/2006/relationships/hyperlink" Target="http://www.theguardian.com/world/2014/apr/29/defining-african-feminism-join-the-debate" TargetMode="External"/><Relationship Id="rId21" Type="http://schemas.openxmlformats.org/officeDocument/2006/relationships/hyperlink" Target="http://www.consultancyafrica.com/index.php?option=com_content&amp;view=article&amp;id=318&amp;Itemid=216" TargetMode="External"/><Relationship Id="rId22" Type="http://schemas.openxmlformats.org/officeDocument/2006/relationships/hyperlink" Target="http://www.youtube.com/watch?v=hg3umXU_qWc&amp;feature=youtu.be" TargetMode="External"/><Relationship Id="rId23" Type="http://schemas.openxmlformats.org/officeDocument/2006/relationships/hyperlink" Target="http://www.oed.com/view/Entry/65386?rskey=VYf9Gm&amp;result=3" TargetMode="External"/><Relationship Id="rId24" Type="http://schemas.openxmlformats.org/officeDocument/2006/relationships/hyperlink" Target="http://www.comparativereligion.com/evil.html" TargetMode="External"/><Relationship Id="rId25" Type="http://schemas.openxmlformats.org/officeDocument/2006/relationships/hyperlink" Target="http://www.myjewishlearning.com/beliefs/Theology/Suffering_and_Evil/satan.shtml" TargetMode="External"/><Relationship Id="rId26" Type="http://schemas.openxmlformats.org/officeDocument/2006/relationships/hyperlink" Target="http://judaism.about.com/od/judaismbasics/a/jewishbeliefsatan.htm" TargetMode="External"/><Relationship Id="rId27" Type="http://schemas.openxmlformats.org/officeDocument/2006/relationships/hyperlink" Target="http://www.bbc.co.uk/religion/religions/hinduism/ataglance/glance.shtml" TargetMode="External"/><Relationship Id="rId28" Type="http://schemas.openxmlformats.org/officeDocument/2006/relationships/hyperlink" Target="http://www.stunninghijab.com/pages/The-Curse-of-the-Evil-Eye.html" TargetMode="External"/><Relationship Id="rId29" Type="http://schemas.openxmlformats.org/officeDocument/2006/relationships/hyperlink" Target="http://whc.unesco.org/en/list/310/" TargetMode="External"/><Relationship Id="rId163" Type="http://schemas.openxmlformats.org/officeDocument/2006/relationships/hyperlink" Target="http://www.lexadin.nl/wlg/courts/nofr/oeur/lxctpng.htm" TargetMode="External"/><Relationship Id="rId164" Type="http://schemas.openxmlformats.org/officeDocument/2006/relationships/hyperlink" Target="https://www.themonthly.com.au/issue/2014/august/1406815200/alana-rosenbaum/women-papua-new-guinea%E2%80%99s-village-courts" TargetMode="External"/><Relationship Id="rId165" Type="http://schemas.openxmlformats.org/officeDocument/2006/relationships/hyperlink" Target="http://www.bbc.co.uk/news/world-asia-21501955" TargetMode="External"/><Relationship Id="rId166" Type="http://schemas.openxmlformats.org/officeDocument/2006/relationships/hyperlink" Target="http://www.amnesty.org.uk/blogs/sms-action-network/papua-new-guinea-women-accused-sorcery-risk-beheading-stop-mob" TargetMode="External"/><Relationship Id="rId167" Type="http://schemas.openxmlformats.org/officeDocument/2006/relationships/hyperlink" Target="http://www.ibtimes.co.uk/papua-new-guinea-witch-burning-hunt-sorcery-432995" TargetMode="External"/><Relationship Id="rId168" Type="http://schemas.openxmlformats.org/officeDocument/2006/relationships/hyperlink" Target="http://www.ibtimes.co.uk/papua-new-guinea-witchcraft-sorcery-woman-tortured-476839" TargetMode="External"/><Relationship Id="rId169" Type="http://schemas.openxmlformats.org/officeDocument/2006/relationships/hyperlink" Target="http://world.time.com/2013/06/05/despite-legal-moves-pngs-terrifying-witchcraft-killings-look-set-to-continue/" TargetMode="External"/><Relationship Id="rId60" Type="http://schemas.openxmlformats.org/officeDocument/2006/relationships/hyperlink" Target="http://www.womankind.org.uk/where-we-work/ghana/" TargetMode="External"/><Relationship Id="rId61" Type="http://schemas.openxmlformats.org/officeDocument/2006/relationships/hyperlink" Target="http://www.ghanaweb.com/GhanaHomePage/features/artikel.php?ID=321575" TargetMode="External"/><Relationship Id="rId62" Type="http://schemas.openxmlformats.org/officeDocument/2006/relationships/hyperlink" Target="http://www.modernghana.com/news/306261/1/chraj-others-condemn-burning-of-woman.html" TargetMode="External"/><Relationship Id="rId63" Type="http://schemas.openxmlformats.org/officeDocument/2006/relationships/hyperlink" Target="http://www.ghana.gov.gh/index.php/about-ghana/regions/northern" TargetMode="External"/><Relationship Id="rId64" Type="http://schemas.openxmlformats.org/officeDocument/2006/relationships/hyperlink" Target="https://www.cambridgenetwork.co.uk/news/meningococcal-meningitis-outbreaks-spreading-from-ghana-news1704/" TargetMode="External"/><Relationship Id="rId65" Type="http://schemas.openxmlformats.org/officeDocument/2006/relationships/hyperlink" Target="http://www.cartercenter.org/countries/ghana-health-guinea-worm.html" TargetMode="External"/><Relationship Id="rId66" Type="http://schemas.openxmlformats.org/officeDocument/2006/relationships/hyperlink" Target="http://www.indexmundi.com/india/demographics_profile.html" TargetMode="External"/><Relationship Id="rId67" Type="http://schemas.openxmlformats.org/officeDocument/2006/relationships/hyperlink" Target="http://www.bbc.co.uk/news/world-asia-25881705" TargetMode="External"/><Relationship Id="rId68" Type="http://schemas.openxmlformats.org/officeDocument/2006/relationships/hyperlink" Target="http://www.censusindia.gov.in/Census_And_You/religion.aspx" TargetMode="External"/><Relationship Id="rId69" Type="http://schemas.openxmlformats.org/officeDocument/2006/relationships/hyperlink" Target="http://www.prospectmagazine.co.uk/features/how-does-indias-caste-system-work" TargetMode="External"/><Relationship Id="rId130" Type="http://schemas.openxmlformats.org/officeDocument/2006/relationships/hyperlink" Target="http://harvardhrj.com/2014/11/promoting-rule-of-law-in-customary-tribunals-in-ghana/" TargetMode="External"/><Relationship Id="rId131" Type="http://schemas.openxmlformats.org/officeDocument/2006/relationships/hyperlink" Target="http://www.theglobeandmail.com/globe-debate/in-africa-accusations-of-witchcraft-still-a-reality-for-many-women/article15582182/" TargetMode="External"/><Relationship Id="rId132" Type="http://schemas.openxmlformats.org/officeDocument/2006/relationships/hyperlink" Target="http://www.dailymail.co.uk/news/article-1334075/72-year-old-grandmother-burned-alive-Ghana-witch.html" TargetMode="External"/><Relationship Id="rId133" Type="http://schemas.openxmlformats.org/officeDocument/2006/relationships/hyperlink" Target="http://www.modernghana.com/lifestyle/1744/16/belief-in-witchcraft-and-the-effects-on-human-righ.html" TargetMode="External"/><Relationship Id="rId134" Type="http://schemas.openxmlformats.org/officeDocument/2006/relationships/hyperlink" Target="http://www.iclrs.org/content/events/26/510.pdf" TargetMode="External"/><Relationship Id="rId135" Type="http://schemas.openxmlformats.org/officeDocument/2006/relationships/hyperlink" Target="http://india.gov.in/my-government/constitution-india" TargetMode="External"/><Relationship Id="rId136" Type="http://schemas.openxmlformats.org/officeDocument/2006/relationships/hyperlink" Target="http://www.importantindia.com/1986/main-features-of-indian-constitution/" TargetMode="External"/><Relationship Id="rId137" Type="http://schemas.openxmlformats.org/officeDocument/2006/relationships/hyperlink" Target="http://www.eesc.europa.eu/?i=portal.en.eu-india-ninth-round-table-reports.5148" TargetMode="External"/><Relationship Id="rId138" Type="http://schemas.openxmlformats.org/officeDocument/2006/relationships/hyperlink" Target="https://indialawyers.wordpress.com/2010/07/22/india%E2%80%99s-response-against-the-act-of-torture/" TargetMode="External"/><Relationship Id="rId139" Type="http://schemas.openxmlformats.org/officeDocument/2006/relationships/hyperlink" Target="http://www.girlsnotbrides.org/child-marriage/india/" TargetMode="External"/><Relationship Id="rId170" Type="http://schemas.openxmlformats.org/officeDocument/2006/relationships/hyperlink" Target="http://www.africaranking.com/richest-pastors-in-africa/" TargetMode="External"/><Relationship Id="rId30" Type="http://schemas.openxmlformats.org/officeDocument/2006/relationships/hyperlink" Target="http://www.bede.org.uk/decline.htm" TargetMode="External"/><Relationship Id="rId31" Type="http://schemas.openxmlformats.org/officeDocument/2006/relationships/hyperlink" Target="http://wicca.com/celtic/wicca/wicca.htm" TargetMode="External"/><Relationship Id="rId32" Type="http://schemas.openxmlformats.org/officeDocument/2006/relationships/hyperlink" Target="http://www.oed.com.ezproxy.lancs.ac.uk/view/Entry/229580?redirectedFrom=witchcraft" TargetMode="External"/><Relationship Id="rId33" Type="http://schemas.openxmlformats.org/officeDocument/2006/relationships/hyperlink" Target="http://www.oxfordbibliographies.com/view/document/obo-9780199766567/obo-9780199766567-0006.xml" TargetMode="External"/><Relationship Id="rId34" Type="http://schemas.openxmlformats.org/officeDocument/2006/relationships/hyperlink" Target="http://www.thenational.ae/world/south-asia/three-burnt-to-death-by-indian-mob-over-human-sacrifice-rumours" TargetMode="External"/><Relationship Id="rId35" Type="http://schemas.openxmlformats.org/officeDocument/2006/relationships/hyperlink" Target="http://www.dailymail.co.uk/news/article-3276057/My-grandmother-died-said-witch-drink-salt-water-stuck-fingers-throat-pieces-said-d-eaten-Congo-s-child-witches-exorcised-devil-beaten-them.html" TargetMode="External"/><Relationship Id="rId36" Type="http://schemas.openxmlformats.org/officeDocument/2006/relationships/hyperlink" Target="http://www.unicef.org.uk" TargetMode="External"/><Relationship Id="rId37" Type="http://schemas.openxmlformats.org/officeDocument/2006/relationships/hyperlink" Target="http://www.nhs.uk/conditions/albinism/Pages/introduction.aspx" TargetMode="External"/><Relationship Id="rId38" Type="http://schemas.openxmlformats.org/officeDocument/2006/relationships/hyperlink" Target="http://www.underthesamesun.com/" TargetMode="External"/><Relationship Id="rId39" Type="http://schemas.openxmlformats.org/officeDocument/2006/relationships/hyperlink" Target="http://www.humanrights.asia/opinions/columns/AHRC-ETC-056-2011" TargetMode="External"/><Relationship Id="rId70" Type="http://schemas.openxmlformats.org/officeDocument/2006/relationships/hyperlink" Target="https://www.hrw.org/report/2007/02/12/hidden-apartheid/caste-discrimination-against-indias-untouchables" TargetMode="External"/><Relationship Id="rId71" Type="http://schemas.openxmlformats.org/officeDocument/2006/relationships/hyperlink" Target="http://www.trust.org/" TargetMode="External"/><Relationship Id="rId72" Type="http://schemas.openxmlformats.org/officeDocument/2006/relationships/hyperlink" Target="http://www.trust.org/item/20110615000000-hurik/?source=spotlight" TargetMode="External"/><Relationship Id="rId73" Type="http://schemas.openxmlformats.org/officeDocument/2006/relationships/hyperlink" Target="http://www.redressonline.com/2014/03/gender-and-caste-discrimination-in-india/" TargetMode="External"/><Relationship Id="rId74" Type="http://schemas.openxmlformats.org/officeDocument/2006/relationships/hyperlink" Target="http://ncrb.gov.in/CD-CII2013/compendium%202013.pdf" TargetMode="External"/><Relationship Id="rId75" Type="http://schemas.openxmlformats.org/officeDocument/2006/relationships/hyperlink" Target="http://articles.economictimes.indiatimes.com/2015-03-12/news/60047860_1_requests-india-human-rights-council" TargetMode="External"/><Relationship Id="rId76" Type="http://schemas.openxmlformats.org/officeDocument/2006/relationships/hyperlink" Target="http://timesofindia.indiatimes.com/india/210-women-tortured-to-death-for-witchcraft-in-Chhattisgarh-many-await-justice/articleshow/45397113.cms" TargetMode="External"/><Relationship Id="rId77" Type="http://schemas.openxmlformats.org/officeDocument/2006/relationships/hyperlink" Target="http://www.np.undp.org/content/nepal/en/home/countryinfo.html" TargetMode="External"/><Relationship Id="rId78" Type="http://schemas.openxmlformats.org/officeDocument/2006/relationships/hyperlink" Target="http://www.visitnepal.com/nepal_information/people.php" TargetMode="External"/><Relationship Id="rId79" Type="http://schemas.openxmlformats.org/officeDocument/2006/relationships/hyperlink" Target="http://cbs.gov.np/wp-content/uploads/2012/11/National%20Report.pdf" TargetMode="External"/><Relationship Id="rId1" Type="http://schemas.openxmlformats.org/officeDocument/2006/relationships/hyperlink" Target="http://www.poverty.ac.uk/definitions-poverty/social-exclusion" TargetMode="External"/><Relationship Id="rId2" Type="http://schemas.openxmlformats.org/officeDocument/2006/relationships/hyperlink" Target="http://www.collinsdictionary.com/dictionary/english/marginalize" TargetMode="External"/><Relationship Id="rId3" Type="http://schemas.openxmlformats.org/officeDocument/2006/relationships/hyperlink" Target="http://www.steppingstonesnigeria.org/images/pdf/ssn_report_to_commission.pdf" TargetMode="External"/><Relationship Id="rId4" Type="http://schemas.openxmlformats.org/officeDocument/2006/relationships/hyperlink" Target="http://www.steppingstonesnigeria.org/images/pdf/Shadow_Report_Low_Res.pdf" TargetMode="External"/><Relationship Id="rId100" Type="http://schemas.openxmlformats.org/officeDocument/2006/relationships/hyperlink" Target="http://womennewsnetwork.net/" TargetMode="External"/><Relationship Id="rId101" Type="http://schemas.openxmlformats.org/officeDocument/2006/relationships/hyperlink" Target="http://www.ibtimes.co.uk/witch-hunting-india-poor-low-caste-widows-main-targets-1457809" TargetMode="External"/><Relationship Id="rId102" Type="http://schemas.openxmlformats.org/officeDocument/2006/relationships/hyperlink" Target="http://www.ipsnews.net/2009/12/nepal-witch-tag-only-on-dalits-minorities/" TargetMode="External"/><Relationship Id="rId103" Type="http://schemas.openxmlformats.org/officeDocument/2006/relationships/hyperlink" Target="http://lawyersnepal.wordpress.com/2009/12/28/nepal-police-fail-to-charge-those-who-accused-a-dalit-woman-of-witchcraft-and-forced-her-to-eat-human-excreta/" TargetMode="External"/><Relationship Id="rId104" Type="http://schemas.openxmlformats.org/officeDocument/2006/relationships/hyperlink" Target="http://www.ohchr.org/EN/Issues/Pages/WhatareHumanRights.aspx" TargetMode="External"/><Relationship Id="rId105" Type="http://schemas.openxmlformats.org/officeDocument/2006/relationships/hyperlink" Target="http://www.un.org/womenwatch/daw/cedaw/committee.htm" TargetMode="External"/><Relationship Id="rId106" Type="http://schemas.openxmlformats.org/officeDocument/2006/relationships/hyperlink" Target="http://www.theafricareport.com/Society-and-Culture/ghana-shuts-down-witches-camp.html" TargetMode="External"/><Relationship Id="rId107" Type="http://schemas.openxmlformats.org/officeDocument/2006/relationships/hyperlink" Target="http://www.lordinafoundation.org/" TargetMode="External"/><Relationship Id="rId108" Type="http://schemas.openxmlformats.org/officeDocument/2006/relationships/hyperlink" Target="http://tbinternet.ohchr.org/_layouts/TreatyBodyExternal/Countries.aspx?CountryCode=PNG&amp;Lang=EN" TargetMode="External"/><Relationship Id="rId109" Type="http://schemas.openxmlformats.org/officeDocument/2006/relationships/hyperlink" Target="http://www.stopvaw.org/devaw" TargetMode="External"/><Relationship Id="rId5" Type="http://schemas.openxmlformats.org/officeDocument/2006/relationships/hyperlink" Target="http://www.europarl.europa.eu/RegData/etudes/note/join/2013/433714/EXPO-DROI_NT(2013)433714_EN.pdf" TargetMode="External"/><Relationship Id="rId6" Type="http://schemas.openxmlformats.org/officeDocument/2006/relationships/hyperlink" Target="http://www.asmita.org.np/" TargetMode="External"/><Relationship Id="rId7" Type="http://schemas.openxmlformats.org/officeDocument/2006/relationships/hyperlink" Target="http://www.tewa.org.np/site/index.php" TargetMode="External"/><Relationship Id="rId8" Type="http://schemas.openxmlformats.org/officeDocument/2006/relationships/hyperlink" Target="http://pulitzercenter.org/reporting/womans-place-nepal" TargetMode="External"/><Relationship Id="rId9" Type="http://schemas.openxmlformats.org/officeDocument/2006/relationships/hyperlink" Target="https://www.greenleft.org.au/node/13248" TargetMode="External"/><Relationship Id="rId140" Type="http://schemas.openxmlformats.org/officeDocument/2006/relationships/hyperlink" Target="http://indiatogether.org/combatlaw/vol3/issue4/flipflop.htm" TargetMode="External"/><Relationship Id="rId141" Type="http://schemas.openxmlformats.org/officeDocument/2006/relationships/hyperlink" Target="http://indianexpress.com/article/india/india-news-india/uniform-civil-code-supreme-court-asks-govt-why-cant-it-be-done-tell-us-your-pla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34B091-E7F5-BD48-9FE6-F8277CC363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360</TotalTime>
  <Pages>359</Pages>
  <Words>85610</Words>
  <Characters>487982</Characters>
  <Application>Microsoft Macintosh Word</Application>
  <DocSecurity>0</DocSecurity>
  <Lines>4066</Lines>
  <Paragraphs>1144</Paragraphs>
  <ScaleCrop>false</ScaleCrop>
  <Company/>
  <LinksUpToDate>false</LinksUpToDate>
  <CharactersWithSpaces>572448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 Spence</dc:creator>
  <cp:keywords/>
  <dc:description/>
  <cp:lastModifiedBy>Sam Spence</cp:lastModifiedBy>
  <cp:revision>111</cp:revision>
  <cp:lastPrinted>2016-10-24T18:27:00Z</cp:lastPrinted>
  <dcterms:created xsi:type="dcterms:W3CDTF">2016-10-10T15:52:00Z</dcterms:created>
  <dcterms:modified xsi:type="dcterms:W3CDTF">2016-10-24T21:24:00Z</dcterms:modified>
</cp:coreProperties>
</file>