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5CF" w:rsidRDefault="00E675CF" w:rsidP="008535C9">
      <w:pPr>
        <w:spacing w:line="480" w:lineRule="auto"/>
        <w:rPr>
          <w:b/>
        </w:rPr>
      </w:pPr>
      <w:bookmarkStart w:id="0" w:name="_GoBack"/>
      <w:bookmarkEnd w:id="0"/>
      <w:r>
        <w:rPr>
          <w:b/>
        </w:rPr>
        <w:t>On ethnographic knowledge</w:t>
      </w:r>
    </w:p>
    <w:p w:rsidR="00E675CF" w:rsidRDefault="00E675CF" w:rsidP="008535C9">
      <w:pPr>
        <w:spacing w:line="480" w:lineRule="auto"/>
        <w:ind w:right="-1180"/>
        <w:rPr>
          <w:b/>
        </w:rPr>
      </w:pPr>
    </w:p>
    <w:p w:rsidR="00E675CF" w:rsidRDefault="00E675CF" w:rsidP="008535C9">
      <w:pPr>
        <w:spacing w:line="480" w:lineRule="auto"/>
        <w:ind w:right="-1180"/>
        <w:rPr>
          <w:b/>
        </w:rPr>
      </w:pPr>
      <w:r>
        <w:rPr>
          <w:b/>
        </w:rPr>
        <w:t>Paul Atkinson</w:t>
      </w:r>
      <w:r w:rsidR="007A0433">
        <w:rPr>
          <w:b/>
        </w:rPr>
        <w:t xml:space="preserve"> and Lisa Morriss</w:t>
      </w:r>
    </w:p>
    <w:p w:rsidR="00B4131A" w:rsidRDefault="00B4131A" w:rsidP="008535C9">
      <w:pPr>
        <w:spacing w:line="480" w:lineRule="auto"/>
        <w:ind w:right="-1180"/>
        <w:rPr>
          <w:b/>
        </w:rPr>
      </w:pPr>
    </w:p>
    <w:p w:rsidR="00B4131A" w:rsidRDefault="00B4131A" w:rsidP="008535C9">
      <w:pPr>
        <w:spacing w:line="480" w:lineRule="auto"/>
        <w:ind w:right="-1180"/>
      </w:pPr>
      <w:r>
        <w:rPr>
          <w:b/>
        </w:rPr>
        <w:t>Abstract</w:t>
      </w:r>
    </w:p>
    <w:p w:rsidR="00B4131A" w:rsidRPr="00B4131A" w:rsidRDefault="00B4131A" w:rsidP="008535C9">
      <w:pPr>
        <w:spacing w:line="480" w:lineRule="auto"/>
      </w:pPr>
      <w:r>
        <w:t xml:space="preserve">We discuss the kinds and degrees of competence that the ethnographer needs to acquire. We consider the ‘unique adequacy’ postulate, proposed by ethnomethodologists, that suggests that in the study of esoteric or specialised domains, the researcher needs to acquire or have previously acquired competence themselves. We suggest that this deserves more critical and nuanced scrutiny, not least given the </w:t>
      </w:r>
      <w:r w:rsidR="00B15B9A">
        <w:t>impossibility</w:t>
      </w:r>
      <w:r>
        <w:t xml:space="preserve"> of having prior competence in all aspects of a complex organisation or activity</w:t>
      </w:r>
      <w:r w:rsidR="00B15B9A">
        <w:t>. We also suggest that we need a</w:t>
      </w:r>
      <w:r w:rsidR="00EC1F75">
        <w:t xml:space="preserve"> </w:t>
      </w:r>
      <w:r w:rsidR="00B15B9A">
        <w:t>more delicate appreciation of types of competence, and hence of ethnographic knowledge. There is no single prescription, but a more thorough appreciation of the sociology of knowledge will inform ethnographic practice and methodological commentary.</w:t>
      </w:r>
    </w:p>
    <w:p w:rsidR="00E675CF" w:rsidRDefault="00E675CF" w:rsidP="008535C9">
      <w:pPr>
        <w:spacing w:line="480" w:lineRule="auto"/>
        <w:rPr>
          <w:b/>
        </w:rPr>
      </w:pPr>
    </w:p>
    <w:p w:rsidR="00E675CF" w:rsidRDefault="00E675CF" w:rsidP="008535C9">
      <w:pPr>
        <w:spacing w:line="480" w:lineRule="auto"/>
        <w:rPr>
          <w:b/>
        </w:rPr>
      </w:pPr>
      <w:r w:rsidRPr="004B06D7">
        <w:rPr>
          <w:b/>
        </w:rPr>
        <w:t>Introduction</w:t>
      </w:r>
    </w:p>
    <w:p w:rsidR="00E675CF" w:rsidRPr="00744B9B" w:rsidRDefault="00E675CF" w:rsidP="008535C9">
      <w:pPr>
        <w:spacing w:line="480" w:lineRule="auto"/>
        <w:rPr>
          <w:b/>
        </w:rPr>
      </w:pPr>
    </w:p>
    <w:p w:rsidR="00E675CF" w:rsidRPr="00744B9B" w:rsidRDefault="00E675CF" w:rsidP="008535C9">
      <w:pPr>
        <w:spacing w:line="480" w:lineRule="auto"/>
        <w:rPr>
          <w:i/>
        </w:rPr>
      </w:pPr>
      <w:r w:rsidRPr="00744B9B">
        <w:t xml:space="preserve">Downey, Dalidowicz and Mason (2016) provide a useful, though incomplete, overview of ‘apprenticeship’ as ethnographic method. Those authors’ own fieldwork experience relates to three genres of physical, embodied culture, and their discussion focuses closely on such embodiments. Nonetheless, they summarise some generic arguments in favour of apprenticeship as a mode of ethnographic inquiry. Their conclusions include: ‘Enculturation </w:t>
      </w:r>
      <w:r w:rsidRPr="00744B9B">
        <w:lastRenderedPageBreak/>
        <w:t>happens to all fieldworkers. Apprenticeship processes are not unique to ethnography in performance traditions, since … some kind of cultural apprenticeship occurs in all field sites. Processes of culture-making are, however, given a privileged stance in learning environments like the ones we write about, where individuals’ progress is actively analysed, explained and guided by teachers as students move toward the shared goal of cultural competency. The particularities of apprenticeship as method highlight shared problems for all ethnographers, bringing into focus the limits and opportunities generated by a method that requires balancing immersion and participation with systematic observation.’ (pp. 196-197)</w:t>
      </w:r>
      <w:r>
        <w:t xml:space="preserve">. </w:t>
      </w:r>
      <w:r w:rsidRPr="00744B9B">
        <w:t xml:space="preserve">The authors are particularly exercised by processes of embodied activity and learning, characteristic of a number of studies of sport and other physical activities. There are, however, ethnographic issues that go beyond such social and cultural </w:t>
      </w:r>
      <w:r w:rsidR="008A6BB9" w:rsidRPr="00744B9B">
        <w:t>fields, which</w:t>
      </w:r>
      <w:r w:rsidRPr="00744B9B">
        <w:t xml:space="preserve"> raise questions concerning the nature of the researcher’s competence, understanding and expert knowledge. In this paper, therefore, we extend the argument beyond Downey, Dalidowicz and Mason, and seek to derive a more generic view of the ethnographer’s competence.</w:t>
      </w:r>
    </w:p>
    <w:p w:rsidR="00E675CF" w:rsidRPr="00382CAF" w:rsidRDefault="00E675CF" w:rsidP="008535C9">
      <w:pPr>
        <w:spacing w:line="480" w:lineRule="auto"/>
      </w:pPr>
      <w:r w:rsidRPr="00382CAF">
        <w:t>Ethnographic research is concerned with documenting the local knowledge that social actors use in order to accomplish mundane tasks, and also the knowledge they use in accomplishing more esoteric activities. In other words, successful ethnography depends on the researcher’s acquisition of a degree of competence in those systems of knowledge. Moreover, field research should not be geared to the description of knowledge-systems in a vacuum. We are, rather, committed to studying knowledge-in-action. Whatever the content of the work or other actions we witness, we are not trying to reconstruct a world-view or a knowledge-system divorced from everyday usage (although see below for ethnomethodology’s critique of ‘classic’ or ‘formal’ sociology).</w:t>
      </w:r>
    </w:p>
    <w:p w:rsidR="00E675CF" w:rsidRPr="00382CAF" w:rsidRDefault="00E675CF" w:rsidP="008535C9">
      <w:pPr>
        <w:spacing w:line="480" w:lineRule="auto"/>
      </w:pPr>
      <w:r w:rsidRPr="00382CAF">
        <w:t xml:space="preserve">Consequently, there are many social settings where an ethnographer necessarily develops some degree of understanding, some level of competence, some form of expertise, in the </w:t>
      </w:r>
      <w:r w:rsidRPr="00382CAF">
        <w:lastRenderedPageBreak/>
        <w:t xml:space="preserve">course of a given ethnographic exploration. There are various approaches to this that need to be addressed. What is important, however, is the understanding that when ethnographers write about being a socially acceptable incompetent, or when they write about being able to ask questions from an outsider’s point of view, or if they say that their ignorance allows them to make explicit what fully enculturated members take for granted – these methodological postures </w:t>
      </w:r>
      <w:r w:rsidR="00D01F75" w:rsidRPr="00382CAF">
        <w:t>(Styles, 1979 p.148)</w:t>
      </w:r>
      <w:r w:rsidR="00D01F75">
        <w:t xml:space="preserve"> </w:t>
      </w:r>
      <w:r w:rsidRPr="00382CAF">
        <w:t>do not mean that the ethnographer embraces ignorance in and of the field. We do not undertake research in an esoteric se</w:t>
      </w:r>
      <w:r w:rsidR="004D209D">
        <w:t xml:space="preserve">tting by stubbornly refusing to </w:t>
      </w:r>
      <w:r w:rsidRPr="00382CAF">
        <w:t xml:space="preserve">grasp its distinctive knowledge. Indeed, there are many settings, and many ethnographies, where the outcome of the research includes an explication of expert knowledge, and hence a certain level of understanding on the part of the ethnographer. </w:t>
      </w:r>
    </w:p>
    <w:p w:rsidR="00E675CF" w:rsidRPr="00382CAF" w:rsidRDefault="00E675CF" w:rsidP="008535C9">
      <w:pPr>
        <w:spacing w:line="480" w:lineRule="auto"/>
      </w:pPr>
      <w:r w:rsidRPr="00382CAF">
        <w:t>There is a recurrent issue here. Put simply it is this: What level of knowledge does the ethnographer need to acquire? The corollary is: How is it acquired? There have been several methodological proposals, although they do not always reflect the majority of ethnographic studies.</w:t>
      </w:r>
    </w:p>
    <w:p w:rsidR="00E675CF" w:rsidRDefault="00E675CF" w:rsidP="008535C9">
      <w:pPr>
        <w:spacing w:line="480" w:lineRule="auto"/>
      </w:pPr>
      <w:r w:rsidRPr="00382CAF">
        <w:t xml:space="preserve">Alfred Schütz (1945) suggested one way of understanding the degrees of knowledge. He contrasted the knowledge of the ‘man in the street’, the ‘well-informed citizen’ and the ‘expert’. For most practical purposes, the majority of ethnographers might aim to become well-informed citizens, in the sense of knowing </w:t>
      </w:r>
      <w:r w:rsidRPr="00382CAF">
        <w:rPr>
          <w:i/>
        </w:rPr>
        <w:t xml:space="preserve">about </w:t>
      </w:r>
      <w:r w:rsidRPr="00382CAF">
        <w:t xml:space="preserve">and knowing </w:t>
      </w:r>
      <w:r w:rsidRPr="00382CAF">
        <w:rPr>
          <w:i/>
        </w:rPr>
        <w:t>that</w:t>
      </w:r>
      <w:r w:rsidRPr="00382CAF">
        <w:t xml:space="preserve">, rather than knowing precisely </w:t>
      </w:r>
      <w:r w:rsidRPr="00382CAF">
        <w:rPr>
          <w:i/>
        </w:rPr>
        <w:t>how</w:t>
      </w:r>
      <w:r w:rsidRPr="00382CAF">
        <w:t xml:space="preserve">. Yet even that needs much better precision. </w:t>
      </w:r>
      <w:proofErr w:type="gramStart"/>
      <w:r w:rsidRPr="00382CAF">
        <w:t>For we ought to be rather careful about who counts as an ‘expert’.</w:t>
      </w:r>
      <w:proofErr w:type="gramEnd"/>
      <w:r w:rsidRPr="00382CAF">
        <w:t xml:space="preserve"> There are many esoteric settings where professional practitioners are not fully expert in the sense of knowing and being able to reproduce all of the detailed, latest knowledge of the </w:t>
      </w:r>
      <w:r w:rsidR="006162E0">
        <w:t xml:space="preserve">entire </w:t>
      </w:r>
      <w:r w:rsidRPr="00382CAF">
        <w:t xml:space="preserve">field. For instance, simply being a competent, qualified medical practitioner does not mean that one is an expert pathologist, haematologist or endocrinologist. Indeed, the majority of practitioners rely on what we might, again following Schütz, call ‘specialised recipe’ knowledge. Even fully qualified professionals use </w:t>
      </w:r>
      <w:r w:rsidRPr="00382CAF">
        <w:lastRenderedPageBreak/>
        <w:t>rules of thumb and tried-and-tested routines in their everyday practices. Equally, we really need to distinguish other kinds of knowledge. We might, for instance, need to recognise connoisseurship - based on a high level of competence in recognising, describing, evaluating or criticising - as being very different from the ability to perform. Likewise, we ought to be able to tell the difference between technical proficiency and creative improvisation. Wong’s (2014) study of painters in China who can produce competent copies of masterpieces to order is a telling case in point.</w:t>
      </w:r>
      <w:r>
        <w:t xml:space="preserve"> In the rest of this paper we outline and explore a number of formulations concerning the knowledge requirements for ethnographic research, across a number of contrasting social domains.</w:t>
      </w:r>
    </w:p>
    <w:p w:rsidR="00E675CF" w:rsidRPr="00F90E0C" w:rsidRDefault="00E675CF" w:rsidP="008535C9">
      <w:pPr>
        <w:spacing w:line="480" w:lineRule="auto"/>
      </w:pPr>
      <w:r>
        <w:rPr>
          <w:b/>
        </w:rPr>
        <w:t>Unique adequacy</w:t>
      </w:r>
    </w:p>
    <w:p w:rsidR="00E675CF" w:rsidRPr="00382CAF" w:rsidRDefault="00E675CF" w:rsidP="008535C9">
      <w:pPr>
        <w:spacing w:line="480" w:lineRule="auto"/>
      </w:pPr>
      <w:r w:rsidRPr="00382CAF">
        <w:t xml:space="preserve">At one extreme, there is the ethnomethodological notion of </w:t>
      </w:r>
      <w:r w:rsidRPr="00382CAF">
        <w:rPr>
          <w:i/>
        </w:rPr>
        <w:t>the unique adequacy requirement of methods</w:t>
      </w:r>
      <w:r w:rsidRPr="00382CAF">
        <w:t xml:space="preserve"> (Garfinkel and Wieder 1992). It is more difficult to become a competent member when the research is focused on a group of people engaged in specialised practices. Garfinkel and Wieder (1992 p.182) argued that the researcher must become ‘vulgarly competent’ in order to recognise, identify, and describe the local production in any setting. This is the ‘weak use’ of unique adequacy (Garfinkel 2002 p.175). In the ‘strong use’ of unique adequacy the researcher uses ‘ethnomethodological indifference’ to focus solely on members’ methods, of ‘seeing how he [sic] spoke’ (Garfinkel 1967 p.29). Therefore, the researcher does not need to import concepts or analytical techniques of ‘professional sociology’ to understand the data. Rather it is already there in the accomplishment of the members ‘just and only in any actual case’ (Garfinkel 2002 p.191). Garfinkel and Wieder (1992 p.203) explained that ethnomethodological studies ‘were looking for haecceities, just thisness; just here, just now, with just what is at hand, with just who is here, in just the time that this local gang of us have’. In addition, ethnomethodological indifference involves the researcher abstaining from ‘all judgements of their adequacy, value, importance, necessity, practicality, success or </w:t>
      </w:r>
      <w:r w:rsidRPr="00382CAF">
        <w:lastRenderedPageBreak/>
        <w:t xml:space="preserve">consequentiality’ of the accounts of members (Garfinkel and Sacks 1970 p.166). Indeed, Garfinkel and Wieder (1992 p.175) explicated the fundamental difference between </w:t>
      </w:r>
      <w:r w:rsidR="00550C58">
        <w:t>ethnomethodology a</w:t>
      </w:r>
      <w:r w:rsidRPr="00382CAF">
        <w:t>nd ‘classic’ sociology and described the two as incommensurable, asymmetrically alternate technologies. Ethnomethodology is concerned with ‘sociology’s epiphenomenon’ (Lynch 2012 p.224).</w:t>
      </w:r>
    </w:p>
    <w:p w:rsidR="00E675CF" w:rsidRPr="00382CAF" w:rsidRDefault="00E675CF" w:rsidP="008535C9">
      <w:pPr>
        <w:spacing w:line="480" w:lineRule="auto"/>
      </w:pPr>
      <w:r w:rsidRPr="00382CAF">
        <w:t xml:space="preserve">The aim of ethnomethodological research is to make visible the taken-for-granted, or what Garfinkel calls the ‘seen but unnoticed’. In Garfinkel’s early studies he did this by ‘troubling’ the taken for granted aspects of </w:t>
      </w:r>
      <w:r w:rsidR="00550C58">
        <w:t xml:space="preserve">ordinary, </w:t>
      </w:r>
      <w:r w:rsidRPr="00382CAF">
        <w:t>everyday social interaction by use of what he called ‘breaching experiments’. Garfinkel (1967 p.38) described these as demonstrations designed as aids to a ‘sluggish imagination’. For example, Garfinkel asked his students to engage a friend in an ordinary conversation and then ask for clarification of a commonplace remark. Garfinkel thought that causing bewilderment and confusion could make explicit how everyday activities are ordinarily produced. Thus, here the focus is on making the familiar strange, but what of making the strange familiar? Livingston’s (1986) work on mathematics illustrates a problem with the ‘strong use’ of unique adequacy. Famously, Livingston spent years acquiring graduate-level mathematical knowledge in order to demonstrate the practical work involved in proving a mathematical theorem. More recently, he has drawn on his own fascination with puzzles, origami, and the like to generate a series of ‘ethnographies of reason’ (Livingston 2008). These accounts of ‘reason’ focus on the very specific, concrete and observable practices that are implicated in their performance. While Livingston may need advanced mathematics to perform the ethnomethodological analysis, one also needs mathematical competence in order to understand it. At that level, there can be some difficult</w:t>
      </w:r>
      <w:r w:rsidR="002E110D">
        <w:t>ies in making visible the taken-for-</w:t>
      </w:r>
      <w:r w:rsidRPr="00382CAF">
        <w:t>granted knowledge of specialised communities in a way that ordinary members can understand. Thus, ethnomethodology recommends ‘extreme resolutions’ to ethnographic studies: ‘Extreme immersion on the one hand and hyper-</w:t>
      </w:r>
      <w:r w:rsidRPr="00382CAF">
        <w:lastRenderedPageBreak/>
        <w:t xml:space="preserve">reflexivity on the other obliterate the very distinction between researcher and member, observer and </w:t>
      </w:r>
      <w:proofErr w:type="gramStart"/>
      <w:r w:rsidRPr="00382CAF">
        <w:t>observed, enquiry and object’ (Pollner and Emerson 2007 p.131).</w:t>
      </w:r>
      <w:proofErr w:type="gramEnd"/>
      <w:r w:rsidRPr="00382CAF">
        <w:t xml:space="preserve"> </w:t>
      </w:r>
    </w:p>
    <w:p w:rsidR="00E675CF" w:rsidRDefault="00E675CF" w:rsidP="008535C9">
      <w:pPr>
        <w:spacing w:line="480" w:lineRule="auto"/>
      </w:pPr>
      <w:r w:rsidRPr="00382CAF">
        <w:t xml:space="preserve">Livingston’s work introduces another important consideration: the </w:t>
      </w:r>
      <w:r w:rsidRPr="00382CAF">
        <w:rPr>
          <w:i/>
        </w:rPr>
        <w:t>audience</w:t>
      </w:r>
      <w:r w:rsidRPr="00382CAF">
        <w:t xml:space="preserve"> for the ethnographic or ethnomethodological work. Sacks (1963 p.8) pointed out that sociologists seek to ‘write a description which would be produced by a colleague observing another cycle, or which could be used by a colleague for analysing the machine’s course of activities’. Thus, the ethnographer can use glosses like ‘bricolage’, ‘aporias of practice’, and ‘genealogical’ knowing that these terms will be understood by what Garﬁnkel named the ‘wor</w:t>
      </w:r>
      <w:r w:rsidR="004D209D">
        <w:t xml:space="preserve">ldwide social science movement’ </w:t>
      </w:r>
      <w:r w:rsidRPr="00382CAF">
        <w:t>(2002 p.91). In contrast, ethnomethodological indifference forbids the importation of such glosses. Thus, the audience for Livingston’s work would be mathematicians with the competence to understand his analysis. The audiences for these ‘hybrid studies’ include those who are interested in providing services to members of the setting under study, or group members of the setting under study (Rooke and Se</w:t>
      </w:r>
      <w:r w:rsidR="004D209D">
        <w:t>ymour</w:t>
      </w:r>
      <w:r w:rsidRPr="00382CAF">
        <w:t xml:space="preserve"> 2005). However, recent ethnographic accounts have been written for a more general audience. Consider for example, McKenzie’s (2015) book about living on a council estate and Goffman’s (2014) book about the experiences of young, poor African Americans. The former is an example of ‘intimate insider’ research (Taylor 2011 p.9) where the ethnography takes place at ‘home’ (see also Leigh 2014</w:t>
      </w:r>
      <w:r w:rsidR="00BD046A">
        <w:t>;</w:t>
      </w:r>
      <w:r w:rsidRPr="00382CAF">
        <w:t xml:space="preserve"> and Mannay 2010). The readers of these two books are not expected to have any prior knowledge of socio</w:t>
      </w:r>
      <w:r w:rsidR="000703A0">
        <w:t>logy in order to understand the narratives within</w:t>
      </w:r>
      <w:r w:rsidRPr="00382CAF">
        <w:t xml:space="preserve">.   </w:t>
      </w:r>
    </w:p>
    <w:p w:rsidR="00E675CF" w:rsidRDefault="00E675CF" w:rsidP="008535C9">
      <w:pPr>
        <w:spacing w:line="480" w:lineRule="auto"/>
      </w:pPr>
      <w:r>
        <w:t xml:space="preserve">In some ways, the ethnomethodological criterion of unique adequacy is an attractive one. It seems to set a benchmark for the analyst – or at least for the analyst to aim at – in terms of her or his local, detailed knowledge of a given field of activity. On the other hand, it raises a number of potentially problematic issues that deserve further attention, and that we shall explore in the course of this paper. In the first place, it is not perfectly clear just what it </w:t>
      </w:r>
      <w:r>
        <w:lastRenderedPageBreak/>
        <w:t>means to have 'vulgar competence’. As we shall explicate, it is based on a restricted view of the social distribution of local knowledge. Unless the analysis is to restrict itself only to the most mundane of settings and competences, and so interpret ‘vulgar competence’ accordingly, it seems an inadequate formulation to deal thoroughly with all the possible levels and types of knowledge that analysts can and might deploy in the course of their resea</w:t>
      </w:r>
      <w:r w:rsidR="006835E6">
        <w:t>rch. Moreover, it does not seem</w:t>
      </w:r>
      <w:r>
        <w:t xml:space="preserve"> to address complex social worlds, where there may be a highly developed division of labour, and where competence is distributed differentially. It is, we shall argue, hard to see how the most ambitious of researchers could hope to acquire any serious level of ‘competence’ across a variety of specialised fields of activity. And, further, we really do need to reflect further on what might count as ‘competence’. It really is not a straightforward matter. There are different types of specialist knowledge, even within the same general social or cultural field, and the ethnographer of esoteric knowledge, expertise, competence, or whatever one might call it, really needs to have a sensitive grasp of what they might be. </w:t>
      </w:r>
    </w:p>
    <w:p w:rsidR="00E675CF" w:rsidRPr="003B1454" w:rsidRDefault="00E675CF" w:rsidP="008535C9">
      <w:pPr>
        <w:spacing w:line="480" w:lineRule="auto"/>
        <w:rPr>
          <w:b/>
        </w:rPr>
      </w:pPr>
      <w:r>
        <w:rPr>
          <w:b/>
        </w:rPr>
        <w:t>Sociologies of knowledge</w:t>
      </w:r>
    </w:p>
    <w:p w:rsidR="00E675CF" w:rsidRPr="00382CAF" w:rsidRDefault="00E675CF" w:rsidP="008535C9">
      <w:pPr>
        <w:spacing w:line="480" w:lineRule="auto"/>
      </w:pPr>
      <w:r>
        <w:t>It</w:t>
      </w:r>
      <w:r w:rsidRPr="00382CAF">
        <w:t xml:space="preserve"> seems that, from a methodological point of view, we need a more sensitive appreciation of knowledge in ethnography. There are, after all, many contexts in which there is not a single body of knowledge that can, or needs to be, acquired. As one of us has pointed out, in the everyday work in an opera company (Atkinson 2006), there was no single body of expertise that could satisfy the unique adequacy requirement of methods. It would imply – possibly as a prerequisite to conducting the fieldwork – vulgar competence as a solo singer, a member of the chorus, an orchestral musician, a conductor, a repetiteur, a set designer, a director, a stage manager, a crew member, a carpenter, a lighting technician, a dramaturg, an artistic administrator, and so on. In many settings, after all, there is a complex division of labour. In order to study how social actors work together, it is neither desirable nor feasible to become </w:t>
      </w:r>
      <w:r w:rsidRPr="00382CAF">
        <w:lastRenderedPageBreak/>
        <w:t>expert at all they know individually. However, the ethnographer does need to be able to make sense of the talk between various actors and this does require a certain level of competence. For example, a very close attention to the work of a singer is in danger of reproducing the detail of the music: in other words, of reconstructing the composer’s score. This is not the same as being an ignoramus and approaching the field in a benign fog of well-intentioned ignorance. In fact Atkinson separately acquired bachelor’s degree-level knowledge about opera at the same time as the fieldwork and writing it up. But it was not a necessary condition for conducting ethnographic fieldwork. Indeed, it is by no means unduly difficult for an ethnographer to acquire sufficient competence to make sense of a variety of specialised domains. Amongst others, the work of Gary Alan Fine is testimony to this, as he has published monographs on topics as diverse as meteorology, fantasy gaming or art collecting (Fine 2007).</w:t>
      </w:r>
    </w:p>
    <w:p w:rsidR="00E675CF" w:rsidRPr="00382CAF" w:rsidRDefault="00E675CF" w:rsidP="008535C9">
      <w:pPr>
        <w:spacing w:line="480" w:lineRule="auto"/>
      </w:pPr>
      <w:r w:rsidRPr="00382CAF">
        <w:t xml:space="preserve">Hence, we can recognise that ethnographers can and do achieve varying degrees of competence in the field. We really ought to acknowledge that what amounts to inevitably will vary from setting to setting. One may observe surgery and gain considerable insight into its technical, professional knowledge without ever dreaming of actually performing an operation or procedure oneself. On the other hand, there are varieties of craft knowledge – tacit and embodied – that can be acquired, at various levels of competence by full participant observation. O’Connor (2005, 2006) has acquired practitioner competence in glass-blowing, while Haase (1998) furnishes an autobiographical account of being an apprentice potter in Japan (having previously trained as a studio potter in the United States). He provides an account that will be familiar to students of ceramics: he spent months repeating one basic, small shape of pot, repeatedly failing to satisfy the expectations of his </w:t>
      </w:r>
      <w:r w:rsidRPr="00382CAF">
        <w:rPr>
          <w:i/>
        </w:rPr>
        <w:t>sensei</w:t>
      </w:r>
      <w:r w:rsidRPr="00382CAF">
        <w:t xml:space="preserve"> (teacher). Marchand’s (2001) ethnography of minaret-building in Yemen is also based on his practical </w:t>
      </w:r>
      <w:r w:rsidRPr="00382CAF">
        <w:lastRenderedPageBreak/>
        <w:t xml:space="preserve">work as a builder. Indeed, these ethnographic studies can be seen as akin to developing vulgar competency in line with the ethnomethodological requirement of unique adequacy. </w:t>
      </w:r>
    </w:p>
    <w:p w:rsidR="00E675CF" w:rsidRPr="00382CAF" w:rsidRDefault="00E675CF" w:rsidP="008535C9">
      <w:pPr>
        <w:spacing w:line="480" w:lineRule="auto"/>
      </w:pPr>
      <w:r w:rsidRPr="00382CAF">
        <w:t>Now a certain level – however defined – of local knowledge is normally the outcome of fieldwork, rather than a prerequisite. Indeed, it is often the main purpose of the research itself. Such knowledge can be acquired in various ways. As we have just indicated, ethnographers can themselves learn and work at a trade or craft (if feasible). Indeed, it is often fruitful to study learning and apprenticeship, as knowledge and skills are often rendered explicit in pedagogical situations (Lave and Wenger 1991). Indeed, a number of authors, including Lave (2011), have remarked on the convergence between craft apprenticeship and the craft of ethnography (cf Atkinson 2013). Equally, field researchers need to be especially attentive to local, situated knowledge-practices. They may include the use of special terminology, or the application of specific conventions for decision-making and management. One may develop a close understanding through repeated inspection of recorded interactions, and/or through prolonged participa</w:t>
      </w:r>
      <w:r w:rsidR="00AA4C17">
        <w:t xml:space="preserve">tion in specialised activities. </w:t>
      </w:r>
      <w:r w:rsidRPr="00382CAF">
        <w:t xml:space="preserve">Again, this is not so far removed from ethnomethodology and conversation analysis.  </w:t>
      </w:r>
    </w:p>
    <w:p w:rsidR="00E675CF" w:rsidRDefault="00E675CF" w:rsidP="008535C9">
      <w:pPr>
        <w:spacing w:line="480" w:lineRule="auto"/>
      </w:pPr>
      <w:r>
        <w:t xml:space="preserve">Of a somewhat different order – though still relevant – is the decision on the part of ethnographers to undergo initiation or conversion. This is, obviously, especially pertinent in the context of studies of religion, and especially ecstatic religion. This is not simply a data-collection strategy, and the practice has major implications for how the research experience is reported (cf Atkinson and Delamont 2008). This implies a highly personal, experiential form of knowledge. For instance, Wafer (1991), researching </w:t>
      </w:r>
      <w:r>
        <w:rPr>
          <w:i/>
        </w:rPr>
        <w:t>candomblé</w:t>
      </w:r>
      <w:r>
        <w:t xml:space="preserve">, writes about how he was visited by an </w:t>
      </w:r>
      <w:r>
        <w:rPr>
          <w:i/>
        </w:rPr>
        <w:t>exu</w:t>
      </w:r>
      <w:r>
        <w:t xml:space="preserve"> – a trickster spirit – and he writes about his own initiation into the religion and his spiritual rebirth. Likewise, Hagedorn (2001, 2002) argues that one could only know the sacred and secret aspects of performance by performing them, and on can only perform them by being initiated oneself. So the desire to learn Cuban drumming leads to the personal </w:t>
      </w:r>
      <w:r>
        <w:lastRenderedPageBreak/>
        <w:t>exper</w:t>
      </w:r>
      <w:r w:rsidR="00A50D1A">
        <w:t xml:space="preserve">ience of religious initiation. </w:t>
      </w:r>
      <w:r>
        <w:t>And a similar account of Cuban fieldwork is given by Vélez (2000). The ethnographic experience of initiation or conversion clearly reflects the thoroughgoing personal commitment that the fieldworker makes. It also illustrates in one extreme version the fact that access to esoteric knowledge and skill may demand complete participation, rather than a disengaged or even marginal presence. T</w:t>
      </w:r>
      <w:r w:rsidR="009E0734">
        <w:t>he initiate must go well beyond</w:t>
      </w:r>
      <w:r>
        <w:t xml:space="preserve"> the liminal; position of the ‘socially acceptable incompetent’ that has often been the conventional stance (or at least something akin to it). On the basis of such a personal </w:t>
      </w:r>
      <w:r w:rsidRPr="00C22BB9">
        <w:rPr>
          <w:i/>
        </w:rPr>
        <w:t>rite de passage</w:t>
      </w:r>
      <w:r>
        <w:t xml:space="preserve">, the ethnographer can gain access to otherwise secret activities. Furthermore, she or he can report directly from personal experience the embodied and sensory experiences of the initiation or possession process itself. Of course, it can have its limitations. Although the process may grant the ethnographer privileged access, it necessarily fixes a certain identity – as an initiate or convert – and may thereby preclude the kind of intellectual and interpersonal; mobility that fieldworkers sought in more ‘traditional’ fieldwork </w:t>
      </w:r>
      <w:r w:rsidRPr="008A796E">
        <w:t>encounters. The ‘surrender’ process can have costs as well as benefits.</w:t>
      </w:r>
      <w:r w:rsidR="00E16EAE">
        <w:t xml:space="preserve"> </w:t>
      </w:r>
      <w:r w:rsidR="00E16EAE" w:rsidRPr="002B589E">
        <w:t>Morriss (2015a) described the particular consequences of being a member researching her own ‘group’</w:t>
      </w:r>
      <w:r w:rsidR="005438EA" w:rsidRPr="002B589E">
        <w:t>. Initially meeting the unique adequacy requirement of methods may have been easy as a gr</w:t>
      </w:r>
      <w:r w:rsidR="00DA0ECE">
        <w:t>oup insider</w:t>
      </w:r>
      <w:r w:rsidR="005438EA" w:rsidRPr="002B589E">
        <w:t xml:space="preserve"> but the difficulties began as the commonplace and unnoticed were ‘breached’</w:t>
      </w:r>
      <w:r w:rsidR="00706CFE" w:rsidRPr="002B589E">
        <w:t>. The process of making the familiar strange produced the uncomfortable feeling of having a ‘dirty secret’</w:t>
      </w:r>
      <w:r w:rsidR="00611129" w:rsidRPr="002B589E">
        <w:t>,</w:t>
      </w:r>
      <w:r w:rsidR="00706CFE" w:rsidRPr="002B589E">
        <w:t xml:space="preserve"> with accompanying anxiety, bewilderment and guilt</w:t>
      </w:r>
      <w:r w:rsidR="0069014C" w:rsidRPr="002B589E">
        <w:t>.</w:t>
      </w:r>
    </w:p>
    <w:p w:rsidR="00E675CF" w:rsidRPr="00024AC8" w:rsidRDefault="00E675CF" w:rsidP="008535C9">
      <w:pPr>
        <w:spacing w:line="480" w:lineRule="auto"/>
      </w:pPr>
      <w:r w:rsidRPr="00024AC8">
        <w:t>No discussion of knowledge in this context can ignore the contribution of Collins and Evans (2007), notably their ‘periodic table’ of expertise and its implications for social researchers. It is based exclusively on the sociology of science and techn</w:t>
      </w:r>
      <w:r w:rsidR="00F61B31">
        <w:t>ology studies, and is an aspect</w:t>
      </w:r>
      <w:r w:rsidRPr="00024AC8">
        <w:t xml:space="preserve"> of their avowedly normative perspective on expert knowledge (Collins and Evans 2002). Here we focus on the implications of their reflections for ethnographies of knowledge. They refer to everything as </w:t>
      </w:r>
      <w:r w:rsidRPr="00024AC8">
        <w:rPr>
          <w:i/>
        </w:rPr>
        <w:t>expertise</w:t>
      </w:r>
      <w:r w:rsidRPr="00024AC8">
        <w:t xml:space="preserve">, which is perhaps unhelpful, as it blunts any distinction between </w:t>
      </w:r>
      <w:r w:rsidRPr="00024AC8">
        <w:lastRenderedPageBreak/>
        <w:t xml:space="preserve">expert </w:t>
      </w:r>
      <w:proofErr w:type="gramStart"/>
      <w:r w:rsidRPr="00024AC8">
        <w:t>or</w:t>
      </w:r>
      <w:proofErr w:type="gramEnd"/>
      <w:r w:rsidRPr="00024AC8">
        <w:t xml:space="preserve"> esoteric knowledge and everyday or common-sense knowledge. For ease of reference, however, we shall retain their terminology.</w:t>
      </w:r>
    </w:p>
    <w:p w:rsidR="00E675CF" w:rsidRPr="00024AC8" w:rsidRDefault="00E675CF" w:rsidP="008535C9">
      <w:pPr>
        <w:spacing w:line="480" w:lineRule="auto"/>
      </w:pPr>
      <w:r w:rsidRPr="00024AC8">
        <w:t xml:space="preserve">They refer to ‘ubiquitous expertise’. That is, in essence, mundane knowledge that is the stock-in-trade of any or all competent, skilful social actors. It hardly counts as ‘expertise’, and the term is potentially misleading. It corresponds to the kind of knowledge in the natural attitude that phenomenologists like Schütz describe. At a level beyond this most elementary level, we have ‘interactional expertise’ and ‘contributory expertise’. Interactional expertise amounts to competence in the language of a specialised field, in the absence of competence in practice. From the authors’ point of view, interactional expertise is especially pertinent for the sociologist of science, insofar as she or he needs to move beyond the most mundane levels of knowledge, in order to attain competence in order to engage in </w:t>
      </w:r>
      <w:r w:rsidR="00F61B31">
        <w:t>‘</w:t>
      </w:r>
      <w:r w:rsidR="00F61B31" w:rsidRPr="00945FD3">
        <w:rPr>
          <w:highlight w:val="yellow"/>
        </w:rPr>
        <w:t>conversation with experts</w:t>
      </w:r>
      <w:r w:rsidR="00F61B31">
        <w:t>’ (p.</w:t>
      </w:r>
      <w:r w:rsidRPr="00024AC8">
        <w:t>32). As they express it – and it is highly pertinent for a discussion of knowledge-in-research, ‘…where interactional expertise is being acquired, there will be a progression from “interview” to “discussion” to “conversation” as more and more of</w:t>
      </w:r>
      <w:r w:rsidR="00F61B31">
        <w:t xml:space="preserve"> the science is understood’ (p.</w:t>
      </w:r>
      <w:r w:rsidRPr="00024AC8">
        <w:t xml:space="preserve">33). Contributory expertise is based on the capacity </w:t>
      </w:r>
      <w:r w:rsidR="00DA0ECE">
        <w:t xml:space="preserve">to actually </w:t>
      </w:r>
      <w:r w:rsidRPr="00024AC8">
        <w:t>conduct something. Collins and Evans rely almost exclusively on the five-stage model summarised by Dreyfus and Dreyfus (1986), which passes from the ‘novice’, who tries to follow explicit rules, through the ‘advanced beginner’, ‘competence’, and ‘proficiency’, to ‘expertise’. The final, culminating level of expertise (</w:t>
      </w:r>
      <w:r w:rsidR="003E52B8">
        <w:t>i</w:t>
      </w:r>
      <w:r w:rsidRPr="00024AC8">
        <w:t xml:space="preserve">n the terms of Dreyfus and Dreyfus) the practitioner can perform unselfconsciously, reliant on tacit skills and understanding of the </w:t>
      </w:r>
      <w:r w:rsidR="003E52B8" w:rsidRPr="00024AC8">
        <w:t>context, which</w:t>
      </w:r>
      <w:r w:rsidR="003E52B8">
        <w:t xml:space="preserve"> are internalised.</w:t>
      </w:r>
      <w:r w:rsidRPr="00024AC8">
        <w:t xml:space="preserve"> Oddly, Collins and Evans make little attempt to explicate their own understanding of contributory expertise, and it is clear the Dreyfus and Dreyfus did not base their analysis on any direct</w:t>
      </w:r>
      <w:r>
        <w:t xml:space="preserve"> resea</w:t>
      </w:r>
      <w:r w:rsidRPr="00024AC8">
        <w:t xml:space="preserve">rch on knowledge and skills in action, relying on ‘obvious’ understandings of learning to drive a car. It seems dangerous to extrapolate from driving to realms of knowledge in general, and especially so in the absence of research experience. </w:t>
      </w:r>
      <w:r w:rsidRPr="00024AC8">
        <w:lastRenderedPageBreak/>
        <w:t>Their formulation of these three levels of expertise betrays the preferred approach to research that implicitly informs the analysis by Collins and Evans. They assume that the rese</w:t>
      </w:r>
      <w:r w:rsidR="00DA0ECE">
        <w:t>archer relies primarily on talk;</w:t>
      </w:r>
      <w:r w:rsidRPr="00024AC8">
        <w:t xml:space="preserve"> interviewing or conversing with practitioners. There is little or no acknowledgement that field researchers might acquire something more practical, that might correspond to ‘competence’ or even ‘proficiency’ on the scale of contributory expertise. But as we have seen, there are and have been many fieldworkers who have gained some degree of technical competence in their chosen field. So, in seeking to come to a more systematic understanding of ethnographic knowledge, we need something more sophisticated. </w:t>
      </w:r>
    </w:p>
    <w:p w:rsidR="00E675CF" w:rsidRDefault="00E675CF" w:rsidP="008535C9">
      <w:pPr>
        <w:spacing w:line="480" w:lineRule="auto"/>
      </w:pPr>
      <w:r w:rsidRPr="00024AC8">
        <w:t xml:space="preserve">Collins and Evans go on to discuss some further forms of knowledge (they still refer to them as expertise), and they can be highly pertinent for ethnographic understanding. </w:t>
      </w:r>
      <w:r w:rsidRPr="00D855B1">
        <w:rPr>
          <w:highlight w:val="yellow"/>
        </w:rPr>
        <w:t>Collins and Evans – again rather unhelpfully – refer to these knowledge-types as ‘meta-expertise’. This reflects their view that they are ‘expertises used to judge other expertises’ (p. 45</w:t>
      </w:r>
      <w:r w:rsidR="003E52B8" w:rsidRPr="00D855B1">
        <w:rPr>
          <w:highlight w:val="yellow"/>
        </w:rPr>
        <w:t>).</w:t>
      </w:r>
      <w:r w:rsidR="003E52B8">
        <w:t xml:space="preserve"> They include connoisseurship</w:t>
      </w:r>
      <w:r w:rsidR="00DD5BFC">
        <w:t>:</w:t>
      </w:r>
      <w:r w:rsidR="003E52B8">
        <w:t xml:space="preserve"> t</w:t>
      </w:r>
      <w:r w:rsidRPr="00024AC8">
        <w:t xml:space="preserve">his relies on conventions of judgement rather than the exercise of skilful practice itself. There is also </w:t>
      </w:r>
      <w:r w:rsidR="00DD5BFC">
        <w:t>what they call ‘discrimination’;</w:t>
      </w:r>
      <w:r w:rsidRPr="00024AC8">
        <w:t xml:space="preserve"> that is, they claim, ‘external’ to the expertise being judged, relying rather on judgments about the experts. The latter can relate to their perceived credibility.</w:t>
      </w:r>
    </w:p>
    <w:p w:rsidR="00E675CF" w:rsidRPr="00024AC8" w:rsidRDefault="00E675CF" w:rsidP="008535C9">
      <w:pPr>
        <w:spacing w:line="480" w:lineRule="auto"/>
      </w:pPr>
      <w:r>
        <w:t>We have summarised the position advocated by Collins and Evans for a number of reasons. Terminological issues aside, theirs is a sustained attempt to derive a working typology of forms of knowledge and skill. Equally, they buil</w:t>
      </w:r>
      <w:r w:rsidR="00DD5BFC">
        <w:t xml:space="preserve">d in some (partial) accounts of </w:t>
      </w:r>
      <w:r>
        <w:t xml:space="preserve">levels of competence within those types. It is not, however, a complete account. It certainly does not constitute a comprehensive foundation for ethnographic fieldwork and analysis. This is partly because </w:t>
      </w:r>
      <w:r w:rsidRPr="00024AC8">
        <w:t xml:space="preserve">Collins himself does not engage in the equivalent of laboratory ethnography, and his work is mainly based on talking with scientists. Moreover, he seems to talk only to ‘top’ research scientists. He does not engage with, say, the variety of bench scientists, postgrads and postdocs, technicians, statisticians, computer scientists and so on who are actually </w:t>
      </w:r>
      <w:r w:rsidRPr="00024AC8">
        <w:lastRenderedPageBreak/>
        <w:t>necessary members of a scienti</w:t>
      </w:r>
      <w:r>
        <w:t>fic team. T</w:t>
      </w:r>
      <w:r w:rsidRPr="00024AC8">
        <w:t>he model of knowledge-ethnography proposed by Collins is consequently unhelpfully limited simply to interaction</w:t>
      </w:r>
      <w:r>
        <w:t xml:space="preserve">. </w:t>
      </w:r>
      <w:r w:rsidR="00442A95">
        <w:t xml:space="preserve">Indeed, the original formulation of interactional expertise seems to be based specifically on the interests of the sociologist, and on sociology practised through interviews. For instance Ribeiro and Lima (2015) include in their criticism of Collins and Evans the following: ‘When the idea of IE [interactional expertise] was first proposed … there was no mention of the ‘minimal embodiment thesis’ or of ‘linguistic socialization alone’. The emphasis was on having enough linguistic fluency ‘to interact interestingly with participants and carry out a </w:t>
      </w:r>
      <w:r w:rsidR="00442A95" w:rsidRPr="00017330">
        <w:t>sociological analysis… This definition of IE is not problematic, except for the implicit idea that it is linguistic fluency itself</w:t>
      </w:r>
      <w:r w:rsidR="00442A95">
        <w:t xml:space="preserve"> that allows one to carry on a sociological analysis’.</w:t>
      </w:r>
      <w:r w:rsidR="00692A08">
        <w:t xml:space="preserve"> In other words, privileging spoken interaction in the absence of participation (participant observation) or the personal acquisition of practical competence is an apologia for non-ethnographic investigation.</w:t>
      </w:r>
    </w:p>
    <w:p w:rsidR="00E675CF" w:rsidRPr="00101F89" w:rsidRDefault="00E675CF" w:rsidP="008535C9">
      <w:pPr>
        <w:spacing w:line="480" w:lineRule="auto"/>
        <w:rPr>
          <w:b/>
        </w:rPr>
      </w:pPr>
      <w:r>
        <w:rPr>
          <w:b/>
        </w:rPr>
        <w:t>Varieties of ethnographic knowledge</w:t>
      </w:r>
    </w:p>
    <w:p w:rsidR="00E675CF" w:rsidRPr="00024AC8" w:rsidRDefault="00E675CF" w:rsidP="008535C9">
      <w:pPr>
        <w:spacing w:line="480" w:lineRule="auto"/>
      </w:pPr>
      <w:r>
        <w:t>We have outlined a number of perspectives on ethnographic knowledge a</w:t>
      </w:r>
      <w:r w:rsidR="00763AA0">
        <w:t>nd the ethnography of knowledge;</w:t>
      </w:r>
      <w:r>
        <w:t xml:space="preserve"> from the postulate of unique adequacy, through ethnographic apprenticeship and initiation, to interactional expertise, embedded in the so-called periodic table. There are continuities and discontinuities to be found here, and it is not our intention to synthesise them all. Moreover, there are other approaches that we do not deal with here (such as the kind of knowledge and understanding yielded through autoethnographic reflection) that have significant affinities with the topics we discuss. It is, however, useful to draw out some implications for ethnographic practice and understanding. It is clear that there are various competences that the analyst might need to acquire and deploy in the interests of studying esoteric knowledge within specialist fields of activity.  As we have seen, the requirement of unique adequacy is a valuable one, but in the absence of greater specificity as to what </w:t>
      </w:r>
      <w:r>
        <w:lastRenderedPageBreak/>
        <w:t xml:space="preserve">constitutes adequate competence, it needs to be supplemented and extended from comparable perspectives. </w:t>
      </w:r>
    </w:p>
    <w:p w:rsidR="0099136C" w:rsidRDefault="00E675CF" w:rsidP="008535C9">
      <w:pPr>
        <w:spacing w:line="480" w:lineRule="auto"/>
        <w:rPr>
          <w:i/>
        </w:rPr>
      </w:pPr>
      <w:r>
        <w:t>In this section we re-visit some of the key forms of knowledge, reflecting on implications f</w:t>
      </w:r>
      <w:r w:rsidR="005C238F">
        <w:t xml:space="preserve">or the conduct of ethnography. </w:t>
      </w:r>
      <w:r>
        <w:t xml:space="preserve">We express this in terms of our own broad categories, rather than repeating those we have already outlined: not least because the different formulations – while having family resemblances – do not map onto one another perfectly. The crucial point at issue is that these are </w:t>
      </w:r>
      <w:r>
        <w:rPr>
          <w:i/>
        </w:rPr>
        <w:t>not</w:t>
      </w:r>
      <w:r>
        <w:t xml:space="preserve"> a ‘periodic table’ of competence: each type differs. Within each knowledge-type, there are different levels or degrees of competence, ranging from complete ignorance to complete mastery. While ethnographers will rarely, if ever, acquire complete mastery in one, let alone all, of them, they can and do acquire what me might sum</w:t>
      </w:r>
      <w:r w:rsidR="005C238F">
        <w:t>marise as a ‘working knowledge’</w:t>
      </w:r>
      <w:r>
        <w:t xml:space="preserve">. A thorough grasp of ethnographic knowing and the ethnography of knowledge </w:t>
      </w:r>
      <w:proofErr w:type="gramStart"/>
      <w:r>
        <w:t>implies</w:t>
      </w:r>
      <w:proofErr w:type="gramEnd"/>
      <w:r>
        <w:t xml:space="preserve"> explication of </w:t>
      </w:r>
      <w:r w:rsidRPr="00AA7AAC">
        <w:t>what competence</w:t>
      </w:r>
      <w:r>
        <w:t xml:space="preserve"> is aimed for, what degree of competence is achieved, and the modes of knowledge-acquisition that are deployed.</w:t>
      </w:r>
      <w:r>
        <w:rPr>
          <w:i/>
        </w:rPr>
        <w:t xml:space="preserve"> </w:t>
      </w:r>
    </w:p>
    <w:p w:rsidR="00E675CF" w:rsidRPr="00382CAF" w:rsidRDefault="00E675CF" w:rsidP="008535C9">
      <w:pPr>
        <w:spacing w:line="480" w:lineRule="auto"/>
      </w:pPr>
      <w:proofErr w:type="gramStart"/>
      <w:r w:rsidRPr="00597541">
        <w:rPr>
          <w:i/>
        </w:rPr>
        <w:t>Practical competence</w:t>
      </w:r>
      <w:r>
        <w:t>.</w:t>
      </w:r>
      <w:proofErr w:type="gramEnd"/>
      <w:r>
        <w:t xml:space="preserve"> </w:t>
      </w:r>
      <w:r w:rsidRPr="00382CAF">
        <w:t xml:space="preserve">Practical competence means that one can actually perform to a given level. </w:t>
      </w:r>
      <w:r>
        <w:t xml:space="preserve">The novice can undertake basic tasks to a moderate level. The everyday (journeyman) practitioner can use tried-and-tested methods reliably to achieve desired ends. </w:t>
      </w:r>
      <w:r w:rsidRPr="00382CAF">
        <w:t xml:space="preserve">That is, tried and trusted routines that have worked in the past, and are relied on while they continue to give practical results. </w:t>
      </w:r>
      <w:r>
        <w:t xml:space="preserve">The novice remains self-conscious in the deployment of such competence as he or she possesses, while more experienced practitioners can rely on them unreflectingly. </w:t>
      </w:r>
      <w:r w:rsidRPr="00382CAF">
        <w:t xml:space="preserve">Competence is assured primarily through the </w:t>
      </w:r>
      <w:r>
        <w:t>mastery of such routines or reci</w:t>
      </w:r>
      <w:r w:rsidRPr="00382CAF">
        <w:t>pes</w:t>
      </w:r>
      <w:r>
        <w:t xml:space="preserve">. </w:t>
      </w:r>
      <w:r w:rsidRPr="00382CAF">
        <w:t>Novices who are enculturated through intensely practical apprenti</w:t>
      </w:r>
      <w:r>
        <w:t xml:space="preserve">ceship may initially </w:t>
      </w:r>
      <w:r w:rsidRPr="00382CAF">
        <w:t>elementary routines</w:t>
      </w:r>
      <w:r>
        <w:t xml:space="preserve"> and use them repetitively</w:t>
      </w:r>
      <w:r w:rsidRPr="00382CAF">
        <w:t xml:space="preserve">. </w:t>
      </w:r>
      <w:r>
        <w:t xml:space="preserve">Many practitioners may never pass beyond this level. </w:t>
      </w:r>
      <w:r w:rsidRPr="00382CAF">
        <w:t xml:space="preserve">Copyists can become highly adept in reproducing recipes, in order to replicate models, but do not have the capacity to go beyond them to produce original work of their own.  </w:t>
      </w:r>
    </w:p>
    <w:p w:rsidR="00E675CF" w:rsidRPr="00382CAF" w:rsidRDefault="00E675CF" w:rsidP="008535C9">
      <w:pPr>
        <w:spacing w:line="480" w:lineRule="auto"/>
      </w:pPr>
      <w:r w:rsidRPr="00382CAF">
        <w:lastRenderedPageBreak/>
        <w:t xml:space="preserve">At the other extreme, skilfully competent performers are able to accomplish technical and routine work through taken for granted, embodied knowledge. Practical competence is manifested through the adequate production of desired results. In ethnomethodological terms, ‘bona fide professional practitioners’ can accomplish ‘usual demands, usual attainments, and usual practices’ (Garfinkel 1967 p.14). At certain levels of competence, ‘good enough’ competence is accepted, while elite actors may strive for ‘perfection’. (Clearly, these evaluations are themselves locally produced by actors and observers.) True expertise is relatively rare, and experts may have a theoretical as well as a practical knowledge of technique and skill. They have an explicit knowledge about materials and the technical means required to achieve given outcomes. </w:t>
      </w:r>
      <w:r>
        <w:t xml:space="preserve">Their practice transcends routines and taken-for-granted recipes. Having fully assimilated such competence, they can perform as virtuosos, with high levels of skill, with a personal style, and with complete technical mastery. Felicitous performance is normally achieved. Problems, errors or failures are rare, but can be adapted to adeptly. Practical competence is acquired through apprenticeship, through repetitive practice, through trial-and-error. It often depends upon personal, embodied or experiential knowledge. </w:t>
      </w:r>
    </w:p>
    <w:p w:rsidR="00E675CF" w:rsidRDefault="00E675CF" w:rsidP="008535C9">
      <w:pPr>
        <w:spacing w:line="480" w:lineRule="auto"/>
      </w:pPr>
      <w:proofErr w:type="gramStart"/>
      <w:r w:rsidRPr="00597541">
        <w:rPr>
          <w:i/>
        </w:rPr>
        <w:t>Critical competence or connoisseurship</w:t>
      </w:r>
      <w:r>
        <w:t>.</w:t>
      </w:r>
      <w:proofErr w:type="gramEnd"/>
      <w:r>
        <w:t xml:space="preserve"> </w:t>
      </w:r>
      <w:r w:rsidRPr="00382CAF">
        <w:t xml:space="preserve">There is a range of competence that depends on the ability to offer an informed opinion </w:t>
      </w:r>
      <w:r w:rsidRPr="00382CAF">
        <w:rPr>
          <w:i/>
        </w:rPr>
        <w:t>about</w:t>
      </w:r>
      <w:r w:rsidRPr="00382CAF">
        <w:t xml:space="preserve"> performance. The connoisseur or aficionado is capable of applying fine discriminations in evaluating and classifying styles and levels of performative skill. Obviously, the professional critic is a key exemplar, but there are many degrees of well-informed observer, who can appreciate or criticise, or who can ascribe a particular style to a performance. If practice demands degrees of felicity, the critical competence is based on the informed evaluation of that felicity. However, there is no requirement that the connoisseur should be perfectly competent as a practitioner. The art critic is not required to produce paintings in the style of the major artist(s) on which </w:t>
      </w:r>
      <w:r w:rsidR="00BA1BE0">
        <w:t>she or he</w:t>
      </w:r>
      <w:r w:rsidRPr="00382CAF">
        <w:t xml:space="preserve"> expresses an opinion or has knowledge. Connoisseurship may well be based on specific </w:t>
      </w:r>
      <w:r w:rsidRPr="00382CAF">
        <w:lastRenderedPageBreak/>
        <w:t xml:space="preserve">competence: the experienced judge of cattle at a country show will probably be drawn from the same cultural background as the breeders who compete, but it is not a necessary requirement that he or she can actually breed cattle of equivalent quality (cf Grasseni 2007). </w:t>
      </w:r>
    </w:p>
    <w:p w:rsidR="00E675CF" w:rsidRDefault="00E675CF" w:rsidP="008535C9">
      <w:pPr>
        <w:spacing w:line="480" w:lineRule="auto"/>
      </w:pPr>
      <w:proofErr w:type="gramStart"/>
      <w:r>
        <w:rPr>
          <w:i/>
        </w:rPr>
        <w:t>Situational competence</w:t>
      </w:r>
      <w:r>
        <w:t>.</w:t>
      </w:r>
      <w:proofErr w:type="gramEnd"/>
      <w:r>
        <w:t xml:space="preserve"> Situational competence reflects a degree of enculturation, to the extent that the fully socialised member is tacitly versed in the ordinary and special forms of social encounter, has interactional competence in dealing with fellow members, and can sustain unsel</w:t>
      </w:r>
      <w:r w:rsidR="0079187A">
        <w:t xml:space="preserve">fconscious social interaction. She or </w:t>
      </w:r>
      <w:r>
        <w:t xml:space="preserve">he is able to manage and participate in </w:t>
      </w:r>
      <w:r w:rsidRPr="00F31703">
        <w:t>specialised occasions, such as those associated with particular organisational or occupational settings.</w:t>
      </w:r>
      <w:r>
        <w:t xml:space="preserve"> Such competence includes an acculturated facility in the ceremonial order of situations and encounters. It is the basis for sociality in ordinary settings. It renders possible the interaction order. It is perfor</w:t>
      </w:r>
      <w:r w:rsidR="00A45845">
        <w:t xml:space="preserve">med with unselfconscious ease. </w:t>
      </w:r>
      <w:r w:rsidR="00A45845" w:rsidRPr="002B589E">
        <w:t>Thus, as a qualified social worker with over ten years of practice experience, Morriss</w:t>
      </w:r>
      <w:r w:rsidR="00DA549D" w:rsidRPr="002B589E">
        <w:t xml:space="preserve"> </w:t>
      </w:r>
      <w:r w:rsidR="00A45845" w:rsidRPr="002B589E">
        <w:t xml:space="preserve">was able </w:t>
      </w:r>
      <w:r w:rsidR="00DA549D" w:rsidRPr="002B589E">
        <w:t xml:space="preserve">to </w:t>
      </w:r>
      <w:r w:rsidR="009226B4" w:rsidRPr="002B589E">
        <w:t xml:space="preserve">‘naturally’ </w:t>
      </w:r>
      <w:r w:rsidR="00DA549D" w:rsidRPr="002B589E">
        <w:t xml:space="preserve">co-accomplish non-seriousness </w:t>
      </w:r>
      <w:r w:rsidR="00A45845" w:rsidRPr="002B589E">
        <w:t>in her interview-as-interaction with other social workers</w:t>
      </w:r>
      <w:r w:rsidR="008D0E16" w:rsidRPr="002B589E">
        <w:t xml:space="preserve"> (2015b)</w:t>
      </w:r>
      <w:r w:rsidR="00DA549D" w:rsidRPr="002B589E">
        <w:t>; as well as co-narrate atrocity stories</w:t>
      </w:r>
      <w:r w:rsidR="008D0E16" w:rsidRPr="002B589E">
        <w:t xml:space="preserve"> (2015c)</w:t>
      </w:r>
      <w:r w:rsidR="00A45845" w:rsidRPr="002B589E">
        <w:t>.</w:t>
      </w:r>
      <w:r w:rsidR="00A45845">
        <w:t xml:space="preserve"> </w:t>
      </w:r>
      <w:r>
        <w:t xml:space="preserve">The outsider, at the opposite extreme, has little or no grasp of such interactional or ceremonial conventions, is gauche and self-conscious. Adequate competence, gained through repeated interactions and encounters, allows the participant to develop a working understanding of the normal modes of interaction, some of the exceptions and surprises. It sustains a level of politeness and tact, based on the </w:t>
      </w:r>
      <w:r>
        <w:rPr>
          <w:i/>
        </w:rPr>
        <w:t>savoir faire</w:t>
      </w:r>
      <w:r>
        <w:t xml:space="preserve"> of the more experienced member. </w:t>
      </w:r>
    </w:p>
    <w:p w:rsidR="00E675CF" w:rsidRPr="00382CAF" w:rsidRDefault="00E675CF" w:rsidP="008535C9">
      <w:pPr>
        <w:spacing w:line="480" w:lineRule="auto"/>
      </w:pPr>
      <w:proofErr w:type="gramStart"/>
      <w:r w:rsidRPr="00C007D4">
        <w:rPr>
          <w:i/>
        </w:rPr>
        <w:t>Descriptive c</w:t>
      </w:r>
      <w:r>
        <w:rPr>
          <w:i/>
        </w:rPr>
        <w:t>ompetence</w:t>
      </w:r>
      <w:r>
        <w:t>.</w:t>
      </w:r>
      <w:proofErr w:type="gramEnd"/>
      <w:r>
        <w:t xml:space="preserve"> </w:t>
      </w:r>
      <w:r w:rsidRPr="00382CAF">
        <w:t xml:space="preserve">Descriptive or recognition competence allows the observer to identify and to describe cases, types and instance. The bird-watcher can exercise such competence in distinguishing between species, and can describe the characteristic shape and markings of each. The train-spotter can likewise recognise and describe multiple types of locomotive without necessarily having the engineering competence to service one, or the practical competence to drive one. It is possible to develop recognition competence </w:t>
      </w:r>
      <w:r w:rsidRPr="00382CAF">
        <w:lastRenderedPageBreak/>
        <w:t xml:space="preserve">independently of practical skills. One can see, recognise and classify without being able to </w:t>
      </w:r>
      <w:r>
        <w:t>make or perform</w:t>
      </w:r>
      <w:r w:rsidRPr="00382CAF">
        <w:t xml:space="preserve">. Indeed, insofar as there is a distance between watching and doing, descriptive competence is often orthogonal to practical competence. </w:t>
      </w:r>
      <w:r w:rsidRPr="00382CAF">
        <w:rPr>
          <w:i/>
        </w:rPr>
        <w:t>Commentary competence</w:t>
      </w:r>
      <w:r w:rsidRPr="00382CAF">
        <w:t xml:space="preserve"> is a variant, based here on an analogy with the sports commentator on radio or TV. He or she is highly competent at describing passages of play, and of prov</w:t>
      </w:r>
      <w:r>
        <w:t>id</w:t>
      </w:r>
      <w:r w:rsidRPr="00382CAF">
        <w:t xml:space="preserve">ing a running commentary on a game that she or he is not actually participating in. The commentator can potentially see patterns and strategic issues that the players themselves cannot, having as s/he does a broader perspective. In the real world, many commentators are former practitioners, but the knowledge and skills required are not the same, and high-level skills as a practitioner are not always a pre-requisite to good commentary. </w:t>
      </w:r>
      <w:r>
        <w:t>The novice has little facility in using appropriate descriptive or classificatory schemes. He or she cannot recognise even common types: essential criteria are not distinguished from inessential details.</w:t>
      </w:r>
    </w:p>
    <w:p w:rsidR="00E675CF" w:rsidRDefault="00E675CF" w:rsidP="008535C9">
      <w:pPr>
        <w:spacing w:line="480" w:lineRule="auto"/>
      </w:pPr>
      <w:proofErr w:type="gramStart"/>
      <w:r w:rsidRPr="00C007D4">
        <w:rPr>
          <w:i/>
        </w:rPr>
        <w:t>Pedagogical competence.</w:t>
      </w:r>
      <w:proofErr w:type="gramEnd"/>
      <w:r>
        <w:t xml:space="preserve"> </w:t>
      </w:r>
      <w:r w:rsidRPr="00382CAF">
        <w:t>The competent pedagogue possesses enough practical, advanced competence to be able to instruct and coach others. In ethnomethodological terms, the accomplishment of ‘work’ has to be made exhibitable, observable and reportable (Garfinkel and Sacks 1970) to the marginal member. Description is not a member’s concern except for the purposes of instructing (Rawls 2006 p.92). In other words, a member engaged in the on-going accomplishment of an interaction is not concerned with providing an analogous description or commentary on what is happening unless s</w:t>
      </w:r>
      <w:r w:rsidR="008C7FE6">
        <w:t xml:space="preserve">he or </w:t>
      </w:r>
      <w:r w:rsidRPr="00382CAF">
        <w:t xml:space="preserve">he is instructing another person in that activity. Like the connoisseur, the coach has a developed competence in evaluating the performance of others. The coach also has sufficient pedagogical competence to impart her or his understanding to novices and to elite performers. He or she can use observational competence in monitoring another’s performance, and therefore transform that observation into technical advice. For instance, the golf coach can observe the player’s swing and analyse it in order to make technical improvements. The experienced performer </w:t>
      </w:r>
      <w:r w:rsidRPr="00382CAF">
        <w:lastRenderedPageBreak/>
        <w:t>conducting a masterclass can equally suggest relatively specific technical modifications that can transform a performance. Pedagogical competence depends on an adequate level of competence on the part of the trainer, but it does not always depend on superior competence. Coaches to elite performers may not aspire to the same level of actual performance, but can occupy an equivalently elite level of pedagogical competence. There can, indeed, be ‘star’ coaches, masterclass mentors, and the like, in their own right.</w:t>
      </w:r>
      <w:r>
        <w:t xml:space="preserve"> One is, therefore, justified in treating it as a parallel type of competence.</w:t>
      </w:r>
    </w:p>
    <w:p w:rsidR="00E675CF" w:rsidRPr="00C007D4" w:rsidRDefault="00E675CF" w:rsidP="008535C9">
      <w:pPr>
        <w:spacing w:line="480" w:lineRule="auto"/>
        <w:rPr>
          <w:b/>
        </w:rPr>
      </w:pPr>
      <w:r>
        <w:rPr>
          <w:b/>
        </w:rPr>
        <w:t>Discussion</w:t>
      </w:r>
    </w:p>
    <w:p w:rsidR="00E675CF" w:rsidRPr="007D2D23" w:rsidRDefault="00E675CF" w:rsidP="008535C9">
      <w:pPr>
        <w:spacing w:line="480" w:lineRule="auto"/>
      </w:pPr>
      <w:r w:rsidRPr="00382CAF">
        <w:t>Now the problem for us is this: What kind and what level of competence can and should the ethnographer seek to attain? If we accept that the rough-and-ready categories offered above are far from exhaustive and are not necessarily mutually exclusive, then one can also see that there is no single answer to the question. Indeed, one really needs to turn the question round. There is clearly no one level or type of knowledge that can be aspired to. The competence achieved by the ethnographer must clearly depend to a considerable extent on the project in hand. The kind of competence that is acquired and used in the ethnography is also significant: does the ethnographer aim to be a connoisseur, a competent practitioner, an expert practitioner, an informed commentator? Or indeed, is some combination of these competences desired?</w:t>
      </w:r>
      <w:r>
        <w:t xml:space="preserve"> It may be</w:t>
      </w:r>
      <w:r w:rsidR="008C7FE6">
        <w:t xml:space="preserve"> </w:t>
      </w:r>
      <w:r>
        <w:t xml:space="preserve">thought that the ethnographer does not need to concern herself with pedagogical competence, except as a topic of inquiry. While that is often true, the capacity to </w:t>
      </w:r>
      <w:r>
        <w:rPr>
          <w:i/>
        </w:rPr>
        <w:t>explain</w:t>
      </w:r>
      <w:r>
        <w:t xml:space="preserve"> the processes of knowledge acquisition</w:t>
      </w:r>
      <w:r w:rsidR="008C7FE6">
        <w:t xml:space="preserve"> is necessary.</w:t>
      </w:r>
      <w:r>
        <w:t xml:space="preserve"> </w:t>
      </w:r>
    </w:p>
    <w:p w:rsidR="00E675CF" w:rsidRPr="003C0C68" w:rsidRDefault="00E675CF" w:rsidP="008535C9">
      <w:pPr>
        <w:spacing w:line="480" w:lineRule="auto"/>
      </w:pPr>
      <w:r>
        <w:t xml:space="preserve">Practical competence in everyday or specialised activity can be a valuable tool in the analysis of artful and skilful practice. The ethnographer rarely needs – or is able – to become a virtuoso performer. But the gain in experiential, tacit and embodied competence is in many cases a desirable outcome. The key difference between the everyday expert and the </w:t>
      </w:r>
      <w:r>
        <w:lastRenderedPageBreak/>
        <w:t>ethnographer is the latter’s capacity to maintain reflexive self-aw</w:t>
      </w:r>
      <w:r w:rsidR="00701E7B">
        <w:t xml:space="preserve">areness and analytic distance. She or </w:t>
      </w:r>
      <w:r>
        <w:t xml:space="preserve">he is never preoccupied solely with knowledge-acquisition </w:t>
      </w:r>
      <w:r>
        <w:rPr>
          <w:i/>
        </w:rPr>
        <w:t>per se</w:t>
      </w:r>
      <w:r>
        <w:t>, but also with the processes by which such learning is achieved. There is always, in principle, the phenomenological reduction whereby such competence is the object of scrutiny as well as a resource in its accomplishment. Likewise, while the expert practitioner may strive to practice unselfconsciously, the ethnographer always maintains conscious awareness and analytic scrutiny of the methods whereby competence is managed, reproduced and made visible.</w:t>
      </w:r>
    </w:p>
    <w:p w:rsidR="00E675CF" w:rsidRDefault="00E675CF" w:rsidP="008535C9">
      <w:pPr>
        <w:spacing w:line="480" w:lineRule="auto"/>
      </w:pPr>
      <w:r w:rsidRPr="00382CAF">
        <w:t xml:space="preserve">What is clear is that ethnographic researchers cannot aspire to be - or to become - adept in all forms of local and expert knowledge at every possible level. In many cases, the ethnographer can acquire the kind of observational capacities of the commentator, or the connoisseur. The capacity to describe actors’ competence, to identify recurrent methods and strategies, is an acquired one. It does not come ‘naturally’. It is accomplished through detailed analysis of knowledge-in-action, and is based on evidence. It should always be remembered, however, that the aim of the ethnography is rarely, if ever, to become a proficient practitioner. And it is </w:t>
      </w:r>
      <w:r w:rsidRPr="005F62E9">
        <w:t>equally rare for practitioner-competence to be a prerequisite for undertaking ethnographic work.</w:t>
      </w:r>
      <w:r w:rsidRPr="00382CAF">
        <w:t xml:space="preserve"> We need to be able to make sense of specialised knowledge-in-action in order to make sociological or anthropological sense of what is going on, how expertise is used, how knowledge is transmitted, how embodied knowledge is expressed through the techniques of the body, and so on. We ought to be able to follow a technical discussion – such as a clinical case-conference, or a social worker’s account – in the interests of a more generic interest: how cases are constructed, how complaints are formulated, how disagreements are expressed, resolved or left open, how decisions get arrived at (see for inst</w:t>
      </w:r>
      <w:r w:rsidR="00DA549D">
        <w:t xml:space="preserve">ance Atkinson 1995; </w:t>
      </w:r>
      <w:r w:rsidR="00DA549D" w:rsidRPr="002B589E">
        <w:t>Morriss 201</w:t>
      </w:r>
      <w:r w:rsidR="008D0E16" w:rsidRPr="002B589E">
        <w:t>5c</w:t>
      </w:r>
      <w:r w:rsidRPr="002B589E">
        <w:t>).</w:t>
      </w:r>
      <w:r w:rsidRPr="00382CAF">
        <w:t xml:space="preserve"> In practice, we can see how individual fieldworkers can develop adequate levels of competence and understanding across a variety of fields in a way that complete mast</w:t>
      </w:r>
      <w:r>
        <w:t xml:space="preserve">ery would preclude. </w:t>
      </w:r>
      <w:r w:rsidRPr="00382CAF">
        <w:t>Fine</w:t>
      </w:r>
      <w:r>
        <w:t>’s many exercises in ethnog</w:t>
      </w:r>
      <w:r w:rsidR="000157B2">
        <w:t xml:space="preserve">raphic research, for instance, </w:t>
      </w:r>
      <w:r>
        <w:t>have</w:t>
      </w:r>
      <w:r w:rsidRPr="00382CAF">
        <w:t xml:space="preserve"> covered a </w:t>
      </w:r>
      <w:r w:rsidRPr="00382CAF">
        <w:lastRenderedPageBreak/>
        <w:t xml:space="preserve">remarkable variety of esoteric domains: professional kitchens (1996), mushroom collectors (1998), naïve art (2004) and meteorology (2007) are just some of these.  </w:t>
      </w:r>
      <w:r>
        <w:t xml:space="preserve">It is abundantly clear that such ethnographic achievement is not dependent on virtuosic expertise in all those areas. It is clear, however, that some level of competence in one or more types of knowledge is a necessary outcome of the ethnographic fieldwork. </w:t>
      </w:r>
    </w:p>
    <w:p w:rsidR="00E675CF" w:rsidRPr="00382CAF" w:rsidRDefault="00E675CF" w:rsidP="008535C9">
      <w:pPr>
        <w:spacing w:line="480" w:lineRule="auto"/>
        <w:rPr>
          <w:b/>
        </w:rPr>
      </w:pPr>
      <w:r>
        <w:rPr>
          <w:b/>
        </w:rPr>
        <w:t>References</w:t>
      </w:r>
    </w:p>
    <w:p w:rsidR="00E675CF" w:rsidRPr="00382CAF" w:rsidRDefault="00E675CF" w:rsidP="008535C9">
      <w:pPr>
        <w:spacing w:line="480" w:lineRule="auto"/>
        <w:ind w:left="720" w:hanging="720"/>
      </w:pPr>
      <w:r w:rsidRPr="00382CAF">
        <w:t xml:space="preserve">Atkinson, P. (1995) </w:t>
      </w:r>
      <w:r w:rsidRPr="00382CAF">
        <w:rPr>
          <w:i/>
        </w:rPr>
        <w:t>Medical Talk and Medical Work: The Liturgy of the Clinic</w:t>
      </w:r>
      <w:r w:rsidRPr="00382CAF">
        <w:t xml:space="preserve">. London: Sage. </w:t>
      </w:r>
    </w:p>
    <w:p w:rsidR="00E675CF" w:rsidRPr="00382CAF" w:rsidRDefault="00E675CF" w:rsidP="008535C9">
      <w:pPr>
        <w:spacing w:line="480" w:lineRule="auto"/>
        <w:ind w:left="720" w:hanging="720"/>
      </w:pPr>
      <w:r w:rsidRPr="00382CAF">
        <w:t xml:space="preserve">Atkinson, P. (2006) </w:t>
      </w:r>
      <w:r w:rsidRPr="00382CAF">
        <w:rPr>
          <w:i/>
        </w:rPr>
        <w:t>Everyday Arias: An Operatic Ethnography</w:t>
      </w:r>
      <w:r w:rsidRPr="00382CAF">
        <w:t xml:space="preserve">. Lanham MD: </w:t>
      </w:r>
      <w:proofErr w:type="spellStart"/>
      <w:r w:rsidRPr="00382CAF">
        <w:t>AltaMira</w:t>
      </w:r>
      <w:proofErr w:type="spellEnd"/>
      <w:r w:rsidRPr="00382CAF">
        <w:t xml:space="preserve">. </w:t>
      </w:r>
    </w:p>
    <w:p w:rsidR="00E675CF" w:rsidRDefault="00E675CF" w:rsidP="008535C9">
      <w:pPr>
        <w:spacing w:line="480" w:lineRule="auto"/>
        <w:ind w:left="720" w:hanging="720"/>
      </w:pPr>
      <w:r w:rsidRPr="00382CAF">
        <w:t xml:space="preserve">Atkinson, P. (2013) Ethnography and craft knowledge, </w:t>
      </w:r>
      <w:r w:rsidRPr="00382CAF">
        <w:rPr>
          <w:i/>
        </w:rPr>
        <w:t>Qualitative Sociology Review</w:t>
      </w:r>
      <w:r w:rsidRPr="00382CAF">
        <w:t>, 9, 2: 56-63.</w:t>
      </w:r>
    </w:p>
    <w:p w:rsidR="00E675CF" w:rsidRPr="00E57E28" w:rsidRDefault="00E675CF" w:rsidP="008535C9">
      <w:pPr>
        <w:spacing w:line="480" w:lineRule="auto"/>
        <w:ind w:left="720" w:hanging="720"/>
      </w:pPr>
      <w:r>
        <w:t>Atkinson P. and Delamont, S. (2008) Editors’ introduction: Ethnographic representation and rhetoric, in P. Atkinson and S. Delamont (</w:t>
      </w:r>
      <w:proofErr w:type="spellStart"/>
      <w:proofErr w:type="gramStart"/>
      <w:r>
        <w:t>eds</w:t>
      </w:r>
      <w:proofErr w:type="spellEnd"/>
      <w:proofErr w:type="gramEnd"/>
      <w:r>
        <w:t xml:space="preserve">) </w:t>
      </w:r>
      <w:r>
        <w:rPr>
          <w:i/>
        </w:rPr>
        <w:t>Representing Ethnography</w:t>
      </w:r>
      <w:r>
        <w:t xml:space="preserve"> (4 </w:t>
      </w:r>
      <w:proofErr w:type="spellStart"/>
      <w:r>
        <w:t>Vols</w:t>
      </w:r>
      <w:proofErr w:type="spellEnd"/>
      <w:r>
        <w:t>). London: Sage.</w:t>
      </w:r>
    </w:p>
    <w:p w:rsidR="00E675CF" w:rsidRDefault="00E675CF" w:rsidP="008535C9">
      <w:pPr>
        <w:spacing w:line="480" w:lineRule="auto"/>
        <w:ind w:left="720" w:hanging="720"/>
      </w:pPr>
      <w:r w:rsidRPr="00382CAF">
        <w:t xml:space="preserve">Collins, H. M. and Evans, R.E. (2002) </w:t>
      </w:r>
      <w:proofErr w:type="gramStart"/>
      <w:r w:rsidRPr="00744B9B">
        <w:t>The</w:t>
      </w:r>
      <w:proofErr w:type="gramEnd"/>
      <w:r w:rsidRPr="00744B9B">
        <w:t xml:space="preserve"> third wave of science studies: Studies of expertise and experience,</w:t>
      </w:r>
      <w:r w:rsidRPr="00382CAF">
        <w:t xml:space="preserve"> </w:t>
      </w:r>
      <w:r w:rsidRPr="00744B9B">
        <w:rPr>
          <w:i/>
        </w:rPr>
        <w:t>Social Studies of Science</w:t>
      </w:r>
      <w:r w:rsidRPr="00382CAF">
        <w:t xml:space="preserve">, 32, 2: 235-296. </w:t>
      </w:r>
    </w:p>
    <w:p w:rsidR="00E675CF" w:rsidRPr="00DF67EA" w:rsidRDefault="00E675CF" w:rsidP="008535C9">
      <w:pPr>
        <w:spacing w:line="480" w:lineRule="auto"/>
        <w:ind w:left="720" w:hanging="720"/>
      </w:pPr>
      <w:proofErr w:type="gramStart"/>
      <w:r w:rsidRPr="00382CAF">
        <w:t>Coll</w:t>
      </w:r>
      <w:r>
        <w:t>ins, H. M. and Evans, R.E. (2007</w:t>
      </w:r>
      <w:r w:rsidRPr="00382CAF">
        <w:t>)</w:t>
      </w:r>
      <w:r>
        <w:t xml:space="preserve"> </w:t>
      </w:r>
      <w:r>
        <w:rPr>
          <w:i/>
        </w:rPr>
        <w:t>Rethinking Expertise</w:t>
      </w:r>
      <w:r>
        <w:t>.</w:t>
      </w:r>
      <w:proofErr w:type="gramEnd"/>
      <w:r>
        <w:t xml:space="preserve"> Chicago: University of Chicago Press.</w:t>
      </w:r>
    </w:p>
    <w:p w:rsidR="00E675CF" w:rsidRPr="00744B9B" w:rsidRDefault="00E675CF" w:rsidP="008535C9">
      <w:pPr>
        <w:spacing w:line="480" w:lineRule="auto"/>
        <w:ind w:left="720" w:hanging="720"/>
      </w:pPr>
      <w:r>
        <w:t xml:space="preserve">Downey, G., Dalidowicz, M. and Mason, P.H. (2015) Apprenticeship as method: Embodied learning in ethnographic practice, </w:t>
      </w:r>
      <w:r>
        <w:rPr>
          <w:i/>
        </w:rPr>
        <w:t>Qualitative Research</w:t>
      </w:r>
      <w:r>
        <w:t xml:space="preserve">, 15, 2: </w:t>
      </w:r>
    </w:p>
    <w:p w:rsidR="00E675CF" w:rsidRPr="00382CAF" w:rsidRDefault="00E675CF" w:rsidP="008535C9">
      <w:pPr>
        <w:spacing w:line="480" w:lineRule="auto"/>
        <w:ind w:left="720" w:hanging="720"/>
      </w:pPr>
      <w:proofErr w:type="gramStart"/>
      <w:r w:rsidRPr="00382CAF">
        <w:t xml:space="preserve">Fine, G.A. (1996) </w:t>
      </w:r>
      <w:r w:rsidRPr="00382CAF">
        <w:rPr>
          <w:i/>
        </w:rPr>
        <w:t>Kitchens</w:t>
      </w:r>
      <w:r w:rsidRPr="00382CAF">
        <w:t>.</w:t>
      </w:r>
      <w:proofErr w:type="gramEnd"/>
      <w:r w:rsidRPr="00382CAF">
        <w:t xml:space="preserve"> Berkeley CA: University of California Press. </w:t>
      </w:r>
    </w:p>
    <w:p w:rsidR="00E675CF" w:rsidRPr="00382CAF" w:rsidRDefault="00E675CF" w:rsidP="008535C9">
      <w:pPr>
        <w:spacing w:line="480" w:lineRule="auto"/>
        <w:ind w:left="720" w:hanging="720"/>
      </w:pPr>
      <w:proofErr w:type="gramStart"/>
      <w:r w:rsidRPr="00382CAF">
        <w:t xml:space="preserve">Fine, G.A. (1998) </w:t>
      </w:r>
      <w:r w:rsidRPr="00382CAF">
        <w:rPr>
          <w:i/>
        </w:rPr>
        <w:t>Morel Tales</w:t>
      </w:r>
      <w:r w:rsidRPr="00382CAF">
        <w:t>.</w:t>
      </w:r>
      <w:proofErr w:type="gramEnd"/>
      <w:r w:rsidRPr="00382CAF">
        <w:t xml:space="preserve"> Cambridge MA: Harvard University Press. </w:t>
      </w:r>
    </w:p>
    <w:p w:rsidR="00E675CF" w:rsidRPr="00382CAF" w:rsidRDefault="00E675CF" w:rsidP="008535C9">
      <w:pPr>
        <w:spacing w:line="480" w:lineRule="auto"/>
        <w:ind w:left="720" w:hanging="720"/>
      </w:pPr>
      <w:proofErr w:type="gramStart"/>
      <w:r w:rsidRPr="00382CAF">
        <w:lastRenderedPageBreak/>
        <w:t xml:space="preserve">Fine, G.A. </w:t>
      </w:r>
      <w:r w:rsidRPr="00382CAF">
        <w:rPr>
          <w:i/>
        </w:rPr>
        <w:t>Everyday Genius</w:t>
      </w:r>
      <w:r w:rsidRPr="00382CAF">
        <w:t>.</w:t>
      </w:r>
      <w:proofErr w:type="gramEnd"/>
      <w:r w:rsidRPr="00382CAF">
        <w:t xml:space="preserve"> Chicago: University of Chicago Press. </w:t>
      </w:r>
    </w:p>
    <w:p w:rsidR="00E675CF" w:rsidRPr="00382CAF" w:rsidRDefault="00E675CF" w:rsidP="008535C9">
      <w:pPr>
        <w:spacing w:line="480" w:lineRule="auto"/>
        <w:ind w:left="720" w:hanging="720"/>
      </w:pPr>
      <w:proofErr w:type="gramStart"/>
      <w:r w:rsidRPr="00382CAF">
        <w:t xml:space="preserve">Fine, G.A. (2007) </w:t>
      </w:r>
      <w:r w:rsidRPr="00382CAF">
        <w:rPr>
          <w:i/>
        </w:rPr>
        <w:t>Authors of the Storm</w:t>
      </w:r>
      <w:r w:rsidRPr="00382CAF">
        <w:t>.</w:t>
      </w:r>
      <w:proofErr w:type="gramEnd"/>
      <w:r w:rsidRPr="00382CAF">
        <w:t xml:space="preserve"> Chicago: University of Chicago Press. </w:t>
      </w:r>
    </w:p>
    <w:p w:rsidR="00E675CF" w:rsidRPr="00382CAF" w:rsidRDefault="00E675CF" w:rsidP="008535C9">
      <w:pPr>
        <w:spacing w:line="480" w:lineRule="auto"/>
        <w:ind w:left="720" w:hanging="720"/>
      </w:pPr>
      <w:r w:rsidRPr="00382CAF">
        <w:t xml:space="preserve">Fleck, L. (1937/1979) </w:t>
      </w:r>
      <w:proofErr w:type="gramStart"/>
      <w:r w:rsidRPr="00382CAF">
        <w:rPr>
          <w:i/>
        </w:rPr>
        <w:t>The</w:t>
      </w:r>
      <w:proofErr w:type="gramEnd"/>
      <w:r w:rsidRPr="00382CAF">
        <w:rPr>
          <w:i/>
        </w:rPr>
        <w:t xml:space="preserve"> Genesis and Development of a Scientific Fact</w:t>
      </w:r>
      <w:r w:rsidRPr="00382CAF">
        <w:t xml:space="preserve">. Chicago: University of Chicago Press. </w:t>
      </w:r>
    </w:p>
    <w:p w:rsidR="00E675CF" w:rsidRPr="00382CAF" w:rsidRDefault="00E675CF" w:rsidP="008535C9">
      <w:pPr>
        <w:spacing w:line="480" w:lineRule="auto"/>
        <w:ind w:left="720" w:hanging="720"/>
      </w:pPr>
      <w:r w:rsidRPr="00382CAF">
        <w:t xml:space="preserve">Garfinkel, H. (1967). </w:t>
      </w:r>
      <w:proofErr w:type="gramStart"/>
      <w:r w:rsidRPr="00382CAF">
        <w:rPr>
          <w:i/>
        </w:rPr>
        <w:t>Studies in Ethnomethodology</w:t>
      </w:r>
      <w:r w:rsidRPr="00382CAF">
        <w:t>.</w:t>
      </w:r>
      <w:proofErr w:type="gramEnd"/>
      <w:r w:rsidRPr="00382CAF">
        <w:t xml:space="preserve"> Englewood Cliffs, N.J.: Prentice-Hall.</w:t>
      </w:r>
    </w:p>
    <w:p w:rsidR="00E675CF" w:rsidRPr="00382CAF" w:rsidRDefault="00E675CF" w:rsidP="008535C9">
      <w:pPr>
        <w:spacing w:line="480" w:lineRule="auto"/>
        <w:ind w:left="720" w:hanging="720"/>
      </w:pPr>
      <w:r w:rsidRPr="00382CAF">
        <w:t xml:space="preserve">Garfinkel, H. (2002). </w:t>
      </w:r>
      <w:r w:rsidRPr="00382CAF">
        <w:rPr>
          <w:i/>
        </w:rPr>
        <w:t>Ethnomethodology’s program: Working out Durkheim’s aphorism</w:t>
      </w:r>
      <w:r w:rsidRPr="00382CAF">
        <w:t xml:space="preserve">. Lanham, MD: Rowman and Littlefield. </w:t>
      </w:r>
    </w:p>
    <w:p w:rsidR="00E675CF" w:rsidRPr="00382CAF" w:rsidRDefault="00E675CF" w:rsidP="008535C9">
      <w:pPr>
        <w:spacing w:line="480" w:lineRule="auto"/>
        <w:ind w:left="720" w:hanging="720"/>
      </w:pPr>
      <w:proofErr w:type="gramStart"/>
      <w:r w:rsidRPr="00382CAF">
        <w:t>Garfinkel, H. and Sacks, H. (1970).</w:t>
      </w:r>
      <w:proofErr w:type="gramEnd"/>
      <w:r w:rsidRPr="00382CAF">
        <w:t xml:space="preserve"> </w:t>
      </w:r>
      <w:proofErr w:type="gramStart"/>
      <w:r w:rsidRPr="00382CAF">
        <w:t>On formal structures of practical actions.</w:t>
      </w:r>
      <w:proofErr w:type="gramEnd"/>
      <w:r w:rsidRPr="00382CAF">
        <w:t xml:space="preserve"> In J.C. McKinney and E.A. </w:t>
      </w:r>
      <w:proofErr w:type="spellStart"/>
      <w:r w:rsidRPr="00382CAF">
        <w:t>Tiryakian</w:t>
      </w:r>
      <w:proofErr w:type="spellEnd"/>
      <w:r w:rsidRPr="00382CAF">
        <w:t xml:space="preserve"> (</w:t>
      </w:r>
      <w:proofErr w:type="spellStart"/>
      <w:r w:rsidRPr="00382CAF">
        <w:t>Eds</w:t>
      </w:r>
      <w:proofErr w:type="spellEnd"/>
      <w:r w:rsidRPr="00382CAF">
        <w:t xml:space="preserve">), </w:t>
      </w:r>
      <w:r w:rsidRPr="00382CAF">
        <w:rPr>
          <w:i/>
        </w:rPr>
        <w:t>Theoretical Sociology: Perspectives and Developments</w:t>
      </w:r>
      <w:r w:rsidRPr="00382CAF">
        <w:t xml:space="preserve"> (pp.338-366). New York: Appleton-Century-Crofts.</w:t>
      </w:r>
    </w:p>
    <w:p w:rsidR="00E675CF" w:rsidRPr="00382CAF" w:rsidRDefault="00E675CF" w:rsidP="008535C9">
      <w:pPr>
        <w:spacing w:line="480" w:lineRule="auto"/>
        <w:ind w:left="720" w:hanging="720"/>
      </w:pPr>
      <w:proofErr w:type="gramStart"/>
      <w:r w:rsidRPr="00382CAF">
        <w:t>Garfinkel, H. and Wieder, D.L. (1992).</w:t>
      </w:r>
      <w:proofErr w:type="gramEnd"/>
      <w:r w:rsidRPr="00382CAF">
        <w:t xml:space="preserve"> </w:t>
      </w:r>
      <w:proofErr w:type="gramStart"/>
      <w:r w:rsidRPr="00382CAF">
        <w:t>Two incommensurable, asymmetrically alternate technologies of social analysis.</w:t>
      </w:r>
      <w:proofErr w:type="gramEnd"/>
      <w:r w:rsidRPr="00382CAF">
        <w:t xml:space="preserve"> In G. Watson and R.M. Seiler (</w:t>
      </w:r>
      <w:proofErr w:type="spellStart"/>
      <w:r w:rsidRPr="00382CAF">
        <w:t>Eds</w:t>
      </w:r>
      <w:proofErr w:type="spellEnd"/>
      <w:r w:rsidRPr="00382CAF">
        <w:t xml:space="preserve">), </w:t>
      </w:r>
      <w:r w:rsidRPr="00382CAF">
        <w:rPr>
          <w:i/>
          <w:iCs/>
        </w:rPr>
        <w:t>Text in context: studies in ethnomethodology</w:t>
      </w:r>
      <w:r w:rsidRPr="00382CAF">
        <w:rPr>
          <w:iCs/>
        </w:rPr>
        <w:t xml:space="preserve"> (pp.175-206)</w:t>
      </w:r>
      <w:r w:rsidRPr="00382CAF">
        <w:t xml:space="preserve">. Newbury Park: Sage. </w:t>
      </w:r>
    </w:p>
    <w:p w:rsidR="00E675CF" w:rsidRPr="00382CAF" w:rsidRDefault="00E675CF" w:rsidP="008535C9">
      <w:pPr>
        <w:spacing w:line="480" w:lineRule="auto"/>
        <w:ind w:left="720" w:hanging="720"/>
      </w:pPr>
      <w:r w:rsidRPr="00382CAF">
        <w:t xml:space="preserve">Goffman, A (2014) </w:t>
      </w:r>
      <w:proofErr w:type="gramStart"/>
      <w:r w:rsidRPr="00382CAF">
        <w:rPr>
          <w:i/>
        </w:rPr>
        <w:t>On</w:t>
      </w:r>
      <w:proofErr w:type="gramEnd"/>
      <w:r w:rsidRPr="00382CAF">
        <w:rPr>
          <w:i/>
        </w:rPr>
        <w:t xml:space="preserve"> the run: Fugitive Life in an American City</w:t>
      </w:r>
      <w:r w:rsidRPr="00382CAF">
        <w:t xml:space="preserve">. Chicago: University of Chicago Press. </w:t>
      </w:r>
    </w:p>
    <w:p w:rsidR="00E675CF" w:rsidRPr="00382CAF" w:rsidRDefault="00E675CF" w:rsidP="008535C9">
      <w:pPr>
        <w:spacing w:line="480" w:lineRule="auto"/>
        <w:ind w:left="720" w:hanging="720"/>
      </w:pPr>
      <w:r w:rsidRPr="00382CAF">
        <w:t xml:space="preserve">Grasseni, C. (2007) Good looking: Learning to be a cattle breeder, in C. Grasseni (ed.) </w:t>
      </w:r>
      <w:r w:rsidRPr="00382CAF">
        <w:rPr>
          <w:i/>
        </w:rPr>
        <w:t>Skilled Visions: Between Apprenticeship and Standards</w:t>
      </w:r>
      <w:r w:rsidRPr="00382CAF">
        <w:t xml:space="preserve">. Oxford: </w:t>
      </w:r>
      <w:proofErr w:type="spellStart"/>
      <w:r w:rsidRPr="00382CAF">
        <w:t>Berghahn</w:t>
      </w:r>
      <w:proofErr w:type="spellEnd"/>
      <w:r w:rsidRPr="00382CAF">
        <w:t xml:space="preserve">, pp. 47-66 </w:t>
      </w:r>
    </w:p>
    <w:p w:rsidR="00E675CF" w:rsidRDefault="00E675CF" w:rsidP="008535C9">
      <w:pPr>
        <w:spacing w:line="480" w:lineRule="auto"/>
        <w:ind w:left="720" w:hanging="720"/>
      </w:pPr>
      <w:r w:rsidRPr="00382CAF">
        <w:t xml:space="preserve">Haase, B. (1998) </w:t>
      </w:r>
      <w:proofErr w:type="gramStart"/>
      <w:r w:rsidRPr="00382CAF">
        <w:t>Learning</w:t>
      </w:r>
      <w:proofErr w:type="gramEnd"/>
      <w:r w:rsidRPr="00382CAF">
        <w:t xml:space="preserve"> to be an apprentice, in J. Singleton (ed.) </w:t>
      </w:r>
      <w:r w:rsidRPr="00382CAF">
        <w:rPr>
          <w:i/>
        </w:rPr>
        <w:t>Learning in Likely Places: Varieties of Apprenticeship in Japan</w:t>
      </w:r>
      <w:r w:rsidRPr="00382CAF">
        <w:t xml:space="preserve">. Cambridge: Cambridge University Press, pp. 107-21. </w:t>
      </w:r>
    </w:p>
    <w:p w:rsidR="00E675CF" w:rsidRPr="00630AB4" w:rsidRDefault="00E675CF" w:rsidP="008535C9">
      <w:pPr>
        <w:spacing w:line="480" w:lineRule="auto"/>
        <w:ind w:left="720" w:hanging="720"/>
      </w:pPr>
      <w:r>
        <w:t xml:space="preserve">Hagedorn, K.J. (2001) </w:t>
      </w:r>
      <w:r>
        <w:rPr>
          <w:i/>
        </w:rPr>
        <w:t xml:space="preserve">Divine Utterances: The Performance of Afro-Cuban </w:t>
      </w:r>
      <w:proofErr w:type="spellStart"/>
      <w:r>
        <w:rPr>
          <w:i/>
        </w:rPr>
        <w:t>Santéria</w:t>
      </w:r>
      <w:proofErr w:type="spellEnd"/>
      <w:r>
        <w:t>. Washington DC: Smithsonian Institution Press.</w:t>
      </w:r>
    </w:p>
    <w:p w:rsidR="00E675CF" w:rsidRPr="00382CAF" w:rsidRDefault="00E675CF" w:rsidP="008535C9">
      <w:pPr>
        <w:spacing w:line="480" w:lineRule="auto"/>
        <w:ind w:left="720" w:hanging="720"/>
      </w:pPr>
      <w:r>
        <w:lastRenderedPageBreak/>
        <w:t xml:space="preserve">Hagedorn, K.J. (2002) </w:t>
      </w:r>
      <w:proofErr w:type="gramStart"/>
      <w:r>
        <w:t>Sacred</w:t>
      </w:r>
      <w:proofErr w:type="gramEnd"/>
      <w:r>
        <w:t xml:space="preserve"> secrets: Lessons with Francesco, in R. </w:t>
      </w:r>
      <w:proofErr w:type="spellStart"/>
      <w:r>
        <w:t>Emoff</w:t>
      </w:r>
      <w:proofErr w:type="spellEnd"/>
      <w:r>
        <w:t xml:space="preserve"> and D. Henderson (</w:t>
      </w:r>
      <w:proofErr w:type="spellStart"/>
      <w:r>
        <w:t>eds</w:t>
      </w:r>
      <w:proofErr w:type="spellEnd"/>
      <w:r>
        <w:t xml:space="preserve">) </w:t>
      </w:r>
      <w:r w:rsidRPr="00303B4C">
        <w:rPr>
          <w:i/>
        </w:rPr>
        <w:t>Memento</w:t>
      </w:r>
      <w:r>
        <w:rPr>
          <w:i/>
        </w:rPr>
        <w:t xml:space="preserve">s, </w:t>
      </w:r>
      <w:proofErr w:type="spellStart"/>
      <w:r>
        <w:rPr>
          <w:i/>
        </w:rPr>
        <w:t>Artifacts</w:t>
      </w:r>
      <w:proofErr w:type="spellEnd"/>
      <w:r>
        <w:rPr>
          <w:i/>
        </w:rPr>
        <w:t xml:space="preserve"> and Hallucinations</w:t>
      </w:r>
      <w:r>
        <w:t>. London: Routledge, pp. 31-44.</w:t>
      </w:r>
    </w:p>
    <w:p w:rsidR="00E675CF" w:rsidRPr="00382CAF" w:rsidRDefault="00E675CF" w:rsidP="008535C9">
      <w:pPr>
        <w:spacing w:line="480" w:lineRule="auto"/>
        <w:ind w:left="720" w:hanging="720"/>
      </w:pPr>
      <w:r w:rsidRPr="00382CAF">
        <w:t xml:space="preserve">Lave, J. (2011) </w:t>
      </w:r>
      <w:r w:rsidRPr="00382CAF">
        <w:rPr>
          <w:i/>
        </w:rPr>
        <w:t>Apprenticeship in Critical Ethnographic Practice</w:t>
      </w:r>
      <w:r w:rsidRPr="00382CAF">
        <w:t xml:space="preserve">. Chicago: University of Chicago Press. </w:t>
      </w:r>
    </w:p>
    <w:p w:rsidR="00E675CF" w:rsidRPr="00382CAF" w:rsidRDefault="00E675CF" w:rsidP="008535C9">
      <w:pPr>
        <w:spacing w:line="480" w:lineRule="auto"/>
        <w:ind w:left="720" w:hanging="720"/>
      </w:pPr>
      <w:r w:rsidRPr="00382CAF">
        <w:t xml:space="preserve">Lave, J. and Wenger, E. (1991) </w:t>
      </w:r>
      <w:r w:rsidRPr="00382CAF">
        <w:rPr>
          <w:i/>
        </w:rPr>
        <w:t>Situated Learning: Legitimate Peripheral Participation</w:t>
      </w:r>
      <w:r w:rsidRPr="00382CAF">
        <w:t xml:space="preserve">. Cambridge: Cambridge University Press. </w:t>
      </w:r>
    </w:p>
    <w:p w:rsidR="00E675CF" w:rsidRPr="00382CAF" w:rsidRDefault="00E675CF" w:rsidP="008535C9">
      <w:pPr>
        <w:spacing w:line="480" w:lineRule="auto"/>
        <w:ind w:left="720" w:hanging="720"/>
      </w:pPr>
      <w:r w:rsidRPr="00382CAF">
        <w:t>Leigh</w:t>
      </w:r>
      <w:r w:rsidR="00B17041">
        <w:t>,</w:t>
      </w:r>
      <w:r w:rsidRPr="00382CAF">
        <w:t xml:space="preserve"> J</w:t>
      </w:r>
      <w:r w:rsidR="00B17041">
        <w:t>.</w:t>
      </w:r>
      <w:r w:rsidRPr="00382CAF">
        <w:t xml:space="preserve"> (2014) </w:t>
      </w:r>
      <w:proofErr w:type="gramStart"/>
      <w:r w:rsidRPr="00382CAF">
        <w:t>A</w:t>
      </w:r>
      <w:proofErr w:type="gramEnd"/>
      <w:r w:rsidRPr="00382CAF">
        <w:t xml:space="preserve"> tale of the unexpected: managing an insider dilemma by adopting the role of outsider in another setting. </w:t>
      </w:r>
      <w:proofErr w:type="gramStart"/>
      <w:r w:rsidRPr="00382CAF">
        <w:rPr>
          <w:i/>
        </w:rPr>
        <w:t>Qualitative Research</w:t>
      </w:r>
      <w:r w:rsidRPr="00382CAF">
        <w:t xml:space="preserve"> 14(4) pp. 428–441.</w:t>
      </w:r>
      <w:proofErr w:type="gramEnd"/>
      <w:r w:rsidRPr="00382CAF">
        <w:t xml:space="preserve"> </w:t>
      </w:r>
    </w:p>
    <w:p w:rsidR="00E675CF" w:rsidRPr="00382CAF" w:rsidRDefault="00E675CF" w:rsidP="008535C9">
      <w:pPr>
        <w:spacing w:line="480" w:lineRule="auto"/>
        <w:ind w:left="720" w:hanging="720"/>
      </w:pPr>
      <w:r w:rsidRPr="00382CAF">
        <w:t xml:space="preserve">Livingston, E. (1986) </w:t>
      </w:r>
      <w:proofErr w:type="gramStart"/>
      <w:r w:rsidRPr="00382CAF">
        <w:rPr>
          <w:i/>
        </w:rPr>
        <w:t>The</w:t>
      </w:r>
      <w:proofErr w:type="gramEnd"/>
      <w:r w:rsidRPr="00382CAF">
        <w:rPr>
          <w:i/>
        </w:rPr>
        <w:t xml:space="preserve"> Ethnomethodological Foundations of Mathematics</w:t>
      </w:r>
      <w:r w:rsidRPr="00382CAF">
        <w:t xml:space="preserve">. London: Routledge and Kegan Paul. </w:t>
      </w:r>
    </w:p>
    <w:p w:rsidR="00E675CF" w:rsidRPr="00382CAF" w:rsidRDefault="00E675CF" w:rsidP="008535C9">
      <w:pPr>
        <w:spacing w:line="480" w:lineRule="auto"/>
        <w:ind w:left="720" w:hanging="720"/>
      </w:pPr>
      <w:proofErr w:type="gramStart"/>
      <w:r w:rsidRPr="00382CAF">
        <w:t xml:space="preserve">Livingston, E. (2008) </w:t>
      </w:r>
      <w:r w:rsidRPr="00382CAF">
        <w:rPr>
          <w:i/>
        </w:rPr>
        <w:t>Ethnographies of Reason</w:t>
      </w:r>
      <w:r w:rsidRPr="00382CAF">
        <w:t>.</w:t>
      </w:r>
      <w:proofErr w:type="gramEnd"/>
      <w:r w:rsidRPr="00382CAF">
        <w:t xml:space="preserve"> Farnham:</w:t>
      </w:r>
      <w:r>
        <w:t xml:space="preserve"> </w:t>
      </w:r>
      <w:proofErr w:type="spellStart"/>
      <w:r w:rsidRPr="00382CAF">
        <w:t>Ashgate</w:t>
      </w:r>
      <w:proofErr w:type="spellEnd"/>
      <w:r w:rsidRPr="00382CAF">
        <w:t xml:space="preserve"> </w:t>
      </w:r>
    </w:p>
    <w:p w:rsidR="00E675CF" w:rsidRPr="00382CAF" w:rsidRDefault="00E675CF" w:rsidP="008535C9">
      <w:pPr>
        <w:spacing w:line="480" w:lineRule="auto"/>
        <w:ind w:left="720" w:hanging="720"/>
      </w:pPr>
      <w:r w:rsidRPr="00382CAF">
        <w:t>Mannay</w:t>
      </w:r>
      <w:r w:rsidR="00B17041">
        <w:t>,</w:t>
      </w:r>
      <w:r w:rsidRPr="00382CAF">
        <w:t xml:space="preserve"> D</w:t>
      </w:r>
      <w:r w:rsidR="00B17041">
        <w:t>.</w:t>
      </w:r>
      <w:r w:rsidRPr="00382CAF">
        <w:t xml:space="preserve"> (2010) Making the familiar strange: can visual research methods render the familiar setting more perceptible? </w:t>
      </w:r>
      <w:r w:rsidRPr="00382CAF">
        <w:rPr>
          <w:i/>
        </w:rPr>
        <w:t>Qualitative Research</w:t>
      </w:r>
      <w:r w:rsidRPr="00382CAF">
        <w:t xml:space="preserve"> 10(1), pp. 91-111. </w:t>
      </w:r>
    </w:p>
    <w:p w:rsidR="00E675CF" w:rsidRDefault="00E675CF" w:rsidP="008535C9">
      <w:pPr>
        <w:spacing w:line="480" w:lineRule="auto"/>
        <w:ind w:left="720" w:hanging="720"/>
      </w:pPr>
      <w:proofErr w:type="spellStart"/>
      <w:proofErr w:type="gramStart"/>
      <w:r w:rsidRPr="00382CAF">
        <w:t>Marchand</w:t>
      </w:r>
      <w:proofErr w:type="spellEnd"/>
      <w:r w:rsidRPr="00382CAF">
        <w:t>, T.H.J. (2001) Minaret Building and Apprenticeship in Yemen.</w:t>
      </w:r>
      <w:proofErr w:type="gramEnd"/>
      <w:r w:rsidRPr="00382CAF">
        <w:t xml:space="preserve"> London: Routledge. Mehan, H. and Wood, H. (1975) </w:t>
      </w:r>
      <w:proofErr w:type="gramStart"/>
      <w:r w:rsidRPr="00382CAF">
        <w:rPr>
          <w:i/>
        </w:rPr>
        <w:t>The</w:t>
      </w:r>
      <w:proofErr w:type="gramEnd"/>
      <w:r w:rsidRPr="00382CAF">
        <w:rPr>
          <w:i/>
        </w:rPr>
        <w:t xml:space="preserve"> Reality of Ethnomethodology</w:t>
      </w:r>
      <w:r w:rsidRPr="00382CAF">
        <w:t>. New York: Wiley.</w:t>
      </w:r>
    </w:p>
    <w:p w:rsidR="00E675CF" w:rsidRPr="00640332" w:rsidRDefault="00E675CF" w:rsidP="008535C9">
      <w:pPr>
        <w:spacing w:line="480" w:lineRule="auto"/>
        <w:ind w:left="720" w:hanging="720"/>
      </w:pPr>
      <w:r>
        <w:t xml:space="preserve">Mason, M.A. (2002) </w:t>
      </w:r>
      <w:r>
        <w:rPr>
          <w:i/>
        </w:rPr>
        <w:t xml:space="preserve">Living </w:t>
      </w:r>
      <w:proofErr w:type="spellStart"/>
      <w:r>
        <w:rPr>
          <w:i/>
        </w:rPr>
        <w:t>Santéria</w:t>
      </w:r>
      <w:proofErr w:type="spellEnd"/>
      <w:r>
        <w:rPr>
          <w:i/>
        </w:rPr>
        <w:t>: Rituals and Experiences in an Afro-Cuban Religion</w:t>
      </w:r>
      <w:r>
        <w:t>. Washington DC: Smithsonian Institution Press.</w:t>
      </w:r>
    </w:p>
    <w:p w:rsidR="00E675CF" w:rsidRPr="00382CAF" w:rsidRDefault="00E675CF" w:rsidP="008535C9">
      <w:pPr>
        <w:spacing w:line="480" w:lineRule="auto"/>
        <w:ind w:left="720" w:hanging="720"/>
      </w:pPr>
      <w:r w:rsidRPr="00382CAF">
        <w:t xml:space="preserve">McKenzie L (2015) </w:t>
      </w:r>
      <w:r w:rsidRPr="00382CAF">
        <w:rPr>
          <w:i/>
        </w:rPr>
        <w:t>Getting By: Estates, Class and Culture in Austerity Britain</w:t>
      </w:r>
      <w:r w:rsidRPr="00382CAF">
        <w:t>. Bristol: Policy Press</w:t>
      </w:r>
    </w:p>
    <w:p w:rsidR="00752192" w:rsidRPr="00DA0ECE" w:rsidRDefault="00752192" w:rsidP="008535C9">
      <w:pPr>
        <w:spacing w:line="480" w:lineRule="auto"/>
        <w:ind w:left="720" w:hanging="720"/>
      </w:pPr>
      <w:r w:rsidRPr="00DA0ECE">
        <w:lastRenderedPageBreak/>
        <w:t xml:space="preserve">Morriss, L. (2015a).  Dirty secrets and being ‘strange’: using ethnomethodology to move beyond familiarity. </w:t>
      </w:r>
      <w:proofErr w:type="gramStart"/>
      <w:r w:rsidRPr="00DA0ECE">
        <w:rPr>
          <w:i/>
        </w:rPr>
        <w:t>Qualitative Research</w:t>
      </w:r>
      <w:r w:rsidRPr="00DA0ECE">
        <w:t>.</w:t>
      </w:r>
      <w:proofErr w:type="gramEnd"/>
      <w:r w:rsidRPr="00DA0ECE">
        <w:t xml:space="preserve"> </w:t>
      </w:r>
      <w:proofErr w:type="gramStart"/>
      <w:r w:rsidRPr="00DA0ECE">
        <w:t>Published online before print: September 3, 2015.</w:t>
      </w:r>
      <w:proofErr w:type="gramEnd"/>
    </w:p>
    <w:p w:rsidR="00E675CF" w:rsidRPr="00DA0ECE" w:rsidRDefault="00E675CF" w:rsidP="008535C9">
      <w:pPr>
        <w:spacing w:line="480" w:lineRule="auto"/>
        <w:ind w:left="720" w:hanging="720"/>
      </w:pPr>
      <w:r w:rsidRPr="00DA0ECE">
        <w:t>Morriss, L. (2015</w:t>
      </w:r>
      <w:r w:rsidR="000F4C78" w:rsidRPr="00DA0ECE">
        <w:t>b</w:t>
      </w:r>
      <w:r w:rsidRPr="00DA0ECE">
        <w:t xml:space="preserve">) Accomplishing social work identity through non-seriousness: An ethnomethodological approach, </w:t>
      </w:r>
      <w:r w:rsidRPr="00DA0ECE">
        <w:rPr>
          <w:i/>
        </w:rPr>
        <w:t>Qualitative Social Work</w:t>
      </w:r>
      <w:r w:rsidRPr="00DA0ECE">
        <w:t>, 14(3), pp.307-320.</w:t>
      </w:r>
    </w:p>
    <w:p w:rsidR="00752192" w:rsidRDefault="00752192" w:rsidP="008535C9">
      <w:pPr>
        <w:spacing w:line="480" w:lineRule="auto"/>
        <w:ind w:left="720" w:hanging="720"/>
      </w:pPr>
      <w:r w:rsidRPr="00DA0ECE">
        <w:t xml:space="preserve">Morriss, L. (2015c). Nut clusters and crisps: Atrocity stories and co-narration in interviews with Approved Mental Health Professionals. </w:t>
      </w:r>
      <w:proofErr w:type="gramStart"/>
      <w:r w:rsidRPr="001313C3">
        <w:rPr>
          <w:i/>
        </w:rPr>
        <w:t>Sociology of Health and Illness</w:t>
      </w:r>
      <w:r w:rsidRPr="00DA0ECE">
        <w:t>.</w:t>
      </w:r>
      <w:proofErr w:type="gramEnd"/>
      <w:r w:rsidRPr="00DA0ECE">
        <w:t xml:space="preserve"> 37(7): 1072-1085.</w:t>
      </w:r>
    </w:p>
    <w:p w:rsidR="00E675CF" w:rsidRPr="00382CAF" w:rsidRDefault="00E675CF" w:rsidP="008535C9">
      <w:pPr>
        <w:spacing w:line="480" w:lineRule="auto"/>
        <w:ind w:left="720" w:hanging="720"/>
      </w:pPr>
      <w:r w:rsidRPr="00382CAF">
        <w:t xml:space="preserve">O'Connor, E. (2005) Embodied knowledge: The experience and the struggle towards proficiency in glassblowing, </w:t>
      </w:r>
      <w:r w:rsidRPr="00382CAF">
        <w:rPr>
          <w:i/>
        </w:rPr>
        <w:t>Ethnography</w:t>
      </w:r>
      <w:r w:rsidRPr="00382CAF">
        <w:t xml:space="preserve">, 6, 2: 183-204. </w:t>
      </w:r>
    </w:p>
    <w:p w:rsidR="00E675CF" w:rsidRPr="00382CAF" w:rsidRDefault="00E675CF" w:rsidP="008535C9">
      <w:pPr>
        <w:spacing w:line="480" w:lineRule="auto"/>
        <w:ind w:left="720" w:hanging="720"/>
      </w:pPr>
      <w:r w:rsidRPr="00382CAF">
        <w:t xml:space="preserve">O'Connor, E. (2006) Glassblowing tools: Extending the body towards practical knowledge and informing a social world, </w:t>
      </w:r>
      <w:r w:rsidRPr="00382CAF">
        <w:rPr>
          <w:i/>
        </w:rPr>
        <w:t>Qualitative Sociology</w:t>
      </w:r>
      <w:r w:rsidRPr="00382CAF">
        <w:t xml:space="preserve">, 29: 177-93. </w:t>
      </w:r>
    </w:p>
    <w:p w:rsidR="00E675CF" w:rsidRPr="00382CAF" w:rsidRDefault="00E675CF" w:rsidP="008535C9">
      <w:pPr>
        <w:spacing w:line="480" w:lineRule="auto"/>
        <w:ind w:left="720" w:hanging="720"/>
      </w:pPr>
      <w:r w:rsidRPr="00382CAF">
        <w:t xml:space="preserve">Pollner, M. and Emerson, R.M. (2001) Ethnomethodology and ethnography, in P. Atkinson, A. Coffey, S. Delamont, J. </w:t>
      </w:r>
      <w:proofErr w:type="spellStart"/>
      <w:r w:rsidRPr="00382CAF">
        <w:t>Lofland</w:t>
      </w:r>
      <w:proofErr w:type="spellEnd"/>
      <w:r w:rsidRPr="00382CAF">
        <w:t xml:space="preserve"> and L. </w:t>
      </w:r>
      <w:proofErr w:type="spellStart"/>
      <w:r w:rsidRPr="00382CAF">
        <w:t>Lofland</w:t>
      </w:r>
      <w:proofErr w:type="spellEnd"/>
      <w:r w:rsidRPr="00382CAF">
        <w:t xml:space="preserve"> (</w:t>
      </w:r>
      <w:proofErr w:type="spellStart"/>
      <w:r w:rsidRPr="00382CAF">
        <w:t>eds</w:t>
      </w:r>
      <w:proofErr w:type="spellEnd"/>
      <w:r w:rsidRPr="00382CAF">
        <w:t xml:space="preserve">) </w:t>
      </w:r>
      <w:r w:rsidRPr="00382CAF">
        <w:rPr>
          <w:i/>
        </w:rPr>
        <w:t>Handbook of Ethnography</w:t>
      </w:r>
      <w:r w:rsidRPr="00382CAF">
        <w:t xml:space="preserve">, London: Sage, pp. 118-135. </w:t>
      </w:r>
    </w:p>
    <w:p w:rsidR="00E675CF" w:rsidRDefault="00E675CF" w:rsidP="008535C9">
      <w:pPr>
        <w:spacing w:line="480" w:lineRule="auto"/>
        <w:ind w:left="720" w:hanging="720"/>
      </w:pPr>
      <w:r w:rsidRPr="00382CAF">
        <w:t xml:space="preserve">Rawls, A.W. (2006). Editor’s Introduction. In H. Garfinkel, </w:t>
      </w:r>
      <w:r w:rsidRPr="00382CAF">
        <w:rPr>
          <w:i/>
        </w:rPr>
        <w:t>Seeing Sociologically: The routine grounds of social action</w:t>
      </w:r>
      <w:r w:rsidRPr="00382CAF">
        <w:t>. Boulder, CO: Paradigm.</w:t>
      </w:r>
    </w:p>
    <w:p w:rsidR="00B748D0" w:rsidRDefault="00B748D0" w:rsidP="008535C9">
      <w:pPr>
        <w:spacing w:line="480" w:lineRule="auto"/>
        <w:ind w:left="720" w:hanging="720"/>
      </w:pPr>
      <w:r>
        <w:t xml:space="preserve">Ribeiro R. and Lima, FP A. (2015) </w:t>
      </w:r>
      <w:proofErr w:type="gramStart"/>
      <w:r>
        <w:t>The</w:t>
      </w:r>
      <w:proofErr w:type="gramEnd"/>
      <w:r>
        <w:t xml:space="preserve"> value of practice: A critique of interactional expertise, </w:t>
      </w:r>
      <w:r>
        <w:rPr>
          <w:i/>
        </w:rPr>
        <w:t>Social Studies of Science</w:t>
      </w:r>
    </w:p>
    <w:p w:rsidR="00E675CF" w:rsidRPr="00382CAF" w:rsidRDefault="00E675CF" w:rsidP="008535C9">
      <w:pPr>
        <w:spacing w:line="480" w:lineRule="auto"/>
        <w:ind w:left="720" w:hanging="720"/>
      </w:pPr>
      <w:r w:rsidRPr="00382CAF">
        <w:t xml:space="preserve">Rooke, J and Seymour, D (2005) Studies of Work: Achieving Hybrid Disciplines in </w:t>
      </w:r>
      <w:proofErr w:type="gramStart"/>
      <w:r w:rsidRPr="00382CAF">
        <w:t>IT</w:t>
      </w:r>
      <w:proofErr w:type="gramEnd"/>
      <w:r w:rsidRPr="00382CAF">
        <w:t xml:space="preserve"> Design and Management Studies. </w:t>
      </w:r>
      <w:r w:rsidRPr="00382CAF">
        <w:rPr>
          <w:i/>
        </w:rPr>
        <w:t>Human Studies</w:t>
      </w:r>
      <w:r w:rsidRPr="00382CAF">
        <w:t>, 28: 205-221.</w:t>
      </w:r>
    </w:p>
    <w:p w:rsidR="00E675CF" w:rsidRPr="00382CAF" w:rsidRDefault="00E675CF" w:rsidP="008535C9">
      <w:pPr>
        <w:spacing w:line="480" w:lineRule="auto"/>
        <w:ind w:left="720" w:hanging="720"/>
      </w:pPr>
      <w:proofErr w:type="gramStart"/>
      <w:r w:rsidRPr="00382CAF">
        <w:t>Sacks, H. (1963).</w:t>
      </w:r>
      <w:proofErr w:type="gramEnd"/>
      <w:r w:rsidRPr="00382CAF">
        <w:t xml:space="preserve"> </w:t>
      </w:r>
      <w:proofErr w:type="gramStart"/>
      <w:r w:rsidRPr="00382CAF">
        <w:t>Sociological Description.</w:t>
      </w:r>
      <w:proofErr w:type="gramEnd"/>
      <w:r w:rsidRPr="00382CAF">
        <w:t xml:space="preserve"> </w:t>
      </w:r>
      <w:r w:rsidRPr="00382CAF">
        <w:rPr>
          <w:i/>
        </w:rPr>
        <w:t>Berkeley Journal of Sociology</w:t>
      </w:r>
      <w:r w:rsidRPr="00382CAF">
        <w:t xml:space="preserve"> 8: 1–16. </w:t>
      </w:r>
    </w:p>
    <w:p w:rsidR="00E675CF" w:rsidRDefault="00E675CF" w:rsidP="008535C9">
      <w:pPr>
        <w:spacing w:line="480" w:lineRule="auto"/>
        <w:ind w:left="720" w:hanging="720"/>
      </w:pPr>
      <w:r w:rsidRPr="00382CAF">
        <w:lastRenderedPageBreak/>
        <w:t xml:space="preserve">Sudnow, D. (1978) </w:t>
      </w:r>
      <w:r w:rsidRPr="00382CAF">
        <w:rPr>
          <w:i/>
        </w:rPr>
        <w:t>Ways of the Hand</w:t>
      </w:r>
      <w:r w:rsidRPr="00382CAF">
        <w:t xml:space="preserve">. Cambridge MA: Harvard University Press </w:t>
      </w:r>
    </w:p>
    <w:p w:rsidR="00AF3EBC" w:rsidRPr="00AF3EBC" w:rsidRDefault="00AF3EBC" w:rsidP="008535C9">
      <w:pPr>
        <w:spacing w:line="480" w:lineRule="auto"/>
        <w:ind w:left="720" w:hanging="720"/>
      </w:pPr>
      <w:r w:rsidRPr="00AF3EBC">
        <w:t xml:space="preserve">Taylor, J. (2011). The intimate insider: negotiating the ethics of friendship when doing insider research. </w:t>
      </w:r>
      <w:r w:rsidRPr="00AF3EBC">
        <w:rPr>
          <w:i/>
        </w:rPr>
        <w:t>Qualitative Research</w:t>
      </w:r>
      <w:r w:rsidRPr="00AF3EBC">
        <w:t>, 11(3): 3-22.</w:t>
      </w:r>
    </w:p>
    <w:p w:rsidR="00E675CF" w:rsidRPr="003467CD" w:rsidRDefault="00E675CF" w:rsidP="008535C9">
      <w:pPr>
        <w:spacing w:line="480" w:lineRule="auto"/>
        <w:ind w:left="720" w:hanging="720"/>
      </w:pPr>
      <w:proofErr w:type="gramStart"/>
      <w:r>
        <w:t xml:space="preserve">Vélez, M.T. (2000) </w:t>
      </w:r>
      <w:r>
        <w:rPr>
          <w:i/>
        </w:rPr>
        <w:t>Drumming for the Gods</w:t>
      </w:r>
      <w:r>
        <w:t>.</w:t>
      </w:r>
      <w:proofErr w:type="gramEnd"/>
      <w:r>
        <w:t xml:space="preserve"> Philadelphia PA: Temple University Press.</w:t>
      </w:r>
    </w:p>
    <w:p w:rsidR="00E675CF" w:rsidRPr="00640332" w:rsidRDefault="00E675CF" w:rsidP="008535C9">
      <w:pPr>
        <w:spacing w:line="480" w:lineRule="auto"/>
        <w:ind w:left="720" w:hanging="720"/>
      </w:pPr>
      <w:r>
        <w:t xml:space="preserve">Wafer, J. (1991) </w:t>
      </w:r>
      <w:proofErr w:type="gramStart"/>
      <w:r>
        <w:rPr>
          <w:i/>
        </w:rPr>
        <w:t>The</w:t>
      </w:r>
      <w:proofErr w:type="gramEnd"/>
      <w:r>
        <w:rPr>
          <w:i/>
        </w:rPr>
        <w:t xml:space="preserve"> Taste of Blood: Spirit Possession in Brazilian Candomblé</w:t>
      </w:r>
      <w:r>
        <w:t>. Philadelphia: University of Pennsylvania Press.</w:t>
      </w:r>
    </w:p>
    <w:p w:rsidR="00E675CF" w:rsidRPr="00382CAF" w:rsidRDefault="00E675CF" w:rsidP="008535C9">
      <w:pPr>
        <w:spacing w:line="480" w:lineRule="auto"/>
        <w:ind w:left="720" w:hanging="720"/>
      </w:pPr>
      <w:r w:rsidRPr="00382CAF">
        <w:t xml:space="preserve">Wong, W.W.Y. (2014) </w:t>
      </w:r>
      <w:r w:rsidRPr="00382CAF">
        <w:rPr>
          <w:i/>
        </w:rPr>
        <w:t>Van Gogh on Demand: China and the Readymade</w:t>
      </w:r>
      <w:r w:rsidRPr="00382CAF">
        <w:t>. Chicago: University of Chicago Press.</w:t>
      </w:r>
    </w:p>
    <w:p w:rsidR="00E675CF" w:rsidRPr="00382CAF" w:rsidRDefault="00E675CF" w:rsidP="008535C9">
      <w:pPr>
        <w:spacing w:line="480" w:lineRule="auto"/>
      </w:pPr>
    </w:p>
    <w:p w:rsidR="00E675CF" w:rsidRPr="00382CAF" w:rsidRDefault="00E675CF" w:rsidP="008535C9">
      <w:pPr>
        <w:spacing w:line="480" w:lineRule="auto"/>
      </w:pPr>
      <w:r w:rsidRPr="00382CAF">
        <w:t xml:space="preserve">   </w:t>
      </w:r>
    </w:p>
    <w:p w:rsidR="000C6004" w:rsidRDefault="000C6004" w:rsidP="008535C9">
      <w:pPr>
        <w:spacing w:line="480" w:lineRule="auto"/>
      </w:pPr>
    </w:p>
    <w:sectPr w:rsidR="000C6004">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41C6" w:rsidRDefault="002941C6" w:rsidP="00BF3328">
      <w:pPr>
        <w:spacing w:after="0" w:line="240" w:lineRule="auto"/>
      </w:pPr>
      <w:r>
        <w:separator/>
      </w:r>
    </w:p>
  </w:endnote>
  <w:endnote w:type="continuationSeparator" w:id="0">
    <w:p w:rsidR="002941C6" w:rsidRDefault="002941C6" w:rsidP="00BF33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41C6" w:rsidRDefault="002941C6" w:rsidP="00BF3328">
      <w:pPr>
        <w:spacing w:after="0" w:line="240" w:lineRule="auto"/>
      </w:pPr>
      <w:r>
        <w:separator/>
      </w:r>
    </w:p>
  </w:footnote>
  <w:footnote w:type="continuationSeparator" w:id="0">
    <w:p w:rsidR="002941C6" w:rsidRDefault="002941C6" w:rsidP="00BF33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2192437"/>
      <w:docPartObj>
        <w:docPartGallery w:val="Page Numbers (Top of Page)"/>
        <w:docPartUnique/>
      </w:docPartObj>
    </w:sdtPr>
    <w:sdtEndPr>
      <w:rPr>
        <w:noProof/>
      </w:rPr>
    </w:sdtEndPr>
    <w:sdtContent>
      <w:p w:rsidR="00BF3328" w:rsidRDefault="00BF3328">
        <w:pPr>
          <w:pStyle w:val="Header"/>
          <w:jc w:val="right"/>
        </w:pPr>
        <w:r>
          <w:fldChar w:fldCharType="begin"/>
        </w:r>
        <w:r>
          <w:instrText xml:space="preserve"> PAGE   \* MERGEFORMAT </w:instrText>
        </w:r>
        <w:r>
          <w:fldChar w:fldCharType="separate"/>
        </w:r>
        <w:r w:rsidR="00761B27">
          <w:rPr>
            <w:noProof/>
          </w:rPr>
          <w:t>1</w:t>
        </w:r>
        <w:r>
          <w:rPr>
            <w:noProof/>
          </w:rPr>
          <w:fldChar w:fldCharType="end"/>
        </w:r>
      </w:p>
    </w:sdtContent>
  </w:sdt>
  <w:p w:rsidR="00BF3328" w:rsidRDefault="00BF332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6004"/>
    <w:rsid w:val="000157B2"/>
    <w:rsid w:val="00017330"/>
    <w:rsid w:val="000703A0"/>
    <w:rsid w:val="000A6F78"/>
    <w:rsid w:val="000C6004"/>
    <w:rsid w:val="000F4C78"/>
    <w:rsid w:val="001313C3"/>
    <w:rsid w:val="001D07F8"/>
    <w:rsid w:val="002941C6"/>
    <w:rsid w:val="002B20AC"/>
    <w:rsid w:val="002B589E"/>
    <w:rsid w:val="002E110D"/>
    <w:rsid w:val="00365F52"/>
    <w:rsid w:val="003E52B8"/>
    <w:rsid w:val="00442A95"/>
    <w:rsid w:val="004477F1"/>
    <w:rsid w:val="004D209D"/>
    <w:rsid w:val="004F4B33"/>
    <w:rsid w:val="00540736"/>
    <w:rsid w:val="00540B7F"/>
    <w:rsid w:val="005438EA"/>
    <w:rsid w:val="00550C58"/>
    <w:rsid w:val="00555EAB"/>
    <w:rsid w:val="00562BB3"/>
    <w:rsid w:val="005C238F"/>
    <w:rsid w:val="005C6CCE"/>
    <w:rsid w:val="005F62E9"/>
    <w:rsid w:val="00611129"/>
    <w:rsid w:val="006162E0"/>
    <w:rsid w:val="006835E6"/>
    <w:rsid w:val="0069014C"/>
    <w:rsid w:val="00692A08"/>
    <w:rsid w:val="006A45E7"/>
    <w:rsid w:val="006B1337"/>
    <w:rsid w:val="00701E7B"/>
    <w:rsid w:val="00706CFE"/>
    <w:rsid w:val="00752192"/>
    <w:rsid w:val="00761B27"/>
    <w:rsid w:val="00763AA0"/>
    <w:rsid w:val="0079187A"/>
    <w:rsid w:val="007A0433"/>
    <w:rsid w:val="007A60B9"/>
    <w:rsid w:val="008535C9"/>
    <w:rsid w:val="008A6BB9"/>
    <w:rsid w:val="008A796E"/>
    <w:rsid w:val="008C7FE6"/>
    <w:rsid w:val="008D0E16"/>
    <w:rsid w:val="009226B4"/>
    <w:rsid w:val="009326EB"/>
    <w:rsid w:val="00945FD3"/>
    <w:rsid w:val="0099136C"/>
    <w:rsid w:val="00997ED8"/>
    <w:rsid w:val="009E0734"/>
    <w:rsid w:val="00A45845"/>
    <w:rsid w:val="00A50D1A"/>
    <w:rsid w:val="00A70F00"/>
    <w:rsid w:val="00A72395"/>
    <w:rsid w:val="00A9386E"/>
    <w:rsid w:val="00AA4C17"/>
    <w:rsid w:val="00AC5B78"/>
    <w:rsid w:val="00AF3EBC"/>
    <w:rsid w:val="00AF76A7"/>
    <w:rsid w:val="00B15B9A"/>
    <w:rsid w:val="00B17041"/>
    <w:rsid w:val="00B4131A"/>
    <w:rsid w:val="00B748D0"/>
    <w:rsid w:val="00BA1BE0"/>
    <w:rsid w:val="00BD046A"/>
    <w:rsid w:val="00BF3328"/>
    <w:rsid w:val="00C5650F"/>
    <w:rsid w:val="00D01F75"/>
    <w:rsid w:val="00D855B1"/>
    <w:rsid w:val="00D8647F"/>
    <w:rsid w:val="00DA0ECE"/>
    <w:rsid w:val="00DA549D"/>
    <w:rsid w:val="00DD5BFC"/>
    <w:rsid w:val="00E16EAE"/>
    <w:rsid w:val="00E675CF"/>
    <w:rsid w:val="00EC1F75"/>
    <w:rsid w:val="00ED65FE"/>
    <w:rsid w:val="00F31703"/>
    <w:rsid w:val="00F61B31"/>
    <w:rsid w:val="00F71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
    <w:name w:val="Light Shading"/>
    <w:basedOn w:val="TableNormal"/>
    <w:uiPriority w:val="60"/>
    <w:rsid w:val="00E675CF"/>
    <w:pPr>
      <w:spacing w:after="0" w:line="240" w:lineRule="auto"/>
    </w:pPr>
    <w:rPr>
      <w:rFonts w:ascii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BF33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3328"/>
    <w:rPr>
      <w:rFonts w:ascii="Tahoma" w:hAnsi="Tahoma" w:cs="Tahoma"/>
      <w:sz w:val="16"/>
      <w:szCs w:val="16"/>
    </w:rPr>
  </w:style>
  <w:style w:type="paragraph" w:styleId="Header">
    <w:name w:val="header"/>
    <w:basedOn w:val="Normal"/>
    <w:link w:val="HeaderChar"/>
    <w:uiPriority w:val="99"/>
    <w:unhideWhenUsed/>
    <w:rsid w:val="00BF33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328"/>
  </w:style>
  <w:style w:type="paragraph" w:styleId="Footer">
    <w:name w:val="footer"/>
    <w:basedOn w:val="Normal"/>
    <w:link w:val="FooterChar"/>
    <w:uiPriority w:val="99"/>
    <w:unhideWhenUsed/>
    <w:rsid w:val="00BF33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332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
    <w:name w:val="Light Shading"/>
    <w:basedOn w:val="TableNormal"/>
    <w:uiPriority w:val="60"/>
    <w:rsid w:val="00E675CF"/>
    <w:pPr>
      <w:spacing w:after="0" w:line="240" w:lineRule="auto"/>
    </w:pPr>
    <w:rPr>
      <w:rFonts w:ascii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BF33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3328"/>
    <w:rPr>
      <w:rFonts w:ascii="Tahoma" w:hAnsi="Tahoma" w:cs="Tahoma"/>
      <w:sz w:val="16"/>
      <w:szCs w:val="16"/>
    </w:rPr>
  </w:style>
  <w:style w:type="paragraph" w:styleId="Header">
    <w:name w:val="header"/>
    <w:basedOn w:val="Normal"/>
    <w:link w:val="HeaderChar"/>
    <w:uiPriority w:val="99"/>
    <w:unhideWhenUsed/>
    <w:rsid w:val="00BF33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328"/>
  </w:style>
  <w:style w:type="paragraph" w:styleId="Footer">
    <w:name w:val="footer"/>
    <w:basedOn w:val="Normal"/>
    <w:link w:val="FooterChar"/>
    <w:uiPriority w:val="99"/>
    <w:unhideWhenUsed/>
    <w:rsid w:val="00BF33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33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6994</Words>
  <Characters>39870</Characters>
  <Application>Microsoft Office Word</Application>
  <DocSecurity>4</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Barnes, Matthew</cp:lastModifiedBy>
  <cp:revision>2</cp:revision>
  <cp:lastPrinted>2016-03-05T15:50:00Z</cp:lastPrinted>
  <dcterms:created xsi:type="dcterms:W3CDTF">2016-07-06T09:54:00Z</dcterms:created>
  <dcterms:modified xsi:type="dcterms:W3CDTF">2016-07-06T09:54:00Z</dcterms:modified>
</cp:coreProperties>
</file>