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9C0" w:rsidRPr="00D02200" w:rsidRDefault="003669C0"/>
    <w:p w:rsidR="00AF51BE" w:rsidRPr="00D02200" w:rsidRDefault="00AF51BE"/>
    <w:p w:rsidR="00AF51BE" w:rsidRPr="00D02200" w:rsidRDefault="00AF51BE">
      <w:pPr>
        <w:rPr>
          <w:rFonts w:cs="Arial"/>
        </w:rPr>
      </w:pPr>
      <w:r w:rsidRPr="00D02200">
        <w:rPr>
          <w:rFonts w:cs="Arial"/>
        </w:rPr>
        <w:t xml:space="preserve">Title: </w:t>
      </w:r>
      <w:r w:rsidR="00C64C2E" w:rsidRPr="00D02200">
        <w:rPr>
          <w:rFonts w:cs="Arial"/>
        </w:rPr>
        <w:t>Trends in the identification of children with learning disabilities</w:t>
      </w:r>
      <w:bookmarkStart w:id="0" w:name="_GoBack"/>
      <w:bookmarkEnd w:id="0"/>
      <w:r w:rsidR="00C64C2E" w:rsidRPr="00D02200">
        <w:rPr>
          <w:rFonts w:cs="Arial"/>
        </w:rPr>
        <w:t xml:space="preserve"> within </w:t>
      </w:r>
      <w:r w:rsidR="000A64AD" w:rsidRPr="00D02200">
        <w:rPr>
          <w:rFonts w:cs="Arial"/>
        </w:rPr>
        <w:t xml:space="preserve">state </w:t>
      </w:r>
      <w:r w:rsidR="00C64C2E" w:rsidRPr="00D02200">
        <w:rPr>
          <w:rFonts w:cs="Arial"/>
        </w:rPr>
        <w:t>schools in England</w:t>
      </w:r>
    </w:p>
    <w:p w:rsidR="00AF51BE" w:rsidRPr="00D02200" w:rsidRDefault="00AF51BE">
      <w:pPr>
        <w:rPr>
          <w:rFonts w:cs="Arial"/>
        </w:rPr>
      </w:pPr>
    </w:p>
    <w:p w:rsidR="00AF51BE" w:rsidRPr="00D02200" w:rsidRDefault="00AF51BE">
      <w:pPr>
        <w:rPr>
          <w:rFonts w:cs="Arial"/>
        </w:rPr>
      </w:pPr>
      <w:r w:rsidRPr="00D02200">
        <w:rPr>
          <w:rFonts w:cs="Arial"/>
        </w:rPr>
        <w:t>Authors:</w:t>
      </w:r>
    </w:p>
    <w:p w:rsidR="00AF51BE" w:rsidRPr="00D02200" w:rsidRDefault="00AF51BE" w:rsidP="00AF51BE">
      <w:pPr>
        <w:rPr>
          <w:rFonts w:cs="Arial"/>
        </w:rPr>
      </w:pPr>
      <w:r w:rsidRPr="00D02200">
        <w:rPr>
          <w:rFonts w:cs="Arial"/>
        </w:rPr>
        <w:t>Chris Hatton</w:t>
      </w:r>
      <w:r w:rsidR="000A10BA" w:rsidRPr="00D02200">
        <w:rPr>
          <w:rFonts w:cs="Arial"/>
        </w:rPr>
        <w:t xml:space="preserve"> and Eric Emerson</w:t>
      </w:r>
    </w:p>
    <w:p w:rsidR="00AF51BE" w:rsidRPr="00D02200" w:rsidRDefault="00AF51BE" w:rsidP="00AF51BE">
      <w:pPr>
        <w:rPr>
          <w:rFonts w:cs="Arial"/>
        </w:rPr>
      </w:pPr>
      <w:r w:rsidRPr="00D02200">
        <w:rPr>
          <w:rFonts w:cs="Arial"/>
        </w:rPr>
        <w:t xml:space="preserve">Improving Health and Lives: </w:t>
      </w:r>
      <w:r w:rsidR="00C64C2E" w:rsidRPr="00D02200">
        <w:rPr>
          <w:rFonts w:cs="Arial"/>
        </w:rPr>
        <w:t>Public Health England Learning Disabilities</w:t>
      </w:r>
      <w:r w:rsidRPr="00D02200">
        <w:rPr>
          <w:rFonts w:cs="Arial"/>
        </w:rPr>
        <w:t xml:space="preserve"> Observatory</w:t>
      </w:r>
    </w:p>
    <w:p w:rsidR="00AF51BE" w:rsidRPr="00D02200" w:rsidRDefault="00AF51BE" w:rsidP="00AF51BE">
      <w:pPr>
        <w:rPr>
          <w:rFonts w:cs="Arial"/>
        </w:rPr>
      </w:pPr>
      <w:r w:rsidRPr="00D02200">
        <w:rPr>
          <w:rFonts w:cs="Arial"/>
        </w:rPr>
        <w:t xml:space="preserve">Centre for Disability Research, Division of Health Research, Lancaster University, </w:t>
      </w:r>
      <w:r w:rsidR="00C64C2E" w:rsidRPr="00D02200">
        <w:rPr>
          <w:rFonts w:cs="Arial"/>
        </w:rPr>
        <w:t>Lancaster LA1 4YG, UK</w:t>
      </w:r>
    </w:p>
    <w:p w:rsidR="00AF51BE" w:rsidRPr="00D02200" w:rsidRDefault="00AF51BE" w:rsidP="00AF51BE">
      <w:pPr>
        <w:rPr>
          <w:rFonts w:cs="Arial"/>
        </w:rPr>
      </w:pPr>
    </w:p>
    <w:p w:rsidR="00AF51BE" w:rsidRPr="00D02200" w:rsidRDefault="00AF51BE" w:rsidP="00AF51BE">
      <w:pPr>
        <w:rPr>
          <w:rFonts w:cs="Arial"/>
        </w:rPr>
      </w:pPr>
    </w:p>
    <w:p w:rsidR="00AF51BE" w:rsidRPr="00D02200" w:rsidRDefault="00AF51BE" w:rsidP="00AF51BE">
      <w:pPr>
        <w:rPr>
          <w:rFonts w:cs="Arial"/>
        </w:rPr>
      </w:pPr>
    </w:p>
    <w:p w:rsidR="00AF51BE" w:rsidRPr="00D02200" w:rsidRDefault="00AF51BE" w:rsidP="00AF51BE">
      <w:pPr>
        <w:rPr>
          <w:rFonts w:cs="Arial"/>
        </w:rPr>
      </w:pPr>
    </w:p>
    <w:p w:rsidR="00AF51BE" w:rsidRPr="00D02200" w:rsidRDefault="00AF51BE" w:rsidP="00AF51BE">
      <w:pPr>
        <w:rPr>
          <w:rFonts w:cs="Arial"/>
        </w:rPr>
      </w:pPr>
    </w:p>
    <w:p w:rsidR="00AF51BE" w:rsidRPr="00D02200" w:rsidRDefault="00AF51BE" w:rsidP="00AF51BE">
      <w:pPr>
        <w:rPr>
          <w:rFonts w:cs="Arial"/>
        </w:rPr>
      </w:pPr>
      <w:r w:rsidRPr="00D02200">
        <w:rPr>
          <w:rFonts w:cs="Arial"/>
        </w:rPr>
        <w:t>Address for Correspondence:</w:t>
      </w:r>
      <w:r w:rsidR="00C64C2E" w:rsidRPr="00D02200">
        <w:rPr>
          <w:rFonts w:cs="Arial"/>
        </w:rPr>
        <w:t xml:space="preserve"> chris.hatton</w:t>
      </w:r>
      <w:r w:rsidRPr="00D02200">
        <w:rPr>
          <w:rFonts w:cs="Arial"/>
        </w:rPr>
        <w:t>@lancaster.ac.uk</w:t>
      </w:r>
    </w:p>
    <w:p w:rsidR="00941E9E" w:rsidRPr="00D02200" w:rsidRDefault="00DB628E">
      <w:pPr>
        <w:rPr>
          <w:rFonts w:cs="Arial"/>
        </w:rPr>
      </w:pPr>
      <w:r w:rsidRPr="00D02200">
        <w:rPr>
          <w:rFonts w:cs="Arial"/>
        </w:rPr>
        <w:t xml:space="preserve"> </w:t>
      </w:r>
    </w:p>
    <w:p w:rsidR="00941E9E" w:rsidRPr="00D02200" w:rsidRDefault="00941E9E">
      <w:pPr>
        <w:rPr>
          <w:rFonts w:cs="Arial"/>
        </w:rPr>
      </w:pPr>
      <w:r w:rsidRPr="00D02200">
        <w:rPr>
          <w:rFonts w:cs="Arial"/>
        </w:rPr>
        <w:br w:type="page"/>
      </w:r>
    </w:p>
    <w:p w:rsidR="00721D38" w:rsidRPr="00D02200" w:rsidRDefault="00941E9E">
      <w:pPr>
        <w:rPr>
          <w:rFonts w:cs="Arial"/>
        </w:rPr>
      </w:pPr>
      <w:r w:rsidRPr="00D02200">
        <w:rPr>
          <w:rFonts w:cs="Arial"/>
        </w:rPr>
        <w:lastRenderedPageBreak/>
        <w:t>Abstract</w:t>
      </w:r>
    </w:p>
    <w:p w:rsidR="00941E9E" w:rsidRPr="00D02200" w:rsidRDefault="0066483F">
      <w:pPr>
        <w:rPr>
          <w:rFonts w:cs="Arial"/>
        </w:rPr>
      </w:pPr>
      <w:r w:rsidRPr="00D02200">
        <w:rPr>
          <w:rFonts w:cs="Arial"/>
        </w:rPr>
        <w:t>Background</w:t>
      </w:r>
    </w:p>
    <w:p w:rsidR="0066483F" w:rsidRPr="00D02200" w:rsidRDefault="00C20412">
      <w:pPr>
        <w:rPr>
          <w:rFonts w:cs="Arial"/>
        </w:rPr>
      </w:pPr>
      <w:r>
        <w:rPr>
          <w:rFonts w:cs="Arial"/>
        </w:rPr>
        <w:t>This paper presents data drawn from the Department for Education concerning trends in the number of children identified as having a learning disability within state schools in England.</w:t>
      </w:r>
    </w:p>
    <w:p w:rsidR="0066483F" w:rsidRPr="00D02200" w:rsidRDefault="0066483F">
      <w:pPr>
        <w:rPr>
          <w:rFonts w:cs="Arial"/>
        </w:rPr>
      </w:pPr>
      <w:r w:rsidRPr="00D02200">
        <w:rPr>
          <w:rFonts w:cs="Arial"/>
        </w:rPr>
        <w:t>Method</w:t>
      </w:r>
    </w:p>
    <w:p w:rsidR="005C724C" w:rsidRPr="00D02200" w:rsidRDefault="00C20412">
      <w:pPr>
        <w:rPr>
          <w:rFonts w:cs="Arial"/>
        </w:rPr>
      </w:pPr>
      <w:r>
        <w:rPr>
          <w:rFonts w:cs="Arial"/>
        </w:rPr>
        <w:t>Data based on the school census conducted by the Department for Education was examined annually for 2009/10 to 2014/15, to determine the number of children identified as having Moderate Learning Difficulty (MLD), Severe Learning Difficulty (SLD) or Profound Multiple Learning Difficulty (PMLD) within state schools in England</w:t>
      </w:r>
      <w:r w:rsidR="00505586">
        <w:rPr>
          <w:rFonts w:cs="Arial"/>
        </w:rPr>
        <w:t>, at two levels: having a Statement of Educational Needs/Education Health Care Plan, or at School Action Plus.</w:t>
      </w:r>
    </w:p>
    <w:p w:rsidR="0066483F" w:rsidRPr="00D02200" w:rsidRDefault="0066483F">
      <w:pPr>
        <w:rPr>
          <w:rFonts w:cs="Arial"/>
        </w:rPr>
      </w:pPr>
      <w:r w:rsidRPr="00D02200">
        <w:rPr>
          <w:rFonts w:cs="Arial"/>
        </w:rPr>
        <w:t>Results</w:t>
      </w:r>
    </w:p>
    <w:p w:rsidR="005C724C" w:rsidRPr="00D02200" w:rsidRDefault="00CF791B" w:rsidP="005C724C">
      <w:pPr>
        <w:pStyle w:val="PHEBodycopy"/>
        <w:rPr>
          <w:rFonts w:asciiTheme="minorHAnsi" w:hAnsiTheme="minorHAnsi" w:cs="Arial"/>
          <w:sz w:val="22"/>
          <w:szCs w:val="22"/>
        </w:rPr>
      </w:pPr>
      <w:r>
        <w:rPr>
          <w:rFonts w:asciiTheme="minorHAnsi" w:hAnsiTheme="minorHAnsi" w:cs="Arial"/>
          <w:sz w:val="22"/>
          <w:szCs w:val="22"/>
        </w:rPr>
        <w:t>The number of children identified as MLD reduced substantially over time, for both statemented children and children identified at the School Action Plus level. In contrast, the smaller number of statemented children with SLD or PMLD increased over time, in line with increasing school rolls and epidemiological trends.</w:t>
      </w:r>
    </w:p>
    <w:p w:rsidR="005C724C" w:rsidRPr="00D02200" w:rsidRDefault="005C724C">
      <w:pPr>
        <w:rPr>
          <w:rFonts w:cs="Arial"/>
        </w:rPr>
      </w:pPr>
    </w:p>
    <w:p w:rsidR="00941E9E" w:rsidRPr="00D02200" w:rsidRDefault="0066483F">
      <w:pPr>
        <w:rPr>
          <w:rFonts w:cs="Arial"/>
        </w:rPr>
      </w:pPr>
      <w:r w:rsidRPr="00D02200">
        <w:rPr>
          <w:rFonts w:cs="Arial"/>
        </w:rPr>
        <w:t>Conclusions</w:t>
      </w:r>
    </w:p>
    <w:p w:rsidR="005C724C" w:rsidRPr="00D02200" w:rsidRDefault="00CF791B">
      <w:pPr>
        <w:rPr>
          <w:rFonts w:cs="Arial"/>
        </w:rPr>
      </w:pPr>
      <w:r>
        <w:rPr>
          <w:rFonts w:cs="Arial"/>
        </w:rPr>
        <w:t>Further work is needed to understand the sharp reduction in the number of children being identified as having Moderate Learning Difficulty within schools, and the educational support being offered to this group of children.</w:t>
      </w:r>
    </w:p>
    <w:p w:rsidR="00941E9E" w:rsidRPr="00D02200" w:rsidRDefault="00941E9E">
      <w:pPr>
        <w:rPr>
          <w:rFonts w:cs="Arial"/>
        </w:rPr>
      </w:pPr>
    </w:p>
    <w:p w:rsidR="00941E9E" w:rsidRPr="00D02200" w:rsidRDefault="00941E9E">
      <w:pPr>
        <w:rPr>
          <w:rFonts w:cs="Arial"/>
        </w:rPr>
      </w:pPr>
      <w:r w:rsidRPr="00D02200">
        <w:rPr>
          <w:rFonts w:cs="Arial"/>
        </w:rPr>
        <w:br w:type="page"/>
      </w:r>
    </w:p>
    <w:p w:rsidR="00FC533A" w:rsidRPr="00D02200" w:rsidRDefault="00BC7F14" w:rsidP="00A23943">
      <w:pPr>
        <w:pStyle w:val="PHEBodycopy"/>
        <w:rPr>
          <w:rFonts w:asciiTheme="minorHAnsi" w:hAnsiTheme="minorHAnsi" w:cs="Arial"/>
          <w:sz w:val="22"/>
          <w:szCs w:val="22"/>
        </w:rPr>
      </w:pPr>
      <w:r w:rsidRPr="00D02200">
        <w:rPr>
          <w:rFonts w:asciiTheme="minorHAnsi" w:hAnsiTheme="minorHAnsi" w:cs="Arial"/>
          <w:sz w:val="22"/>
          <w:szCs w:val="22"/>
        </w:rPr>
        <w:lastRenderedPageBreak/>
        <w:t>Introduction</w:t>
      </w:r>
    </w:p>
    <w:p w:rsidR="00BC7F14" w:rsidRPr="00D02200" w:rsidRDefault="00BC7F14" w:rsidP="00A23943">
      <w:pPr>
        <w:pStyle w:val="PHEBodycopy"/>
        <w:rPr>
          <w:rFonts w:asciiTheme="minorHAnsi" w:hAnsiTheme="minorHAnsi" w:cs="Arial"/>
          <w:sz w:val="22"/>
          <w:szCs w:val="22"/>
        </w:rPr>
      </w:pPr>
    </w:p>
    <w:p w:rsidR="000A10BA" w:rsidRPr="00D02200" w:rsidRDefault="000A10BA" w:rsidP="000A10BA">
      <w:pPr>
        <w:pStyle w:val="PHEBodycopy"/>
        <w:rPr>
          <w:rFonts w:asciiTheme="minorHAnsi" w:hAnsiTheme="minorHAnsi" w:cs="Arial"/>
          <w:sz w:val="22"/>
          <w:szCs w:val="22"/>
        </w:rPr>
      </w:pPr>
      <w:r w:rsidRPr="00D02200">
        <w:rPr>
          <w:rFonts w:asciiTheme="minorHAnsi" w:hAnsiTheme="minorHAnsi" w:cs="Arial"/>
          <w:sz w:val="22"/>
          <w:szCs w:val="22"/>
        </w:rPr>
        <w:t>Information on the education of children with special educational needs associated with learning disabilities is provided in a series of annual reports published by the Department for Education (</w:t>
      </w:r>
      <w:proofErr w:type="spellStart"/>
      <w:r w:rsidRPr="00D02200">
        <w:rPr>
          <w:rFonts w:asciiTheme="minorHAnsi" w:hAnsiTheme="minorHAnsi" w:cs="Arial"/>
          <w:sz w:val="22"/>
          <w:szCs w:val="22"/>
        </w:rPr>
        <w:t>DfE</w:t>
      </w:r>
      <w:proofErr w:type="spellEnd"/>
      <w:r w:rsidRPr="00D02200">
        <w:rPr>
          <w:rFonts w:asciiTheme="minorHAnsi" w:hAnsiTheme="minorHAnsi" w:cs="Arial"/>
          <w:sz w:val="22"/>
          <w:szCs w:val="22"/>
        </w:rPr>
        <w:t xml:space="preserve">). The </w:t>
      </w:r>
      <w:r w:rsidRPr="00D02200">
        <w:rPr>
          <w:rFonts w:asciiTheme="minorHAnsi" w:hAnsiTheme="minorHAnsi" w:cs="Arial"/>
          <w:color w:val="000000"/>
          <w:sz w:val="22"/>
          <w:szCs w:val="22"/>
        </w:rPr>
        <w:t xml:space="preserve">Special Educational Needs (Information) Act 2008 requires the Secretary of State for Education to publish information about pupils in England with SEN each calendar year in order to help improve the well-being of these pupils. </w:t>
      </w:r>
      <w:r w:rsidRPr="00D02200">
        <w:rPr>
          <w:rFonts w:asciiTheme="minorHAnsi" w:hAnsiTheme="minorHAnsi" w:cs="Arial"/>
          <w:sz w:val="22"/>
          <w:szCs w:val="22"/>
        </w:rPr>
        <w:t xml:space="preserve">This requirement was met in the publication between 2009 and 2014 of the annual series </w:t>
      </w:r>
      <w:r w:rsidRPr="00D02200">
        <w:rPr>
          <w:rFonts w:asciiTheme="minorHAnsi" w:hAnsiTheme="minorHAnsi" w:cs="Arial"/>
          <w:i/>
          <w:sz w:val="22"/>
          <w:szCs w:val="22"/>
        </w:rPr>
        <w:t xml:space="preserve">Children with Special Educational Needs: An Analysis </w:t>
      </w:r>
      <w:r w:rsidR="00CD25F0" w:rsidRPr="00D02200">
        <w:rPr>
          <w:rFonts w:asciiTheme="minorHAnsi" w:hAnsiTheme="minorHAnsi" w:cs="Arial"/>
          <w:sz w:val="22"/>
          <w:szCs w:val="22"/>
        </w:rPr>
        <w:t>(Department for</w:t>
      </w:r>
      <w:r w:rsidRPr="00D02200">
        <w:rPr>
          <w:rFonts w:asciiTheme="minorHAnsi" w:hAnsiTheme="minorHAnsi" w:cs="Arial"/>
          <w:sz w:val="22"/>
          <w:szCs w:val="22"/>
        </w:rPr>
        <w:t xml:space="preserve"> Children Schools and Families, 2009; Department for Education, 2010, 2011, 2012, 2013, 2014). In 2015 this series was replaced </w:t>
      </w:r>
      <w:r w:rsidRPr="00D02200">
        <w:rPr>
          <w:rFonts w:asciiTheme="minorHAnsi" w:hAnsiTheme="minorHAnsi" w:cs="Arial"/>
          <w:color w:val="0B0C0C"/>
          <w:sz w:val="22"/>
          <w:szCs w:val="22"/>
          <w:shd w:val="clear" w:color="auto" w:fill="FFFFFF"/>
        </w:rPr>
        <w:t>with a document that primarily signposted potential users to relevant source data</w:t>
      </w:r>
      <w:r w:rsidR="00CD25F0" w:rsidRPr="00D02200">
        <w:rPr>
          <w:rFonts w:asciiTheme="minorHAnsi" w:hAnsiTheme="minorHAnsi" w:cs="Arial"/>
          <w:color w:val="0B0C0C"/>
          <w:sz w:val="22"/>
          <w:szCs w:val="22"/>
          <w:shd w:val="clear" w:color="auto" w:fill="FFFFFF"/>
        </w:rPr>
        <w:t xml:space="preserve"> (Department for Education, 2015a)</w:t>
      </w:r>
      <w:r w:rsidRPr="00D02200">
        <w:rPr>
          <w:rFonts w:asciiTheme="minorHAnsi" w:hAnsiTheme="minorHAnsi" w:cs="Arial"/>
          <w:color w:val="0B0C0C"/>
          <w:sz w:val="22"/>
          <w:szCs w:val="22"/>
          <w:shd w:val="clear" w:color="auto" w:fill="FFFFFF"/>
        </w:rPr>
        <w:t>.</w:t>
      </w:r>
      <w:r w:rsidR="00CD25F0" w:rsidRPr="00D02200">
        <w:rPr>
          <w:rFonts w:asciiTheme="minorHAnsi" w:hAnsiTheme="minorHAnsi" w:cs="Arial"/>
          <w:sz w:val="22"/>
          <w:szCs w:val="22"/>
        </w:rPr>
        <w:t xml:space="preserve"> </w:t>
      </w:r>
    </w:p>
    <w:p w:rsidR="000A10BA" w:rsidRPr="00D02200" w:rsidRDefault="000A10BA" w:rsidP="000A10BA">
      <w:pPr>
        <w:pStyle w:val="PHEBodycopy"/>
        <w:rPr>
          <w:rFonts w:asciiTheme="minorHAnsi" w:hAnsiTheme="minorHAnsi" w:cs="Arial"/>
          <w:sz w:val="22"/>
          <w:szCs w:val="22"/>
        </w:rPr>
      </w:pPr>
    </w:p>
    <w:p w:rsidR="000A10BA" w:rsidRPr="00D02200" w:rsidRDefault="000A10BA" w:rsidP="000A10BA">
      <w:pPr>
        <w:pStyle w:val="PHEBodycopy"/>
        <w:rPr>
          <w:rFonts w:asciiTheme="minorHAnsi" w:hAnsiTheme="minorHAnsi" w:cs="Arial"/>
          <w:sz w:val="22"/>
          <w:szCs w:val="22"/>
        </w:rPr>
      </w:pPr>
      <w:r w:rsidRPr="00D02200">
        <w:rPr>
          <w:rFonts w:asciiTheme="minorHAnsi" w:hAnsiTheme="minorHAnsi" w:cs="Arial"/>
          <w:sz w:val="22"/>
          <w:szCs w:val="22"/>
        </w:rPr>
        <w:t xml:space="preserve">The primary source of information for reporting </w:t>
      </w:r>
      <w:r w:rsidR="00CD25F0" w:rsidRPr="00D02200">
        <w:rPr>
          <w:rFonts w:asciiTheme="minorHAnsi" w:hAnsiTheme="minorHAnsi" w:cs="Arial"/>
          <w:sz w:val="22"/>
          <w:szCs w:val="22"/>
        </w:rPr>
        <w:t>on Special Educational Needs (SEN)</w:t>
      </w:r>
      <w:r w:rsidRPr="00D02200">
        <w:rPr>
          <w:rFonts w:asciiTheme="minorHAnsi" w:hAnsiTheme="minorHAnsi" w:cs="Arial"/>
          <w:sz w:val="22"/>
          <w:szCs w:val="22"/>
        </w:rPr>
        <w:t xml:space="preserve"> is the </w:t>
      </w:r>
      <w:proofErr w:type="spellStart"/>
      <w:r w:rsidRPr="00D02200">
        <w:rPr>
          <w:rFonts w:asciiTheme="minorHAnsi" w:hAnsiTheme="minorHAnsi" w:cs="Arial"/>
          <w:sz w:val="22"/>
          <w:szCs w:val="22"/>
        </w:rPr>
        <w:t>DfE’s</w:t>
      </w:r>
      <w:proofErr w:type="spellEnd"/>
      <w:r w:rsidRPr="00D02200">
        <w:rPr>
          <w:rFonts w:asciiTheme="minorHAnsi" w:hAnsiTheme="minorHAnsi" w:cs="Arial"/>
          <w:sz w:val="22"/>
          <w:szCs w:val="22"/>
        </w:rPr>
        <w:t xml:space="preserve"> National Pupil Database. Children with</w:t>
      </w:r>
      <w:r w:rsidR="00CD25F0" w:rsidRPr="00D02200">
        <w:rPr>
          <w:rFonts w:asciiTheme="minorHAnsi" w:hAnsiTheme="minorHAnsi" w:cs="Arial"/>
          <w:sz w:val="22"/>
          <w:szCs w:val="22"/>
        </w:rPr>
        <w:t xml:space="preserve"> Special Educational Needs</w:t>
      </w:r>
      <w:r w:rsidRPr="00D02200">
        <w:rPr>
          <w:rFonts w:asciiTheme="minorHAnsi" w:hAnsiTheme="minorHAnsi" w:cs="Arial"/>
          <w:sz w:val="22"/>
          <w:szCs w:val="22"/>
        </w:rPr>
        <w:t xml:space="preserve"> in this database are identified through the School Census. This survey, undertaken </w:t>
      </w:r>
      <w:r w:rsidR="00E93C0B">
        <w:rPr>
          <w:rFonts w:asciiTheme="minorHAnsi" w:hAnsiTheme="minorHAnsi" w:cs="Arial"/>
          <w:sz w:val="22"/>
          <w:szCs w:val="22"/>
        </w:rPr>
        <w:t>annually</w:t>
      </w:r>
      <w:r w:rsidRPr="00D02200">
        <w:rPr>
          <w:rFonts w:asciiTheme="minorHAnsi" w:hAnsiTheme="minorHAnsi" w:cs="Arial"/>
          <w:sz w:val="22"/>
          <w:szCs w:val="22"/>
        </w:rPr>
        <w:t>, collects information on all children enrolled in all English state funded schools and non-profit making independent special schools during that term. Schools have a statutory responsibility to return School Census data under section 537A of the Education Act 1996</w:t>
      </w:r>
      <w:r w:rsidR="00CD25F0" w:rsidRPr="00D02200">
        <w:rPr>
          <w:rFonts w:asciiTheme="minorHAnsi" w:hAnsiTheme="minorHAnsi" w:cs="Arial"/>
          <w:sz w:val="22"/>
          <w:szCs w:val="22"/>
        </w:rPr>
        <w:t xml:space="preserve"> (HM Government, 1996)</w:t>
      </w:r>
      <w:r w:rsidRPr="00D02200">
        <w:rPr>
          <w:rFonts w:asciiTheme="minorHAnsi" w:hAnsiTheme="minorHAnsi" w:cs="Arial"/>
          <w:sz w:val="22"/>
          <w:szCs w:val="22"/>
        </w:rPr>
        <w:t xml:space="preserve">. </w:t>
      </w:r>
    </w:p>
    <w:p w:rsidR="000A10BA" w:rsidRPr="00D02200" w:rsidRDefault="000A10BA" w:rsidP="000A10BA">
      <w:pPr>
        <w:pStyle w:val="PHEBodycopy"/>
        <w:rPr>
          <w:rFonts w:asciiTheme="minorHAnsi" w:hAnsiTheme="minorHAnsi" w:cs="Arial"/>
          <w:sz w:val="22"/>
          <w:szCs w:val="22"/>
        </w:rPr>
      </w:pPr>
    </w:p>
    <w:p w:rsidR="000A10BA" w:rsidRPr="00D02200" w:rsidRDefault="000A10BA" w:rsidP="000A10BA">
      <w:pPr>
        <w:pStyle w:val="PHEBodycopy"/>
        <w:rPr>
          <w:rFonts w:asciiTheme="minorHAnsi" w:hAnsiTheme="minorHAnsi" w:cs="Arial"/>
          <w:sz w:val="22"/>
          <w:szCs w:val="22"/>
        </w:rPr>
      </w:pPr>
      <w:r w:rsidRPr="00D02200">
        <w:rPr>
          <w:rFonts w:asciiTheme="minorHAnsi" w:hAnsiTheme="minorHAnsi" w:cs="Arial"/>
          <w:sz w:val="22"/>
          <w:szCs w:val="22"/>
        </w:rPr>
        <w:t>Children not included in the School Census include those being educated at home, in independent (non-state funded) mainstream schools or in for-profit independent special schools. It has been estimated that the School Census includes information on approximately 97% of English children of statutory school age</w:t>
      </w:r>
      <w:r w:rsidR="00CD25F0" w:rsidRPr="00D02200">
        <w:rPr>
          <w:rFonts w:asciiTheme="minorHAnsi" w:hAnsiTheme="minorHAnsi" w:cs="Arial"/>
          <w:sz w:val="22"/>
          <w:szCs w:val="22"/>
        </w:rPr>
        <w:t xml:space="preserve"> (Emerson, 2012)</w:t>
      </w:r>
      <w:r w:rsidRPr="00D02200">
        <w:rPr>
          <w:rFonts w:asciiTheme="minorHAnsi" w:hAnsiTheme="minorHAnsi" w:cs="Arial"/>
          <w:sz w:val="22"/>
          <w:szCs w:val="22"/>
        </w:rPr>
        <w:t>.</w:t>
      </w:r>
      <w:r w:rsidR="00CD25F0" w:rsidRPr="00D02200">
        <w:rPr>
          <w:rFonts w:asciiTheme="minorHAnsi" w:hAnsiTheme="minorHAnsi" w:cs="Arial"/>
          <w:sz w:val="22"/>
          <w:szCs w:val="22"/>
        </w:rPr>
        <w:t xml:space="preserve"> </w:t>
      </w:r>
    </w:p>
    <w:p w:rsidR="000A10BA" w:rsidRPr="00D02200" w:rsidRDefault="000A10BA" w:rsidP="000A10BA">
      <w:pPr>
        <w:pStyle w:val="PHEBodycopy"/>
        <w:rPr>
          <w:rFonts w:asciiTheme="minorHAnsi" w:hAnsiTheme="minorHAnsi" w:cs="Arial"/>
          <w:sz w:val="22"/>
          <w:szCs w:val="22"/>
        </w:rPr>
      </w:pPr>
    </w:p>
    <w:p w:rsidR="000A10BA" w:rsidRPr="00D02200" w:rsidRDefault="000A10BA" w:rsidP="000A10BA">
      <w:pPr>
        <w:pStyle w:val="PHEBodycopy"/>
        <w:rPr>
          <w:rFonts w:asciiTheme="minorHAnsi" w:hAnsiTheme="minorHAnsi" w:cs="Arial"/>
          <w:sz w:val="22"/>
          <w:szCs w:val="22"/>
        </w:rPr>
      </w:pPr>
      <w:r w:rsidRPr="00D02200">
        <w:rPr>
          <w:rFonts w:asciiTheme="minorHAnsi" w:hAnsiTheme="minorHAnsi" w:cs="Arial"/>
          <w:sz w:val="22"/>
          <w:szCs w:val="22"/>
        </w:rPr>
        <w:t xml:space="preserve">Unless specified, 2014/15 information contained in this section is extracted from the statistical first releases </w:t>
      </w:r>
      <w:r w:rsidRPr="00D02200">
        <w:rPr>
          <w:rFonts w:asciiTheme="minorHAnsi" w:hAnsiTheme="minorHAnsi" w:cs="Arial"/>
          <w:i/>
          <w:sz w:val="22"/>
          <w:szCs w:val="22"/>
        </w:rPr>
        <w:t>Schools, pupils and their characteristics: January 2015</w:t>
      </w:r>
      <w:r w:rsidR="00CD25F0" w:rsidRPr="00D02200">
        <w:rPr>
          <w:rFonts w:asciiTheme="minorHAnsi" w:hAnsiTheme="minorHAnsi" w:cs="Arial"/>
          <w:i/>
          <w:sz w:val="22"/>
          <w:szCs w:val="22"/>
        </w:rPr>
        <w:t xml:space="preserve"> </w:t>
      </w:r>
      <w:r w:rsidR="00CD25F0" w:rsidRPr="00D02200">
        <w:rPr>
          <w:rFonts w:asciiTheme="minorHAnsi" w:hAnsiTheme="minorHAnsi" w:cs="Arial"/>
          <w:sz w:val="22"/>
          <w:szCs w:val="22"/>
        </w:rPr>
        <w:t>(Department for Education, 2015b)</w:t>
      </w:r>
      <w:r w:rsidRPr="00D02200">
        <w:rPr>
          <w:rFonts w:asciiTheme="minorHAnsi" w:hAnsiTheme="minorHAnsi" w:cs="Arial"/>
          <w:sz w:val="22"/>
          <w:szCs w:val="22"/>
        </w:rPr>
        <w:t xml:space="preserve"> and </w:t>
      </w:r>
      <w:r w:rsidRPr="00D02200">
        <w:rPr>
          <w:rFonts w:asciiTheme="minorHAnsi" w:hAnsiTheme="minorHAnsi" w:cs="Arial"/>
          <w:i/>
          <w:sz w:val="22"/>
          <w:szCs w:val="22"/>
        </w:rPr>
        <w:t>Special Educational Needs in England: January 2015</w:t>
      </w:r>
      <w:r w:rsidR="00CD25F0" w:rsidRPr="00D02200">
        <w:rPr>
          <w:rFonts w:asciiTheme="minorHAnsi" w:hAnsiTheme="minorHAnsi" w:cs="Arial"/>
          <w:i/>
          <w:sz w:val="22"/>
          <w:szCs w:val="22"/>
        </w:rPr>
        <w:t xml:space="preserve"> </w:t>
      </w:r>
      <w:r w:rsidR="00CD25F0" w:rsidRPr="00D02200">
        <w:rPr>
          <w:rFonts w:asciiTheme="minorHAnsi" w:hAnsiTheme="minorHAnsi" w:cs="Arial"/>
          <w:sz w:val="22"/>
          <w:szCs w:val="22"/>
        </w:rPr>
        <w:t>(Department for Education, 2015c)</w:t>
      </w:r>
      <w:r w:rsidRPr="00D02200">
        <w:rPr>
          <w:rFonts w:asciiTheme="minorHAnsi" w:hAnsiTheme="minorHAnsi" w:cs="Arial"/>
          <w:sz w:val="22"/>
          <w:szCs w:val="22"/>
        </w:rPr>
        <w:t xml:space="preserve">. </w:t>
      </w:r>
    </w:p>
    <w:p w:rsidR="003D6868" w:rsidRPr="00D02200" w:rsidRDefault="003D6868" w:rsidP="000A10BA">
      <w:pPr>
        <w:pStyle w:val="PHEBodycopy"/>
        <w:rPr>
          <w:rFonts w:asciiTheme="minorHAnsi" w:hAnsiTheme="minorHAnsi" w:cs="Arial"/>
          <w:sz w:val="22"/>
          <w:szCs w:val="22"/>
        </w:rPr>
      </w:pPr>
    </w:p>
    <w:p w:rsidR="003D6868" w:rsidRPr="00D02200" w:rsidRDefault="003D6868" w:rsidP="003D6868">
      <w:r w:rsidRPr="00D02200">
        <w:t>The identification of special educational needs prior to 1 September 2014 was undertaken at three levels:</w:t>
      </w:r>
    </w:p>
    <w:p w:rsidR="003D6868" w:rsidRPr="00D02200" w:rsidRDefault="003D6868" w:rsidP="003D6868">
      <w:pPr>
        <w:pStyle w:val="ListParagraph"/>
        <w:numPr>
          <w:ilvl w:val="0"/>
          <w:numId w:val="15"/>
        </w:numPr>
      </w:pPr>
      <w:r w:rsidRPr="00D02200">
        <w:t>School Action (extra or different help is provided to the child);</w:t>
      </w:r>
    </w:p>
    <w:p w:rsidR="003D6868" w:rsidRPr="00D02200" w:rsidRDefault="003D6868" w:rsidP="003D6868">
      <w:pPr>
        <w:pStyle w:val="ListParagraph"/>
        <w:numPr>
          <w:ilvl w:val="0"/>
          <w:numId w:val="15"/>
        </w:numPr>
      </w:pPr>
      <w:r w:rsidRPr="00D02200">
        <w:t>School Action Plus (extra or different help is provided plus the class teacher and the school’s Special Educational Needs Coordinator [SENCO] receive advice or support from outside specialists, e.g., specialist teachers, an educational psychologist, a speech and language therapist or other health professionals);</w:t>
      </w:r>
    </w:p>
    <w:p w:rsidR="003D6868" w:rsidRPr="00D02200" w:rsidRDefault="003D6868" w:rsidP="003D6868">
      <w:pPr>
        <w:pStyle w:val="ListParagraph"/>
        <w:numPr>
          <w:ilvl w:val="0"/>
          <w:numId w:val="15"/>
        </w:numPr>
      </w:pPr>
      <w:r w:rsidRPr="00D02200">
        <w:t>Statement of SEN (the pupil has a statement of SEN, a legal document that specifies the child’s needs and the extra help they should receive).</w:t>
      </w:r>
    </w:p>
    <w:p w:rsidR="003D6868" w:rsidRPr="00D02200" w:rsidRDefault="003D6868" w:rsidP="003D6868"/>
    <w:p w:rsidR="003D6868" w:rsidRPr="00D02200" w:rsidRDefault="003D6868" w:rsidP="003D6868">
      <w:pPr>
        <w:pStyle w:val="PHEBodycopy"/>
        <w:rPr>
          <w:rFonts w:asciiTheme="minorHAnsi" w:hAnsiTheme="minorHAnsi"/>
          <w:sz w:val="22"/>
          <w:szCs w:val="22"/>
        </w:rPr>
      </w:pPr>
      <w:r w:rsidRPr="00D02200">
        <w:rPr>
          <w:rFonts w:asciiTheme="minorHAnsi" w:hAnsiTheme="minorHAnsi"/>
          <w:sz w:val="22"/>
          <w:szCs w:val="22"/>
        </w:rPr>
        <w:lastRenderedPageBreak/>
        <w:t>All schools were obliged to provide information on the type of primary and, if relevant, secondary special educational need for children at School Action Plus and children with a Statement of Special Educational Needs. Three categories of special educational need are associated with learning disability: moderate learning difficulty (MLD), severe learning difficulty (SLD); and profound multiple learning difficulty (PMLD).</w:t>
      </w:r>
    </w:p>
    <w:p w:rsidR="003D6868" w:rsidRPr="00D02200" w:rsidRDefault="003D6868" w:rsidP="003D6868">
      <w:pPr>
        <w:pStyle w:val="PHEBodycopy"/>
        <w:rPr>
          <w:rFonts w:asciiTheme="minorHAnsi" w:hAnsiTheme="minorHAnsi"/>
          <w:sz w:val="22"/>
          <w:szCs w:val="22"/>
        </w:rPr>
      </w:pPr>
    </w:p>
    <w:p w:rsidR="003D6868" w:rsidRPr="00D02200" w:rsidRDefault="003D6868" w:rsidP="003D6868">
      <w:pPr>
        <w:pStyle w:val="PHEBodycopy"/>
        <w:rPr>
          <w:rFonts w:asciiTheme="minorHAnsi" w:hAnsiTheme="minorHAnsi"/>
          <w:sz w:val="22"/>
          <w:szCs w:val="22"/>
        </w:rPr>
      </w:pPr>
      <w:r w:rsidRPr="00D02200">
        <w:rPr>
          <w:rFonts w:asciiTheme="minorHAnsi" w:hAnsiTheme="minorHAnsi"/>
          <w:sz w:val="22"/>
          <w:szCs w:val="22"/>
        </w:rPr>
        <w:t xml:space="preserve">The Special Educational Needs and Disability (SEND) provisions in the Children and Families Act 2014 were introduced on 1 September 2014. From that date, any child or young person who was </w:t>
      </w:r>
      <w:r w:rsidRPr="00D02200">
        <w:rPr>
          <w:rFonts w:asciiTheme="minorHAnsi" w:hAnsiTheme="minorHAnsi"/>
          <w:i/>
          <w:sz w:val="22"/>
          <w:szCs w:val="22"/>
        </w:rPr>
        <w:t>newly</w:t>
      </w:r>
      <w:r w:rsidRPr="00D02200">
        <w:rPr>
          <w:rFonts w:asciiTheme="minorHAnsi" w:hAnsiTheme="minorHAnsi"/>
          <w:sz w:val="22"/>
          <w:szCs w:val="22"/>
        </w:rPr>
        <w:t xml:space="preserve"> referred to a local authority for assessment was considered under the new Education, Health and Care (EHC) plan assessment process. The legal test of when a child or young person requires an actual EHC plan remained the same as that for a statement under the Education Act 1996. As such, information on children with a Statement of SEN or an EHC Plan should be comparable over time across the introduction of these legislative changes. </w:t>
      </w:r>
    </w:p>
    <w:p w:rsidR="003D6868" w:rsidRPr="00D02200" w:rsidRDefault="003D6868" w:rsidP="003D6868">
      <w:pPr>
        <w:pStyle w:val="PHEBodycopy"/>
        <w:rPr>
          <w:rFonts w:asciiTheme="minorHAnsi" w:hAnsiTheme="minorHAnsi"/>
          <w:sz w:val="22"/>
          <w:szCs w:val="22"/>
        </w:rPr>
      </w:pPr>
    </w:p>
    <w:p w:rsidR="003D6868" w:rsidRPr="00D02200" w:rsidRDefault="003D6868" w:rsidP="003D6868">
      <w:pPr>
        <w:pStyle w:val="PHEBodycopy"/>
        <w:rPr>
          <w:rFonts w:asciiTheme="minorHAnsi" w:hAnsiTheme="minorHAnsi"/>
          <w:sz w:val="22"/>
          <w:szCs w:val="22"/>
        </w:rPr>
      </w:pPr>
      <w:r w:rsidRPr="00D02200">
        <w:rPr>
          <w:rFonts w:asciiTheme="minorHAnsi" w:hAnsiTheme="minorHAnsi"/>
          <w:sz w:val="22"/>
          <w:szCs w:val="22"/>
        </w:rPr>
        <w:t xml:space="preserve">However, the SEND provisions in the Children and Families Act 2014 combined previous ‘School Action’ and ‘School Action </w:t>
      </w:r>
      <w:proofErr w:type="spellStart"/>
      <w:r w:rsidRPr="00D02200">
        <w:rPr>
          <w:rFonts w:asciiTheme="minorHAnsi" w:hAnsiTheme="minorHAnsi"/>
          <w:sz w:val="22"/>
          <w:szCs w:val="22"/>
        </w:rPr>
        <w:t>Plus’</w:t>
      </w:r>
      <w:proofErr w:type="spellEnd"/>
      <w:r w:rsidRPr="00D02200">
        <w:rPr>
          <w:rFonts w:asciiTheme="minorHAnsi" w:hAnsiTheme="minorHAnsi"/>
          <w:sz w:val="22"/>
          <w:szCs w:val="22"/>
        </w:rPr>
        <w:t xml:space="preserve"> categories and replaced them with a new category ‘SEN support’. Information on </w:t>
      </w:r>
      <w:r w:rsidRPr="00D02200">
        <w:rPr>
          <w:rFonts w:asciiTheme="minorHAnsi" w:eastAsiaTheme="minorHAnsi" w:hAnsiTheme="minorHAnsi"/>
          <w:sz w:val="22"/>
          <w:szCs w:val="22"/>
        </w:rPr>
        <w:t xml:space="preserve">type of SEN type for all children on SEN support was collected from January 2015. As a result, </w:t>
      </w:r>
      <w:r w:rsidRPr="00D02200">
        <w:rPr>
          <w:rFonts w:asciiTheme="minorHAnsi" w:hAnsiTheme="minorHAnsi"/>
          <w:sz w:val="22"/>
          <w:szCs w:val="22"/>
        </w:rPr>
        <w:t xml:space="preserve">information on children with a SEN who do not have a Statement or an EHC Plan will not be comparable over time across the introduction of these legislative changes. </w:t>
      </w:r>
    </w:p>
    <w:p w:rsidR="003D6868" w:rsidRPr="00D02200" w:rsidRDefault="003D6868" w:rsidP="003D6868">
      <w:pPr>
        <w:pStyle w:val="PHEBodycopy"/>
        <w:rPr>
          <w:rFonts w:asciiTheme="minorHAnsi" w:hAnsiTheme="minorHAnsi"/>
          <w:sz w:val="22"/>
          <w:szCs w:val="22"/>
        </w:rPr>
      </w:pPr>
    </w:p>
    <w:p w:rsidR="000A10BA" w:rsidRPr="00D02200" w:rsidRDefault="000A64AD" w:rsidP="00A23943">
      <w:pPr>
        <w:pStyle w:val="PHEBodycopy"/>
        <w:rPr>
          <w:rFonts w:asciiTheme="minorHAnsi" w:hAnsiTheme="minorHAnsi" w:cs="Arial"/>
          <w:sz w:val="22"/>
          <w:szCs w:val="22"/>
        </w:rPr>
      </w:pPr>
      <w:r w:rsidRPr="00D02200">
        <w:rPr>
          <w:rFonts w:asciiTheme="minorHAnsi" w:hAnsiTheme="minorHAnsi" w:cs="Arial"/>
          <w:sz w:val="22"/>
          <w:szCs w:val="22"/>
        </w:rPr>
        <w:t>This paper summarises trends in the number of children identified within state schools as being children with Mo</w:t>
      </w:r>
      <w:r w:rsidR="00D83ED4" w:rsidRPr="00D02200">
        <w:rPr>
          <w:rFonts w:asciiTheme="minorHAnsi" w:hAnsiTheme="minorHAnsi" w:cs="Arial"/>
          <w:sz w:val="22"/>
          <w:szCs w:val="22"/>
        </w:rPr>
        <w:t>derate Learning Difficulty</w:t>
      </w:r>
      <w:r w:rsidRPr="00D02200">
        <w:rPr>
          <w:rFonts w:asciiTheme="minorHAnsi" w:hAnsiTheme="minorHAnsi" w:cs="Arial"/>
          <w:sz w:val="22"/>
          <w:szCs w:val="22"/>
        </w:rPr>
        <w:t xml:space="preserve"> (ML</w:t>
      </w:r>
      <w:r w:rsidR="00D83ED4" w:rsidRPr="00D02200">
        <w:rPr>
          <w:rFonts w:asciiTheme="minorHAnsi" w:hAnsiTheme="minorHAnsi" w:cs="Arial"/>
          <w:sz w:val="22"/>
          <w:szCs w:val="22"/>
        </w:rPr>
        <w:t>D), Severe Learning Difficulty (SLD) or Profound Multiple Learning Difficulty</w:t>
      </w:r>
      <w:r w:rsidRPr="00D02200">
        <w:rPr>
          <w:rFonts w:asciiTheme="minorHAnsi" w:hAnsiTheme="minorHAnsi" w:cs="Arial"/>
          <w:sz w:val="22"/>
          <w:szCs w:val="22"/>
        </w:rPr>
        <w:t xml:space="preserve"> (PMLD) from </w:t>
      </w:r>
      <w:r w:rsidR="003D6868" w:rsidRPr="00D02200">
        <w:rPr>
          <w:rFonts w:asciiTheme="minorHAnsi" w:hAnsiTheme="minorHAnsi" w:cs="Arial"/>
          <w:sz w:val="22"/>
          <w:szCs w:val="22"/>
        </w:rPr>
        <w:t>2009/</w:t>
      </w:r>
      <w:r w:rsidRPr="00D02200">
        <w:rPr>
          <w:rFonts w:asciiTheme="minorHAnsi" w:hAnsiTheme="minorHAnsi" w:cs="Arial"/>
          <w:sz w:val="22"/>
          <w:szCs w:val="22"/>
        </w:rPr>
        <w:t xml:space="preserve">2010 to </w:t>
      </w:r>
      <w:r w:rsidR="003D6868" w:rsidRPr="00D02200">
        <w:rPr>
          <w:rFonts w:asciiTheme="minorHAnsi" w:hAnsiTheme="minorHAnsi" w:cs="Arial"/>
          <w:sz w:val="22"/>
          <w:szCs w:val="22"/>
        </w:rPr>
        <w:t>2014/</w:t>
      </w:r>
      <w:r w:rsidRPr="00D02200">
        <w:rPr>
          <w:rFonts w:asciiTheme="minorHAnsi" w:hAnsiTheme="minorHAnsi" w:cs="Arial"/>
          <w:sz w:val="22"/>
          <w:szCs w:val="22"/>
        </w:rPr>
        <w:t>2015.</w:t>
      </w:r>
    </w:p>
    <w:p w:rsidR="000A10BA" w:rsidRPr="00D02200" w:rsidRDefault="000A10BA" w:rsidP="00A23943">
      <w:pPr>
        <w:pStyle w:val="PHEBodycopy"/>
        <w:rPr>
          <w:rFonts w:asciiTheme="minorHAnsi" w:hAnsiTheme="minorHAnsi" w:cs="Arial"/>
          <w:color w:val="1F497D" w:themeColor="text2"/>
          <w:sz w:val="22"/>
          <w:szCs w:val="22"/>
        </w:rPr>
      </w:pPr>
    </w:p>
    <w:p w:rsidR="00A23943" w:rsidRPr="00D44B39" w:rsidRDefault="00A23943" w:rsidP="00A23943">
      <w:pPr>
        <w:pStyle w:val="PHESecondaryHeadingOne"/>
        <w:rPr>
          <w:rFonts w:asciiTheme="minorHAnsi" w:hAnsiTheme="minorHAnsi" w:cs="Arial"/>
          <w:color w:val="auto"/>
          <w:sz w:val="22"/>
          <w:szCs w:val="22"/>
        </w:rPr>
      </w:pPr>
      <w:bookmarkStart w:id="1" w:name="_Toc400460880"/>
      <w:r w:rsidRPr="00D44B39">
        <w:rPr>
          <w:rFonts w:asciiTheme="minorHAnsi" w:hAnsiTheme="minorHAnsi" w:cs="Arial"/>
          <w:color w:val="auto"/>
          <w:sz w:val="22"/>
          <w:szCs w:val="22"/>
        </w:rPr>
        <w:t>Methods</w:t>
      </w:r>
      <w:bookmarkEnd w:id="1"/>
    </w:p>
    <w:p w:rsidR="00A23943" w:rsidRPr="00D44B39" w:rsidRDefault="00D83ED4" w:rsidP="00A23943">
      <w:pPr>
        <w:pStyle w:val="PHEBodycopy"/>
        <w:rPr>
          <w:rFonts w:asciiTheme="minorHAnsi" w:hAnsiTheme="minorHAnsi" w:cs="Arial"/>
          <w:sz w:val="22"/>
          <w:szCs w:val="22"/>
        </w:rPr>
      </w:pPr>
      <w:r w:rsidRPr="00D44B39">
        <w:rPr>
          <w:rFonts w:asciiTheme="minorHAnsi" w:hAnsiTheme="minorHAnsi" w:cs="Arial"/>
          <w:sz w:val="22"/>
          <w:szCs w:val="22"/>
        </w:rPr>
        <w:t>Data concerning the number of school children identified within state schools as being children with Moderate Learning Difficulty (MLD), Severe Learning Difficulty (SLD) or Profound Multiple Learning Difficulty (PMLD) were extracted from Department for Education annual reports (Department for Education 2010, 2011, 2012, 2013, 2014, 2015a, b, c). Data are presented separately for children with a Statement of Educational Need (2009/10 to 2013/14) or Educational Health and Care Plan (2014/15), and children identified at the level of School Action Plus (2009/10 to 2013/14).</w:t>
      </w:r>
    </w:p>
    <w:p w:rsidR="00A23943" w:rsidRPr="00D02200" w:rsidRDefault="00A23943" w:rsidP="00A23943">
      <w:pPr>
        <w:pStyle w:val="PHEBodycopy"/>
        <w:rPr>
          <w:rFonts w:asciiTheme="minorHAnsi" w:hAnsiTheme="minorHAnsi" w:cs="Arial"/>
          <w:color w:val="1F497D" w:themeColor="text2"/>
          <w:sz w:val="22"/>
          <w:szCs w:val="22"/>
        </w:rPr>
      </w:pPr>
    </w:p>
    <w:p w:rsidR="0070524B" w:rsidRPr="00D02200" w:rsidRDefault="0070524B" w:rsidP="0070524B">
      <w:pPr>
        <w:pStyle w:val="PHESecondaryHeadingOne"/>
        <w:rPr>
          <w:rFonts w:asciiTheme="minorHAnsi" w:hAnsiTheme="minorHAnsi" w:cs="Arial"/>
          <w:color w:val="auto"/>
          <w:sz w:val="22"/>
          <w:szCs w:val="22"/>
        </w:rPr>
      </w:pPr>
      <w:r w:rsidRPr="00D02200">
        <w:rPr>
          <w:rFonts w:asciiTheme="minorHAnsi" w:hAnsiTheme="minorHAnsi" w:cs="Arial"/>
          <w:color w:val="auto"/>
          <w:sz w:val="22"/>
          <w:szCs w:val="22"/>
        </w:rPr>
        <w:t>Results</w:t>
      </w:r>
    </w:p>
    <w:p w:rsidR="00D02200" w:rsidRPr="00D02200" w:rsidRDefault="00D02200" w:rsidP="00D02200">
      <w:pPr>
        <w:pStyle w:val="PHEBodycopy"/>
        <w:rPr>
          <w:rFonts w:asciiTheme="minorHAnsi" w:hAnsiTheme="minorHAnsi" w:cstheme="minorHAnsi"/>
          <w:noProof/>
          <w:sz w:val="22"/>
          <w:szCs w:val="22"/>
        </w:rPr>
      </w:pPr>
      <w:r w:rsidRPr="00D02200">
        <w:rPr>
          <w:rFonts w:asciiTheme="minorHAnsi" w:hAnsiTheme="minorHAnsi" w:cs="Arial"/>
          <w:sz w:val="22"/>
          <w:szCs w:val="22"/>
        </w:rPr>
        <w:t xml:space="preserve">Figure 1 </w:t>
      </w:r>
      <w:r w:rsidRPr="00D02200">
        <w:rPr>
          <w:rFonts w:asciiTheme="minorHAnsi" w:hAnsiTheme="minorHAnsi" w:cstheme="minorHAnsi"/>
          <w:sz w:val="22"/>
          <w:szCs w:val="22"/>
        </w:rPr>
        <w:t>shows the number of children with a</w:t>
      </w:r>
      <w:r w:rsidRPr="00D02200">
        <w:rPr>
          <w:rFonts w:asciiTheme="minorHAnsi" w:hAnsiTheme="minorHAnsi"/>
          <w:sz w:val="22"/>
          <w:szCs w:val="22"/>
        </w:rPr>
        <w:t xml:space="preserve"> Statement of Special Educational Needs or an EHC Plan and a </w:t>
      </w:r>
      <w:r w:rsidRPr="00D02200">
        <w:rPr>
          <w:rFonts w:asciiTheme="minorHAnsi" w:hAnsiTheme="minorHAnsi" w:cstheme="minorHAnsi"/>
          <w:i/>
          <w:sz w:val="22"/>
          <w:szCs w:val="22"/>
        </w:rPr>
        <w:t>primary</w:t>
      </w:r>
      <w:r w:rsidRPr="00D02200">
        <w:rPr>
          <w:rFonts w:asciiTheme="minorHAnsi" w:hAnsiTheme="minorHAnsi" w:cstheme="minorHAnsi"/>
          <w:sz w:val="22"/>
          <w:szCs w:val="22"/>
        </w:rPr>
        <w:t xml:space="preserve"> special educational need associated with learning disabilities in state funded primary, secondary and special schools and non-maintained special schools in England from 2009/10 to 2014/15.</w:t>
      </w:r>
      <w:r w:rsidRPr="00D02200">
        <w:rPr>
          <w:rFonts w:asciiTheme="minorHAnsi" w:hAnsiTheme="minorHAnsi" w:cstheme="minorHAnsi"/>
          <w:noProof/>
          <w:sz w:val="22"/>
          <w:szCs w:val="22"/>
        </w:rPr>
        <w:t xml:space="preserve"> </w:t>
      </w:r>
    </w:p>
    <w:p w:rsidR="00AF6F31" w:rsidRPr="00D02200" w:rsidRDefault="00AF6F31" w:rsidP="0070524B">
      <w:pPr>
        <w:pStyle w:val="PHEBodycopy"/>
        <w:rPr>
          <w:rFonts w:asciiTheme="minorHAnsi" w:hAnsiTheme="minorHAnsi" w:cs="Arial"/>
          <w:sz w:val="22"/>
          <w:szCs w:val="22"/>
        </w:rPr>
      </w:pPr>
    </w:p>
    <w:p w:rsidR="00D02200" w:rsidRPr="00D02200" w:rsidRDefault="00D02200" w:rsidP="0070524B">
      <w:pPr>
        <w:pStyle w:val="PHEBodycopy"/>
        <w:rPr>
          <w:rFonts w:asciiTheme="minorHAnsi" w:hAnsiTheme="minorHAnsi" w:cs="Arial"/>
          <w:sz w:val="22"/>
          <w:szCs w:val="22"/>
        </w:rPr>
      </w:pPr>
    </w:p>
    <w:p w:rsidR="00D02200" w:rsidRPr="00D02200" w:rsidRDefault="00D02200" w:rsidP="0070524B">
      <w:pPr>
        <w:pStyle w:val="PHEBodycopy"/>
        <w:rPr>
          <w:rFonts w:asciiTheme="minorHAnsi" w:hAnsiTheme="minorHAnsi" w:cs="Arial"/>
          <w:sz w:val="22"/>
          <w:szCs w:val="22"/>
        </w:rPr>
      </w:pPr>
      <w:r w:rsidRPr="00D02200">
        <w:rPr>
          <w:rFonts w:asciiTheme="minorHAnsi" w:hAnsiTheme="minorHAnsi" w:cs="Arial"/>
          <w:sz w:val="22"/>
          <w:szCs w:val="22"/>
        </w:rPr>
        <w:t>Figure 1 about here</w:t>
      </w:r>
    </w:p>
    <w:p w:rsidR="00D02200" w:rsidRPr="00D02200" w:rsidRDefault="00D02200" w:rsidP="0070524B">
      <w:pPr>
        <w:pStyle w:val="PHEBodycopy"/>
        <w:rPr>
          <w:rFonts w:asciiTheme="minorHAnsi" w:hAnsiTheme="minorHAnsi" w:cs="Arial"/>
          <w:sz w:val="22"/>
          <w:szCs w:val="22"/>
        </w:rPr>
      </w:pPr>
    </w:p>
    <w:p w:rsidR="00D02200" w:rsidRPr="00D02200" w:rsidRDefault="00D02200" w:rsidP="00D02200">
      <w:pPr>
        <w:pStyle w:val="PHEBodycopy"/>
        <w:spacing w:before="120"/>
        <w:rPr>
          <w:rFonts w:asciiTheme="minorHAnsi" w:hAnsiTheme="minorHAnsi"/>
          <w:sz w:val="22"/>
          <w:szCs w:val="22"/>
        </w:rPr>
      </w:pPr>
      <w:r w:rsidRPr="00D02200">
        <w:rPr>
          <w:rFonts w:asciiTheme="minorHAnsi" w:hAnsiTheme="minorHAnsi"/>
          <w:sz w:val="22"/>
          <w:szCs w:val="22"/>
        </w:rPr>
        <w:t>In 2014/15 70,065 children in England had a Statement of SEN or an EHC Plan and were identified as having a primary SEN associated with learning disabilities. Of these, 44% were identified as having MLD, 41% SLD and 15% PMLD. Between 2009/10 and 2014/15, the number of children in England who had a Statement of SEN or an EHC Plan and were identified as having a primary SEN associated with learning disabilities reduced by 6.5% (equivalent to a 1.3% reduction in the number of children each year). This reduction was driven by a marked reduction in the number of children identified with MLD (24% over the period, 5.4% annual reduction), attenuated by modest increases in the number of children identified with SLD (15% over the period, 2.8% annual increase) and PMLD (15% over the period, 2.9% annual increase).</w:t>
      </w:r>
    </w:p>
    <w:p w:rsidR="00D02200" w:rsidRPr="00D02200" w:rsidRDefault="00D02200" w:rsidP="00D02200">
      <w:pPr>
        <w:pStyle w:val="PHEBodycopy"/>
        <w:spacing w:before="120"/>
        <w:rPr>
          <w:rFonts w:asciiTheme="minorHAnsi" w:hAnsiTheme="minorHAnsi"/>
          <w:sz w:val="22"/>
          <w:szCs w:val="22"/>
        </w:rPr>
      </w:pPr>
      <w:r w:rsidRPr="00D02200">
        <w:rPr>
          <w:rFonts w:asciiTheme="minorHAnsi" w:hAnsiTheme="minorHAnsi"/>
          <w:sz w:val="22"/>
          <w:szCs w:val="22"/>
        </w:rPr>
        <w:t xml:space="preserve">Over the same time period, however, the total number of children on school rolls </w:t>
      </w:r>
      <w:r w:rsidRPr="00D02200">
        <w:rPr>
          <w:rFonts w:asciiTheme="minorHAnsi" w:hAnsiTheme="minorHAnsi"/>
          <w:i/>
          <w:sz w:val="22"/>
          <w:szCs w:val="22"/>
        </w:rPr>
        <w:t>increased</w:t>
      </w:r>
      <w:r w:rsidRPr="00D02200">
        <w:rPr>
          <w:rFonts w:asciiTheme="minorHAnsi" w:hAnsiTheme="minorHAnsi"/>
          <w:sz w:val="22"/>
          <w:szCs w:val="22"/>
        </w:rPr>
        <w:t xml:space="preserve"> by 4.2%. As a result, the percentage of children with a Statement of SEN or an EHC Plan who had a Primary SEN associated with learning disabilities decreased from 0.93% in 2009/10 to 0.83% in 2014/15. As above, this reduction was driven by a reduction in the percentage of children identified with MLD from 0.51% in 2009/10 to 0.37% in 2014/15. The percentage of children identified with SLD and PMLD showed marginal increases over the same period (SLD 0.31% to 0.34%; PMLD 0.11% to 0.12%). </w:t>
      </w:r>
    </w:p>
    <w:p w:rsidR="00D02200" w:rsidRPr="00D02200" w:rsidRDefault="00D02200" w:rsidP="0070524B">
      <w:pPr>
        <w:pStyle w:val="PHEBodycopy"/>
        <w:rPr>
          <w:rFonts w:asciiTheme="minorHAnsi" w:hAnsiTheme="minorHAnsi" w:cs="Arial"/>
          <w:sz w:val="22"/>
          <w:szCs w:val="22"/>
        </w:rPr>
      </w:pPr>
    </w:p>
    <w:p w:rsidR="00D02200" w:rsidRPr="00D02200" w:rsidRDefault="00D02200" w:rsidP="00D02200">
      <w:pPr>
        <w:pStyle w:val="PHEBodycopy"/>
        <w:spacing w:before="120"/>
        <w:rPr>
          <w:rFonts w:asciiTheme="minorHAnsi" w:hAnsiTheme="minorHAnsi"/>
          <w:sz w:val="22"/>
          <w:szCs w:val="22"/>
        </w:rPr>
      </w:pPr>
      <w:r w:rsidRPr="00D02200">
        <w:rPr>
          <w:rFonts w:asciiTheme="minorHAnsi" w:hAnsiTheme="minorHAnsi"/>
          <w:sz w:val="22"/>
          <w:szCs w:val="22"/>
        </w:rPr>
        <w:t xml:space="preserve">As noted above, the collection of information on children with SEN who do not have a Statement/EHC Plan is currently in a state of transition. Between 2009/10 and 2013/14 information on type of SEN was only collected for children at School Action Plus in the assessment of SEN. From 2015/16 information on type of SEN will be collected for children requiring SEN Support, a new category that combines the previous School Action Plus and School Action stages in the assessment of SEN. 2014/15 is a transitional year. </w:t>
      </w:r>
    </w:p>
    <w:p w:rsidR="00D02200" w:rsidRPr="00D02200" w:rsidRDefault="00D02200" w:rsidP="00D02200">
      <w:pPr>
        <w:pStyle w:val="PHEBodycopy"/>
        <w:rPr>
          <w:rFonts w:asciiTheme="minorHAnsi" w:hAnsiTheme="minorHAnsi" w:cstheme="minorHAnsi"/>
          <w:sz w:val="22"/>
          <w:szCs w:val="22"/>
        </w:rPr>
      </w:pPr>
    </w:p>
    <w:p w:rsidR="00D02200" w:rsidRPr="00D02200" w:rsidRDefault="00D02200" w:rsidP="00D02200">
      <w:pPr>
        <w:pStyle w:val="PHEBodycopy"/>
        <w:rPr>
          <w:rFonts w:asciiTheme="minorHAnsi" w:hAnsiTheme="minorHAnsi" w:cstheme="minorHAnsi"/>
          <w:noProof/>
          <w:sz w:val="22"/>
          <w:szCs w:val="22"/>
        </w:rPr>
      </w:pPr>
      <w:r w:rsidRPr="00D02200">
        <w:rPr>
          <w:rFonts w:asciiTheme="minorHAnsi" w:hAnsiTheme="minorHAnsi" w:cstheme="minorHAnsi"/>
          <w:sz w:val="22"/>
          <w:szCs w:val="22"/>
        </w:rPr>
        <w:t xml:space="preserve">Figure 2 shows the number of children at School Action Plus who have </w:t>
      </w:r>
      <w:r w:rsidRPr="00D02200">
        <w:rPr>
          <w:rFonts w:asciiTheme="minorHAnsi" w:hAnsiTheme="minorHAnsi"/>
          <w:sz w:val="22"/>
          <w:szCs w:val="22"/>
        </w:rPr>
        <w:t xml:space="preserve">a </w:t>
      </w:r>
      <w:r w:rsidRPr="00D02200">
        <w:rPr>
          <w:rFonts w:asciiTheme="minorHAnsi" w:hAnsiTheme="minorHAnsi" w:cstheme="minorHAnsi"/>
          <w:sz w:val="22"/>
          <w:szCs w:val="22"/>
        </w:rPr>
        <w:t xml:space="preserve">primary SEN associated with learning disabilities in state funded primary, secondary and special schools and non-maintained special schools in England from 2009/10 to 2013/14. </w:t>
      </w:r>
      <w:r w:rsidRPr="00D02200">
        <w:rPr>
          <w:rFonts w:asciiTheme="minorHAnsi" w:hAnsiTheme="minorHAnsi" w:cstheme="minorHAnsi"/>
          <w:noProof/>
          <w:sz w:val="22"/>
          <w:szCs w:val="22"/>
        </w:rPr>
        <w:t xml:space="preserve"> </w:t>
      </w:r>
    </w:p>
    <w:p w:rsidR="00D02200" w:rsidRPr="00D02200" w:rsidRDefault="00D02200" w:rsidP="0070524B">
      <w:pPr>
        <w:pStyle w:val="PHEBodycopy"/>
        <w:rPr>
          <w:rFonts w:asciiTheme="minorHAnsi" w:hAnsiTheme="minorHAnsi" w:cs="Arial"/>
          <w:sz w:val="22"/>
          <w:szCs w:val="22"/>
        </w:rPr>
      </w:pPr>
    </w:p>
    <w:p w:rsidR="00D02200" w:rsidRPr="00D02200" w:rsidRDefault="00D02200" w:rsidP="0070524B">
      <w:pPr>
        <w:pStyle w:val="PHEBodycopy"/>
        <w:rPr>
          <w:rFonts w:asciiTheme="minorHAnsi" w:hAnsiTheme="minorHAnsi" w:cs="Arial"/>
          <w:sz w:val="22"/>
          <w:szCs w:val="22"/>
        </w:rPr>
      </w:pPr>
      <w:r w:rsidRPr="00D02200">
        <w:rPr>
          <w:rFonts w:asciiTheme="minorHAnsi" w:hAnsiTheme="minorHAnsi" w:cs="Arial"/>
          <w:sz w:val="22"/>
          <w:szCs w:val="22"/>
        </w:rPr>
        <w:t>Figure 2 about here</w:t>
      </w:r>
    </w:p>
    <w:p w:rsidR="00D02200" w:rsidRPr="00D02200" w:rsidRDefault="00D02200" w:rsidP="0070524B">
      <w:pPr>
        <w:pStyle w:val="PHEBodycopy"/>
        <w:rPr>
          <w:rFonts w:asciiTheme="minorHAnsi" w:hAnsiTheme="minorHAnsi" w:cs="Arial"/>
          <w:sz w:val="22"/>
          <w:szCs w:val="22"/>
        </w:rPr>
      </w:pPr>
    </w:p>
    <w:p w:rsidR="00D02200" w:rsidRPr="00D02200" w:rsidRDefault="00D02200" w:rsidP="00D02200">
      <w:pPr>
        <w:pStyle w:val="PHEBodycopy"/>
        <w:spacing w:before="120"/>
        <w:rPr>
          <w:rFonts w:asciiTheme="minorHAnsi" w:hAnsiTheme="minorHAnsi"/>
          <w:sz w:val="22"/>
          <w:szCs w:val="22"/>
        </w:rPr>
      </w:pPr>
      <w:r w:rsidRPr="00D02200">
        <w:rPr>
          <w:rFonts w:asciiTheme="minorHAnsi" w:hAnsiTheme="minorHAnsi"/>
          <w:sz w:val="22"/>
          <w:szCs w:val="22"/>
        </w:rPr>
        <w:t xml:space="preserve">In 2013/14 134,960 children in England were identified at the School Action </w:t>
      </w:r>
      <w:proofErr w:type="gramStart"/>
      <w:r w:rsidRPr="00D02200">
        <w:rPr>
          <w:rFonts w:asciiTheme="minorHAnsi" w:hAnsiTheme="minorHAnsi"/>
          <w:sz w:val="22"/>
          <w:szCs w:val="22"/>
        </w:rPr>
        <w:t>Plus</w:t>
      </w:r>
      <w:proofErr w:type="gramEnd"/>
      <w:r w:rsidRPr="00D02200">
        <w:rPr>
          <w:rFonts w:asciiTheme="minorHAnsi" w:hAnsiTheme="minorHAnsi"/>
          <w:sz w:val="22"/>
          <w:szCs w:val="22"/>
        </w:rPr>
        <w:t xml:space="preserve"> level and were identified as having a primary SEN associated with learning disabilities. Of these, 96% were identified as having MLD, 3% SLD and 1% PMLD. Between 2009/10 and 2013/14, the number of children in England at School Action Plus who were identified as having a primary SEN associated with learning disabilities reduced by 25% (equivalent to a 7.1% reduction in the number of children each year). This reduction was driven by a marked reduction in the number of children identifie</w:t>
      </w:r>
      <w:r w:rsidR="00CF791B">
        <w:rPr>
          <w:rFonts w:asciiTheme="minorHAnsi" w:hAnsiTheme="minorHAnsi"/>
          <w:sz w:val="22"/>
          <w:szCs w:val="22"/>
        </w:rPr>
        <w:t>d with MLD (25% over the period</w:t>
      </w:r>
      <w:r w:rsidRPr="00D02200">
        <w:rPr>
          <w:rFonts w:asciiTheme="minorHAnsi" w:hAnsiTheme="minorHAnsi"/>
          <w:sz w:val="22"/>
          <w:szCs w:val="22"/>
        </w:rPr>
        <w:t>)</w:t>
      </w:r>
      <w:r w:rsidR="00CF791B">
        <w:rPr>
          <w:rFonts w:asciiTheme="minorHAnsi" w:hAnsiTheme="minorHAnsi"/>
          <w:sz w:val="22"/>
          <w:szCs w:val="22"/>
        </w:rPr>
        <w:t xml:space="preserve">, although </w:t>
      </w:r>
      <w:r w:rsidR="00CF791B">
        <w:rPr>
          <w:rFonts w:asciiTheme="minorHAnsi" w:hAnsiTheme="minorHAnsi"/>
          <w:sz w:val="22"/>
          <w:szCs w:val="22"/>
        </w:rPr>
        <w:lastRenderedPageBreak/>
        <w:t>the (much smaller) number of children identified with SLD also dropped (25% over the period)</w:t>
      </w:r>
      <w:r w:rsidRPr="00D02200">
        <w:rPr>
          <w:rFonts w:asciiTheme="minorHAnsi" w:hAnsiTheme="minorHAnsi"/>
          <w:sz w:val="22"/>
          <w:szCs w:val="22"/>
        </w:rPr>
        <w:t xml:space="preserve">. </w:t>
      </w:r>
    </w:p>
    <w:p w:rsidR="00D02200" w:rsidRPr="00D02200" w:rsidRDefault="00D02200" w:rsidP="00D02200">
      <w:pPr>
        <w:pStyle w:val="PHEBodycopy"/>
        <w:spacing w:before="120"/>
        <w:rPr>
          <w:rFonts w:asciiTheme="minorHAnsi" w:hAnsiTheme="minorHAnsi"/>
          <w:sz w:val="22"/>
          <w:szCs w:val="22"/>
        </w:rPr>
      </w:pPr>
      <w:r w:rsidRPr="00D02200">
        <w:rPr>
          <w:rFonts w:asciiTheme="minorHAnsi" w:hAnsiTheme="minorHAnsi"/>
          <w:sz w:val="22"/>
          <w:szCs w:val="22"/>
        </w:rPr>
        <w:t>In 2014/15 214,025 children in England who were identified at School Action Plus or SEN Support levels were identified as having a primary SEN associated with learning disabilities. Of these, 98% were identified as having MLD, 1% SLD and less than 1% PMLD.</w:t>
      </w:r>
    </w:p>
    <w:p w:rsidR="00D02200" w:rsidRPr="00D02200" w:rsidRDefault="00D02200" w:rsidP="0070524B">
      <w:pPr>
        <w:pStyle w:val="PHEBodycopy"/>
        <w:rPr>
          <w:rFonts w:asciiTheme="minorHAnsi" w:hAnsiTheme="minorHAnsi" w:cs="Arial"/>
          <w:sz w:val="22"/>
          <w:szCs w:val="22"/>
        </w:rPr>
      </w:pPr>
    </w:p>
    <w:p w:rsidR="0070524B" w:rsidRDefault="00A76F33" w:rsidP="0070524B">
      <w:pPr>
        <w:pStyle w:val="PHESecondaryHeadingOne"/>
        <w:rPr>
          <w:rFonts w:asciiTheme="minorHAnsi" w:hAnsiTheme="minorHAnsi" w:cs="Arial"/>
          <w:color w:val="auto"/>
          <w:sz w:val="22"/>
          <w:szCs w:val="22"/>
        </w:rPr>
      </w:pPr>
      <w:r w:rsidRPr="00D02200">
        <w:rPr>
          <w:rFonts w:asciiTheme="minorHAnsi" w:hAnsiTheme="minorHAnsi" w:cs="Arial"/>
          <w:color w:val="auto"/>
          <w:sz w:val="22"/>
          <w:szCs w:val="22"/>
        </w:rPr>
        <w:t>Discussion</w:t>
      </w:r>
    </w:p>
    <w:p w:rsidR="00D02200" w:rsidRDefault="00D02200" w:rsidP="0070524B">
      <w:pPr>
        <w:pStyle w:val="PHESecondaryHeadingOne"/>
        <w:rPr>
          <w:rFonts w:asciiTheme="minorHAnsi" w:hAnsiTheme="minorHAnsi" w:cs="Arial"/>
          <w:color w:val="auto"/>
          <w:sz w:val="22"/>
          <w:szCs w:val="22"/>
        </w:rPr>
      </w:pPr>
      <w:r>
        <w:rPr>
          <w:rFonts w:asciiTheme="minorHAnsi" w:hAnsiTheme="minorHAnsi" w:cs="Arial"/>
          <w:color w:val="auto"/>
          <w:sz w:val="22"/>
          <w:szCs w:val="22"/>
        </w:rPr>
        <w:t>This paper reports trends in the number of children in state schools in England identified as having a primary special educational need relating to learning disabilities</w:t>
      </w:r>
      <w:r w:rsidR="00D44B39">
        <w:rPr>
          <w:rFonts w:asciiTheme="minorHAnsi" w:hAnsiTheme="minorHAnsi" w:cs="Arial"/>
          <w:color w:val="auto"/>
          <w:sz w:val="22"/>
          <w:szCs w:val="22"/>
        </w:rPr>
        <w:t>, from 2009/10 to 2014/15. These trends are complicated by changes in data reporting associated with legislation which make some of the data discontinuous into 2014/15.</w:t>
      </w:r>
    </w:p>
    <w:p w:rsidR="00976909" w:rsidRDefault="00D44B39" w:rsidP="0070524B">
      <w:pPr>
        <w:pStyle w:val="PHESecondaryHeadingOne"/>
        <w:rPr>
          <w:rFonts w:asciiTheme="minorHAnsi" w:hAnsiTheme="minorHAnsi" w:cs="Arial"/>
          <w:color w:val="auto"/>
          <w:sz w:val="22"/>
          <w:szCs w:val="22"/>
        </w:rPr>
      </w:pPr>
      <w:r>
        <w:rPr>
          <w:rFonts w:asciiTheme="minorHAnsi" w:hAnsiTheme="minorHAnsi" w:cs="Arial"/>
          <w:color w:val="auto"/>
          <w:sz w:val="22"/>
          <w:szCs w:val="22"/>
        </w:rPr>
        <w:t xml:space="preserve">However, there are clear trends over time that are consistent across the data for children with a Statement/EHCP and for children with a special educational need identified at the School Action Plus level (up to 2013/14). For both sets of children, the number of children with Severe Learning Difficulty (SLD) and Profound Multiple Learning Difficulty (PMLD) identified in state schools steadily increase over time, consistent with increasing school rolls generally and likely increases in the number of children with SLD and PMLD being born and surviving over time (Emerson and Hatton, 2014). </w:t>
      </w:r>
    </w:p>
    <w:p w:rsidR="00E813E0" w:rsidRDefault="00D44B39" w:rsidP="0070524B">
      <w:pPr>
        <w:pStyle w:val="PHESecondaryHeadingOne"/>
        <w:rPr>
          <w:rFonts w:asciiTheme="minorHAnsi" w:hAnsiTheme="minorHAnsi" w:cs="Arial"/>
          <w:color w:val="auto"/>
          <w:sz w:val="22"/>
          <w:szCs w:val="22"/>
        </w:rPr>
      </w:pPr>
      <w:r>
        <w:rPr>
          <w:rFonts w:asciiTheme="minorHAnsi" w:hAnsiTheme="minorHAnsi" w:cs="Arial"/>
          <w:color w:val="auto"/>
          <w:sz w:val="22"/>
          <w:szCs w:val="22"/>
        </w:rPr>
        <w:t>In contrast, the number of children with Moderate Learning Difficulty (MLD) identified in state schools has dropped sharply over time</w:t>
      </w:r>
      <w:r w:rsidR="00171AD6">
        <w:rPr>
          <w:rFonts w:asciiTheme="minorHAnsi" w:hAnsiTheme="minorHAnsi" w:cs="Arial"/>
          <w:color w:val="auto"/>
          <w:sz w:val="22"/>
          <w:szCs w:val="22"/>
        </w:rPr>
        <w:t>, by 24% from 2009/10 to 2014/15 for children with statements/EHCPs, and by 25% from 2009/10 to 2013/14 for children with needs at School Action Plus.</w:t>
      </w:r>
      <w:r w:rsidR="00976909">
        <w:rPr>
          <w:rFonts w:asciiTheme="minorHAnsi" w:hAnsiTheme="minorHAnsi" w:cs="Arial"/>
          <w:color w:val="auto"/>
          <w:sz w:val="22"/>
          <w:szCs w:val="22"/>
        </w:rPr>
        <w:t xml:space="preserve"> </w:t>
      </w:r>
    </w:p>
    <w:p w:rsidR="00E77FFA" w:rsidRDefault="00E813E0" w:rsidP="0070524B">
      <w:pPr>
        <w:pStyle w:val="PHESecondaryHeadingOne"/>
        <w:rPr>
          <w:rFonts w:asciiTheme="minorHAnsi" w:hAnsiTheme="minorHAnsi" w:cs="Arial"/>
          <w:color w:val="auto"/>
          <w:sz w:val="22"/>
          <w:szCs w:val="22"/>
        </w:rPr>
      </w:pPr>
      <w:r w:rsidRPr="009D1CFA">
        <w:rPr>
          <w:rFonts w:asciiTheme="minorHAnsi" w:hAnsiTheme="minorHAnsi" w:cs="Arial"/>
          <w:color w:val="auto"/>
          <w:sz w:val="22"/>
          <w:szCs w:val="22"/>
        </w:rPr>
        <w:t xml:space="preserve">It is unclear why there is </w:t>
      </w:r>
      <w:r w:rsidR="009D1CFA" w:rsidRPr="009D1CFA">
        <w:rPr>
          <w:rFonts w:asciiTheme="minorHAnsi" w:hAnsiTheme="minorHAnsi" w:cs="Arial"/>
          <w:color w:val="auto"/>
          <w:sz w:val="22"/>
          <w:szCs w:val="22"/>
        </w:rPr>
        <w:t>a</w:t>
      </w:r>
      <w:r w:rsidRPr="009D1CFA">
        <w:rPr>
          <w:rFonts w:asciiTheme="minorHAnsi" w:hAnsiTheme="minorHAnsi" w:cs="Arial"/>
          <w:color w:val="auto"/>
          <w:sz w:val="22"/>
          <w:szCs w:val="22"/>
        </w:rPr>
        <w:t xml:space="preserve"> reduction in the number of identified children with MLD over this time period</w:t>
      </w:r>
      <w:r w:rsidR="009D1CFA">
        <w:rPr>
          <w:rFonts w:asciiTheme="minorHAnsi" w:hAnsiTheme="minorHAnsi" w:cs="Arial"/>
          <w:color w:val="auto"/>
          <w:sz w:val="22"/>
          <w:szCs w:val="22"/>
        </w:rPr>
        <w:t>, with many potential explanations lacking (as yet) definitive evidence</w:t>
      </w:r>
      <w:r w:rsidRPr="009D1CFA">
        <w:rPr>
          <w:rFonts w:asciiTheme="minorHAnsi" w:hAnsiTheme="minorHAnsi" w:cs="Arial"/>
          <w:color w:val="auto"/>
          <w:sz w:val="22"/>
          <w:szCs w:val="22"/>
        </w:rPr>
        <w:t xml:space="preserve">. </w:t>
      </w:r>
      <w:r w:rsidR="009D1CFA" w:rsidRPr="009D1CFA">
        <w:rPr>
          <w:rFonts w:asciiTheme="minorHAnsi" w:hAnsiTheme="minorHAnsi" w:cs="Arial"/>
          <w:color w:val="auto"/>
          <w:sz w:val="22"/>
          <w:szCs w:val="22"/>
        </w:rPr>
        <w:t xml:space="preserve">The Department of Education (2015c) state: </w:t>
      </w:r>
      <w:r w:rsidR="009D1CFA">
        <w:rPr>
          <w:rFonts w:asciiTheme="minorHAnsi" w:hAnsiTheme="minorHAnsi" w:cs="Arial"/>
          <w:color w:val="auto"/>
          <w:sz w:val="22"/>
          <w:szCs w:val="22"/>
        </w:rPr>
        <w:t>“</w:t>
      </w:r>
      <w:r w:rsidR="009D1CFA" w:rsidRPr="009D1CFA">
        <w:rPr>
          <w:rFonts w:asciiTheme="minorHAnsi" w:hAnsiTheme="minorHAnsi"/>
          <w:color w:val="auto"/>
          <w:sz w:val="22"/>
          <w:szCs w:val="22"/>
        </w:rPr>
        <w:t>The decline since 2010 in the number of children with SEN could be as the result of more accurate identification of those children wh</w:t>
      </w:r>
      <w:r w:rsidR="009D1CFA">
        <w:rPr>
          <w:rFonts w:asciiTheme="minorHAnsi" w:hAnsiTheme="minorHAnsi"/>
          <w:color w:val="auto"/>
          <w:sz w:val="22"/>
          <w:szCs w:val="22"/>
        </w:rPr>
        <w:t xml:space="preserve">o have SEN and those who do not”, which the </w:t>
      </w:r>
      <w:proofErr w:type="spellStart"/>
      <w:r w:rsidR="009D1CFA">
        <w:rPr>
          <w:rFonts w:asciiTheme="minorHAnsi" w:hAnsiTheme="minorHAnsi"/>
          <w:color w:val="auto"/>
          <w:sz w:val="22"/>
          <w:szCs w:val="22"/>
        </w:rPr>
        <w:t>DfE</w:t>
      </w:r>
      <w:proofErr w:type="spellEnd"/>
      <w:r w:rsidR="009D1CFA">
        <w:rPr>
          <w:rFonts w:asciiTheme="minorHAnsi" w:hAnsiTheme="minorHAnsi"/>
          <w:color w:val="auto"/>
          <w:sz w:val="22"/>
          <w:szCs w:val="22"/>
        </w:rPr>
        <w:t xml:space="preserve"> state may be a function of the implementation of government reforms.</w:t>
      </w:r>
      <w:r w:rsidR="00E77FFA" w:rsidRPr="00E77FFA">
        <w:rPr>
          <w:rFonts w:asciiTheme="minorHAnsi" w:hAnsiTheme="minorHAnsi" w:cs="Arial"/>
          <w:color w:val="auto"/>
          <w:sz w:val="22"/>
          <w:szCs w:val="22"/>
        </w:rPr>
        <w:t xml:space="preserve"> </w:t>
      </w:r>
      <w:r w:rsidR="00E77FFA">
        <w:rPr>
          <w:rFonts w:asciiTheme="minorHAnsi" w:hAnsiTheme="minorHAnsi" w:cs="Arial"/>
          <w:color w:val="auto"/>
          <w:sz w:val="22"/>
          <w:szCs w:val="22"/>
        </w:rPr>
        <w:t>However, it is unclear why this would be a major driver of reductions in the number of children with MLD and SEN statements, who go through an extensive assessment process.</w:t>
      </w:r>
    </w:p>
    <w:p w:rsidR="00E77FFA" w:rsidRDefault="00E77FFA" w:rsidP="00E77FFA">
      <w:pPr>
        <w:pStyle w:val="PHESecondaryHeadingOne"/>
        <w:rPr>
          <w:rFonts w:asciiTheme="minorHAnsi" w:hAnsiTheme="minorHAnsi" w:cs="Arial"/>
          <w:color w:val="auto"/>
          <w:sz w:val="22"/>
          <w:szCs w:val="22"/>
        </w:rPr>
      </w:pPr>
      <w:r>
        <w:rPr>
          <w:rFonts w:asciiTheme="minorHAnsi" w:hAnsiTheme="minorHAnsi" w:cs="Arial"/>
          <w:color w:val="auto"/>
          <w:sz w:val="22"/>
          <w:szCs w:val="22"/>
        </w:rPr>
        <w:t>The number of children identified in state schools as having Autistic Spectrum Disorder (ASD) has increased substantially (Department for Education, 2015c), although the extent of any substitution/reclassification from MLD to ASD is unclear.</w:t>
      </w:r>
    </w:p>
    <w:p w:rsidR="009D1CFA" w:rsidRPr="00E77FFA" w:rsidRDefault="00C20412" w:rsidP="0070524B">
      <w:pPr>
        <w:pStyle w:val="PHESecondaryHeadingOne"/>
        <w:rPr>
          <w:rFonts w:asciiTheme="minorHAnsi" w:hAnsiTheme="minorHAnsi" w:cs="Arial"/>
          <w:color w:val="auto"/>
          <w:sz w:val="22"/>
          <w:szCs w:val="22"/>
        </w:rPr>
      </w:pPr>
      <w:r w:rsidRPr="00E77FFA">
        <w:rPr>
          <w:rFonts w:asciiTheme="minorHAnsi" w:hAnsiTheme="minorHAnsi" w:cs="Arial"/>
          <w:color w:val="auto"/>
          <w:sz w:val="22"/>
          <w:szCs w:val="22"/>
        </w:rPr>
        <w:lastRenderedPageBreak/>
        <w:t xml:space="preserve">It is </w:t>
      </w:r>
      <w:r w:rsidR="00E77FFA" w:rsidRPr="00E77FFA">
        <w:rPr>
          <w:rFonts w:asciiTheme="minorHAnsi" w:hAnsiTheme="minorHAnsi" w:cs="Arial"/>
          <w:color w:val="auto"/>
          <w:sz w:val="22"/>
          <w:szCs w:val="22"/>
        </w:rPr>
        <w:t xml:space="preserve">also </w:t>
      </w:r>
      <w:r w:rsidRPr="00E77FFA">
        <w:rPr>
          <w:rFonts w:asciiTheme="minorHAnsi" w:hAnsiTheme="minorHAnsi" w:cs="Arial"/>
          <w:color w:val="auto"/>
          <w:sz w:val="22"/>
          <w:szCs w:val="22"/>
        </w:rPr>
        <w:t>important to note that the school census from which these data are drawn does not include children being educated at home, children in independent (non-state funded) mainstream schools or children in for-profit independent special schools – at least some of these uncounted categories are likely to include large proportions of children with learning disabilities, although the number of children in these types of education are unlikely to account for the sharp reduction in the number of children identified as having a Moderate Learning Difficulty.</w:t>
      </w:r>
      <w:r w:rsidR="009D1CFA" w:rsidRPr="00E77FFA">
        <w:rPr>
          <w:rFonts w:asciiTheme="minorHAnsi" w:hAnsiTheme="minorHAnsi" w:cs="Arial"/>
          <w:color w:val="auto"/>
          <w:sz w:val="22"/>
          <w:szCs w:val="22"/>
        </w:rPr>
        <w:t xml:space="preserve"> </w:t>
      </w:r>
    </w:p>
    <w:p w:rsidR="0070524B" w:rsidRPr="00E77FFA" w:rsidRDefault="00E77FFA" w:rsidP="0066483F">
      <w:pPr>
        <w:pStyle w:val="PHEBulletpoints"/>
        <w:numPr>
          <w:ilvl w:val="0"/>
          <w:numId w:val="0"/>
        </w:numPr>
        <w:rPr>
          <w:rFonts w:asciiTheme="minorHAnsi" w:hAnsiTheme="minorHAnsi" w:cs="Arial"/>
          <w:sz w:val="22"/>
          <w:szCs w:val="22"/>
        </w:rPr>
      </w:pPr>
      <w:r w:rsidRPr="00E77FFA">
        <w:rPr>
          <w:rFonts w:asciiTheme="minorHAnsi" w:hAnsiTheme="minorHAnsi" w:cs="Arial"/>
          <w:sz w:val="22"/>
          <w:szCs w:val="22"/>
        </w:rPr>
        <w:t xml:space="preserve">Finally, at </w:t>
      </w:r>
      <w:r>
        <w:rPr>
          <w:rFonts w:asciiTheme="minorHAnsi" w:hAnsiTheme="minorHAnsi" w:cs="Arial"/>
          <w:sz w:val="22"/>
          <w:szCs w:val="22"/>
        </w:rPr>
        <w:t xml:space="preserve">a time of pressure on educational and other state resources to support children, it is important to note the quote of Richardson &amp; </w:t>
      </w:r>
      <w:proofErr w:type="spellStart"/>
      <w:r>
        <w:rPr>
          <w:rFonts w:asciiTheme="minorHAnsi" w:hAnsiTheme="minorHAnsi" w:cs="Arial"/>
          <w:sz w:val="22"/>
          <w:szCs w:val="22"/>
        </w:rPr>
        <w:t>Koller</w:t>
      </w:r>
      <w:proofErr w:type="spellEnd"/>
      <w:r>
        <w:rPr>
          <w:rFonts w:asciiTheme="minorHAnsi" w:hAnsiTheme="minorHAnsi" w:cs="Arial"/>
          <w:sz w:val="22"/>
          <w:szCs w:val="22"/>
        </w:rPr>
        <w:t xml:space="preserve"> (1985, cited in </w:t>
      </w:r>
      <w:proofErr w:type="gramStart"/>
      <w:r>
        <w:rPr>
          <w:rFonts w:asciiTheme="minorHAnsi" w:hAnsiTheme="minorHAnsi" w:cs="Arial"/>
          <w:sz w:val="22"/>
          <w:szCs w:val="22"/>
        </w:rPr>
        <w:t>Hatton ,</w:t>
      </w:r>
      <w:proofErr w:type="gramEnd"/>
      <w:r>
        <w:rPr>
          <w:rFonts w:asciiTheme="minorHAnsi" w:hAnsiTheme="minorHAnsi" w:cs="Arial"/>
          <w:sz w:val="22"/>
          <w:szCs w:val="22"/>
        </w:rPr>
        <w:t xml:space="preserve"> 1998): “Classification is the end point in a complex interaction between social, economic, political and organizational factors”. This may be where the roots of the reduction in the number of children identified as MLD in schools are to be found.</w:t>
      </w:r>
    </w:p>
    <w:p w:rsidR="0070524B" w:rsidRPr="00E77FFA" w:rsidRDefault="0070524B" w:rsidP="0070524B">
      <w:pPr>
        <w:pStyle w:val="PHEChapterheading"/>
        <w:rPr>
          <w:rFonts w:asciiTheme="minorHAnsi" w:hAnsiTheme="minorHAnsi" w:cs="Arial"/>
          <w:color w:val="auto"/>
          <w:sz w:val="22"/>
          <w:szCs w:val="22"/>
        </w:rPr>
      </w:pPr>
    </w:p>
    <w:p w:rsidR="0070524B" w:rsidRPr="00D02200" w:rsidRDefault="0070524B" w:rsidP="0070524B">
      <w:pPr>
        <w:rPr>
          <w:rFonts w:cs="Arial"/>
          <w:color w:val="98002E"/>
        </w:rPr>
      </w:pPr>
      <w:r w:rsidRPr="00D02200">
        <w:rPr>
          <w:rFonts w:cs="Arial"/>
        </w:rPr>
        <w:br w:type="page"/>
      </w:r>
    </w:p>
    <w:p w:rsidR="0070524B" w:rsidRPr="00D02200" w:rsidRDefault="0070524B" w:rsidP="00941E9E">
      <w:pPr>
        <w:rPr>
          <w:rFonts w:cs="Arial"/>
        </w:rPr>
      </w:pPr>
      <w:r w:rsidRPr="00D02200">
        <w:rPr>
          <w:rFonts w:cs="Arial"/>
        </w:rPr>
        <w:lastRenderedPageBreak/>
        <w:t>References</w:t>
      </w:r>
      <w:r w:rsidRPr="00D02200">
        <w:rPr>
          <w:rFonts w:cs="Arial"/>
        </w:rPr>
        <w:tab/>
        <w:t xml:space="preserve"> </w:t>
      </w:r>
    </w:p>
    <w:p w:rsidR="000A10BA" w:rsidRPr="00D02200" w:rsidRDefault="000A10BA" w:rsidP="000A10BA">
      <w:pPr>
        <w:pStyle w:val="PHEBodycopy"/>
        <w:spacing w:after="240" w:line="240" w:lineRule="exact"/>
        <w:rPr>
          <w:rFonts w:asciiTheme="minorHAnsi" w:hAnsiTheme="minorHAnsi" w:cs="Arial"/>
          <w:sz w:val="22"/>
          <w:szCs w:val="22"/>
        </w:rPr>
      </w:pPr>
      <w:proofErr w:type="gramStart"/>
      <w:r w:rsidRPr="00D02200">
        <w:rPr>
          <w:rFonts w:asciiTheme="minorHAnsi" w:hAnsiTheme="minorHAnsi" w:cs="Arial"/>
          <w:sz w:val="22"/>
          <w:szCs w:val="22"/>
        </w:rPr>
        <w:t>Department for Children Schools and Families (2009).</w:t>
      </w:r>
      <w:proofErr w:type="gramEnd"/>
      <w:r w:rsidRPr="00D02200">
        <w:rPr>
          <w:rFonts w:asciiTheme="minorHAnsi" w:hAnsiTheme="minorHAnsi" w:cs="Arial"/>
          <w:sz w:val="22"/>
          <w:szCs w:val="22"/>
        </w:rPr>
        <w:t xml:space="preserve"> Children with special educational needs 2009: an analysis. London: Department for Children Schools and Families.</w:t>
      </w:r>
    </w:p>
    <w:p w:rsidR="000A10BA" w:rsidRPr="00D02200" w:rsidRDefault="000A10BA" w:rsidP="000A10BA">
      <w:pPr>
        <w:pStyle w:val="PHEBodycopy"/>
        <w:spacing w:after="240" w:line="240" w:lineRule="exact"/>
        <w:rPr>
          <w:rFonts w:asciiTheme="minorHAnsi" w:hAnsiTheme="minorHAnsi" w:cs="Arial"/>
          <w:sz w:val="22"/>
          <w:szCs w:val="22"/>
        </w:rPr>
      </w:pPr>
      <w:proofErr w:type="gramStart"/>
      <w:r w:rsidRPr="00D02200">
        <w:rPr>
          <w:rFonts w:asciiTheme="minorHAnsi" w:hAnsiTheme="minorHAnsi" w:cs="Arial"/>
          <w:sz w:val="22"/>
          <w:szCs w:val="22"/>
        </w:rPr>
        <w:t>Department for Education (2010).</w:t>
      </w:r>
      <w:proofErr w:type="gramEnd"/>
      <w:r w:rsidRPr="00D02200">
        <w:rPr>
          <w:rFonts w:asciiTheme="minorHAnsi" w:hAnsiTheme="minorHAnsi" w:cs="Arial"/>
          <w:sz w:val="22"/>
          <w:szCs w:val="22"/>
        </w:rPr>
        <w:t xml:space="preserve"> Children with special educational needs 2010: an analysis. London: Department for Education.</w:t>
      </w:r>
    </w:p>
    <w:p w:rsidR="000A10BA" w:rsidRPr="00D02200" w:rsidRDefault="000A10BA" w:rsidP="000A10BA">
      <w:pPr>
        <w:pStyle w:val="PHEBodycopy"/>
        <w:spacing w:after="240" w:line="240" w:lineRule="exact"/>
        <w:rPr>
          <w:rFonts w:asciiTheme="minorHAnsi" w:hAnsiTheme="minorHAnsi" w:cs="Arial"/>
          <w:sz w:val="22"/>
          <w:szCs w:val="22"/>
        </w:rPr>
      </w:pPr>
      <w:proofErr w:type="gramStart"/>
      <w:r w:rsidRPr="00D02200">
        <w:rPr>
          <w:rFonts w:asciiTheme="minorHAnsi" w:hAnsiTheme="minorHAnsi" w:cs="Arial"/>
          <w:sz w:val="22"/>
          <w:szCs w:val="22"/>
        </w:rPr>
        <w:t>Department for Education (2011).</w:t>
      </w:r>
      <w:proofErr w:type="gramEnd"/>
      <w:r w:rsidRPr="00D02200">
        <w:rPr>
          <w:rFonts w:asciiTheme="minorHAnsi" w:hAnsiTheme="minorHAnsi" w:cs="Arial"/>
          <w:sz w:val="22"/>
          <w:szCs w:val="22"/>
        </w:rPr>
        <w:t xml:space="preserve"> Special Educational Needs Information Act: An Analysis. London: Department for Education.</w:t>
      </w:r>
    </w:p>
    <w:p w:rsidR="000A10BA" w:rsidRPr="00D02200" w:rsidRDefault="000A10BA" w:rsidP="000A10BA">
      <w:pPr>
        <w:pStyle w:val="PHEBodycopy"/>
        <w:spacing w:after="240" w:line="240" w:lineRule="exact"/>
        <w:rPr>
          <w:rFonts w:asciiTheme="minorHAnsi" w:hAnsiTheme="minorHAnsi" w:cs="Arial"/>
          <w:sz w:val="22"/>
          <w:szCs w:val="22"/>
        </w:rPr>
      </w:pPr>
      <w:proofErr w:type="gramStart"/>
      <w:r w:rsidRPr="00D02200">
        <w:rPr>
          <w:rFonts w:asciiTheme="minorHAnsi" w:hAnsiTheme="minorHAnsi" w:cs="Arial"/>
          <w:sz w:val="22"/>
          <w:szCs w:val="22"/>
        </w:rPr>
        <w:t>Department for Education (2012).</w:t>
      </w:r>
      <w:proofErr w:type="gramEnd"/>
      <w:r w:rsidRPr="00D02200">
        <w:rPr>
          <w:rFonts w:asciiTheme="minorHAnsi" w:hAnsiTheme="minorHAnsi" w:cs="Arial"/>
          <w:sz w:val="22"/>
          <w:szCs w:val="22"/>
        </w:rPr>
        <w:t xml:space="preserve"> Children with special educational needs 2012: an analysis. London: Department for Education.</w:t>
      </w:r>
    </w:p>
    <w:p w:rsidR="000A10BA" w:rsidRPr="00D02200" w:rsidRDefault="000A10BA" w:rsidP="000A10BA">
      <w:pPr>
        <w:pStyle w:val="PHEBodycopy"/>
        <w:spacing w:after="240" w:line="240" w:lineRule="exact"/>
        <w:rPr>
          <w:rFonts w:asciiTheme="minorHAnsi" w:hAnsiTheme="minorHAnsi" w:cs="Arial"/>
          <w:sz w:val="22"/>
          <w:szCs w:val="22"/>
        </w:rPr>
      </w:pPr>
      <w:proofErr w:type="gramStart"/>
      <w:r w:rsidRPr="00D02200">
        <w:rPr>
          <w:rFonts w:asciiTheme="minorHAnsi" w:hAnsiTheme="minorHAnsi" w:cs="Arial"/>
          <w:sz w:val="22"/>
          <w:szCs w:val="22"/>
        </w:rPr>
        <w:t>Department for Education (2013).</w:t>
      </w:r>
      <w:proofErr w:type="gramEnd"/>
      <w:r w:rsidRPr="00D02200">
        <w:rPr>
          <w:rFonts w:asciiTheme="minorHAnsi" w:hAnsiTheme="minorHAnsi" w:cs="Arial"/>
          <w:sz w:val="22"/>
          <w:szCs w:val="22"/>
        </w:rPr>
        <w:t xml:space="preserve"> Children with special educational needs 2013: an analysis (SFR 42/2013). London: Department for Education.</w:t>
      </w:r>
    </w:p>
    <w:p w:rsidR="000A10BA" w:rsidRPr="00D02200" w:rsidRDefault="000A10BA" w:rsidP="000A10BA">
      <w:pPr>
        <w:pStyle w:val="PHEBodycopy"/>
        <w:spacing w:after="240" w:line="240" w:lineRule="exact"/>
        <w:rPr>
          <w:rFonts w:asciiTheme="minorHAnsi" w:hAnsiTheme="minorHAnsi" w:cs="Arial"/>
          <w:sz w:val="22"/>
          <w:szCs w:val="22"/>
        </w:rPr>
      </w:pPr>
      <w:proofErr w:type="gramStart"/>
      <w:r w:rsidRPr="00D02200">
        <w:rPr>
          <w:rFonts w:asciiTheme="minorHAnsi" w:hAnsiTheme="minorHAnsi" w:cs="Arial"/>
          <w:sz w:val="22"/>
          <w:szCs w:val="22"/>
        </w:rPr>
        <w:t>Department for Education (2014).</w:t>
      </w:r>
      <w:proofErr w:type="gramEnd"/>
      <w:r w:rsidRPr="00D02200">
        <w:rPr>
          <w:rFonts w:asciiTheme="minorHAnsi" w:hAnsiTheme="minorHAnsi" w:cs="Arial"/>
          <w:sz w:val="22"/>
          <w:szCs w:val="22"/>
        </w:rPr>
        <w:t xml:space="preserve"> Children with special educational needs 2014: an analysis (SFR 21/2014). London: Department for Education.</w:t>
      </w:r>
    </w:p>
    <w:p w:rsidR="000A10BA" w:rsidRPr="00D02200" w:rsidRDefault="000A10BA" w:rsidP="000A10BA">
      <w:pPr>
        <w:pStyle w:val="PHEBodycopy"/>
        <w:spacing w:after="240" w:line="240" w:lineRule="exact"/>
        <w:rPr>
          <w:rFonts w:asciiTheme="minorHAnsi" w:hAnsiTheme="minorHAnsi" w:cs="Arial"/>
          <w:sz w:val="22"/>
          <w:szCs w:val="22"/>
        </w:rPr>
      </w:pPr>
      <w:proofErr w:type="gramStart"/>
      <w:r w:rsidRPr="00D02200">
        <w:rPr>
          <w:rFonts w:asciiTheme="minorHAnsi" w:hAnsiTheme="minorHAnsi" w:cs="Arial"/>
          <w:sz w:val="22"/>
          <w:szCs w:val="22"/>
        </w:rPr>
        <w:t>Department for Education</w:t>
      </w:r>
      <w:r w:rsidR="00CD25F0" w:rsidRPr="00D02200">
        <w:rPr>
          <w:rFonts w:asciiTheme="minorHAnsi" w:hAnsiTheme="minorHAnsi" w:cs="Arial"/>
          <w:sz w:val="22"/>
          <w:szCs w:val="22"/>
        </w:rPr>
        <w:t xml:space="preserve"> (2015a)</w:t>
      </w:r>
      <w:r w:rsidRPr="00D02200">
        <w:rPr>
          <w:rFonts w:asciiTheme="minorHAnsi" w:hAnsiTheme="minorHAnsi" w:cs="Arial"/>
          <w:sz w:val="22"/>
          <w:szCs w:val="22"/>
        </w:rPr>
        <w:t>.</w:t>
      </w:r>
      <w:proofErr w:type="gramEnd"/>
      <w:r w:rsidRPr="00D02200">
        <w:rPr>
          <w:rFonts w:asciiTheme="minorHAnsi" w:hAnsiTheme="minorHAnsi" w:cs="Arial"/>
          <w:sz w:val="22"/>
          <w:szCs w:val="22"/>
        </w:rPr>
        <w:t xml:space="preserve"> Special educational needs: an analysis and summary of data sources London: Department for Ed</w:t>
      </w:r>
      <w:r w:rsidR="00CD25F0" w:rsidRPr="00D02200">
        <w:rPr>
          <w:rFonts w:asciiTheme="minorHAnsi" w:hAnsiTheme="minorHAnsi" w:cs="Arial"/>
          <w:sz w:val="22"/>
          <w:szCs w:val="22"/>
        </w:rPr>
        <w:t>ucation</w:t>
      </w:r>
      <w:r w:rsidRPr="00D02200">
        <w:rPr>
          <w:rFonts w:asciiTheme="minorHAnsi" w:hAnsiTheme="minorHAnsi" w:cs="Arial"/>
          <w:sz w:val="22"/>
          <w:szCs w:val="22"/>
        </w:rPr>
        <w:t>.</w:t>
      </w:r>
    </w:p>
    <w:p w:rsidR="00CD25F0" w:rsidRPr="00D02200" w:rsidRDefault="00CD25F0" w:rsidP="00CD25F0">
      <w:pPr>
        <w:pStyle w:val="PHEBodycopy"/>
        <w:spacing w:after="240" w:line="240" w:lineRule="exact"/>
        <w:rPr>
          <w:rFonts w:asciiTheme="minorHAnsi" w:hAnsiTheme="minorHAnsi" w:cs="Arial"/>
          <w:sz w:val="22"/>
          <w:szCs w:val="22"/>
        </w:rPr>
      </w:pPr>
      <w:proofErr w:type="gramStart"/>
      <w:r w:rsidRPr="00D02200">
        <w:rPr>
          <w:rFonts w:asciiTheme="minorHAnsi" w:hAnsiTheme="minorHAnsi" w:cs="Arial"/>
          <w:sz w:val="22"/>
          <w:szCs w:val="22"/>
        </w:rPr>
        <w:t>Department for Education (2015b).</w:t>
      </w:r>
      <w:proofErr w:type="gramEnd"/>
      <w:r w:rsidRPr="00D02200">
        <w:rPr>
          <w:rFonts w:asciiTheme="minorHAnsi" w:hAnsiTheme="minorHAnsi" w:cs="Arial"/>
          <w:sz w:val="22"/>
          <w:szCs w:val="22"/>
        </w:rPr>
        <w:t xml:space="preserve"> Schools, Pupils, and their Characteristics, January 2015 (SFR 16/2015). London: Department for Education.</w:t>
      </w:r>
    </w:p>
    <w:p w:rsidR="00CD25F0" w:rsidRPr="00D02200" w:rsidRDefault="00CD25F0" w:rsidP="00CD25F0">
      <w:pPr>
        <w:pStyle w:val="PHEBodycopy"/>
        <w:spacing w:after="240" w:line="240" w:lineRule="exact"/>
        <w:rPr>
          <w:rFonts w:asciiTheme="minorHAnsi" w:hAnsiTheme="minorHAnsi" w:cs="Arial"/>
          <w:sz w:val="22"/>
          <w:szCs w:val="22"/>
        </w:rPr>
      </w:pPr>
      <w:proofErr w:type="gramStart"/>
      <w:r w:rsidRPr="00D02200">
        <w:rPr>
          <w:rFonts w:asciiTheme="minorHAnsi" w:hAnsiTheme="minorHAnsi" w:cs="Arial"/>
          <w:sz w:val="22"/>
          <w:szCs w:val="22"/>
        </w:rPr>
        <w:t>Department for Education (2015c).</w:t>
      </w:r>
      <w:proofErr w:type="gramEnd"/>
      <w:r w:rsidRPr="00D02200">
        <w:rPr>
          <w:rFonts w:asciiTheme="minorHAnsi" w:hAnsiTheme="minorHAnsi" w:cs="Arial"/>
          <w:sz w:val="22"/>
          <w:szCs w:val="22"/>
        </w:rPr>
        <w:t xml:space="preserve"> Special Educational Needs in England, January </w:t>
      </w:r>
      <w:proofErr w:type="gramStart"/>
      <w:r w:rsidRPr="00D02200">
        <w:rPr>
          <w:rFonts w:asciiTheme="minorHAnsi" w:hAnsiTheme="minorHAnsi" w:cs="Arial"/>
          <w:sz w:val="22"/>
          <w:szCs w:val="22"/>
        </w:rPr>
        <w:t>2015  (</w:t>
      </w:r>
      <w:proofErr w:type="gramEnd"/>
      <w:r w:rsidRPr="00D02200">
        <w:rPr>
          <w:rFonts w:asciiTheme="minorHAnsi" w:hAnsiTheme="minorHAnsi" w:cs="Arial"/>
          <w:sz w:val="22"/>
          <w:szCs w:val="22"/>
        </w:rPr>
        <w:t>SFR 25/2015). London: Department for Education.</w:t>
      </w:r>
    </w:p>
    <w:p w:rsidR="00CD25F0" w:rsidRDefault="00CD25F0" w:rsidP="00CD25F0">
      <w:pPr>
        <w:pStyle w:val="PHEBodycopy"/>
        <w:spacing w:after="240" w:line="240" w:lineRule="exact"/>
        <w:rPr>
          <w:rFonts w:asciiTheme="minorHAnsi" w:hAnsiTheme="minorHAnsi" w:cs="Arial"/>
          <w:sz w:val="22"/>
          <w:szCs w:val="22"/>
        </w:rPr>
      </w:pPr>
      <w:r w:rsidRPr="00D02200">
        <w:rPr>
          <w:rFonts w:asciiTheme="minorHAnsi" w:hAnsiTheme="minorHAnsi" w:cs="Arial"/>
          <w:sz w:val="22"/>
          <w:szCs w:val="22"/>
        </w:rPr>
        <w:t xml:space="preserve">Emerson E. (2012). </w:t>
      </w:r>
      <w:proofErr w:type="gramStart"/>
      <w:r w:rsidRPr="00D02200">
        <w:rPr>
          <w:rFonts w:asciiTheme="minorHAnsi" w:hAnsiTheme="minorHAnsi" w:cs="Arial"/>
          <w:sz w:val="22"/>
          <w:szCs w:val="22"/>
        </w:rPr>
        <w:t>Household deprivation, neighbourhood deprivation, ethnicity and the prevalence of intellectual and developmental disabilities.</w:t>
      </w:r>
      <w:proofErr w:type="gramEnd"/>
      <w:r w:rsidRPr="00D02200">
        <w:rPr>
          <w:rFonts w:asciiTheme="minorHAnsi" w:hAnsiTheme="minorHAnsi" w:cs="Arial"/>
          <w:sz w:val="22"/>
          <w:szCs w:val="22"/>
        </w:rPr>
        <w:t xml:space="preserve"> Journal of Epidemiology and Community Health 2012; 66:218-24.</w:t>
      </w:r>
    </w:p>
    <w:p w:rsidR="00D44B39" w:rsidRDefault="00D44B39" w:rsidP="00CD25F0">
      <w:pPr>
        <w:pStyle w:val="PHEBodycopy"/>
        <w:spacing w:after="240" w:line="240" w:lineRule="exact"/>
        <w:rPr>
          <w:rFonts w:asciiTheme="minorHAnsi" w:hAnsiTheme="minorHAnsi" w:cs="Arial"/>
          <w:sz w:val="22"/>
          <w:szCs w:val="22"/>
        </w:rPr>
      </w:pPr>
      <w:proofErr w:type="gramStart"/>
      <w:r>
        <w:rPr>
          <w:rFonts w:asciiTheme="minorHAnsi" w:hAnsiTheme="minorHAnsi" w:cs="Arial"/>
          <w:sz w:val="22"/>
          <w:szCs w:val="22"/>
        </w:rPr>
        <w:t>Emerson, E. &amp; Hatton, C. (2014).</w:t>
      </w:r>
      <w:proofErr w:type="gramEnd"/>
      <w:r>
        <w:rPr>
          <w:rFonts w:asciiTheme="minorHAnsi" w:hAnsiTheme="minorHAnsi" w:cs="Arial"/>
          <w:sz w:val="22"/>
          <w:szCs w:val="22"/>
        </w:rPr>
        <w:t xml:space="preserve"> </w:t>
      </w:r>
      <w:proofErr w:type="gramStart"/>
      <w:r>
        <w:rPr>
          <w:rFonts w:asciiTheme="minorHAnsi" w:hAnsiTheme="minorHAnsi" w:cs="Arial"/>
          <w:sz w:val="22"/>
          <w:szCs w:val="22"/>
        </w:rPr>
        <w:t>Health inequalities and people with intellectual disabilities.</w:t>
      </w:r>
      <w:proofErr w:type="gramEnd"/>
      <w:r>
        <w:rPr>
          <w:rFonts w:asciiTheme="minorHAnsi" w:hAnsiTheme="minorHAnsi" w:cs="Arial"/>
          <w:sz w:val="22"/>
          <w:szCs w:val="22"/>
        </w:rPr>
        <w:t xml:space="preserve"> Cambridge: Cambridge University Press.</w:t>
      </w:r>
    </w:p>
    <w:p w:rsidR="00E77FFA" w:rsidRDefault="00E77FFA" w:rsidP="00CD25F0">
      <w:pPr>
        <w:pStyle w:val="PHEBodycopy"/>
        <w:spacing w:after="240" w:line="240" w:lineRule="exact"/>
        <w:rPr>
          <w:rFonts w:asciiTheme="minorHAnsi" w:hAnsiTheme="minorHAnsi" w:cs="Arial"/>
          <w:sz w:val="22"/>
          <w:szCs w:val="22"/>
        </w:rPr>
      </w:pPr>
      <w:r>
        <w:rPr>
          <w:rFonts w:asciiTheme="minorHAnsi" w:hAnsiTheme="minorHAnsi" w:cs="Arial"/>
          <w:sz w:val="22"/>
          <w:szCs w:val="22"/>
        </w:rPr>
        <w:t xml:space="preserve">Hatton, C. (1998). </w:t>
      </w:r>
      <w:proofErr w:type="gramStart"/>
      <w:r>
        <w:rPr>
          <w:rFonts w:asciiTheme="minorHAnsi" w:hAnsiTheme="minorHAnsi" w:cs="Arial"/>
          <w:sz w:val="22"/>
          <w:szCs w:val="22"/>
        </w:rPr>
        <w:t>Epidemiology and causes.</w:t>
      </w:r>
      <w:proofErr w:type="gramEnd"/>
      <w:r>
        <w:rPr>
          <w:rFonts w:asciiTheme="minorHAnsi" w:hAnsiTheme="minorHAnsi" w:cs="Arial"/>
          <w:sz w:val="22"/>
          <w:szCs w:val="22"/>
        </w:rPr>
        <w:t xml:space="preserve"> </w:t>
      </w:r>
      <w:proofErr w:type="gramStart"/>
      <w:r>
        <w:rPr>
          <w:rFonts w:asciiTheme="minorHAnsi" w:hAnsiTheme="minorHAnsi" w:cs="Arial"/>
          <w:sz w:val="22"/>
          <w:szCs w:val="22"/>
        </w:rPr>
        <w:t>In E. Emerson, C. Hatton, J Bromley &amp; A. Caine (1998).</w:t>
      </w:r>
      <w:proofErr w:type="gramEnd"/>
      <w:r>
        <w:rPr>
          <w:rFonts w:asciiTheme="minorHAnsi" w:hAnsiTheme="minorHAnsi" w:cs="Arial"/>
          <w:sz w:val="22"/>
          <w:szCs w:val="22"/>
        </w:rPr>
        <w:t xml:space="preserve"> </w:t>
      </w:r>
      <w:proofErr w:type="gramStart"/>
      <w:r>
        <w:rPr>
          <w:rFonts w:asciiTheme="minorHAnsi" w:hAnsiTheme="minorHAnsi" w:cs="Arial"/>
          <w:sz w:val="22"/>
          <w:szCs w:val="22"/>
        </w:rPr>
        <w:t>Clinical psychology and people with intellectual disabilities (pp. 20-38).</w:t>
      </w:r>
      <w:proofErr w:type="gramEnd"/>
      <w:r>
        <w:rPr>
          <w:rFonts w:asciiTheme="minorHAnsi" w:hAnsiTheme="minorHAnsi" w:cs="Arial"/>
          <w:sz w:val="22"/>
          <w:szCs w:val="22"/>
        </w:rPr>
        <w:t xml:space="preserve"> Chichester: Wiley.</w:t>
      </w:r>
    </w:p>
    <w:p w:rsidR="00D02200" w:rsidRPr="00D02200" w:rsidRDefault="00D02200">
      <w:pPr>
        <w:rPr>
          <w:rFonts w:cs="Arial"/>
        </w:rPr>
      </w:pPr>
      <w:r w:rsidRPr="00D02200">
        <w:rPr>
          <w:rFonts w:cs="Arial"/>
        </w:rPr>
        <w:br w:type="page"/>
      </w:r>
    </w:p>
    <w:p w:rsidR="00D02200" w:rsidRPr="00D02200" w:rsidRDefault="00D02200" w:rsidP="00D02200">
      <w:pPr>
        <w:rPr>
          <w:rFonts w:cstheme="minorHAnsi"/>
          <w:noProof/>
        </w:rPr>
      </w:pPr>
      <w:r w:rsidRPr="00D02200">
        <w:lastRenderedPageBreak/>
        <w:t xml:space="preserve">Figure 1: Number of children with a Statement of SEN or an EHC Plan and a primary SEN of moderate learning difficulty (MLD), severe learning difficulty (SLD) or profound multiple learning difficulty (PMLD) </w:t>
      </w:r>
      <w:r w:rsidRPr="00D02200">
        <w:rPr>
          <w:rFonts w:cstheme="minorHAnsi"/>
        </w:rPr>
        <w:t>in state funded primary, secondary and special schools and non-maintained special schools in England 2009/10 to 2014/15</w:t>
      </w:r>
    </w:p>
    <w:p w:rsidR="0060317A" w:rsidRPr="00D02200" w:rsidRDefault="00D02200" w:rsidP="00A74838">
      <w:pPr>
        <w:pStyle w:val="NoSpacing"/>
        <w:rPr>
          <w:rFonts w:cs="Arial"/>
        </w:rPr>
      </w:pPr>
      <w:r w:rsidRPr="00D02200">
        <w:rPr>
          <w:rFonts w:cstheme="minorHAnsi"/>
          <w:noProof/>
          <w:lang w:eastAsia="en-GB"/>
        </w:rPr>
        <w:drawing>
          <wp:anchor distT="0" distB="0" distL="114300" distR="114300" simplePos="0" relativeHeight="251659264" behindDoc="1" locked="0" layoutInCell="1" allowOverlap="1" wp14:anchorId="09BF7A3C" wp14:editId="11C10586">
            <wp:simplePos x="0" y="0"/>
            <wp:positionH relativeFrom="column">
              <wp:posOffset>-133350</wp:posOffset>
            </wp:positionH>
            <wp:positionV relativeFrom="paragraph">
              <wp:posOffset>63500</wp:posOffset>
            </wp:positionV>
            <wp:extent cx="5867400" cy="3371850"/>
            <wp:effectExtent l="0" t="0" r="0" b="0"/>
            <wp:wrapTight wrapText="bothSides">
              <wp:wrapPolygon edited="0">
                <wp:start x="0" y="0"/>
                <wp:lineTo x="0" y="21600"/>
                <wp:lineTo x="21600" y="21600"/>
                <wp:lineTo x="21600" y="0"/>
                <wp:lineTo x="0" y="0"/>
              </wp:wrapPolygon>
            </wp:wrapTight>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D02200" w:rsidRPr="00D02200" w:rsidRDefault="00D02200" w:rsidP="00A74838">
      <w:pPr>
        <w:pStyle w:val="NoSpacing"/>
        <w:rPr>
          <w:rFonts w:cs="Arial"/>
        </w:rPr>
      </w:pPr>
    </w:p>
    <w:p w:rsidR="00D02200" w:rsidRPr="00D02200" w:rsidRDefault="00D02200" w:rsidP="00A74838">
      <w:pPr>
        <w:pStyle w:val="NoSpacing"/>
        <w:rPr>
          <w:rFonts w:cs="Arial"/>
        </w:rPr>
      </w:pPr>
    </w:p>
    <w:p w:rsidR="00D02200" w:rsidRPr="00D02200" w:rsidRDefault="00D02200">
      <w:pPr>
        <w:rPr>
          <w:rFonts w:cs="Arial"/>
        </w:rPr>
      </w:pPr>
      <w:r w:rsidRPr="00D02200">
        <w:rPr>
          <w:rFonts w:cs="Arial"/>
        </w:rPr>
        <w:br w:type="page"/>
      </w:r>
    </w:p>
    <w:p w:rsidR="00D02200" w:rsidRPr="00D02200" w:rsidRDefault="00D02200" w:rsidP="00D02200">
      <w:r w:rsidRPr="00D02200">
        <w:lastRenderedPageBreak/>
        <w:t xml:space="preserve">Figure 2: Number of children at School Action Plus and a primary SEN of moderate learning difficulty (MLD), severe learning difficulty (SLD) or profound multiple learning difficulty (PMLD) </w:t>
      </w:r>
      <w:r w:rsidRPr="00D02200">
        <w:rPr>
          <w:rFonts w:cstheme="minorHAnsi"/>
        </w:rPr>
        <w:t>in state funded primary, secondary and special schools and non-maintained special schools in England 2009/10 to 2013/14</w:t>
      </w:r>
    </w:p>
    <w:p w:rsidR="00D02200" w:rsidRPr="00D02200" w:rsidRDefault="00D02200" w:rsidP="00A74838">
      <w:pPr>
        <w:pStyle w:val="NoSpacing"/>
        <w:rPr>
          <w:rFonts w:cs="Arial"/>
        </w:rPr>
      </w:pPr>
      <w:r w:rsidRPr="00D02200">
        <w:rPr>
          <w:rFonts w:cstheme="minorHAnsi"/>
          <w:noProof/>
          <w:lang w:eastAsia="en-GB"/>
        </w:rPr>
        <w:drawing>
          <wp:anchor distT="0" distB="0" distL="114300" distR="114300" simplePos="0" relativeHeight="251661312" behindDoc="1" locked="0" layoutInCell="1" allowOverlap="1" wp14:anchorId="34FDA239" wp14:editId="0145358F">
            <wp:simplePos x="0" y="0"/>
            <wp:positionH relativeFrom="column">
              <wp:posOffset>-17145</wp:posOffset>
            </wp:positionH>
            <wp:positionV relativeFrom="paragraph">
              <wp:posOffset>147320</wp:posOffset>
            </wp:positionV>
            <wp:extent cx="5867400" cy="3371850"/>
            <wp:effectExtent l="0" t="0" r="19050" b="19050"/>
            <wp:wrapTight wrapText="bothSides">
              <wp:wrapPolygon edited="0">
                <wp:start x="0" y="0"/>
                <wp:lineTo x="0" y="21600"/>
                <wp:lineTo x="21600" y="21600"/>
                <wp:lineTo x="21600" y="0"/>
                <wp:lineTo x="0" y="0"/>
              </wp:wrapPolygon>
            </wp:wrapTight>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sectPr w:rsidR="00D02200" w:rsidRPr="00D0220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0712" w:rsidRDefault="00BD0712" w:rsidP="005F1B8A">
      <w:pPr>
        <w:spacing w:after="0" w:line="240" w:lineRule="auto"/>
      </w:pPr>
      <w:r>
        <w:separator/>
      </w:r>
    </w:p>
  </w:endnote>
  <w:endnote w:type="continuationSeparator" w:id="0">
    <w:p w:rsidR="00BD0712" w:rsidRDefault="00BD0712" w:rsidP="005F1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1002AFF" w:usb1="C0000002" w:usb2="00000008"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935601"/>
      <w:docPartObj>
        <w:docPartGallery w:val="Page Numbers (Bottom of Page)"/>
        <w:docPartUnique/>
      </w:docPartObj>
    </w:sdtPr>
    <w:sdtEndPr>
      <w:rPr>
        <w:noProof/>
      </w:rPr>
    </w:sdtEndPr>
    <w:sdtContent>
      <w:p w:rsidR="005F1B8A" w:rsidRDefault="005F1B8A">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5F1B8A" w:rsidRDefault="005F1B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0712" w:rsidRDefault="00BD0712" w:rsidP="005F1B8A">
      <w:pPr>
        <w:spacing w:after="0" w:line="240" w:lineRule="auto"/>
      </w:pPr>
      <w:r>
        <w:separator/>
      </w:r>
    </w:p>
  </w:footnote>
  <w:footnote w:type="continuationSeparator" w:id="0">
    <w:p w:rsidR="00BD0712" w:rsidRDefault="00BD0712" w:rsidP="005F1B8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B6070"/>
    <w:multiLevelType w:val="hybridMultilevel"/>
    <w:tmpl w:val="811C9C12"/>
    <w:lvl w:ilvl="0" w:tplc="F3C6A8BE">
      <w:start w:val="1"/>
      <w:numFmt w:val="bullet"/>
      <w:lvlText w:val=""/>
      <w:lvlJc w:val="left"/>
      <w:pPr>
        <w:tabs>
          <w:tab w:val="num" w:pos="360"/>
        </w:tabs>
        <w:ind w:left="360" w:hanging="360"/>
      </w:pPr>
      <w:rPr>
        <w:rFonts w:ascii="Symbol" w:hAnsi="Symbol" w:hint="default"/>
        <w:color w:val="98002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8FB4341"/>
    <w:multiLevelType w:val="hybridMultilevel"/>
    <w:tmpl w:val="D1A08CB6"/>
    <w:lvl w:ilvl="0" w:tplc="AF06F8B0">
      <w:start w:val="1"/>
      <w:numFmt w:val="bullet"/>
      <w:lvlText w:val="&gt;"/>
      <w:lvlJc w:val="left"/>
      <w:pPr>
        <w:tabs>
          <w:tab w:val="num" w:pos="720"/>
        </w:tabs>
        <w:ind w:left="720" w:hanging="360"/>
      </w:pPr>
      <w:rPr>
        <w:rFonts w:ascii="Times New Roman" w:hAnsi="Times New Roman" w:hint="default"/>
        <w:color w:val="009966"/>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B513A78"/>
    <w:multiLevelType w:val="hybridMultilevel"/>
    <w:tmpl w:val="B3763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6E54C46"/>
    <w:multiLevelType w:val="multilevel"/>
    <w:tmpl w:val="73CCC246"/>
    <w:lvl w:ilvl="0">
      <w:start w:val="1"/>
      <w:numFmt w:val="decimal"/>
      <w:lvlText w:val="%1"/>
      <w:lvlJc w:val="left"/>
      <w:pPr>
        <w:ind w:left="405" w:hanging="405"/>
      </w:pPr>
      <w:rPr>
        <w:rFonts w:hint="default"/>
      </w:rPr>
    </w:lvl>
    <w:lvl w:ilvl="1">
      <w:start w:val="1"/>
      <w:numFmt w:val="decimal"/>
      <w:pStyle w:val="PHENumberedbodytext"/>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3B137CE1"/>
    <w:multiLevelType w:val="multilevel"/>
    <w:tmpl w:val="28E08A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3C182A28"/>
    <w:multiLevelType w:val="hybridMultilevel"/>
    <w:tmpl w:val="87D2FEA2"/>
    <w:lvl w:ilvl="0" w:tplc="13006542">
      <w:start w:val="1"/>
      <w:numFmt w:val="decimal"/>
      <w:lvlText w:val="%1."/>
      <w:lvlJc w:val="left"/>
      <w:pPr>
        <w:tabs>
          <w:tab w:val="num" w:pos="6"/>
        </w:tabs>
        <w:ind w:left="6" w:hanging="360"/>
      </w:pPr>
    </w:lvl>
    <w:lvl w:ilvl="1" w:tplc="AF06F8B0">
      <w:start w:val="1"/>
      <w:numFmt w:val="bullet"/>
      <w:lvlText w:val="&gt;"/>
      <w:lvlJc w:val="left"/>
      <w:pPr>
        <w:tabs>
          <w:tab w:val="num" w:pos="726"/>
        </w:tabs>
        <w:ind w:left="726" w:hanging="360"/>
      </w:pPr>
      <w:rPr>
        <w:rFonts w:ascii="Times New Roman" w:hAnsi="Times New Roman" w:hint="default"/>
        <w:color w:val="009966"/>
        <w:sz w:val="24"/>
      </w:rPr>
    </w:lvl>
    <w:lvl w:ilvl="2" w:tplc="0409001B" w:tentative="1">
      <w:start w:val="1"/>
      <w:numFmt w:val="lowerRoman"/>
      <w:lvlText w:val="%3."/>
      <w:lvlJc w:val="right"/>
      <w:pPr>
        <w:tabs>
          <w:tab w:val="num" w:pos="1446"/>
        </w:tabs>
        <w:ind w:left="1446" w:hanging="180"/>
      </w:pPr>
    </w:lvl>
    <w:lvl w:ilvl="3" w:tplc="0409000F" w:tentative="1">
      <w:start w:val="1"/>
      <w:numFmt w:val="decimal"/>
      <w:lvlText w:val="%4."/>
      <w:lvlJc w:val="left"/>
      <w:pPr>
        <w:tabs>
          <w:tab w:val="num" w:pos="2166"/>
        </w:tabs>
        <w:ind w:left="2166" w:hanging="360"/>
      </w:pPr>
    </w:lvl>
    <w:lvl w:ilvl="4" w:tplc="04090019" w:tentative="1">
      <w:start w:val="1"/>
      <w:numFmt w:val="lowerLetter"/>
      <w:lvlText w:val="%5."/>
      <w:lvlJc w:val="left"/>
      <w:pPr>
        <w:tabs>
          <w:tab w:val="num" w:pos="2886"/>
        </w:tabs>
        <w:ind w:left="2886" w:hanging="360"/>
      </w:pPr>
    </w:lvl>
    <w:lvl w:ilvl="5" w:tplc="0409001B" w:tentative="1">
      <w:start w:val="1"/>
      <w:numFmt w:val="lowerRoman"/>
      <w:lvlText w:val="%6."/>
      <w:lvlJc w:val="right"/>
      <w:pPr>
        <w:tabs>
          <w:tab w:val="num" w:pos="3606"/>
        </w:tabs>
        <w:ind w:left="3606" w:hanging="180"/>
      </w:pPr>
    </w:lvl>
    <w:lvl w:ilvl="6" w:tplc="0409000F" w:tentative="1">
      <w:start w:val="1"/>
      <w:numFmt w:val="decimal"/>
      <w:lvlText w:val="%7."/>
      <w:lvlJc w:val="left"/>
      <w:pPr>
        <w:tabs>
          <w:tab w:val="num" w:pos="4326"/>
        </w:tabs>
        <w:ind w:left="4326" w:hanging="360"/>
      </w:pPr>
    </w:lvl>
    <w:lvl w:ilvl="7" w:tplc="04090019" w:tentative="1">
      <w:start w:val="1"/>
      <w:numFmt w:val="lowerLetter"/>
      <w:lvlText w:val="%8."/>
      <w:lvlJc w:val="left"/>
      <w:pPr>
        <w:tabs>
          <w:tab w:val="num" w:pos="5046"/>
        </w:tabs>
        <w:ind w:left="5046" w:hanging="360"/>
      </w:pPr>
    </w:lvl>
    <w:lvl w:ilvl="8" w:tplc="0409001B" w:tentative="1">
      <w:start w:val="1"/>
      <w:numFmt w:val="lowerRoman"/>
      <w:lvlText w:val="%9."/>
      <w:lvlJc w:val="right"/>
      <w:pPr>
        <w:tabs>
          <w:tab w:val="num" w:pos="5766"/>
        </w:tabs>
        <w:ind w:left="5766" w:hanging="180"/>
      </w:pPr>
    </w:lvl>
  </w:abstractNum>
  <w:abstractNum w:abstractNumId="6">
    <w:nsid w:val="41BD3D6E"/>
    <w:multiLevelType w:val="hybridMultilevel"/>
    <w:tmpl w:val="2F40270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6021071"/>
    <w:multiLevelType w:val="hybridMultilevel"/>
    <w:tmpl w:val="D1A08C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C301C29"/>
    <w:multiLevelType w:val="multilevel"/>
    <w:tmpl w:val="28B656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59142C86"/>
    <w:multiLevelType w:val="hybridMultilevel"/>
    <w:tmpl w:val="009A50C0"/>
    <w:lvl w:ilvl="0" w:tplc="66065E7A">
      <w:start w:val="1"/>
      <w:numFmt w:val="bullet"/>
      <w:lvlText w:val=""/>
      <w:lvlJc w:val="left"/>
      <w:pPr>
        <w:tabs>
          <w:tab w:val="num" w:pos="360"/>
        </w:tabs>
        <w:ind w:left="360" w:hanging="360"/>
      </w:pPr>
      <w:rPr>
        <w:rFonts w:ascii="Symbol" w:hAnsi="Symbol" w:hint="default"/>
        <w:color w:val="00996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E6B6CB0"/>
    <w:multiLevelType w:val="hybridMultilevel"/>
    <w:tmpl w:val="85D0E184"/>
    <w:lvl w:ilvl="0" w:tplc="05DC4C98">
      <w:start w:val="1"/>
      <w:numFmt w:val="bullet"/>
      <w:lvlText w:val=""/>
      <w:lvlJc w:val="left"/>
      <w:pPr>
        <w:tabs>
          <w:tab w:val="num" w:pos="360"/>
        </w:tabs>
        <w:ind w:left="360" w:hanging="360"/>
      </w:pPr>
      <w:rPr>
        <w:rFonts w:ascii="Symbol" w:hAnsi="Symbol" w:hint="default"/>
        <w:color w:val="00996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3226ABA"/>
    <w:multiLevelType w:val="hybridMultilevel"/>
    <w:tmpl w:val="85D0E184"/>
    <w:lvl w:ilvl="0" w:tplc="0494F300">
      <w:start w:val="1"/>
      <w:numFmt w:val="bullet"/>
      <w:lvlText w:val="●"/>
      <w:lvlJc w:val="left"/>
      <w:pPr>
        <w:tabs>
          <w:tab w:val="num" w:pos="360"/>
        </w:tabs>
        <w:ind w:left="255" w:hanging="255"/>
      </w:pPr>
      <w:rPr>
        <w:rFonts w:hAnsi="Microsoft Sans Serif" w:hint="default"/>
        <w:color w:val="FFFFFF"/>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645CC349"/>
    <w:multiLevelType w:val="hybridMultilevel"/>
    <w:tmpl w:val="F2B3AA9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76097D9E"/>
    <w:multiLevelType w:val="hybridMultilevel"/>
    <w:tmpl w:val="A7B0BB30"/>
    <w:lvl w:ilvl="0" w:tplc="A34C065C">
      <w:start w:val="1"/>
      <w:numFmt w:val="bullet"/>
      <w:pStyle w:val="ListParagraph"/>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4">
    <w:nsid w:val="77A266B3"/>
    <w:multiLevelType w:val="hybridMultilevel"/>
    <w:tmpl w:val="BB86796E"/>
    <w:lvl w:ilvl="0" w:tplc="CD0AA788">
      <w:start w:val="1"/>
      <w:numFmt w:val="decimal"/>
      <w:pStyle w:val="PHEBulletpoints"/>
      <w:lvlText w:val="%1)"/>
      <w:lvlJc w:val="left"/>
      <w:pPr>
        <w:ind w:left="720" w:hanging="360"/>
      </w:pPr>
      <w:rPr>
        <w:rFonts w:ascii="Arial" w:eastAsia="Times New Roman" w:hAnsi="Arial" w:cs="Times New Roman"/>
        <w:color w:val="98002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1"/>
  </w:num>
  <w:num w:numId="4">
    <w:abstractNumId w:val="12"/>
  </w:num>
  <w:num w:numId="5">
    <w:abstractNumId w:val="11"/>
  </w:num>
  <w:num w:numId="6">
    <w:abstractNumId w:val="10"/>
  </w:num>
  <w:num w:numId="7">
    <w:abstractNumId w:val="9"/>
  </w:num>
  <w:num w:numId="8">
    <w:abstractNumId w:val="4"/>
  </w:num>
  <w:num w:numId="9">
    <w:abstractNumId w:val="8"/>
  </w:num>
  <w:num w:numId="10">
    <w:abstractNumId w:val="3"/>
  </w:num>
  <w:num w:numId="11">
    <w:abstractNumId w:val="0"/>
  </w:num>
  <w:num w:numId="12">
    <w:abstractNumId w:val="14"/>
  </w:num>
  <w:num w:numId="13">
    <w:abstractNumId w:val="13"/>
  </w:num>
  <w:num w:numId="14">
    <w:abstractNumId w:val="2"/>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D38"/>
    <w:rsid w:val="000A10BA"/>
    <w:rsid w:val="000A64AD"/>
    <w:rsid w:val="000F23FF"/>
    <w:rsid w:val="00171AD6"/>
    <w:rsid w:val="00182EBA"/>
    <w:rsid w:val="001C2B9B"/>
    <w:rsid w:val="00260D8C"/>
    <w:rsid w:val="00295C72"/>
    <w:rsid w:val="003035E5"/>
    <w:rsid w:val="003420D1"/>
    <w:rsid w:val="003669C0"/>
    <w:rsid w:val="003D384C"/>
    <w:rsid w:val="003D6868"/>
    <w:rsid w:val="00486B1C"/>
    <w:rsid w:val="004C7599"/>
    <w:rsid w:val="00505586"/>
    <w:rsid w:val="00526C7F"/>
    <w:rsid w:val="00564A7C"/>
    <w:rsid w:val="005B0331"/>
    <w:rsid w:val="005C4E66"/>
    <w:rsid w:val="005C724C"/>
    <w:rsid w:val="005F1B8A"/>
    <w:rsid w:val="005F46B7"/>
    <w:rsid w:val="0060317A"/>
    <w:rsid w:val="00605393"/>
    <w:rsid w:val="0062396B"/>
    <w:rsid w:val="0066483F"/>
    <w:rsid w:val="006D0CF7"/>
    <w:rsid w:val="0070524B"/>
    <w:rsid w:val="007211B4"/>
    <w:rsid w:val="00721D38"/>
    <w:rsid w:val="007637B3"/>
    <w:rsid w:val="007B2CB1"/>
    <w:rsid w:val="00864131"/>
    <w:rsid w:val="0089588E"/>
    <w:rsid w:val="0090676C"/>
    <w:rsid w:val="0092275A"/>
    <w:rsid w:val="00941E9E"/>
    <w:rsid w:val="00976909"/>
    <w:rsid w:val="009D1CFA"/>
    <w:rsid w:val="009E13BE"/>
    <w:rsid w:val="00A23943"/>
    <w:rsid w:val="00A74838"/>
    <w:rsid w:val="00A76F33"/>
    <w:rsid w:val="00A77531"/>
    <w:rsid w:val="00AF51BE"/>
    <w:rsid w:val="00AF6F31"/>
    <w:rsid w:val="00B44A22"/>
    <w:rsid w:val="00B64D66"/>
    <w:rsid w:val="00BC7F14"/>
    <w:rsid w:val="00BD0712"/>
    <w:rsid w:val="00BD57E6"/>
    <w:rsid w:val="00C20412"/>
    <w:rsid w:val="00C21531"/>
    <w:rsid w:val="00C27D11"/>
    <w:rsid w:val="00C64C2E"/>
    <w:rsid w:val="00C74EF6"/>
    <w:rsid w:val="00C82958"/>
    <w:rsid w:val="00CA7A64"/>
    <w:rsid w:val="00CD25F0"/>
    <w:rsid w:val="00CF791B"/>
    <w:rsid w:val="00D02200"/>
    <w:rsid w:val="00D44B39"/>
    <w:rsid w:val="00D83ED4"/>
    <w:rsid w:val="00DB628E"/>
    <w:rsid w:val="00DF25E9"/>
    <w:rsid w:val="00E60F55"/>
    <w:rsid w:val="00E77FFA"/>
    <w:rsid w:val="00E813E0"/>
    <w:rsid w:val="00E93C0B"/>
    <w:rsid w:val="00EA1F7F"/>
    <w:rsid w:val="00EC4B4D"/>
    <w:rsid w:val="00EF3DE2"/>
    <w:rsid w:val="00FC53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rsid w:val="00A23943"/>
    <w:pPr>
      <w:keepNext/>
      <w:spacing w:after="0" w:line="240" w:lineRule="auto"/>
      <w:outlineLvl w:val="0"/>
    </w:pPr>
    <w:rPr>
      <w:rFonts w:ascii="Arial" w:eastAsia="Times New Roman" w:hAnsi="Arial" w:cs="Arial"/>
      <w:b/>
      <w:bCs/>
      <w:color w:val="FFFFFF"/>
      <w:sz w:val="24"/>
      <w:szCs w:val="20"/>
    </w:rPr>
  </w:style>
  <w:style w:type="paragraph" w:styleId="Heading2">
    <w:name w:val="heading 2"/>
    <w:basedOn w:val="Normal"/>
    <w:next w:val="Normal"/>
    <w:link w:val="Heading2Char"/>
    <w:uiPriority w:val="9"/>
    <w:unhideWhenUsed/>
    <w:qFormat/>
    <w:rsid w:val="00A23943"/>
    <w:pPr>
      <w:keepNext/>
      <w:spacing w:before="240" w:after="60" w:line="240" w:lineRule="auto"/>
      <w:outlineLvl w:val="1"/>
    </w:pPr>
    <w:rPr>
      <w:rFonts w:ascii="Cambria" w:eastAsia="Times New Roman" w:hAnsi="Cambria" w:cs="Times New Roman"/>
      <w:b/>
      <w:bCs/>
      <w:i/>
      <w:iCs/>
      <w:sz w:val="28"/>
      <w:szCs w:val="28"/>
      <w:lang w:val="x-none"/>
    </w:rPr>
  </w:style>
  <w:style w:type="paragraph" w:styleId="Heading3">
    <w:name w:val="heading 3"/>
    <w:basedOn w:val="Normal"/>
    <w:next w:val="Normal"/>
    <w:link w:val="Heading3Char"/>
    <w:uiPriority w:val="9"/>
    <w:semiHidden/>
    <w:unhideWhenUsed/>
    <w:qFormat/>
    <w:rsid w:val="00A23943"/>
    <w:pPr>
      <w:keepNext/>
      <w:spacing w:before="240" w:after="60" w:line="240" w:lineRule="auto"/>
      <w:outlineLvl w:val="2"/>
    </w:pPr>
    <w:rPr>
      <w:rFonts w:ascii="Cambria" w:eastAsia="Times New Roman" w:hAnsi="Cambria" w:cs="Times New Roman"/>
      <w:b/>
      <w:bCs/>
      <w:sz w:val="26"/>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23943"/>
    <w:rPr>
      <w:rFonts w:ascii="Arial" w:eastAsia="Times New Roman" w:hAnsi="Arial" w:cs="Arial"/>
      <w:b/>
      <w:bCs/>
      <w:color w:val="FFFFFF"/>
      <w:sz w:val="24"/>
      <w:szCs w:val="20"/>
    </w:rPr>
  </w:style>
  <w:style w:type="character" w:customStyle="1" w:styleId="Heading2Char">
    <w:name w:val="Heading 2 Char"/>
    <w:basedOn w:val="DefaultParagraphFont"/>
    <w:link w:val="Heading2"/>
    <w:uiPriority w:val="9"/>
    <w:rsid w:val="00A23943"/>
    <w:rPr>
      <w:rFonts w:ascii="Cambria" w:eastAsia="Times New Roman" w:hAnsi="Cambria" w:cs="Times New Roman"/>
      <w:b/>
      <w:bCs/>
      <w:i/>
      <w:iCs/>
      <w:sz w:val="28"/>
      <w:szCs w:val="28"/>
      <w:lang w:val="x-none"/>
    </w:rPr>
  </w:style>
  <w:style w:type="character" w:customStyle="1" w:styleId="Heading3Char">
    <w:name w:val="Heading 3 Char"/>
    <w:basedOn w:val="DefaultParagraphFont"/>
    <w:link w:val="Heading3"/>
    <w:uiPriority w:val="9"/>
    <w:semiHidden/>
    <w:rsid w:val="00A23943"/>
    <w:rPr>
      <w:rFonts w:ascii="Cambria" w:eastAsia="Times New Roman" w:hAnsi="Cambria" w:cs="Times New Roman"/>
      <w:b/>
      <w:bCs/>
      <w:sz w:val="26"/>
      <w:szCs w:val="26"/>
      <w:lang w:val="x-none"/>
    </w:rPr>
  </w:style>
  <w:style w:type="paragraph" w:styleId="Header">
    <w:name w:val="header"/>
    <w:basedOn w:val="Normal"/>
    <w:link w:val="HeaderChar"/>
    <w:uiPriority w:val="99"/>
    <w:unhideWhenUsed/>
    <w:rsid w:val="00A23943"/>
    <w:pPr>
      <w:tabs>
        <w:tab w:val="center" w:pos="4513"/>
        <w:tab w:val="right" w:pos="9026"/>
      </w:tabs>
      <w:spacing w:after="0" w:line="240" w:lineRule="auto"/>
    </w:pPr>
    <w:rPr>
      <w:rFonts w:ascii="Arial" w:eastAsia="Times New Roman" w:hAnsi="Arial" w:cs="Times New Roman"/>
      <w:sz w:val="24"/>
      <w:szCs w:val="20"/>
      <w:lang w:val="x-none"/>
    </w:rPr>
  </w:style>
  <w:style w:type="character" w:customStyle="1" w:styleId="HeaderChar">
    <w:name w:val="Header Char"/>
    <w:basedOn w:val="DefaultParagraphFont"/>
    <w:link w:val="Header"/>
    <w:uiPriority w:val="99"/>
    <w:rsid w:val="00A23943"/>
    <w:rPr>
      <w:rFonts w:ascii="Arial" w:eastAsia="Times New Roman" w:hAnsi="Arial" w:cs="Times New Roman"/>
      <w:sz w:val="24"/>
      <w:szCs w:val="20"/>
      <w:lang w:val="x-none"/>
    </w:rPr>
  </w:style>
  <w:style w:type="paragraph" w:customStyle="1" w:styleId="PHEFigureschartstitle">
    <w:name w:val="PHE Figures/charts title"/>
    <w:basedOn w:val="Normal"/>
    <w:rsid w:val="00A23943"/>
    <w:pPr>
      <w:spacing w:after="0" w:line="280" w:lineRule="atLeast"/>
    </w:pPr>
    <w:rPr>
      <w:rFonts w:ascii="Arial" w:eastAsia="Times New Roman" w:hAnsi="Arial" w:cs="Times New Roman"/>
      <w:b/>
      <w:sz w:val="24"/>
      <w:szCs w:val="20"/>
    </w:rPr>
  </w:style>
  <w:style w:type="paragraph" w:customStyle="1" w:styleId="PHEBodycopy">
    <w:name w:val="PHE Body copy"/>
    <w:basedOn w:val="Normal"/>
    <w:link w:val="PHEBodycopyChar"/>
    <w:qFormat/>
    <w:rsid w:val="00A23943"/>
    <w:pPr>
      <w:spacing w:after="0" w:line="320" w:lineRule="exact"/>
      <w:ind w:right="794"/>
    </w:pPr>
    <w:rPr>
      <w:rFonts w:ascii="Arial" w:eastAsia="Times New Roman" w:hAnsi="Arial" w:cs="Times New Roman"/>
      <w:sz w:val="24"/>
      <w:szCs w:val="20"/>
      <w:lang w:eastAsia="en-GB"/>
    </w:rPr>
  </w:style>
  <w:style w:type="character" w:styleId="FollowedHyperlink">
    <w:name w:val="FollowedHyperlink"/>
    <w:rsid w:val="00A23943"/>
    <w:rPr>
      <w:color w:val="98002E"/>
      <w:u w:val="none"/>
    </w:rPr>
  </w:style>
  <w:style w:type="paragraph" w:customStyle="1" w:styleId="PHENumberedbodytext">
    <w:name w:val="PHE Numbered body text"/>
    <w:basedOn w:val="PHEBodycopy"/>
    <w:rsid w:val="00A23943"/>
    <w:pPr>
      <w:numPr>
        <w:ilvl w:val="1"/>
        <w:numId w:val="10"/>
      </w:numPr>
      <w:ind w:left="567" w:hanging="567"/>
    </w:pPr>
  </w:style>
  <w:style w:type="paragraph" w:customStyle="1" w:styleId="PHEBulletpoints">
    <w:name w:val="PHE Bullet points"/>
    <w:link w:val="PHEBulletpointsChar"/>
    <w:qFormat/>
    <w:rsid w:val="00A23943"/>
    <w:pPr>
      <w:numPr>
        <w:numId w:val="12"/>
      </w:numPr>
      <w:spacing w:after="0" w:line="320" w:lineRule="exact"/>
      <w:ind w:left="357" w:right="794" w:hanging="357"/>
    </w:pPr>
    <w:rPr>
      <w:rFonts w:ascii="Arial" w:eastAsia="Times New Roman" w:hAnsi="Arial" w:cs="Times New Roman"/>
      <w:sz w:val="24"/>
      <w:szCs w:val="24"/>
    </w:rPr>
  </w:style>
  <w:style w:type="character" w:customStyle="1" w:styleId="PHEBulletpointsChar">
    <w:name w:val="PHE Bullet points Char"/>
    <w:link w:val="PHEBulletpoints"/>
    <w:rsid w:val="00A23943"/>
    <w:rPr>
      <w:rFonts w:ascii="Arial" w:eastAsia="Times New Roman" w:hAnsi="Arial" w:cs="Times New Roman"/>
      <w:sz w:val="24"/>
      <w:szCs w:val="24"/>
    </w:rPr>
  </w:style>
  <w:style w:type="paragraph" w:customStyle="1" w:styleId="PHESecondaryHeadingOne">
    <w:name w:val="PHE Secondary Heading One"/>
    <w:basedOn w:val="Normal"/>
    <w:rsid w:val="00A23943"/>
    <w:pPr>
      <w:spacing w:after="320" w:line="360" w:lineRule="exact"/>
    </w:pPr>
    <w:rPr>
      <w:rFonts w:ascii="Arial" w:eastAsia="Times New Roman" w:hAnsi="Arial" w:cs="Times New Roman"/>
      <w:color w:val="98002E"/>
      <w:sz w:val="28"/>
      <w:szCs w:val="20"/>
    </w:rPr>
  </w:style>
  <w:style w:type="paragraph" w:customStyle="1" w:styleId="PHEChapterheading">
    <w:name w:val="PHE Chapter heading"/>
    <w:basedOn w:val="Normal"/>
    <w:rsid w:val="00A23943"/>
    <w:pPr>
      <w:spacing w:after="480" w:line="660" w:lineRule="exact"/>
      <w:ind w:right="794"/>
      <w:outlineLvl w:val="0"/>
    </w:pPr>
    <w:rPr>
      <w:rFonts w:ascii="Arial" w:eastAsia="Times New Roman" w:hAnsi="Arial" w:cs="Times New Roman"/>
      <w:color w:val="98002E"/>
      <w:sz w:val="48"/>
      <w:szCs w:val="48"/>
    </w:rPr>
  </w:style>
  <w:style w:type="paragraph" w:customStyle="1" w:styleId="PHEFootnote">
    <w:name w:val="PHE Footnote"/>
    <w:basedOn w:val="Normal"/>
    <w:rsid w:val="00A23943"/>
    <w:pPr>
      <w:spacing w:after="0" w:line="240" w:lineRule="exact"/>
    </w:pPr>
    <w:rPr>
      <w:rFonts w:ascii="Arial" w:eastAsia="Times New Roman" w:hAnsi="Arial" w:cs="Times New Roman"/>
      <w:color w:val="98002E"/>
      <w:sz w:val="18"/>
      <w:szCs w:val="20"/>
    </w:rPr>
  </w:style>
  <w:style w:type="character" w:customStyle="1" w:styleId="DocumentMapChar">
    <w:name w:val="Document Map Char"/>
    <w:basedOn w:val="DefaultParagraphFont"/>
    <w:link w:val="DocumentMap"/>
    <w:uiPriority w:val="99"/>
    <w:semiHidden/>
    <w:rsid w:val="00A23943"/>
    <w:rPr>
      <w:rFonts w:ascii="Tahoma" w:eastAsia="Times New Roman" w:hAnsi="Tahoma" w:cs="Times New Roman"/>
      <w:sz w:val="16"/>
      <w:szCs w:val="16"/>
      <w:lang w:val="x-none"/>
    </w:rPr>
  </w:style>
  <w:style w:type="paragraph" w:styleId="DocumentMap">
    <w:name w:val="Document Map"/>
    <w:basedOn w:val="Normal"/>
    <w:link w:val="DocumentMapChar"/>
    <w:uiPriority w:val="99"/>
    <w:semiHidden/>
    <w:unhideWhenUsed/>
    <w:rsid w:val="00A23943"/>
    <w:pPr>
      <w:spacing w:after="0" w:line="240" w:lineRule="auto"/>
    </w:pPr>
    <w:rPr>
      <w:rFonts w:ascii="Tahoma" w:eastAsia="Times New Roman" w:hAnsi="Tahoma" w:cs="Times New Roman"/>
      <w:sz w:val="16"/>
      <w:szCs w:val="16"/>
      <w:lang w:val="x-none"/>
    </w:rPr>
  </w:style>
  <w:style w:type="paragraph" w:customStyle="1" w:styleId="PHEMaintitleasrunningheader">
    <w:name w:val="PHE Main title as running header"/>
    <w:basedOn w:val="Normal"/>
    <w:rsid w:val="00A23943"/>
    <w:pPr>
      <w:spacing w:after="0" w:line="240" w:lineRule="exact"/>
    </w:pPr>
    <w:rPr>
      <w:rFonts w:ascii="Arial" w:eastAsia="Times New Roman" w:hAnsi="Arial" w:cs="Times New Roman"/>
      <w:color w:val="7F7F7F"/>
      <w:sz w:val="20"/>
      <w:szCs w:val="20"/>
    </w:rPr>
  </w:style>
  <w:style w:type="paragraph" w:styleId="Footer">
    <w:name w:val="footer"/>
    <w:basedOn w:val="Normal"/>
    <w:link w:val="FooterChar"/>
    <w:uiPriority w:val="99"/>
    <w:unhideWhenUsed/>
    <w:rsid w:val="00A23943"/>
    <w:pPr>
      <w:tabs>
        <w:tab w:val="center" w:pos="4513"/>
        <w:tab w:val="right" w:pos="9026"/>
      </w:tabs>
      <w:spacing w:after="0" w:line="240" w:lineRule="auto"/>
    </w:pPr>
    <w:rPr>
      <w:rFonts w:ascii="Arial" w:eastAsia="Times New Roman" w:hAnsi="Arial" w:cs="Arial"/>
      <w:sz w:val="24"/>
      <w:szCs w:val="20"/>
    </w:rPr>
  </w:style>
  <w:style w:type="character" w:customStyle="1" w:styleId="FooterChar">
    <w:name w:val="Footer Char"/>
    <w:basedOn w:val="DefaultParagraphFont"/>
    <w:link w:val="Footer"/>
    <w:uiPriority w:val="99"/>
    <w:rsid w:val="00A23943"/>
    <w:rPr>
      <w:rFonts w:ascii="Arial" w:eastAsia="Times New Roman" w:hAnsi="Arial" w:cs="Arial"/>
      <w:sz w:val="24"/>
      <w:szCs w:val="20"/>
    </w:rPr>
  </w:style>
  <w:style w:type="character" w:styleId="Hyperlink">
    <w:name w:val="Hyperlink"/>
    <w:uiPriority w:val="99"/>
    <w:rsid w:val="00A23943"/>
    <w:rPr>
      <w:color w:val="98002E"/>
      <w:u w:val="none"/>
    </w:rPr>
  </w:style>
  <w:style w:type="paragraph" w:styleId="TOC1">
    <w:name w:val="toc 1"/>
    <w:basedOn w:val="Normal"/>
    <w:next w:val="Normal"/>
    <w:link w:val="TOC1Char"/>
    <w:autoRedefine/>
    <w:uiPriority w:val="39"/>
    <w:rsid w:val="00A23943"/>
    <w:pPr>
      <w:tabs>
        <w:tab w:val="right" w:pos="9299"/>
      </w:tabs>
      <w:spacing w:after="120" w:line="320" w:lineRule="exact"/>
    </w:pPr>
    <w:rPr>
      <w:rFonts w:ascii="Arial" w:eastAsia="Times New Roman" w:hAnsi="Arial" w:cs="Times New Roman"/>
      <w:noProof/>
      <w:sz w:val="24"/>
      <w:szCs w:val="20"/>
      <w:lang w:val="x-none"/>
    </w:rPr>
  </w:style>
  <w:style w:type="character" w:customStyle="1" w:styleId="TOC1Char">
    <w:name w:val="TOC 1 Char"/>
    <w:link w:val="TOC1"/>
    <w:uiPriority w:val="39"/>
    <w:rsid w:val="00A23943"/>
    <w:rPr>
      <w:rFonts w:ascii="Arial" w:eastAsia="Times New Roman" w:hAnsi="Arial" w:cs="Times New Roman"/>
      <w:noProof/>
      <w:sz w:val="24"/>
      <w:szCs w:val="20"/>
      <w:lang w:val="x-none"/>
    </w:rPr>
  </w:style>
  <w:style w:type="paragraph" w:styleId="TOC2">
    <w:name w:val="toc 2"/>
    <w:basedOn w:val="Normal"/>
    <w:next w:val="Normal"/>
    <w:autoRedefine/>
    <w:uiPriority w:val="39"/>
    <w:rsid w:val="00A23943"/>
    <w:pPr>
      <w:spacing w:after="0" w:line="240" w:lineRule="auto"/>
      <w:ind w:left="240"/>
    </w:pPr>
    <w:rPr>
      <w:rFonts w:ascii="Arial" w:eastAsia="Times New Roman" w:hAnsi="Arial" w:cs="Arial"/>
      <w:sz w:val="24"/>
      <w:szCs w:val="20"/>
    </w:rPr>
  </w:style>
  <w:style w:type="paragraph" w:styleId="TOC3">
    <w:name w:val="toc 3"/>
    <w:basedOn w:val="Normal"/>
    <w:next w:val="Normal"/>
    <w:autoRedefine/>
    <w:uiPriority w:val="39"/>
    <w:rsid w:val="00A23943"/>
    <w:pPr>
      <w:spacing w:after="0" w:line="240" w:lineRule="auto"/>
      <w:ind w:left="480"/>
    </w:pPr>
    <w:rPr>
      <w:rFonts w:ascii="Arial" w:eastAsia="Times New Roman" w:hAnsi="Arial" w:cs="Arial"/>
      <w:sz w:val="24"/>
      <w:szCs w:val="20"/>
    </w:rPr>
  </w:style>
  <w:style w:type="character" w:customStyle="1" w:styleId="PHEFrontpagemaintitle">
    <w:name w:val="PHE Front page main title"/>
    <w:qFormat/>
    <w:rsid w:val="00A23943"/>
    <w:rPr>
      <w:b/>
      <w:bCs/>
      <w:color w:val="98002E"/>
      <w:sz w:val="52"/>
    </w:rPr>
  </w:style>
  <w:style w:type="character" w:customStyle="1" w:styleId="PHEFrontpagetitlesecondlevel">
    <w:name w:val="PHE Front page title second level"/>
    <w:rsid w:val="00A23943"/>
    <w:rPr>
      <w:rFonts w:ascii="Arial" w:hAnsi="Arial"/>
      <w:b w:val="0"/>
      <w:bCs/>
      <w:color w:val="98002E"/>
      <w:sz w:val="52"/>
    </w:rPr>
  </w:style>
  <w:style w:type="paragraph" w:customStyle="1" w:styleId="PHEFrontpagesubtitle">
    <w:name w:val="PHE Front page subtitle"/>
    <w:basedOn w:val="Normal"/>
    <w:rsid w:val="00A23943"/>
    <w:pPr>
      <w:tabs>
        <w:tab w:val="left" w:pos="0"/>
      </w:tabs>
      <w:spacing w:after="0" w:line="240" w:lineRule="auto"/>
      <w:ind w:right="566"/>
    </w:pPr>
    <w:rPr>
      <w:rFonts w:ascii="Arial" w:eastAsia="Times New Roman" w:hAnsi="Arial" w:cs="Times New Roman"/>
      <w:color w:val="000000"/>
      <w:sz w:val="24"/>
      <w:szCs w:val="20"/>
      <w:lang w:eastAsia="en-GB"/>
    </w:rPr>
  </w:style>
  <w:style w:type="paragraph" w:customStyle="1" w:styleId="PHESecondaryHeadingTwo">
    <w:name w:val="PHE Secondary Heading Two"/>
    <w:basedOn w:val="PHESecondaryHeadingOne"/>
    <w:qFormat/>
    <w:rsid w:val="00A23943"/>
    <w:pPr>
      <w:spacing w:after="360"/>
    </w:pPr>
    <w:rPr>
      <w:sz w:val="26"/>
    </w:rPr>
  </w:style>
  <w:style w:type="paragraph" w:customStyle="1" w:styleId="PHEContentslist">
    <w:name w:val="PHE Contents list"/>
    <w:basedOn w:val="TOC1"/>
    <w:link w:val="PHEContentslistChar"/>
    <w:qFormat/>
    <w:rsid w:val="00A23943"/>
    <w:pPr>
      <w:tabs>
        <w:tab w:val="right" w:leader="dot" w:pos="10082"/>
      </w:tabs>
    </w:pPr>
  </w:style>
  <w:style w:type="character" w:customStyle="1" w:styleId="PHEContentslistChar">
    <w:name w:val="PHE Contents list Char"/>
    <w:link w:val="PHEContentslist"/>
    <w:rsid w:val="00A23943"/>
    <w:rPr>
      <w:rFonts w:ascii="Arial" w:eastAsia="Times New Roman" w:hAnsi="Arial" w:cs="Times New Roman"/>
      <w:noProof/>
      <w:sz w:val="24"/>
      <w:szCs w:val="20"/>
      <w:lang w:val="x-none"/>
    </w:rPr>
  </w:style>
  <w:style w:type="character" w:customStyle="1" w:styleId="BalloonTextChar">
    <w:name w:val="Balloon Text Char"/>
    <w:basedOn w:val="DefaultParagraphFont"/>
    <w:link w:val="BalloonText"/>
    <w:uiPriority w:val="99"/>
    <w:semiHidden/>
    <w:rsid w:val="00A23943"/>
    <w:rPr>
      <w:rFonts w:ascii="Tahoma" w:eastAsia="Times New Roman" w:hAnsi="Tahoma" w:cs="Times New Roman"/>
      <w:sz w:val="16"/>
      <w:szCs w:val="16"/>
      <w:lang w:val="x-none"/>
    </w:rPr>
  </w:style>
  <w:style w:type="paragraph" w:styleId="BalloonText">
    <w:name w:val="Balloon Text"/>
    <w:basedOn w:val="Normal"/>
    <w:link w:val="BalloonTextChar"/>
    <w:uiPriority w:val="99"/>
    <w:semiHidden/>
    <w:unhideWhenUsed/>
    <w:rsid w:val="00A23943"/>
    <w:pPr>
      <w:spacing w:after="0" w:line="240" w:lineRule="auto"/>
    </w:pPr>
    <w:rPr>
      <w:rFonts w:ascii="Tahoma" w:eastAsia="Times New Roman" w:hAnsi="Tahoma" w:cs="Times New Roman"/>
      <w:sz w:val="16"/>
      <w:szCs w:val="16"/>
      <w:lang w:val="x-none"/>
    </w:rPr>
  </w:style>
  <w:style w:type="paragraph" w:customStyle="1" w:styleId="PHEBulletpointsfornumberedtext">
    <w:name w:val="PHE Bullet points for numbered text"/>
    <w:basedOn w:val="PHEBulletpoints"/>
    <w:link w:val="PHEBulletpointsfornumberedtextChar"/>
    <w:qFormat/>
    <w:rsid w:val="00A23943"/>
    <w:pPr>
      <w:tabs>
        <w:tab w:val="left" w:pos="851"/>
      </w:tabs>
      <w:ind w:left="851" w:hanging="284"/>
    </w:pPr>
  </w:style>
  <w:style w:type="character" w:customStyle="1" w:styleId="PHEBulletpointsfornumberedtextChar">
    <w:name w:val="PHE Bullet points for numbered text Char"/>
    <w:basedOn w:val="PHEBulletpointsChar"/>
    <w:link w:val="PHEBulletpointsfornumberedtext"/>
    <w:rsid w:val="00A23943"/>
    <w:rPr>
      <w:rFonts w:ascii="Arial" w:eastAsia="Times New Roman" w:hAnsi="Arial" w:cs="Times New Roman"/>
      <w:sz w:val="24"/>
      <w:szCs w:val="24"/>
    </w:rPr>
  </w:style>
  <w:style w:type="table" w:customStyle="1" w:styleId="MediumShading21">
    <w:name w:val="Medium Shading 21"/>
    <w:basedOn w:val="TableNormal"/>
    <w:uiPriority w:val="64"/>
    <w:rsid w:val="00A23943"/>
    <w:pPr>
      <w:spacing w:after="0" w:line="240" w:lineRule="auto"/>
    </w:pPr>
    <w:rPr>
      <w:rFonts w:eastAsiaTheme="minorEastAsia"/>
      <w:lang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ommentTextChar">
    <w:name w:val="Comment Text Char"/>
    <w:basedOn w:val="DefaultParagraphFont"/>
    <w:link w:val="CommentText"/>
    <w:uiPriority w:val="99"/>
    <w:semiHidden/>
    <w:rsid w:val="00A23943"/>
    <w:rPr>
      <w:rFonts w:ascii="Arial" w:eastAsia="Times New Roman" w:hAnsi="Arial" w:cs="Arial"/>
      <w:sz w:val="20"/>
      <w:szCs w:val="20"/>
    </w:rPr>
  </w:style>
  <w:style w:type="paragraph" w:styleId="CommentText">
    <w:name w:val="annotation text"/>
    <w:basedOn w:val="Normal"/>
    <w:link w:val="CommentTextChar"/>
    <w:uiPriority w:val="99"/>
    <w:semiHidden/>
    <w:unhideWhenUsed/>
    <w:rsid w:val="00A23943"/>
    <w:pPr>
      <w:spacing w:after="0" w:line="240" w:lineRule="auto"/>
    </w:pPr>
    <w:rPr>
      <w:rFonts w:ascii="Arial" w:eastAsia="Times New Roman" w:hAnsi="Arial" w:cs="Arial"/>
      <w:sz w:val="20"/>
      <w:szCs w:val="20"/>
    </w:rPr>
  </w:style>
  <w:style w:type="character" w:customStyle="1" w:styleId="CommentSubjectChar">
    <w:name w:val="Comment Subject Char"/>
    <w:basedOn w:val="CommentTextChar"/>
    <w:link w:val="CommentSubject"/>
    <w:uiPriority w:val="99"/>
    <w:semiHidden/>
    <w:rsid w:val="00A23943"/>
    <w:rPr>
      <w:rFonts w:ascii="Arial" w:eastAsia="Times New Roman" w:hAnsi="Arial" w:cs="Arial"/>
      <w:b/>
      <w:bCs/>
      <w:sz w:val="20"/>
      <w:szCs w:val="20"/>
    </w:rPr>
  </w:style>
  <w:style w:type="paragraph" w:styleId="CommentSubject">
    <w:name w:val="annotation subject"/>
    <w:basedOn w:val="CommentText"/>
    <w:next w:val="CommentText"/>
    <w:link w:val="CommentSubjectChar"/>
    <w:uiPriority w:val="99"/>
    <w:semiHidden/>
    <w:unhideWhenUsed/>
    <w:rsid w:val="00A23943"/>
    <w:rPr>
      <w:b/>
      <w:bCs/>
    </w:rPr>
  </w:style>
  <w:style w:type="paragraph" w:styleId="ListParagraph">
    <w:name w:val="List Paragraph"/>
    <w:aliases w:val="Numbered Normal"/>
    <w:basedOn w:val="Normal"/>
    <w:autoRedefine/>
    <w:uiPriority w:val="34"/>
    <w:qFormat/>
    <w:rsid w:val="00A23943"/>
    <w:pPr>
      <w:numPr>
        <w:numId w:val="13"/>
      </w:numPr>
      <w:autoSpaceDE w:val="0"/>
      <w:autoSpaceDN w:val="0"/>
      <w:adjustRightInd w:val="0"/>
      <w:spacing w:before="240" w:after="0"/>
      <w:contextualSpacing/>
    </w:pPr>
    <w:rPr>
      <w:rFonts w:eastAsiaTheme="minorEastAsia"/>
      <w:lang w:eastAsia="en-GB"/>
    </w:rPr>
  </w:style>
  <w:style w:type="paragraph" w:styleId="Caption">
    <w:name w:val="caption"/>
    <w:basedOn w:val="Normal"/>
    <w:next w:val="Normal"/>
    <w:unhideWhenUsed/>
    <w:qFormat/>
    <w:rsid w:val="00A23943"/>
    <w:pPr>
      <w:spacing w:before="200"/>
    </w:pPr>
    <w:rPr>
      <w:rFonts w:ascii="Calibri" w:eastAsiaTheme="minorEastAsia" w:hAnsi="Calibri"/>
      <w:b/>
      <w:bCs/>
      <w:color w:val="365F91" w:themeColor="accent1" w:themeShade="BF"/>
      <w:sz w:val="16"/>
      <w:szCs w:val="16"/>
      <w:lang w:eastAsia="en-GB" w:bidi="en-US"/>
    </w:rPr>
  </w:style>
  <w:style w:type="paragraph" w:styleId="NoSpacing">
    <w:name w:val="No Spacing"/>
    <w:uiPriority w:val="1"/>
    <w:qFormat/>
    <w:rsid w:val="001C2B9B"/>
    <w:pPr>
      <w:spacing w:after="0" w:line="240" w:lineRule="auto"/>
    </w:pPr>
  </w:style>
  <w:style w:type="table" w:styleId="TableGrid">
    <w:name w:val="Table Grid"/>
    <w:basedOn w:val="TableNormal"/>
    <w:uiPriority w:val="59"/>
    <w:rsid w:val="006031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HEBodycopyChar">
    <w:name w:val="PHE Body copy Char"/>
    <w:basedOn w:val="DefaultParagraphFont"/>
    <w:link w:val="PHEBodycopy"/>
    <w:rsid w:val="000A10BA"/>
    <w:rPr>
      <w:rFonts w:ascii="Arial" w:eastAsia="Times New Roman" w:hAnsi="Arial" w:cs="Times New Roman"/>
      <w:sz w:val="24"/>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rsid w:val="00A23943"/>
    <w:pPr>
      <w:keepNext/>
      <w:spacing w:after="0" w:line="240" w:lineRule="auto"/>
      <w:outlineLvl w:val="0"/>
    </w:pPr>
    <w:rPr>
      <w:rFonts w:ascii="Arial" w:eastAsia="Times New Roman" w:hAnsi="Arial" w:cs="Arial"/>
      <w:b/>
      <w:bCs/>
      <w:color w:val="FFFFFF"/>
      <w:sz w:val="24"/>
      <w:szCs w:val="20"/>
    </w:rPr>
  </w:style>
  <w:style w:type="paragraph" w:styleId="Heading2">
    <w:name w:val="heading 2"/>
    <w:basedOn w:val="Normal"/>
    <w:next w:val="Normal"/>
    <w:link w:val="Heading2Char"/>
    <w:uiPriority w:val="9"/>
    <w:unhideWhenUsed/>
    <w:qFormat/>
    <w:rsid w:val="00A23943"/>
    <w:pPr>
      <w:keepNext/>
      <w:spacing w:before="240" w:after="60" w:line="240" w:lineRule="auto"/>
      <w:outlineLvl w:val="1"/>
    </w:pPr>
    <w:rPr>
      <w:rFonts w:ascii="Cambria" w:eastAsia="Times New Roman" w:hAnsi="Cambria" w:cs="Times New Roman"/>
      <w:b/>
      <w:bCs/>
      <w:i/>
      <w:iCs/>
      <w:sz w:val="28"/>
      <w:szCs w:val="28"/>
      <w:lang w:val="x-none"/>
    </w:rPr>
  </w:style>
  <w:style w:type="paragraph" w:styleId="Heading3">
    <w:name w:val="heading 3"/>
    <w:basedOn w:val="Normal"/>
    <w:next w:val="Normal"/>
    <w:link w:val="Heading3Char"/>
    <w:uiPriority w:val="9"/>
    <w:semiHidden/>
    <w:unhideWhenUsed/>
    <w:qFormat/>
    <w:rsid w:val="00A23943"/>
    <w:pPr>
      <w:keepNext/>
      <w:spacing w:before="240" w:after="60" w:line="240" w:lineRule="auto"/>
      <w:outlineLvl w:val="2"/>
    </w:pPr>
    <w:rPr>
      <w:rFonts w:ascii="Cambria" w:eastAsia="Times New Roman" w:hAnsi="Cambria" w:cs="Times New Roman"/>
      <w:b/>
      <w:bCs/>
      <w:sz w:val="26"/>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23943"/>
    <w:rPr>
      <w:rFonts w:ascii="Arial" w:eastAsia="Times New Roman" w:hAnsi="Arial" w:cs="Arial"/>
      <w:b/>
      <w:bCs/>
      <w:color w:val="FFFFFF"/>
      <w:sz w:val="24"/>
      <w:szCs w:val="20"/>
    </w:rPr>
  </w:style>
  <w:style w:type="character" w:customStyle="1" w:styleId="Heading2Char">
    <w:name w:val="Heading 2 Char"/>
    <w:basedOn w:val="DefaultParagraphFont"/>
    <w:link w:val="Heading2"/>
    <w:uiPriority w:val="9"/>
    <w:rsid w:val="00A23943"/>
    <w:rPr>
      <w:rFonts w:ascii="Cambria" w:eastAsia="Times New Roman" w:hAnsi="Cambria" w:cs="Times New Roman"/>
      <w:b/>
      <w:bCs/>
      <w:i/>
      <w:iCs/>
      <w:sz w:val="28"/>
      <w:szCs w:val="28"/>
      <w:lang w:val="x-none"/>
    </w:rPr>
  </w:style>
  <w:style w:type="character" w:customStyle="1" w:styleId="Heading3Char">
    <w:name w:val="Heading 3 Char"/>
    <w:basedOn w:val="DefaultParagraphFont"/>
    <w:link w:val="Heading3"/>
    <w:uiPriority w:val="9"/>
    <w:semiHidden/>
    <w:rsid w:val="00A23943"/>
    <w:rPr>
      <w:rFonts w:ascii="Cambria" w:eastAsia="Times New Roman" w:hAnsi="Cambria" w:cs="Times New Roman"/>
      <w:b/>
      <w:bCs/>
      <w:sz w:val="26"/>
      <w:szCs w:val="26"/>
      <w:lang w:val="x-none"/>
    </w:rPr>
  </w:style>
  <w:style w:type="paragraph" w:styleId="Header">
    <w:name w:val="header"/>
    <w:basedOn w:val="Normal"/>
    <w:link w:val="HeaderChar"/>
    <w:uiPriority w:val="99"/>
    <w:unhideWhenUsed/>
    <w:rsid w:val="00A23943"/>
    <w:pPr>
      <w:tabs>
        <w:tab w:val="center" w:pos="4513"/>
        <w:tab w:val="right" w:pos="9026"/>
      </w:tabs>
      <w:spacing w:after="0" w:line="240" w:lineRule="auto"/>
    </w:pPr>
    <w:rPr>
      <w:rFonts w:ascii="Arial" w:eastAsia="Times New Roman" w:hAnsi="Arial" w:cs="Times New Roman"/>
      <w:sz w:val="24"/>
      <w:szCs w:val="20"/>
      <w:lang w:val="x-none"/>
    </w:rPr>
  </w:style>
  <w:style w:type="character" w:customStyle="1" w:styleId="HeaderChar">
    <w:name w:val="Header Char"/>
    <w:basedOn w:val="DefaultParagraphFont"/>
    <w:link w:val="Header"/>
    <w:uiPriority w:val="99"/>
    <w:rsid w:val="00A23943"/>
    <w:rPr>
      <w:rFonts w:ascii="Arial" w:eastAsia="Times New Roman" w:hAnsi="Arial" w:cs="Times New Roman"/>
      <w:sz w:val="24"/>
      <w:szCs w:val="20"/>
      <w:lang w:val="x-none"/>
    </w:rPr>
  </w:style>
  <w:style w:type="paragraph" w:customStyle="1" w:styleId="PHEFigureschartstitle">
    <w:name w:val="PHE Figures/charts title"/>
    <w:basedOn w:val="Normal"/>
    <w:rsid w:val="00A23943"/>
    <w:pPr>
      <w:spacing w:after="0" w:line="280" w:lineRule="atLeast"/>
    </w:pPr>
    <w:rPr>
      <w:rFonts w:ascii="Arial" w:eastAsia="Times New Roman" w:hAnsi="Arial" w:cs="Times New Roman"/>
      <w:b/>
      <w:sz w:val="24"/>
      <w:szCs w:val="20"/>
    </w:rPr>
  </w:style>
  <w:style w:type="paragraph" w:customStyle="1" w:styleId="PHEBodycopy">
    <w:name w:val="PHE Body copy"/>
    <w:basedOn w:val="Normal"/>
    <w:link w:val="PHEBodycopyChar"/>
    <w:qFormat/>
    <w:rsid w:val="00A23943"/>
    <w:pPr>
      <w:spacing w:after="0" w:line="320" w:lineRule="exact"/>
      <w:ind w:right="794"/>
    </w:pPr>
    <w:rPr>
      <w:rFonts w:ascii="Arial" w:eastAsia="Times New Roman" w:hAnsi="Arial" w:cs="Times New Roman"/>
      <w:sz w:val="24"/>
      <w:szCs w:val="20"/>
      <w:lang w:eastAsia="en-GB"/>
    </w:rPr>
  </w:style>
  <w:style w:type="character" w:styleId="FollowedHyperlink">
    <w:name w:val="FollowedHyperlink"/>
    <w:rsid w:val="00A23943"/>
    <w:rPr>
      <w:color w:val="98002E"/>
      <w:u w:val="none"/>
    </w:rPr>
  </w:style>
  <w:style w:type="paragraph" w:customStyle="1" w:styleId="PHENumberedbodytext">
    <w:name w:val="PHE Numbered body text"/>
    <w:basedOn w:val="PHEBodycopy"/>
    <w:rsid w:val="00A23943"/>
    <w:pPr>
      <w:numPr>
        <w:ilvl w:val="1"/>
        <w:numId w:val="10"/>
      </w:numPr>
      <w:ind w:left="567" w:hanging="567"/>
    </w:pPr>
  </w:style>
  <w:style w:type="paragraph" w:customStyle="1" w:styleId="PHEBulletpoints">
    <w:name w:val="PHE Bullet points"/>
    <w:link w:val="PHEBulletpointsChar"/>
    <w:qFormat/>
    <w:rsid w:val="00A23943"/>
    <w:pPr>
      <w:numPr>
        <w:numId w:val="12"/>
      </w:numPr>
      <w:spacing w:after="0" w:line="320" w:lineRule="exact"/>
      <w:ind w:left="357" w:right="794" w:hanging="357"/>
    </w:pPr>
    <w:rPr>
      <w:rFonts w:ascii="Arial" w:eastAsia="Times New Roman" w:hAnsi="Arial" w:cs="Times New Roman"/>
      <w:sz w:val="24"/>
      <w:szCs w:val="24"/>
    </w:rPr>
  </w:style>
  <w:style w:type="character" w:customStyle="1" w:styleId="PHEBulletpointsChar">
    <w:name w:val="PHE Bullet points Char"/>
    <w:link w:val="PHEBulletpoints"/>
    <w:rsid w:val="00A23943"/>
    <w:rPr>
      <w:rFonts w:ascii="Arial" w:eastAsia="Times New Roman" w:hAnsi="Arial" w:cs="Times New Roman"/>
      <w:sz w:val="24"/>
      <w:szCs w:val="24"/>
    </w:rPr>
  </w:style>
  <w:style w:type="paragraph" w:customStyle="1" w:styleId="PHESecondaryHeadingOne">
    <w:name w:val="PHE Secondary Heading One"/>
    <w:basedOn w:val="Normal"/>
    <w:rsid w:val="00A23943"/>
    <w:pPr>
      <w:spacing w:after="320" w:line="360" w:lineRule="exact"/>
    </w:pPr>
    <w:rPr>
      <w:rFonts w:ascii="Arial" w:eastAsia="Times New Roman" w:hAnsi="Arial" w:cs="Times New Roman"/>
      <w:color w:val="98002E"/>
      <w:sz w:val="28"/>
      <w:szCs w:val="20"/>
    </w:rPr>
  </w:style>
  <w:style w:type="paragraph" w:customStyle="1" w:styleId="PHEChapterheading">
    <w:name w:val="PHE Chapter heading"/>
    <w:basedOn w:val="Normal"/>
    <w:rsid w:val="00A23943"/>
    <w:pPr>
      <w:spacing w:after="480" w:line="660" w:lineRule="exact"/>
      <w:ind w:right="794"/>
      <w:outlineLvl w:val="0"/>
    </w:pPr>
    <w:rPr>
      <w:rFonts w:ascii="Arial" w:eastAsia="Times New Roman" w:hAnsi="Arial" w:cs="Times New Roman"/>
      <w:color w:val="98002E"/>
      <w:sz w:val="48"/>
      <w:szCs w:val="48"/>
    </w:rPr>
  </w:style>
  <w:style w:type="paragraph" w:customStyle="1" w:styleId="PHEFootnote">
    <w:name w:val="PHE Footnote"/>
    <w:basedOn w:val="Normal"/>
    <w:rsid w:val="00A23943"/>
    <w:pPr>
      <w:spacing w:after="0" w:line="240" w:lineRule="exact"/>
    </w:pPr>
    <w:rPr>
      <w:rFonts w:ascii="Arial" w:eastAsia="Times New Roman" w:hAnsi="Arial" w:cs="Times New Roman"/>
      <w:color w:val="98002E"/>
      <w:sz w:val="18"/>
      <w:szCs w:val="20"/>
    </w:rPr>
  </w:style>
  <w:style w:type="character" w:customStyle="1" w:styleId="DocumentMapChar">
    <w:name w:val="Document Map Char"/>
    <w:basedOn w:val="DefaultParagraphFont"/>
    <w:link w:val="DocumentMap"/>
    <w:uiPriority w:val="99"/>
    <w:semiHidden/>
    <w:rsid w:val="00A23943"/>
    <w:rPr>
      <w:rFonts w:ascii="Tahoma" w:eastAsia="Times New Roman" w:hAnsi="Tahoma" w:cs="Times New Roman"/>
      <w:sz w:val="16"/>
      <w:szCs w:val="16"/>
      <w:lang w:val="x-none"/>
    </w:rPr>
  </w:style>
  <w:style w:type="paragraph" w:styleId="DocumentMap">
    <w:name w:val="Document Map"/>
    <w:basedOn w:val="Normal"/>
    <w:link w:val="DocumentMapChar"/>
    <w:uiPriority w:val="99"/>
    <w:semiHidden/>
    <w:unhideWhenUsed/>
    <w:rsid w:val="00A23943"/>
    <w:pPr>
      <w:spacing w:after="0" w:line="240" w:lineRule="auto"/>
    </w:pPr>
    <w:rPr>
      <w:rFonts w:ascii="Tahoma" w:eastAsia="Times New Roman" w:hAnsi="Tahoma" w:cs="Times New Roman"/>
      <w:sz w:val="16"/>
      <w:szCs w:val="16"/>
      <w:lang w:val="x-none"/>
    </w:rPr>
  </w:style>
  <w:style w:type="paragraph" w:customStyle="1" w:styleId="PHEMaintitleasrunningheader">
    <w:name w:val="PHE Main title as running header"/>
    <w:basedOn w:val="Normal"/>
    <w:rsid w:val="00A23943"/>
    <w:pPr>
      <w:spacing w:after="0" w:line="240" w:lineRule="exact"/>
    </w:pPr>
    <w:rPr>
      <w:rFonts w:ascii="Arial" w:eastAsia="Times New Roman" w:hAnsi="Arial" w:cs="Times New Roman"/>
      <w:color w:val="7F7F7F"/>
      <w:sz w:val="20"/>
      <w:szCs w:val="20"/>
    </w:rPr>
  </w:style>
  <w:style w:type="paragraph" w:styleId="Footer">
    <w:name w:val="footer"/>
    <w:basedOn w:val="Normal"/>
    <w:link w:val="FooterChar"/>
    <w:uiPriority w:val="99"/>
    <w:unhideWhenUsed/>
    <w:rsid w:val="00A23943"/>
    <w:pPr>
      <w:tabs>
        <w:tab w:val="center" w:pos="4513"/>
        <w:tab w:val="right" w:pos="9026"/>
      </w:tabs>
      <w:spacing w:after="0" w:line="240" w:lineRule="auto"/>
    </w:pPr>
    <w:rPr>
      <w:rFonts w:ascii="Arial" w:eastAsia="Times New Roman" w:hAnsi="Arial" w:cs="Arial"/>
      <w:sz w:val="24"/>
      <w:szCs w:val="20"/>
    </w:rPr>
  </w:style>
  <w:style w:type="character" w:customStyle="1" w:styleId="FooterChar">
    <w:name w:val="Footer Char"/>
    <w:basedOn w:val="DefaultParagraphFont"/>
    <w:link w:val="Footer"/>
    <w:uiPriority w:val="99"/>
    <w:rsid w:val="00A23943"/>
    <w:rPr>
      <w:rFonts w:ascii="Arial" w:eastAsia="Times New Roman" w:hAnsi="Arial" w:cs="Arial"/>
      <w:sz w:val="24"/>
      <w:szCs w:val="20"/>
    </w:rPr>
  </w:style>
  <w:style w:type="character" w:styleId="Hyperlink">
    <w:name w:val="Hyperlink"/>
    <w:uiPriority w:val="99"/>
    <w:rsid w:val="00A23943"/>
    <w:rPr>
      <w:color w:val="98002E"/>
      <w:u w:val="none"/>
    </w:rPr>
  </w:style>
  <w:style w:type="paragraph" w:styleId="TOC1">
    <w:name w:val="toc 1"/>
    <w:basedOn w:val="Normal"/>
    <w:next w:val="Normal"/>
    <w:link w:val="TOC1Char"/>
    <w:autoRedefine/>
    <w:uiPriority w:val="39"/>
    <w:rsid w:val="00A23943"/>
    <w:pPr>
      <w:tabs>
        <w:tab w:val="right" w:pos="9299"/>
      </w:tabs>
      <w:spacing w:after="120" w:line="320" w:lineRule="exact"/>
    </w:pPr>
    <w:rPr>
      <w:rFonts w:ascii="Arial" w:eastAsia="Times New Roman" w:hAnsi="Arial" w:cs="Times New Roman"/>
      <w:noProof/>
      <w:sz w:val="24"/>
      <w:szCs w:val="20"/>
      <w:lang w:val="x-none"/>
    </w:rPr>
  </w:style>
  <w:style w:type="character" w:customStyle="1" w:styleId="TOC1Char">
    <w:name w:val="TOC 1 Char"/>
    <w:link w:val="TOC1"/>
    <w:uiPriority w:val="39"/>
    <w:rsid w:val="00A23943"/>
    <w:rPr>
      <w:rFonts w:ascii="Arial" w:eastAsia="Times New Roman" w:hAnsi="Arial" w:cs="Times New Roman"/>
      <w:noProof/>
      <w:sz w:val="24"/>
      <w:szCs w:val="20"/>
      <w:lang w:val="x-none"/>
    </w:rPr>
  </w:style>
  <w:style w:type="paragraph" w:styleId="TOC2">
    <w:name w:val="toc 2"/>
    <w:basedOn w:val="Normal"/>
    <w:next w:val="Normal"/>
    <w:autoRedefine/>
    <w:uiPriority w:val="39"/>
    <w:rsid w:val="00A23943"/>
    <w:pPr>
      <w:spacing w:after="0" w:line="240" w:lineRule="auto"/>
      <w:ind w:left="240"/>
    </w:pPr>
    <w:rPr>
      <w:rFonts w:ascii="Arial" w:eastAsia="Times New Roman" w:hAnsi="Arial" w:cs="Arial"/>
      <w:sz w:val="24"/>
      <w:szCs w:val="20"/>
    </w:rPr>
  </w:style>
  <w:style w:type="paragraph" w:styleId="TOC3">
    <w:name w:val="toc 3"/>
    <w:basedOn w:val="Normal"/>
    <w:next w:val="Normal"/>
    <w:autoRedefine/>
    <w:uiPriority w:val="39"/>
    <w:rsid w:val="00A23943"/>
    <w:pPr>
      <w:spacing w:after="0" w:line="240" w:lineRule="auto"/>
      <w:ind w:left="480"/>
    </w:pPr>
    <w:rPr>
      <w:rFonts w:ascii="Arial" w:eastAsia="Times New Roman" w:hAnsi="Arial" w:cs="Arial"/>
      <w:sz w:val="24"/>
      <w:szCs w:val="20"/>
    </w:rPr>
  </w:style>
  <w:style w:type="character" w:customStyle="1" w:styleId="PHEFrontpagemaintitle">
    <w:name w:val="PHE Front page main title"/>
    <w:qFormat/>
    <w:rsid w:val="00A23943"/>
    <w:rPr>
      <w:b/>
      <w:bCs/>
      <w:color w:val="98002E"/>
      <w:sz w:val="52"/>
    </w:rPr>
  </w:style>
  <w:style w:type="character" w:customStyle="1" w:styleId="PHEFrontpagetitlesecondlevel">
    <w:name w:val="PHE Front page title second level"/>
    <w:rsid w:val="00A23943"/>
    <w:rPr>
      <w:rFonts w:ascii="Arial" w:hAnsi="Arial"/>
      <w:b w:val="0"/>
      <w:bCs/>
      <w:color w:val="98002E"/>
      <w:sz w:val="52"/>
    </w:rPr>
  </w:style>
  <w:style w:type="paragraph" w:customStyle="1" w:styleId="PHEFrontpagesubtitle">
    <w:name w:val="PHE Front page subtitle"/>
    <w:basedOn w:val="Normal"/>
    <w:rsid w:val="00A23943"/>
    <w:pPr>
      <w:tabs>
        <w:tab w:val="left" w:pos="0"/>
      </w:tabs>
      <w:spacing w:after="0" w:line="240" w:lineRule="auto"/>
      <w:ind w:right="566"/>
    </w:pPr>
    <w:rPr>
      <w:rFonts w:ascii="Arial" w:eastAsia="Times New Roman" w:hAnsi="Arial" w:cs="Times New Roman"/>
      <w:color w:val="000000"/>
      <w:sz w:val="24"/>
      <w:szCs w:val="20"/>
      <w:lang w:eastAsia="en-GB"/>
    </w:rPr>
  </w:style>
  <w:style w:type="paragraph" w:customStyle="1" w:styleId="PHESecondaryHeadingTwo">
    <w:name w:val="PHE Secondary Heading Two"/>
    <w:basedOn w:val="PHESecondaryHeadingOne"/>
    <w:qFormat/>
    <w:rsid w:val="00A23943"/>
    <w:pPr>
      <w:spacing w:after="360"/>
    </w:pPr>
    <w:rPr>
      <w:sz w:val="26"/>
    </w:rPr>
  </w:style>
  <w:style w:type="paragraph" w:customStyle="1" w:styleId="PHEContentslist">
    <w:name w:val="PHE Contents list"/>
    <w:basedOn w:val="TOC1"/>
    <w:link w:val="PHEContentslistChar"/>
    <w:qFormat/>
    <w:rsid w:val="00A23943"/>
    <w:pPr>
      <w:tabs>
        <w:tab w:val="right" w:leader="dot" w:pos="10082"/>
      </w:tabs>
    </w:pPr>
  </w:style>
  <w:style w:type="character" w:customStyle="1" w:styleId="PHEContentslistChar">
    <w:name w:val="PHE Contents list Char"/>
    <w:link w:val="PHEContentslist"/>
    <w:rsid w:val="00A23943"/>
    <w:rPr>
      <w:rFonts w:ascii="Arial" w:eastAsia="Times New Roman" w:hAnsi="Arial" w:cs="Times New Roman"/>
      <w:noProof/>
      <w:sz w:val="24"/>
      <w:szCs w:val="20"/>
      <w:lang w:val="x-none"/>
    </w:rPr>
  </w:style>
  <w:style w:type="character" w:customStyle="1" w:styleId="BalloonTextChar">
    <w:name w:val="Balloon Text Char"/>
    <w:basedOn w:val="DefaultParagraphFont"/>
    <w:link w:val="BalloonText"/>
    <w:uiPriority w:val="99"/>
    <w:semiHidden/>
    <w:rsid w:val="00A23943"/>
    <w:rPr>
      <w:rFonts w:ascii="Tahoma" w:eastAsia="Times New Roman" w:hAnsi="Tahoma" w:cs="Times New Roman"/>
      <w:sz w:val="16"/>
      <w:szCs w:val="16"/>
      <w:lang w:val="x-none"/>
    </w:rPr>
  </w:style>
  <w:style w:type="paragraph" w:styleId="BalloonText">
    <w:name w:val="Balloon Text"/>
    <w:basedOn w:val="Normal"/>
    <w:link w:val="BalloonTextChar"/>
    <w:uiPriority w:val="99"/>
    <w:semiHidden/>
    <w:unhideWhenUsed/>
    <w:rsid w:val="00A23943"/>
    <w:pPr>
      <w:spacing w:after="0" w:line="240" w:lineRule="auto"/>
    </w:pPr>
    <w:rPr>
      <w:rFonts w:ascii="Tahoma" w:eastAsia="Times New Roman" w:hAnsi="Tahoma" w:cs="Times New Roman"/>
      <w:sz w:val="16"/>
      <w:szCs w:val="16"/>
      <w:lang w:val="x-none"/>
    </w:rPr>
  </w:style>
  <w:style w:type="paragraph" w:customStyle="1" w:styleId="PHEBulletpointsfornumberedtext">
    <w:name w:val="PHE Bullet points for numbered text"/>
    <w:basedOn w:val="PHEBulletpoints"/>
    <w:link w:val="PHEBulletpointsfornumberedtextChar"/>
    <w:qFormat/>
    <w:rsid w:val="00A23943"/>
    <w:pPr>
      <w:tabs>
        <w:tab w:val="left" w:pos="851"/>
      </w:tabs>
      <w:ind w:left="851" w:hanging="284"/>
    </w:pPr>
  </w:style>
  <w:style w:type="character" w:customStyle="1" w:styleId="PHEBulletpointsfornumberedtextChar">
    <w:name w:val="PHE Bullet points for numbered text Char"/>
    <w:basedOn w:val="PHEBulletpointsChar"/>
    <w:link w:val="PHEBulletpointsfornumberedtext"/>
    <w:rsid w:val="00A23943"/>
    <w:rPr>
      <w:rFonts w:ascii="Arial" w:eastAsia="Times New Roman" w:hAnsi="Arial" w:cs="Times New Roman"/>
      <w:sz w:val="24"/>
      <w:szCs w:val="24"/>
    </w:rPr>
  </w:style>
  <w:style w:type="table" w:customStyle="1" w:styleId="MediumShading21">
    <w:name w:val="Medium Shading 21"/>
    <w:basedOn w:val="TableNormal"/>
    <w:uiPriority w:val="64"/>
    <w:rsid w:val="00A23943"/>
    <w:pPr>
      <w:spacing w:after="0" w:line="240" w:lineRule="auto"/>
    </w:pPr>
    <w:rPr>
      <w:rFonts w:eastAsiaTheme="minorEastAsia"/>
      <w:lang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ommentTextChar">
    <w:name w:val="Comment Text Char"/>
    <w:basedOn w:val="DefaultParagraphFont"/>
    <w:link w:val="CommentText"/>
    <w:uiPriority w:val="99"/>
    <w:semiHidden/>
    <w:rsid w:val="00A23943"/>
    <w:rPr>
      <w:rFonts w:ascii="Arial" w:eastAsia="Times New Roman" w:hAnsi="Arial" w:cs="Arial"/>
      <w:sz w:val="20"/>
      <w:szCs w:val="20"/>
    </w:rPr>
  </w:style>
  <w:style w:type="paragraph" w:styleId="CommentText">
    <w:name w:val="annotation text"/>
    <w:basedOn w:val="Normal"/>
    <w:link w:val="CommentTextChar"/>
    <w:uiPriority w:val="99"/>
    <w:semiHidden/>
    <w:unhideWhenUsed/>
    <w:rsid w:val="00A23943"/>
    <w:pPr>
      <w:spacing w:after="0" w:line="240" w:lineRule="auto"/>
    </w:pPr>
    <w:rPr>
      <w:rFonts w:ascii="Arial" w:eastAsia="Times New Roman" w:hAnsi="Arial" w:cs="Arial"/>
      <w:sz w:val="20"/>
      <w:szCs w:val="20"/>
    </w:rPr>
  </w:style>
  <w:style w:type="character" w:customStyle="1" w:styleId="CommentSubjectChar">
    <w:name w:val="Comment Subject Char"/>
    <w:basedOn w:val="CommentTextChar"/>
    <w:link w:val="CommentSubject"/>
    <w:uiPriority w:val="99"/>
    <w:semiHidden/>
    <w:rsid w:val="00A23943"/>
    <w:rPr>
      <w:rFonts w:ascii="Arial" w:eastAsia="Times New Roman" w:hAnsi="Arial" w:cs="Arial"/>
      <w:b/>
      <w:bCs/>
      <w:sz w:val="20"/>
      <w:szCs w:val="20"/>
    </w:rPr>
  </w:style>
  <w:style w:type="paragraph" w:styleId="CommentSubject">
    <w:name w:val="annotation subject"/>
    <w:basedOn w:val="CommentText"/>
    <w:next w:val="CommentText"/>
    <w:link w:val="CommentSubjectChar"/>
    <w:uiPriority w:val="99"/>
    <w:semiHidden/>
    <w:unhideWhenUsed/>
    <w:rsid w:val="00A23943"/>
    <w:rPr>
      <w:b/>
      <w:bCs/>
    </w:rPr>
  </w:style>
  <w:style w:type="paragraph" w:styleId="ListParagraph">
    <w:name w:val="List Paragraph"/>
    <w:aliases w:val="Numbered Normal"/>
    <w:basedOn w:val="Normal"/>
    <w:autoRedefine/>
    <w:uiPriority w:val="34"/>
    <w:qFormat/>
    <w:rsid w:val="00A23943"/>
    <w:pPr>
      <w:numPr>
        <w:numId w:val="13"/>
      </w:numPr>
      <w:autoSpaceDE w:val="0"/>
      <w:autoSpaceDN w:val="0"/>
      <w:adjustRightInd w:val="0"/>
      <w:spacing w:before="240" w:after="0"/>
      <w:contextualSpacing/>
    </w:pPr>
    <w:rPr>
      <w:rFonts w:eastAsiaTheme="minorEastAsia"/>
      <w:lang w:eastAsia="en-GB"/>
    </w:rPr>
  </w:style>
  <w:style w:type="paragraph" w:styleId="Caption">
    <w:name w:val="caption"/>
    <w:basedOn w:val="Normal"/>
    <w:next w:val="Normal"/>
    <w:unhideWhenUsed/>
    <w:qFormat/>
    <w:rsid w:val="00A23943"/>
    <w:pPr>
      <w:spacing w:before="200"/>
    </w:pPr>
    <w:rPr>
      <w:rFonts w:ascii="Calibri" w:eastAsiaTheme="minorEastAsia" w:hAnsi="Calibri"/>
      <w:b/>
      <w:bCs/>
      <w:color w:val="365F91" w:themeColor="accent1" w:themeShade="BF"/>
      <w:sz w:val="16"/>
      <w:szCs w:val="16"/>
      <w:lang w:eastAsia="en-GB" w:bidi="en-US"/>
    </w:rPr>
  </w:style>
  <w:style w:type="paragraph" w:styleId="NoSpacing">
    <w:name w:val="No Spacing"/>
    <w:uiPriority w:val="1"/>
    <w:qFormat/>
    <w:rsid w:val="001C2B9B"/>
    <w:pPr>
      <w:spacing w:after="0" w:line="240" w:lineRule="auto"/>
    </w:pPr>
  </w:style>
  <w:style w:type="table" w:styleId="TableGrid">
    <w:name w:val="Table Grid"/>
    <w:basedOn w:val="TableNormal"/>
    <w:uiPriority w:val="59"/>
    <w:rsid w:val="006031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HEBodycopyChar">
    <w:name w:val="PHE Body copy Char"/>
    <w:basedOn w:val="DefaultParagraphFont"/>
    <w:link w:val="PHEBodycopy"/>
    <w:rsid w:val="000A10BA"/>
    <w:rPr>
      <w:rFonts w:ascii="Arial" w:eastAsia="Times New Roman" w:hAnsi="Arial" w:cs="Times New Roman"/>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PMLD</c:v>
                </c:pt>
              </c:strCache>
            </c:strRef>
          </c:tx>
          <c:invertIfNegative val="0"/>
          <c:cat>
            <c:strRef>
              <c:f>Sheet1!$A$2:$A$7</c:f>
              <c:strCache>
                <c:ptCount val="6"/>
                <c:pt idx="0">
                  <c:v>2009/10</c:v>
                </c:pt>
                <c:pt idx="1">
                  <c:v>2010/11</c:v>
                </c:pt>
                <c:pt idx="2">
                  <c:v>2011/12</c:v>
                </c:pt>
                <c:pt idx="3">
                  <c:v>2012/13</c:v>
                </c:pt>
                <c:pt idx="4">
                  <c:v>2013/14</c:v>
                </c:pt>
                <c:pt idx="5">
                  <c:v>2014/15</c:v>
                </c:pt>
              </c:strCache>
            </c:strRef>
          </c:cat>
          <c:val>
            <c:numRef>
              <c:f>Sheet1!$B$2:$B$7</c:f>
              <c:numCache>
                <c:formatCode>General</c:formatCode>
                <c:ptCount val="6"/>
                <c:pt idx="0" formatCode="#,##0">
                  <c:v>8680</c:v>
                </c:pt>
                <c:pt idx="1">
                  <c:v>9100</c:v>
                </c:pt>
                <c:pt idx="2" formatCode="#,##0">
                  <c:v>9460</c:v>
                </c:pt>
                <c:pt idx="3" formatCode="#,##0">
                  <c:v>9715</c:v>
                </c:pt>
                <c:pt idx="4" formatCode="#,##0">
                  <c:v>9810</c:v>
                </c:pt>
                <c:pt idx="5">
                  <c:v>10010</c:v>
                </c:pt>
              </c:numCache>
            </c:numRef>
          </c:val>
        </c:ser>
        <c:ser>
          <c:idx val="1"/>
          <c:order val="1"/>
          <c:tx>
            <c:strRef>
              <c:f>Sheet1!$C$1</c:f>
              <c:strCache>
                <c:ptCount val="1"/>
                <c:pt idx="0">
                  <c:v>SLD</c:v>
                </c:pt>
              </c:strCache>
            </c:strRef>
          </c:tx>
          <c:invertIfNegative val="0"/>
          <c:cat>
            <c:strRef>
              <c:f>Sheet1!$A$2:$A$7</c:f>
              <c:strCache>
                <c:ptCount val="6"/>
                <c:pt idx="0">
                  <c:v>2009/10</c:v>
                </c:pt>
                <c:pt idx="1">
                  <c:v>2010/11</c:v>
                </c:pt>
                <c:pt idx="2">
                  <c:v>2011/12</c:v>
                </c:pt>
                <c:pt idx="3">
                  <c:v>2012/13</c:v>
                </c:pt>
                <c:pt idx="4">
                  <c:v>2013/14</c:v>
                </c:pt>
                <c:pt idx="5">
                  <c:v>2014/15</c:v>
                </c:pt>
              </c:strCache>
            </c:strRef>
          </c:cat>
          <c:val>
            <c:numRef>
              <c:f>Sheet1!$C$2:$C$7</c:f>
              <c:numCache>
                <c:formatCode>#,##0</c:formatCode>
                <c:ptCount val="6"/>
                <c:pt idx="0">
                  <c:v>25230</c:v>
                </c:pt>
                <c:pt idx="1">
                  <c:v>26045</c:v>
                </c:pt>
                <c:pt idx="2">
                  <c:v>26880</c:v>
                </c:pt>
                <c:pt idx="3">
                  <c:v>27540</c:v>
                </c:pt>
                <c:pt idx="4">
                  <c:v>28330</c:v>
                </c:pt>
                <c:pt idx="5" formatCode="General">
                  <c:v>28940</c:v>
                </c:pt>
              </c:numCache>
            </c:numRef>
          </c:val>
        </c:ser>
        <c:ser>
          <c:idx val="2"/>
          <c:order val="2"/>
          <c:tx>
            <c:strRef>
              <c:f>Sheet1!$D$1</c:f>
              <c:strCache>
                <c:ptCount val="1"/>
                <c:pt idx="0">
                  <c:v>MLD</c:v>
                </c:pt>
              </c:strCache>
            </c:strRef>
          </c:tx>
          <c:invertIfNegative val="0"/>
          <c:cat>
            <c:strRef>
              <c:f>Sheet1!$A$2:$A$7</c:f>
              <c:strCache>
                <c:ptCount val="6"/>
                <c:pt idx="0">
                  <c:v>2009/10</c:v>
                </c:pt>
                <c:pt idx="1">
                  <c:v>2010/11</c:v>
                </c:pt>
                <c:pt idx="2">
                  <c:v>2011/12</c:v>
                </c:pt>
                <c:pt idx="3">
                  <c:v>2012/13</c:v>
                </c:pt>
                <c:pt idx="4">
                  <c:v>2013/14</c:v>
                </c:pt>
                <c:pt idx="5">
                  <c:v>2014/15</c:v>
                </c:pt>
              </c:strCache>
            </c:strRef>
          </c:cat>
          <c:val>
            <c:numRef>
              <c:f>Sheet1!$D$2:$D$7</c:f>
              <c:numCache>
                <c:formatCode>#,##0</c:formatCode>
                <c:ptCount val="6"/>
                <c:pt idx="0">
                  <c:v>41030</c:v>
                </c:pt>
                <c:pt idx="1">
                  <c:v>36645</c:v>
                </c:pt>
                <c:pt idx="2">
                  <c:v>34715</c:v>
                </c:pt>
                <c:pt idx="3">
                  <c:v>33455</c:v>
                </c:pt>
                <c:pt idx="4">
                  <c:v>32410</c:v>
                </c:pt>
                <c:pt idx="5" formatCode="General">
                  <c:v>31155</c:v>
                </c:pt>
              </c:numCache>
            </c:numRef>
          </c:val>
        </c:ser>
        <c:dLbls>
          <c:showLegendKey val="0"/>
          <c:showVal val="0"/>
          <c:showCatName val="0"/>
          <c:showSerName val="0"/>
          <c:showPercent val="0"/>
          <c:showBubbleSize val="0"/>
        </c:dLbls>
        <c:gapWidth val="150"/>
        <c:axId val="159900032"/>
        <c:axId val="159901568"/>
      </c:barChart>
      <c:catAx>
        <c:axId val="159900032"/>
        <c:scaling>
          <c:orientation val="minMax"/>
        </c:scaling>
        <c:delete val="0"/>
        <c:axPos val="b"/>
        <c:majorTickMark val="out"/>
        <c:minorTickMark val="none"/>
        <c:tickLblPos val="nextTo"/>
        <c:crossAx val="159901568"/>
        <c:crosses val="autoZero"/>
        <c:auto val="1"/>
        <c:lblAlgn val="ctr"/>
        <c:lblOffset val="100"/>
        <c:noMultiLvlLbl val="0"/>
      </c:catAx>
      <c:valAx>
        <c:axId val="159901568"/>
        <c:scaling>
          <c:orientation val="minMax"/>
        </c:scaling>
        <c:delete val="0"/>
        <c:axPos val="l"/>
        <c:majorGridlines/>
        <c:numFmt formatCode="#,##0" sourceLinked="1"/>
        <c:majorTickMark val="out"/>
        <c:minorTickMark val="none"/>
        <c:tickLblPos val="nextTo"/>
        <c:crossAx val="159900032"/>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PMLD</c:v>
                </c:pt>
              </c:strCache>
            </c:strRef>
          </c:tx>
          <c:invertIfNegative val="0"/>
          <c:cat>
            <c:strRef>
              <c:f>Sheet1!$A$2:$A$6</c:f>
              <c:strCache>
                <c:ptCount val="5"/>
                <c:pt idx="0">
                  <c:v>2009/10</c:v>
                </c:pt>
                <c:pt idx="1">
                  <c:v>2010/11</c:v>
                </c:pt>
                <c:pt idx="2">
                  <c:v>2011/12</c:v>
                </c:pt>
                <c:pt idx="3">
                  <c:v>2012/13</c:v>
                </c:pt>
                <c:pt idx="4">
                  <c:v>2013/14</c:v>
                </c:pt>
              </c:strCache>
            </c:strRef>
          </c:cat>
          <c:val>
            <c:numRef>
              <c:f>Sheet1!$B$2:$B$6</c:f>
              <c:numCache>
                <c:formatCode>General</c:formatCode>
                <c:ptCount val="5"/>
                <c:pt idx="0" formatCode="#,##0">
                  <c:v>720</c:v>
                </c:pt>
                <c:pt idx="1">
                  <c:v>795</c:v>
                </c:pt>
                <c:pt idx="2" formatCode="#,##0">
                  <c:v>795</c:v>
                </c:pt>
                <c:pt idx="3" formatCode="#,##0">
                  <c:v>805</c:v>
                </c:pt>
                <c:pt idx="4" formatCode="#,##0">
                  <c:v>775</c:v>
                </c:pt>
              </c:numCache>
            </c:numRef>
          </c:val>
        </c:ser>
        <c:ser>
          <c:idx val="1"/>
          <c:order val="1"/>
          <c:tx>
            <c:strRef>
              <c:f>Sheet1!$C$1</c:f>
              <c:strCache>
                <c:ptCount val="1"/>
                <c:pt idx="0">
                  <c:v>SLD</c:v>
                </c:pt>
              </c:strCache>
            </c:strRef>
          </c:tx>
          <c:invertIfNegative val="0"/>
          <c:cat>
            <c:strRef>
              <c:f>Sheet1!$A$2:$A$6</c:f>
              <c:strCache>
                <c:ptCount val="5"/>
                <c:pt idx="0">
                  <c:v>2009/10</c:v>
                </c:pt>
                <c:pt idx="1">
                  <c:v>2010/11</c:v>
                </c:pt>
                <c:pt idx="2">
                  <c:v>2011/12</c:v>
                </c:pt>
                <c:pt idx="3">
                  <c:v>2012/13</c:v>
                </c:pt>
                <c:pt idx="4">
                  <c:v>2013/14</c:v>
                </c:pt>
              </c:strCache>
            </c:strRef>
          </c:cat>
          <c:val>
            <c:numRef>
              <c:f>Sheet1!$C$2:$C$6</c:f>
              <c:numCache>
                <c:formatCode>#,##0</c:formatCode>
                <c:ptCount val="5"/>
                <c:pt idx="0">
                  <c:v>3620</c:v>
                </c:pt>
                <c:pt idx="1">
                  <c:v>3225</c:v>
                </c:pt>
                <c:pt idx="2">
                  <c:v>3055</c:v>
                </c:pt>
                <c:pt idx="3">
                  <c:v>2900</c:v>
                </c:pt>
                <c:pt idx="4">
                  <c:v>2715</c:v>
                </c:pt>
              </c:numCache>
            </c:numRef>
          </c:val>
        </c:ser>
        <c:ser>
          <c:idx val="2"/>
          <c:order val="2"/>
          <c:tx>
            <c:strRef>
              <c:f>Sheet1!$D$1</c:f>
              <c:strCache>
                <c:ptCount val="1"/>
                <c:pt idx="0">
                  <c:v>MLD</c:v>
                </c:pt>
              </c:strCache>
            </c:strRef>
          </c:tx>
          <c:invertIfNegative val="0"/>
          <c:cat>
            <c:strRef>
              <c:f>Sheet1!$A$2:$A$6</c:f>
              <c:strCache>
                <c:ptCount val="5"/>
                <c:pt idx="0">
                  <c:v>2009/10</c:v>
                </c:pt>
                <c:pt idx="1">
                  <c:v>2010/11</c:v>
                </c:pt>
                <c:pt idx="2">
                  <c:v>2011/12</c:v>
                </c:pt>
                <c:pt idx="3">
                  <c:v>2012/13</c:v>
                </c:pt>
                <c:pt idx="4">
                  <c:v>2013/14</c:v>
                </c:pt>
              </c:strCache>
            </c:strRef>
          </c:cat>
          <c:val>
            <c:numRef>
              <c:f>Sheet1!$D$2:$D$6</c:f>
              <c:numCache>
                <c:formatCode>#,##0</c:formatCode>
                <c:ptCount val="5"/>
                <c:pt idx="0">
                  <c:v>130620</c:v>
                </c:pt>
                <c:pt idx="1">
                  <c:v>124105</c:v>
                </c:pt>
                <c:pt idx="2">
                  <c:v>114805</c:v>
                </c:pt>
                <c:pt idx="3">
                  <c:v>104900</c:v>
                </c:pt>
                <c:pt idx="4">
                  <c:v>97420</c:v>
                </c:pt>
              </c:numCache>
            </c:numRef>
          </c:val>
        </c:ser>
        <c:dLbls>
          <c:showLegendKey val="0"/>
          <c:showVal val="0"/>
          <c:showCatName val="0"/>
          <c:showSerName val="0"/>
          <c:showPercent val="0"/>
          <c:showBubbleSize val="0"/>
        </c:dLbls>
        <c:gapWidth val="150"/>
        <c:axId val="159013888"/>
        <c:axId val="159023872"/>
      </c:barChart>
      <c:catAx>
        <c:axId val="159013888"/>
        <c:scaling>
          <c:orientation val="minMax"/>
        </c:scaling>
        <c:delete val="0"/>
        <c:axPos val="b"/>
        <c:majorTickMark val="out"/>
        <c:minorTickMark val="none"/>
        <c:tickLblPos val="nextTo"/>
        <c:crossAx val="159023872"/>
        <c:crosses val="autoZero"/>
        <c:auto val="1"/>
        <c:lblAlgn val="ctr"/>
        <c:lblOffset val="100"/>
        <c:noMultiLvlLbl val="0"/>
      </c:catAx>
      <c:valAx>
        <c:axId val="159023872"/>
        <c:scaling>
          <c:orientation val="minMax"/>
        </c:scaling>
        <c:delete val="0"/>
        <c:axPos val="l"/>
        <c:majorGridlines/>
        <c:numFmt formatCode="#,##0" sourceLinked="1"/>
        <c:majorTickMark val="out"/>
        <c:minorTickMark val="none"/>
        <c:tickLblPos val="nextTo"/>
        <c:crossAx val="159013888"/>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800D08-E1F1-4860-973E-381E9ACCB4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10</Pages>
  <Words>2336</Words>
  <Characters>13316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15621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Baines, Susannah</dc:creator>
  <cp:lastModifiedBy>Hatton, Christopher</cp:lastModifiedBy>
  <cp:revision>5</cp:revision>
  <cp:lastPrinted>2015-01-12T12:45:00Z</cp:lastPrinted>
  <dcterms:created xsi:type="dcterms:W3CDTF">2016-01-12T09:27:00Z</dcterms:created>
  <dcterms:modified xsi:type="dcterms:W3CDTF">2016-01-12T10:13:00Z</dcterms:modified>
</cp:coreProperties>
</file>