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1238FC" w14:textId="77777777" w:rsidR="0007210E" w:rsidRDefault="000C6827" w:rsidP="0007210E">
      <w:pPr>
        <w:spacing w:after="0" w:line="240" w:lineRule="auto"/>
        <w:jc w:val="center"/>
        <w:rPr>
          <w:rFonts w:ascii="Arial" w:hAnsi="Arial" w:cs="Arial"/>
          <w:b/>
          <w:sz w:val="24"/>
          <w:szCs w:val="24"/>
        </w:rPr>
      </w:pPr>
      <w:r>
        <w:rPr>
          <w:rFonts w:ascii="Arial" w:hAnsi="Arial" w:cs="Arial"/>
          <w:b/>
          <w:sz w:val="28"/>
          <w:szCs w:val="28"/>
        </w:rPr>
        <w:t>2-D Particle-in-Cell Simulations of High Efficiency Klystrons</w:t>
      </w:r>
      <w:r w:rsidR="0007210E" w:rsidRPr="0007210E">
        <w:rPr>
          <w:rFonts w:ascii="Arial" w:hAnsi="Arial" w:cs="Arial"/>
          <w:b/>
          <w:sz w:val="24"/>
          <w:szCs w:val="24"/>
        </w:rPr>
        <w:t xml:space="preserve"> </w:t>
      </w:r>
    </w:p>
    <w:p w14:paraId="7420F7C8" w14:textId="77777777" w:rsidR="0007210E" w:rsidRDefault="0007210E" w:rsidP="0007210E">
      <w:pPr>
        <w:spacing w:after="0" w:line="240" w:lineRule="auto"/>
        <w:jc w:val="center"/>
        <w:rPr>
          <w:rFonts w:ascii="Arial" w:hAnsi="Arial" w:cs="Arial"/>
          <w:b/>
          <w:sz w:val="24"/>
          <w:szCs w:val="24"/>
        </w:rPr>
      </w:pPr>
    </w:p>
    <w:p w14:paraId="2FCEA480" w14:textId="77777777" w:rsidR="0007210E" w:rsidRDefault="0007210E" w:rsidP="0007210E">
      <w:pPr>
        <w:spacing w:after="0" w:line="240" w:lineRule="auto"/>
        <w:jc w:val="center"/>
        <w:rPr>
          <w:rFonts w:ascii="Arial" w:hAnsi="Arial" w:cs="Arial"/>
          <w:b/>
          <w:sz w:val="24"/>
          <w:szCs w:val="24"/>
        </w:rPr>
      </w:pPr>
      <w:r>
        <w:rPr>
          <w:rFonts w:ascii="Arial" w:hAnsi="Arial" w:cs="Arial"/>
          <w:b/>
          <w:sz w:val="24"/>
          <w:szCs w:val="24"/>
        </w:rPr>
        <w:t>David A. Constable, Chris Lingwood &amp; Graeme Burt</w:t>
      </w:r>
    </w:p>
    <w:p w14:paraId="25898B42" w14:textId="77777777" w:rsidR="0007210E" w:rsidRDefault="0007210E" w:rsidP="0007210E">
      <w:pPr>
        <w:spacing w:after="0" w:line="240" w:lineRule="auto"/>
        <w:jc w:val="center"/>
        <w:rPr>
          <w:rFonts w:ascii="Arial" w:hAnsi="Arial" w:cs="Arial"/>
          <w:sz w:val="20"/>
          <w:szCs w:val="20"/>
        </w:rPr>
      </w:pPr>
      <w:r>
        <w:rPr>
          <w:rFonts w:ascii="Arial" w:hAnsi="Arial" w:cs="Arial"/>
          <w:sz w:val="20"/>
          <w:szCs w:val="20"/>
        </w:rPr>
        <w:t>Engineering Department</w:t>
      </w:r>
    </w:p>
    <w:p w14:paraId="28B024C4" w14:textId="77777777" w:rsidR="0007210E" w:rsidRDefault="0007210E" w:rsidP="0007210E">
      <w:pPr>
        <w:spacing w:after="0" w:line="240" w:lineRule="auto"/>
        <w:jc w:val="center"/>
        <w:rPr>
          <w:rFonts w:ascii="Arial" w:hAnsi="Arial" w:cs="Arial"/>
          <w:sz w:val="20"/>
          <w:szCs w:val="20"/>
        </w:rPr>
      </w:pPr>
      <w:r>
        <w:rPr>
          <w:rFonts w:ascii="Arial" w:hAnsi="Arial" w:cs="Arial"/>
          <w:sz w:val="20"/>
          <w:szCs w:val="20"/>
        </w:rPr>
        <w:t>Lancaster University</w:t>
      </w:r>
    </w:p>
    <w:p w14:paraId="087F391D" w14:textId="77777777" w:rsidR="0007210E" w:rsidRDefault="0007210E" w:rsidP="0007210E">
      <w:pPr>
        <w:spacing w:after="0" w:line="240" w:lineRule="auto"/>
        <w:jc w:val="center"/>
        <w:rPr>
          <w:rFonts w:ascii="Arial" w:hAnsi="Arial" w:cs="Arial"/>
          <w:sz w:val="20"/>
          <w:szCs w:val="20"/>
        </w:rPr>
      </w:pPr>
      <w:bookmarkStart w:id="0" w:name="_GoBack"/>
      <w:bookmarkEnd w:id="0"/>
      <w:r>
        <w:rPr>
          <w:rFonts w:ascii="Arial" w:hAnsi="Arial" w:cs="Arial"/>
          <w:sz w:val="20"/>
          <w:szCs w:val="20"/>
        </w:rPr>
        <w:t>Lancaster, United Kingdom, LA2 0RH</w:t>
      </w:r>
    </w:p>
    <w:p w14:paraId="0B7953DA" w14:textId="77777777" w:rsidR="00AB0264" w:rsidRPr="00E1682A" w:rsidRDefault="00AB0264" w:rsidP="0007210E">
      <w:pPr>
        <w:spacing w:after="0" w:line="240" w:lineRule="auto"/>
        <w:jc w:val="center"/>
        <w:rPr>
          <w:rFonts w:ascii="Arial" w:hAnsi="Arial" w:cs="Arial"/>
          <w:sz w:val="12"/>
          <w:szCs w:val="12"/>
        </w:rPr>
      </w:pPr>
    </w:p>
    <w:p w14:paraId="36056157" w14:textId="77777777" w:rsidR="00AB0264" w:rsidRPr="00E1682A" w:rsidRDefault="00AB0264" w:rsidP="00AB0264">
      <w:pPr>
        <w:spacing w:after="0" w:line="240" w:lineRule="auto"/>
        <w:jc w:val="center"/>
        <w:rPr>
          <w:rFonts w:ascii="Arial" w:hAnsi="Arial" w:cs="Arial"/>
          <w:b/>
          <w:sz w:val="12"/>
          <w:szCs w:val="12"/>
        </w:rPr>
        <w:sectPr w:rsidR="00AB0264" w:rsidRPr="00E1682A">
          <w:footerReference w:type="default" r:id="rId8"/>
          <w:pgSz w:w="12240" w:h="15840"/>
          <w:pgMar w:top="1080" w:right="1080" w:bottom="1440" w:left="1080" w:header="0" w:footer="0" w:gutter="0"/>
          <w:cols w:space="720"/>
          <w:formProt w:val="0"/>
          <w:docGrid w:linePitch="360" w:charSpace="-2049"/>
        </w:sectPr>
      </w:pPr>
    </w:p>
    <w:p w14:paraId="11C07142" w14:textId="489277A9" w:rsidR="00AB0264" w:rsidRDefault="00AB0264" w:rsidP="00AB0264">
      <w:pPr>
        <w:spacing w:after="0" w:line="240" w:lineRule="auto"/>
        <w:jc w:val="center"/>
        <w:rPr>
          <w:rFonts w:ascii="Arial" w:hAnsi="Arial" w:cs="Arial"/>
          <w:b/>
          <w:sz w:val="24"/>
          <w:szCs w:val="24"/>
        </w:rPr>
      </w:pPr>
      <w:r>
        <w:rPr>
          <w:rFonts w:ascii="Arial" w:hAnsi="Arial" w:cs="Arial"/>
          <w:b/>
          <w:sz w:val="24"/>
          <w:szCs w:val="24"/>
        </w:rPr>
        <w:lastRenderedPageBreak/>
        <w:t xml:space="preserve">Igor </w:t>
      </w:r>
      <w:proofErr w:type="spellStart"/>
      <w:r>
        <w:rPr>
          <w:rFonts w:ascii="Arial" w:hAnsi="Arial" w:cs="Arial"/>
          <w:b/>
          <w:sz w:val="24"/>
          <w:szCs w:val="24"/>
        </w:rPr>
        <w:t>Syratchev</w:t>
      </w:r>
      <w:proofErr w:type="spellEnd"/>
    </w:p>
    <w:p w14:paraId="1EC5BC48" w14:textId="77777777" w:rsidR="00AB0264" w:rsidRDefault="00AB0264" w:rsidP="00AB0264">
      <w:pPr>
        <w:spacing w:after="0" w:line="240" w:lineRule="auto"/>
        <w:jc w:val="center"/>
        <w:rPr>
          <w:rFonts w:ascii="Arial" w:hAnsi="Arial" w:cs="Arial"/>
          <w:sz w:val="20"/>
          <w:szCs w:val="20"/>
        </w:rPr>
      </w:pPr>
      <w:r>
        <w:rPr>
          <w:rFonts w:ascii="Arial" w:hAnsi="Arial" w:cs="Arial"/>
          <w:sz w:val="20"/>
          <w:szCs w:val="20"/>
        </w:rPr>
        <w:t>CERN</w:t>
      </w:r>
    </w:p>
    <w:p w14:paraId="22D4DEB0" w14:textId="77777777" w:rsidR="00AB0264" w:rsidRDefault="00AB0264" w:rsidP="00AB0264">
      <w:pPr>
        <w:spacing w:after="0" w:line="240" w:lineRule="auto"/>
        <w:jc w:val="center"/>
        <w:rPr>
          <w:rFonts w:ascii="Arial" w:hAnsi="Arial" w:cs="Arial"/>
          <w:sz w:val="20"/>
          <w:szCs w:val="20"/>
        </w:rPr>
      </w:pPr>
      <w:r>
        <w:rPr>
          <w:rFonts w:ascii="Arial" w:hAnsi="Arial" w:cs="Arial"/>
          <w:sz w:val="20"/>
          <w:szCs w:val="20"/>
        </w:rPr>
        <w:t>Geneva, CH-1211, Switzerland</w:t>
      </w:r>
    </w:p>
    <w:p w14:paraId="5B6FD92E" w14:textId="77777777" w:rsidR="00AB0264" w:rsidRPr="00B31248" w:rsidRDefault="00AB0264" w:rsidP="00AB0264">
      <w:pPr>
        <w:spacing w:after="0" w:line="240" w:lineRule="auto"/>
        <w:rPr>
          <w:rFonts w:ascii="Arial" w:hAnsi="Arial" w:cs="Arial"/>
          <w:sz w:val="12"/>
          <w:szCs w:val="12"/>
        </w:rPr>
      </w:pPr>
    </w:p>
    <w:p w14:paraId="04D69503" w14:textId="77777777" w:rsidR="0019031F" w:rsidRDefault="0019031F" w:rsidP="0019031F">
      <w:pPr>
        <w:spacing w:after="0" w:line="240" w:lineRule="auto"/>
        <w:jc w:val="center"/>
        <w:rPr>
          <w:rFonts w:ascii="Arial" w:hAnsi="Arial" w:cs="Arial"/>
          <w:b/>
          <w:sz w:val="24"/>
          <w:szCs w:val="24"/>
        </w:rPr>
      </w:pPr>
      <w:proofErr w:type="spellStart"/>
      <w:r>
        <w:rPr>
          <w:rFonts w:ascii="Arial" w:hAnsi="Arial" w:cs="Arial"/>
          <w:b/>
          <w:sz w:val="24"/>
          <w:szCs w:val="24"/>
        </w:rPr>
        <w:t>Rodolphe</w:t>
      </w:r>
      <w:proofErr w:type="spellEnd"/>
      <w:r>
        <w:rPr>
          <w:rFonts w:ascii="Arial" w:hAnsi="Arial" w:cs="Arial"/>
          <w:b/>
          <w:sz w:val="24"/>
          <w:szCs w:val="24"/>
        </w:rPr>
        <w:t xml:space="preserve"> </w:t>
      </w:r>
      <w:proofErr w:type="spellStart"/>
      <w:r>
        <w:rPr>
          <w:rFonts w:ascii="Arial" w:hAnsi="Arial" w:cs="Arial"/>
          <w:b/>
          <w:sz w:val="24"/>
          <w:szCs w:val="24"/>
        </w:rPr>
        <w:t>Marchesin</w:t>
      </w:r>
      <w:proofErr w:type="spellEnd"/>
    </w:p>
    <w:p w14:paraId="371F3D9A" w14:textId="77777777" w:rsidR="0019031F" w:rsidRPr="00F23A3F" w:rsidRDefault="0019031F" w:rsidP="0019031F">
      <w:pPr>
        <w:spacing w:after="0" w:line="240" w:lineRule="auto"/>
        <w:jc w:val="center"/>
        <w:rPr>
          <w:rFonts w:ascii="Arial" w:hAnsi="Arial" w:cs="Arial"/>
          <w:sz w:val="20"/>
          <w:szCs w:val="20"/>
          <w:lang w:val="fr-FR"/>
        </w:rPr>
      </w:pPr>
      <w:r w:rsidRPr="00F23A3F">
        <w:rPr>
          <w:rFonts w:ascii="Arial" w:hAnsi="Arial" w:cs="Arial"/>
          <w:sz w:val="20"/>
          <w:szCs w:val="20"/>
          <w:lang w:val="fr-FR"/>
        </w:rPr>
        <w:t xml:space="preserve">Thales </w:t>
      </w:r>
      <w:r w:rsidRPr="00F23A3F">
        <w:rPr>
          <w:rFonts w:ascii="Arial" w:hAnsi="Arial" w:cs="Arial"/>
          <w:bCs/>
          <w:sz w:val="20"/>
          <w:szCs w:val="20"/>
          <w:lang w:val="fr-FR"/>
        </w:rPr>
        <w:t xml:space="preserve">Electron </w:t>
      </w:r>
      <w:proofErr w:type="spellStart"/>
      <w:r w:rsidRPr="00F23A3F">
        <w:rPr>
          <w:rFonts w:ascii="Arial" w:hAnsi="Arial" w:cs="Arial"/>
          <w:bCs/>
          <w:sz w:val="20"/>
          <w:szCs w:val="20"/>
          <w:lang w:val="fr-FR"/>
        </w:rPr>
        <w:t>Devices</w:t>
      </w:r>
      <w:proofErr w:type="spellEnd"/>
    </w:p>
    <w:p w14:paraId="448B088C" w14:textId="77777777" w:rsidR="0019031F" w:rsidRPr="00F23A3F" w:rsidRDefault="0019031F" w:rsidP="0019031F">
      <w:pPr>
        <w:spacing w:after="0" w:line="240" w:lineRule="auto"/>
        <w:jc w:val="center"/>
        <w:rPr>
          <w:rFonts w:ascii="Arial" w:hAnsi="Arial" w:cs="Arial"/>
          <w:sz w:val="20"/>
          <w:szCs w:val="20"/>
          <w:lang w:val="fr-FR"/>
        </w:rPr>
      </w:pPr>
      <w:proofErr w:type="spellStart"/>
      <w:r w:rsidRPr="00F23A3F">
        <w:rPr>
          <w:rFonts w:ascii="Arial" w:hAnsi="Arial" w:cs="Arial"/>
          <w:sz w:val="20"/>
          <w:szCs w:val="20"/>
          <w:lang w:val="fr-FR"/>
        </w:rPr>
        <w:t>Velizy-Villacoublay</w:t>
      </w:r>
      <w:proofErr w:type="spellEnd"/>
      <w:r w:rsidRPr="00F23A3F">
        <w:rPr>
          <w:rFonts w:ascii="Arial" w:hAnsi="Arial" w:cs="Arial"/>
          <w:sz w:val="20"/>
          <w:szCs w:val="20"/>
          <w:lang w:val="fr-FR"/>
        </w:rPr>
        <w:t>, 78141 France</w:t>
      </w:r>
    </w:p>
    <w:p w14:paraId="207589E8" w14:textId="77777777" w:rsidR="00E1682A" w:rsidRPr="00E1682A" w:rsidRDefault="00E1682A" w:rsidP="00AB0264">
      <w:pPr>
        <w:spacing w:after="0" w:line="240" w:lineRule="auto"/>
        <w:jc w:val="center"/>
        <w:rPr>
          <w:rFonts w:ascii="Arial" w:hAnsi="Arial" w:cs="Arial"/>
          <w:sz w:val="12"/>
          <w:szCs w:val="12"/>
        </w:rPr>
      </w:pPr>
    </w:p>
    <w:p w14:paraId="3A1A4465" w14:textId="77777777" w:rsidR="00AB0264" w:rsidRDefault="00AB0264" w:rsidP="00AB0264">
      <w:pPr>
        <w:spacing w:after="0" w:line="240" w:lineRule="auto"/>
        <w:jc w:val="center"/>
        <w:rPr>
          <w:rFonts w:ascii="Arial" w:hAnsi="Arial" w:cs="Arial"/>
          <w:b/>
          <w:sz w:val="24"/>
          <w:szCs w:val="24"/>
        </w:rPr>
      </w:pPr>
      <w:r>
        <w:rPr>
          <w:rFonts w:ascii="Arial" w:hAnsi="Arial" w:cs="Arial"/>
          <w:b/>
          <w:sz w:val="24"/>
          <w:szCs w:val="24"/>
        </w:rPr>
        <w:lastRenderedPageBreak/>
        <w:t xml:space="preserve">Andrey Yu. </w:t>
      </w:r>
      <w:proofErr w:type="spellStart"/>
      <w:r>
        <w:rPr>
          <w:rFonts w:ascii="Arial" w:hAnsi="Arial" w:cs="Arial"/>
          <w:b/>
          <w:sz w:val="24"/>
          <w:szCs w:val="24"/>
        </w:rPr>
        <w:t>Baikov</w:t>
      </w:r>
      <w:proofErr w:type="spellEnd"/>
    </w:p>
    <w:p w14:paraId="1CBEB4A7" w14:textId="77777777" w:rsidR="00AB0264" w:rsidRDefault="00AB0264" w:rsidP="00AB0264">
      <w:pPr>
        <w:spacing w:after="0" w:line="240" w:lineRule="auto"/>
        <w:jc w:val="center"/>
        <w:rPr>
          <w:rFonts w:ascii="Arial" w:hAnsi="Arial" w:cs="Arial"/>
          <w:sz w:val="20"/>
          <w:szCs w:val="20"/>
        </w:rPr>
      </w:pPr>
      <w:r>
        <w:rPr>
          <w:rFonts w:ascii="Arial" w:hAnsi="Arial" w:cs="Arial"/>
          <w:sz w:val="20"/>
          <w:szCs w:val="20"/>
        </w:rPr>
        <w:t>Moscow University of Finance and Law</w:t>
      </w:r>
    </w:p>
    <w:p w14:paraId="5B253BF7" w14:textId="77777777" w:rsidR="00AB0264" w:rsidRDefault="00AB0264" w:rsidP="00AB0264">
      <w:pPr>
        <w:spacing w:after="0" w:line="240" w:lineRule="auto"/>
        <w:jc w:val="center"/>
        <w:rPr>
          <w:rFonts w:ascii="Arial" w:hAnsi="Arial" w:cs="Arial"/>
          <w:sz w:val="20"/>
          <w:szCs w:val="20"/>
        </w:rPr>
      </w:pPr>
      <w:r>
        <w:rPr>
          <w:rFonts w:ascii="Arial" w:hAnsi="Arial" w:cs="Arial"/>
          <w:sz w:val="20"/>
          <w:szCs w:val="20"/>
        </w:rPr>
        <w:t>Moscow, 113447, Russia</w:t>
      </w:r>
    </w:p>
    <w:p w14:paraId="3E7A4FA4" w14:textId="77777777" w:rsidR="00AB0264" w:rsidRPr="006E5133" w:rsidRDefault="00AB0264" w:rsidP="00AB0264">
      <w:pPr>
        <w:spacing w:after="0" w:line="240" w:lineRule="auto"/>
        <w:jc w:val="center"/>
        <w:rPr>
          <w:rFonts w:ascii="Arial" w:hAnsi="Arial" w:cs="Arial"/>
          <w:b/>
          <w:sz w:val="12"/>
          <w:szCs w:val="12"/>
        </w:rPr>
      </w:pPr>
    </w:p>
    <w:p w14:paraId="754E2968" w14:textId="77777777" w:rsidR="00AB0264" w:rsidRDefault="00AB0264" w:rsidP="00AB0264">
      <w:pPr>
        <w:spacing w:after="0" w:line="240" w:lineRule="auto"/>
        <w:jc w:val="center"/>
        <w:rPr>
          <w:rFonts w:ascii="Arial" w:hAnsi="Arial" w:cs="Arial"/>
          <w:b/>
          <w:sz w:val="24"/>
          <w:szCs w:val="24"/>
        </w:rPr>
      </w:pPr>
      <w:r w:rsidRPr="00AA096E">
        <w:rPr>
          <w:rFonts w:ascii="Arial" w:hAnsi="Arial" w:cs="Arial"/>
          <w:b/>
          <w:sz w:val="24"/>
          <w:szCs w:val="24"/>
          <w:lang w:val="en-GB"/>
        </w:rPr>
        <w:t xml:space="preserve">Richard </w:t>
      </w:r>
      <w:proofErr w:type="spellStart"/>
      <w:r w:rsidRPr="00AA096E">
        <w:rPr>
          <w:rFonts w:ascii="Arial" w:hAnsi="Arial" w:cs="Arial"/>
          <w:b/>
          <w:sz w:val="24"/>
          <w:szCs w:val="24"/>
          <w:lang w:val="en-GB"/>
        </w:rPr>
        <w:t>Kowalczyk</w:t>
      </w:r>
      <w:proofErr w:type="spellEnd"/>
    </w:p>
    <w:p w14:paraId="52976B06" w14:textId="77777777" w:rsidR="00AB0264" w:rsidRPr="00AA096E" w:rsidRDefault="00AB0264" w:rsidP="00AB0264">
      <w:pPr>
        <w:spacing w:after="0" w:line="240" w:lineRule="auto"/>
        <w:jc w:val="center"/>
        <w:rPr>
          <w:rFonts w:ascii="Arial" w:hAnsi="Arial" w:cs="Arial"/>
          <w:bCs/>
          <w:sz w:val="20"/>
          <w:szCs w:val="20"/>
          <w:lang w:val="en-GB"/>
        </w:rPr>
      </w:pPr>
      <w:r w:rsidRPr="00AA096E">
        <w:rPr>
          <w:rFonts w:ascii="Arial" w:hAnsi="Arial" w:cs="Arial"/>
          <w:bCs/>
          <w:sz w:val="20"/>
          <w:szCs w:val="20"/>
          <w:lang w:val="en-GB"/>
        </w:rPr>
        <w:t>L-3 Communications Electron Devices</w:t>
      </w:r>
    </w:p>
    <w:p w14:paraId="0D7DA20C" w14:textId="3BDF900B" w:rsidR="00AB0264" w:rsidRPr="00E1682A" w:rsidRDefault="00AB0264" w:rsidP="00E1682A">
      <w:pPr>
        <w:spacing w:after="0" w:line="240" w:lineRule="auto"/>
        <w:jc w:val="center"/>
        <w:rPr>
          <w:rFonts w:ascii="Arial" w:hAnsi="Arial" w:cs="Arial"/>
          <w:sz w:val="20"/>
          <w:szCs w:val="20"/>
          <w:lang w:val="en-GB"/>
        </w:rPr>
        <w:sectPr w:rsidR="00AB0264" w:rsidRPr="00E1682A" w:rsidSect="00AB0264">
          <w:type w:val="continuous"/>
          <w:pgSz w:w="12240" w:h="15840"/>
          <w:pgMar w:top="1080" w:right="1080" w:bottom="1440" w:left="1080" w:header="0" w:footer="0" w:gutter="0"/>
          <w:cols w:num="2" w:space="720"/>
          <w:formProt w:val="0"/>
          <w:docGrid w:linePitch="360" w:charSpace="-2049"/>
        </w:sectPr>
      </w:pPr>
      <w:r w:rsidRPr="00AA096E">
        <w:rPr>
          <w:rFonts w:ascii="Arial" w:hAnsi="Arial" w:cs="Arial"/>
          <w:sz w:val="20"/>
          <w:szCs w:val="20"/>
          <w:lang w:val="en-GB"/>
        </w:rPr>
        <w:t>San Carlos, CA 94070, USA</w:t>
      </w:r>
    </w:p>
    <w:p w14:paraId="2D35188C" w14:textId="77777777" w:rsidR="003D793C" w:rsidRDefault="000C6827">
      <w:pPr>
        <w:spacing w:after="0" w:line="240" w:lineRule="auto"/>
        <w:jc w:val="both"/>
        <w:rPr>
          <w:rFonts w:ascii="Times New Roman" w:hAnsi="Times New Roman" w:cs="Times New Roman"/>
          <w:sz w:val="20"/>
          <w:szCs w:val="20"/>
        </w:rPr>
      </w:pPr>
      <w:r>
        <w:rPr>
          <w:rFonts w:ascii="Arial" w:hAnsi="Arial" w:cs="Arial"/>
          <w:b/>
          <w:sz w:val="20"/>
          <w:szCs w:val="20"/>
        </w:rPr>
        <w:lastRenderedPageBreak/>
        <w:t>Abstract:</w:t>
      </w:r>
      <w:r>
        <w:rPr>
          <w:rFonts w:ascii="Times New Roman" w:hAnsi="Times New Roman" w:cs="Times New Roman"/>
          <w:sz w:val="20"/>
          <w:szCs w:val="20"/>
        </w:rPr>
        <w:t xml:space="preserve"> </w:t>
      </w:r>
      <w:r>
        <w:rPr>
          <w:rFonts w:ascii="Times New Roman" w:hAnsi="Times New Roman" w:cs="Times New Roman"/>
          <w:i/>
          <w:sz w:val="20"/>
          <w:szCs w:val="20"/>
        </w:rPr>
        <w:t>Currently, klystrons employ</w:t>
      </w:r>
      <w:r w:rsidR="000B6065">
        <w:rPr>
          <w:rFonts w:ascii="Times New Roman" w:hAnsi="Times New Roman" w:cs="Times New Roman"/>
          <w:i/>
          <w:sz w:val="20"/>
          <w:szCs w:val="20"/>
        </w:rPr>
        <w:t>ing</w:t>
      </w:r>
      <w:r>
        <w:rPr>
          <w:rFonts w:ascii="Times New Roman" w:hAnsi="Times New Roman" w:cs="Times New Roman"/>
          <w:i/>
          <w:sz w:val="20"/>
          <w:szCs w:val="20"/>
        </w:rPr>
        <w:t xml:space="preserve"> monotonic bunching offer efficiencies on the order of 70%.  Through the use of the core oscillation electron bunching mechanism, numerical simulations have predicted klystrons with efficiencies up to 90%.  In this paper, we present PIC simulations of such geometries ope</w:t>
      </w:r>
      <w:r w:rsidR="00E92A6A">
        <w:rPr>
          <w:rFonts w:ascii="Times New Roman" w:hAnsi="Times New Roman" w:cs="Times New Roman"/>
          <w:i/>
          <w:sz w:val="20"/>
          <w:szCs w:val="20"/>
        </w:rPr>
        <w:t>rating at a frequency of 800 MHz</w:t>
      </w:r>
      <w:r w:rsidR="006779EF">
        <w:rPr>
          <w:rFonts w:ascii="Times New Roman" w:hAnsi="Times New Roman" w:cs="Times New Roman"/>
          <w:i/>
          <w:sz w:val="20"/>
          <w:szCs w:val="20"/>
        </w:rPr>
        <w:t>, with efficiencies up to 83% predicted thus far</w:t>
      </w:r>
      <w:r w:rsidR="00E92A6A">
        <w:rPr>
          <w:rFonts w:ascii="Times New Roman" w:hAnsi="Times New Roman" w:cs="Times New Roman"/>
          <w:i/>
          <w:sz w:val="20"/>
          <w:szCs w:val="20"/>
        </w:rPr>
        <w:t>.</w:t>
      </w:r>
    </w:p>
    <w:p w14:paraId="68FB8F3E" w14:textId="77777777" w:rsidR="003D793C" w:rsidRPr="00965B0A" w:rsidRDefault="003D793C">
      <w:pPr>
        <w:spacing w:after="0" w:line="240" w:lineRule="auto"/>
        <w:jc w:val="both"/>
        <w:rPr>
          <w:rFonts w:ascii="Times New Roman" w:hAnsi="Times New Roman" w:cs="Times New Roman"/>
          <w:sz w:val="12"/>
          <w:szCs w:val="12"/>
        </w:rPr>
      </w:pPr>
    </w:p>
    <w:p w14:paraId="15B33C4E" w14:textId="61011B0B" w:rsidR="003D793C" w:rsidRDefault="000C6827">
      <w:pPr>
        <w:spacing w:after="0" w:line="240" w:lineRule="auto"/>
        <w:jc w:val="both"/>
        <w:rPr>
          <w:rFonts w:ascii="Times New Roman" w:hAnsi="Times New Roman" w:cs="Times New Roman"/>
          <w:sz w:val="20"/>
          <w:szCs w:val="20"/>
        </w:rPr>
      </w:pPr>
      <w:r>
        <w:rPr>
          <w:rFonts w:ascii="Arial" w:hAnsi="Arial" w:cs="Arial"/>
          <w:b/>
          <w:sz w:val="20"/>
          <w:szCs w:val="20"/>
        </w:rPr>
        <w:t>Keywords:</w:t>
      </w:r>
      <w:r w:rsidR="008B235C">
        <w:rPr>
          <w:rFonts w:ascii="Times New Roman" w:hAnsi="Times New Roman" w:cs="Times New Roman"/>
          <w:sz w:val="20"/>
          <w:szCs w:val="20"/>
        </w:rPr>
        <w:t xml:space="preserve"> klystron; high-</w:t>
      </w:r>
      <w:r w:rsidR="000B6065">
        <w:rPr>
          <w:rFonts w:ascii="Times New Roman" w:hAnsi="Times New Roman" w:cs="Times New Roman"/>
          <w:sz w:val="20"/>
          <w:szCs w:val="20"/>
        </w:rPr>
        <w:t xml:space="preserve">efficiency; </w:t>
      </w:r>
      <w:r>
        <w:rPr>
          <w:rFonts w:ascii="Times New Roman" w:hAnsi="Times New Roman" w:cs="Times New Roman"/>
          <w:sz w:val="20"/>
          <w:szCs w:val="20"/>
        </w:rPr>
        <w:t>Magic2</w:t>
      </w:r>
      <w:r w:rsidR="000B6065">
        <w:rPr>
          <w:rFonts w:ascii="Times New Roman" w:hAnsi="Times New Roman" w:cs="Times New Roman"/>
          <w:sz w:val="20"/>
          <w:szCs w:val="20"/>
        </w:rPr>
        <w:t xml:space="preserve">-D; </w:t>
      </w:r>
      <w:proofErr w:type="spellStart"/>
      <w:r w:rsidR="000B6065">
        <w:rPr>
          <w:rFonts w:ascii="Times New Roman" w:hAnsi="Times New Roman" w:cs="Times New Roman"/>
          <w:sz w:val="20"/>
          <w:szCs w:val="20"/>
        </w:rPr>
        <w:t>KlypWin</w:t>
      </w:r>
      <w:proofErr w:type="spellEnd"/>
      <w:r>
        <w:rPr>
          <w:rFonts w:ascii="Times New Roman" w:hAnsi="Times New Roman" w:cs="Times New Roman"/>
          <w:sz w:val="20"/>
          <w:szCs w:val="20"/>
        </w:rPr>
        <w:t xml:space="preserve">; </w:t>
      </w:r>
      <w:r w:rsidR="00DB0445">
        <w:rPr>
          <w:rFonts w:ascii="Times New Roman" w:hAnsi="Times New Roman" w:cs="Times New Roman"/>
          <w:sz w:val="20"/>
          <w:szCs w:val="20"/>
        </w:rPr>
        <w:t xml:space="preserve">TESLA; </w:t>
      </w:r>
      <w:r w:rsidR="006E407A">
        <w:rPr>
          <w:rFonts w:ascii="Times New Roman" w:hAnsi="Times New Roman" w:cs="Times New Roman"/>
          <w:sz w:val="20"/>
          <w:szCs w:val="20"/>
        </w:rPr>
        <w:t>KLYS-2D</w:t>
      </w:r>
      <w:r w:rsidR="00B73D00">
        <w:rPr>
          <w:rFonts w:ascii="Times New Roman" w:hAnsi="Times New Roman" w:cs="Times New Roman"/>
          <w:sz w:val="20"/>
          <w:szCs w:val="20"/>
        </w:rPr>
        <w:t>; core oscillation</w:t>
      </w:r>
      <w:r>
        <w:rPr>
          <w:rFonts w:ascii="Times New Roman" w:hAnsi="Times New Roman" w:cs="Times New Roman"/>
          <w:sz w:val="20"/>
          <w:szCs w:val="20"/>
        </w:rPr>
        <w:t>.</w:t>
      </w:r>
    </w:p>
    <w:p w14:paraId="181D3CB4" w14:textId="77777777" w:rsidR="003D793C" w:rsidRPr="00965B0A" w:rsidRDefault="003D793C">
      <w:pPr>
        <w:spacing w:after="0" w:line="240" w:lineRule="auto"/>
        <w:jc w:val="both"/>
        <w:rPr>
          <w:rFonts w:ascii="Times New Roman" w:hAnsi="Times New Roman" w:cs="Times New Roman"/>
          <w:sz w:val="12"/>
          <w:szCs w:val="12"/>
        </w:rPr>
      </w:pPr>
    </w:p>
    <w:p w14:paraId="34AE79FE" w14:textId="77777777" w:rsidR="003D793C" w:rsidRDefault="000C6827">
      <w:pPr>
        <w:spacing w:after="0" w:line="240" w:lineRule="auto"/>
        <w:jc w:val="both"/>
        <w:rPr>
          <w:rFonts w:ascii="Arial" w:hAnsi="Arial" w:cs="Arial"/>
          <w:b/>
          <w:sz w:val="20"/>
          <w:szCs w:val="20"/>
        </w:rPr>
      </w:pPr>
      <w:r>
        <w:rPr>
          <w:rFonts w:ascii="Arial" w:hAnsi="Arial" w:cs="Arial"/>
          <w:b/>
          <w:sz w:val="20"/>
          <w:szCs w:val="20"/>
        </w:rPr>
        <w:t>Introduction</w:t>
      </w:r>
    </w:p>
    <w:p w14:paraId="248ACC62" w14:textId="57A0EFEE" w:rsidR="003D793C" w:rsidRDefault="000C6827">
      <w:pPr>
        <w:spacing w:after="0" w:line="240" w:lineRule="auto"/>
        <w:jc w:val="both"/>
        <w:rPr>
          <w:rFonts w:ascii="Times New Roman" w:hAnsi="Times New Roman" w:cs="Times New Roman"/>
          <w:sz w:val="20"/>
          <w:szCs w:val="20"/>
        </w:rPr>
      </w:pPr>
      <w:r>
        <w:rPr>
          <w:rFonts w:ascii="Times New Roman" w:hAnsi="Times New Roman" w:cs="Times New Roman"/>
          <w:sz w:val="20"/>
          <w:szCs w:val="20"/>
        </w:rPr>
        <w:t>Proposed large scale particle accelerators, such as the Compact Linear Collider (CLIC) [1] and the Future Circular Collider</w:t>
      </w:r>
      <w:r w:rsidR="00B73D00">
        <w:rPr>
          <w:rFonts w:ascii="Times New Roman" w:hAnsi="Times New Roman" w:cs="Times New Roman"/>
          <w:sz w:val="20"/>
          <w:szCs w:val="20"/>
        </w:rPr>
        <w:t xml:space="preserve"> (FCC)</w:t>
      </w:r>
      <w:r>
        <w:rPr>
          <w:rFonts w:ascii="Times New Roman" w:hAnsi="Times New Roman" w:cs="Times New Roman"/>
          <w:sz w:val="20"/>
          <w:szCs w:val="20"/>
        </w:rPr>
        <w:t xml:space="preserve"> [2], are expected to require RF drives on the order of 20-100 MW.  In comparison, the Large Hadron Collider (LHC) [3], has a total RF drive of approximately 5 MW.  Given the order of magnitude increase, the efficiency of the RF sources should be maximized, in order to reduce </w:t>
      </w:r>
      <w:r w:rsidR="00421501">
        <w:rPr>
          <w:rFonts w:ascii="Times New Roman" w:hAnsi="Times New Roman" w:cs="Times New Roman"/>
          <w:sz w:val="20"/>
          <w:szCs w:val="20"/>
        </w:rPr>
        <w:t xml:space="preserve">their </w:t>
      </w:r>
      <w:r w:rsidR="00E8249B">
        <w:rPr>
          <w:rFonts w:ascii="Times New Roman" w:hAnsi="Times New Roman" w:cs="Times New Roman"/>
          <w:sz w:val="20"/>
          <w:szCs w:val="20"/>
        </w:rPr>
        <w:t xml:space="preserve">operating </w:t>
      </w:r>
      <w:r>
        <w:rPr>
          <w:rFonts w:ascii="Times New Roman" w:hAnsi="Times New Roman" w:cs="Times New Roman"/>
          <w:sz w:val="20"/>
          <w:szCs w:val="20"/>
        </w:rPr>
        <w:t>costs.</w:t>
      </w:r>
    </w:p>
    <w:p w14:paraId="7BCF8D89" w14:textId="77777777" w:rsidR="003D793C" w:rsidRDefault="003D793C">
      <w:pPr>
        <w:spacing w:after="0" w:line="240" w:lineRule="auto"/>
        <w:jc w:val="both"/>
        <w:rPr>
          <w:rFonts w:ascii="Times New Roman" w:hAnsi="Times New Roman" w:cs="Times New Roman"/>
          <w:sz w:val="12"/>
          <w:szCs w:val="12"/>
        </w:rPr>
      </w:pPr>
    </w:p>
    <w:p w14:paraId="6475BAFA" w14:textId="77777777" w:rsidR="003D793C" w:rsidRDefault="000C6827">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Klystrons are an attractive candidate for the RF drive in particle accelerators, </w:t>
      </w:r>
      <w:r w:rsidR="00F11E4E">
        <w:rPr>
          <w:rFonts w:ascii="Times New Roman" w:hAnsi="Times New Roman" w:cs="Times New Roman"/>
          <w:sz w:val="20"/>
          <w:szCs w:val="20"/>
        </w:rPr>
        <w:t xml:space="preserve">with tubes operating at a frequency of 1 GHz </w:t>
      </w:r>
      <w:r>
        <w:rPr>
          <w:rFonts w:ascii="Times New Roman" w:hAnsi="Times New Roman" w:cs="Times New Roman"/>
          <w:sz w:val="20"/>
          <w:szCs w:val="20"/>
        </w:rPr>
        <w:t xml:space="preserve">providing MW level output power.  Currently available devices have maximum efficiencies of approximately 70%.  In terms of efficiency, the limiting factor </w:t>
      </w:r>
      <w:r w:rsidR="006779EF">
        <w:rPr>
          <w:rFonts w:ascii="Times New Roman" w:hAnsi="Times New Roman" w:cs="Times New Roman"/>
          <w:sz w:val="20"/>
          <w:szCs w:val="20"/>
        </w:rPr>
        <w:t>with</w:t>
      </w:r>
      <w:r>
        <w:rPr>
          <w:rFonts w:ascii="Times New Roman" w:hAnsi="Times New Roman" w:cs="Times New Roman"/>
          <w:sz w:val="20"/>
          <w:szCs w:val="20"/>
        </w:rPr>
        <w:t xml:space="preserve"> a klystron lies with the shape of the electron bunch as it arrives at the output cavity</w:t>
      </w:r>
      <w:r w:rsidR="0007210E">
        <w:rPr>
          <w:rFonts w:ascii="Times New Roman" w:hAnsi="Times New Roman" w:cs="Times New Roman"/>
          <w:sz w:val="20"/>
          <w:szCs w:val="20"/>
        </w:rPr>
        <w:t>, and the velocity of the slowest electron leaving the cavity gap</w:t>
      </w:r>
      <w:r>
        <w:rPr>
          <w:rFonts w:ascii="Times New Roman" w:hAnsi="Times New Roman" w:cs="Times New Roman"/>
          <w:sz w:val="20"/>
          <w:szCs w:val="20"/>
        </w:rPr>
        <w:t>.  To ensure that the efficiency is maximized, the spatial and phase profile of the bunch should be such that after being decelerated by the final cavity, each particle in the bunch should have the same velocity.</w:t>
      </w:r>
    </w:p>
    <w:p w14:paraId="1392EC8E" w14:textId="77777777" w:rsidR="003D793C" w:rsidRDefault="003D793C">
      <w:pPr>
        <w:spacing w:after="0" w:line="240" w:lineRule="auto"/>
        <w:jc w:val="both"/>
        <w:rPr>
          <w:rFonts w:ascii="Times New Roman" w:hAnsi="Times New Roman" w:cs="Times New Roman"/>
          <w:sz w:val="12"/>
          <w:szCs w:val="12"/>
        </w:rPr>
      </w:pPr>
    </w:p>
    <w:p w14:paraId="5515B071" w14:textId="6672787B" w:rsidR="003413E1" w:rsidRDefault="000C6827">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proposed </w:t>
      </w:r>
      <w:r w:rsidR="000D2FF9">
        <w:rPr>
          <w:rFonts w:ascii="Times New Roman" w:hAnsi="Times New Roman" w:cs="Times New Roman"/>
          <w:sz w:val="20"/>
          <w:szCs w:val="20"/>
        </w:rPr>
        <w:t>mechanism of attaining such a</w:t>
      </w:r>
      <w:r>
        <w:rPr>
          <w:rFonts w:ascii="Times New Roman" w:hAnsi="Times New Roman" w:cs="Times New Roman"/>
          <w:sz w:val="20"/>
          <w:szCs w:val="20"/>
        </w:rPr>
        <w:t xml:space="preserve"> </w:t>
      </w:r>
      <w:r w:rsidR="00B73D00">
        <w:rPr>
          <w:rFonts w:ascii="Times New Roman" w:hAnsi="Times New Roman" w:cs="Times New Roman"/>
          <w:sz w:val="20"/>
          <w:szCs w:val="20"/>
        </w:rPr>
        <w:t xml:space="preserve">bunch is through </w:t>
      </w:r>
      <w:r w:rsidR="000D2FF9">
        <w:rPr>
          <w:rFonts w:ascii="Times New Roman" w:hAnsi="Times New Roman" w:cs="Times New Roman"/>
          <w:sz w:val="20"/>
          <w:szCs w:val="20"/>
        </w:rPr>
        <w:t xml:space="preserve">the </w:t>
      </w:r>
      <w:r w:rsidR="00E8249B">
        <w:rPr>
          <w:rFonts w:ascii="Times New Roman" w:hAnsi="Times New Roman" w:cs="Times New Roman"/>
          <w:sz w:val="20"/>
          <w:szCs w:val="20"/>
        </w:rPr>
        <w:t>C</w:t>
      </w:r>
      <w:r w:rsidR="000D2FF9">
        <w:rPr>
          <w:rFonts w:ascii="Times New Roman" w:hAnsi="Times New Roman" w:cs="Times New Roman"/>
          <w:sz w:val="20"/>
          <w:szCs w:val="20"/>
        </w:rPr>
        <w:t xml:space="preserve">ore </w:t>
      </w:r>
      <w:r w:rsidR="00E8249B">
        <w:rPr>
          <w:rFonts w:ascii="Times New Roman" w:hAnsi="Times New Roman" w:cs="Times New Roman"/>
          <w:sz w:val="20"/>
          <w:szCs w:val="20"/>
        </w:rPr>
        <w:t>O</w:t>
      </w:r>
      <w:r w:rsidR="000D2FF9">
        <w:rPr>
          <w:rFonts w:ascii="Times New Roman" w:hAnsi="Times New Roman" w:cs="Times New Roman"/>
          <w:sz w:val="20"/>
          <w:szCs w:val="20"/>
        </w:rPr>
        <w:t xml:space="preserve">scillation </w:t>
      </w:r>
      <w:r w:rsidR="00E8249B">
        <w:rPr>
          <w:rFonts w:ascii="Times New Roman" w:hAnsi="Times New Roman" w:cs="Times New Roman"/>
          <w:sz w:val="20"/>
          <w:szCs w:val="20"/>
        </w:rPr>
        <w:t>M</w:t>
      </w:r>
      <w:r w:rsidR="000D2FF9">
        <w:rPr>
          <w:rFonts w:ascii="Times New Roman" w:hAnsi="Times New Roman" w:cs="Times New Roman"/>
          <w:sz w:val="20"/>
          <w:szCs w:val="20"/>
        </w:rPr>
        <w:t>ethod (COM)</w:t>
      </w:r>
      <w:r>
        <w:rPr>
          <w:rFonts w:ascii="Times New Roman" w:hAnsi="Times New Roman" w:cs="Times New Roman"/>
          <w:sz w:val="20"/>
          <w:szCs w:val="20"/>
        </w:rPr>
        <w:t xml:space="preserve"> [4</w:t>
      </w:r>
      <w:proofErr w:type="gramStart"/>
      <w:r>
        <w:rPr>
          <w:rFonts w:ascii="Times New Roman" w:hAnsi="Times New Roman" w:cs="Times New Roman"/>
          <w:sz w:val="20"/>
          <w:szCs w:val="20"/>
        </w:rPr>
        <w:t>,5</w:t>
      </w:r>
      <w:proofErr w:type="gramEnd"/>
      <w:r>
        <w:rPr>
          <w:rFonts w:ascii="Times New Roman" w:hAnsi="Times New Roman" w:cs="Times New Roman"/>
          <w:sz w:val="20"/>
          <w:szCs w:val="20"/>
        </w:rPr>
        <w:t xml:space="preserve">]. In a traditional klystron, electrons are monotonically moved to the </w:t>
      </w:r>
      <w:proofErr w:type="spellStart"/>
      <w:r>
        <w:rPr>
          <w:rFonts w:ascii="Times New Roman" w:hAnsi="Times New Roman" w:cs="Times New Roman"/>
          <w:sz w:val="20"/>
          <w:szCs w:val="20"/>
        </w:rPr>
        <w:t>centre</w:t>
      </w:r>
      <w:proofErr w:type="spellEnd"/>
      <w:r>
        <w:rPr>
          <w:rFonts w:ascii="Times New Roman" w:hAnsi="Times New Roman" w:cs="Times New Roman"/>
          <w:sz w:val="20"/>
          <w:szCs w:val="20"/>
        </w:rPr>
        <w:t xml:space="preserve"> of </w:t>
      </w:r>
      <w:r w:rsidR="00421501">
        <w:rPr>
          <w:rFonts w:ascii="Times New Roman" w:hAnsi="Times New Roman" w:cs="Times New Roman"/>
          <w:sz w:val="20"/>
          <w:szCs w:val="20"/>
        </w:rPr>
        <w:t>the bunch</w:t>
      </w:r>
      <w:r>
        <w:rPr>
          <w:rFonts w:ascii="Times New Roman" w:hAnsi="Times New Roman" w:cs="Times New Roman"/>
          <w:sz w:val="20"/>
          <w:szCs w:val="20"/>
        </w:rPr>
        <w:t xml:space="preserve"> along the length of the device. </w:t>
      </w:r>
      <w:r w:rsidR="00D01866">
        <w:rPr>
          <w:rFonts w:ascii="Times New Roman" w:hAnsi="Times New Roman" w:cs="Times New Roman"/>
          <w:sz w:val="20"/>
          <w:szCs w:val="20"/>
        </w:rPr>
        <w:t>This leads to outliers in the bunch which have experienced a smaller kick from the cavity fields</w:t>
      </w:r>
      <w:r w:rsidR="00421501">
        <w:rPr>
          <w:rFonts w:ascii="Times New Roman" w:hAnsi="Times New Roman" w:cs="Times New Roman"/>
          <w:sz w:val="20"/>
          <w:szCs w:val="20"/>
        </w:rPr>
        <w:t>,</w:t>
      </w:r>
      <w:r w:rsidR="00D01866">
        <w:rPr>
          <w:rFonts w:ascii="Times New Roman" w:hAnsi="Times New Roman" w:cs="Times New Roman"/>
          <w:sz w:val="20"/>
          <w:szCs w:val="20"/>
        </w:rPr>
        <w:t xml:space="preserve"> focusing </w:t>
      </w:r>
      <w:r w:rsidR="00421501">
        <w:rPr>
          <w:rFonts w:ascii="Times New Roman" w:hAnsi="Times New Roman" w:cs="Times New Roman"/>
          <w:sz w:val="20"/>
          <w:szCs w:val="20"/>
        </w:rPr>
        <w:t xml:space="preserve">them </w:t>
      </w:r>
      <w:r w:rsidR="00D01866">
        <w:rPr>
          <w:rFonts w:ascii="Times New Roman" w:hAnsi="Times New Roman" w:cs="Times New Roman"/>
          <w:sz w:val="20"/>
          <w:szCs w:val="20"/>
        </w:rPr>
        <w:t>well after the core of the bunch.</w:t>
      </w:r>
      <w:r>
        <w:rPr>
          <w:rFonts w:ascii="Times New Roman" w:hAnsi="Times New Roman" w:cs="Times New Roman"/>
          <w:sz w:val="20"/>
          <w:szCs w:val="20"/>
        </w:rPr>
        <w:t xml:space="preserve"> </w:t>
      </w:r>
      <w:r w:rsidR="00D01866">
        <w:rPr>
          <w:rFonts w:ascii="Times New Roman" w:hAnsi="Times New Roman" w:cs="Times New Roman"/>
          <w:sz w:val="20"/>
          <w:szCs w:val="20"/>
        </w:rPr>
        <w:t>Therefore</w:t>
      </w:r>
      <w:r w:rsidR="00421501">
        <w:rPr>
          <w:rFonts w:ascii="Times New Roman" w:hAnsi="Times New Roman" w:cs="Times New Roman"/>
          <w:sz w:val="20"/>
          <w:szCs w:val="20"/>
        </w:rPr>
        <w:t>,</w:t>
      </w:r>
      <w:r>
        <w:rPr>
          <w:rFonts w:ascii="Times New Roman" w:hAnsi="Times New Roman" w:cs="Times New Roman"/>
          <w:sz w:val="20"/>
          <w:szCs w:val="20"/>
        </w:rPr>
        <w:t xml:space="preserve"> not all particles </w:t>
      </w:r>
      <w:r w:rsidR="00D01866">
        <w:rPr>
          <w:rFonts w:ascii="Times New Roman" w:hAnsi="Times New Roman" w:cs="Times New Roman"/>
          <w:sz w:val="20"/>
          <w:szCs w:val="20"/>
        </w:rPr>
        <w:t xml:space="preserve">are </w:t>
      </w:r>
      <w:r>
        <w:rPr>
          <w:rFonts w:ascii="Times New Roman" w:hAnsi="Times New Roman" w:cs="Times New Roman"/>
          <w:sz w:val="20"/>
          <w:szCs w:val="20"/>
        </w:rPr>
        <w:t xml:space="preserve">contained within </w:t>
      </w:r>
      <w:r w:rsidR="00D01866">
        <w:rPr>
          <w:rFonts w:ascii="Times New Roman" w:hAnsi="Times New Roman" w:cs="Times New Roman"/>
          <w:sz w:val="20"/>
          <w:szCs w:val="20"/>
        </w:rPr>
        <w:t>the</w:t>
      </w:r>
      <w:r>
        <w:rPr>
          <w:rFonts w:ascii="Times New Roman" w:hAnsi="Times New Roman" w:cs="Times New Roman"/>
          <w:sz w:val="20"/>
          <w:szCs w:val="20"/>
        </w:rPr>
        <w:t xml:space="preserve"> bunch, and thus, </w:t>
      </w:r>
      <w:r w:rsidR="005D0A11">
        <w:rPr>
          <w:rFonts w:ascii="Times New Roman" w:hAnsi="Times New Roman" w:cs="Times New Roman"/>
          <w:sz w:val="20"/>
          <w:szCs w:val="20"/>
        </w:rPr>
        <w:t xml:space="preserve">do not contribute positively to the output signal.  The core </w:t>
      </w:r>
      <w:r w:rsidR="005D0A11">
        <w:rPr>
          <w:rFonts w:ascii="Times New Roman" w:hAnsi="Times New Roman" w:cs="Times New Roman"/>
          <w:sz w:val="20"/>
          <w:szCs w:val="20"/>
        </w:rPr>
        <w:lastRenderedPageBreak/>
        <w:t>oscillation method allows for the slower</w:t>
      </w:r>
      <w:r w:rsidR="00E1682A">
        <w:rPr>
          <w:rFonts w:ascii="Times New Roman" w:hAnsi="Times New Roman" w:cs="Times New Roman"/>
          <w:sz w:val="20"/>
          <w:szCs w:val="20"/>
        </w:rPr>
        <w:t xml:space="preserve"> </w:t>
      </w:r>
      <w:r w:rsidR="00D01866">
        <w:rPr>
          <w:rFonts w:ascii="Times New Roman" w:hAnsi="Times New Roman" w:cs="Times New Roman"/>
          <w:sz w:val="20"/>
          <w:szCs w:val="20"/>
        </w:rPr>
        <w:t>bunching</w:t>
      </w:r>
      <w:r w:rsidR="006E5133">
        <w:rPr>
          <w:rFonts w:ascii="Times New Roman" w:hAnsi="Times New Roman" w:cs="Times New Roman"/>
          <w:sz w:val="20"/>
          <w:szCs w:val="20"/>
        </w:rPr>
        <w:t xml:space="preserve"> of the outlier</w:t>
      </w:r>
      <w:r w:rsidR="00D01866">
        <w:rPr>
          <w:rFonts w:ascii="Times New Roman" w:hAnsi="Times New Roman" w:cs="Times New Roman"/>
          <w:sz w:val="20"/>
          <w:szCs w:val="20"/>
        </w:rPr>
        <w:t>s</w:t>
      </w:r>
      <w:r w:rsidR="006E5133">
        <w:rPr>
          <w:rFonts w:ascii="Times New Roman" w:hAnsi="Times New Roman" w:cs="Times New Roman"/>
          <w:sz w:val="20"/>
          <w:szCs w:val="20"/>
        </w:rPr>
        <w:t xml:space="preserve"> by </w:t>
      </w:r>
      <w:r w:rsidR="00D01866">
        <w:rPr>
          <w:rFonts w:ascii="Times New Roman" w:hAnsi="Times New Roman" w:cs="Times New Roman"/>
          <w:sz w:val="20"/>
          <w:szCs w:val="20"/>
        </w:rPr>
        <w:t xml:space="preserve">deferring the bunching at the core by </w:t>
      </w:r>
      <w:r w:rsidR="006E5133">
        <w:rPr>
          <w:rFonts w:ascii="Times New Roman" w:hAnsi="Times New Roman" w:cs="Times New Roman"/>
          <w:sz w:val="20"/>
          <w:szCs w:val="20"/>
        </w:rPr>
        <w:t xml:space="preserve">allowing the core </w:t>
      </w:r>
      <w:r w:rsidR="000D2FF9">
        <w:rPr>
          <w:rFonts w:ascii="Times New Roman" w:hAnsi="Times New Roman" w:cs="Times New Roman"/>
          <w:sz w:val="20"/>
          <w:szCs w:val="20"/>
        </w:rPr>
        <w:t>(</w:t>
      </w:r>
      <w:proofErr w:type="spellStart"/>
      <w:r w:rsidR="000D2FF9">
        <w:rPr>
          <w:rFonts w:ascii="Times New Roman" w:hAnsi="Times New Roman" w:cs="Times New Roman"/>
          <w:sz w:val="20"/>
          <w:szCs w:val="20"/>
        </w:rPr>
        <w:t>centre</w:t>
      </w:r>
      <w:proofErr w:type="spellEnd"/>
      <w:r w:rsidR="000D2FF9">
        <w:rPr>
          <w:rFonts w:ascii="Times New Roman" w:hAnsi="Times New Roman" w:cs="Times New Roman"/>
          <w:sz w:val="20"/>
          <w:szCs w:val="20"/>
        </w:rPr>
        <w:t xml:space="preserve">) </w:t>
      </w:r>
      <w:r w:rsidR="006E5133">
        <w:rPr>
          <w:rFonts w:ascii="Times New Roman" w:hAnsi="Times New Roman" w:cs="Times New Roman"/>
          <w:sz w:val="20"/>
          <w:szCs w:val="20"/>
        </w:rPr>
        <w:t xml:space="preserve">to de-bunch between successive cavities.  This behavior can be observed in Figure 1, </w:t>
      </w:r>
      <w:r>
        <w:rPr>
          <w:rFonts w:ascii="Times New Roman" w:hAnsi="Times New Roman" w:cs="Times New Roman"/>
          <w:sz w:val="20"/>
          <w:szCs w:val="20"/>
        </w:rPr>
        <w:t xml:space="preserve">which shows electron trajectories modelled in </w:t>
      </w:r>
      <w:proofErr w:type="spellStart"/>
      <w:r w:rsidR="000B6065">
        <w:rPr>
          <w:rFonts w:ascii="Times New Roman" w:hAnsi="Times New Roman" w:cs="Times New Roman"/>
          <w:sz w:val="20"/>
          <w:szCs w:val="20"/>
        </w:rPr>
        <w:t>KlypWin</w:t>
      </w:r>
      <w:proofErr w:type="spellEnd"/>
      <w:r>
        <w:rPr>
          <w:rFonts w:ascii="Times New Roman" w:hAnsi="Times New Roman" w:cs="Times New Roman"/>
          <w:sz w:val="20"/>
          <w:szCs w:val="20"/>
        </w:rPr>
        <w:t xml:space="preserve"> for an eight cavity klystron.  The de-bunching of the core can be seen between</w:t>
      </w:r>
      <w:r w:rsidR="0007210E">
        <w:rPr>
          <w:rFonts w:ascii="Times New Roman" w:hAnsi="Times New Roman" w:cs="Times New Roman"/>
          <w:sz w:val="20"/>
          <w:szCs w:val="20"/>
        </w:rPr>
        <w:t xml:space="preserve"> cavities, as a contraction and </w:t>
      </w:r>
      <w:r>
        <w:rPr>
          <w:rFonts w:ascii="Times New Roman" w:hAnsi="Times New Roman" w:cs="Times New Roman"/>
          <w:sz w:val="20"/>
          <w:szCs w:val="20"/>
        </w:rPr>
        <w:t xml:space="preserve">expansion of the </w:t>
      </w:r>
      <w:r w:rsidR="00D01866">
        <w:rPr>
          <w:rFonts w:ascii="Times New Roman" w:hAnsi="Times New Roman" w:cs="Times New Roman"/>
          <w:sz w:val="20"/>
          <w:szCs w:val="20"/>
        </w:rPr>
        <w:t>bunch</w:t>
      </w:r>
      <w:r>
        <w:rPr>
          <w:rFonts w:ascii="Times New Roman" w:hAnsi="Times New Roman" w:cs="Times New Roman"/>
          <w:sz w:val="20"/>
          <w:szCs w:val="20"/>
        </w:rPr>
        <w:t>.  While the core oscillation method results in klystrons of increased physical length, their efficiencies are predicted to approach 90% [4</w:t>
      </w:r>
      <w:proofErr w:type="gramStart"/>
      <w:r>
        <w:rPr>
          <w:rFonts w:ascii="Times New Roman" w:hAnsi="Times New Roman" w:cs="Times New Roman"/>
          <w:sz w:val="20"/>
          <w:szCs w:val="20"/>
        </w:rPr>
        <w:t>,5</w:t>
      </w:r>
      <w:proofErr w:type="gramEnd"/>
      <w:r>
        <w:rPr>
          <w:rFonts w:ascii="Times New Roman" w:hAnsi="Times New Roman" w:cs="Times New Roman"/>
          <w:sz w:val="20"/>
          <w:szCs w:val="20"/>
        </w:rPr>
        <w:t>].</w:t>
      </w:r>
    </w:p>
    <w:p w14:paraId="3C1EC9E6" w14:textId="2C2F5DFF" w:rsidR="003413E1" w:rsidRPr="003413E1" w:rsidRDefault="003413E1">
      <w:pPr>
        <w:spacing w:after="0" w:line="240" w:lineRule="auto"/>
        <w:jc w:val="both"/>
        <w:rPr>
          <w:rFonts w:ascii="Times New Roman" w:hAnsi="Times New Roman" w:cs="Times New Roman"/>
          <w:sz w:val="12"/>
          <w:szCs w:val="12"/>
        </w:rPr>
      </w:pPr>
    </w:p>
    <w:p w14:paraId="04345726" w14:textId="6784B103" w:rsidR="003413E1" w:rsidRDefault="00F76399" w:rsidP="003413E1">
      <w:pPr>
        <w:keepNext/>
        <w:spacing w:after="0" w:line="240" w:lineRule="auto"/>
        <w:jc w:val="center"/>
        <w:rPr>
          <w:rFonts w:ascii="Arial" w:hAnsi="Arial" w:cs="Arial"/>
          <w:b/>
          <w:sz w:val="20"/>
          <w:szCs w:val="20"/>
        </w:rPr>
      </w:pPr>
      <w:r>
        <w:rPr>
          <w:rFonts w:ascii="Arial" w:hAnsi="Arial" w:cs="Arial"/>
          <w:b/>
          <w:noProof/>
          <w:sz w:val="20"/>
          <w:szCs w:val="20"/>
          <w:lang w:val="en-GB" w:eastAsia="en-GB"/>
        </w:rPr>
        <w:drawing>
          <wp:inline distT="0" distB="0" distL="0" distR="0" wp14:anchorId="50D0153C" wp14:editId="5142B5B5">
            <wp:extent cx="2971800" cy="870298"/>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clrChange>
                        <a:clrFrom>
                          <a:srgbClr val="F0FFFF"/>
                        </a:clrFrom>
                        <a:clrTo>
                          <a:srgbClr val="F0FFFF">
                            <a:alpha val="0"/>
                          </a:srgbClr>
                        </a:clrTo>
                      </a:clrChange>
                      <a:extLst>
                        <a:ext uri="{28A0092B-C50C-407E-A947-70E740481C1C}">
                          <a14:useLocalDpi xmlns:a14="http://schemas.microsoft.com/office/drawing/2010/main" val="0"/>
                        </a:ext>
                      </a:extLst>
                    </a:blip>
                    <a:srcRect l="2359" t="4978" r="1556" b="63063"/>
                    <a:stretch/>
                  </pic:blipFill>
                  <pic:spPr bwMode="auto">
                    <a:xfrm>
                      <a:off x="0" y="0"/>
                      <a:ext cx="2971800" cy="870298"/>
                    </a:xfrm>
                    <a:prstGeom prst="rect">
                      <a:avLst/>
                    </a:prstGeom>
                    <a:noFill/>
                    <a:ln>
                      <a:noFill/>
                    </a:ln>
                    <a:extLst>
                      <a:ext uri="{53640926-AAD7-44D8-BBD7-CCE9431645EC}">
                        <a14:shadowObscured xmlns:a14="http://schemas.microsoft.com/office/drawing/2010/main"/>
                      </a:ext>
                    </a:extLst>
                  </pic:spPr>
                </pic:pic>
              </a:graphicData>
            </a:graphic>
          </wp:inline>
        </w:drawing>
      </w:r>
    </w:p>
    <w:p w14:paraId="66FFF111" w14:textId="05F0F669" w:rsidR="003413E1" w:rsidRDefault="003413E1" w:rsidP="003413E1">
      <w:pPr>
        <w:keepNext/>
        <w:spacing w:after="0" w:line="240" w:lineRule="auto"/>
        <w:jc w:val="center"/>
        <w:rPr>
          <w:rFonts w:ascii="Arial" w:hAnsi="Arial" w:cs="Arial"/>
          <w:sz w:val="18"/>
          <w:szCs w:val="18"/>
        </w:rPr>
      </w:pPr>
      <w:r>
        <w:rPr>
          <w:rFonts w:ascii="Arial" w:hAnsi="Arial" w:cs="Arial"/>
          <w:b/>
          <w:sz w:val="18"/>
          <w:szCs w:val="18"/>
        </w:rPr>
        <w:t xml:space="preserve">Figure 1. </w:t>
      </w:r>
      <w:r>
        <w:rPr>
          <w:rFonts w:ascii="Arial" w:hAnsi="Arial" w:cs="Arial"/>
          <w:sz w:val="18"/>
          <w:szCs w:val="18"/>
        </w:rPr>
        <w:t>Illustration of the core oscillation mechanism, in an eight cavity</w:t>
      </w:r>
      <w:r w:rsidR="00F76399">
        <w:rPr>
          <w:rFonts w:ascii="Arial" w:hAnsi="Arial" w:cs="Arial"/>
          <w:sz w:val="18"/>
          <w:szCs w:val="18"/>
        </w:rPr>
        <w:t xml:space="preserve"> </w:t>
      </w:r>
      <w:r w:rsidR="00064BD1">
        <w:rPr>
          <w:rFonts w:ascii="Arial" w:hAnsi="Arial" w:cs="Arial"/>
          <w:sz w:val="18"/>
          <w:szCs w:val="18"/>
        </w:rPr>
        <w:t>klystron</w:t>
      </w:r>
      <w:r>
        <w:rPr>
          <w:rFonts w:ascii="Arial" w:hAnsi="Arial" w:cs="Arial"/>
          <w:sz w:val="18"/>
          <w:szCs w:val="18"/>
        </w:rPr>
        <w:t xml:space="preserve">, predicted by </w:t>
      </w:r>
      <w:proofErr w:type="spellStart"/>
      <w:r>
        <w:rPr>
          <w:rFonts w:ascii="Arial" w:hAnsi="Arial" w:cs="Arial"/>
          <w:sz w:val="18"/>
          <w:szCs w:val="18"/>
        </w:rPr>
        <w:t>KlypWin</w:t>
      </w:r>
      <w:proofErr w:type="spellEnd"/>
      <w:r>
        <w:rPr>
          <w:rFonts w:ascii="Arial" w:hAnsi="Arial" w:cs="Arial"/>
          <w:sz w:val="18"/>
          <w:szCs w:val="18"/>
        </w:rPr>
        <w:t>.</w:t>
      </w:r>
    </w:p>
    <w:p w14:paraId="03D01616" w14:textId="77777777" w:rsidR="00B31248" w:rsidRPr="00B31248" w:rsidRDefault="00B31248">
      <w:pPr>
        <w:spacing w:after="0" w:line="240" w:lineRule="auto"/>
        <w:jc w:val="both"/>
        <w:rPr>
          <w:rFonts w:ascii="Times New Roman" w:hAnsi="Times New Roman" w:cs="Times New Roman"/>
          <w:sz w:val="12"/>
          <w:szCs w:val="12"/>
        </w:rPr>
      </w:pPr>
    </w:p>
    <w:p w14:paraId="7BFFF081" w14:textId="660A4B31" w:rsidR="00DD3FB0" w:rsidRDefault="008B7715">
      <w:pPr>
        <w:spacing w:after="0" w:line="240" w:lineRule="auto"/>
        <w:jc w:val="both"/>
        <w:rPr>
          <w:rFonts w:ascii="TimesNewRomanPSMT" w:hAnsi="TimesNewRomanPSMT" w:cs="TimesNewRomanPSMT"/>
          <w:color w:val="000000"/>
          <w:sz w:val="20"/>
          <w:szCs w:val="20"/>
          <w:lang w:val="en-GB"/>
        </w:rPr>
      </w:pPr>
      <w:r>
        <w:rPr>
          <w:rFonts w:ascii="TimesNewRomanPSMT" w:hAnsi="TimesNewRomanPSMT" w:cs="TimesNewRomanPSMT"/>
          <w:color w:val="000000"/>
          <w:sz w:val="20"/>
          <w:szCs w:val="20"/>
          <w:lang w:val="en-GB"/>
        </w:rPr>
        <w:t>A multi-beam klystron (MBK) employing core oscillations, has been proposed to meet the RF demands of FCC</w:t>
      </w:r>
      <w:r w:rsidR="003413E1">
        <w:rPr>
          <w:rFonts w:ascii="TimesNewRomanPSMT" w:hAnsi="TimesNewRomanPSMT" w:cs="TimesNewRomanPSMT"/>
          <w:color w:val="000000"/>
          <w:sz w:val="20"/>
          <w:szCs w:val="20"/>
          <w:lang w:val="en-GB"/>
        </w:rPr>
        <w:t xml:space="preserve"> [6].  </w:t>
      </w:r>
      <w:r w:rsidR="00B63432">
        <w:rPr>
          <w:rFonts w:ascii="TimesNewRomanPSMT" w:hAnsi="TimesNewRomanPSMT" w:cs="TimesNewRomanPSMT"/>
          <w:color w:val="000000"/>
          <w:sz w:val="20"/>
          <w:szCs w:val="20"/>
          <w:lang w:val="en-GB"/>
        </w:rPr>
        <w:t>A summary of the operational parameters of the proposed MBK are shown in Table 1</w:t>
      </w:r>
      <w:r w:rsidR="007C213A">
        <w:rPr>
          <w:rFonts w:ascii="TimesNewRomanPSMT" w:hAnsi="TimesNewRomanPSMT" w:cs="TimesNewRomanPSMT"/>
          <w:color w:val="000000"/>
          <w:sz w:val="20"/>
          <w:szCs w:val="20"/>
          <w:lang w:val="en-GB"/>
        </w:rPr>
        <w:t xml:space="preserve">.  </w:t>
      </w:r>
      <w:r w:rsidR="003413E1">
        <w:rPr>
          <w:rFonts w:ascii="TimesNewRomanPSMT" w:hAnsi="TimesNewRomanPSMT" w:cs="TimesNewRomanPSMT"/>
          <w:color w:val="000000"/>
          <w:sz w:val="20"/>
          <w:szCs w:val="20"/>
          <w:lang w:val="en-GB"/>
        </w:rPr>
        <w:t>Due to the complex azimuthal geometry of an MBK, such a</w:t>
      </w:r>
      <w:r w:rsidR="00DD3FB0">
        <w:rPr>
          <w:rFonts w:ascii="TimesNewRomanPSMT" w:hAnsi="TimesNewRomanPSMT" w:cs="TimesNewRomanPSMT"/>
          <w:color w:val="000000"/>
          <w:sz w:val="20"/>
          <w:szCs w:val="20"/>
          <w:lang w:val="en-GB"/>
        </w:rPr>
        <w:t xml:space="preserve"> tube must be simulated in 3D.  </w:t>
      </w:r>
    </w:p>
    <w:p w14:paraId="22956EAB" w14:textId="77777777" w:rsidR="00DD3FB0" w:rsidRPr="00DD3FB0" w:rsidRDefault="00DD3FB0">
      <w:pPr>
        <w:spacing w:after="0" w:line="240" w:lineRule="auto"/>
        <w:jc w:val="both"/>
        <w:rPr>
          <w:rFonts w:ascii="TimesNewRomanPSMT" w:hAnsi="TimesNewRomanPSMT" w:cs="TimesNewRomanPSMT"/>
          <w:color w:val="000000"/>
          <w:sz w:val="12"/>
          <w:szCs w:val="12"/>
          <w:lang w:val="en-GB"/>
        </w:rPr>
      </w:pPr>
    </w:p>
    <w:p w14:paraId="60EBF599" w14:textId="3A3F5FD7" w:rsidR="00E92A6A" w:rsidRPr="00E92A6A" w:rsidRDefault="003413E1" w:rsidP="002C256C">
      <w:pPr>
        <w:tabs>
          <w:tab w:val="left" w:pos="2610"/>
        </w:tabs>
        <w:spacing w:after="0" w:line="240" w:lineRule="auto"/>
        <w:jc w:val="both"/>
        <w:rPr>
          <w:rFonts w:ascii="Times New Roman" w:hAnsi="Times New Roman" w:cs="Times New Roman"/>
          <w:sz w:val="12"/>
          <w:szCs w:val="12"/>
        </w:rPr>
      </w:pPr>
      <w:r>
        <w:rPr>
          <w:rFonts w:ascii="TimesNewRomanPSMT" w:hAnsi="TimesNewRomanPSMT" w:cs="TimesNewRomanPSMT"/>
          <w:color w:val="000000"/>
          <w:sz w:val="20"/>
          <w:szCs w:val="20"/>
          <w:lang w:val="en-GB"/>
        </w:rPr>
        <w:t xml:space="preserve">Through the use of a General Similitude Principle (GSP), an MBK can be transformed to a </w:t>
      </w:r>
      <w:r w:rsidR="002C256C">
        <w:rPr>
          <w:rFonts w:ascii="TimesNewRomanPSMT" w:hAnsi="TimesNewRomanPSMT" w:cs="TimesNewRomanPSMT"/>
          <w:color w:val="000000"/>
          <w:sz w:val="20"/>
          <w:szCs w:val="20"/>
          <w:lang w:val="en-GB"/>
        </w:rPr>
        <w:t>different klystron</w:t>
      </w:r>
      <w:r>
        <w:rPr>
          <w:rFonts w:ascii="TimesNewRomanPSMT" w:hAnsi="TimesNewRomanPSMT" w:cs="TimesNewRomanPSMT"/>
          <w:color w:val="000000"/>
          <w:sz w:val="20"/>
          <w:szCs w:val="20"/>
          <w:lang w:val="en-GB"/>
        </w:rPr>
        <w:t>, with different operational parameters</w:t>
      </w:r>
      <w:r w:rsidR="002C256C">
        <w:rPr>
          <w:rFonts w:ascii="TimesNewRomanPSMT" w:hAnsi="TimesNewRomanPSMT" w:cs="TimesNewRomanPSMT"/>
          <w:color w:val="000000"/>
          <w:sz w:val="20"/>
          <w:szCs w:val="20"/>
          <w:lang w:val="en-GB"/>
        </w:rPr>
        <w:t xml:space="preserve"> (length, cavity frequencies, number of beams</w:t>
      </w:r>
      <w:r w:rsidR="001D59E0">
        <w:rPr>
          <w:rFonts w:ascii="TimesNewRomanPSMT" w:hAnsi="TimesNewRomanPSMT" w:cs="TimesNewRomanPSMT"/>
          <w:color w:val="000000"/>
          <w:sz w:val="20"/>
          <w:szCs w:val="20"/>
          <w:lang w:val="en-GB"/>
        </w:rPr>
        <w:t>, etc.</w:t>
      </w:r>
      <w:r w:rsidR="002C256C">
        <w:rPr>
          <w:rFonts w:ascii="TimesNewRomanPSMT" w:hAnsi="TimesNewRomanPSMT" w:cs="TimesNewRomanPSMT"/>
          <w:color w:val="000000"/>
          <w:sz w:val="20"/>
          <w:szCs w:val="20"/>
          <w:lang w:val="en-GB"/>
        </w:rPr>
        <w:t>)</w:t>
      </w:r>
      <w:r>
        <w:rPr>
          <w:rFonts w:ascii="TimesNewRomanPSMT" w:hAnsi="TimesNewRomanPSMT" w:cs="TimesNewRomanPSMT"/>
          <w:color w:val="000000"/>
          <w:sz w:val="20"/>
          <w:szCs w:val="20"/>
          <w:lang w:val="en-GB"/>
        </w:rPr>
        <w:t xml:space="preserve">, while preserving the </w:t>
      </w:r>
      <w:r w:rsidR="002C256C">
        <w:rPr>
          <w:rFonts w:ascii="TimesNewRomanPSMT" w:hAnsi="TimesNewRomanPSMT" w:cs="TimesNewRomanPSMT"/>
          <w:color w:val="000000"/>
          <w:sz w:val="20"/>
          <w:szCs w:val="20"/>
          <w:lang w:val="en-GB"/>
        </w:rPr>
        <w:t>beam and output characteristics</w:t>
      </w:r>
      <w:r w:rsidR="00F76399">
        <w:rPr>
          <w:rFonts w:ascii="TimesNewRomanPSMT" w:hAnsi="TimesNewRomanPSMT" w:cs="TimesNewRomanPSMT"/>
          <w:color w:val="000000"/>
          <w:sz w:val="20"/>
          <w:szCs w:val="20"/>
          <w:lang w:val="en-GB"/>
        </w:rPr>
        <w:t xml:space="preserve"> of the device [6</w:t>
      </w:r>
      <w:proofErr w:type="gramStart"/>
      <w:r w:rsidR="00F76399">
        <w:rPr>
          <w:rFonts w:ascii="TimesNewRomanPSMT" w:hAnsi="TimesNewRomanPSMT" w:cs="TimesNewRomanPSMT"/>
          <w:color w:val="000000"/>
          <w:sz w:val="20"/>
          <w:szCs w:val="20"/>
          <w:lang w:val="en-GB"/>
        </w:rPr>
        <w:t>,7</w:t>
      </w:r>
      <w:proofErr w:type="gramEnd"/>
      <w:r w:rsidR="00F76399">
        <w:rPr>
          <w:rFonts w:ascii="TimesNewRomanPSMT" w:hAnsi="TimesNewRomanPSMT" w:cs="TimesNewRomanPSMT"/>
          <w:color w:val="000000"/>
          <w:sz w:val="20"/>
          <w:szCs w:val="20"/>
          <w:lang w:val="en-GB"/>
        </w:rPr>
        <w:t>]. The</w:t>
      </w:r>
      <w:r>
        <w:rPr>
          <w:rFonts w:ascii="TimesNewRomanPSMT" w:hAnsi="TimesNewRomanPSMT" w:cs="TimesNewRomanPSMT"/>
          <w:color w:val="000000"/>
          <w:sz w:val="20"/>
          <w:szCs w:val="20"/>
          <w:lang w:val="en-GB"/>
        </w:rPr>
        <w:t xml:space="preserve"> </w:t>
      </w:r>
      <w:r w:rsidR="00B303F0">
        <w:rPr>
          <w:rFonts w:ascii="TimesNewRomanPSMT" w:hAnsi="TimesNewRomanPSMT" w:cs="TimesNewRomanPSMT"/>
          <w:color w:val="000000"/>
          <w:sz w:val="20"/>
          <w:szCs w:val="20"/>
          <w:lang w:val="en-GB"/>
        </w:rPr>
        <w:t>reduced complexity allows</w:t>
      </w:r>
      <w:r>
        <w:rPr>
          <w:rFonts w:ascii="TimesNewRomanPSMT" w:hAnsi="TimesNewRomanPSMT" w:cs="TimesNewRomanPSMT"/>
          <w:color w:val="000000"/>
          <w:sz w:val="20"/>
          <w:szCs w:val="20"/>
          <w:lang w:val="en-GB"/>
        </w:rPr>
        <w:t xml:space="preserve"> the simulation of </w:t>
      </w:r>
      <w:r w:rsidR="00B303F0">
        <w:rPr>
          <w:rFonts w:ascii="TimesNewRomanPSMT" w:hAnsi="TimesNewRomanPSMT" w:cs="TimesNewRomanPSMT"/>
          <w:color w:val="000000"/>
          <w:sz w:val="20"/>
          <w:szCs w:val="20"/>
          <w:lang w:val="en-GB"/>
        </w:rPr>
        <w:t>the</w:t>
      </w:r>
      <w:r>
        <w:rPr>
          <w:rFonts w:ascii="TimesNewRomanPSMT" w:hAnsi="TimesNewRomanPSMT" w:cs="TimesNewRomanPSMT"/>
          <w:color w:val="000000"/>
          <w:sz w:val="20"/>
          <w:szCs w:val="20"/>
          <w:lang w:val="en-GB"/>
        </w:rPr>
        <w:t xml:space="preserve"> klyst</w:t>
      </w:r>
      <w:r w:rsidR="007C213A">
        <w:rPr>
          <w:rFonts w:ascii="TimesNewRomanPSMT" w:hAnsi="TimesNewRomanPSMT" w:cs="TimesNewRomanPSMT"/>
          <w:color w:val="000000"/>
          <w:sz w:val="20"/>
          <w:szCs w:val="20"/>
          <w:lang w:val="en-GB"/>
        </w:rPr>
        <w:t xml:space="preserve">ron in a 2D PIC code.  </w:t>
      </w:r>
    </w:p>
    <w:p w14:paraId="5739E3D8" w14:textId="77777777" w:rsidR="00BA7C3A" w:rsidRPr="00BA7C3A" w:rsidRDefault="00BA7C3A">
      <w:pPr>
        <w:spacing w:after="0" w:line="240" w:lineRule="auto"/>
        <w:jc w:val="both"/>
        <w:rPr>
          <w:rFonts w:ascii="Times New Roman" w:hAnsi="Times New Roman" w:cs="Times New Roman"/>
          <w:sz w:val="12"/>
          <w:szCs w:val="12"/>
        </w:rPr>
      </w:pPr>
    </w:p>
    <w:p w14:paraId="62E6B992" w14:textId="5542CF37" w:rsidR="003D793C" w:rsidRDefault="000C6827">
      <w:pPr>
        <w:spacing w:after="0" w:line="240" w:lineRule="auto"/>
        <w:jc w:val="both"/>
        <w:rPr>
          <w:rFonts w:ascii="Times New Roman" w:hAnsi="Times New Roman" w:cs="Times New Roman"/>
          <w:sz w:val="20"/>
          <w:szCs w:val="20"/>
        </w:rPr>
      </w:pPr>
      <w:r>
        <w:rPr>
          <w:rFonts w:ascii="Times New Roman" w:hAnsi="Times New Roman" w:cs="Times New Roman"/>
          <w:sz w:val="20"/>
          <w:szCs w:val="20"/>
        </w:rPr>
        <w:t>In this paper, we present n</w:t>
      </w:r>
      <w:r w:rsidR="007C213A">
        <w:rPr>
          <w:rFonts w:ascii="Times New Roman" w:hAnsi="Times New Roman" w:cs="Times New Roman"/>
          <w:sz w:val="20"/>
          <w:szCs w:val="20"/>
        </w:rPr>
        <w:t>umerical simulations of</w:t>
      </w:r>
      <w:r>
        <w:rPr>
          <w:rFonts w:ascii="Times New Roman" w:hAnsi="Times New Roman" w:cs="Times New Roman"/>
          <w:sz w:val="20"/>
          <w:szCs w:val="20"/>
        </w:rPr>
        <w:t xml:space="preserve"> </w:t>
      </w:r>
      <w:r w:rsidR="00B303F0">
        <w:rPr>
          <w:rFonts w:ascii="Times New Roman" w:hAnsi="Times New Roman" w:cs="Times New Roman"/>
          <w:sz w:val="20"/>
          <w:szCs w:val="20"/>
        </w:rPr>
        <w:t xml:space="preserve">800 MHz, </w:t>
      </w:r>
      <w:r w:rsidR="00E43B61">
        <w:rPr>
          <w:rFonts w:ascii="Times New Roman" w:hAnsi="Times New Roman" w:cs="Times New Roman"/>
          <w:sz w:val="20"/>
          <w:szCs w:val="20"/>
        </w:rPr>
        <w:t xml:space="preserve">single beam </w:t>
      </w:r>
      <w:r w:rsidR="00B303F0">
        <w:rPr>
          <w:rFonts w:ascii="Times New Roman" w:hAnsi="Times New Roman" w:cs="Times New Roman"/>
          <w:sz w:val="20"/>
          <w:szCs w:val="20"/>
        </w:rPr>
        <w:t xml:space="preserve">klystrons, </w:t>
      </w:r>
      <w:r w:rsidR="00B63432">
        <w:rPr>
          <w:rFonts w:ascii="Times New Roman" w:hAnsi="Times New Roman" w:cs="Times New Roman"/>
          <w:sz w:val="20"/>
          <w:szCs w:val="20"/>
        </w:rPr>
        <w:t xml:space="preserve">employ the core oscillation method, </w:t>
      </w:r>
      <w:r w:rsidR="00B303F0">
        <w:rPr>
          <w:rFonts w:ascii="Times New Roman" w:hAnsi="Times New Roman" w:cs="Times New Roman"/>
          <w:sz w:val="20"/>
          <w:szCs w:val="20"/>
        </w:rPr>
        <w:t>which have been tra</w:t>
      </w:r>
      <w:r w:rsidR="00B63432">
        <w:rPr>
          <w:rFonts w:ascii="Times New Roman" w:hAnsi="Times New Roman" w:cs="Times New Roman"/>
          <w:sz w:val="20"/>
          <w:szCs w:val="20"/>
        </w:rPr>
        <w:t>nsformed through the GSP method</w:t>
      </w:r>
      <w:r>
        <w:rPr>
          <w:rFonts w:ascii="Times New Roman" w:hAnsi="Times New Roman" w:cs="Times New Roman"/>
          <w:sz w:val="20"/>
          <w:szCs w:val="20"/>
        </w:rPr>
        <w:t xml:space="preserve">.  </w:t>
      </w:r>
      <w:r w:rsidR="00B63432">
        <w:rPr>
          <w:rFonts w:ascii="Times New Roman" w:hAnsi="Times New Roman" w:cs="Times New Roman"/>
          <w:sz w:val="20"/>
          <w:szCs w:val="20"/>
        </w:rPr>
        <w:t xml:space="preserve">The parameters of an MBK which has </w:t>
      </w:r>
      <w:r w:rsidR="00DB0445">
        <w:rPr>
          <w:rFonts w:ascii="Times New Roman" w:hAnsi="Times New Roman" w:cs="Times New Roman"/>
          <w:sz w:val="20"/>
          <w:szCs w:val="20"/>
        </w:rPr>
        <w:t xml:space="preserve">been designed in </w:t>
      </w:r>
      <w:r w:rsidR="00811B5B">
        <w:rPr>
          <w:rFonts w:ascii="Times New Roman" w:hAnsi="Times New Roman" w:cs="Times New Roman"/>
          <w:sz w:val="20"/>
          <w:szCs w:val="20"/>
        </w:rPr>
        <w:t xml:space="preserve">the 1-D code, </w:t>
      </w:r>
      <w:proofErr w:type="spellStart"/>
      <w:r w:rsidR="00DB0445">
        <w:rPr>
          <w:rFonts w:ascii="Times New Roman" w:hAnsi="Times New Roman" w:cs="Times New Roman"/>
          <w:sz w:val="20"/>
          <w:szCs w:val="20"/>
        </w:rPr>
        <w:t>KlypWin</w:t>
      </w:r>
      <w:proofErr w:type="spellEnd"/>
      <w:r w:rsidR="00DB0445">
        <w:rPr>
          <w:rFonts w:ascii="Times New Roman" w:hAnsi="Times New Roman" w:cs="Times New Roman"/>
          <w:sz w:val="20"/>
          <w:szCs w:val="20"/>
        </w:rPr>
        <w:t xml:space="preserve"> [</w:t>
      </w:r>
      <w:r w:rsidR="00811B5B">
        <w:rPr>
          <w:rFonts w:ascii="Times New Roman" w:hAnsi="Times New Roman" w:cs="Times New Roman"/>
          <w:sz w:val="20"/>
          <w:szCs w:val="20"/>
        </w:rPr>
        <w:t>4</w:t>
      </w:r>
      <w:r w:rsidR="00DB0445">
        <w:rPr>
          <w:rFonts w:ascii="Times New Roman" w:hAnsi="Times New Roman" w:cs="Times New Roman"/>
          <w:sz w:val="20"/>
          <w:szCs w:val="20"/>
        </w:rPr>
        <w:t>]</w:t>
      </w:r>
      <w:r w:rsidR="00811B5B">
        <w:rPr>
          <w:rFonts w:ascii="Times New Roman" w:hAnsi="Times New Roman" w:cs="Times New Roman"/>
          <w:sz w:val="20"/>
          <w:szCs w:val="20"/>
        </w:rPr>
        <w:t xml:space="preserve">, and has </w:t>
      </w:r>
      <w:r w:rsidR="00B63432">
        <w:rPr>
          <w:rFonts w:ascii="Times New Roman" w:hAnsi="Times New Roman" w:cs="Times New Roman"/>
          <w:sz w:val="20"/>
          <w:szCs w:val="20"/>
        </w:rPr>
        <w:t>undergone the GSP transformation</w:t>
      </w:r>
      <w:r w:rsidR="00C710A4">
        <w:rPr>
          <w:rFonts w:ascii="Times New Roman" w:hAnsi="Times New Roman" w:cs="Times New Roman"/>
          <w:sz w:val="20"/>
          <w:szCs w:val="20"/>
        </w:rPr>
        <w:t xml:space="preserve"> </w:t>
      </w:r>
      <w:r w:rsidR="003021A2">
        <w:rPr>
          <w:rFonts w:ascii="Times New Roman" w:hAnsi="Times New Roman" w:cs="Times New Roman"/>
          <w:sz w:val="20"/>
          <w:szCs w:val="20"/>
        </w:rPr>
        <w:t>(tube GSP 08-04</w:t>
      </w:r>
      <w:r w:rsidR="00C710A4">
        <w:rPr>
          <w:rFonts w:ascii="Times New Roman" w:hAnsi="Times New Roman" w:cs="Times New Roman"/>
          <w:sz w:val="20"/>
          <w:szCs w:val="20"/>
        </w:rPr>
        <w:t>)</w:t>
      </w:r>
      <w:r w:rsidR="00B63432">
        <w:rPr>
          <w:rFonts w:ascii="Times New Roman" w:hAnsi="Times New Roman" w:cs="Times New Roman"/>
          <w:sz w:val="20"/>
          <w:szCs w:val="20"/>
        </w:rPr>
        <w:t xml:space="preserve">, are given in Table 1, for comparison.  </w:t>
      </w:r>
      <w:r w:rsidR="00DB0445">
        <w:rPr>
          <w:rFonts w:ascii="Times New Roman" w:hAnsi="Times New Roman" w:cs="Times New Roman"/>
          <w:sz w:val="20"/>
          <w:szCs w:val="20"/>
        </w:rPr>
        <w:t xml:space="preserve">Comparison between </w:t>
      </w:r>
      <w:r w:rsidR="00811B5B">
        <w:rPr>
          <w:rFonts w:ascii="Times New Roman" w:hAnsi="Times New Roman" w:cs="Times New Roman"/>
          <w:sz w:val="20"/>
          <w:szCs w:val="20"/>
        </w:rPr>
        <w:t xml:space="preserve">this, </w:t>
      </w:r>
      <w:r w:rsidR="00DB0445">
        <w:rPr>
          <w:rFonts w:ascii="Times New Roman" w:hAnsi="Times New Roman" w:cs="Times New Roman"/>
          <w:sz w:val="20"/>
          <w:szCs w:val="20"/>
        </w:rPr>
        <w:t>the 2-D code</w:t>
      </w:r>
      <w:r w:rsidR="00D82AB4">
        <w:rPr>
          <w:rFonts w:ascii="Times New Roman" w:hAnsi="Times New Roman" w:cs="Times New Roman"/>
          <w:sz w:val="20"/>
          <w:szCs w:val="20"/>
        </w:rPr>
        <w:t>s</w:t>
      </w:r>
      <w:r w:rsidR="00DB0445">
        <w:rPr>
          <w:rFonts w:ascii="Times New Roman" w:hAnsi="Times New Roman" w:cs="Times New Roman"/>
          <w:sz w:val="20"/>
          <w:szCs w:val="20"/>
        </w:rPr>
        <w:t>, TESLA [</w:t>
      </w:r>
      <w:r w:rsidR="00811B5B">
        <w:rPr>
          <w:rFonts w:ascii="Times New Roman" w:hAnsi="Times New Roman" w:cs="Times New Roman"/>
          <w:sz w:val="20"/>
          <w:szCs w:val="20"/>
        </w:rPr>
        <w:t>8</w:t>
      </w:r>
      <w:r w:rsidR="00DB0445">
        <w:rPr>
          <w:rFonts w:ascii="Times New Roman" w:hAnsi="Times New Roman" w:cs="Times New Roman"/>
          <w:sz w:val="20"/>
          <w:szCs w:val="20"/>
        </w:rPr>
        <w:t xml:space="preserve">], </w:t>
      </w:r>
      <w:r w:rsidR="00D82AB4">
        <w:rPr>
          <w:rFonts w:ascii="Times New Roman" w:hAnsi="Times New Roman" w:cs="Times New Roman"/>
          <w:sz w:val="20"/>
          <w:szCs w:val="20"/>
        </w:rPr>
        <w:t xml:space="preserve">KLYS-2D [9], </w:t>
      </w:r>
      <w:r>
        <w:rPr>
          <w:rFonts w:ascii="Times New Roman" w:hAnsi="Times New Roman" w:cs="Times New Roman"/>
          <w:sz w:val="20"/>
          <w:szCs w:val="20"/>
        </w:rPr>
        <w:t>and the Particle-in-Cell code, Magic2-D will be considered.</w:t>
      </w:r>
    </w:p>
    <w:p w14:paraId="6F5185B6" w14:textId="1A0F603A" w:rsidR="00112A0E" w:rsidRDefault="00112A0E" w:rsidP="009B5A9C">
      <w:pPr>
        <w:spacing w:after="0"/>
        <w:rPr>
          <w:rFonts w:ascii="Times New Roman" w:hAnsi="Times New Roman" w:cs="Times New Roman"/>
          <w:sz w:val="20"/>
          <w:szCs w:val="20"/>
        </w:rPr>
        <w:sectPr w:rsidR="00112A0E" w:rsidSect="009B5A9C">
          <w:type w:val="continuous"/>
          <w:pgSz w:w="12240" w:h="15840"/>
          <w:pgMar w:top="1080" w:right="1080" w:bottom="1440" w:left="1080" w:header="0" w:footer="0" w:gutter="0"/>
          <w:cols w:num="2" w:space="720"/>
          <w:formProt w:val="0"/>
          <w:docGrid w:linePitch="360" w:charSpace="-2049"/>
        </w:sectPr>
      </w:pPr>
    </w:p>
    <w:p w14:paraId="369C65DA" w14:textId="371AEFAC" w:rsidR="00112A0E" w:rsidRPr="00112A0E" w:rsidRDefault="00112A0E" w:rsidP="0004387A">
      <w:pPr>
        <w:spacing w:after="0" w:line="240" w:lineRule="auto"/>
        <w:jc w:val="both"/>
        <w:rPr>
          <w:rFonts w:ascii="Arial" w:hAnsi="Arial" w:cs="Arial"/>
          <w:b/>
          <w:sz w:val="20"/>
          <w:szCs w:val="20"/>
        </w:rPr>
      </w:pPr>
      <w:r>
        <w:rPr>
          <w:rFonts w:ascii="Arial" w:hAnsi="Arial" w:cs="Arial"/>
          <w:b/>
          <w:sz w:val="20"/>
          <w:szCs w:val="20"/>
        </w:rPr>
        <w:lastRenderedPageBreak/>
        <w:t>Numerical Simulation</w:t>
      </w:r>
    </w:p>
    <w:p w14:paraId="28F02C1F" w14:textId="7FBB7948" w:rsidR="006E5133" w:rsidRDefault="00C710A4" w:rsidP="0004387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When simulated in Magic2-D, the</w:t>
      </w:r>
      <w:r w:rsidR="003021A2">
        <w:rPr>
          <w:rFonts w:ascii="Times New Roman" w:hAnsi="Times New Roman" w:cs="Times New Roman"/>
          <w:sz w:val="20"/>
          <w:szCs w:val="20"/>
        </w:rPr>
        <w:t xml:space="preserve"> GSP 08-04</w:t>
      </w:r>
      <w:r>
        <w:rPr>
          <w:rFonts w:ascii="Times New Roman" w:hAnsi="Times New Roman" w:cs="Times New Roman"/>
          <w:sz w:val="20"/>
          <w:szCs w:val="20"/>
        </w:rPr>
        <w:t xml:space="preserve"> klystron is predicted to have an efficiency of 83</w:t>
      </w:r>
      <w:r w:rsidR="000D2FF9">
        <w:rPr>
          <w:rFonts w:ascii="Times New Roman" w:eastAsia="Arial" w:hAnsi="Times New Roman" w:cs="Times New Roman"/>
          <w:bCs/>
          <w:spacing w:val="-2"/>
          <w:sz w:val="20"/>
          <w:szCs w:val="20"/>
        </w:rPr>
        <w:t>%</w:t>
      </w:r>
      <w:r w:rsidR="005D11DB">
        <w:rPr>
          <w:rFonts w:ascii="Times New Roman" w:eastAsia="Arial" w:hAnsi="Times New Roman" w:cs="Times New Roman"/>
          <w:bCs/>
          <w:spacing w:val="-2"/>
          <w:sz w:val="20"/>
          <w:szCs w:val="20"/>
        </w:rPr>
        <w:t xml:space="preserve">, in good agreement with </w:t>
      </w:r>
      <w:proofErr w:type="spellStart"/>
      <w:r w:rsidR="005D11DB">
        <w:rPr>
          <w:rFonts w:ascii="Times New Roman" w:eastAsia="Arial" w:hAnsi="Times New Roman" w:cs="Times New Roman"/>
          <w:bCs/>
          <w:spacing w:val="-2"/>
          <w:sz w:val="20"/>
          <w:szCs w:val="20"/>
        </w:rPr>
        <w:t>KlypWin</w:t>
      </w:r>
      <w:proofErr w:type="spellEnd"/>
      <w:r w:rsidR="006E407A">
        <w:rPr>
          <w:rFonts w:ascii="Times New Roman" w:eastAsia="Arial" w:hAnsi="Times New Roman" w:cs="Times New Roman"/>
          <w:bCs/>
          <w:spacing w:val="-2"/>
          <w:sz w:val="20"/>
          <w:szCs w:val="20"/>
        </w:rPr>
        <w:t>, KLYS-2D</w:t>
      </w:r>
      <w:r w:rsidR="005D11DB">
        <w:rPr>
          <w:rFonts w:ascii="Times New Roman" w:eastAsia="Arial" w:hAnsi="Times New Roman" w:cs="Times New Roman"/>
          <w:bCs/>
          <w:spacing w:val="-2"/>
          <w:sz w:val="20"/>
          <w:szCs w:val="20"/>
        </w:rPr>
        <w:t xml:space="preserve"> and TESLA</w:t>
      </w:r>
      <w:r w:rsidR="00E1682A">
        <w:rPr>
          <w:rFonts w:ascii="Times New Roman" w:eastAsia="Arial" w:hAnsi="Times New Roman" w:cs="Times New Roman"/>
          <w:bCs/>
          <w:spacing w:val="-2"/>
          <w:sz w:val="20"/>
          <w:szCs w:val="20"/>
        </w:rPr>
        <w:t xml:space="preserve">. </w:t>
      </w:r>
      <w:r w:rsidR="006E5133">
        <w:rPr>
          <w:rFonts w:ascii="Times New Roman" w:eastAsia="Arial" w:hAnsi="Times New Roman" w:cs="Times New Roman"/>
          <w:bCs/>
          <w:spacing w:val="-2"/>
          <w:sz w:val="20"/>
          <w:szCs w:val="20"/>
        </w:rPr>
        <w:t>These initial results d</w:t>
      </w:r>
      <w:r>
        <w:rPr>
          <w:rFonts w:ascii="Times New Roman" w:eastAsia="Arial" w:hAnsi="Times New Roman" w:cs="Times New Roman"/>
          <w:bCs/>
          <w:spacing w:val="-2"/>
          <w:sz w:val="20"/>
          <w:szCs w:val="20"/>
        </w:rPr>
        <w:t xml:space="preserve">emonstrate the viability of COM, </w:t>
      </w:r>
      <w:r w:rsidR="006E5133">
        <w:rPr>
          <w:rFonts w:ascii="Times New Roman" w:eastAsia="Arial" w:hAnsi="Times New Roman" w:cs="Times New Roman"/>
          <w:bCs/>
          <w:spacing w:val="-2"/>
          <w:sz w:val="20"/>
          <w:szCs w:val="20"/>
        </w:rPr>
        <w:t>offering an improvement on</w:t>
      </w:r>
      <w:r w:rsidR="006E5133">
        <w:rPr>
          <w:rFonts w:ascii="Times New Roman" w:hAnsi="Times New Roman" w:cs="Times New Roman"/>
          <w:sz w:val="20"/>
          <w:szCs w:val="20"/>
        </w:rPr>
        <w:t xml:space="preserve"> the maximum efficiency of current state of the art</w:t>
      </w:r>
      <w:r w:rsidR="002816DD">
        <w:rPr>
          <w:rFonts w:ascii="Times New Roman" w:hAnsi="Times New Roman" w:cs="Times New Roman"/>
          <w:sz w:val="20"/>
          <w:szCs w:val="20"/>
        </w:rPr>
        <w:t>,</w:t>
      </w:r>
      <w:r w:rsidR="006E5133">
        <w:rPr>
          <w:rFonts w:ascii="Times New Roman" w:hAnsi="Times New Roman" w:cs="Times New Roman"/>
          <w:sz w:val="20"/>
          <w:szCs w:val="20"/>
        </w:rPr>
        <w:t xml:space="preserve"> commercial</w:t>
      </w:r>
      <w:r w:rsidR="006E5133" w:rsidRPr="007D4DC7">
        <w:rPr>
          <w:rFonts w:ascii="Times New Roman" w:hAnsi="Times New Roman" w:cs="Times New Roman"/>
          <w:sz w:val="20"/>
          <w:szCs w:val="20"/>
        </w:rPr>
        <w:t xml:space="preserve"> </w:t>
      </w:r>
      <w:r w:rsidR="002816DD">
        <w:rPr>
          <w:rFonts w:ascii="Times New Roman" w:hAnsi="Times New Roman" w:cs="Times New Roman"/>
          <w:sz w:val="20"/>
          <w:szCs w:val="20"/>
        </w:rPr>
        <w:t xml:space="preserve">multi-beam </w:t>
      </w:r>
      <w:r w:rsidR="006E5133">
        <w:rPr>
          <w:rFonts w:ascii="Times New Roman" w:hAnsi="Times New Roman" w:cs="Times New Roman"/>
          <w:sz w:val="20"/>
          <w:szCs w:val="20"/>
        </w:rPr>
        <w:t>klystrons (7</w:t>
      </w:r>
      <w:r>
        <w:rPr>
          <w:rFonts w:ascii="Times New Roman" w:hAnsi="Times New Roman" w:cs="Times New Roman"/>
          <w:sz w:val="20"/>
          <w:szCs w:val="20"/>
        </w:rPr>
        <w:t>0</w:t>
      </w:r>
      <w:r w:rsidR="006E5133">
        <w:rPr>
          <w:rFonts w:ascii="Times New Roman" w:hAnsi="Times New Roman" w:cs="Times New Roman"/>
          <w:sz w:val="20"/>
          <w:szCs w:val="20"/>
        </w:rPr>
        <w:t xml:space="preserve">%), operating with similar </w:t>
      </w:r>
      <w:r w:rsidR="00865F99">
        <w:rPr>
          <w:rFonts w:ascii="Times New Roman" w:hAnsi="Times New Roman" w:cs="Times New Roman"/>
          <w:sz w:val="20"/>
          <w:szCs w:val="20"/>
        </w:rPr>
        <w:t xml:space="preserve">relativistic </w:t>
      </w:r>
      <w:r w:rsidR="006E5133">
        <w:rPr>
          <w:rFonts w:ascii="Times New Roman" w:hAnsi="Times New Roman" w:cs="Times New Roman"/>
          <w:sz w:val="20"/>
          <w:szCs w:val="20"/>
        </w:rPr>
        <w:t xml:space="preserve">perveance [5].  </w:t>
      </w:r>
    </w:p>
    <w:p w14:paraId="20D97A5B" w14:textId="77777777" w:rsidR="006E5133" w:rsidRPr="006E5133" w:rsidRDefault="006E5133" w:rsidP="0004387A">
      <w:pPr>
        <w:spacing w:after="0" w:line="240" w:lineRule="auto"/>
        <w:jc w:val="both"/>
        <w:rPr>
          <w:rFonts w:ascii="Times New Roman" w:hAnsi="Times New Roman" w:cs="Times New Roman"/>
          <w:sz w:val="12"/>
          <w:szCs w:val="12"/>
        </w:rPr>
      </w:pPr>
    </w:p>
    <w:p w14:paraId="5237A769" w14:textId="64659474" w:rsidR="006257FF" w:rsidRDefault="006257FF" w:rsidP="006257FF">
      <w:pPr>
        <w:spacing w:after="0" w:line="240" w:lineRule="auto"/>
        <w:ind w:left="180" w:right="56"/>
        <w:jc w:val="center"/>
        <w:rPr>
          <w:rFonts w:ascii="Arial" w:eastAsia="Arial" w:hAnsi="Arial" w:cs="Arial"/>
          <w:sz w:val="18"/>
          <w:szCs w:val="18"/>
        </w:rPr>
      </w:pPr>
      <w:r>
        <w:rPr>
          <w:rFonts w:ascii="Arial" w:eastAsia="Arial" w:hAnsi="Arial" w:cs="Arial"/>
          <w:b/>
          <w:bCs/>
          <w:sz w:val="18"/>
          <w:szCs w:val="18"/>
        </w:rPr>
        <w:t>T</w:t>
      </w:r>
      <w:r>
        <w:rPr>
          <w:rFonts w:ascii="Arial" w:eastAsia="Arial" w:hAnsi="Arial" w:cs="Arial"/>
          <w:b/>
          <w:bCs/>
          <w:spacing w:val="-1"/>
          <w:sz w:val="18"/>
          <w:szCs w:val="18"/>
        </w:rPr>
        <w:t>a</w:t>
      </w:r>
      <w:r>
        <w:rPr>
          <w:rFonts w:ascii="Arial" w:eastAsia="Arial" w:hAnsi="Arial" w:cs="Arial"/>
          <w:b/>
          <w:bCs/>
          <w:sz w:val="18"/>
          <w:szCs w:val="18"/>
        </w:rPr>
        <w:t>ble</w:t>
      </w:r>
      <w:r>
        <w:rPr>
          <w:rFonts w:ascii="Arial" w:eastAsia="Arial" w:hAnsi="Arial" w:cs="Arial"/>
          <w:b/>
          <w:bCs/>
          <w:spacing w:val="-5"/>
          <w:sz w:val="18"/>
          <w:szCs w:val="18"/>
        </w:rPr>
        <w:t xml:space="preserve"> </w:t>
      </w:r>
      <w:r>
        <w:rPr>
          <w:rFonts w:ascii="Arial" w:eastAsia="Arial" w:hAnsi="Arial" w:cs="Arial"/>
          <w:b/>
          <w:bCs/>
          <w:spacing w:val="-1"/>
          <w:sz w:val="18"/>
          <w:szCs w:val="18"/>
        </w:rPr>
        <w:t>1</w:t>
      </w:r>
      <w:r>
        <w:rPr>
          <w:rFonts w:ascii="Arial" w:eastAsia="Arial" w:hAnsi="Arial" w:cs="Arial"/>
          <w:b/>
          <w:bCs/>
          <w:sz w:val="18"/>
          <w:szCs w:val="18"/>
        </w:rPr>
        <w:t xml:space="preserve">. </w:t>
      </w:r>
      <w:r>
        <w:rPr>
          <w:rFonts w:ascii="Arial" w:eastAsia="Arial" w:hAnsi="Arial" w:cs="Arial"/>
          <w:sz w:val="18"/>
          <w:szCs w:val="18"/>
        </w:rPr>
        <w:t xml:space="preserve">Summary </w:t>
      </w:r>
      <w:r w:rsidR="0097193A">
        <w:rPr>
          <w:rFonts w:ascii="Arial" w:eastAsia="Arial" w:hAnsi="Arial" w:cs="Arial"/>
          <w:sz w:val="18"/>
          <w:szCs w:val="18"/>
        </w:rPr>
        <w:t>of</w:t>
      </w:r>
      <w:r w:rsidR="007C213A">
        <w:rPr>
          <w:rFonts w:ascii="Arial" w:eastAsia="Arial" w:hAnsi="Arial" w:cs="Arial"/>
          <w:sz w:val="18"/>
          <w:szCs w:val="18"/>
        </w:rPr>
        <w:t xml:space="preserve"> </w:t>
      </w:r>
      <w:r w:rsidR="0097193A">
        <w:rPr>
          <w:rFonts w:ascii="Arial" w:eastAsia="Arial" w:hAnsi="Arial" w:cs="Arial"/>
          <w:sz w:val="18"/>
          <w:szCs w:val="18"/>
        </w:rPr>
        <w:t xml:space="preserve">MBK and single-beam GSP </w:t>
      </w:r>
      <w:r>
        <w:rPr>
          <w:rFonts w:ascii="Arial" w:eastAsia="Arial" w:hAnsi="Arial" w:cs="Arial"/>
          <w:sz w:val="18"/>
          <w:szCs w:val="18"/>
        </w:rPr>
        <w:t xml:space="preserve">klystron </w:t>
      </w:r>
      <w:r w:rsidR="007C213A">
        <w:rPr>
          <w:rFonts w:ascii="Arial" w:eastAsia="Arial" w:hAnsi="Arial" w:cs="Arial"/>
          <w:sz w:val="18"/>
          <w:szCs w:val="18"/>
        </w:rPr>
        <w:t>parameters</w:t>
      </w:r>
      <w:r>
        <w:rPr>
          <w:rFonts w:ascii="Arial" w:eastAsia="Arial" w:hAnsi="Arial" w:cs="Arial"/>
          <w:sz w:val="18"/>
          <w:szCs w:val="18"/>
        </w:rPr>
        <w:t>.</w:t>
      </w:r>
    </w:p>
    <w:p w14:paraId="3C1E4362" w14:textId="1DCADD6A" w:rsidR="006257FF" w:rsidRDefault="006257FF" w:rsidP="006257FF">
      <w:pPr>
        <w:spacing w:after="0" w:line="240" w:lineRule="auto"/>
        <w:ind w:left="180"/>
        <w:rPr>
          <w:sz w:val="7"/>
          <w:szCs w:val="7"/>
        </w:rPr>
      </w:pPr>
    </w:p>
    <w:tbl>
      <w:tblPr>
        <w:tblW w:w="4770" w:type="dxa"/>
        <w:tblInd w:w="3" w:type="dxa"/>
        <w:tblLayout w:type="fixed"/>
        <w:tblCellMar>
          <w:left w:w="0" w:type="dxa"/>
          <w:right w:w="0" w:type="dxa"/>
        </w:tblCellMar>
        <w:tblLook w:val="01E0" w:firstRow="1" w:lastRow="1" w:firstColumn="1" w:lastColumn="1" w:noHBand="0" w:noVBand="0"/>
      </w:tblPr>
      <w:tblGrid>
        <w:gridCol w:w="1350"/>
        <w:gridCol w:w="810"/>
        <w:gridCol w:w="900"/>
        <w:gridCol w:w="810"/>
        <w:gridCol w:w="900"/>
      </w:tblGrid>
      <w:tr w:rsidR="006E407A" w14:paraId="18647614" w14:textId="55F7A892" w:rsidTr="001A22F4">
        <w:trPr>
          <w:trHeight w:val="670"/>
        </w:trPr>
        <w:tc>
          <w:tcPr>
            <w:tcW w:w="1350" w:type="dxa"/>
            <w:tcBorders>
              <w:top w:val="single" w:sz="2" w:space="0" w:color="000000"/>
              <w:left w:val="single" w:sz="2" w:space="0" w:color="000000"/>
              <w:bottom w:val="single" w:sz="2" w:space="0" w:color="000000"/>
              <w:right w:val="single" w:sz="2" w:space="0" w:color="000000"/>
            </w:tcBorders>
            <w:vAlign w:val="center"/>
          </w:tcPr>
          <w:p w14:paraId="700BD114" w14:textId="454B538F" w:rsidR="006E407A" w:rsidRPr="00677DBE" w:rsidRDefault="006E407A" w:rsidP="006E407A">
            <w:pPr>
              <w:spacing w:after="0" w:line="240" w:lineRule="auto"/>
              <w:ind w:left="180" w:right="233"/>
              <w:jc w:val="center"/>
              <w:rPr>
                <w:rFonts w:ascii="Arial" w:eastAsia="Arial" w:hAnsi="Arial" w:cs="Arial"/>
                <w:b/>
                <w:bCs/>
                <w:spacing w:val="-2"/>
                <w:sz w:val="18"/>
                <w:szCs w:val="20"/>
              </w:rPr>
            </w:pPr>
            <w:r>
              <w:rPr>
                <w:rFonts w:ascii="Arial" w:eastAsia="Arial" w:hAnsi="Arial" w:cs="Arial"/>
                <w:b/>
                <w:bCs/>
                <w:spacing w:val="-2"/>
                <w:sz w:val="18"/>
                <w:szCs w:val="20"/>
              </w:rPr>
              <w:t>Klystron Type</w:t>
            </w:r>
          </w:p>
        </w:tc>
        <w:tc>
          <w:tcPr>
            <w:tcW w:w="810" w:type="dxa"/>
            <w:tcBorders>
              <w:top w:val="single" w:sz="2" w:space="0" w:color="000000"/>
              <w:left w:val="single" w:sz="2" w:space="0" w:color="000000"/>
              <w:bottom w:val="single" w:sz="2" w:space="0" w:color="000000"/>
              <w:right w:val="single" w:sz="2" w:space="0" w:color="000000"/>
            </w:tcBorders>
            <w:vAlign w:val="center"/>
          </w:tcPr>
          <w:p w14:paraId="24A8A2EE" w14:textId="5C4114EA" w:rsidR="006E407A" w:rsidRPr="001A22F4" w:rsidRDefault="006E407A" w:rsidP="006E407A">
            <w:pPr>
              <w:spacing w:after="0" w:line="240" w:lineRule="auto"/>
              <w:ind w:right="-20"/>
              <w:jc w:val="center"/>
              <w:rPr>
                <w:rFonts w:ascii="Arial" w:eastAsia="Arial" w:hAnsi="Arial" w:cs="Arial"/>
                <w:b/>
                <w:spacing w:val="-2"/>
                <w:sz w:val="18"/>
                <w:szCs w:val="20"/>
              </w:rPr>
            </w:pPr>
            <w:r w:rsidRPr="001A22F4">
              <w:rPr>
                <w:rFonts w:ascii="Arial" w:eastAsia="Arial" w:hAnsi="Arial" w:cs="Arial"/>
                <w:b/>
                <w:spacing w:val="-2"/>
                <w:sz w:val="18"/>
                <w:szCs w:val="20"/>
              </w:rPr>
              <w:t>MBK</w:t>
            </w:r>
          </w:p>
        </w:tc>
        <w:tc>
          <w:tcPr>
            <w:tcW w:w="900" w:type="dxa"/>
            <w:tcBorders>
              <w:top w:val="single" w:sz="2" w:space="0" w:color="000000"/>
              <w:left w:val="single" w:sz="2" w:space="0" w:color="000000"/>
              <w:bottom w:val="single" w:sz="2" w:space="0" w:color="000000"/>
              <w:right w:val="single" w:sz="2" w:space="0" w:color="000000"/>
            </w:tcBorders>
            <w:vAlign w:val="center"/>
          </w:tcPr>
          <w:p w14:paraId="58A1BDAD" w14:textId="77777777" w:rsidR="006E407A" w:rsidRPr="001A22F4" w:rsidRDefault="006E407A" w:rsidP="006E407A">
            <w:pPr>
              <w:spacing w:after="0" w:line="240" w:lineRule="auto"/>
              <w:ind w:right="-20"/>
              <w:jc w:val="center"/>
              <w:rPr>
                <w:rFonts w:ascii="Arial" w:eastAsia="Arial" w:hAnsi="Arial" w:cs="Arial"/>
                <w:b/>
                <w:spacing w:val="-2"/>
                <w:sz w:val="18"/>
                <w:szCs w:val="20"/>
              </w:rPr>
            </w:pPr>
            <w:r w:rsidRPr="001A22F4">
              <w:rPr>
                <w:rFonts w:ascii="Arial" w:eastAsia="Arial" w:hAnsi="Arial" w:cs="Arial"/>
                <w:b/>
                <w:spacing w:val="-2"/>
                <w:sz w:val="18"/>
                <w:szCs w:val="20"/>
              </w:rPr>
              <w:t xml:space="preserve">GSP </w:t>
            </w:r>
          </w:p>
          <w:p w14:paraId="510DE962" w14:textId="4FF68950" w:rsidR="006E407A" w:rsidRPr="001A22F4" w:rsidRDefault="006E407A" w:rsidP="006E407A">
            <w:pPr>
              <w:spacing w:after="0" w:line="240" w:lineRule="auto"/>
              <w:ind w:right="-20"/>
              <w:jc w:val="center"/>
              <w:rPr>
                <w:rFonts w:ascii="Arial" w:eastAsia="Arial" w:hAnsi="Arial" w:cs="Arial"/>
                <w:b/>
                <w:spacing w:val="-2"/>
                <w:sz w:val="18"/>
                <w:szCs w:val="20"/>
              </w:rPr>
            </w:pPr>
            <w:r w:rsidRPr="001A22F4">
              <w:rPr>
                <w:rFonts w:ascii="Arial" w:eastAsia="Arial" w:hAnsi="Arial" w:cs="Arial"/>
                <w:b/>
                <w:spacing w:val="-2"/>
                <w:sz w:val="18"/>
                <w:szCs w:val="20"/>
              </w:rPr>
              <w:t>08-04</w:t>
            </w:r>
          </w:p>
          <w:p w14:paraId="07C2CA9F" w14:textId="4022ED58" w:rsidR="006E407A" w:rsidRPr="001A22F4" w:rsidRDefault="006E407A" w:rsidP="006E407A">
            <w:pPr>
              <w:spacing w:after="0" w:line="240" w:lineRule="auto"/>
              <w:ind w:right="-20"/>
              <w:jc w:val="center"/>
              <w:rPr>
                <w:rFonts w:ascii="Arial" w:eastAsia="Arial" w:hAnsi="Arial" w:cs="Arial"/>
                <w:b/>
                <w:spacing w:val="-2"/>
                <w:sz w:val="18"/>
                <w:szCs w:val="20"/>
              </w:rPr>
            </w:pPr>
            <w:r w:rsidRPr="001A22F4">
              <w:rPr>
                <w:rFonts w:ascii="Arial" w:eastAsia="Arial" w:hAnsi="Arial" w:cs="Arial"/>
                <w:b/>
                <w:spacing w:val="-2"/>
                <w:sz w:val="18"/>
                <w:szCs w:val="20"/>
              </w:rPr>
              <w:t>Magic2-D</w:t>
            </w:r>
          </w:p>
        </w:tc>
        <w:tc>
          <w:tcPr>
            <w:tcW w:w="810" w:type="dxa"/>
            <w:tcBorders>
              <w:top w:val="single" w:sz="2" w:space="0" w:color="000000"/>
              <w:left w:val="single" w:sz="2" w:space="0" w:color="000000"/>
              <w:bottom w:val="single" w:sz="2" w:space="0" w:color="000000"/>
              <w:right w:val="single" w:sz="2" w:space="0" w:color="000000"/>
            </w:tcBorders>
          </w:tcPr>
          <w:p w14:paraId="2DEBA6C3" w14:textId="77777777" w:rsidR="006E407A" w:rsidRPr="001A22F4" w:rsidRDefault="006E407A" w:rsidP="006E407A">
            <w:pPr>
              <w:spacing w:after="0" w:line="240" w:lineRule="auto"/>
              <w:ind w:right="-20"/>
              <w:jc w:val="center"/>
              <w:rPr>
                <w:rFonts w:ascii="Arial" w:eastAsia="Arial" w:hAnsi="Arial" w:cs="Arial"/>
                <w:b/>
                <w:spacing w:val="-2"/>
                <w:sz w:val="18"/>
                <w:szCs w:val="20"/>
              </w:rPr>
            </w:pPr>
            <w:r w:rsidRPr="001A22F4">
              <w:rPr>
                <w:rFonts w:ascii="Arial" w:eastAsia="Arial" w:hAnsi="Arial" w:cs="Arial"/>
                <w:b/>
                <w:spacing w:val="-2"/>
                <w:sz w:val="18"/>
                <w:szCs w:val="20"/>
              </w:rPr>
              <w:t xml:space="preserve">GSP </w:t>
            </w:r>
          </w:p>
          <w:p w14:paraId="446962ED" w14:textId="77777777" w:rsidR="006E407A" w:rsidRPr="001A22F4" w:rsidRDefault="006E407A" w:rsidP="006E407A">
            <w:pPr>
              <w:spacing w:after="0" w:line="240" w:lineRule="auto"/>
              <w:ind w:right="-20"/>
              <w:jc w:val="center"/>
              <w:rPr>
                <w:rFonts w:ascii="Arial" w:eastAsia="Arial" w:hAnsi="Arial" w:cs="Arial"/>
                <w:b/>
                <w:spacing w:val="-2"/>
                <w:sz w:val="18"/>
                <w:szCs w:val="20"/>
              </w:rPr>
            </w:pPr>
            <w:r w:rsidRPr="001A22F4">
              <w:rPr>
                <w:rFonts w:ascii="Arial" w:eastAsia="Arial" w:hAnsi="Arial" w:cs="Arial"/>
                <w:b/>
                <w:spacing w:val="-2"/>
                <w:sz w:val="18"/>
                <w:szCs w:val="20"/>
              </w:rPr>
              <w:t>08-04</w:t>
            </w:r>
          </w:p>
          <w:p w14:paraId="5D34F5D1" w14:textId="1A050101" w:rsidR="006E407A" w:rsidRPr="001A22F4" w:rsidRDefault="006E407A" w:rsidP="006E407A">
            <w:pPr>
              <w:spacing w:after="0" w:line="240" w:lineRule="auto"/>
              <w:ind w:right="-20"/>
              <w:jc w:val="center"/>
              <w:rPr>
                <w:rFonts w:ascii="Arial" w:eastAsia="Arial" w:hAnsi="Arial" w:cs="Arial"/>
                <w:b/>
                <w:spacing w:val="-2"/>
                <w:sz w:val="18"/>
                <w:szCs w:val="20"/>
              </w:rPr>
            </w:pPr>
            <w:r w:rsidRPr="001A22F4">
              <w:rPr>
                <w:rFonts w:ascii="Arial" w:eastAsia="Arial" w:hAnsi="Arial" w:cs="Arial"/>
                <w:b/>
                <w:spacing w:val="-2"/>
                <w:sz w:val="18"/>
                <w:szCs w:val="20"/>
              </w:rPr>
              <w:t>TESLA</w:t>
            </w:r>
          </w:p>
        </w:tc>
        <w:tc>
          <w:tcPr>
            <w:tcW w:w="900" w:type="dxa"/>
            <w:tcBorders>
              <w:top w:val="single" w:sz="2" w:space="0" w:color="000000"/>
              <w:left w:val="single" w:sz="2" w:space="0" w:color="000000"/>
              <w:bottom w:val="single" w:sz="2" w:space="0" w:color="000000"/>
              <w:right w:val="single" w:sz="2" w:space="0" w:color="000000"/>
            </w:tcBorders>
            <w:vAlign w:val="center"/>
          </w:tcPr>
          <w:p w14:paraId="116C243F" w14:textId="77777777" w:rsidR="006E407A" w:rsidRPr="001A22F4" w:rsidRDefault="006E407A" w:rsidP="006E407A">
            <w:pPr>
              <w:spacing w:after="0" w:line="240" w:lineRule="auto"/>
              <w:ind w:right="-20"/>
              <w:jc w:val="center"/>
              <w:rPr>
                <w:rFonts w:ascii="Arial" w:eastAsia="Arial" w:hAnsi="Arial" w:cs="Arial"/>
                <w:b/>
                <w:spacing w:val="-2"/>
                <w:sz w:val="18"/>
                <w:szCs w:val="20"/>
              </w:rPr>
            </w:pPr>
            <w:r w:rsidRPr="001A22F4">
              <w:rPr>
                <w:rFonts w:ascii="Arial" w:eastAsia="Arial" w:hAnsi="Arial" w:cs="Arial"/>
                <w:b/>
                <w:spacing w:val="-2"/>
                <w:sz w:val="18"/>
                <w:szCs w:val="20"/>
              </w:rPr>
              <w:t xml:space="preserve">GSP </w:t>
            </w:r>
          </w:p>
          <w:p w14:paraId="7CB7519C" w14:textId="77777777" w:rsidR="006E407A" w:rsidRPr="001A22F4" w:rsidRDefault="006E407A" w:rsidP="006E407A">
            <w:pPr>
              <w:spacing w:after="0" w:line="240" w:lineRule="auto"/>
              <w:ind w:right="-20"/>
              <w:jc w:val="center"/>
              <w:rPr>
                <w:rFonts w:ascii="Arial" w:eastAsia="Arial" w:hAnsi="Arial" w:cs="Arial"/>
                <w:b/>
                <w:spacing w:val="-2"/>
                <w:sz w:val="18"/>
                <w:szCs w:val="20"/>
              </w:rPr>
            </w:pPr>
            <w:r w:rsidRPr="001A22F4">
              <w:rPr>
                <w:rFonts w:ascii="Arial" w:eastAsia="Arial" w:hAnsi="Arial" w:cs="Arial"/>
                <w:b/>
                <w:spacing w:val="-2"/>
                <w:sz w:val="18"/>
                <w:szCs w:val="20"/>
              </w:rPr>
              <w:t>08-04</w:t>
            </w:r>
          </w:p>
          <w:p w14:paraId="4299DD78" w14:textId="7D6DD5FE" w:rsidR="006E407A" w:rsidRPr="001A22F4" w:rsidRDefault="006E407A" w:rsidP="006E407A">
            <w:pPr>
              <w:spacing w:after="0" w:line="240" w:lineRule="auto"/>
              <w:ind w:right="-20"/>
              <w:jc w:val="center"/>
              <w:rPr>
                <w:rFonts w:ascii="Arial" w:eastAsia="Arial" w:hAnsi="Arial" w:cs="Arial"/>
                <w:b/>
                <w:spacing w:val="-2"/>
                <w:sz w:val="18"/>
                <w:szCs w:val="20"/>
              </w:rPr>
            </w:pPr>
            <w:r w:rsidRPr="001A22F4">
              <w:rPr>
                <w:rFonts w:ascii="Arial" w:eastAsia="Arial" w:hAnsi="Arial" w:cs="Arial"/>
                <w:b/>
                <w:spacing w:val="-2"/>
                <w:sz w:val="18"/>
                <w:szCs w:val="20"/>
              </w:rPr>
              <w:t>KLYS-2D</w:t>
            </w:r>
          </w:p>
        </w:tc>
      </w:tr>
      <w:tr w:rsidR="006E407A" w14:paraId="2AE8C546" w14:textId="5063DB0F" w:rsidTr="001A22F4">
        <w:trPr>
          <w:trHeight w:hRule="exact" w:val="418"/>
        </w:trPr>
        <w:tc>
          <w:tcPr>
            <w:tcW w:w="1350" w:type="dxa"/>
            <w:tcBorders>
              <w:top w:val="single" w:sz="2" w:space="0" w:color="000000"/>
              <w:left w:val="single" w:sz="2" w:space="0" w:color="000000"/>
              <w:bottom w:val="single" w:sz="2" w:space="0" w:color="000000"/>
              <w:right w:val="single" w:sz="2" w:space="0" w:color="000000"/>
            </w:tcBorders>
            <w:vAlign w:val="center"/>
          </w:tcPr>
          <w:p w14:paraId="61129ADB" w14:textId="45517A2B" w:rsidR="006E407A" w:rsidRPr="00677DBE" w:rsidRDefault="006E407A" w:rsidP="006E407A">
            <w:pPr>
              <w:spacing w:after="0" w:line="240" w:lineRule="auto"/>
              <w:ind w:left="180" w:right="233"/>
              <w:jc w:val="center"/>
              <w:rPr>
                <w:rFonts w:ascii="Arial" w:eastAsia="Arial" w:hAnsi="Arial" w:cs="Arial"/>
                <w:sz w:val="18"/>
                <w:szCs w:val="20"/>
              </w:rPr>
            </w:pPr>
            <w:r>
              <w:rPr>
                <w:rFonts w:ascii="Arial" w:eastAsia="Arial" w:hAnsi="Arial" w:cs="Arial"/>
                <w:b/>
                <w:bCs/>
                <w:spacing w:val="-2"/>
                <w:sz w:val="18"/>
                <w:szCs w:val="20"/>
              </w:rPr>
              <w:t>No. of Cavities</w:t>
            </w:r>
          </w:p>
        </w:tc>
        <w:tc>
          <w:tcPr>
            <w:tcW w:w="810" w:type="dxa"/>
            <w:tcBorders>
              <w:top w:val="single" w:sz="2" w:space="0" w:color="000000"/>
              <w:left w:val="single" w:sz="2" w:space="0" w:color="000000"/>
              <w:bottom w:val="single" w:sz="2" w:space="0" w:color="000000"/>
              <w:right w:val="single" w:sz="2" w:space="0" w:color="000000"/>
            </w:tcBorders>
            <w:vAlign w:val="center"/>
          </w:tcPr>
          <w:p w14:paraId="54714BBB" w14:textId="493963F1" w:rsidR="006E407A" w:rsidRDefault="00D82AB4" w:rsidP="006E407A">
            <w:pPr>
              <w:spacing w:after="0" w:line="240" w:lineRule="auto"/>
              <w:ind w:left="57" w:right="-20"/>
              <w:jc w:val="center"/>
              <w:rPr>
                <w:rFonts w:ascii="Arial" w:eastAsia="Arial" w:hAnsi="Arial" w:cs="Arial"/>
                <w:spacing w:val="-2"/>
                <w:sz w:val="18"/>
                <w:szCs w:val="20"/>
              </w:rPr>
            </w:pPr>
            <w:r>
              <w:rPr>
                <w:rFonts w:ascii="Arial" w:eastAsia="Arial" w:hAnsi="Arial" w:cs="Arial"/>
                <w:spacing w:val="-2"/>
                <w:sz w:val="18"/>
                <w:szCs w:val="20"/>
              </w:rPr>
              <w:t>8</w:t>
            </w:r>
          </w:p>
        </w:tc>
        <w:tc>
          <w:tcPr>
            <w:tcW w:w="900" w:type="dxa"/>
            <w:tcBorders>
              <w:top w:val="single" w:sz="2" w:space="0" w:color="000000"/>
              <w:left w:val="single" w:sz="2" w:space="0" w:color="000000"/>
              <w:bottom w:val="single" w:sz="2" w:space="0" w:color="000000"/>
              <w:right w:val="single" w:sz="2" w:space="0" w:color="000000"/>
            </w:tcBorders>
            <w:vAlign w:val="center"/>
          </w:tcPr>
          <w:p w14:paraId="7DEB182F" w14:textId="7B982E45" w:rsidR="006E407A" w:rsidRDefault="00D82AB4" w:rsidP="006E407A">
            <w:pPr>
              <w:spacing w:after="0" w:line="240" w:lineRule="auto"/>
              <w:ind w:left="57" w:right="-20"/>
              <w:jc w:val="center"/>
              <w:rPr>
                <w:rFonts w:ascii="Arial" w:eastAsia="Arial" w:hAnsi="Arial" w:cs="Arial"/>
                <w:spacing w:val="-2"/>
                <w:sz w:val="18"/>
                <w:szCs w:val="20"/>
              </w:rPr>
            </w:pPr>
            <w:r>
              <w:rPr>
                <w:rFonts w:ascii="Arial" w:eastAsia="Arial" w:hAnsi="Arial" w:cs="Arial"/>
                <w:spacing w:val="-2"/>
                <w:sz w:val="18"/>
                <w:szCs w:val="20"/>
              </w:rPr>
              <w:t>8</w:t>
            </w:r>
          </w:p>
        </w:tc>
        <w:tc>
          <w:tcPr>
            <w:tcW w:w="810" w:type="dxa"/>
            <w:tcBorders>
              <w:top w:val="single" w:sz="2" w:space="0" w:color="000000"/>
              <w:left w:val="single" w:sz="2" w:space="0" w:color="000000"/>
              <w:bottom w:val="single" w:sz="2" w:space="0" w:color="000000"/>
              <w:right w:val="single" w:sz="2" w:space="0" w:color="000000"/>
            </w:tcBorders>
            <w:vAlign w:val="center"/>
          </w:tcPr>
          <w:p w14:paraId="1CC4F917" w14:textId="1F97A5B2" w:rsidR="006E407A" w:rsidRDefault="00D82AB4" w:rsidP="006E407A">
            <w:pPr>
              <w:spacing w:after="0" w:line="240" w:lineRule="auto"/>
              <w:ind w:left="57" w:right="-20"/>
              <w:jc w:val="center"/>
              <w:rPr>
                <w:rFonts w:ascii="Arial" w:eastAsia="Arial" w:hAnsi="Arial" w:cs="Arial"/>
                <w:spacing w:val="-2"/>
                <w:sz w:val="18"/>
                <w:szCs w:val="20"/>
              </w:rPr>
            </w:pPr>
            <w:r>
              <w:rPr>
                <w:rFonts w:ascii="Arial" w:eastAsia="Arial" w:hAnsi="Arial" w:cs="Arial"/>
                <w:spacing w:val="-2"/>
                <w:sz w:val="18"/>
                <w:szCs w:val="20"/>
              </w:rPr>
              <w:t>8</w:t>
            </w:r>
          </w:p>
        </w:tc>
        <w:tc>
          <w:tcPr>
            <w:tcW w:w="900" w:type="dxa"/>
            <w:tcBorders>
              <w:top w:val="single" w:sz="2" w:space="0" w:color="000000"/>
              <w:left w:val="single" w:sz="2" w:space="0" w:color="000000"/>
              <w:bottom w:val="single" w:sz="2" w:space="0" w:color="000000"/>
              <w:right w:val="single" w:sz="2" w:space="0" w:color="000000"/>
            </w:tcBorders>
            <w:vAlign w:val="center"/>
          </w:tcPr>
          <w:p w14:paraId="4E901DE0" w14:textId="30C369C2" w:rsidR="006E407A" w:rsidRDefault="00D82AB4" w:rsidP="006E407A">
            <w:pPr>
              <w:spacing w:after="0" w:line="240" w:lineRule="auto"/>
              <w:ind w:left="57" w:right="-20"/>
              <w:jc w:val="center"/>
              <w:rPr>
                <w:rFonts w:ascii="Arial" w:eastAsia="Arial" w:hAnsi="Arial" w:cs="Arial"/>
                <w:spacing w:val="-2"/>
                <w:sz w:val="18"/>
                <w:szCs w:val="20"/>
              </w:rPr>
            </w:pPr>
            <w:r>
              <w:rPr>
                <w:rFonts w:ascii="Arial" w:eastAsia="Arial" w:hAnsi="Arial" w:cs="Arial"/>
                <w:spacing w:val="-2"/>
                <w:sz w:val="18"/>
                <w:szCs w:val="20"/>
              </w:rPr>
              <w:t>8</w:t>
            </w:r>
          </w:p>
        </w:tc>
      </w:tr>
      <w:tr w:rsidR="006E407A" w14:paraId="105FCE56" w14:textId="6C179141" w:rsidTr="001A22F4">
        <w:trPr>
          <w:trHeight w:hRule="exact" w:val="418"/>
        </w:trPr>
        <w:tc>
          <w:tcPr>
            <w:tcW w:w="1350" w:type="dxa"/>
            <w:tcBorders>
              <w:top w:val="single" w:sz="2" w:space="0" w:color="000000"/>
              <w:left w:val="single" w:sz="2" w:space="0" w:color="000000"/>
              <w:bottom w:val="single" w:sz="2" w:space="0" w:color="000000"/>
              <w:right w:val="single" w:sz="2" w:space="0" w:color="000000"/>
            </w:tcBorders>
            <w:vAlign w:val="center"/>
          </w:tcPr>
          <w:p w14:paraId="5E8ACF19" w14:textId="1C55A5A1" w:rsidR="006E407A" w:rsidRDefault="001A22F4" w:rsidP="00D82AB4">
            <w:pPr>
              <w:spacing w:after="0" w:line="240" w:lineRule="auto"/>
              <w:ind w:left="180" w:right="233"/>
              <w:jc w:val="center"/>
              <w:rPr>
                <w:rFonts w:ascii="Arial" w:eastAsia="Arial" w:hAnsi="Arial" w:cs="Arial"/>
                <w:b/>
                <w:bCs/>
                <w:spacing w:val="-2"/>
                <w:sz w:val="18"/>
                <w:szCs w:val="20"/>
              </w:rPr>
            </w:pPr>
            <w:r>
              <w:rPr>
                <w:rFonts w:ascii="Arial" w:eastAsia="Arial" w:hAnsi="Arial" w:cs="Arial"/>
                <w:b/>
                <w:bCs/>
                <w:spacing w:val="-2"/>
                <w:sz w:val="18"/>
                <w:szCs w:val="20"/>
              </w:rPr>
              <w:t xml:space="preserve">No. of </w:t>
            </w:r>
            <w:r w:rsidR="006E407A">
              <w:rPr>
                <w:rFonts w:ascii="Arial" w:eastAsia="Arial" w:hAnsi="Arial" w:cs="Arial"/>
                <w:b/>
                <w:bCs/>
                <w:spacing w:val="-2"/>
                <w:sz w:val="18"/>
                <w:szCs w:val="20"/>
              </w:rPr>
              <w:t>Beams</w:t>
            </w:r>
          </w:p>
        </w:tc>
        <w:tc>
          <w:tcPr>
            <w:tcW w:w="810" w:type="dxa"/>
            <w:tcBorders>
              <w:top w:val="single" w:sz="2" w:space="0" w:color="000000"/>
              <w:left w:val="single" w:sz="2" w:space="0" w:color="000000"/>
              <w:bottom w:val="single" w:sz="2" w:space="0" w:color="000000"/>
              <w:right w:val="single" w:sz="2" w:space="0" w:color="000000"/>
            </w:tcBorders>
            <w:vAlign w:val="center"/>
          </w:tcPr>
          <w:p w14:paraId="728CCB49" w14:textId="16BB6028" w:rsidR="006E407A" w:rsidRDefault="006E407A" w:rsidP="006E407A">
            <w:pPr>
              <w:spacing w:after="0" w:line="240" w:lineRule="auto"/>
              <w:ind w:left="57" w:right="-20"/>
              <w:jc w:val="center"/>
              <w:rPr>
                <w:rFonts w:ascii="Arial" w:eastAsia="Arial" w:hAnsi="Arial" w:cs="Arial"/>
                <w:spacing w:val="-2"/>
                <w:sz w:val="18"/>
                <w:szCs w:val="20"/>
              </w:rPr>
            </w:pPr>
            <w:r>
              <w:rPr>
                <w:rFonts w:ascii="Arial" w:eastAsia="Arial" w:hAnsi="Arial" w:cs="Arial"/>
                <w:spacing w:val="-2"/>
                <w:sz w:val="18"/>
                <w:szCs w:val="20"/>
              </w:rPr>
              <w:t>16</w:t>
            </w:r>
          </w:p>
        </w:tc>
        <w:tc>
          <w:tcPr>
            <w:tcW w:w="900" w:type="dxa"/>
            <w:tcBorders>
              <w:top w:val="single" w:sz="2" w:space="0" w:color="000000"/>
              <w:left w:val="single" w:sz="2" w:space="0" w:color="000000"/>
              <w:bottom w:val="single" w:sz="2" w:space="0" w:color="000000"/>
              <w:right w:val="single" w:sz="2" w:space="0" w:color="000000"/>
            </w:tcBorders>
            <w:vAlign w:val="center"/>
          </w:tcPr>
          <w:p w14:paraId="437453EA" w14:textId="49226859" w:rsidR="006E407A" w:rsidRDefault="006E407A" w:rsidP="006E407A">
            <w:pPr>
              <w:spacing w:after="0" w:line="240" w:lineRule="auto"/>
              <w:ind w:left="57" w:right="-20"/>
              <w:jc w:val="center"/>
              <w:rPr>
                <w:rFonts w:ascii="Arial" w:eastAsia="Arial" w:hAnsi="Arial" w:cs="Arial"/>
                <w:spacing w:val="-2"/>
                <w:sz w:val="18"/>
                <w:szCs w:val="20"/>
              </w:rPr>
            </w:pPr>
            <w:r>
              <w:rPr>
                <w:rFonts w:ascii="Arial" w:eastAsia="Arial" w:hAnsi="Arial" w:cs="Arial"/>
                <w:spacing w:val="-2"/>
                <w:sz w:val="18"/>
                <w:szCs w:val="20"/>
              </w:rPr>
              <w:t>1</w:t>
            </w:r>
          </w:p>
        </w:tc>
        <w:tc>
          <w:tcPr>
            <w:tcW w:w="810" w:type="dxa"/>
            <w:tcBorders>
              <w:top w:val="single" w:sz="2" w:space="0" w:color="000000"/>
              <w:left w:val="single" w:sz="2" w:space="0" w:color="000000"/>
              <w:bottom w:val="single" w:sz="2" w:space="0" w:color="000000"/>
              <w:right w:val="single" w:sz="2" w:space="0" w:color="000000"/>
            </w:tcBorders>
            <w:vAlign w:val="center"/>
          </w:tcPr>
          <w:p w14:paraId="22322A74" w14:textId="3A1F7515" w:rsidR="006E407A" w:rsidRDefault="006E407A" w:rsidP="006E407A">
            <w:pPr>
              <w:spacing w:after="0" w:line="240" w:lineRule="auto"/>
              <w:ind w:left="57" w:right="-20"/>
              <w:jc w:val="center"/>
              <w:rPr>
                <w:rFonts w:ascii="Arial" w:eastAsia="Arial" w:hAnsi="Arial" w:cs="Arial"/>
                <w:spacing w:val="-2"/>
                <w:sz w:val="18"/>
                <w:szCs w:val="20"/>
              </w:rPr>
            </w:pPr>
            <w:r>
              <w:rPr>
                <w:rFonts w:ascii="Arial" w:eastAsia="Arial" w:hAnsi="Arial" w:cs="Arial"/>
                <w:spacing w:val="-2"/>
                <w:sz w:val="18"/>
                <w:szCs w:val="20"/>
              </w:rPr>
              <w:t>1</w:t>
            </w:r>
          </w:p>
        </w:tc>
        <w:tc>
          <w:tcPr>
            <w:tcW w:w="900" w:type="dxa"/>
            <w:tcBorders>
              <w:top w:val="single" w:sz="2" w:space="0" w:color="000000"/>
              <w:left w:val="single" w:sz="2" w:space="0" w:color="000000"/>
              <w:bottom w:val="single" w:sz="2" w:space="0" w:color="000000"/>
              <w:right w:val="single" w:sz="2" w:space="0" w:color="000000"/>
            </w:tcBorders>
            <w:vAlign w:val="center"/>
          </w:tcPr>
          <w:p w14:paraId="179A25B0" w14:textId="11E9719F" w:rsidR="006E407A" w:rsidRDefault="006E407A" w:rsidP="006E407A">
            <w:pPr>
              <w:spacing w:after="0" w:line="240" w:lineRule="auto"/>
              <w:ind w:left="57" w:right="-20"/>
              <w:jc w:val="center"/>
              <w:rPr>
                <w:rFonts w:ascii="Arial" w:eastAsia="Arial" w:hAnsi="Arial" w:cs="Arial"/>
                <w:spacing w:val="-2"/>
                <w:sz w:val="18"/>
                <w:szCs w:val="20"/>
              </w:rPr>
            </w:pPr>
            <w:r>
              <w:rPr>
                <w:rFonts w:ascii="Arial" w:eastAsia="Arial" w:hAnsi="Arial" w:cs="Arial"/>
                <w:spacing w:val="-2"/>
                <w:sz w:val="18"/>
                <w:szCs w:val="20"/>
              </w:rPr>
              <w:t>1</w:t>
            </w:r>
          </w:p>
        </w:tc>
      </w:tr>
      <w:tr w:rsidR="006E407A" w14:paraId="6C5C6E6C" w14:textId="45FF2631" w:rsidTr="001A22F4">
        <w:trPr>
          <w:trHeight w:hRule="exact" w:val="418"/>
        </w:trPr>
        <w:tc>
          <w:tcPr>
            <w:tcW w:w="1350" w:type="dxa"/>
            <w:tcBorders>
              <w:top w:val="single" w:sz="2" w:space="0" w:color="000000"/>
              <w:left w:val="single" w:sz="2" w:space="0" w:color="000000"/>
              <w:bottom w:val="single" w:sz="2" w:space="0" w:color="000000"/>
              <w:right w:val="single" w:sz="2" w:space="0" w:color="000000"/>
            </w:tcBorders>
            <w:vAlign w:val="center"/>
          </w:tcPr>
          <w:p w14:paraId="71F4F4B1" w14:textId="77777777" w:rsidR="006E407A" w:rsidRDefault="006E407A" w:rsidP="006E407A">
            <w:pPr>
              <w:spacing w:after="0" w:line="240" w:lineRule="auto"/>
              <w:ind w:right="-20"/>
              <w:jc w:val="center"/>
              <w:rPr>
                <w:rFonts w:ascii="Arial" w:eastAsia="Arial" w:hAnsi="Arial" w:cs="Arial"/>
                <w:b/>
                <w:bCs/>
                <w:spacing w:val="-2"/>
                <w:sz w:val="18"/>
                <w:szCs w:val="20"/>
              </w:rPr>
            </w:pPr>
            <w:r>
              <w:rPr>
                <w:rFonts w:ascii="Arial" w:eastAsia="Arial" w:hAnsi="Arial" w:cs="Arial"/>
                <w:b/>
                <w:bCs/>
                <w:spacing w:val="-2"/>
                <w:sz w:val="18"/>
                <w:szCs w:val="20"/>
              </w:rPr>
              <w:t xml:space="preserve">Beam </w:t>
            </w:r>
          </w:p>
          <w:p w14:paraId="3EE4DFA7" w14:textId="5D5C19DE" w:rsidR="006E407A" w:rsidRPr="00677DBE" w:rsidRDefault="006E407A" w:rsidP="006E407A">
            <w:pPr>
              <w:spacing w:after="0" w:line="240" w:lineRule="auto"/>
              <w:ind w:right="-20"/>
              <w:jc w:val="center"/>
              <w:rPr>
                <w:rFonts w:ascii="Arial" w:eastAsia="Arial" w:hAnsi="Arial" w:cs="Arial"/>
                <w:sz w:val="18"/>
                <w:szCs w:val="20"/>
              </w:rPr>
            </w:pPr>
            <w:r>
              <w:rPr>
                <w:rFonts w:ascii="Arial" w:eastAsia="Arial" w:hAnsi="Arial" w:cs="Arial"/>
                <w:b/>
                <w:bCs/>
                <w:spacing w:val="-2"/>
                <w:sz w:val="18"/>
                <w:szCs w:val="20"/>
              </w:rPr>
              <w:t>Voltage (kV)</w:t>
            </w:r>
          </w:p>
        </w:tc>
        <w:tc>
          <w:tcPr>
            <w:tcW w:w="810" w:type="dxa"/>
            <w:tcBorders>
              <w:top w:val="single" w:sz="2" w:space="0" w:color="000000"/>
              <w:left w:val="single" w:sz="2" w:space="0" w:color="000000"/>
              <w:bottom w:val="single" w:sz="2" w:space="0" w:color="000000"/>
              <w:right w:val="single" w:sz="2" w:space="0" w:color="000000"/>
            </w:tcBorders>
            <w:vAlign w:val="center"/>
          </w:tcPr>
          <w:p w14:paraId="56B46BA9" w14:textId="3811B718"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46.291</w:t>
            </w:r>
          </w:p>
        </w:tc>
        <w:tc>
          <w:tcPr>
            <w:tcW w:w="900" w:type="dxa"/>
            <w:tcBorders>
              <w:top w:val="single" w:sz="2" w:space="0" w:color="000000"/>
              <w:left w:val="single" w:sz="2" w:space="0" w:color="000000"/>
              <w:bottom w:val="single" w:sz="2" w:space="0" w:color="000000"/>
              <w:right w:val="single" w:sz="2" w:space="0" w:color="000000"/>
            </w:tcBorders>
            <w:vAlign w:val="center"/>
          </w:tcPr>
          <w:p w14:paraId="5BF92E7F" w14:textId="4809EA29"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133.85</w:t>
            </w:r>
          </w:p>
        </w:tc>
        <w:tc>
          <w:tcPr>
            <w:tcW w:w="810" w:type="dxa"/>
            <w:tcBorders>
              <w:top w:val="single" w:sz="2" w:space="0" w:color="000000"/>
              <w:left w:val="single" w:sz="2" w:space="0" w:color="000000"/>
              <w:bottom w:val="single" w:sz="2" w:space="0" w:color="000000"/>
              <w:right w:val="single" w:sz="2" w:space="0" w:color="000000"/>
            </w:tcBorders>
            <w:vAlign w:val="center"/>
          </w:tcPr>
          <w:p w14:paraId="27F65325" w14:textId="63DB7BD2"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133.85</w:t>
            </w:r>
          </w:p>
        </w:tc>
        <w:tc>
          <w:tcPr>
            <w:tcW w:w="900" w:type="dxa"/>
            <w:tcBorders>
              <w:top w:val="single" w:sz="2" w:space="0" w:color="000000"/>
              <w:left w:val="single" w:sz="2" w:space="0" w:color="000000"/>
              <w:bottom w:val="single" w:sz="2" w:space="0" w:color="000000"/>
              <w:right w:val="single" w:sz="2" w:space="0" w:color="000000"/>
            </w:tcBorders>
            <w:vAlign w:val="center"/>
          </w:tcPr>
          <w:p w14:paraId="37B1CE93" w14:textId="43B8AADE"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133.85</w:t>
            </w:r>
          </w:p>
        </w:tc>
      </w:tr>
      <w:tr w:rsidR="006E407A" w14:paraId="3C74B86F" w14:textId="1CD6C2C4" w:rsidTr="001A22F4">
        <w:trPr>
          <w:trHeight w:hRule="exact" w:val="418"/>
        </w:trPr>
        <w:tc>
          <w:tcPr>
            <w:tcW w:w="1350" w:type="dxa"/>
            <w:tcBorders>
              <w:top w:val="single" w:sz="2" w:space="0" w:color="000000"/>
              <w:left w:val="single" w:sz="2" w:space="0" w:color="000000"/>
              <w:bottom w:val="single" w:sz="2" w:space="0" w:color="000000"/>
              <w:right w:val="single" w:sz="2" w:space="0" w:color="000000"/>
            </w:tcBorders>
            <w:vAlign w:val="center"/>
          </w:tcPr>
          <w:p w14:paraId="31594552" w14:textId="77777777" w:rsidR="006E407A" w:rsidRDefault="006E407A" w:rsidP="006E407A">
            <w:pPr>
              <w:spacing w:after="0" w:line="240" w:lineRule="auto"/>
              <w:ind w:right="-20"/>
              <w:jc w:val="center"/>
              <w:rPr>
                <w:rFonts w:ascii="Arial" w:eastAsia="Arial" w:hAnsi="Arial" w:cs="Arial"/>
                <w:b/>
                <w:bCs/>
                <w:spacing w:val="-2"/>
                <w:sz w:val="18"/>
                <w:szCs w:val="20"/>
              </w:rPr>
            </w:pPr>
            <w:r>
              <w:rPr>
                <w:rFonts w:ascii="Arial" w:eastAsia="Arial" w:hAnsi="Arial" w:cs="Arial"/>
                <w:b/>
                <w:bCs/>
                <w:spacing w:val="-2"/>
                <w:sz w:val="18"/>
                <w:szCs w:val="20"/>
              </w:rPr>
              <w:t xml:space="preserve">Beam </w:t>
            </w:r>
          </w:p>
          <w:p w14:paraId="310515A1" w14:textId="48C5354D" w:rsidR="006E407A" w:rsidRDefault="006E407A" w:rsidP="006E407A">
            <w:pPr>
              <w:spacing w:after="0" w:line="240" w:lineRule="auto"/>
              <w:ind w:right="-20"/>
              <w:jc w:val="center"/>
              <w:rPr>
                <w:rFonts w:ascii="Arial" w:eastAsia="Arial" w:hAnsi="Arial" w:cs="Arial"/>
                <w:b/>
                <w:bCs/>
                <w:spacing w:val="-2"/>
                <w:sz w:val="18"/>
                <w:szCs w:val="20"/>
              </w:rPr>
            </w:pPr>
            <w:r>
              <w:rPr>
                <w:rFonts w:ascii="Arial" w:eastAsia="Arial" w:hAnsi="Arial" w:cs="Arial"/>
                <w:b/>
                <w:bCs/>
                <w:spacing w:val="-2"/>
                <w:sz w:val="18"/>
                <w:szCs w:val="20"/>
              </w:rPr>
              <w:t>Current (A)</w:t>
            </w:r>
          </w:p>
        </w:tc>
        <w:tc>
          <w:tcPr>
            <w:tcW w:w="810" w:type="dxa"/>
            <w:tcBorders>
              <w:top w:val="single" w:sz="2" w:space="0" w:color="000000"/>
              <w:left w:val="single" w:sz="2" w:space="0" w:color="000000"/>
              <w:bottom w:val="single" w:sz="2" w:space="0" w:color="000000"/>
              <w:right w:val="single" w:sz="2" w:space="0" w:color="000000"/>
            </w:tcBorders>
            <w:vAlign w:val="center"/>
          </w:tcPr>
          <w:p w14:paraId="417C669C" w14:textId="1AA9E83E"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36.291 (total)</w:t>
            </w:r>
          </w:p>
        </w:tc>
        <w:tc>
          <w:tcPr>
            <w:tcW w:w="900" w:type="dxa"/>
            <w:tcBorders>
              <w:top w:val="single" w:sz="2" w:space="0" w:color="000000"/>
              <w:left w:val="single" w:sz="2" w:space="0" w:color="000000"/>
              <w:bottom w:val="single" w:sz="2" w:space="0" w:color="000000"/>
              <w:right w:val="single" w:sz="2" w:space="0" w:color="000000"/>
            </w:tcBorders>
            <w:vAlign w:val="center"/>
          </w:tcPr>
          <w:p w14:paraId="31777B9B" w14:textId="3F68F9D7"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12.551</w:t>
            </w:r>
          </w:p>
        </w:tc>
        <w:tc>
          <w:tcPr>
            <w:tcW w:w="810" w:type="dxa"/>
            <w:tcBorders>
              <w:top w:val="single" w:sz="2" w:space="0" w:color="000000"/>
              <w:left w:val="single" w:sz="2" w:space="0" w:color="000000"/>
              <w:bottom w:val="single" w:sz="2" w:space="0" w:color="000000"/>
              <w:right w:val="single" w:sz="2" w:space="0" w:color="000000"/>
            </w:tcBorders>
            <w:vAlign w:val="center"/>
          </w:tcPr>
          <w:p w14:paraId="52788E97" w14:textId="762A1548"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12.551</w:t>
            </w:r>
          </w:p>
        </w:tc>
        <w:tc>
          <w:tcPr>
            <w:tcW w:w="900" w:type="dxa"/>
            <w:tcBorders>
              <w:top w:val="single" w:sz="2" w:space="0" w:color="000000"/>
              <w:left w:val="single" w:sz="2" w:space="0" w:color="000000"/>
              <w:bottom w:val="single" w:sz="2" w:space="0" w:color="000000"/>
              <w:right w:val="single" w:sz="2" w:space="0" w:color="000000"/>
            </w:tcBorders>
            <w:vAlign w:val="center"/>
          </w:tcPr>
          <w:p w14:paraId="543AA9D1" w14:textId="1E7FD2C7"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12.551</w:t>
            </w:r>
          </w:p>
        </w:tc>
      </w:tr>
      <w:tr w:rsidR="006E407A" w14:paraId="41EAC698" w14:textId="2802203D" w:rsidTr="001A22F4">
        <w:trPr>
          <w:trHeight w:hRule="exact" w:val="418"/>
        </w:trPr>
        <w:tc>
          <w:tcPr>
            <w:tcW w:w="1350" w:type="dxa"/>
            <w:tcBorders>
              <w:top w:val="single" w:sz="2" w:space="0" w:color="000000"/>
              <w:left w:val="single" w:sz="2" w:space="0" w:color="000000"/>
              <w:bottom w:val="single" w:sz="2" w:space="0" w:color="000000"/>
              <w:right w:val="single" w:sz="2" w:space="0" w:color="000000"/>
            </w:tcBorders>
            <w:vAlign w:val="center"/>
          </w:tcPr>
          <w:p w14:paraId="53D8F889" w14:textId="77777777" w:rsidR="006E407A" w:rsidRDefault="006E407A" w:rsidP="006E407A">
            <w:pPr>
              <w:spacing w:after="0" w:line="240" w:lineRule="auto"/>
              <w:ind w:right="-20"/>
              <w:jc w:val="center"/>
              <w:rPr>
                <w:rFonts w:ascii="Arial" w:eastAsia="Arial" w:hAnsi="Arial" w:cs="Arial"/>
                <w:b/>
                <w:bCs/>
                <w:spacing w:val="-2"/>
                <w:sz w:val="18"/>
                <w:szCs w:val="20"/>
              </w:rPr>
            </w:pPr>
            <w:r>
              <w:rPr>
                <w:rFonts w:ascii="Arial" w:eastAsia="Arial" w:hAnsi="Arial" w:cs="Arial"/>
                <w:b/>
                <w:bCs/>
                <w:spacing w:val="-2"/>
                <w:sz w:val="18"/>
                <w:szCs w:val="20"/>
              </w:rPr>
              <w:t xml:space="preserve">Rel. </w:t>
            </w:r>
          </w:p>
          <w:p w14:paraId="64D44F97" w14:textId="45C3946F" w:rsidR="006E407A" w:rsidRDefault="006E407A" w:rsidP="006E407A">
            <w:pPr>
              <w:spacing w:after="0" w:line="240" w:lineRule="auto"/>
              <w:ind w:right="-20"/>
              <w:jc w:val="center"/>
              <w:rPr>
                <w:rFonts w:ascii="Arial" w:eastAsia="Arial" w:hAnsi="Arial" w:cs="Arial"/>
                <w:b/>
                <w:bCs/>
                <w:spacing w:val="-2"/>
                <w:sz w:val="18"/>
                <w:szCs w:val="20"/>
              </w:rPr>
            </w:pPr>
            <w:r>
              <w:rPr>
                <w:rFonts w:ascii="Arial" w:eastAsia="Arial" w:hAnsi="Arial" w:cs="Arial"/>
                <w:b/>
                <w:bCs/>
                <w:spacing w:val="-2"/>
                <w:sz w:val="18"/>
                <w:szCs w:val="20"/>
              </w:rPr>
              <w:t>Perveance (µK)</w:t>
            </w:r>
          </w:p>
        </w:tc>
        <w:tc>
          <w:tcPr>
            <w:tcW w:w="810" w:type="dxa"/>
            <w:tcBorders>
              <w:top w:val="single" w:sz="2" w:space="0" w:color="000000"/>
              <w:left w:val="single" w:sz="2" w:space="0" w:color="000000"/>
              <w:bottom w:val="single" w:sz="2" w:space="0" w:color="000000"/>
              <w:right w:val="single" w:sz="2" w:space="0" w:color="000000"/>
            </w:tcBorders>
            <w:vAlign w:val="center"/>
          </w:tcPr>
          <w:p w14:paraId="3604A290" w14:textId="00F54EE6"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0.213</w:t>
            </w:r>
          </w:p>
        </w:tc>
        <w:tc>
          <w:tcPr>
            <w:tcW w:w="900" w:type="dxa"/>
            <w:tcBorders>
              <w:top w:val="single" w:sz="2" w:space="0" w:color="000000"/>
              <w:left w:val="single" w:sz="2" w:space="0" w:color="000000"/>
              <w:bottom w:val="single" w:sz="2" w:space="0" w:color="000000"/>
              <w:right w:val="single" w:sz="2" w:space="0" w:color="000000"/>
            </w:tcBorders>
            <w:vAlign w:val="center"/>
          </w:tcPr>
          <w:p w14:paraId="2085AB5B" w14:textId="394589DE"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0.213</w:t>
            </w:r>
          </w:p>
        </w:tc>
        <w:tc>
          <w:tcPr>
            <w:tcW w:w="810" w:type="dxa"/>
            <w:tcBorders>
              <w:top w:val="single" w:sz="2" w:space="0" w:color="000000"/>
              <w:left w:val="single" w:sz="2" w:space="0" w:color="000000"/>
              <w:bottom w:val="single" w:sz="2" w:space="0" w:color="000000"/>
              <w:right w:val="single" w:sz="2" w:space="0" w:color="000000"/>
            </w:tcBorders>
            <w:vAlign w:val="center"/>
          </w:tcPr>
          <w:p w14:paraId="6E091551" w14:textId="477F5DDF"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0.213</w:t>
            </w:r>
          </w:p>
        </w:tc>
        <w:tc>
          <w:tcPr>
            <w:tcW w:w="900" w:type="dxa"/>
            <w:tcBorders>
              <w:top w:val="single" w:sz="2" w:space="0" w:color="000000"/>
              <w:left w:val="single" w:sz="2" w:space="0" w:color="000000"/>
              <w:bottom w:val="single" w:sz="2" w:space="0" w:color="000000"/>
              <w:right w:val="single" w:sz="2" w:space="0" w:color="000000"/>
            </w:tcBorders>
            <w:vAlign w:val="center"/>
          </w:tcPr>
          <w:p w14:paraId="130C229E" w14:textId="28C5E4C0"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0.213</w:t>
            </w:r>
          </w:p>
        </w:tc>
      </w:tr>
      <w:tr w:rsidR="006E407A" w14:paraId="2F8FDB12" w14:textId="0DE45BE3" w:rsidTr="001A22F4">
        <w:trPr>
          <w:trHeight w:hRule="exact" w:val="320"/>
        </w:trPr>
        <w:tc>
          <w:tcPr>
            <w:tcW w:w="1350" w:type="dxa"/>
            <w:tcBorders>
              <w:top w:val="single" w:sz="2" w:space="0" w:color="000000"/>
              <w:left w:val="single" w:sz="2" w:space="0" w:color="000000"/>
              <w:bottom w:val="single" w:sz="2" w:space="0" w:color="000000"/>
              <w:right w:val="single" w:sz="2" w:space="0" w:color="000000"/>
            </w:tcBorders>
            <w:vAlign w:val="center"/>
          </w:tcPr>
          <w:p w14:paraId="66D196EC" w14:textId="3B8E58BD" w:rsidR="006E407A" w:rsidRDefault="006E407A" w:rsidP="006E407A">
            <w:pPr>
              <w:spacing w:after="0" w:line="240" w:lineRule="auto"/>
              <w:ind w:right="-20"/>
              <w:jc w:val="center"/>
              <w:rPr>
                <w:rFonts w:ascii="Arial" w:eastAsia="Arial" w:hAnsi="Arial" w:cs="Arial"/>
                <w:b/>
                <w:bCs/>
                <w:spacing w:val="-2"/>
                <w:sz w:val="18"/>
                <w:szCs w:val="20"/>
              </w:rPr>
            </w:pPr>
            <w:r>
              <w:rPr>
                <w:rFonts w:ascii="Arial" w:eastAsia="Arial" w:hAnsi="Arial" w:cs="Arial"/>
                <w:b/>
                <w:bCs/>
                <w:spacing w:val="-2"/>
                <w:sz w:val="18"/>
                <w:szCs w:val="20"/>
              </w:rPr>
              <w:t>Length (m)</w:t>
            </w:r>
          </w:p>
        </w:tc>
        <w:tc>
          <w:tcPr>
            <w:tcW w:w="810" w:type="dxa"/>
            <w:tcBorders>
              <w:top w:val="single" w:sz="2" w:space="0" w:color="000000"/>
              <w:left w:val="single" w:sz="2" w:space="0" w:color="000000"/>
              <w:bottom w:val="single" w:sz="2" w:space="0" w:color="000000"/>
              <w:right w:val="single" w:sz="2" w:space="0" w:color="000000"/>
            </w:tcBorders>
            <w:vAlign w:val="center"/>
          </w:tcPr>
          <w:p w14:paraId="431AD4E3" w14:textId="33C95900"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3.54</w:t>
            </w:r>
          </w:p>
        </w:tc>
        <w:tc>
          <w:tcPr>
            <w:tcW w:w="900" w:type="dxa"/>
            <w:tcBorders>
              <w:top w:val="single" w:sz="2" w:space="0" w:color="000000"/>
              <w:left w:val="single" w:sz="2" w:space="0" w:color="000000"/>
              <w:bottom w:val="single" w:sz="2" w:space="0" w:color="000000"/>
              <w:right w:val="single" w:sz="2" w:space="0" w:color="000000"/>
            </w:tcBorders>
            <w:vAlign w:val="center"/>
          </w:tcPr>
          <w:p w14:paraId="2C0D1EE6" w14:textId="76BEDE85"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5.6</w:t>
            </w:r>
          </w:p>
        </w:tc>
        <w:tc>
          <w:tcPr>
            <w:tcW w:w="810" w:type="dxa"/>
            <w:tcBorders>
              <w:top w:val="single" w:sz="2" w:space="0" w:color="000000"/>
              <w:left w:val="single" w:sz="2" w:space="0" w:color="000000"/>
              <w:bottom w:val="single" w:sz="2" w:space="0" w:color="000000"/>
              <w:right w:val="single" w:sz="2" w:space="0" w:color="000000"/>
            </w:tcBorders>
            <w:vAlign w:val="center"/>
          </w:tcPr>
          <w:p w14:paraId="71E4B433" w14:textId="7C411172"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5.6</w:t>
            </w:r>
          </w:p>
        </w:tc>
        <w:tc>
          <w:tcPr>
            <w:tcW w:w="900" w:type="dxa"/>
            <w:tcBorders>
              <w:top w:val="single" w:sz="2" w:space="0" w:color="000000"/>
              <w:left w:val="single" w:sz="2" w:space="0" w:color="000000"/>
              <w:bottom w:val="single" w:sz="2" w:space="0" w:color="000000"/>
              <w:right w:val="single" w:sz="2" w:space="0" w:color="000000"/>
            </w:tcBorders>
            <w:vAlign w:val="center"/>
          </w:tcPr>
          <w:p w14:paraId="246B7EE1" w14:textId="4AE56607"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5.6</w:t>
            </w:r>
          </w:p>
        </w:tc>
      </w:tr>
      <w:tr w:rsidR="001A22F4" w14:paraId="6DBA0BB9" w14:textId="77777777" w:rsidTr="001A22F4">
        <w:trPr>
          <w:trHeight w:hRule="exact" w:val="418"/>
        </w:trPr>
        <w:tc>
          <w:tcPr>
            <w:tcW w:w="1350" w:type="dxa"/>
            <w:tcBorders>
              <w:top w:val="single" w:sz="2" w:space="0" w:color="000000"/>
              <w:left w:val="single" w:sz="2" w:space="0" w:color="000000"/>
              <w:bottom w:val="single" w:sz="2" w:space="0" w:color="000000"/>
              <w:right w:val="single" w:sz="2" w:space="0" w:color="000000"/>
            </w:tcBorders>
            <w:vAlign w:val="center"/>
          </w:tcPr>
          <w:p w14:paraId="3AC8E34E" w14:textId="77777777" w:rsidR="001A22F4" w:rsidRDefault="001A22F4" w:rsidP="006E407A">
            <w:pPr>
              <w:spacing w:after="0" w:line="240" w:lineRule="auto"/>
              <w:ind w:right="-20"/>
              <w:jc w:val="center"/>
              <w:rPr>
                <w:rFonts w:ascii="Arial" w:eastAsia="Arial" w:hAnsi="Arial" w:cs="Arial"/>
                <w:b/>
                <w:bCs/>
                <w:spacing w:val="-2"/>
                <w:sz w:val="18"/>
                <w:szCs w:val="20"/>
              </w:rPr>
            </w:pPr>
            <w:r>
              <w:rPr>
                <w:rFonts w:ascii="Arial" w:eastAsia="Arial" w:hAnsi="Arial" w:cs="Arial"/>
                <w:b/>
                <w:bCs/>
                <w:spacing w:val="-2"/>
                <w:sz w:val="18"/>
                <w:szCs w:val="20"/>
              </w:rPr>
              <w:t xml:space="preserve">Input </w:t>
            </w:r>
          </w:p>
          <w:p w14:paraId="0BA70A5D" w14:textId="47C50200" w:rsidR="001A22F4" w:rsidRDefault="001A22F4" w:rsidP="006E407A">
            <w:pPr>
              <w:spacing w:after="0" w:line="240" w:lineRule="auto"/>
              <w:ind w:right="-20"/>
              <w:jc w:val="center"/>
              <w:rPr>
                <w:rFonts w:ascii="Arial" w:eastAsia="Arial" w:hAnsi="Arial" w:cs="Arial"/>
                <w:b/>
                <w:bCs/>
                <w:spacing w:val="-2"/>
                <w:sz w:val="18"/>
                <w:szCs w:val="20"/>
              </w:rPr>
            </w:pPr>
            <w:r>
              <w:rPr>
                <w:rFonts w:ascii="Arial" w:eastAsia="Arial" w:hAnsi="Arial" w:cs="Arial"/>
                <w:b/>
                <w:bCs/>
                <w:spacing w:val="-2"/>
                <w:sz w:val="18"/>
                <w:szCs w:val="20"/>
              </w:rPr>
              <w:t>Power (W)</w:t>
            </w:r>
          </w:p>
        </w:tc>
        <w:tc>
          <w:tcPr>
            <w:tcW w:w="810" w:type="dxa"/>
            <w:tcBorders>
              <w:top w:val="single" w:sz="2" w:space="0" w:color="000000"/>
              <w:left w:val="single" w:sz="2" w:space="0" w:color="000000"/>
              <w:bottom w:val="single" w:sz="2" w:space="0" w:color="000000"/>
              <w:right w:val="single" w:sz="2" w:space="0" w:color="000000"/>
            </w:tcBorders>
            <w:vAlign w:val="center"/>
          </w:tcPr>
          <w:p w14:paraId="22453959" w14:textId="7CD0F1B5" w:rsidR="001A22F4" w:rsidRDefault="001A22F4" w:rsidP="006E407A">
            <w:pPr>
              <w:spacing w:after="0" w:line="240" w:lineRule="auto"/>
              <w:ind w:left="57"/>
              <w:jc w:val="center"/>
              <w:rPr>
                <w:rFonts w:ascii="Arial" w:eastAsia="Arial" w:hAnsi="Arial" w:cs="Arial"/>
                <w:sz w:val="18"/>
                <w:szCs w:val="20"/>
              </w:rPr>
            </w:pPr>
            <w:r>
              <w:rPr>
                <w:rFonts w:ascii="Arial" w:eastAsia="Arial" w:hAnsi="Arial" w:cs="Arial"/>
                <w:sz w:val="18"/>
                <w:szCs w:val="20"/>
              </w:rPr>
              <w:t>5</w:t>
            </w:r>
          </w:p>
        </w:tc>
        <w:tc>
          <w:tcPr>
            <w:tcW w:w="900" w:type="dxa"/>
            <w:tcBorders>
              <w:top w:val="single" w:sz="2" w:space="0" w:color="000000"/>
              <w:left w:val="single" w:sz="2" w:space="0" w:color="000000"/>
              <w:bottom w:val="single" w:sz="2" w:space="0" w:color="000000"/>
              <w:right w:val="single" w:sz="2" w:space="0" w:color="000000"/>
            </w:tcBorders>
            <w:vAlign w:val="center"/>
          </w:tcPr>
          <w:p w14:paraId="54B5E193" w14:textId="405E4D86" w:rsidR="001A22F4" w:rsidRDefault="001A22F4" w:rsidP="006E407A">
            <w:pPr>
              <w:spacing w:after="0" w:line="240" w:lineRule="auto"/>
              <w:ind w:left="57"/>
              <w:jc w:val="center"/>
              <w:rPr>
                <w:rFonts w:ascii="Arial" w:eastAsia="Arial" w:hAnsi="Arial" w:cs="Arial"/>
                <w:sz w:val="18"/>
                <w:szCs w:val="20"/>
              </w:rPr>
            </w:pPr>
            <w:r>
              <w:rPr>
                <w:rFonts w:ascii="Arial" w:eastAsia="Arial" w:hAnsi="Arial" w:cs="Arial"/>
                <w:sz w:val="18"/>
                <w:szCs w:val="20"/>
              </w:rPr>
              <w:t>6.5</w:t>
            </w:r>
          </w:p>
        </w:tc>
        <w:tc>
          <w:tcPr>
            <w:tcW w:w="810" w:type="dxa"/>
            <w:tcBorders>
              <w:top w:val="single" w:sz="2" w:space="0" w:color="000000"/>
              <w:left w:val="single" w:sz="2" w:space="0" w:color="000000"/>
              <w:bottom w:val="single" w:sz="2" w:space="0" w:color="000000"/>
              <w:right w:val="single" w:sz="2" w:space="0" w:color="000000"/>
            </w:tcBorders>
            <w:vAlign w:val="center"/>
          </w:tcPr>
          <w:p w14:paraId="609BA0DD" w14:textId="759A6D41" w:rsidR="001A22F4" w:rsidRDefault="001A22F4" w:rsidP="006E407A">
            <w:pPr>
              <w:spacing w:after="0" w:line="240" w:lineRule="auto"/>
              <w:ind w:left="57"/>
              <w:jc w:val="center"/>
              <w:rPr>
                <w:rFonts w:ascii="Arial" w:eastAsia="Arial" w:hAnsi="Arial" w:cs="Arial"/>
                <w:sz w:val="18"/>
                <w:szCs w:val="20"/>
              </w:rPr>
            </w:pPr>
            <w:r>
              <w:rPr>
                <w:rFonts w:ascii="Arial" w:eastAsia="Arial" w:hAnsi="Arial" w:cs="Arial"/>
                <w:sz w:val="18"/>
                <w:szCs w:val="20"/>
              </w:rPr>
              <w:t>6.3</w:t>
            </w:r>
          </w:p>
        </w:tc>
        <w:tc>
          <w:tcPr>
            <w:tcW w:w="900" w:type="dxa"/>
            <w:tcBorders>
              <w:top w:val="single" w:sz="2" w:space="0" w:color="000000"/>
              <w:left w:val="single" w:sz="2" w:space="0" w:color="000000"/>
              <w:bottom w:val="single" w:sz="2" w:space="0" w:color="000000"/>
              <w:right w:val="single" w:sz="2" w:space="0" w:color="000000"/>
            </w:tcBorders>
            <w:vAlign w:val="center"/>
          </w:tcPr>
          <w:p w14:paraId="4D771DAB" w14:textId="712D6577" w:rsidR="001A22F4" w:rsidRDefault="001A22F4" w:rsidP="006E407A">
            <w:pPr>
              <w:spacing w:after="0" w:line="240" w:lineRule="auto"/>
              <w:ind w:left="57"/>
              <w:jc w:val="center"/>
              <w:rPr>
                <w:rFonts w:ascii="Arial" w:eastAsia="Arial" w:hAnsi="Arial" w:cs="Arial"/>
                <w:sz w:val="18"/>
                <w:szCs w:val="20"/>
              </w:rPr>
            </w:pPr>
            <w:r>
              <w:rPr>
                <w:rFonts w:ascii="Arial" w:eastAsia="Arial" w:hAnsi="Arial" w:cs="Arial"/>
                <w:sz w:val="18"/>
                <w:szCs w:val="20"/>
              </w:rPr>
              <w:t>7</w:t>
            </w:r>
          </w:p>
        </w:tc>
      </w:tr>
      <w:tr w:rsidR="006E407A" w14:paraId="22268ABE" w14:textId="4F355891" w:rsidTr="001A22F4">
        <w:trPr>
          <w:trHeight w:hRule="exact" w:val="418"/>
        </w:trPr>
        <w:tc>
          <w:tcPr>
            <w:tcW w:w="1350" w:type="dxa"/>
            <w:tcBorders>
              <w:top w:val="single" w:sz="2" w:space="0" w:color="000000"/>
              <w:left w:val="single" w:sz="2" w:space="0" w:color="000000"/>
              <w:bottom w:val="single" w:sz="2" w:space="0" w:color="000000"/>
              <w:right w:val="single" w:sz="2" w:space="0" w:color="000000"/>
            </w:tcBorders>
            <w:vAlign w:val="center"/>
          </w:tcPr>
          <w:p w14:paraId="124CA451" w14:textId="77777777" w:rsidR="006E407A" w:rsidRDefault="006E407A" w:rsidP="006E407A">
            <w:pPr>
              <w:spacing w:after="0" w:line="240" w:lineRule="auto"/>
              <w:ind w:right="-20"/>
              <w:jc w:val="center"/>
              <w:rPr>
                <w:rFonts w:ascii="Arial" w:eastAsia="Arial" w:hAnsi="Arial" w:cs="Arial"/>
                <w:b/>
                <w:bCs/>
                <w:spacing w:val="-2"/>
                <w:sz w:val="18"/>
                <w:szCs w:val="20"/>
              </w:rPr>
            </w:pPr>
            <w:r>
              <w:rPr>
                <w:rFonts w:ascii="Arial" w:eastAsia="Arial" w:hAnsi="Arial" w:cs="Arial"/>
                <w:b/>
                <w:bCs/>
                <w:spacing w:val="-2"/>
                <w:sz w:val="18"/>
                <w:szCs w:val="20"/>
              </w:rPr>
              <w:t xml:space="preserve">Output </w:t>
            </w:r>
          </w:p>
          <w:p w14:paraId="3CD40101" w14:textId="2148691B" w:rsidR="006E407A" w:rsidRDefault="006E407A" w:rsidP="006E407A">
            <w:pPr>
              <w:spacing w:after="0" w:line="240" w:lineRule="auto"/>
              <w:ind w:right="-20"/>
              <w:jc w:val="center"/>
              <w:rPr>
                <w:rFonts w:ascii="Arial" w:eastAsia="Arial" w:hAnsi="Arial" w:cs="Arial"/>
                <w:b/>
                <w:bCs/>
                <w:spacing w:val="-2"/>
                <w:sz w:val="18"/>
                <w:szCs w:val="20"/>
              </w:rPr>
            </w:pPr>
            <w:r>
              <w:rPr>
                <w:rFonts w:ascii="Arial" w:eastAsia="Arial" w:hAnsi="Arial" w:cs="Arial"/>
                <w:b/>
                <w:bCs/>
                <w:spacing w:val="-2"/>
                <w:sz w:val="18"/>
                <w:szCs w:val="20"/>
              </w:rPr>
              <w:t>Power (MW)</w:t>
            </w:r>
          </w:p>
        </w:tc>
        <w:tc>
          <w:tcPr>
            <w:tcW w:w="810" w:type="dxa"/>
            <w:tcBorders>
              <w:top w:val="single" w:sz="2" w:space="0" w:color="000000"/>
              <w:left w:val="single" w:sz="2" w:space="0" w:color="000000"/>
              <w:bottom w:val="single" w:sz="2" w:space="0" w:color="000000"/>
              <w:right w:val="single" w:sz="2" w:space="0" w:color="000000"/>
            </w:tcBorders>
            <w:vAlign w:val="center"/>
          </w:tcPr>
          <w:p w14:paraId="1B3D1549" w14:textId="116CACC2"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1.46</w:t>
            </w:r>
          </w:p>
        </w:tc>
        <w:tc>
          <w:tcPr>
            <w:tcW w:w="900" w:type="dxa"/>
            <w:tcBorders>
              <w:top w:val="single" w:sz="2" w:space="0" w:color="000000"/>
              <w:left w:val="single" w:sz="2" w:space="0" w:color="000000"/>
              <w:bottom w:val="single" w:sz="2" w:space="0" w:color="000000"/>
              <w:right w:val="single" w:sz="2" w:space="0" w:color="000000"/>
            </w:tcBorders>
            <w:vAlign w:val="center"/>
          </w:tcPr>
          <w:p w14:paraId="23A34A78" w14:textId="44952A96"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1.39</w:t>
            </w:r>
          </w:p>
        </w:tc>
        <w:tc>
          <w:tcPr>
            <w:tcW w:w="810" w:type="dxa"/>
            <w:tcBorders>
              <w:top w:val="single" w:sz="2" w:space="0" w:color="000000"/>
              <w:left w:val="single" w:sz="2" w:space="0" w:color="000000"/>
              <w:bottom w:val="single" w:sz="2" w:space="0" w:color="000000"/>
              <w:right w:val="single" w:sz="2" w:space="0" w:color="000000"/>
            </w:tcBorders>
            <w:vAlign w:val="center"/>
          </w:tcPr>
          <w:p w14:paraId="12284EAF" w14:textId="67472FA8"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1.35</w:t>
            </w:r>
          </w:p>
        </w:tc>
        <w:tc>
          <w:tcPr>
            <w:tcW w:w="900" w:type="dxa"/>
            <w:tcBorders>
              <w:top w:val="single" w:sz="2" w:space="0" w:color="000000"/>
              <w:left w:val="single" w:sz="2" w:space="0" w:color="000000"/>
              <w:bottom w:val="single" w:sz="2" w:space="0" w:color="000000"/>
              <w:right w:val="single" w:sz="2" w:space="0" w:color="000000"/>
            </w:tcBorders>
            <w:vAlign w:val="center"/>
          </w:tcPr>
          <w:p w14:paraId="56201290" w14:textId="67ACC8CC" w:rsidR="006E407A" w:rsidRDefault="00116F5E" w:rsidP="006E407A">
            <w:pPr>
              <w:spacing w:after="0" w:line="240" w:lineRule="auto"/>
              <w:ind w:left="57"/>
              <w:jc w:val="center"/>
              <w:rPr>
                <w:rFonts w:ascii="Arial" w:eastAsia="Arial" w:hAnsi="Arial" w:cs="Arial"/>
                <w:sz w:val="18"/>
                <w:szCs w:val="20"/>
              </w:rPr>
            </w:pPr>
            <w:r>
              <w:rPr>
                <w:rFonts w:ascii="Arial" w:eastAsia="Arial" w:hAnsi="Arial" w:cs="Arial"/>
                <w:sz w:val="18"/>
                <w:szCs w:val="20"/>
              </w:rPr>
              <w:t>1.34</w:t>
            </w:r>
          </w:p>
        </w:tc>
      </w:tr>
      <w:tr w:rsidR="006E407A" w14:paraId="57D5F31B" w14:textId="5434AD9B" w:rsidTr="001A22F4">
        <w:trPr>
          <w:trHeight w:hRule="exact" w:val="418"/>
        </w:trPr>
        <w:tc>
          <w:tcPr>
            <w:tcW w:w="1350" w:type="dxa"/>
            <w:tcBorders>
              <w:top w:val="single" w:sz="2" w:space="0" w:color="000000"/>
              <w:left w:val="single" w:sz="2" w:space="0" w:color="000000"/>
              <w:bottom w:val="single" w:sz="2" w:space="0" w:color="000000"/>
              <w:right w:val="single" w:sz="2" w:space="0" w:color="000000"/>
            </w:tcBorders>
            <w:vAlign w:val="center"/>
          </w:tcPr>
          <w:p w14:paraId="509AB4FF" w14:textId="77777777" w:rsidR="006E407A" w:rsidRDefault="006E407A" w:rsidP="006E407A">
            <w:pPr>
              <w:spacing w:after="0" w:line="240" w:lineRule="auto"/>
              <w:ind w:right="-20"/>
              <w:jc w:val="center"/>
              <w:rPr>
                <w:rFonts w:ascii="Arial" w:eastAsia="Arial" w:hAnsi="Arial" w:cs="Arial"/>
                <w:b/>
                <w:bCs/>
                <w:spacing w:val="-2"/>
                <w:sz w:val="18"/>
                <w:szCs w:val="20"/>
              </w:rPr>
            </w:pPr>
            <w:r>
              <w:rPr>
                <w:rFonts w:ascii="Arial" w:eastAsia="Arial" w:hAnsi="Arial" w:cs="Arial"/>
                <w:b/>
                <w:bCs/>
                <w:spacing w:val="-2"/>
                <w:sz w:val="18"/>
                <w:szCs w:val="20"/>
              </w:rPr>
              <w:t>Efficiency</w:t>
            </w:r>
          </w:p>
          <w:p w14:paraId="21163270" w14:textId="5A1E754C" w:rsidR="006E407A" w:rsidRDefault="006E407A" w:rsidP="006E407A">
            <w:pPr>
              <w:spacing w:after="0" w:line="240" w:lineRule="auto"/>
              <w:ind w:right="-20"/>
              <w:jc w:val="center"/>
              <w:rPr>
                <w:rFonts w:ascii="Arial" w:eastAsia="Arial" w:hAnsi="Arial" w:cs="Arial"/>
                <w:b/>
                <w:bCs/>
                <w:spacing w:val="-2"/>
                <w:sz w:val="18"/>
                <w:szCs w:val="20"/>
              </w:rPr>
            </w:pPr>
            <w:r>
              <w:rPr>
                <w:rFonts w:ascii="Arial" w:eastAsia="Arial" w:hAnsi="Arial" w:cs="Arial"/>
                <w:b/>
                <w:bCs/>
                <w:spacing w:val="-2"/>
                <w:sz w:val="18"/>
                <w:szCs w:val="20"/>
              </w:rPr>
              <w:t xml:space="preserve"> (%)</w:t>
            </w:r>
          </w:p>
        </w:tc>
        <w:tc>
          <w:tcPr>
            <w:tcW w:w="810" w:type="dxa"/>
            <w:tcBorders>
              <w:top w:val="single" w:sz="2" w:space="0" w:color="000000"/>
              <w:left w:val="single" w:sz="2" w:space="0" w:color="000000"/>
              <w:bottom w:val="single" w:sz="2" w:space="0" w:color="000000"/>
              <w:right w:val="single" w:sz="2" w:space="0" w:color="000000"/>
            </w:tcBorders>
            <w:vAlign w:val="center"/>
          </w:tcPr>
          <w:p w14:paraId="1DC7A169" w14:textId="7764A087"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86.8</w:t>
            </w:r>
          </w:p>
        </w:tc>
        <w:tc>
          <w:tcPr>
            <w:tcW w:w="900" w:type="dxa"/>
            <w:tcBorders>
              <w:top w:val="single" w:sz="2" w:space="0" w:color="000000"/>
              <w:left w:val="single" w:sz="2" w:space="0" w:color="000000"/>
              <w:bottom w:val="single" w:sz="2" w:space="0" w:color="000000"/>
              <w:right w:val="single" w:sz="2" w:space="0" w:color="000000"/>
            </w:tcBorders>
            <w:vAlign w:val="center"/>
          </w:tcPr>
          <w:p w14:paraId="427C0BE9" w14:textId="0B007D16"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82.7</w:t>
            </w:r>
          </w:p>
        </w:tc>
        <w:tc>
          <w:tcPr>
            <w:tcW w:w="810" w:type="dxa"/>
            <w:tcBorders>
              <w:top w:val="single" w:sz="2" w:space="0" w:color="000000"/>
              <w:left w:val="single" w:sz="2" w:space="0" w:color="000000"/>
              <w:bottom w:val="single" w:sz="2" w:space="0" w:color="000000"/>
              <w:right w:val="single" w:sz="2" w:space="0" w:color="000000"/>
            </w:tcBorders>
            <w:vAlign w:val="center"/>
          </w:tcPr>
          <w:p w14:paraId="783F717D" w14:textId="30FC39F1" w:rsidR="006E407A" w:rsidRDefault="006E407A" w:rsidP="006E407A">
            <w:pPr>
              <w:spacing w:after="0" w:line="240" w:lineRule="auto"/>
              <w:ind w:left="57"/>
              <w:jc w:val="center"/>
              <w:rPr>
                <w:rFonts w:ascii="Arial" w:eastAsia="Arial" w:hAnsi="Arial" w:cs="Arial"/>
                <w:sz w:val="18"/>
                <w:szCs w:val="20"/>
              </w:rPr>
            </w:pPr>
            <w:r>
              <w:rPr>
                <w:rFonts w:ascii="Arial" w:eastAsia="Arial" w:hAnsi="Arial" w:cs="Arial"/>
                <w:sz w:val="18"/>
                <w:szCs w:val="20"/>
              </w:rPr>
              <w:t>80.4</w:t>
            </w:r>
          </w:p>
        </w:tc>
        <w:tc>
          <w:tcPr>
            <w:tcW w:w="900" w:type="dxa"/>
            <w:tcBorders>
              <w:top w:val="single" w:sz="2" w:space="0" w:color="000000"/>
              <w:left w:val="single" w:sz="2" w:space="0" w:color="000000"/>
              <w:bottom w:val="single" w:sz="2" w:space="0" w:color="000000"/>
              <w:right w:val="single" w:sz="2" w:space="0" w:color="000000"/>
            </w:tcBorders>
            <w:vAlign w:val="center"/>
          </w:tcPr>
          <w:p w14:paraId="50E1997D" w14:textId="360AEA8E" w:rsidR="006E407A" w:rsidRDefault="001A22F4" w:rsidP="006E407A">
            <w:pPr>
              <w:spacing w:after="0" w:line="240" w:lineRule="auto"/>
              <w:ind w:left="57"/>
              <w:jc w:val="center"/>
              <w:rPr>
                <w:rFonts w:ascii="Arial" w:eastAsia="Arial" w:hAnsi="Arial" w:cs="Arial"/>
                <w:sz w:val="18"/>
                <w:szCs w:val="20"/>
              </w:rPr>
            </w:pPr>
            <w:r>
              <w:rPr>
                <w:rFonts w:ascii="Arial" w:eastAsia="Arial" w:hAnsi="Arial" w:cs="Arial"/>
                <w:sz w:val="18"/>
                <w:szCs w:val="20"/>
              </w:rPr>
              <w:t>80.7</w:t>
            </w:r>
          </w:p>
        </w:tc>
      </w:tr>
    </w:tbl>
    <w:p w14:paraId="45DC39C3" w14:textId="2ED1A1A5" w:rsidR="006257FF" w:rsidRPr="006257FF" w:rsidRDefault="006257FF" w:rsidP="0004387A">
      <w:pPr>
        <w:spacing w:after="0" w:line="240" w:lineRule="auto"/>
        <w:jc w:val="both"/>
        <w:rPr>
          <w:rFonts w:ascii="Times New Roman" w:hAnsi="Times New Roman" w:cs="Times New Roman"/>
          <w:sz w:val="12"/>
          <w:szCs w:val="12"/>
        </w:rPr>
      </w:pPr>
    </w:p>
    <w:p w14:paraId="2CA0B759" w14:textId="138E24EC" w:rsidR="0004387A" w:rsidRDefault="0004387A" w:rsidP="0004387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For </w:t>
      </w:r>
      <w:r w:rsidR="00C710A4">
        <w:rPr>
          <w:rFonts w:ascii="Times New Roman" w:hAnsi="Times New Roman" w:cs="Times New Roman"/>
          <w:sz w:val="20"/>
          <w:szCs w:val="20"/>
        </w:rPr>
        <w:t>the</w:t>
      </w:r>
      <w:r w:rsidR="00BD4708">
        <w:rPr>
          <w:rFonts w:ascii="Times New Roman" w:hAnsi="Times New Roman" w:cs="Times New Roman"/>
          <w:sz w:val="20"/>
          <w:szCs w:val="20"/>
        </w:rPr>
        <w:t xml:space="preserve"> GSP 08-04</w:t>
      </w:r>
      <w:r w:rsidR="00C710A4">
        <w:rPr>
          <w:rFonts w:ascii="Times New Roman" w:hAnsi="Times New Roman" w:cs="Times New Roman"/>
          <w:sz w:val="20"/>
          <w:szCs w:val="20"/>
        </w:rPr>
        <w:t xml:space="preserve"> klystron</w:t>
      </w:r>
      <w:r w:rsidR="00965B0A">
        <w:rPr>
          <w:rFonts w:ascii="Times New Roman" w:hAnsi="Times New Roman" w:cs="Times New Roman"/>
          <w:sz w:val="20"/>
          <w:szCs w:val="20"/>
        </w:rPr>
        <w:t>,</w:t>
      </w:r>
      <w:r>
        <w:rPr>
          <w:rFonts w:ascii="Times New Roman" w:hAnsi="Times New Roman" w:cs="Times New Roman"/>
          <w:sz w:val="20"/>
          <w:szCs w:val="20"/>
        </w:rPr>
        <w:t xml:space="preserve"> no reflected electrons are predicted by </w:t>
      </w:r>
      <w:r w:rsidR="001D59E0">
        <w:rPr>
          <w:rFonts w:ascii="Times New Roman" w:hAnsi="Times New Roman" w:cs="Times New Roman"/>
          <w:sz w:val="20"/>
          <w:szCs w:val="20"/>
        </w:rPr>
        <w:t xml:space="preserve">the </w:t>
      </w:r>
      <w:r w:rsidR="00C00377">
        <w:rPr>
          <w:rFonts w:ascii="Times New Roman" w:hAnsi="Times New Roman" w:cs="Times New Roman"/>
          <w:sz w:val="20"/>
          <w:szCs w:val="20"/>
        </w:rPr>
        <w:t>three</w:t>
      </w:r>
      <w:r w:rsidR="001D59E0">
        <w:rPr>
          <w:rFonts w:ascii="Times New Roman" w:hAnsi="Times New Roman" w:cs="Times New Roman"/>
          <w:sz w:val="20"/>
          <w:szCs w:val="20"/>
        </w:rPr>
        <w:t xml:space="preserve"> codes</w:t>
      </w:r>
      <w:r>
        <w:rPr>
          <w:rFonts w:ascii="Times New Roman" w:hAnsi="Times New Roman" w:cs="Times New Roman"/>
          <w:sz w:val="20"/>
          <w:szCs w:val="20"/>
        </w:rPr>
        <w:t xml:space="preserve">, indicating the stability of </w:t>
      </w:r>
      <w:r w:rsidR="00C710A4">
        <w:rPr>
          <w:rFonts w:ascii="Times New Roman" w:hAnsi="Times New Roman" w:cs="Times New Roman"/>
          <w:sz w:val="20"/>
          <w:szCs w:val="20"/>
        </w:rPr>
        <w:t>this tube</w:t>
      </w:r>
      <w:r>
        <w:rPr>
          <w:rFonts w:ascii="Times New Roman" w:hAnsi="Times New Roman" w:cs="Times New Roman"/>
          <w:sz w:val="20"/>
          <w:szCs w:val="20"/>
        </w:rPr>
        <w:t xml:space="preserve">.  </w:t>
      </w:r>
      <w:r w:rsidR="00B73D00">
        <w:rPr>
          <w:rFonts w:ascii="Times New Roman" w:hAnsi="Times New Roman" w:cs="Times New Roman"/>
          <w:sz w:val="20"/>
          <w:szCs w:val="20"/>
        </w:rPr>
        <w:t xml:space="preserve">Figure 2 shows </w:t>
      </w:r>
      <w:r w:rsidR="00CE4978">
        <w:rPr>
          <w:rFonts w:ascii="Times New Roman" w:hAnsi="Times New Roman" w:cs="Times New Roman"/>
          <w:sz w:val="20"/>
          <w:szCs w:val="20"/>
        </w:rPr>
        <w:t>momentum and position phase</w:t>
      </w:r>
      <w:r w:rsidR="001047D4">
        <w:rPr>
          <w:rFonts w:ascii="Times New Roman" w:hAnsi="Times New Roman" w:cs="Times New Roman"/>
          <w:sz w:val="20"/>
          <w:szCs w:val="20"/>
        </w:rPr>
        <w:t>-</w:t>
      </w:r>
      <w:r w:rsidR="00CE4978">
        <w:rPr>
          <w:rFonts w:ascii="Times New Roman" w:hAnsi="Times New Roman" w:cs="Times New Roman"/>
          <w:sz w:val="20"/>
          <w:szCs w:val="20"/>
        </w:rPr>
        <w:t>space plots of the electron bunches around the</w:t>
      </w:r>
      <w:r w:rsidR="00BD4708">
        <w:rPr>
          <w:rFonts w:ascii="Times New Roman" w:hAnsi="Times New Roman" w:cs="Times New Roman"/>
          <w:sz w:val="20"/>
          <w:szCs w:val="20"/>
        </w:rPr>
        <w:t xml:space="preserve"> final two cavities of the</w:t>
      </w:r>
      <w:r w:rsidR="00C00377">
        <w:rPr>
          <w:rFonts w:ascii="Times New Roman" w:hAnsi="Times New Roman" w:cs="Times New Roman"/>
          <w:sz w:val="20"/>
          <w:szCs w:val="20"/>
        </w:rPr>
        <w:t xml:space="preserve"> GSP</w:t>
      </w:r>
      <w:r w:rsidR="00BD4708">
        <w:rPr>
          <w:rFonts w:ascii="Times New Roman" w:hAnsi="Times New Roman" w:cs="Times New Roman"/>
          <w:sz w:val="20"/>
          <w:szCs w:val="20"/>
        </w:rPr>
        <w:t xml:space="preserve"> 08-04</w:t>
      </w:r>
      <w:r w:rsidR="00CE4978">
        <w:rPr>
          <w:rFonts w:ascii="Times New Roman" w:hAnsi="Times New Roman" w:cs="Times New Roman"/>
          <w:sz w:val="20"/>
          <w:szCs w:val="20"/>
        </w:rPr>
        <w:t xml:space="preserve"> tube</w:t>
      </w:r>
      <w:r w:rsidR="003F3549">
        <w:rPr>
          <w:rFonts w:ascii="Times New Roman" w:hAnsi="Times New Roman" w:cs="Times New Roman"/>
          <w:sz w:val="20"/>
          <w:szCs w:val="20"/>
        </w:rPr>
        <w:t xml:space="preserve">, </w:t>
      </w:r>
      <w:r w:rsidR="00C00377">
        <w:rPr>
          <w:rFonts w:ascii="Times New Roman" w:hAnsi="Times New Roman" w:cs="Times New Roman"/>
          <w:sz w:val="20"/>
          <w:szCs w:val="20"/>
        </w:rPr>
        <w:t xml:space="preserve">with the gaps of the cavities visible, </w:t>
      </w:r>
      <w:r w:rsidR="003F3549">
        <w:rPr>
          <w:rFonts w:ascii="Times New Roman" w:hAnsi="Times New Roman" w:cs="Times New Roman"/>
          <w:sz w:val="20"/>
          <w:szCs w:val="20"/>
        </w:rPr>
        <w:t>along with the spent beam</w:t>
      </w:r>
      <w:r w:rsidR="00B73D00">
        <w:rPr>
          <w:rFonts w:ascii="Times New Roman" w:hAnsi="Times New Roman" w:cs="Times New Roman"/>
          <w:sz w:val="20"/>
          <w:szCs w:val="20"/>
        </w:rPr>
        <w:t xml:space="preserve">.  </w:t>
      </w:r>
      <w:r w:rsidR="00EE6D8F">
        <w:rPr>
          <w:rFonts w:ascii="Times New Roman" w:hAnsi="Times New Roman" w:cs="Times New Roman"/>
          <w:sz w:val="20"/>
          <w:szCs w:val="20"/>
        </w:rPr>
        <w:t>Here, the momentum of the bunch at the final cavity is seen to drop close to 0</w:t>
      </w:r>
      <w:r w:rsidR="00A22B61">
        <w:rPr>
          <w:rFonts w:ascii="Times New Roman" w:hAnsi="Times New Roman" w:cs="Times New Roman"/>
          <w:sz w:val="20"/>
          <w:szCs w:val="20"/>
        </w:rPr>
        <w:t>, while maintaining a slab-like RZ distribution</w:t>
      </w:r>
      <w:r w:rsidR="00EE6D8F">
        <w:rPr>
          <w:rFonts w:ascii="Times New Roman" w:hAnsi="Times New Roman" w:cs="Times New Roman"/>
          <w:sz w:val="20"/>
          <w:szCs w:val="20"/>
        </w:rPr>
        <w:t>.</w:t>
      </w:r>
    </w:p>
    <w:p w14:paraId="4ED75EF1" w14:textId="77777777" w:rsidR="00376F0E" w:rsidRPr="00376F0E" w:rsidRDefault="00376F0E" w:rsidP="0004387A">
      <w:pPr>
        <w:spacing w:after="0" w:line="240" w:lineRule="auto"/>
        <w:jc w:val="both"/>
        <w:rPr>
          <w:rFonts w:ascii="Times New Roman" w:hAnsi="Times New Roman" w:cs="Times New Roman"/>
          <w:sz w:val="12"/>
          <w:szCs w:val="12"/>
        </w:rPr>
      </w:pPr>
    </w:p>
    <w:p w14:paraId="3B10802C" w14:textId="70F3AE41" w:rsidR="007D7C29" w:rsidRPr="00667F14" w:rsidRDefault="00376F0E" w:rsidP="008C0C9B">
      <w:pPr>
        <w:spacing w:after="0" w:line="240" w:lineRule="auto"/>
        <w:jc w:val="center"/>
        <w:rPr>
          <w:rFonts w:ascii="Times New Roman" w:hAnsi="Times New Roman" w:cs="Times New Roman"/>
          <w:sz w:val="12"/>
          <w:szCs w:val="12"/>
        </w:rPr>
      </w:pPr>
      <w:r>
        <w:rPr>
          <w:rFonts w:ascii="Times New Roman" w:hAnsi="Times New Roman" w:cs="Times New Roman"/>
          <w:noProof/>
          <w:sz w:val="12"/>
          <w:szCs w:val="12"/>
          <w:lang w:val="en-GB" w:eastAsia="en-GB"/>
        </w:rPr>
        <w:drawing>
          <wp:inline distT="0" distB="0" distL="0" distR="0" wp14:anchorId="3EEF7D8C" wp14:editId="06B08CA5">
            <wp:extent cx="2971800" cy="1188720"/>
            <wp:effectExtent l="0" t="0" r="0" b="0"/>
            <wp:docPr id="12"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71800" cy="1188720"/>
                    </a:xfrm>
                    <a:prstGeom prst="rect">
                      <a:avLst/>
                    </a:prstGeom>
                    <a:noFill/>
                  </pic:spPr>
                </pic:pic>
              </a:graphicData>
            </a:graphic>
          </wp:inline>
        </w:drawing>
      </w:r>
    </w:p>
    <w:p w14:paraId="65ECBD71" w14:textId="73952048" w:rsidR="00C7648C" w:rsidRPr="006E5133" w:rsidRDefault="00376F0E" w:rsidP="008C0C9B">
      <w:pPr>
        <w:spacing w:after="0" w:line="240" w:lineRule="auto"/>
      </w:pPr>
      <w:r>
        <w:rPr>
          <w:noProof/>
          <w:lang w:val="en-GB" w:eastAsia="en-GB"/>
        </w:rPr>
        <w:drawing>
          <wp:inline distT="0" distB="0" distL="0" distR="0" wp14:anchorId="0803DDB0" wp14:editId="630CB7E2">
            <wp:extent cx="2971800" cy="1188720"/>
            <wp:effectExtent l="0" t="0" r="0" b="0"/>
            <wp:docPr id="13"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71800" cy="1188720"/>
                    </a:xfrm>
                    <a:prstGeom prst="rect">
                      <a:avLst/>
                    </a:prstGeom>
                    <a:noFill/>
                  </pic:spPr>
                </pic:pic>
              </a:graphicData>
            </a:graphic>
          </wp:inline>
        </w:drawing>
      </w:r>
    </w:p>
    <w:p w14:paraId="3225ABE1" w14:textId="21936ECF" w:rsidR="004F7049" w:rsidRPr="001A22F4" w:rsidRDefault="006257FF" w:rsidP="004F7049">
      <w:pPr>
        <w:spacing w:after="0" w:line="240" w:lineRule="auto"/>
        <w:jc w:val="center"/>
        <w:rPr>
          <w:rFonts w:ascii="Arial" w:hAnsi="Arial" w:cs="Arial"/>
          <w:sz w:val="18"/>
          <w:szCs w:val="18"/>
        </w:rPr>
      </w:pPr>
      <w:r>
        <w:rPr>
          <w:rFonts w:ascii="Arial" w:hAnsi="Arial" w:cs="Arial"/>
          <w:b/>
          <w:sz w:val="18"/>
          <w:szCs w:val="18"/>
        </w:rPr>
        <w:t xml:space="preserve">Figure 2. </w:t>
      </w:r>
      <w:r w:rsidR="003F3549">
        <w:rPr>
          <w:rFonts w:ascii="Arial" w:hAnsi="Arial" w:cs="Arial"/>
          <w:sz w:val="18"/>
          <w:szCs w:val="18"/>
        </w:rPr>
        <w:t>Region around</w:t>
      </w:r>
      <w:r w:rsidR="00CE4978">
        <w:rPr>
          <w:rFonts w:ascii="Arial" w:hAnsi="Arial" w:cs="Arial"/>
          <w:sz w:val="18"/>
          <w:szCs w:val="18"/>
        </w:rPr>
        <w:t xml:space="preserve"> the seventh and eighth cavities of the </w:t>
      </w:r>
      <w:r w:rsidR="00FA7FE9">
        <w:rPr>
          <w:rFonts w:ascii="Arial" w:hAnsi="Arial" w:cs="Arial"/>
          <w:sz w:val="18"/>
          <w:szCs w:val="18"/>
        </w:rPr>
        <w:t xml:space="preserve">GSP </w:t>
      </w:r>
      <w:r w:rsidR="00BD4708">
        <w:rPr>
          <w:rFonts w:ascii="Arial" w:hAnsi="Arial" w:cs="Arial"/>
          <w:sz w:val="18"/>
          <w:szCs w:val="18"/>
        </w:rPr>
        <w:t>08-04</w:t>
      </w:r>
      <w:r w:rsidR="003F3549">
        <w:rPr>
          <w:rFonts w:ascii="Arial" w:hAnsi="Arial" w:cs="Arial"/>
          <w:sz w:val="18"/>
          <w:szCs w:val="18"/>
        </w:rPr>
        <w:t xml:space="preserve"> klystron, with a) momentum, and b</w:t>
      </w:r>
      <w:r w:rsidR="00CE4978">
        <w:rPr>
          <w:rFonts w:ascii="Arial" w:hAnsi="Arial" w:cs="Arial"/>
          <w:sz w:val="18"/>
          <w:szCs w:val="18"/>
        </w:rPr>
        <w:t>) position phase</w:t>
      </w:r>
      <w:r w:rsidR="001047D4">
        <w:rPr>
          <w:rFonts w:ascii="Arial" w:hAnsi="Arial" w:cs="Arial"/>
          <w:sz w:val="18"/>
          <w:szCs w:val="18"/>
        </w:rPr>
        <w:t>-</w:t>
      </w:r>
      <w:r w:rsidR="00CE4978">
        <w:rPr>
          <w:rFonts w:ascii="Arial" w:hAnsi="Arial" w:cs="Arial"/>
          <w:sz w:val="18"/>
          <w:szCs w:val="18"/>
        </w:rPr>
        <w:t>space plots</w:t>
      </w:r>
      <w:r w:rsidR="00EE6D8F">
        <w:rPr>
          <w:rFonts w:ascii="Arial" w:hAnsi="Arial" w:cs="Arial"/>
          <w:sz w:val="18"/>
          <w:szCs w:val="18"/>
        </w:rPr>
        <w:t>, from Magic2-D</w:t>
      </w:r>
      <w:r w:rsidR="00CE4978">
        <w:rPr>
          <w:rFonts w:ascii="Arial" w:hAnsi="Arial" w:cs="Arial"/>
          <w:sz w:val="18"/>
          <w:szCs w:val="18"/>
        </w:rPr>
        <w:t>.</w:t>
      </w:r>
    </w:p>
    <w:p w14:paraId="37B6EF50" w14:textId="35E8DDE2" w:rsidR="000D2FF9" w:rsidRPr="009B5A9C" w:rsidRDefault="00B73D00" w:rsidP="009B5A9C">
      <w:pPr>
        <w:spacing w:after="0" w:line="240" w:lineRule="auto"/>
        <w:jc w:val="both"/>
        <w:rPr>
          <w:rFonts w:ascii="Arial" w:hAnsi="Arial" w:cs="Arial"/>
          <w:sz w:val="18"/>
          <w:szCs w:val="18"/>
        </w:rPr>
      </w:pPr>
      <w:r>
        <w:rPr>
          <w:rFonts w:ascii="Times New Roman" w:hAnsi="Times New Roman" w:cs="Times New Roman"/>
          <w:sz w:val="20"/>
          <w:szCs w:val="20"/>
        </w:rPr>
        <w:lastRenderedPageBreak/>
        <w:t xml:space="preserve">Figure 3 depicts the </w:t>
      </w:r>
      <w:r w:rsidR="002E2599">
        <w:rPr>
          <w:rFonts w:ascii="Times New Roman" w:hAnsi="Times New Roman" w:cs="Times New Roman"/>
          <w:sz w:val="20"/>
          <w:szCs w:val="20"/>
        </w:rPr>
        <w:t>modulation current (the ratio of the current at the radial plane and the total beam current)</w:t>
      </w:r>
      <w:r>
        <w:rPr>
          <w:rFonts w:ascii="Times New Roman" w:hAnsi="Times New Roman" w:cs="Times New Roman"/>
          <w:sz w:val="20"/>
          <w:szCs w:val="20"/>
        </w:rPr>
        <w:t xml:space="preserve"> of </w:t>
      </w:r>
      <w:r w:rsidR="002E2599">
        <w:rPr>
          <w:rFonts w:ascii="Times New Roman" w:hAnsi="Times New Roman" w:cs="Times New Roman"/>
          <w:sz w:val="20"/>
          <w:szCs w:val="20"/>
        </w:rPr>
        <w:t>along the length of</w:t>
      </w:r>
      <w:r w:rsidR="00BD4708">
        <w:rPr>
          <w:rFonts w:ascii="Times New Roman" w:hAnsi="Times New Roman" w:cs="Times New Roman"/>
          <w:sz w:val="20"/>
          <w:szCs w:val="20"/>
        </w:rPr>
        <w:t xml:space="preserve"> the 08-04</w:t>
      </w:r>
      <w:r>
        <w:rPr>
          <w:rFonts w:ascii="Times New Roman" w:hAnsi="Times New Roman" w:cs="Times New Roman"/>
          <w:sz w:val="20"/>
          <w:szCs w:val="20"/>
        </w:rPr>
        <w:t xml:space="preserve"> tube.  </w:t>
      </w:r>
      <w:r w:rsidR="002E2599">
        <w:rPr>
          <w:rFonts w:ascii="Times New Roman" w:hAnsi="Times New Roman" w:cs="Times New Roman"/>
          <w:sz w:val="20"/>
          <w:szCs w:val="20"/>
        </w:rPr>
        <w:t xml:space="preserve">The maximum occurs at a ratio of ~1.80 at the final cavity, indicating </w:t>
      </w:r>
      <w:r w:rsidR="00F14C8D">
        <w:rPr>
          <w:rFonts w:ascii="Times New Roman" w:hAnsi="Times New Roman" w:cs="Times New Roman"/>
          <w:sz w:val="20"/>
          <w:szCs w:val="20"/>
        </w:rPr>
        <w:t>that most of the available electrons are contained within the bunch approaching the final cavity</w:t>
      </w:r>
      <w:r w:rsidR="00CE4978">
        <w:rPr>
          <w:rFonts w:ascii="Times New Roman" w:hAnsi="Times New Roman" w:cs="Times New Roman"/>
          <w:sz w:val="20"/>
          <w:szCs w:val="20"/>
        </w:rPr>
        <w:t>, as confirmed by Figure 2c</w:t>
      </w:r>
      <w:r w:rsidR="00F14C8D">
        <w:rPr>
          <w:rFonts w:ascii="Times New Roman" w:hAnsi="Times New Roman" w:cs="Times New Roman"/>
          <w:sz w:val="20"/>
          <w:szCs w:val="20"/>
        </w:rPr>
        <w:t>.</w:t>
      </w:r>
    </w:p>
    <w:p w14:paraId="00079F7E" w14:textId="117247B8" w:rsidR="006257FF" w:rsidRPr="006257FF" w:rsidRDefault="006257FF" w:rsidP="006E5133">
      <w:pPr>
        <w:spacing w:after="0" w:line="240" w:lineRule="auto"/>
        <w:jc w:val="both"/>
        <w:rPr>
          <w:rFonts w:ascii="Times New Roman" w:hAnsi="Times New Roman" w:cs="Times New Roman"/>
          <w:sz w:val="12"/>
          <w:szCs w:val="12"/>
        </w:rPr>
      </w:pPr>
    </w:p>
    <w:p w14:paraId="3F7E4691" w14:textId="0E2ADB14" w:rsidR="006257FF" w:rsidRDefault="006257FF" w:rsidP="006257FF">
      <w:pPr>
        <w:keepNext/>
        <w:spacing w:after="0" w:line="240" w:lineRule="auto"/>
        <w:jc w:val="center"/>
        <w:rPr>
          <w:rFonts w:ascii="Arial" w:hAnsi="Arial" w:cs="Arial"/>
          <w:b/>
          <w:sz w:val="20"/>
          <w:szCs w:val="20"/>
        </w:rPr>
      </w:pPr>
      <w:r w:rsidRPr="002E2599">
        <w:rPr>
          <w:rFonts w:ascii="Arial" w:hAnsi="Arial" w:cs="Arial"/>
          <w:b/>
          <w:noProof/>
          <w:sz w:val="20"/>
          <w:szCs w:val="20"/>
          <w:lang w:val="en-GB" w:eastAsia="en-GB"/>
        </w:rPr>
        <w:drawing>
          <wp:inline distT="0" distB="0" distL="0" distR="0" wp14:anchorId="1E058A79" wp14:editId="13C7C873">
            <wp:extent cx="2904490" cy="1504950"/>
            <wp:effectExtent l="0" t="0" r="0" b="0"/>
            <wp:docPr id="5" name="Picture 5" descr="\\vmware-host\Shared Folders\Desktop\Screen Shot 2016-02-11 at 18.27.39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mware-host\Shared Folders\Desktop\Screen Shot 2016-02-11 at 18.27.39 (3).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8549" b="20995"/>
                    <a:stretch/>
                  </pic:blipFill>
                  <pic:spPr bwMode="auto">
                    <a:xfrm>
                      <a:off x="0" y="0"/>
                      <a:ext cx="2987102" cy="1547755"/>
                    </a:xfrm>
                    <a:prstGeom prst="rect">
                      <a:avLst/>
                    </a:prstGeom>
                    <a:noFill/>
                    <a:ln>
                      <a:noFill/>
                    </a:ln>
                    <a:extLst>
                      <a:ext uri="{53640926-AAD7-44D8-BBD7-CCE9431645EC}">
                        <a14:shadowObscured xmlns:a14="http://schemas.microsoft.com/office/drawing/2010/main"/>
                      </a:ext>
                    </a:extLst>
                  </pic:spPr>
                </pic:pic>
              </a:graphicData>
            </a:graphic>
          </wp:inline>
        </w:drawing>
      </w:r>
    </w:p>
    <w:p w14:paraId="6A65FF71" w14:textId="6D5A8F9D" w:rsidR="006257FF" w:rsidRPr="006257FF" w:rsidRDefault="006257FF" w:rsidP="006257FF">
      <w:pPr>
        <w:keepNext/>
        <w:spacing w:after="0" w:line="240" w:lineRule="auto"/>
        <w:jc w:val="center"/>
        <w:rPr>
          <w:rFonts w:ascii="Arial" w:hAnsi="Arial" w:cs="Arial"/>
          <w:sz w:val="18"/>
          <w:szCs w:val="18"/>
        </w:rPr>
      </w:pPr>
      <w:r>
        <w:rPr>
          <w:rFonts w:ascii="Arial" w:hAnsi="Arial" w:cs="Arial"/>
          <w:b/>
          <w:sz w:val="18"/>
          <w:szCs w:val="18"/>
        </w:rPr>
        <w:t xml:space="preserve">Figure 3. </w:t>
      </w:r>
      <w:r>
        <w:rPr>
          <w:rFonts w:ascii="Arial" w:hAnsi="Arial" w:cs="Arial"/>
          <w:sz w:val="18"/>
          <w:szCs w:val="18"/>
        </w:rPr>
        <w:t xml:space="preserve">Current ratio along the length of the </w:t>
      </w:r>
      <w:r w:rsidR="007C213A">
        <w:rPr>
          <w:rFonts w:ascii="Arial" w:hAnsi="Arial" w:cs="Arial"/>
          <w:sz w:val="18"/>
          <w:szCs w:val="18"/>
        </w:rPr>
        <w:t xml:space="preserve">GSP </w:t>
      </w:r>
      <w:r w:rsidR="00BD4708">
        <w:rPr>
          <w:rFonts w:ascii="Arial" w:hAnsi="Arial" w:cs="Arial"/>
          <w:sz w:val="18"/>
          <w:szCs w:val="18"/>
        </w:rPr>
        <w:t>08-04</w:t>
      </w:r>
      <w:r>
        <w:rPr>
          <w:rFonts w:ascii="Arial" w:hAnsi="Arial" w:cs="Arial"/>
          <w:sz w:val="18"/>
          <w:szCs w:val="18"/>
        </w:rPr>
        <w:t xml:space="preserve"> klystron, from Magic2-D.</w:t>
      </w:r>
    </w:p>
    <w:p w14:paraId="66058690" w14:textId="77777777" w:rsidR="00B73D00" w:rsidRPr="00B73D00" w:rsidRDefault="00B73D00" w:rsidP="006E5133">
      <w:pPr>
        <w:spacing w:after="0" w:line="240" w:lineRule="auto"/>
        <w:jc w:val="both"/>
        <w:rPr>
          <w:rFonts w:ascii="Arial" w:hAnsi="Arial" w:cs="Arial"/>
          <w:b/>
          <w:sz w:val="12"/>
          <w:szCs w:val="12"/>
        </w:rPr>
      </w:pPr>
    </w:p>
    <w:p w14:paraId="7D082D75" w14:textId="77777777" w:rsidR="006E5133" w:rsidRDefault="006E5133" w:rsidP="006E5133">
      <w:pPr>
        <w:spacing w:after="0" w:line="240" w:lineRule="auto"/>
        <w:jc w:val="both"/>
        <w:rPr>
          <w:rFonts w:ascii="Arial" w:hAnsi="Arial" w:cs="Arial"/>
          <w:b/>
          <w:sz w:val="20"/>
          <w:szCs w:val="20"/>
        </w:rPr>
      </w:pPr>
      <w:r>
        <w:rPr>
          <w:rFonts w:ascii="Arial" w:hAnsi="Arial" w:cs="Arial"/>
          <w:b/>
          <w:sz w:val="20"/>
          <w:szCs w:val="20"/>
        </w:rPr>
        <w:t>Summary</w:t>
      </w:r>
    </w:p>
    <w:p w14:paraId="3DC4D7F7" w14:textId="3869657A" w:rsidR="006E5133" w:rsidRPr="00667F14" w:rsidRDefault="006E5133" w:rsidP="006E5133">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PIC simulations of </w:t>
      </w:r>
      <w:r w:rsidR="00C710A4">
        <w:rPr>
          <w:rFonts w:ascii="Times New Roman" w:hAnsi="Times New Roman" w:cs="Times New Roman"/>
          <w:sz w:val="20"/>
          <w:szCs w:val="20"/>
        </w:rPr>
        <w:t xml:space="preserve">single-beam </w:t>
      </w:r>
      <w:r>
        <w:rPr>
          <w:rFonts w:ascii="Times New Roman" w:hAnsi="Times New Roman" w:cs="Times New Roman"/>
          <w:sz w:val="20"/>
          <w:szCs w:val="20"/>
        </w:rPr>
        <w:t>klystron</w:t>
      </w:r>
      <w:r w:rsidR="00C710A4">
        <w:rPr>
          <w:rFonts w:ascii="Times New Roman" w:hAnsi="Times New Roman" w:cs="Times New Roman"/>
          <w:sz w:val="20"/>
          <w:szCs w:val="20"/>
        </w:rPr>
        <w:t>s</w:t>
      </w:r>
      <w:r>
        <w:rPr>
          <w:rFonts w:ascii="Times New Roman" w:hAnsi="Times New Roman" w:cs="Times New Roman"/>
          <w:sz w:val="20"/>
          <w:szCs w:val="20"/>
        </w:rPr>
        <w:t xml:space="preserve"> utilizing the core oscillation bunching method are encouraging thus far, predicting stable efficiencies of up to 8</w:t>
      </w:r>
      <w:r w:rsidR="00F14C8D">
        <w:rPr>
          <w:rFonts w:ascii="Times New Roman" w:hAnsi="Times New Roman" w:cs="Times New Roman"/>
          <w:sz w:val="20"/>
          <w:szCs w:val="20"/>
        </w:rPr>
        <w:t>3</w:t>
      </w:r>
      <w:r>
        <w:rPr>
          <w:rFonts w:ascii="Times New Roman" w:hAnsi="Times New Roman" w:cs="Times New Roman"/>
          <w:sz w:val="20"/>
          <w:szCs w:val="20"/>
        </w:rPr>
        <w:t xml:space="preserve">%.  This illustrates the potential of </w:t>
      </w:r>
      <w:r w:rsidR="00C710A4">
        <w:rPr>
          <w:rFonts w:ascii="Times New Roman" w:hAnsi="Times New Roman" w:cs="Times New Roman"/>
          <w:sz w:val="20"/>
          <w:szCs w:val="20"/>
        </w:rPr>
        <w:t>COM</w:t>
      </w:r>
      <w:r>
        <w:rPr>
          <w:rFonts w:ascii="Times New Roman" w:hAnsi="Times New Roman" w:cs="Times New Roman"/>
          <w:sz w:val="20"/>
          <w:szCs w:val="20"/>
        </w:rPr>
        <w:t>, offering an increase in efficiency in comparison to</w:t>
      </w:r>
      <w:r w:rsidRPr="006E5133">
        <w:rPr>
          <w:rFonts w:ascii="Times New Roman" w:hAnsi="Times New Roman" w:cs="Times New Roman"/>
          <w:sz w:val="20"/>
          <w:szCs w:val="20"/>
        </w:rPr>
        <w:t xml:space="preserve"> </w:t>
      </w:r>
      <w:r>
        <w:rPr>
          <w:rFonts w:ascii="Times New Roman" w:hAnsi="Times New Roman" w:cs="Times New Roman"/>
          <w:sz w:val="20"/>
          <w:szCs w:val="20"/>
        </w:rPr>
        <w:t xml:space="preserve">commercial klystrons.  Our current research focus is </w:t>
      </w:r>
      <w:r w:rsidR="002C256C">
        <w:rPr>
          <w:rFonts w:ascii="Times New Roman" w:hAnsi="Times New Roman" w:cs="Times New Roman"/>
          <w:sz w:val="20"/>
          <w:szCs w:val="20"/>
        </w:rPr>
        <w:t xml:space="preserve">on refining current geometries and </w:t>
      </w:r>
      <w:r>
        <w:rPr>
          <w:rFonts w:ascii="Times New Roman" w:hAnsi="Times New Roman" w:cs="Times New Roman"/>
          <w:sz w:val="20"/>
          <w:szCs w:val="20"/>
        </w:rPr>
        <w:t>examining new configurations to further increase the</w:t>
      </w:r>
      <w:r w:rsidR="002C0E29">
        <w:rPr>
          <w:rFonts w:ascii="Times New Roman" w:hAnsi="Times New Roman" w:cs="Times New Roman"/>
          <w:sz w:val="20"/>
          <w:szCs w:val="20"/>
        </w:rPr>
        <w:t>ir</w:t>
      </w:r>
      <w:r>
        <w:rPr>
          <w:rFonts w:ascii="Times New Roman" w:hAnsi="Times New Roman" w:cs="Times New Roman"/>
          <w:sz w:val="20"/>
          <w:szCs w:val="20"/>
        </w:rPr>
        <w:t xml:space="preserve"> efficiency, while mitigating the issue of reflected electrons</w:t>
      </w:r>
      <w:r w:rsidR="00C710A4">
        <w:rPr>
          <w:rFonts w:ascii="Times New Roman" w:hAnsi="Times New Roman" w:cs="Times New Roman"/>
          <w:sz w:val="20"/>
          <w:szCs w:val="20"/>
        </w:rPr>
        <w:t>, with an eye to eventually move to full 3-D simulations of the MBK</w:t>
      </w:r>
      <w:r>
        <w:rPr>
          <w:rFonts w:ascii="Times New Roman" w:hAnsi="Times New Roman" w:cs="Times New Roman"/>
          <w:sz w:val="20"/>
          <w:szCs w:val="20"/>
        </w:rPr>
        <w:t xml:space="preserve">. </w:t>
      </w:r>
    </w:p>
    <w:p w14:paraId="739F58B3" w14:textId="77777777" w:rsidR="00E43B61" w:rsidRPr="00E43B61" w:rsidRDefault="00E43B61" w:rsidP="00667F14">
      <w:pPr>
        <w:spacing w:after="0" w:line="240" w:lineRule="auto"/>
        <w:jc w:val="both"/>
        <w:rPr>
          <w:rFonts w:ascii="Times New Roman" w:hAnsi="Times New Roman" w:cs="Times New Roman"/>
          <w:sz w:val="12"/>
          <w:szCs w:val="12"/>
        </w:rPr>
      </w:pPr>
    </w:p>
    <w:p w14:paraId="431AB31A" w14:textId="77777777" w:rsidR="00E43B61" w:rsidRPr="00E43B61" w:rsidRDefault="000C6827" w:rsidP="00667F14">
      <w:pPr>
        <w:spacing w:after="0" w:line="240" w:lineRule="auto"/>
        <w:jc w:val="both"/>
        <w:rPr>
          <w:rFonts w:ascii="Arial" w:hAnsi="Arial" w:cs="Arial"/>
          <w:b/>
          <w:sz w:val="20"/>
          <w:szCs w:val="20"/>
        </w:rPr>
      </w:pPr>
      <w:r>
        <w:rPr>
          <w:rFonts w:ascii="Arial" w:hAnsi="Arial" w:cs="Arial"/>
          <w:b/>
          <w:sz w:val="20"/>
          <w:szCs w:val="20"/>
        </w:rPr>
        <w:t>References</w:t>
      </w:r>
    </w:p>
    <w:p w14:paraId="7255D1D2" w14:textId="64F13C54" w:rsidR="003D793C" w:rsidRDefault="000C6827" w:rsidP="00CB69E7">
      <w:pPr>
        <w:pStyle w:val="ListParagraph"/>
        <w:keepNext/>
        <w:numPr>
          <w:ilvl w:val="0"/>
          <w:numId w:val="1"/>
        </w:numPr>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Aicheler</w:t>
      </w:r>
      <w:proofErr w:type="spellEnd"/>
      <w:r>
        <w:rPr>
          <w:rFonts w:ascii="Times New Roman" w:hAnsi="Times New Roman" w:cs="Times New Roman"/>
          <w:sz w:val="20"/>
          <w:szCs w:val="20"/>
        </w:rPr>
        <w:t>, M., et al., “A Multi-</w:t>
      </w:r>
      <w:proofErr w:type="spellStart"/>
      <w:r>
        <w:rPr>
          <w:rFonts w:ascii="Times New Roman" w:hAnsi="Times New Roman" w:cs="Times New Roman"/>
          <w:sz w:val="20"/>
          <w:szCs w:val="20"/>
        </w:rPr>
        <w:t>TeV</w:t>
      </w:r>
      <w:proofErr w:type="spellEnd"/>
      <w:r>
        <w:rPr>
          <w:rFonts w:ascii="Times New Roman" w:hAnsi="Times New Roman" w:cs="Times New Roman"/>
          <w:sz w:val="20"/>
          <w:szCs w:val="20"/>
        </w:rPr>
        <w:t xml:space="preserve"> linear collider based on CLIC technology: CLIC Conceptual Design Report,” CERN-2012-007, 2012.</w:t>
      </w:r>
    </w:p>
    <w:p w14:paraId="615F5C46" w14:textId="190B1854" w:rsidR="003D793C" w:rsidRDefault="000C6827" w:rsidP="00CB69E7">
      <w:pPr>
        <w:pStyle w:val="ListParagraph"/>
        <w:keepNext/>
        <w:numPr>
          <w:ilvl w:val="0"/>
          <w:numId w:val="1"/>
        </w:numPr>
        <w:spacing w:after="0" w:line="240" w:lineRule="auto"/>
        <w:jc w:val="both"/>
        <w:rPr>
          <w:rFonts w:ascii="Times New Roman" w:hAnsi="Times New Roman" w:cs="Times New Roman"/>
          <w:sz w:val="20"/>
          <w:szCs w:val="20"/>
        </w:rPr>
      </w:pPr>
      <w:proofErr w:type="spellStart"/>
      <w:r>
        <w:rPr>
          <w:rFonts w:ascii="Times New Roman" w:hAnsi="Times New Roman"/>
          <w:sz w:val="20"/>
          <w:szCs w:val="20"/>
        </w:rPr>
        <w:t>Koratzinos</w:t>
      </w:r>
      <w:proofErr w:type="spellEnd"/>
      <w:r>
        <w:rPr>
          <w:rFonts w:ascii="Times New Roman" w:hAnsi="Times New Roman" w:cs="Times New Roman"/>
          <w:sz w:val="20"/>
          <w:szCs w:val="20"/>
        </w:rPr>
        <w:t>, M., “</w:t>
      </w:r>
      <w:r>
        <w:rPr>
          <w:rFonts w:ascii="Times New Roman" w:hAnsi="Times New Roman"/>
          <w:sz w:val="20"/>
          <w:szCs w:val="20"/>
        </w:rPr>
        <w:t>FCC-</w:t>
      </w:r>
      <w:proofErr w:type="spellStart"/>
      <w:r>
        <w:rPr>
          <w:rFonts w:ascii="Times New Roman" w:hAnsi="Times New Roman"/>
          <w:sz w:val="20"/>
          <w:szCs w:val="20"/>
        </w:rPr>
        <w:t>ee</w:t>
      </w:r>
      <w:proofErr w:type="spellEnd"/>
      <w:r>
        <w:rPr>
          <w:rFonts w:ascii="Times New Roman" w:hAnsi="Times New Roman"/>
          <w:sz w:val="20"/>
          <w:szCs w:val="20"/>
        </w:rPr>
        <w:t xml:space="preserve"> accelerator parameters, performance and limitations</w:t>
      </w:r>
      <w:r>
        <w:rPr>
          <w:rFonts w:ascii="Times New Roman" w:hAnsi="Times New Roman" w:cs="Times New Roman"/>
          <w:sz w:val="20"/>
          <w:szCs w:val="20"/>
        </w:rPr>
        <w:t>,” 37</w:t>
      </w:r>
      <w:r>
        <w:rPr>
          <w:rFonts w:ascii="Times New Roman" w:hAnsi="Times New Roman" w:cs="Times New Roman"/>
          <w:sz w:val="20"/>
          <w:szCs w:val="20"/>
          <w:vertAlign w:val="superscript"/>
        </w:rPr>
        <w:t>th</w:t>
      </w:r>
      <w:r>
        <w:rPr>
          <w:rFonts w:ascii="Times New Roman" w:hAnsi="Times New Roman" w:cs="Times New Roman"/>
          <w:sz w:val="20"/>
          <w:szCs w:val="20"/>
        </w:rPr>
        <w:t xml:space="preserve"> Conference on High Energy Physics (ICHEP), Valencia, 2014. </w:t>
      </w:r>
    </w:p>
    <w:p w14:paraId="2263D45B" w14:textId="4877D4E0" w:rsidR="003D793C" w:rsidRDefault="000C6827" w:rsidP="00CB69E7">
      <w:pPr>
        <w:pStyle w:val="ListParagraph"/>
        <w:keepNext/>
        <w:numPr>
          <w:ilvl w:val="0"/>
          <w:numId w:val="1"/>
        </w:numPr>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Ciapala</w:t>
      </w:r>
      <w:proofErr w:type="spellEnd"/>
      <w:r>
        <w:rPr>
          <w:rFonts w:ascii="Times New Roman" w:hAnsi="Times New Roman" w:cs="Times New Roman"/>
          <w:sz w:val="20"/>
          <w:szCs w:val="20"/>
        </w:rPr>
        <w:t>, E., et al., “</w:t>
      </w:r>
      <w:r w:rsidR="00BF52FB">
        <w:rPr>
          <w:rFonts w:ascii="Times New Roman" w:hAnsi="Times New Roman"/>
          <w:sz w:val="20"/>
          <w:szCs w:val="20"/>
        </w:rPr>
        <w:t>Commissioning</w:t>
      </w:r>
      <w:r>
        <w:rPr>
          <w:rFonts w:ascii="Times New Roman" w:hAnsi="Times New Roman"/>
          <w:sz w:val="20"/>
          <w:szCs w:val="20"/>
        </w:rPr>
        <w:t xml:space="preserve"> of the 400 MHz LHC RF system,” 11</w:t>
      </w:r>
      <w:r>
        <w:rPr>
          <w:rFonts w:ascii="Times New Roman" w:hAnsi="Times New Roman"/>
          <w:sz w:val="20"/>
          <w:szCs w:val="20"/>
          <w:vertAlign w:val="superscript"/>
        </w:rPr>
        <w:t>th</w:t>
      </w:r>
      <w:r>
        <w:rPr>
          <w:rFonts w:ascii="Times New Roman" w:hAnsi="Times New Roman"/>
          <w:sz w:val="20"/>
          <w:szCs w:val="20"/>
        </w:rPr>
        <w:t xml:space="preserve"> European Particle Accelerator Conference (EPAC), Genoa, Italy, 2008</w:t>
      </w:r>
      <w:r>
        <w:rPr>
          <w:rFonts w:ascii="Times New Roman" w:hAnsi="Times New Roman" w:cs="Times New Roman"/>
          <w:sz w:val="20"/>
          <w:szCs w:val="20"/>
        </w:rPr>
        <w:t>.</w:t>
      </w:r>
    </w:p>
    <w:p w14:paraId="6AD66240" w14:textId="073FB9A0" w:rsidR="003D793C" w:rsidRDefault="000C6827" w:rsidP="00CB69E7">
      <w:pPr>
        <w:pStyle w:val="ListParagraph"/>
        <w:keepNext/>
        <w:numPr>
          <w:ilvl w:val="0"/>
          <w:numId w:val="1"/>
        </w:numPr>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Baikov</w:t>
      </w:r>
      <w:proofErr w:type="spellEnd"/>
      <w:r>
        <w:rPr>
          <w:rFonts w:ascii="Times New Roman" w:hAnsi="Times New Roman" w:cs="Times New Roman"/>
          <w:sz w:val="20"/>
          <w:szCs w:val="20"/>
        </w:rPr>
        <w:t xml:space="preserve">, A. Yu., </w:t>
      </w:r>
      <w:r w:rsidR="00BF52FB">
        <w:rPr>
          <w:rFonts w:ascii="Times New Roman" w:hAnsi="Times New Roman" w:cs="Times New Roman"/>
          <w:sz w:val="20"/>
          <w:szCs w:val="20"/>
        </w:rPr>
        <w:t>et al.</w:t>
      </w:r>
      <w:r>
        <w:rPr>
          <w:rFonts w:ascii="Times New Roman" w:hAnsi="Times New Roman" w:cs="Times New Roman"/>
          <w:sz w:val="20"/>
          <w:szCs w:val="20"/>
        </w:rPr>
        <w:t xml:space="preserve">, “Simulations of conditions for the </w:t>
      </w:r>
      <w:proofErr w:type="spellStart"/>
      <w:r>
        <w:rPr>
          <w:rFonts w:ascii="Times New Roman" w:hAnsi="Times New Roman" w:cs="Times New Roman"/>
          <w:sz w:val="20"/>
          <w:szCs w:val="20"/>
        </w:rPr>
        <w:t>maximial</w:t>
      </w:r>
      <w:proofErr w:type="spellEnd"/>
      <w:r>
        <w:rPr>
          <w:rFonts w:ascii="Times New Roman" w:hAnsi="Times New Roman" w:cs="Times New Roman"/>
          <w:sz w:val="20"/>
          <w:szCs w:val="20"/>
        </w:rPr>
        <w:t xml:space="preserve"> efficiency of decimeter-wave klystrons”, Technical Physics, 59(3), pp. 421-427, 2014.</w:t>
      </w:r>
    </w:p>
    <w:p w14:paraId="3D841E1F" w14:textId="62155CEC" w:rsidR="003D793C" w:rsidRDefault="000C6827" w:rsidP="00CB69E7">
      <w:pPr>
        <w:pStyle w:val="ListParagraph"/>
        <w:keepNext/>
        <w:numPr>
          <w:ilvl w:val="0"/>
          <w:numId w:val="1"/>
        </w:numPr>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Baikov</w:t>
      </w:r>
      <w:proofErr w:type="spellEnd"/>
      <w:r>
        <w:rPr>
          <w:rFonts w:ascii="Times New Roman" w:hAnsi="Times New Roman" w:cs="Times New Roman"/>
          <w:sz w:val="20"/>
          <w:szCs w:val="20"/>
        </w:rPr>
        <w:t xml:space="preserve">, A. Yu., </w:t>
      </w:r>
      <w:r w:rsidR="00BF52FB">
        <w:rPr>
          <w:rFonts w:ascii="Times New Roman" w:hAnsi="Times New Roman" w:cs="Times New Roman"/>
          <w:sz w:val="20"/>
          <w:szCs w:val="20"/>
        </w:rPr>
        <w:t>et al.</w:t>
      </w:r>
      <w:r>
        <w:rPr>
          <w:rFonts w:ascii="Times New Roman" w:hAnsi="Times New Roman" w:cs="Times New Roman"/>
          <w:sz w:val="20"/>
          <w:szCs w:val="20"/>
        </w:rPr>
        <w:t xml:space="preserve">, “Toward high-power klystrons with RF power conversion efficiencies on the order of 90%”, IEEE. Trans. Elec. Dev., </w:t>
      </w:r>
      <w:r>
        <w:rPr>
          <w:rFonts w:ascii="Times New Roman" w:hAnsi="Times New Roman" w:cs="Times New Roman"/>
          <w:b/>
          <w:sz w:val="20"/>
          <w:szCs w:val="20"/>
        </w:rPr>
        <w:t>62</w:t>
      </w:r>
      <w:r>
        <w:rPr>
          <w:rFonts w:ascii="Times New Roman" w:hAnsi="Times New Roman" w:cs="Times New Roman"/>
          <w:sz w:val="20"/>
          <w:szCs w:val="20"/>
        </w:rPr>
        <w:t xml:space="preserve">(10), pp. 3406-3412, 2015. </w:t>
      </w:r>
    </w:p>
    <w:p w14:paraId="10846242" w14:textId="76168569" w:rsidR="000B6065" w:rsidRDefault="002C256C" w:rsidP="002C256C">
      <w:pPr>
        <w:pStyle w:val="ListParagraph"/>
        <w:keepNext/>
        <w:numPr>
          <w:ilvl w:val="0"/>
          <w:numId w:val="1"/>
        </w:numPr>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Syratchev</w:t>
      </w:r>
      <w:proofErr w:type="spellEnd"/>
      <w:r>
        <w:rPr>
          <w:rFonts w:ascii="Times New Roman" w:hAnsi="Times New Roman" w:cs="Times New Roman"/>
          <w:sz w:val="20"/>
          <w:szCs w:val="20"/>
        </w:rPr>
        <w:t xml:space="preserve">, I., </w:t>
      </w:r>
      <w:r w:rsidR="00035CE5">
        <w:rPr>
          <w:rFonts w:ascii="Times New Roman" w:hAnsi="Times New Roman" w:cs="Times New Roman"/>
          <w:sz w:val="20"/>
          <w:szCs w:val="20"/>
        </w:rPr>
        <w:t>“High-efficiency klystron development”, International Workshop on Breakdown Science and High Gradient Technology, Beijing, China, 2015.</w:t>
      </w:r>
    </w:p>
    <w:p w14:paraId="41BA2D08" w14:textId="77777777" w:rsidR="003D793C" w:rsidRDefault="00E43B61" w:rsidP="00CB69E7">
      <w:pPr>
        <w:pStyle w:val="ListParagraph"/>
        <w:keepNext/>
        <w:numPr>
          <w:ilvl w:val="0"/>
          <w:numId w:val="1"/>
        </w:numPr>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Baikov</w:t>
      </w:r>
      <w:proofErr w:type="spellEnd"/>
      <w:r>
        <w:rPr>
          <w:rFonts w:ascii="Times New Roman" w:hAnsi="Times New Roman" w:cs="Times New Roman"/>
          <w:sz w:val="20"/>
          <w:szCs w:val="20"/>
        </w:rPr>
        <w:t>, A., private communication.</w:t>
      </w:r>
    </w:p>
    <w:p w14:paraId="5908F4C5" w14:textId="031D3436" w:rsidR="002C256C" w:rsidRDefault="005D11DB" w:rsidP="00CB69E7">
      <w:pPr>
        <w:pStyle w:val="ListParagraph"/>
        <w:keepNext/>
        <w:numPr>
          <w:ilvl w:val="0"/>
          <w:numId w:val="1"/>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Cooke, S. J., et al., “Validation of the Large-Signal Klystron Simulation Code TESLA”, IEEE. Trans. Plasma Sci., </w:t>
      </w:r>
      <w:r>
        <w:rPr>
          <w:rFonts w:ascii="Times New Roman" w:hAnsi="Times New Roman" w:cs="Times New Roman"/>
          <w:b/>
          <w:sz w:val="20"/>
          <w:szCs w:val="20"/>
        </w:rPr>
        <w:t>32</w:t>
      </w:r>
      <w:r>
        <w:rPr>
          <w:rFonts w:ascii="Times New Roman" w:hAnsi="Times New Roman" w:cs="Times New Roman"/>
          <w:sz w:val="20"/>
          <w:szCs w:val="20"/>
        </w:rPr>
        <w:t>(3), pp. 1136-1146, 2004.</w:t>
      </w:r>
    </w:p>
    <w:p w14:paraId="0FA555C9" w14:textId="16DB52CA" w:rsidR="00822BD4" w:rsidRPr="00E43B61" w:rsidRDefault="00822BD4" w:rsidP="00CB69E7">
      <w:pPr>
        <w:pStyle w:val="ListParagraph"/>
        <w:keepNext/>
        <w:numPr>
          <w:ilvl w:val="0"/>
          <w:numId w:val="1"/>
        </w:numPr>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Marchesin</w:t>
      </w:r>
      <w:proofErr w:type="spellEnd"/>
      <w:r>
        <w:rPr>
          <w:rFonts w:ascii="Times New Roman" w:hAnsi="Times New Roman" w:cs="Times New Roman"/>
          <w:sz w:val="20"/>
          <w:szCs w:val="20"/>
        </w:rPr>
        <w:t>, R., private communication.</w:t>
      </w:r>
    </w:p>
    <w:sectPr w:rsidR="00822BD4" w:rsidRPr="00E43B61" w:rsidSect="009B5A9C">
      <w:type w:val="continuous"/>
      <w:pgSz w:w="12240" w:h="15840"/>
      <w:pgMar w:top="1080" w:right="1080" w:bottom="1440" w:left="1080" w:header="0" w:footer="0" w:gutter="0"/>
      <w:cols w:num="2" w:space="720"/>
      <w:formProt w:val="0"/>
      <w:docGrid w:linePitch="360" w:charSpace="-20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D8037C" w14:textId="77777777" w:rsidR="009B5A9C" w:rsidRDefault="009B5A9C" w:rsidP="009B5A9C">
      <w:pPr>
        <w:spacing w:after="0" w:line="240" w:lineRule="auto"/>
      </w:pPr>
      <w:r>
        <w:separator/>
      </w:r>
    </w:p>
  </w:endnote>
  <w:endnote w:type="continuationSeparator" w:id="0">
    <w:p w14:paraId="396A3D2F" w14:textId="77777777" w:rsidR="009B5A9C" w:rsidRDefault="009B5A9C" w:rsidP="009B5A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NewRomanPSM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692D1" w14:textId="7E2A1176" w:rsidR="00296162" w:rsidRPr="003D6362" w:rsidRDefault="00296162" w:rsidP="003D6362">
    <w:pPr>
      <w:pStyle w:val="Footer"/>
      <w:jc w:val="center"/>
      <w:rPr>
        <w:rFonts w:ascii="Times New Roman" w:hAnsi="Times New Roman" w:cs="Times New Roman"/>
      </w:rPr>
    </w:pPr>
    <w:r w:rsidRPr="003D6362">
      <w:rPr>
        <w:rFonts w:ascii="Times New Roman" w:hAnsi="Times New Roman" w:cs="Times New Roman"/>
      </w:rPr>
      <w:t>978-1-4673-9217-4/16/$31.00 ©2016 IEEE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5683A3" w14:textId="77777777" w:rsidR="009B5A9C" w:rsidRDefault="009B5A9C" w:rsidP="009B5A9C">
      <w:pPr>
        <w:spacing w:after="0" w:line="240" w:lineRule="auto"/>
      </w:pPr>
      <w:r>
        <w:separator/>
      </w:r>
    </w:p>
  </w:footnote>
  <w:footnote w:type="continuationSeparator" w:id="0">
    <w:p w14:paraId="511846CB" w14:textId="77777777" w:rsidR="009B5A9C" w:rsidRDefault="009B5A9C" w:rsidP="009B5A9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773FEF"/>
    <w:multiLevelType w:val="multilevel"/>
    <w:tmpl w:val="05E0D40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nsid w:val="44B63E7F"/>
    <w:multiLevelType w:val="multilevel"/>
    <w:tmpl w:val="B106B26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93C"/>
    <w:rsid w:val="00035CE5"/>
    <w:rsid w:val="0004387A"/>
    <w:rsid w:val="0005085D"/>
    <w:rsid w:val="00064BD1"/>
    <w:rsid w:val="0007210E"/>
    <w:rsid w:val="000B6065"/>
    <w:rsid w:val="000C6827"/>
    <w:rsid w:val="000D2FF9"/>
    <w:rsid w:val="001047D4"/>
    <w:rsid w:val="00112A0E"/>
    <w:rsid w:val="00116A2F"/>
    <w:rsid w:val="00116F5E"/>
    <w:rsid w:val="0019031F"/>
    <w:rsid w:val="001A22F4"/>
    <w:rsid w:val="001D59E0"/>
    <w:rsid w:val="00202A14"/>
    <w:rsid w:val="00215C77"/>
    <w:rsid w:val="002816DD"/>
    <w:rsid w:val="00283205"/>
    <w:rsid w:val="00296162"/>
    <w:rsid w:val="002C0E29"/>
    <w:rsid w:val="002C256C"/>
    <w:rsid w:val="002D14EC"/>
    <w:rsid w:val="002E2599"/>
    <w:rsid w:val="00300CC0"/>
    <w:rsid w:val="003021A2"/>
    <w:rsid w:val="003413E1"/>
    <w:rsid w:val="00360752"/>
    <w:rsid w:val="00376F0E"/>
    <w:rsid w:val="003C345F"/>
    <w:rsid w:val="003D6362"/>
    <w:rsid w:val="003D793C"/>
    <w:rsid w:val="003F3549"/>
    <w:rsid w:val="003F641B"/>
    <w:rsid w:val="00421501"/>
    <w:rsid w:val="0048590B"/>
    <w:rsid w:val="00492906"/>
    <w:rsid w:val="00494FCB"/>
    <w:rsid w:val="004D2A6F"/>
    <w:rsid w:val="004F7049"/>
    <w:rsid w:val="005706F3"/>
    <w:rsid w:val="005746D7"/>
    <w:rsid w:val="005D0A11"/>
    <w:rsid w:val="005D11DB"/>
    <w:rsid w:val="005F7BE4"/>
    <w:rsid w:val="00606C6C"/>
    <w:rsid w:val="006257FF"/>
    <w:rsid w:val="00667F14"/>
    <w:rsid w:val="006779EF"/>
    <w:rsid w:val="006C45D8"/>
    <w:rsid w:val="006E407A"/>
    <w:rsid w:val="006E5133"/>
    <w:rsid w:val="006F5D4B"/>
    <w:rsid w:val="007510A3"/>
    <w:rsid w:val="007A54AF"/>
    <w:rsid w:val="007C213A"/>
    <w:rsid w:val="007D4DC7"/>
    <w:rsid w:val="007D7C29"/>
    <w:rsid w:val="007F11A4"/>
    <w:rsid w:val="00800FC3"/>
    <w:rsid w:val="00811B5B"/>
    <w:rsid w:val="00822BD4"/>
    <w:rsid w:val="00836986"/>
    <w:rsid w:val="00865F99"/>
    <w:rsid w:val="00875748"/>
    <w:rsid w:val="008979D0"/>
    <w:rsid w:val="008B235C"/>
    <w:rsid w:val="008B7715"/>
    <w:rsid w:val="008C0C9B"/>
    <w:rsid w:val="008E08E5"/>
    <w:rsid w:val="008E20CB"/>
    <w:rsid w:val="009317D8"/>
    <w:rsid w:val="00965B0A"/>
    <w:rsid w:val="0097193A"/>
    <w:rsid w:val="00996F1E"/>
    <w:rsid w:val="00997122"/>
    <w:rsid w:val="009B2B1D"/>
    <w:rsid w:val="009B5A9C"/>
    <w:rsid w:val="00A04578"/>
    <w:rsid w:val="00A15443"/>
    <w:rsid w:val="00A22B61"/>
    <w:rsid w:val="00A47F42"/>
    <w:rsid w:val="00A63AE6"/>
    <w:rsid w:val="00AA096E"/>
    <w:rsid w:val="00AB0264"/>
    <w:rsid w:val="00B0159B"/>
    <w:rsid w:val="00B1193B"/>
    <w:rsid w:val="00B303F0"/>
    <w:rsid w:val="00B31248"/>
    <w:rsid w:val="00B376F9"/>
    <w:rsid w:val="00B63432"/>
    <w:rsid w:val="00B70EC7"/>
    <w:rsid w:val="00B73D00"/>
    <w:rsid w:val="00BA7C3A"/>
    <w:rsid w:val="00BD4708"/>
    <w:rsid w:val="00BF52FB"/>
    <w:rsid w:val="00C00377"/>
    <w:rsid w:val="00C20FF4"/>
    <w:rsid w:val="00C710A4"/>
    <w:rsid w:val="00C7648C"/>
    <w:rsid w:val="00CB69E7"/>
    <w:rsid w:val="00CC00CD"/>
    <w:rsid w:val="00CE4978"/>
    <w:rsid w:val="00D01866"/>
    <w:rsid w:val="00D02694"/>
    <w:rsid w:val="00D33DD2"/>
    <w:rsid w:val="00D82AB4"/>
    <w:rsid w:val="00DB0445"/>
    <w:rsid w:val="00DD3FB0"/>
    <w:rsid w:val="00E1682A"/>
    <w:rsid w:val="00E35244"/>
    <w:rsid w:val="00E43B61"/>
    <w:rsid w:val="00E8249B"/>
    <w:rsid w:val="00E92A6A"/>
    <w:rsid w:val="00ED1D5D"/>
    <w:rsid w:val="00EE6D8F"/>
    <w:rsid w:val="00F11E4E"/>
    <w:rsid w:val="00F14C8D"/>
    <w:rsid w:val="00F243AE"/>
    <w:rsid w:val="00F63986"/>
    <w:rsid w:val="00F76399"/>
    <w:rsid w:val="00F77AB9"/>
    <w:rsid w:val="00F920C8"/>
    <w:rsid w:val="00F93002"/>
    <w:rsid w:val="00FA7FE9"/>
    <w:rsid w:val="00FB6B3D"/>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EB629"/>
  <w15:docId w15:val="{17C4CFA9-D6EF-468C-B5D4-88EA3D9B0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7BA1"/>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393D32"/>
    <w:rPr>
      <w:color w:val="0000FF" w:themeColor="hyperlink"/>
      <w:u w:val="single"/>
    </w:rPr>
  </w:style>
  <w:style w:type="character" w:customStyle="1" w:styleId="BalloonTextChar">
    <w:name w:val="Balloon Text Char"/>
    <w:basedOn w:val="DefaultParagraphFont"/>
    <w:link w:val="BalloonText"/>
    <w:uiPriority w:val="99"/>
    <w:semiHidden/>
    <w:qFormat/>
    <w:rsid w:val="0025075A"/>
    <w:rPr>
      <w:rFonts w:ascii="Tahoma" w:hAnsi="Tahoma" w:cs="Tahoma"/>
      <w:sz w:val="16"/>
      <w:szCs w:val="16"/>
    </w:rPr>
  </w:style>
  <w:style w:type="character" w:customStyle="1" w:styleId="HeaderChar">
    <w:name w:val="Header Char"/>
    <w:basedOn w:val="DefaultParagraphFont"/>
    <w:link w:val="Header"/>
    <w:uiPriority w:val="99"/>
    <w:qFormat/>
    <w:rsid w:val="006A028D"/>
  </w:style>
  <w:style w:type="character" w:customStyle="1" w:styleId="FooterChar">
    <w:name w:val="Footer Char"/>
    <w:basedOn w:val="DefaultParagraphFont"/>
    <w:link w:val="Footer"/>
    <w:uiPriority w:val="99"/>
    <w:qFormat/>
    <w:rsid w:val="006A028D"/>
  </w:style>
  <w:style w:type="character" w:customStyle="1" w:styleId="ListLabel1">
    <w:name w:val="ListLabel 1"/>
    <w:qFormat/>
    <w:rPr>
      <w:rFonts w:cs="Courier New"/>
    </w:rPr>
  </w:style>
  <w:style w:type="paragraph" w:customStyle="1" w:styleId="Heading">
    <w:name w:val="Heading"/>
    <w:basedOn w:val="Normal"/>
    <w:next w:val="TextBody"/>
    <w:qFormat/>
    <w:pPr>
      <w:keepNext/>
      <w:spacing w:before="240" w:after="120"/>
    </w:pPr>
    <w:rPr>
      <w:rFonts w:ascii="Liberation Sans" w:eastAsia="Microsoft YaHei" w:hAnsi="Liberation Sans" w:cs="Mangal"/>
      <w:sz w:val="28"/>
      <w:szCs w:val="28"/>
    </w:rPr>
  </w:style>
  <w:style w:type="paragraph" w:customStyle="1" w:styleId="TextBody">
    <w:name w:val="Text Body"/>
    <w:basedOn w:val="Normal"/>
    <w:pPr>
      <w:spacing w:after="140" w:line="288" w:lineRule="auto"/>
    </w:pPr>
  </w:style>
  <w:style w:type="paragraph" w:styleId="List">
    <w:name w:val="List"/>
    <w:basedOn w:val="TextBody"/>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 w:type="paragraph" w:styleId="ListParagraph">
    <w:name w:val="List Paragraph"/>
    <w:basedOn w:val="Normal"/>
    <w:uiPriority w:val="34"/>
    <w:qFormat/>
    <w:rsid w:val="00393D32"/>
    <w:pPr>
      <w:ind w:left="720"/>
      <w:contextualSpacing/>
    </w:pPr>
  </w:style>
  <w:style w:type="paragraph" w:styleId="BalloonText">
    <w:name w:val="Balloon Text"/>
    <w:basedOn w:val="Normal"/>
    <w:link w:val="BalloonTextChar"/>
    <w:uiPriority w:val="99"/>
    <w:semiHidden/>
    <w:unhideWhenUsed/>
    <w:qFormat/>
    <w:rsid w:val="0025075A"/>
    <w:pPr>
      <w:spacing w:after="0" w:line="240" w:lineRule="auto"/>
    </w:pPr>
    <w:rPr>
      <w:rFonts w:ascii="Tahoma" w:hAnsi="Tahoma" w:cs="Tahoma"/>
      <w:sz w:val="16"/>
      <w:szCs w:val="16"/>
    </w:rPr>
  </w:style>
  <w:style w:type="paragraph" w:styleId="NormalWeb">
    <w:name w:val="Normal (Web)"/>
    <w:basedOn w:val="Normal"/>
    <w:uiPriority w:val="99"/>
    <w:semiHidden/>
    <w:unhideWhenUsed/>
    <w:qFormat/>
    <w:rsid w:val="008C6290"/>
    <w:pPr>
      <w:spacing w:beforeAutospacing="1" w:afterAutospacing="1" w:line="240" w:lineRule="auto"/>
    </w:pPr>
    <w:rPr>
      <w:rFonts w:ascii="Times New Roman" w:eastAsiaTheme="minorEastAsia" w:hAnsi="Times New Roman" w:cs="Times New Roman"/>
      <w:sz w:val="24"/>
      <w:szCs w:val="24"/>
      <w:lang w:val="en-GB" w:eastAsia="en-GB"/>
    </w:rPr>
  </w:style>
  <w:style w:type="paragraph" w:styleId="Header">
    <w:name w:val="header"/>
    <w:basedOn w:val="Normal"/>
    <w:link w:val="HeaderChar"/>
    <w:uiPriority w:val="99"/>
    <w:unhideWhenUsed/>
    <w:rsid w:val="006A028D"/>
    <w:pPr>
      <w:tabs>
        <w:tab w:val="center" w:pos="4513"/>
        <w:tab w:val="right" w:pos="9026"/>
      </w:tabs>
      <w:spacing w:after="0" w:line="240" w:lineRule="auto"/>
    </w:pPr>
  </w:style>
  <w:style w:type="paragraph" w:styleId="Footer">
    <w:name w:val="footer"/>
    <w:basedOn w:val="Normal"/>
    <w:link w:val="FooterChar"/>
    <w:uiPriority w:val="99"/>
    <w:unhideWhenUsed/>
    <w:rsid w:val="006A028D"/>
    <w:pPr>
      <w:tabs>
        <w:tab w:val="center" w:pos="4513"/>
        <w:tab w:val="right" w:pos="9026"/>
      </w:tabs>
      <w:spacing w:after="0" w:line="240" w:lineRule="auto"/>
    </w:pPr>
  </w:style>
  <w:style w:type="paragraph" w:customStyle="1" w:styleId="FrameContents">
    <w:name w:val="Frame Contents"/>
    <w:basedOn w:val="Normal"/>
    <w:qFormat/>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D01866"/>
    <w:rPr>
      <w:b/>
      <w:bCs/>
    </w:rPr>
  </w:style>
  <w:style w:type="character" w:customStyle="1" w:styleId="CommentSubjectChar">
    <w:name w:val="Comment Subject Char"/>
    <w:basedOn w:val="CommentTextChar"/>
    <w:link w:val="CommentSubject"/>
    <w:uiPriority w:val="99"/>
    <w:semiHidden/>
    <w:rsid w:val="00D0186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41FC4A7-C2A9-4510-865D-E02497086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1232</Words>
  <Characters>6659</Characters>
  <Application>Microsoft Office Word</Application>
  <DocSecurity>0</DocSecurity>
  <Lines>256</Lines>
  <Paragraphs>127</Paragraphs>
  <ScaleCrop>false</ScaleCrop>
  <HeadingPairs>
    <vt:vector size="2" baseType="variant">
      <vt:variant>
        <vt:lpstr>Title</vt:lpstr>
      </vt:variant>
      <vt:variant>
        <vt:i4>1</vt:i4>
      </vt:variant>
    </vt:vector>
  </HeadingPairs>
  <TitlesOfParts>
    <vt:vector size="1" baseType="lpstr">
      <vt:lpstr/>
    </vt:vector>
  </TitlesOfParts>
  <Company>L-3 Electron Devices</Company>
  <LinksUpToDate>false</LinksUpToDate>
  <CharactersWithSpaces>7764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rkowalczyk</dc:creator>
  <cp:lastModifiedBy>Windows User</cp:lastModifiedBy>
  <cp:revision>2</cp:revision>
  <cp:lastPrinted>2016-02-19T12:49:00Z</cp:lastPrinted>
  <dcterms:created xsi:type="dcterms:W3CDTF">2016-02-19T16:04:00Z</dcterms:created>
  <dcterms:modified xsi:type="dcterms:W3CDTF">2016-02-19T16:04:00Z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L-3 Electron Devices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