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CF" w:rsidRPr="00272B8A" w:rsidRDefault="008D09CF" w:rsidP="00446234">
      <w:pPr>
        <w:pStyle w:val="Heading1"/>
        <w:spacing w:line="480" w:lineRule="auto"/>
      </w:pPr>
      <w:r w:rsidRPr="00272B8A">
        <w:t xml:space="preserve">Why would going to university change anyone? The </w:t>
      </w:r>
      <w:r w:rsidR="00F1595F">
        <w:t xml:space="preserve">challenges of capturing the transformative power of higher education in </w:t>
      </w:r>
      <w:r w:rsidR="00CC0B28">
        <w:t>comparisons</w:t>
      </w:r>
      <w:r w:rsidR="00F1595F">
        <w:t xml:space="preserve"> of quality</w:t>
      </w:r>
      <w:r w:rsidRPr="00272B8A">
        <w:t xml:space="preserve"> </w:t>
      </w:r>
    </w:p>
    <w:p w:rsidR="008D09CF" w:rsidRDefault="008D09CF" w:rsidP="00446234">
      <w:pPr>
        <w:pStyle w:val="Heading2"/>
        <w:spacing w:line="480" w:lineRule="auto"/>
      </w:pPr>
      <w:r w:rsidRPr="00272B8A">
        <w:t>Paul Ashwin</w:t>
      </w:r>
    </w:p>
    <w:p w:rsidR="000A5580" w:rsidRPr="00272B8A" w:rsidRDefault="000A5580" w:rsidP="000A5580">
      <w:pPr>
        <w:spacing w:line="480" w:lineRule="auto"/>
      </w:pPr>
      <w:hyperlink r:id="rId8" w:history="1">
        <w:r w:rsidRPr="00272B8A">
          <w:rPr>
            <w:rStyle w:val="Hyperlink"/>
          </w:rPr>
          <w:t>p.ashwin@lancaster.ac.uk</w:t>
        </w:r>
      </w:hyperlink>
      <w:r w:rsidRPr="00272B8A">
        <w:t xml:space="preserve"> </w:t>
      </w:r>
    </w:p>
    <w:p w:rsidR="000A5580" w:rsidRPr="000A5580" w:rsidRDefault="000A5580" w:rsidP="000A5580">
      <w:pPr>
        <w:spacing w:line="480" w:lineRule="auto"/>
      </w:pPr>
      <w:r>
        <w:t>Professor of Higher Education, Centre for Higher Education Research and Evaluation (</w:t>
      </w:r>
      <w:proofErr w:type="spellStart"/>
      <w:r>
        <w:t>here@lancaster</w:t>
      </w:r>
      <w:proofErr w:type="spellEnd"/>
      <w:r>
        <w:t>), Department of Educational Research, Lancaster University</w:t>
      </w:r>
    </w:p>
    <w:p w:rsidR="000A5580" w:rsidRDefault="000A5580" w:rsidP="000A5580">
      <w:pPr>
        <w:spacing w:line="480" w:lineRule="auto"/>
        <w:rPr>
          <w:rFonts w:eastAsiaTheme="minorEastAsia"/>
          <w:noProof/>
          <w:lang w:eastAsia="en-GB"/>
        </w:rPr>
      </w:pPr>
      <w:r>
        <w:rPr>
          <w:rFonts w:eastAsiaTheme="minorEastAsia"/>
          <w:noProof/>
          <w:lang w:eastAsia="en-GB"/>
        </w:rPr>
        <w:t xml:space="preserve">Address: </w:t>
      </w:r>
      <w:r>
        <w:rPr>
          <w:rFonts w:eastAsiaTheme="minorEastAsia"/>
          <w:noProof/>
          <w:lang w:eastAsia="en-GB"/>
        </w:rPr>
        <w:t>Department of Educational Research, County South,</w:t>
      </w:r>
      <w:r>
        <w:rPr>
          <w:rFonts w:eastAsiaTheme="minorEastAsia"/>
          <w:noProof/>
          <w:lang w:eastAsia="en-GB"/>
        </w:rPr>
        <w:t xml:space="preserve"> </w:t>
      </w:r>
      <w:r>
        <w:rPr>
          <w:rFonts w:eastAsiaTheme="minorEastAsia"/>
          <w:noProof/>
          <w:lang w:eastAsia="en-GB"/>
        </w:rPr>
        <w:t>Lancaster University,</w:t>
      </w:r>
      <w:r>
        <w:rPr>
          <w:rFonts w:eastAsiaTheme="minorEastAsia"/>
          <w:noProof/>
          <w:lang w:eastAsia="en-GB"/>
        </w:rPr>
        <w:t xml:space="preserve"> </w:t>
      </w:r>
      <w:r>
        <w:rPr>
          <w:rFonts w:eastAsiaTheme="minorEastAsia"/>
          <w:noProof/>
          <w:lang w:eastAsia="en-GB"/>
        </w:rPr>
        <w:t>Lancaster, LA1 4YL, UK</w:t>
      </w:r>
      <w:r>
        <w:rPr>
          <w:rFonts w:eastAsiaTheme="minorEastAsia"/>
          <w:noProof/>
          <w:lang w:eastAsia="en-GB"/>
        </w:rPr>
        <w:t>.</w:t>
      </w:r>
    </w:p>
    <w:p w:rsidR="006570AD" w:rsidRDefault="006570AD" w:rsidP="000A5580">
      <w:pPr>
        <w:pStyle w:val="Heading2"/>
      </w:pPr>
      <w:r>
        <w:t>Abstract</w:t>
      </w:r>
    </w:p>
    <w:p w:rsidR="006570AD" w:rsidRDefault="006570AD" w:rsidP="006570AD">
      <w:pPr>
        <w:spacing w:line="480" w:lineRule="auto"/>
      </w:pPr>
      <w:r>
        <w:t xml:space="preserve">In this paper, I examine the </w:t>
      </w:r>
      <w:r>
        <w:t xml:space="preserve">tensions between the </w:t>
      </w:r>
      <w:r>
        <w:t>transformational potential undergraduate degrees</w:t>
      </w:r>
      <w:r>
        <w:t xml:space="preserve"> and ways we have of measuring and comparing the quality of those degrees nationally and internationally</w:t>
      </w:r>
      <w:r>
        <w:t xml:space="preserve">. I argue that </w:t>
      </w:r>
      <w:r>
        <w:t xml:space="preserve">what makes higher education a higher form of education is </w:t>
      </w:r>
      <w:r>
        <w:t>the relations that students develop to knowledge through the study of particular bodies of disciplinary and professional knowledge. Given, this I argue that this needs to be central to the ways in which we understand and measure the quality of an undergraduate education. I review current ways of measuring quality and argue that they do not capture these aspects of an undergraduate education and so are not fit for purpose. In conclusion I argue that higher education researchers have a responsibility to develop more valid ways of comparing the quality of undergraduate degrees.</w:t>
      </w:r>
    </w:p>
    <w:p w:rsidR="006570AD" w:rsidRDefault="006570AD" w:rsidP="0010229D">
      <w:pPr>
        <w:pStyle w:val="Heading2"/>
        <w:spacing w:line="480" w:lineRule="auto"/>
      </w:pPr>
      <w:r>
        <w:lastRenderedPageBreak/>
        <w:t>Keywords</w:t>
      </w:r>
    </w:p>
    <w:p w:rsidR="006570AD" w:rsidRDefault="006570AD" w:rsidP="0010229D">
      <w:pPr>
        <w:spacing w:line="480" w:lineRule="auto"/>
      </w:pPr>
      <w:proofErr w:type="gramStart"/>
      <w:r>
        <w:t xml:space="preserve">Knowledge; </w:t>
      </w:r>
      <w:r w:rsidR="000A5580">
        <w:t>Higher Education Research</w:t>
      </w:r>
      <w:r w:rsidR="000A5580">
        <w:t>;</w:t>
      </w:r>
      <w:r w:rsidR="000A5580">
        <w:t xml:space="preserve"> Personal Transformation; </w:t>
      </w:r>
      <w:r w:rsidR="000A5580">
        <w:t xml:space="preserve">Measuring Quality; </w:t>
      </w:r>
      <w:r>
        <w:t>Teaching and Learning; University Rankings</w:t>
      </w:r>
      <w:r w:rsidR="000A5580">
        <w:t>.</w:t>
      </w:r>
      <w:proofErr w:type="gramEnd"/>
      <w:r>
        <w:t xml:space="preserve"> </w:t>
      </w:r>
    </w:p>
    <w:p w:rsidR="008D09CF" w:rsidRDefault="008D09CF" w:rsidP="00446234">
      <w:pPr>
        <w:pStyle w:val="Heading2"/>
        <w:spacing w:line="480" w:lineRule="auto"/>
      </w:pPr>
      <w:r w:rsidRPr="00272B8A">
        <w:t xml:space="preserve">Introduction </w:t>
      </w:r>
      <w:bookmarkStart w:id="0" w:name="_GoBack"/>
      <w:bookmarkEnd w:id="0"/>
    </w:p>
    <w:p w:rsidR="004F34C1" w:rsidRDefault="004F34C1" w:rsidP="00446234">
      <w:pPr>
        <w:spacing w:line="480" w:lineRule="auto"/>
      </w:pPr>
      <w:r>
        <w:t xml:space="preserve">In this paper, I examine the tensions between understanding a university education in transformational terms and ways of measuring the quality of that education at a national and international level.  </w:t>
      </w:r>
      <w:r w:rsidR="00C208AC">
        <w:t xml:space="preserve">In developing my argument in this paper, I bring </w:t>
      </w:r>
      <w:r w:rsidR="00CC0B28">
        <w:t xml:space="preserve">together two </w:t>
      </w:r>
      <w:r w:rsidR="00272B8A" w:rsidRPr="00272B8A">
        <w:t>strands of joint work with</w:t>
      </w:r>
      <w:r w:rsidR="00C208AC">
        <w:t xml:space="preserve"> other researchers. </w:t>
      </w:r>
    </w:p>
    <w:p w:rsidR="004F34C1" w:rsidRDefault="004F34C1" w:rsidP="00446234">
      <w:pPr>
        <w:spacing w:line="480" w:lineRule="auto"/>
      </w:pPr>
    </w:p>
    <w:p w:rsidR="00107822" w:rsidRPr="00FF072F" w:rsidRDefault="00C208AC" w:rsidP="00446234">
      <w:pPr>
        <w:spacing w:line="480" w:lineRule="auto"/>
        <w:rPr>
          <w:rFonts w:cstheme="minorHAnsi"/>
        </w:rPr>
      </w:pPr>
      <w:r>
        <w:t>The</w:t>
      </w:r>
      <w:r w:rsidR="00314134">
        <w:t xml:space="preserve"> first strand is </w:t>
      </w:r>
      <w:r>
        <w:t xml:space="preserve">the ESRC funded </w:t>
      </w:r>
      <w:r w:rsidRPr="00272B8A">
        <w:rPr>
          <w:i/>
          <w:iCs/>
        </w:rPr>
        <w:t xml:space="preserve">Pedagogic Quality and Inequality </w:t>
      </w:r>
      <w:r w:rsidR="00150158">
        <w:rPr>
          <w:i/>
          <w:iCs/>
        </w:rPr>
        <w:t>University First D</w:t>
      </w:r>
      <w:r w:rsidR="00314134">
        <w:rPr>
          <w:i/>
          <w:iCs/>
        </w:rPr>
        <w:t>egrees</w:t>
      </w:r>
      <w:r w:rsidR="00A30D49">
        <w:rPr>
          <w:i/>
          <w:iCs/>
        </w:rPr>
        <w:t xml:space="preserve"> </w:t>
      </w:r>
      <w:r w:rsidR="00A30D49" w:rsidRPr="00A30D49">
        <w:rPr>
          <w:iCs/>
        </w:rPr>
        <w:t>(PQI</w:t>
      </w:r>
      <w:proofErr w:type="gramStart"/>
      <w:r w:rsidR="00A30D49" w:rsidRPr="00A30D49">
        <w:rPr>
          <w:iCs/>
        </w:rPr>
        <w:t xml:space="preserve">) </w:t>
      </w:r>
      <w:r w:rsidR="00150158" w:rsidRPr="00A30D49">
        <w:rPr>
          <w:iCs/>
        </w:rPr>
        <w:t xml:space="preserve"> </w:t>
      </w:r>
      <w:r w:rsidR="00A30D49">
        <w:rPr>
          <w:iCs/>
        </w:rPr>
        <w:t>p</w:t>
      </w:r>
      <w:r w:rsidRPr="00A30D49">
        <w:rPr>
          <w:iCs/>
        </w:rPr>
        <w:t>roject</w:t>
      </w:r>
      <w:proofErr w:type="gramEnd"/>
      <w:r w:rsidR="00314134">
        <w:rPr>
          <w:iCs/>
        </w:rPr>
        <w:t xml:space="preserve"> </w:t>
      </w:r>
      <w:r w:rsidR="00A30D49">
        <w:rPr>
          <w:iCs/>
        </w:rPr>
        <w:t xml:space="preserve"> (</w:t>
      </w:r>
      <w:r w:rsidR="00314134">
        <w:rPr>
          <w:iCs/>
        </w:rPr>
        <w:t xml:space="preserve">with </w:t>
      </w:r>
      <w:r w:rsidR="008D09CF" w:rsidRPr="00272B8A">
        <w:t xml:space="preserve">Monica McLean </w:t>
      </w:r>
      <w:r w:rsidR="00314134">
        <w:t xml:space="preserve">from the University of Nottingham </w:t>
      </w:r>
      <w:r w:rsidR="008D09CF" w:rsidRPr="00272B8A">
        <w:t>and Andrea Abbas</w:t>
      </w:r>
      <w:r w:rsidR="00314134">
        <w:t xml:space="preserve"> from the University of Bath (</w:t>
      </w:r>
      <w:r w:rsidR="00A30D49">
        <w:rPr>
          <w:iCs/>
        </w:rPr>
        <w:t xml:space="preserve">see for example Ashwin </w:t>
      </w:r>
      <w:r w:rsidR="00A30D49" w:rsidRPr="006A1BE6">
        <w:rPr>
          <w:i/>
          <w:iCs/>
        </w:rPr>
        <w:t>et al</w:t>
      </w:r>
      <w:r w:rsidR="006A1BE6" w:rsidRPr="006A1BE6">
        <w:rPr>
          <w:i/>
          <w:iCs/>
        </w:rPr>
        <w:t>.</w:t>
      </w:r>
      <w:r w:rsidR="00A30D49">
        <w:rPr>
          <w:iCs/>
        </w:rPr>
        <w:t xml:space="preserve"> 2012, 2014; McLean </w:t>
      </w:r>
      <w:r w:rsidR="00A30D49" w:rsidRPr="006A1BE6">
        <w:rPr>
          <w:i/>
          <w:iCs/>
        </w:rPr>
        <w:t>et al</w:t>
      </w:r>
      <w:r w:rsidR="006A1BE6" w:rsidRPr="006A1BE6">
        <w:rPr>
          <w:i/>
          <w:iCs/>
        </w:rPr>
        <w:t>.</w:t>
      </w:r>
      <w:r w:rsidR="00A30D49">
        <w:rPr>
          <w:iCs/>
        </w:rPr>
        <w:t xml:space="preserve"> 2013).  </w:t>
      </w:r>
      <w:r w:rsidR="00107822" w:rsidRPr="00107822">
        <w:rPr>
          <w:rFonts w:cstheme="minorHAnsi"/>
          <w:i/>
        </w:rPr>
        <w:t xml:space="preserve">The </w:t>
      </w:r>
      <w:r w:rsidR="00A30D49" w:rsidRPr="00A30D49">
        <w:rPr>
          <w:rFonts w:cstheme="minorHAnsi"/>
        </w:rPr>
        <w:t>PQI</w:t>
      </w:r>
      <w:r w:rsidR="00107822" w:rsidRPr="00A30D49">
        <w:rPr>
          <w:rFonts w:cstheme="minorHAnsi"/>
        </w:rPr>
        <w:t xml:space="preserve"> </w:t>
      </w:r>
      <w:r w:rsidR="00A30D49">
        <w:rPr>
          <w:rFonts w:cstheme="minorHAnsi"/>
        </w:rPr>
        <w:t>p</w:t>
      </w:r>
      <w:r w:rsidR="00107822" w:rsidRPr="00A30D49">
        <w:rPr>
          <w:rFonts w:cstheme="minorHAnsi"/>
        </w:rPr>
        <w:t>roject</w:t>
      </w:r>
      <w:r w:rsidR="00107822" w:rsidRPr="00FF072F">
        <w:rPr>
          <w:rFonts w:cstheme="minorHAnsi"/>
        </w:rPr>
        <w:t xml:space="preserve"> was a three-year ESRC-funded investigation of sociology and related social science degree courses in four universities, which were given the pseudonyms Prestige, Selective, Community, and Diversity Universities in order to reflect their different reputations. The departments at </w:t>
      </w:r>
      <w:r w:rsidR="00107822" w:rsidRPr="00FF072F">
        <w:rPr>
          <w:rFonts w:eastAsia="Calibri" w:cstheme="minorHAnsi"/>
        </w:rPr>
        <w:t xml:space="preserve">Prestige and Selective have been </w:t>
      </w:r>
      <w:r w:rsidR="00107822" w:rsidRPr="00FF072F">
        <w:rPr>
          <w:rFonts w:cstheme="minorHAnsi"/>
        </w:rPr>
        <w:t xml:space="preserve">regularly rated in the top third of UK higher education league tables for their research and teaching in Sociology, whilst those at Community and Diversity have been regularly rated in the bottom third. </w:t>
      </w:r>
    </w:p>
    <w:p w:rsidR="00107822" w:rsidRDefault="00107822" w:rsidP="00446234">
      <w:pPr>
        <w:tabs>
          <w:tab w:val="num" w:pos="720"/>
        </w:tabs>
        <w:spacing w:line="480" w:lineRule="auto"/>
      </w:pPr>
    </w:p>
    <w:p w:rsidR="008D09CF" w:rsidRDefault="00314134" w:rsidP="00446234">
      <w:pPr>
        <w:tabs>
          <w:tab w:val="num" w:pos="720"/>
        </w:tabs>
        <w:spacing w:line="480" w:lineRule="auto"/>
      </w:pPr>
      <w:r>
        <w:t xml:space="preserve">The second is work on </w:t>
      </w:r>
      <w:r w:rsidRPr="00314134">
        <w:rPr>
          <w:iCs/>
        </w:rPr>
        <w:t xml:space="preserve">European </w:t>
      </w:r>
      <w:r>
        <w:rPr>
          <w:iCs/>
        </w:rPr>
        <w:t>higher education</w:t>
      </w:r>
      <w:r w:rsidRPr="00314134">
        <w:rPr>
          <w:iCs/>
        </w:rPr>
        <w:t xml:space="preserve"> policy</w:t>
      </w:r>
      <w:r>
        <w:rPr>
          <w:iCs/>
        </w:rPr>
        <w:t xml:space="preserve"> with </w:t>
      </w:r>
      <w:proofErr w:type="spellStart"/>
      <w:r w:rsidR="008D09CF" w:rsidRPr="00272B8A">
        <w:t>Manja</w:t>
      </w:r>
      <w:proofErr w:type="spellEnd"/>
      <w:r w:rsidR="008D09CF" w:rsidRPr="00272B8A">
        <w:t xml:space="preserve"> </w:t>
      </w:r>
      <w:proofErr w:type="spellStart"/>
      <w:r w:rsidR="008D09CF" w:rsidRPr="00272B8A">
        <w:t>Klemenčič</w:t>
      </w:r>
      <w:proofErr w:type="spellEnd"/>
      <w:r w:rsidR="008D09CF" w:rsidRPr="00272B8A">
        <w:t xml:space="preserve"> </w:t>
      </w:r>
      <w:r>
        <w:t xml:space="preserve">from </w:t>
      </w:r>
      <w:r w:rsidR="001D5576">
        <w:t>Harvard Unive</w:t>
      </w:r>
      <w:r w:rsidR="005A06D2">
        <w:t>r</w:t>
      </w:r>
      <w:r w:rsidR="001D5576">
        <w:t>sity (</w:t>
      </w:r>
      <w:proofErr w:type="spellStart"/>
      <w:r w:rsidR="001D5576" w:rsidRPr="00272B8A">
        <w:t>Klemenčič</w:t>
      </w:r>
      <w:proofErr w:type="spellEnd"/>
      <w:r w:rsidR="001D5576" w:rsidRPr="00272B8A">
        <w:t xml:space="preserve"> </w:t>
      </w:r>
      <w:r w:rsidR="001D5576">
        <w:t>and Ashwin 2015).</w:t>
      </w:r>
      <w:r w:rsidR="00107822">
        <w:t xml:space="preserve"> This involved bringing together a group of </w:t>
      </w:r>
      <w:r w:rsidR="00F1595F">
        <w:t xml:space="preserve">international </w:t>
      </w:r>
      <w:r w:rsidR="00107822">
        <w:t xml:space="preserve">researchers to examine </w:t>
      </w:r>
      <w:r w:rsidR="00F1595F">
        <w:t xml:space="preserve">recent developments in teaching, learning and assessment in higher education in the context of the future development of the European Higher Education Area (EHEA). </w:t>
      </w:r>
    </w:p>
    <w:p w:rsidR="008D09CF" w:rsidRDefault="006C5F39" w:rsidP="00446234">
      <w:pPr>
        <w:pStyle w:val="Heading2"/>
        <w:spacing w:line="480" w:lineRule="auto"/>
      </w:pPr>
      <w:r>
        <w:lastRenderedPageBreak/>
        <w:t>Tensions between comparability and transformation</w:t>
      </w:r>
    </w:p>
    <w:p w:rsidR="008D09CF" w:rsidRDefault="008D09CF" w:rsidP="00446234">
      <w:pPr>
        <w:spacing w:line="480" w:lineRule="auto"/>
        <w:rPr>
          <w:bCs/>
          <w:iCs/>
        </w:rPr>
      </w:pPr>
      <w:r>
        <w:t xml:space="preserve">In order to see that personal transformation is a key aim of higher education, </w:t>
      </w:r>
      <w:r w:rsidR="003555D5">
        <w:t xml:space="preserve">one </w:t>
      </w:r>
      <w:r>
        <w:t xml:space="preserve">only needs to consider the May 2015 Yerevan </w:t>
      </w:r>
      <w:r w:rsidRPr="00272B8A">
        <w:t>Communiqué</w:t>
      </w:r>
      <w:r>
        <w:t xml:space="preserve"> by European Higher Education Ministers</w:t>
      </w:r>
      <w:r w:rsidR="00446234">
        <w:t xml:space="preserve"> (see: </w:t>
      </w:r>
      <w:hyperlink r:id="rId9" w:history="1">
        <w:r w:rsidR="00446234" w:rsidRPr="0023203D">
          <w:rPr>
            <w:rStyle w:val="Hyperlink"/>
          </w:rPr>
          <w:t>http://www.ehea.info/Uploads/SubmitedFiles/5_2015/112705.pdf</w:t>
        </w:r>
      </w:hyperlink>
      <w:r w:rsidR="00446234">
        <w:t>)</w:t>
      </w:r>
      <w:r>
        <w:t xml:space="preserve">. The </w:t>
      </w:r>
      <w:r w:rsidRPr="00272B8A">
        <w:t>Communiqué</w:t>
      </w:r>
      <w:r>
        <w:t xml:space="preserve"> is significant for those researching teaching and learning in higher education because it states that </w:t>
      </w:r>
      <w:r w:rsidRPr="008D09CF">
        <w:t>“</w:t>
      </w:r>
      <w:r w:rsidRPr="008D09CF">
        <w:rPr>
          <w:bCs/>
          <w:iCs/>
        </w:rPr>
        <w:t xml:space="preserve">Enhancing the quality and relevance of teaching and learning is the main mission of the EHEA” </w:t>
      </w:r>
      <w:r>
        <w:rPr>
          <w:bCs/>
          <w:iCs/>
        </w:rPr>
        <w:t>(p.</w:t>
      </w:r>
      <w:r w:rsidR="00446234">
        <w:rPr>
          <w:bCs/>
          <w:iCs/>
        </w:rPr>
        <w:t>2</w:t>
      </w:r>
      <w:r>
        <w:rPr>
          <w:bCs/>
          <w:iCs/>
        </w:rPr>
        <w:t xml:space="preserve">). </w:t>
      </w:r>
      <w:r w:rsidR="00F1595F">
        <w:rPr>
          <w:bCs/>
          <w:iCs/>
        </w:rPr>
        <w:t>This is a major development given that teaching and learning did not even feature in the original discussions of the Bologna process (see Sin 2015).</w:t>
      </w:r>
    </w:p>
    <w:p w:rsidR="008D09CF" w:rsidRDefault="008D09CF" w:rsidP="00446234">
      <w:pPr>
        <w:spacing w:line="480" w:lineRule="auto"/>
        <w:rPr>
          <w:bCs/>
          <w:iCs/>
        </w:rPr>
      </w:pPr>
    </w:p>
    <w:p w:rsidR="008D09CF" w:rsidRPr="008D09CF" w:rsidRDefault="008D09CF" w:rsidP="00446234">
      <w:pPr>
        <w:spacing w:line="480" w:lineRule="auto"/>
        <w:rPr>
          <w:bCs/>
          <w:iCs/>
        </w:rPr>
      </w:pPr>
      <w:r>
        <w:rPr>
          <w:bCs/>
          <w:iCs/>
        </w:rPr>
        <w:t>The Communiqu</w:t>
      </w:r>
      <w:r w:rsidRPr="00272B8A">
        <w:t>é</w:t>
      </w:r>
      <w:r>
        <w:t xml:space="preserve"> states that: </w:t>
      </w:r>
    </w:p>
    <w:p w:rsidR="00272B8A" w:rsidRPr="00446234" w:rsidRDefault="00272B8A" w:rsidP="00446234">
      <w:pPr>
        <w:pStyle w:val="Quote"/>
        <w:spacing w:line="480" w:lineRule="auto"/>
        <w:ind w:left="567" w:right="1088"/>
        <w:rPr>
          <w:i w:val="0"/>
        </w:rPr>
      </w:pPr>
      <w:r w:rsidRPr="008D09CF">
        <w:t>By 2020 we are determined to achieve an EHEA  where</w:t>
      </w:r>
      <w:r w:rsidR="003555D5">
        <w:t xml:space="preserve"> </w:t>
      </w:r>
      <w:r w:rsidRPr="008D09CF">
        <w:t>our common goals are implemented in all member countries to ensure trust in each other’s higher education systems; where automatic recognition of qualifications becomes a reality so that students and graduates can move easily throughout it; where higher education is contributing effectively to build inclusive societies, founded on democratic values and human rights and where educational opportunities provide the competences and skills required for European citizensh</w:t>
      </w:r>
      <w:r w:rsidR="00195DF2">
        <w:t>ip, innovation and employment.</w:t>
      </w:r>
      <w:r w:rsidR="00446234">
        <w:rPr>
          <w:i w:val="0"/>
        </w:rPr>
        <w:t xml:space="preserve"> (</w:t>
      </w:r>
      <w:proofErr w:type="gramStart"/>
      <w:r w:rsidR="00446234">
        <w:rPr>
          <w:i w:val="0"/>
        </w:rPr>
        <w:t>pp.1-2</w:t>
      </w:r>
      <w:proofErr w:type="gramEnd"/>
      <w:r w:rsidR="00446234">
        <w:rPr>
          <w:i w:val="0"/>
        </w:rPr>
        <w:t>).</w:t>
      </w:r>
    </w:p>
    <w:p w:rsidR="00195DF2" w:rsidRDefault="00195DF2" w:rsidP="00446234">
      <w:pPr>
        <w:spacing w:line="480" w:lineRule="auto"/>
      </w:pPr>
    </w:p>
    <w:p w:rsidR="00195DF2" w:rsidRPr="00195DF2" w:rsidRDefault="00195DF2" w:rsidP="00446234">
      <w:pPr>
        <w:spacing w:line="480" w:lineRule="auto"/>
      </w:pPr>
      <w:r>
        <w:t xml:space="preserve">This statement is significant in two ways. First, it highlights the importance of the transformational elements of higher education in building inclusive and democratic societies. However, it also highlights the desire of policy makers to be able to meaningfully </w:t>
      </w:r>
      <w:r>
        <w:lastRenderedPageBreak/>
        <w:t xml:space="preserve">compare the quality of higher education degrees in order to build trust and allow the free movement of students and labour. </w:t>
      </w:r>
    </w:p>
    <w:p w:rsidR="008D09CF" w:rsidRPr="00272B8A" w:rsidRDefault="005421B0" w:rsidP="00446234">
      <w:pPr>
        <w:pStyle w:val="Heading2"/>
        <w:spacing w:line="480" w:lineRule="auto"/>
      </w:pPr>
      <w:r>
        <w:t>The t</w:t>
      </w:r>
      <w:r w:rsidR="008D09CF" w:rsidRPr="00272B8A">
        <w:t xml:space="preserve">ransformational potential of undergraduate degrees </w:t>
      </w:r>
    </w:p>
    <w:p w:rsidR="00B60764" w:rsidRDefault="005421B0" w:rsidP="00446234">
      <w:pPr>
        <w:spacing w:line="480" w:lineRule="auto"/>
      </w:pPr>
      <w:r>
        <w:t xml:space="preserve">In the </w:t>
      </w:r>
      <w:r w:rsidR="00C019EF" w:rsidRPr="00272B8A">
        <w:t>P</w:t>
      </w:r>
      <w:r w:rsidR="00A30D49">
        <w:t>QI</w:t>
      </w:r>
      <w:r w:rsidR="00C019EF" w:rsidRPr="00272B8A">
        <w:t xml:space="preserve"> </w:t>
      </w:r>
      <w:r w:rsidR="00A30D49">
        <w:t>p</w:t>
      </w:r>
      <w:r w:rsidR="00C019EF" w:rsidRPr="00272B8A">
        <w:t>roject</w:t>
      </w:r>
      <w:r w:rsidR="00C019EF">
        <w:rPr>
          <w:iCs/>
        </w:rPr>
        <w:t xml:space="preserve"> </w:t>
      </w:r>
      <w:r>
        <w:rPr>
          <w:iCs/>
        </w:rPr>
        <w:t>we found that</w:t>
      </w:r>
      <w:r w:rsidR="00107822">
        <w:rPr>
          <w:iCs/>
        </w:rPr>
        <w:t xml:space="preserve"> t</w:t>
      </w:r>
      <w:r w:rsidR="008D09CF" w:rsidRPr="00272B8A">
        <w:t>he transformational nature of undergraduate degrees lies in changes in students’ sense of self through their engagement with disciplinary knowledge</w:t>
      </w:r>
      <w:r w:rsidR="00A30D49">
        <w:t xml:space="preserve"> (Ashwin </w:t>
      </w:r>
      <w:r w:rsidR="00A30D49" w:rsidRPr="006A1BE6">
        <w:rPr>
          <w:i/>
        </w:rPr>
        <w:t>et al.</w:t>
      </w:r>
      <w:r w:rsidR="00A30D49">
        <w:t xml:space="preserve"> 2012, 2014)</w:t>
      </w:r>
      <w:r w:rsidR="00107822">
        <w:t>. This involved s</w:t>
      </w:r>
      <w:r w:rsidR="008D09CF" w:rsidRPr="00272B8A">
        <w:t xml:space="preserve">tudents relating </w:t>
      </w:r>
      <w:r w:rsidR="00107822">
        <w:t xml:space="preserve">what they were trying to achieve in higher education </w:t>
      </w:r>
      <w:r w:rsidR="008D09CF" w:rsidRPr="00272B8A">
        <w:t>to the disciplines</w:t>
      </w:r>
      <w:r w:rsidR="00107822">
        <w:t xml:space="preserve"> that they were studying</w:t>
      </w:r>
      <w:r w:rsidR="008D09CF" w:rsidRPr="00272B8A">
        <w:t xml:space="preserve"> and </w:t>
      </w:r>
      <w:r w:rsidR="00107822">
        <w:t xml:space="preserve">to </w:t>
      </w:r>
      <w:r w:rsidR="008D09CF" w:rsidRPr="00272B8A">
        <w:t>the world</w:t>
      </w:r>
      <w:r w:rsidR="00107822">
        <w:t xml:space="preserve"> outside of the university. It involved </w:t>
      </w:r>
      <w:r w:rsidR="008D09CF" w:rsidRPr="00272B8A">
        <w:t xml:space="preserve">seeing themselves </w:t>
      </w:r>
      <w:r w:rsidR="00107822">
        <w:t xml:space="preserve">as </w:t>
      </w:r>
      <w:r w:rsidR="008D09CF" w:rsidRPr="00272B8A">
        <w:t xml:space="preserve">implicated in </w:t>
      </w:r>
      <w:r w:rsidR="00107822">
        <w:t xml:space="preserve">the </w:t>
      </w:r>
      <w:r w:rsidR="008D09CF" w:rsidRPr="00272B8A">
        <w:t>knowledge</w:t>
      </w:r>
      <w:r w:rsidR="00107822">
        <w:t xml:space="preserve"> that they were studying. In other words it involved them turning their disciplinary lens on their own lives in order to understand themselves in a different way. </w:t>
      </w:r>
    </w:p>
    <w:p w:rsidR="00B60764" w:rsidRDefault="00B60764" w:rsidP="00446234">
      <w:pPr>
        <w:spacing w:line="480" w:lineRule="auto"/>
      </w:pPr>
    </w:p>
    <w:p w:rsidR="00B60764" w:rsidRPr="00272B8A" w:rsidRDefault="00B60764" w:rsidP="00446234">
      <w:pPr>
        <w:spacing w:line="480" w:lineRule="auto"/>
      </w:pPr>
      <w:r>
        <w:t xml:space="preserve">For example, Esther said: </w:t>
      </w:r>
    </w:p>
    <w:p w:rsidR="00B60764" w:rsidRDefault="00B60764" w:rsidP="00446234">
      <w:pPr>
        <w:spacing w:line="480" w:lineRule="auto"/>
        <w:ind w:left="567" w:right="521"/>
      </w:pPr>
      <w:r w:rsidRPr="00272B8A">
        <w:rPr>
          <w:i/>
          <w:iCs/>
        </w:rPr>
        <w:t>There is no destination with this discipline…There is always something further and there is no point where you can stop and say ‘I understood, I am a sociologist’. … The thing is sociology makes you aware of every decision you make: how that would impact on my life and how it could impact on someone else. And it makes the decision harder to make</w:t>
      </w:r>
      <w:r w:rsidRPr="00272B8A">
        <w:t xml:space="preserve"> (Esther, Selective, Year 3, P</w:t>
      </w:r>
      <w:r w:rsidR="00A30D49">
        <w:t>QI p</w:t>
      </w:r>
      <w:r w:rsidRPr="00272B8A">
        <w:t>roject).</w:t>
      </w:r>
    </w:p>
    <w:p w:rsidR="00B60764" w:rsidRDefault="00B60764" w:rsidP="00446234">
      <w:pPr>
        <w:spacing w:line="480" w:lineRule="auto"/>
      </w:pPr>
    </w:p>
    <w:p w:rsidR="008D09CF" w:rsidRDefault="00107822" w:rsidP="00446234">
      <w:pPr>
        <w:spacing w:line="480" w:lineRule="auto"/>
      </w:pPr>
      <w:r>
        <w:t>This does not always happen</w:t>
      </w:r>
      <w:r w:rsidR="002D60C4">
        <w:t>. I</w:t>
      </w:r>
      <w:r>
        <w:t>t r</w:t>
      </w:r>
      <w:r w:rsidR="008D09CF" w:rsidRPr="00272B8A">
        <w:t>equires students to be intellectually engaged with their</w:t>
      </w:r>
      <w:r w:rsidR="002D60C4">
        <w:t xml:space="preserve"> degree programme </w:t>
      </w:r>
      <w:r w:rsidR="008D09CF" w:rsidRPr="00272B8A">
        <w:t xml:space="preserve">and to see it as an educational experience. This is dependent on both students and the quality of their educational experience. </w:t>
      </w:r>
    </w:p>
    <w:p w:rsidR="002A19DF" w:rsidRDefault="002A19DF" w:rsidP="00446234">
      <w:pPr>
        <w:spacing w:line="480" w:lineRule="auto"/>
      </w:pPr>
    </w:p>
    <w:p w:rsidR="00E93AF1" w:rsidRDefault="002A19DF" w:rsidP="00446234">
      <w:pPr>
        <w:spacing w:line="480" w:lineRule="auto"/>
      </w:pPr>
      <w:r>
        <w:lastRenderedPageBreak/>
        <w:t xml:space="preserve">Clearly the </w:t>
      </w:r>
      <w:r w:rsidR="00A30D49" w:rsidRPr="00272B8A">
        <w:t>P</w:t>
      </w:r>
      <w:r w:rsidR="00A30D49">
        <w:t>QI p</w:t>
      </w:r>
      <w:r w:rsidR="00A30D49" w:rsidRPr="00272B8A">
        <w:t>roject</w:t>
      </w:r>
      <w:r w:rsidR="00A30D49">
        <w:t xml:space="preserve"> </w:t>
      </w:r>
      <w:r>
        <w:t xml:space="preserve">was focused on Sociology, which raises the question about whether such transformational relations with knowledge are particular to this kind of discipline or whether they are characteristic of higher education more generally. </w:t>
      </w:r>
      <w:r w:rsidR="00C019EF">
        <w:t>T</w:t>
      </w:r>
      <w:r>
        <w:t>able</w:t>
      </w:r>
      <w:r w:rsidR="00C019EF">
        <w:t xml:space="preserve"> 1</w:t>
      </w:r>
      <w:r>
        <w:t xml:space="preserve"> below summarises the findings of studies in a range of discipline that have examined the ways that students talk about disciplinary knowledge in higher education. In each case,</w:t>
      </w:r>
      <w:r w:rsidR="00E93AF1">
        <w:t xml:space="preserve"> there is a</w:t>
      </w:r>
      <w:r w:rsidR="00E93AF1" w:rsidRPr="00F70DC6">
        <w:t xml:space="preserve"> basic </w:t>
      </w:r>
      <w:r w:rsidR="00E93AF1">
        <w:t>account</w:t>
      </w:r>
      <w:r w:rsidR="00E93AF1" w:rsidRPr="00F70DC6">
        <w:t xml:space="preserve"> that is the least inclusive and focuses only on the immediately visible aspects of the discipline, a middle </w:t>
      </w:r>
      <w:r w:rsidR="00E93AF1">
        <w:t>‘watershed’ account (van Rossum and Hamer 2010)</w:t>
      </w:r>
      <w:r w:rsidR="00E93AF1" w:rsidRPr="00F70DC6">
        <w:t xml:space="preserve"> in which students’ begin to focus on personal meaning and </w:t>
      </w:r>
      <w:r w:rsidR="00E93AF1">
        <w:t xml:space="preserve">that characterises an understanding of the discipline that is expected at undergraduate degree level; and </w:t>
      </w:r>
      <w:r w:rsidR="00E93AF1" w:rsidRPr="00F70DC6">
        <w:t xml:space="preserve">a most inclusive </w:t>
      </w:r>
      <w:r w:rsidR="00E93AF1">
        <w:t>account</w:t>
      </w:r>
      <w:r w:rsidR="00E93AF1" w:rsidRPr="00F70DC6">
        <w:t xml:space="preserve"> in which they go beyond personal meaning to see the discipline within a wider context. </w:t>
      </w:r>
    </w:p>
    <w:p w:rsidR="00C019EF" w:rsidRPr="00F70DC6" w:rsidRDefault="00C019EF" w:rsidP="00446234">
      <w:pPr>
        <w:spacing w:line="480" w:lineRule="auto"/>
      </w:pPr>
    </w:p>
    <w:p w:rsidR="00272B8A" w:rsidRPr="00C019EF" w:rsidRDefault="00C019EF" w:rsidP="00446234">
      <w:pPr>
        <w:rPr>
          <w:b/>
        </w:rPr>
      </w:pPr>
      <w:r>
        <w:rPr>
          <w:b/>
        </w:rPr>
        <w:t xml:space="preserve">Table 1: Variation in university students’ accounts of their disciplines (adapted from Ashwin </w:t>
      </w:r>
      <w:r w:rsidRPr="006A1BE6">
        <w:rPr>
          <w:b/>
          <w:i/>
        </w:rPr>
        <w:t>et al.</w:t>
      </w:r>
      <w:r>
        <w:rPr>
          <w:b/>
        </w:rPr>
        <w:t xml:space="preserve"> 2014)</w:t>
      </w:r>
    </w:p>
    <w:tbl>
      <w:tblPr>
        <w:tblW w:w="9464" w:type="dxa"/>
        <w:tblCellMar>
          <w:left w:w="0" w:type="dxa"/>
          <w:right w:w="0" w:type="dxa"/>
        </w:tblCellMar>
        <w:tblLook w:val="04A0" w:firstRow="1" w:lastRow="0" w:firstColumn="1" w:lastColumn="0" w:noHBand="0" w:noVBand="1"/>
      </w:tblPr>
      <w:tblGrid>
        <w:gridCol w:w="1892"/>
        <w:gridCol w:w="1893"/>
        <w:gridCol w:w="1893"/>
        <w:gridCol w:w="1893"/>
        <w:gridCol w:w="1893"/>
      </w:tblGrid>
      <w:tr w:rsidR="00272B8A" w:rsidRPr="00272B8A" w:rsidTr="00C019EF">
        <w:trPr>
          <w:trHeight w:val="680"/>
        </w:trPr>
        <w:tc>
          <w:tcPr>
            <w:tcW w:w="1892"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Discipline</w:t>
            </w:r>
            <w:r w:rsidRPr="00C019EF">
              <w:rPr>
                <w:rFonts w:ascii="Calibri" w:eastAsia="Calibri" w:hAnsi="Calibri"/>
                <w:b/>
                <w:bCs/>
                <w:kern w:val="24"/>
                <w:lang w:eastAsia="en-GB" w:bidi="ar-SA"/>
              </w:rPr>
              <w:t xml:space="preserve"> </w:t>
            </w:r>
          </w:p>
        </w:tc>
        <w:tc>
          <w:tcPr>
            <w:tcW w:w="189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Studies</w:t>
            </w:r>
            <w:r w:rsidRPr="00C019EF">
              <w:rPr>
                <w:rFonts w:ascii="Calibri" w:eastAsia="Calibri" w:hAnsi="Calibri"/>
                <w:b/>
                <w:bCs/>
                <w:kern w:val="24"/>
                <w:lang w:eastAsia="en-GB" w:bidi="ar-SA"/>
              </w:rPr>
              <w:t xml:space="preserve"> </w:t>
            </w:r>
          </w:p>
        </w:tc>
        <w:tc>
          <w:tcPr>
            <w:tcW w:w="189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Least inclusive</w:t>
            </w:r>
          </w:p>
          <w:p w:rsidR="00272B8A" w:rsidRPr="00C019EF" w:rsidRDefault="00C019EF" w:rsidP="00446234">
            <w:pPr>
              <w:jc w:val="center"/>
              <w:rPr>
                <w:rFonts w:ascii="Arial" w:eastAsia="Times New Roman" w:hAnsi="Arial" w:cs="Arial"/>
                <w:lang w:eastAsia="en-GB" w:bidi="ar-SA"/>
              </w:rPr>
            </w:pPr>
            <w:r>
              <w:rPr>
                <w:rFonts w:ascii="Calibri" w:eastAsia="Times New Roman" w:hAnsi="Calibri" w:cs="Arial"/>
                <w:b/>
                <w:bCs/>
                <w:kern w:val="24"/>
                <w:lang w:eastAsia="en-GB" w:bidi="ar-SA"/>
              </w:rPr>
              <w:t>a</w:t>
            </w:r>
            <w:r w:rsidR="00272B8A" w:rsidRPr="00C019EF">
              <w:rPr>
                <w:rFonts w:ascii="Calibri" w:eastAsia="Times New Roman" w:hAnsi="Calibri" w:cs="Arial"/>
                <w:b/>
                <w:bCs/>
                <w:kern w:val="24"/>
                <w:lang w:eastAsia="en-GB" w:bidi="ar-SA"/>
              </w:rPr>
              <w:t>ccount</w:t>
            </w:r>
            <w:r w:rsidR="00272B8A" w:rsidRPr="00C019EF">
              <w:rPr>
                <w:rFonts w:ascii="Calibri" w:eastAsia="Calibri" w:hAnsi="Calibri"/>
                <w:b/>
                <w:bCs/>
                <w:kern w:val="24"/>
                <w:lang w:eastAsia="en-GB" w:bidi="ar-SA"/>
              </w:rPr>
              <w:t xml:space="preserve"> </w:t>
            </w:r>
          </w:p>
        </w:tc>
        <w:tc>
          <w:tcPr>
            <w:tcW w:w="189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‘Watershed’</w:t>
            </w:r>
          </w:p>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account</w:t>
            </w:r>
            <w:r w:rsidRPr="00C019EF">
              <w:rPr>
                <w:rFonts w:ascii="Calibri" w:eastAsia="Calibri" w:hAnsi="Calibri"/>
                <w:b/>
                <w:bCs/>
                <w:kern w:val="24"/>
                <w:lang w:eastAsia="en-GB" w:bidi="ar-SA"/>
              </w:rPr>
              <w:t xml:space="preserve"> </w:t>
            </w:r>
          </w:p>
        </w:tc>
        <w:tc>
          <w:tcPr>
            <w:tcW w:w="189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 xml:space="preserve">Most </w:t>
            </w:r>
            <w:r w:rsidR="00C019EF">
              <w:rPr>
                <w:rFonts w:ascii="Calibri" w:eastAsia="Times New Roman" w:hAnsi="Calibri" w:cs="Arial"/>
                <w:b/>
                <w:bCs/>
                <w:kern w:val="24"/>
                <w:lang w:eastAsia="en-GB" w:bidi="ar-SA"/>
              </w:rPr>
              <w:t>i</w:t>
            </w:r>
            <w:r w:rsidRPr="00C019EF">
              <w:rPr>
                <w:rFonts w:ascii="Calibri" w:eastAsia="Times New Roman" w:hAnsi="Calibri" w:cs="Arial"/>
                <w:b/>
                <w:bCs/>
                <w:kern w:val="24"/>
                <w:lang w:eastAsia="en-GB" w:bidi="ar-SA"/>
              </w:rPr>
              <w:t>nclusive</w:t>
            </w:r>
          </w:p>
          <w:p w:rsidR="00272B8A" w:rsidRPr="00C019EF" w:rsidRDefault="00272B8A" w:rsidP="00446234">
            <w:pPr>
              <w:jc w:val="center"/>
              <w:rPr>
                <w:rFonts w:ascii="Arial" w:eastAsia="Times New Roman" w:hAnsi="Arial" w:cs="Arial"/>
                <w:lang w:eastAsia="en-GB" w:bidi="ar-SA"/>
              </w:rPr>
            </w:pPr>
            <w:r w:rsidRPr="00C019EF">
              <w:rPr>
                <w:rFonts w:ascii="Calibri" w:eastAsia="Times New Roman" w:hAnsi="Calibri" w:cs="Arial"/>
                <w:b/>
                <w:bCs/>
                <w:kern w:val="24"/>
                <w:lang w:eastAsia="en-GB" w:bidi="ar-SA"/>
              </w:rPr>
              <w:t>account</w:t>
            </w:r>
            <w:r w:rsidRPr="00C019EF">
              <w:rPr>
                <w:rFonts w:ascii="Calibri" w:eastAsia="Calibri" w:hAnsi="Calibri"/>
                <w:b/>
                <w:bCs/>
                <w:kern w:val="24"/>
                <w:lang w:eastAsia="en-GB" w:bidi="ar-SA"/>
              </w:rPr>
              <w:t xml:space="preserve"> </w:t>
            </w:r>
          </w:p>
        </w:tc>
      </w:tr>
      <w:tr w:rsidR="00272B8A" w:rsidRPr="00272B8A" w:rsidTr="00C019EF">
        <w:trPr>
          <w:trHeight w:val="677"/>
        </w:trPr>
        <w:tc>
          <w:tcPr>
            <w:tcW w:w="1892" w:type="dxa"/>
            <w:tcBorders>
              <w:top w:val="single" w:sz="4" w:space="0" w:color="auto"/>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Accountancy</w:t>
            </w:r>
            <w:r w:rsidRPr="00C019EF">
              <w:rPr>
                <w:rFonts w:ascii="Calibri" w:eastAsia="Calibri" w:hAnsi="Calibri"/>
                <w:kern w:val="24"/>
                <w:lang w:eastAsia="en-GB" w:bidi="ar-SA"/>
              </w:rPr>
              <w:t xml:space="preserve"> </w:t>
            </w:r>
          </w:p>
        </w:tc>
        <w:tc>
          <w:tcPr>
            <w:tcW w:w="1893" w:type="dxa"/>
            <w:tcBorders>
              <w:top w:val="single" w:sz="4" w:space="0" w:color="auto"/>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 xml:space="preserve">Sin </w:t>
            </w:r>
            <w:r w:rsidRPr="006570AD">
              <w:rPr>
                <w:rFonts w:ascii="Calibri" w:eastAsia="Times New Roman" w:hAnsi="Calibri" w:cs="Arial"/>
                <w:i/>
                <w:kern w:val="24"/>
                <w:lang w:eastAsia="en-GB" w:bidi="ar-SA"/>
              </w:rPr>
              <w:t>et al.</w:t>
            </w:r>
            <w:r w:rsidRPr="00C019EF">
              <w:rPr>
                <w:rFonts w:ascii="Calibri" w:eastAsia="Times New Roman" w:hAnsi="Calibri" w:cs="Arial"/>
                <w:kern w:val="24"/>
                <w:lang w:eastAsia="en-GB" w:bidi="ar-SA"/>
              </w:rPr>
              <w:t xml:space="preserve"> 2012</w:t>
            </w:r>
            <w:r w:rsidRPr="00C019EF">
              <w:rPr>
                <w:rFonts w:ascii="Calibri" w:eastAsia="Calibri" w:hAnsi="Calibri"/>
                <w:kern w:val="24"/>
                <w:lang w:eastAsia="en-GB" w:bidi="ar-SA"/>
              </w:rPr>
              <w:t xml:space="preserve"> </w:t>
            </w:r>
          </w:p>
        </w:tc>
        <w:tc>
          <w:tcPr>
            <w:tcW w:w="1893" w:type="dxa"/>
            <w:tcBorders>
              <w:top w:val="single" w:sz="4" w:space="0" w:color="auto"/>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Routine work</w:t>
            </w:r>
            <w:r w:rsidRPr="00C019EF">
              <w:rPr>
                <w:rFonts w:ascii="Calibri" w:eastAsia="Calibri" w:hAnsi="Calibri"/>
                <w:kern w:val="24"/>
                <w:lang w:eastAsia="en-GB" w:bidi="ar-SA"/>
              </w:rPr>
              <w:t xml:space="preserve"> </w:t>
            </w:r>
          </w:p>
        </w:tc>
        <w:tc>
          <w:tcPr>
            <w:tcW w:w="1893" w:type="dxa"/>
            <w:tcBorders>
              <w:top w:val="single" w:sz="4" w:space="0" w:color="auto"/>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Meaningful work</w:t>
            </w:r>
            <w:r w:rsidRPr="00C019EF">
              <w:rPr>
                <w:rFonts w:ascii="Calibri" w:eastAsia="Calibri" w:hAnsi="Calibri"/>
                <w:kern w:val="24"/>
                <w:lang w:eastAsia="en-GB" w:bidi="ar-SA"/>
              </w:rPr>
              <w:t xml:space="preserve"> </w:t>
            </w:r>
          </w:p>
        </w:tc>
        <w:tc>
          <w:tcPr>
            <w:tcW w:w="1893" w:type="dxa"/>
            <w:tcBorders>
              <w:top w:val="single" w:sz="4" w:space="0" w:color="auto"/>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Moral work</w:t>
            </w:r>
            <w:r w:rsidRPr="00C019EF">
              <w:rPr>
                <w:rFonts w:ascii="Calibri" w:eastAsia="Calibri" w:hAnsi="Calibri"/>
                <w:kern w:val="24"/>
                <w:lang w:eastAsia="en-GB" w:bidi="ar-SA"/>
              </w:rPr>
              <w:t xml:space="preserve"> </w:t>
            </w:r>
          </w:p>
        </w:tc>
      </w:tr>
      <w:tr w:rsidR="00E93AF1" w:rsidRPr="00272B8A" w:rsidTr="00C019EF">
        <w:trPr>
          <w:trHeight w:val="694"/>
        </w:trPr>
        <w:tc>
          <w:tcPr>
            <w:tcW w:w="1892"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Geography</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proofErr w:type="spellStart"/>
            <w:r w:rsidRPr="00C019EF">
              <w:rPr>
                <w:rFonts w:ascii="Calibri" w:eastAsia="Times New Roman" w:hAnsi="Calibri" w:cs="Arial"/>
                <w:kern w:val="24"/>
                <w:lang w:eastAsia="en-GB" w:bidi="ar-SA"/>
              </w:rPr>
              <w:t>Bradbeer</w:t>
            </w:r>
            <w:proofErr w:type="spellEnd"/>
            <w:r w:rsidRPr="00C019EF">
              <w:rPr>
                <w:rFonts w:ascii="Calibri" w:eastAsia="Times New Roman" w:hAnsi="Calibri" w:cs="Arial"/>
                <w:kern w:val="24"/>
                <w:lang w:eastAsia="en-GB" w:bidi="ar-SA"/>
              </w:rPr>
              <w:t xml:space="preserve"> </w:t>
            </w:r>
            <w:r w:rsidRPr="006570AD">
              <w:rPr>
                <w:rFonts w:ascii="Calibri" w:eastAsia="Times New Roman" w:hAnsi="Calibri" w:cs="Arial"/>
                <w:i/>
                <w:kern w:val="24"/>
                <w:lang w:eastAsia="en-GB" w:bidi="ar-SA"/>
              </w:rPr>
              <w:t>et al.</w:t>
            </w:r>
            <w:r w:rsidRPr="00C019EF">
              <w:rPr>
                <w:rFonts w:ascii="Calibri" w:eastAsia="Times New Roman" w:hAnsi="Calibri" w:cs="Arial"/>
                <w:kern w:val="24"/>
                <w:lang w:eastAsia="en-GB" w:bidi="ar-SA"/>
              </w:rPr>
              <w:t xml:space="preserve"> 2004</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General world</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Structured into parts</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 xml:space="preserve">Interactions </w:t>
            </w:r>
          </w:p>
        </w:tc>
      </w:tr>
      <w:tr w:rsidR="00E93AF1" w:rsidRPr="00272B8A" w:rsidTr="00C019EF">
        <w:trPr>
          <w:trHeight w:val="987"/>
        </w:trPr>
        <w:tc>
          <w:tcPr>
            <w:tcW w:w="1892"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Geoscience</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Stokes 2011</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Composition of earth – the earth</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Processes – interacting systems</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Relations earth and society</w:t>
            </w:r>
            <w:r w:rsidRPr="00C019EF">
              <w:rPr>
                <w:rFonts w:ascii="Calibri" w:eastAsia="Calibri" w:hAnsi="Calibri"/>
                <w:kern w:val="24"/>
                <w:lang w:eastAsia="en-GB" w:bidi="ar-SA"/>
              </w:rPr>
              <w:t xml:space="preserve"> </w:t>
            </w:r>
          </w:p>
        </w:tc>
      </w:tr>
      <w:tr w:rsidR="00272B8A" w:rsidRPr="00272B8A" w:rsidTr="00C019EF">
        <w:trPr>
          <w:trHeight w:val="411"/>
        </w:trPr>
        <w:tc>
          <w:tcPr>
            <w:tcW w:w="1892" w:type="dxa"/>
            <w:tcBorders>
              <w:top w:val="nil"/>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Law</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 xml:space="preserve">Reid </w:t>
            </w:r>
            <w:r w:rsidRPr="006570AD">
              <w:rPr>
                <w:rFonts w:ascii="Calibri" w:eastAsia="Times New Roman" w:hAnsi="Calibri" w:cs="Arial"/>
                <w:i/>
                <w:kern w:val="24"/>
                <w:lang w:eastAsia="en-GB" w:bidi="ar-SA"/>
              </w:rPr>
              <w:t>et al.</w:t>
            </w:r>
            <w:r w:rsidRPr="00C019EF">
              <w:rPr>
                <w:rFonts w:ascii="Calibri" w:eastAsia="Times New Roman" w:hAnsi="Calibri" w:cs="Arial"/>
                <w:kern w:val="24"/>
                <w:lang w:eastAsia="en-GB" w:bidi="ar-SA"/>
              </w:rPr>
              <w:t xml:space="preserve"> 2006</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Content</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System</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Extension of self</w:t>
            </w:r>
            <w:r w:rsidRPr="00C019EF">
              <w:rPr>
                <w:rFonts w:ascii="Calibri" w:eastAsia="Calibri" w:hAnsi="Calibri"/>
                <w:kern w:val="24"/>
                <w:lang w:eastAsia="en-GB" w:bidi="ar-SA"/>
              </w:rPr>
              <w:t xml:space="preserve"> </w:t>
            </w:r>
          </w:p>
        </w:tc>
      </w:tr>
      <w:tr w:rsidR="00E93AF1" w:rsidRPr="00272B8A" w:rsidTr="00C019EF">
        <w:trPr>
          <w:trHeight w:val="612"/>
        </w:trPr>
        <w:tc>
          <w:tcPr>
            <w:tcW w:w="1892"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Mathematics</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 xml:space="preserve">Wood </w:t>
            </w:r>
            <w:r w:rsidRPr="006570AD">
              <w:rPr>
                <w:rFonts w:ascii="Calibri" w:eastAsia="Times New Roman" w:hAnsi="Calibri" w:cs="Arial"/>
                <w:i/>
                <w:kern w:val="24"/>
                <w:lang w:eastAsia="en-GB" w:bidi="ar-SA"/>
              </w:rPr>
              <w:t xml:space="preserve">et al. </w:t>
            </w:r>
            <w:r w:rsidRPr="00C019EF">
              <w:rPr>
                <w:rFonts w:ascii="Calibri" w:eastAsia="Times New Roman" w:hAnsi="Calibri" w:cs="Arial"/>
                <w:kern w:val="24"/>
                <w:lang w:eastAsia="en-GB" w:bidi="ar-SA"/>
              </w:rPr>
              <w:t>2012</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Numbers</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Models</w:t>
            </w:r>
            <w:r w:rsidRPr="00C019EF">
              <w:rPr>
                <w:rFonts w:ascii="Calibri" w:eastAsia="Calibri" w:hAnsi="Calibri"/>
                <w:kern w:val="24"/>
                <w:lang w:eastAsia="en-GB" w:bidi="ar-SA"/>
              </w:rPr>
              <w:t xml:space="preserve"> </w:t>
            </w:r>
          </w:p>
        </w:tc>
        <w:tc>
          <w:tcPr>
            <w:tcW w:w="1893" w:type="dxa"/>
            <w:tcBorders>
              <w:top w:val="nil"/>
              <w:left w:val="nil"/>
              <w:bottom w:val="nil"/>
              <w:right w:val="nil"/>
            </w:tcBorders>
            <w:shd w:val="clear" w:color="auto" w:fill="auto"/>
            <w:tcMar>
              <w:top w:w="15" w:type="dxa"/>
              <w:left w:w="108" w:type="dxa"/>
              <w:bottom w:w="0" w:type="dxa"/>
              <w:right w:w="108" w:type="dxa"/>
            </w:tcMar>
            <w:hideMark/>
          </w:tcPr>
          <w:p w:rsidR="00E93AF1" w:rsidRPr="00C019EF" w:rsidRDefault="00E93AF1" w:rsidP="00446234">
            <w:pPr>
              <w:rPr>
                <w:rFonts w:ascii="Arial" w:eastAsia="Times New Roman" w:hAnsi="Arial" w:cs="Arial"/>
                <w:lang w:eastAsia="en-GB" w:bidi="ar-SA"/>
              </w:rPr>
            </w:pPr>
            <w:r w:rsidRPr="00C019EF">
              <w:rPr>
                <w:rFonts w:ascii="Calibri" w:eastAsia="Times New Roman" w:hAnsi="Calibri" w:cs="Arial"/>
                <w:kern w:val="24"/>
                <w:lang w:eastAsia="en-GB" w:bidi="ar-SA"/>
              </w:rPr>
              <w:t>Approach to life</w:t>
            </w:r>
            <w:r w:rsidRPr="00C019EF">
              <w:rPr>
                <w:rFonts w:ascii="Calibri" w:eastAsia="Calibri" w:hAnsi="Calibri"/>
                <w:kern w:val="24"/>
                <w:lang w:eastAsia="en-GB" w:bidi="ar-SA"/>
              </w:rPr>
              <w:t xml:space="preserve"> </w:t>
            </w:r>
          </w:p>
        </w:tc>
      </w:tr>
      <w:tr w:rsidR="00272B8A" w:rsidRPr="00272B8A" w:rsidTr="00C019EF">
        <w:trPr>
          <w:trHeight w:val="410"/>
        </w:trPr>
        <w:tc>
          <w:tcPr>
            <w:tcW w:w="1892" w:type="dxa"/>
            <w:tcBorders>
              <w:top w:val="nil"/>
              <w:left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Music</w:t>
            </w:r>
            <w:r w:rsidRPr="00C019EF">
              <w:rPr>
                <w:rFonts w:ascii="Calibri" w:eastAsia="Calibri" w:hAnsi="Calibri"/>
                <w:kern w:val="24"/>
                <w:lang w:eastAsia="en-GB" w:bidi="ar-SA"/>
              </w:rPr>
              <w:t xml:space="preserve"> </w:t>
            </w:r>
          </w:p>
        </w:tc>
        <w:tc>
          <w:tcPr>
            <w:tcW w:w="1893" w:type="dxa"/>
            <w:tcBorders>
              <w:top w:val="nil"/>
              <w:left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Reid 2001</w:t>
            </w:r>
            <w:r w:rsidRPr="00C019EF">
              <w:rPr>
                <w:rFonts w:ascii="Calibri" w:eastAsia="Calibri" w:hAnsi="Calibri"/>
                <w:kern w:val="24"/>
                <w:lang w:eastAsia="en-GB" w:bidi="ar-SA"/>
              </w:rPr>
              <w:t xml:space="preserve"> </w:t>
            </w:r>
          </w:p>
        </w:tc>
        <w:tc>
          <w:tcPr>
            <w:tcW w:w="1893" w:type="dxa"/>
            <w:tcBorders>
              <w:top w:val="nil"/>
              <w:left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Instrument</w:t>
            </w:r>
            <w:r w:rsidRPr="00C019EF">
              <w:rPr>
                <w:rFonts w:ascii="Calibri" w:eastAsia="Calibri" w:hAnsi="Calibri"/>
                <w:kern w:val="24"/>
                <w:lang w:eastAsia="en-GB" w:bidi="ar-SA"/>
              </w:rPr>
              <w:t xml:space="preserve"> </w:t>
            </w:r>
          </w:p>
        </w:tc>
        <w:tc>
          <w:tcPr>
            <w:tcW w:w="1893" w:type="dxa"/>
            <w:tcBorders>
              <w:top w:val="nil"/>
              <w:left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Meaning</w:t>
            </w:r>
            <w:r w:rsidRPr="00C019EF">
              <w:rPr>
                <w:rFonts w:ascii="Calibri" w:eastAsia="Calibri" w:hAnsi="Calibri"/>
                <w:kern w:val="24"/>
                <w:lang w:eastAsia="en-GB" w:bidi="ar-SA"/>
              </w:rPr>
              <w:t xml:space="preserve"> </w:t>
            </w:r>
          </w:p>
        </w:tc>
        <w:tc>
          <w:tcPr>
            <w:tcW w:w="1893" w:type="dxa"/>
            <w:tcBorders>
              <w:top w:val="nil"/>
              <w:left w:val="nil"/>
              <w:right w:val="nil"/>
            </w:tcBorders>
            <w:shd w:val="clear" w:color="auto" w:fill="auto"/>
            <w:tcMar>
              <w:top w:w="15" w:type="dxa"/>
              <w:left w:w="108" w:type="dxa"/>
              <w:bottom w:w="0" w:type="dxa"/>
              <w:right w:w="108" w:type="dxa"/>
            </w:tcMar>
            <w:hideMark/>
          </w:tcPr>
          <w:p w:rsidR="00272B8A" w:rsidRPr="00C019EF" w:rsidRDefault="00272B8A" w:rsidP="00446234">
            <w:pPr>
              <w:rPr>
                <w:rFonts w:ascii="Arial" w:eastAsia="Times New Roman" w:hAnsi="Arial" w:cs="Arial"/>
                <w:lang w:eastAsia="en-GB" w:bidi="ar-SA"/>
              </w:rPr>
            </w:pPr>
            <w:r w:rsidRPr="00C019EF">
              <w:rPr>
                <w:rFonts w:ascii="Calibri" w:eastAsia="Times New Roman" w:hAnsi="Calibri" w:cs="Arial"/>
                <w:kern w:val="24"/>
                <w:lang w:eastAsia="en-GB" w:bidi="ar-SA"/>
              </w:rPr>
              <w:t>Communicating</w:t>
            </w:r>
            <w:r w:rsidRPr="00C019EF">
              <w:rPr>
                <w:rFonts w:ascii="Calibri" w:eastAsia="Calibri" w:hAnsi="Calibri"/>
                <w:kern w:val="24"/>
                <w:lang w:eastAsia="en-GB" w:bidi="ar-SA"/>
              </w:rPr>
              <w:t xml:space="preserve"> </w:t>
            </w:r>
          </w:p>
        </w:tc>
      </w:tr>
      <w:tr w:rsidR="00E93AF1" w:rsidRPr="00272B8A" w:rsidTr="00C019EF">
        <w:trPr>
          <w:trHeight w:val="410"/>
        </w:trPr>
        <w:tc>
          <w:tcPr>
            <w:tcW w:w="1892" w:type="dxa"/>
            <w:tcBorders>
              <w:top w:val="nil"/>
              <w:left w:val="nil"/>
              <w:bottom w:val="single" w:sz="4" w:space="0" w:color="auto"/>
              <w:right w:val="nil"/>
            </w:tcBorders>
            <w:shd w:val="clear" w:color="auto" w:fill="auto"/>
            <w:tcMar>
              <w:top w:w="15" w:type="dxa"/>
              <w:left w:w="108" w:type="dxa"/>
              <w:bottom w:w="0" w:type="dxa"/>
              <w:right w:w="108" w:type="dxa"/>
            </w:tcMar>
          </w:tcPr>
          <w:p w:rsidR="00E93AF1" w:rsidRPr="00C019EF" w:rsidRDefault="00E93AF1" w:rsidP="00446234">
            <w:pPr>
              <w:rPr>
                <w:rFonts w:ascii="Calibri" w:eastAsia="Times New Roman" w:hAnsi="Calibri" w:cs="Arial"/>
                <w:kern w:val="24"/>
                <w:lang w:eastAsia="en-GB" w:bidi="ar-SA"/>
              </w:rPr>
            </w:pPr>
            <w:r w:rsidRPr="00C019EF">
              <w:rPr>
                <w:rFonts w:ascii="Calibri" w:eastAsia="Times New Roman" w:hAnsi="Calibri" w:cs="Arial"/>
                <w:kern w:val="24"/>
                <w:lang w:eastAsia="en-GB" w:bidi="ar-SA"/>
              </w:rPr>
              <w:t>Sociology</w:t>
            </w:r>
          </w:p>
        </w:tc>
        <w:tc>
          <w:tcPr>
            <w:tcW w:w="1893" w:type="dxa"/>
            <w:tcBorders>
              <w:top w:val="nil"/>
              <w:left w:val="nil"/>
              <w:bottom w:val="single" w:sz="4" w:space="0" w:color="auto"/>
              <w:right w:val="nil"/>
            </w:tcBorders>
            <w:shd w:val="clear" w:color="auto" w:fill="auto"/>
            <w:tcMar>
              <w:top w:w="15" w:type="dxa"/>
              <w:left w:w="108" w:type="dxa"/>
              <w:bottom w:w="0" w:type="dxa"/>
              <w:right w:w="108" w:type="dxa"/>
            </w:tcMar>
          </w:tcPr>
          <w:p w:rsidR="00E93AF1" w:rsidRPr="00C019EF" w:rsidRDefault="00E93AF1" w:rsidP="00446234">
            <w:pPr>
              <w:rPr>
                <w:rFonts w:ascii="Calibri" w:eastAsia="Times New Roman" w:hAnsi="Calibri" w:cs="Arial"/>
                <w:kern w:val="24"/>
                <w:lang w:eastAsia="en-GB" w:bidi="ar-SA"/>
              </w:rPr>
            </w:pPr>
            <w:r w:rsidRPr="00C019EF">
              <w:rPr>
                <w:rFonts w:ascii="Calibri" w:eastAsia="Times New Roman" w:hAnsi="Calibri" w:cs="Arial"/>
                <w:kern w:val="24"/>
                <w:lang w:eastAsia="en-GB" w:bidi="ar-SA"/>
              </w:rPr>
              <w:t xml:space="preserve">Ashwin </w:t>
            </w:r>
            <w:r w:rsidRPr="006570AD">
              <w:rPr>
                <w:rFonts w:ascii="Calibri" w:eastAsia="Times New Roman" w:hAnsi="Calibri" w:cs="Arial"/>
                <w:i/>
                <w:kern w:val="24"/>
                <w:lang w:eastAsia="en-GB" w:bidi="ar-SA"/>
              </w:rPr>
              <w:t>et al</w:t>
            </w:r>
            <w:r w:rsidR="006570AD">
              <w:rPr>
                <w:rFonts w:ascii="Calibri" w:eastAsia="Times New Roman" w:hAnsi="Calibri" w:cs="Arial"/>
                <w:i/>
                <w:kern w:val="24"/>
                <w:lang w:eastAsia="en-GB" w:bidi="ar-SA"/>
              </w:rPr>
              <w:t>.</w:t>
            </w:r>
            <w:r w:rsidRPr="00C019EF">
              <w:rPr>
                <w:rFonts w:ascii="Calibri" w:eastAsia="Times New Roman" w:hAnsi="Calibri" w:cs="Arial"/>
                <w:kern w:val="24"/>
                <w:lang w:eastAsia="en-GB" w:bidi="ar-SA"/>
              </w:rPr>
              <w:t xml:space="preserve"> 2015</w:t>
            </w:r>
          </w:p>
        </w:tc>
        <w:tc>
          <w:tcPr>
            <w:tcW w:w="1893" w:type="dxa"/>
            <w:tcBorders>
              <w:top w:val="nil"/>
              <w:left w:val="nil"/>
              <w:bottom w:val="single" w:sz="4" w:space="0" w:color="auto"/>
              <w:right w:val="nil"/>
            </w:tcBorders>
            <w:shd w:val="clear" w:color="auto" w:fill="auto"/>
            <w:tcMar>
              <w:top w:w="15" w:type="dxa"/>
              <w:left w:w="108" w:type="dxa"/>
              <w:bottom w:w="0" w:type="dxa"/>
              <w:right w:w="108" w:type="dxa"/>
            </w:tcMar>
          </w:tcPr>
          <w:p w:rsidR="00E93AF1" w:rsidRPr="00C019EF" w:rsidRDefault="00E93AF1" w:rsidP="00446234">
            <w:pPr>
              <w:rPr>
                <w:rFonts w:ascii="Calibri" w:eastAsia="Times New Roman" w:hAnsi="Calibri" w:cs="Arial"/>
                <w:kern w:val="24"/>
                <w:lang w:eastAsia="en-GB" w:bidi="ar-SA"/>
              </w:rPr>
            </w:pPr>
            <w:r w:rsidRPr="00C019EF">
              <w:rPr>
                <w:rFonts w:ascii="Calibri" w:eastAsia="Times New Roman" w:hAnsi="Calibri" w:cs="Arial"/>
                <w:kern w:val="24"/>
                <w:lang w:eastAsia="en-GB" w:bidi="ar-SA"/>
              </w:rPr>
              <w:t>Opinions</w:t>
            </w:r>
          </w:p>
        </w:tc>
        <w:tc>
          <w:tcPr>
            <w:tcW w:w="1893" w:type="dxa"/>
            <w:tcBorders>
              <w:top w:val="nil"/>
              <w:left w:val="nil"/>
              <w:bottom w:val="single" w:sz="4" w:space="0" w:color="auto"/>
              <w:right w:val="nil"/>
            </w:tcBorders>
            <w:shd w:val="clear" w:color="auto" w:fill="auto"/>
            <w:tcMar>
              <w:top w:w="15" w:type="dxa"/>
              <w:left w:w="108" w:type="dxa"/>
              <w:bottom w:w="0" w:type="dxa"/>
              <w:right w:w="108" w:type="dxa"/>
            </w:tcMar>
          </w:tcPr>
          <w:p w:rsidR="00E93AF1" w:rsidRPr="00C019EF" w:rsidRDefault="00E93AF1" w:rsidP="00446234">
            <w:pPr>
              <w:rPr>
                <w:rFonts w:ascii="Calibri" w:eastAsia="Times New Roman" w:hAnsi="Calibri" w:cs="Arial"/>
                <w:kern w:val="24"/>
                <w:lang w:eastAsia="en-GB" w:bidi="ar-SA"/>
              </w:rPr>
            </w:pPr>
            <w:r w:rsidRPr="00C019EF">
              <w:rPr>
                <w:rFonts w:ascii="Calibri" w:eastAsia="Times New Roman" w:hAnsi="Calibri" w:cs="Arial"/>
                <w:kern w:val="24"/>
                <w:lang w:eastAsia="en-GB" w:bidi="ar-SA"/>
              </w:rPr>
              <w:t>Study of Society</w:t>
            </w:r>
          </w:p>
        </w:tc>
        <w:tc>
          <w:tcPr>
            <w:tcW w:w="1893" w:type="dxa"/>
            <w:tcBorders>
              <w:top w:val="nil"/>
              <w:left w:val="nil"/>
              <w:bottom w:val="single" w:sz="4" w:space="0" w:color="auto"/>
              <w:right w:val="nil"/>
            </w:tcBorders>
            <w:shd w:val="clear" w:color="auto" w:fill="auto"/>
            <w:tcMar>
              <w:top w:w="15" w:type="dxa"/>
              <w:left w:w="108" w:type="dxa"/>
              <w:bottom w:w="0" w:type="dxa"/>
              <w:right w:w="108" w:type="dxa"/>
            </w:tcMar>
          </w:tcPr>
          <w:p w:rsidR="00E93AF1" w:rsidRPr="00C019EF" w:rsidRDefault="00E93AF1" w:rsidP="00446234">
            <w:pPr>
              <w:rPr>
                <w:rFonts w:ascii="Calibri" w:eastAsia="Times New Roman" w:hAnsi="Calibri" w:cs="Arial"/>
                <w:kern w:val="24"/>
                <w:lang w:eastAsia="en-GB" w:bidi="ar-SA"/>
              </w:rPr>
            </w:pPr>
            <w:r w:rsidRPr="00C019EF">
              <w:rPr>
                <w:rFonts w:ascii="Calibri" w:eastAsia="Times New Roman" w:hAnsi="Calibri" w:cs="Arial"/>
                <w:kern w:val="24"/>
                <w:lang w:eastAsia="en-GB" w:bidi="ar-SA"/>
              </w:rPr>
              <w:t>Many sociologies implicating student</w:t>
            </w:r>
          </w:p>
        </w:tc>
      </w:tr>
    </w:tbl>
    <w:p w:rsidR="008D09CF" w:rsidRDefault="008D09CF" w:rsidP="00446234">
      <w:pPr>
        <w:spacing w:line="480" w:lineRule="auto"/>
      </w:pPr>
    </w:p>
    <w:p w:rsidR="002A19DF" w:rsidRDefault="002A19DF" w:rsidP="00446234">
      <w:pPr>
        <w:spacing w:line="480" w:lineRule="auto"/>
      </w:pPr>
      <w:r>
        <w:lastRenderedPageBreak/>
        <w:t xml:space="preserve">The moves across the table suggest that whilst the changes in students’ understanding of sociology have a particular sociological accent, the general shifts in focus appear to be common across those subjects in higher education where we have evidence about how students’ perceptions of their discipline vary. </w:t>
      </w:r>
      <w:r w:rsidR="00E93AF1" w:rsidRPr="00F70DC6">
        <w:t>In relation to Accountancy, Law</w:t>
      </w:r>
      <w:r w:rsidR="00E93AF1">
        <w:t>,</w:t>
      </w:r>
      <w:r w:rsidR="00E93AF1" w:rsidRPr="00F70DC6">
        <w:t xml:space="preserve"> Mathematics, Music and </w:t>
      </w:r>
      <w:r w:rsidR="00E93AF1">
        <w:t xml:space="preserve">Sociology </w:t>
      </w:r>
      <w:r w:rsidR="00E93AF1" w:rsidRPr="00F70DC6">
        <w:t>it appears to shift from a focus on the immediate context (routine work, content</w:t>
      </w:r>
      <w:r w:rsidR="00E93AF1">
        <w:t>,</w:t>
      </w:r>
      <w:r w:rsidR="00E93AF1" w:rsidRPr="00F70DC6">
        <w:t xml:space="preserve"> numbers, the instrument or</w:t>
      </w:r>
      <w:r w:rsidR="00E93AF1">
        <w:t xml:space="preserve"> opinions</w:t>
      </w:r>
      <w:r w:rsidR="00E93AF1" w:rsidRPr="00F70DC6">
        <w:t>) to a focus on how this is formed into a system of meaning to a focus on how this relates to the students</w:t>
      </w:r>
      <w:r w:rsidR="00E93AF1">
        <w:t>’</w:t>
      </w:r>
      <w:r w:rsidR="00E93AF1" w:rsidRPr="00F70DC6">
        <w:t xml:space="preserve"> position in relation to the world.  The variation in geography </w:t>
      </w:r>
      <w:r w:rsidR="00E93AF1">
        <w:t xml:space="preserve">and geosciences </w:t>
      </w:r>
      <w:r w:rsidR="00E93AF1" w:rsidRPr="00F70DC6">
        <w:t>shift from the very general to interacting systems to the relation between these interacting systems and the world.</w:t>
      </w:r>
    </w:p>
    <w:p w:rsidR="00E93AF1" w:rsidRDefault="00E93AF1" w:rsidP="00446234">
      <w:pPr>
        <w:spacing w:line="480" w:lineRule="auto"/>
      </w:pPr>
    </w:p>
    <w:p w:rsidR="00E93AF1" w:rsidRDefault="00E93AF1" w:rsidP="00446234">
      <w:pPr>
        <w:spacing w:line="480" w:lineRule="auto"/>
      </w:pPr>
      <w:r>
        <w:t xml:space="preserve">These two systems of variation suggest that the studying of all </w:t>
      </w:r>
      <w:r w:rsidR="008173CB">
        <w:t xml:space="preserve">of </w:t>
      </w:r>
      <w:r>
        <w:t xml:space="preserve">these disciplines involves students in thinking about the relations between themselves, the world and the disciplines they are studying. </w:t>
      </w:r>
      <w:r w:rsidR="00333011">
        <w:t>Thus the arguments made earlier about the transformational nature of undergraduate higher education would appear  to be relevant to these other disciplines, even if the precise nature of the transformation is different within different disciplines.</w:t>
      </w:r>
    </w:p>
    <w:p w:rsidR="00333011" w:rsidRDefault="00333011" w:rsidP="00446234">
      <w:pPr>
        <w:spacing w:line="480" w:lineRule="auto"/>
      </w:pPr>
    </w:p>
    <w:p w:rsidR="00333011" w:rsidRDefault="00333011" w:rsidP="00446234">
      <w:pPr>
        <w:spacing w:line="480" w:lineRule="auto"/>
      </w:pPr>
      <w:r>
        <w:t xml:space="preserve">So far the argument in this paper has focused on the transformational potential of the knowledge that students engage with in higher education. However, an undergraduate experience is not just about the knowledge that students encounter. Take for example this quote from Faith from the </w:t>
      </w:r>
      <w:r w:rsidR="00A30D49" w:rsidRPr="00272B8A">
        <w:t>P</w:t>
      </w:r>
      <w:r w:rsidR="00A30D49">
        <w:t>QI p</w:t>
      </w:r>
      <w:r w:rsidR="00A30D49" w:rsidRPr="00272B8A">
        <w:t>roject</w:t>
      </w:r>
      <w:r>
        <w:t xml:space="preserve">: </w:t>
      </w:r>
    </w:p>
    <w:p w:rsidR="00272B8A" w:rsidRPr="00272B8A" w:rsidRDefault="00272B8A" w:rsidP="00446234">
      <w:pPr>
        <w:spacing w:line="480" w:lineRule="auto"/>
      </w:pPr>
    </w:p>
    <w:p w:rsidR="00272B8A" w:rsidRDefault="00272B8A" w:rsidP="00446234">
      <w:pPr>
        <w:spacing w:line="480" w:lineRule="auto"/>
        <w:ind w:left="567" w:right="521"/>
        <w:rPr>
          <w:i/>
          <w:iCs/>
        </w:rPr>
      </w:pPr>
      <w:r w:rsidRPr="00272B8A">
        <w:rPr>
          <w:i/>
          <w:iCs/>
        </w:rPr>
        <w:t>[I am a] totally different person</w:t>
      </w:r>
      <w:proofErr w:type="gramStart"/>
      <w:r w:rsidRPr="00272B8A">
        <w:rPr>
          <w:i/>
          <w:iCs/>
        </w:rPr>
        <w:t>..</w:t>
      </w:r>
      <w:proofErr w:type="gramEnd"/>
      <w:r w:rsidRPr="00272B8A">
        <w:rPr>
          <w:i/>
          <w:iCs/>
        </w:rPr>
        <w:t xml:space="preserve"> Even dress sense. Everything has </w:t>
      </w:r>
      <w:proofErr w:type="gramStart"/>
      <w:r w:rsidRPr="00272B8A">
        <w:rPr>
          <w:i/>
          <w:iCs/>
        </w:rPr>
        <w:t>changed,</w:t>
      </w:r>
      <w:proofErr w:type="gramEnd"/>
      <w:r w:rsidRPr="00272B8A">
        <w:rPr>
          <w:i/>
          <w:iCs/>
        </w:rPr>
        <w:t xml:space="preserve"> everything. I would go to a lecture in a tracksuit before, now I would not get caught dead in one ... I think the older I grow the more I realise that first </w:t>
      </w:r>
      <w:r w:rsidRPr="00272B8A">
        <w:rPr>
          <w:i/>
          <w:iCs/>
        </w:rPr>
        <w:lastRenderedPageBreak/>
        <w:t xml:space="preserve">impressions count ... You never know who you are going to meet. You never know what network event may come up in the evening. You can’t go looking like a tramp. You’ve just got to be a lot more aware of different aspects of yourself and be more confident. </w:t>
      </w:r>
      <w:r w:rsidRPr="00BB278D">
        <w:rPr>
          <w:iCs/>
        </w:rPr>
        <w:t>(</w:t>
      </w:r>
      <w:r w:rsidRPr="00272B8A">
        <w:t>Faith, Year 3, Prestige</w:t>
      </w:r>
      <w:r w:rsidR="00A30D49">
        <w:t>,</w:t>
      </w:r>
      <w:r w:rsidRPr="00272B8A">
        <w:t xml:space="preserve"> </w:t>
      </w:r>
      <w:r w:rsidR="00A30D49" w:rsidRPr="00272B8A">
        <w:t>P</w:t>
      </w:r>
      <w:r w:rsidR="00A30D49">
        <w:t>QI p</w:t>
      </w:r>
      <w:r w:rsidR="00A30D49" w:rsidRPr="00272B8A">
        <w:t>roject</w:t>
      </w:r>
      <w:r w:rsidRPr="00272B8A">
        <w:rPr>
          <w:i/>
          <w:iCs/>
        </w:rPr>
        <w:t xml:space="preserve">) </w:t>
      </w:r>
    </w:p>
    <w:p w:rsidR="00333011" w:rsidRDefault="00333011" w:rsidP="00446234">
      <w:pPr>
        <w:spacing w:line="480" w:lineRule="auto"/>
      </w:pPr>
    </w:p>
    <w:p w:rsidR="004C683B" w:rsidRDefault="004C683B" w:rsidP="00446234">
      <w:pPr>
        <w:spacing w:line="480" w:lineRule="auto"/>
      </w:pPr>
      <w:r>
        <w:t xml:space="preserve">Here Faith is talking about how her sense of who she is has been changed through the networking opportunities that she experienced at university. </w:t>
      </w:r>
      <w:r w:rsidR="002D60C4">
        <w:t>I</w:t>
      </w:r>
      <w:r>
        <w:t>n the project</w:t>
      </w:r>
      <w:r w:rsidR="002D60C4">
        <w:t xml:space="preserve"> we found</w:t>
      </w:r>
      <w:r>
        <w:t xml:space="preserve"> that whilst such opportunities were an important part of </w:t>
      </w:r>
      <w:r w:rsidR="002D60C4">
        <w:t xml:space="preserve">some </w:t>
      </w:r>
      <w:r>
        <w:t xml:space="preserve">students’ changing sense of </w:t>
      </w:r>
      <w:proofErr w:type="gramStart"/>
      <w:r>
        <w:t>who</w:t>
      </w:r>
      <w:proofErr w:type="gramEnd"/>
      <w:r>
        <w:t xml:space="preserve"> they are, what was crucial was that </w:t>
      </w:r>
      <w:r w:rsidR="002D60C4">
        <w:t xml:space="preserve">this was in the context of seeing </w:t>
      </w:r>
      <w:r>
        <w:t>being at university</w:t>
      </w:r>
      <w:r w:rsidR="002D60C4">
        <w:t xml:space="preserve"> </w:t>
      </w:r>
      <w:r>
        <w:t xml:space="preserve">as an educational experience as well as a social experience. </w:t>
      </w:r>
      <w:r w:rsidR="008C3C41">
        <w:t xml:space="preserve"> Students who did not appear to see being at university as an educational experience were less likely to develop more inclusive accounts of knowledge and were less likely to have personal projects that were focused on changing themselves and the world.</w:t>
      </w:r>
    </w:p>
    <w:p w:rsidR="008C3C41" w:rsidRDefault="008C3C41" w:rsidP="00446234">
      <w:pPr>
        <w:spacing w:line="480" w:lineRule="auto"/>
      </w:pPr>
    </w:p>
    <w:p w:rsidR="00272B8A" w:rsidRPr="00272B8A" w:rsidRDefault="008C3C41" w:rsidP="00446234">
      <w:pPr>
        <w:spacing w:line="480" w:lineRule="auto"/>
      </w:pPr>
      <w:r>
        <w:t xml:space="preserve">If we return to the question </w:t>
      </w:r>
      <w:r w:rsidR="005A06D2">
        <w:t>in the title of this paper</w:t>
      </w:r>
      <w:r>
        <w:t>, then we now have the makings of an answer. The transformational nature of higher education lies in the</w:t>
      </w:r>
      <w:r w:rsidR="005A06D2">
        <w:t xml:space="preserve"> </w:t>
      </w:r>
      <w:r>
        <w:t xml:space="preserve">access </w:t>
      </w:r>
      <w:r w:rsidR="005A06D2">
        <w:t xml:space="preserve">they gain </w:t>
      </w:r>
      <w:r>
        <w:t xml:space="preserve">to a body of disciplinary knowledge that changes their sense of both who they are and the nature of the wider world. </w:t>
      </w:r>
    </w:p>
    <w:p w:rsidR="008D09CF" w:rsidRDefault="008C3C41" w:rsidP="00446234">
      <w:pPr>
        <w:pStyle w:val="Heading2"/>
        <w:spacing w:line="480" w:lineRule="auto"/>
      </w:pPr>
      <w:r>
        <w:t>The comparability of undergraduate degrees</w:t>
      </w:r>
    </w:p>
    <w:p w:rsidR="008C3C41" w:rsidRDefault="008C3C41" w:rsidP="00446234">
      <w:pPr>
        <w:spacing w:line="480" w:lineRule="auto"/>
      </w:pPr>
      <w:r>
        <w:t>Having argued that a key element of what is offered by undergraduate education is the transformational relations that students develop to knowledge</w:t>
      </w:r>
      <w:r w:rsidR="002D60C4">
        <w:t>,</w:t>
      </w:r>
      <w:r>
        <w:t xml:space="preserve"> I now examine ways of comparing the quality of undergraduate degrees. </w:t>
      </w:r>
      <w:r w:rsidR="00443304" w:rsidRPr="00A418E7">
        <w:t xml:space="preserve">There are strong pressures for the measurement of </w:t>
      </w:r>
      <w:r w:rsidR="00443304">
        <w:t xml:space="preserve">how students benefit from higher education </w:t>
      </w:r>
      <w:r w:rsidR="00443304" w:rsidRPr="00A418E7">
        <w:t xml:space="preserve">to ensure equitable higher </w:t>
      </w:r>
      <w:r w:rsidR="00443304" w:rsidRPr="00A418E7">
        <w:lastRenderedPageBreak/>
        <w:t>education for all students regardless of which institution they study in. The l</w:t>
      </w:r>
      <w:r w:rsidR="00443304">
        <w:t>egitimacy of these demands needs</w:t>
      </w:r>
      <w:r w:rsidR="00443304" w:rsidRPr="00A418E7">
        <w:t xml:space="preserve"> to be recognised as governments</w:t>
      </w:r>
      <w:r w:rsidR="00443304">
        <w:t>, students and societies invest considerable resources in higher education.</w:t>
      </w:r>
    </w:p>
    <w:p w:rsidR="002D60C4" w:rsidRDefault="002D60C4" w:rsidP="00446234">
      <w:pPr>
        <w:spacing w:line="480" w:lineRule="auto"/>
      </w:pPr>
    </w:p>
    <w:p w:rsidR="00443304" w:rsidRPr="008C3C41" w:rsidRDefault="00443304" w:rsidP="00446234">
      <w:pPr>
        <w:spacing w:line="480" w:lineRule="auto"/>
      </w:pPr>
      <w:r>
        <w:t xml:space="preserve">However, the current ways we have of measuring quality are deeply problematic because they do not provide access to understanding of the ways in which students are transformed by their higher education experience. To show this I will examine two approaches to the comparison of higher education quality: university rankings and the Organisation for Economic Co-operation and Development’s (OECD) Assessment of Higher Education Learning Outcomes (AHELO) project (see Ashwin 2015 for a further development of these arguments).   </w:t>
      </w:r>
    </w:p>
    <w:p w:rsidR="008D09CF" w:rsidRPr="00272B8A" w:rsidRDefault="008D09CF" w:rsidP="00446234">
      <w:pPr>
        <w:pStyle w:val="Heading3"/>
        <w:spacing w:line="480" w:lineRule="auto"/>
      </w:pPr>
      <w:r w:rsidRPr="00272B8A">
        <w:t xml:space="preserve">Comparability 1: </w:t>
      </w:r>
      <w:r w:rsidR="00443304">
        <w:t xml:space="preserve">University </w:t>
      </w:r>
      <w:r w:rsidRPr="00272B8A">
        <w:t xml:space="preserve">Rankings </w:t>
      </w:r>
    </w:p>
    <w:p w:rsidR="008D09CF" w:rsidRDefault="00647853" w:rsidP="00446234">
      <w:pPr>
        <w:spacing w:line="480" w:lineRule="auto"/>
      </w:pPr>
      <w:r>
        <w:t xml:space="preserve">The dominate way of comparing the quality of undergraduate degrees are national and international higher education rankings. It is important to be clear about the strengths of these rankings that have led to their dominance. First, they appear to be easily comprehensible because they provide a simple ranking of universities. These rankings can travel across a number of contexts and audiences. They make apparent sense to universities, to students, to policy makers, and to employers, who feel that they know what is meant by being a top 10 university nationally or a top 100 university internationally. However, this apparent simplicity and meaningfulness conceals a whole range of problems </w:t>
      </w:r>
      <w:r w:rsidR="008A1145">
        <w:t xml:space="preserve">with the validity of such rankings. </w:t>
      </w:r>
    </w:p>
    <w:p w:rsidR="008A1145" w:rsidRDefault="008A1145" w:rsidP="00446234">
      <w:pPr>
        <w:spacing w:line="480" w:lineRule="auto"/>
      </w:pPr>
    </w:p>
    <w:p w:rsidR="008A1145" w:rsidRDefault="008A1145" w:rsidP="00446234">
      <w:pPr>
        <w:spacing w:line="480" w:lineRule="auto"/>
      </w:pPr>
      <w:r>
        <w:lastRenderedPageBreak/>
        <w:t xml:space="preserve">First university rankings tend to involve unrelated and incomparable measures that are then aggregated into a single score. This incomparability makes this single score is essentially meaningless. Equally the rankings that are then produced are based on differences in these scores that have no statistical significance. Thus differences in the rankings that look very large because they are separated by many places can actually be very small. </w:t>
      </w:r>
    </w:p>
    <w:p w:rsidR="008A1145" w:rsidRDefault="008A1145" w:rsidP="00446234">
      <w:pPr>
        <w:spacing w:line="480" w:lineRule="auto"/>
      </w:pPr>
    </w:p>
    <w:p w:rsidR="003A4FCB" w:rsidRDefault="008A1145" w:rsidP="00446234">
      <w:pPr>
        <w:spacing w:line="480" w:lineRule="auto"/>
      </w:pPr>
      <w:r>
        <w:t xml:space="preserve">Second, university rankings tend to use measures and ways of combining measures that favour higher status institutions. The reason for this is fairly obvious. Most of the audiences for university rankings already have a strong sense of which </w:t>
      </w:r>
      <w:r w:rsidR="00A223AC">
        <w:t xml:space="preserve">universities they think </w:t>
      </w:r>
      <w:r>
        <w:t xml:space="preserve">are high quality. </w:t>
      </w:r>
      <w:r w:rsidR="00A223AC">
        <w:t>I</w:t>
      </w:r>
      <w:r>
        <w:t xml:space="preserve">f a university ranking does not have the universities that “everyone knows” are the best at the top, then there is something wrong with that ranking. This means that the compliers of </w:t>
      </w:r>
      <w:r w:rsidR="003A4FCB">
        <w:t xml:space="preserve">university rankings need to be careful to ensure the credibility of their rankings by having most of the socially prestigious universities near the top of their ranking. It is </w:t>
      </w:r>
      <w:r w:rsidR="00263A4A">
        <w:t xml:space="preserve">partly </w:t>
      </w:r>
      <w:r w:rsidR="003A4FCB">
        <w:t xml:space="preserve">for this reason that most university rankings </w:t>
      </w:r>
      <w:r w:rsidR="00A223AC">
        <w:t>have little or no metrics which directly relate to</w:t>
      </w:r>
      <w:r w:rsidR="003A4FCB">
        <w:t xml:space="preserve"> the quality of teaching in universities and </w:t>
      </w:r>
      <w:r w:rsidR="00A223AC">
        <w:t xml:space="preserve">instead prefer highly questionable </w:t>
      </w:r>
      <w:r w:rsidR="003A4FCB">
        <w:t>measures</w:t>
      </w:r>
      <w:r w:rsidR="006A1BE6">
        <w:t xml:space="preserve"> of teaching</w:t>
      </w:r>
      <w:r w:rsidR="003A4FCB">
        <w:t>, such as staff</w:t>
      </w:r>
      <w:r w:rsidR="00A223AC">
        <w:t>-</w:t>
      </w:r>
      <w:r w:rsidR="003A4FCB">
        <w:t xml:space="preserve">student ratio, </w:t>
      </w:r>
      <w:r w:rsidR="00950538">
        <w:t>which</w:t>
      </w:r>
      <w:r w:rsidR="003A4FCB">
        <w:t xml:space="preserve"> favour more prestigious</w:t>
      </w:r>
      <w:r w:rsidR="00A223AC">
        <w:t>, resource-rich</w:t>
      </w:r>
      <w:r w:rsidR="003A4FCB">
        <w:t xml:space="preserve"> </w:t>
      </w:r>
      <w:r w:rsidR="00A223AC">
        <w:t>institutions</w:t>
      </w:r>
      <w:r w:rsidR="003A4FCB">
        <w:t xml:space="preserve">. </w:t>
      </w:r>
    </w:p>
    <w:p w:rsidR="003A4FCB" w:rsidRDefault="003A4FCB" w:rsidP="00446234">
      <w:pPr>
        <w:spacing w:line="480" w:lineRule="auto"/>
      </w:pPr>
      <w:r>
        <w:t xml:space="preserve"> </w:t>
      </w:r>
    </w:p>
    <w:p w:rsidR="00950538" w:rsidRDefault="003A4FCB" w:rsidP="00446234">
      <w:pPr>
        <w:spacing w:line="480" w:lineRule="auto"/>
      </w:pPr>
      <w:r>
        <w:t>The result of this is that most university rankings tend to be relatively stable, with the most prestigious institutions grouped towards the top of the ranking.</w:t>
      </w:r>
      <w:r w:rsidR="00950538">
        <w:t xml:space="preserve"> These higher </w:t>
      </w:r>
      <w:r w:rsidR="00950538" w:rsidRPr="00272B8A">
        <w:t>status institutions tend to enrol a much greater proportion of privileged students</w:t>
      </w:r>
      <w:r w:rsidR="00950538">
        <w:t xml:space="preserve">. This means that rankings tend </w:t>
      </w:r>
      <w:r w:rsidR="002D60C4">
        <w:t xml:space="preserve">to </w:t>
      </w:r>
      <w:r w:rsidR="00950538">
        <w:t xml:space="preserve">reinforce privilege because, whilst they contain very little or no valid data on the quality of university teaching, they strongly suggest that students who attend these universities have experienced a higher quality education than other students. </w:t>
      </w:r>
      <w:r w:rsidR="00263A4A">
        <w:t xml:space="preserve">Another </w:t>
      </w:r>
      <w:r w:rsidR="00263A4A">
        <w:lastRenderedPageBreak/>
        <w:t>factor in this is that many rankings of universities focus on quality at the institutional level rather than quality at the level of particular programme, despite the fact that we know that the same institution can have some programmes that are of very high quality and some that are of much lower quality.</w:t>
      </w:r>
    </w:p>
    <w:p w:rsidR="00950538" w:rsidRDefault="00950538" w:rsidP="00446234">
      <w:pPr>
        <w:spacing w:line="480" w:lineRule="auto"/>
      </w:pPr>
    </w:p>
    <w:p w:rsidR="00950538" w:rsidRDefault="00950538" w:rsidP="00446234">
      <w:pPr>
        <w:spacing w:line="480" w:lineRule="auto"/>
      </w:pPr>
      <w:r>
        <w:t>As well as telling us little or nothing about the quality of teaching in universities, these rankings also tell us nothing about the transformational potential of different degree programmes in different institutions. They tell us nothing about the relationships that students develop to knowledge through their engagement in a particular degree course</w:t>
      </w:r>
      <w:r w:rsidR="00263A4A">
        <w:t xml:space="preserve"> or the ways that they their sense of who they are </w:t>
      </w:r>
      <w:proofErr w:type="gramStart"/>
      <w:r w:rsidR="00263A4A">
        <w:t>is</w:t>
      </w:r>
      <w:proofErr w:type="gramEnd"/>
      <w:r w:rsidR="00263A4A">
        <w:t xml:space="preserve"> changed through studying. It may seem to be asking a little much of rankings to provide this kind of information. However, if the higher nature </w:t>
      </w:r>
      <w:r w:rsidR="00A70EF1">
        <w:t xml:space="preserve">of higher education lies in the ways that students are transformed by their relations to knowledge then this is something that measures of quality should be designed to tell us about. </w:t>
      </w:r>
      <w:r>
        <w:t xml:space="preserve"> </w:t>
      </w:r>
    </w:p>
    <w:p w:rsidR="00FE7FB8" w:rsidRDefault="008D09CF" w:rsidP="00446234">
      <w:pPr>
        <w:pStyle w:val="Heading3"/>
        <w:spacing w:line="480" w:lineRule="auto"/>
      </w:pPr>
      <w:r w:rsidRPr="00272B8A">
        <w:t xml:space="preserve">Comparability 2: </w:t>
      </w:r>
      <w:r w:rsidR="00A70EF1">
        <w:t>Assessment of Higher Education Learning Outcomes (</w:t>
      </w:r>
      <w:r w:rsidR="00A70EF1" w:rsidRPr="00272B8A">
        <w:t>AHELO</w:t>
      </w:r>
      <w:r w:rsidR="00A70EF1">
        <w:t>)</w:t>
      </w:r>
    </w:p>
    <w:p w:rsidR="00624751" w:rsidRDefault="00FE7FB8" w:rsidP="00446234">
      <w:pPr>
        <w:spacing w:line="480" w:lineRule="auto"/>
      </w:pPr>
      <w:r>
        <w:t>The O</w:t>
      </w:r>
      <w:r w:rsidR="008D09CF" w:rsidRPr="00272B8A">
        <w:t>ECD’s Assessment of Higher Education Learning Outcomes (AHELO) project seeks to compare the quality of what students learn in different institutions and countries.</w:t>
      </w:r>
      <w:r>
        <w:t xml:space="preserve"> It is of interest in the light of our discussion of rankings because </w:t>
      </w:r>
      <w:r w:rsidRPr="00FE7FB8">
        <w:t xml:space="preserve">Andreas </w:t>
      </w:r>
      <w:proofErr w:type="spellStart"/>
      <w:r w:rsidRPr="00FE7FB8">
        <w:t>Schleicher</w:t>
      </w:r>
      <w:proofErr w:type="spellEnd"/>
      <w:r w:rsidRPr="00FE7FB8">
        <w:t xml:space="preserve">, the OECD’s </w:t>
      </w:r>
      <w:r>
        <w:t>D</w:t>
      </w:r>
      <w:r w:rsidRPr="00FE7FB8">
        <w:t xml:space="preserve">irector for </w:t>
      </w:r>
      <w:r>
        <w:t>E</w:t>
      </w:r>
      <w:r w:rsidRPr="00FE7FB8">
        <w:t xml:space="preserve">ducation and </w:t>
      </w:r>
      <w:r>
        <w:t>S</w:t>
      </w:r>
      <w:r w:rsidRPr="00FE7FB8">
        <w:t>kills</w:t>
      </w:r>
      <w:r w:rsidR="00624751">
        <w:t xml:space="preserve">, has claimed that AHELO offers a way of addressing the distortion caused by institutional prestige when considering issues of educational quality (see Morgan 2015).  </w:t>
      </w:r>
    </w:p>
    <w:p w:rsidR="00624751" w:rsidRDefault="00624751" w:rsidP="00446234">
      <w:pPr>
        <w:spacing w:line="480" w:lineRule="auto"/>
      </w:pPr>
    </w:p>
    <w:p w:rsidR="00624751" w:rsidRDefault="00624751" w:rsidP="00446234">
      <w:pPr>
        <w:spacing w:line="480" w:lineRule="auto"/>
        <w:rPr>
          <w:rFonts w:cs="AdvTT5843c571"/>
        </w:rPr>
      </w:pPr>
      <w:r>
        <w:lastRenderedPageBreak/>
        <w:t xml:space="preserve">It is made up of four elements: a disciplinary element which is focused on measuring students’ learning outcomes in economics and engineering; a generic skills element that is aimed at all disciplines; the collecting of contextual information; and an element focused on the estimation of value-added </w:t>
      </w:r>
      <w:r w:rsidRPr="00355542">
        <w:rPr>
          <w:rFonts w:cs="AdvTT5843c571"/>
        </w:rPr>
        <w:t xml:space="preserve">(see </w:t>
      </w:r>
      <w:r>
        <w:rPr>
          <w:rFonts w:cs="AdvTT5843c571"/>
        </w:rPr>
        <w:t xml:space="preserve">Tremblay et al. 2012; </w:t>
      </w:r>
      <w:r w:rsidRPr="00355542">
        <w:rPr>
          <w:rFonts w:cs="AdvTT5843c571"/>
        </w:rPr>
        <w:t>OECD 2013a, 2013b).</w:t>
      </w:r>
      <w:r>
        <w:rPr>
          <w:rFonts w:cs="AdvTT5843c571"/>
        </w:rPr>
        <w:t xml:space="preserve"> I</w:t>
      </w:r>
      <w:r w:rsidR="00C66163">
        <w:rPr>
          <w:rFonts w:cs="AdvTT5843c571"/>
        </w:rPr>
        <w:t>n discussing AHELO, I will focus on the disciplinary and generic skills elements.</w:t>
      </w:r>
    </w:p>
    <w:p w:rsidR="00C66163" w:rsidRDefault="00C66163" w:rsidP="00446234">
      <w:pPr>
        <w:spacing w:line="480" w:lineRule="auto"/>
        <w:rPr>
          <w:rFonts w:cs="AdvTT5843c571"/>
        </w:rPr>
      </w:pPr>
    </w:p>
    <w:p w:rsidR="00C66163" w:rsidRPr="008E5514" w:rsidRDefault="00A330DA" w:rsidP="00446234">
      <w:pPr>
        <w:pStyle w:val="BodyA"/>
        <w:tabs>
          <w:tab w:val="left" w:pos="720"/>
        </w:tabs>
        <w:spacing w:line="480" w:lineRule="auto"/>
        <w:jc w:val="both"/>
        <w:rPr>
          <w:rFonts w:asciiTheme="minorHAnsi" w:hAnsiTheme="minorHAnsi" w:cs="Times New Roman"/>
          <w:sz w:val="24"/>
          <w:szCs w:val="24"/>
          <w:lang w:val="en-GB"/>
        </w:rPr>
      </w:pPr>
      <w:r>
        <w:rPr>
          <w:rFonts w:asciiTheme="minorHAnsi" w:hAnsiTheme="minorHAnsi" w:cs="Times New Roman"/>
          <w:sz w:val="24"/>
          <w:szCs w:val="24"/>
          <w:lang w:val="en-GB"/>
        </w:rPr>
        <w:t>I</w:t>
      </w:r>
      <w:r w:rsidR="00C66163" w:rsidRPr="008E5514">
        <w:rPr>
          <w:rFonts w:asciiTheme="minorHAnsi" w:hAnsiTheme="minorHAnsi" w:cs="Times New Roman"/>
          <w:sz w:val="24"/>
          <w:szCs w:val="24"/>
          <w:lang w:val="en-GB"/>
        </w:rPr>
        <w:t xml:space="preserve">t is no surprise that </w:t>
      </w:r>
      <w:r>
        <w:rPr>
          <w:rFonts w:asciiTheme="minorHAnsi" w:hAnsiTheme="minorHAnsi" w:cs="Times New Roman"/>
          <w:sz w:val="24"/>
          <w:szCs w:val="24"/>
          <w:lang w:val="en-GB"/>
        </w:rPr>
        <w:t>the disciplinary element</w:t>
      </w:r>
      <w:r w:rsidR="00C66163" w:rsidRPr="008E5514">
        <w:rPr>
          <w:rFonts w:asciiTheme="minorHAnsi" w:hAnsiTheme="minorHAnsi" w:cs="Times New Roman"/>
          <w:sz w:val="24"/>
          <w:szCs w:val="24"/>
          <w:lang w:val="en-GB"/>
        </w:rPr>
        <w:t xml:space="preserve"> has focused </w:t>
      </w:r>
      <w:r>
        <w:rPr>
          <w:rFonts w:asciiTheme="minorHAnsi" w:hAnsiTheme="minorHAnsi" w:cs="Times New Roman"/>
          <w:sz w:val="24"/>
          <w:szCs w:val="24"/>
          <w:lang w:val="en-GB"/>
        </w:rPr>
        <w:t>its</w:t>
      </w:r>
      <w:r w:rsidR="00C66163" w:rsidRPr="008E5514">
        <w:rPr>
          <w:rFonts w:asciiTheme="minorHAnsi" w:hAnsiTheme="minorHAnsi" w:cs="Times New Roman"/>
          <w:sz w:val="24"/>
          <w:szCs w:val="24"/>
          <w:lang w:val="en-GB"/>
        </w:rPr>
        <w:t xml:space="preserve"> attention on Economics and Engineering where curricula tend to be much more consistent internationally. </w:t>
      </w:r>
      <w:r>
        <w:rPr>
          <w:rFonts w:asciiTheme="minorHAnsi" w:hAnsiTheme="minorHAnsi" w:cs="Times New Roman"/>
          <w:sz w:val="24"/>
          <w:szCs w:val="24"/>
          <w:lang w:val="en-GB"/>
        </w:rPr>
        <w:t>However, i</w:t>
      </w:r>
      <w:r w:rsidR="00C66163" w:rsidRPr="008E5514">
        <w:rPr>
          <w:rFonts w:asciiTheme="minorHAnsi" w:hAnsiTheme="minorHAnsi" w:cs="Times New Roman"/>
          <w:sz w:val="24"/>
          <w:szCs w:val="24"/>
          <w:lang w:val="en-GB"/>
        </w:rPr>
        <w:t xml:space="preserve">t is </w:t>
      </w:r>
      <w:r>
        <w:rPr>
          <w:rFonts w:asciiTheme="minorHAnsi" w:hAnsiTheme="minorHAnsi" w:cs="Times New Roman"/>
          <w:sz w:val="24"/>
          <w:szCs w:val="24"/>
          <w:lang w:val="en-GB"/>
        </w:rPr>
        <w:t xml:space="preserve">much more </w:t>
      </w:r>
      <w:r w:rsidR="00C66163" w:rsidRPr="008E5514">
        <w:rPr>
          <w:rFonts w:asciiTheme="minorHAnsi" w:hAnsiTheme="minorHAnsi" w:cs="Times New Roman"/>
          <w:sz w:val="24"/>
          <w:szCs w:val="24"/>
          <w:lang w:val="en-GB"/>
        </w:rPr>
        <w:t xml:space="preserve">difficult to know </w:t>
      </w:r>
      <w:r w:rsidR="00CF6FFF">
        <w:rPr>
          <w:rFonts w:asciiTheme="minorHAnsi" w:hAnsiTheme="minorHAnsi" w:cs="Times New Roman"/>
          <w:sz w:val="24"/>
          <w:szCs w:val="24"/>
          <w:lang w:val="en-GB"/>
        </w:rPr>
        <w:t>what</w:t>
      </w:r>
      <w:r w:rsidR="00C66163" w:rsidRPr="008E5514">
        <w:rPr>
          <w:rFonts w:asciiTheme="minorHAnsi" w:hAnsiTheme="minorHAnsi" w:cs="Times New Roman"/>
          <w:sz w:val="24"/>
          <w:szCs w:val="24"/>
          <w:lang w:val="en-GB"/>
        </w:rPr>
        <w:t xml:space="preserve"> internationally comparable curricul</w:t>
      </w:r>
      <w:r w:rsidR="002D60C4">
        <w:rPr>
          <w:rFonts w:asciiTheme="minorHAnsi" w:hAnsiTheme="minorHAnsi" w:cs="Times New Roman"/>
          <w:sz w:val="24"/>
          <w:szCs w:val="24"/>
          <w:lang w:val="en-GB"/>
        </w:rPr>
        <w:t>a</w:t>
      </w:r>
      <w:r w:rsidR="00C66163" w:rsidRPr="008E5514">
        <w:rPr>
          <w:rFonts w:asciiTheme="minorHAnsi" w:hAnsiTheme="minorHAnsi" w:cs="Times New Roman"/>
          <w:sz w:val="24"/>
          <w:szCs w:val="24"/>
          <w:lang w:val="en-GB"/>
        </w:rPr>
        <w:t xml:space="preserve"> in the study of say literature, sociology, or education </w:t>
      </w:r>
      <w:r w:rsidR="00CF6FFF">
        <w:rPr>
          <w:rFonts w:asciiTheme="minorHAnsi" w:hAnsiTheme="minorHAnsi" w:cs="Times New Roman"/>
          <w:sz w:val="24"/>
          <w:szCs w:val="24"/>
          <w:lang w:val="en-GB"/>
        </w:rPr>
        <w:t xml:space="preserve">would look like. This is because these disciplines and fields have curricula that are shaped by national traditions and interests. Developing internationally comparable curricula could </w:t>
      </w:r>
      <w:r w:rsidR="00C66163" w:rsidRPr="008E5514">
        <w:rPr>
          <w:rFonts w:asciiTheme="minorHAnsi" w:hAnsiTheme="minorHAnsi" w:cs="Times New Roman"/>
          <w:sz w:val="24"/>
          <w:szCs w:val="24"/>
          <w:lang w:val="en-GB"/>
        </w:rPr>
        <w:t>dramatically an</w:t>
      </w:r>
      <w:r w:rsidR="00CF6FFF">
        <w:rPr>
          <w:rFonts w:asciiTheme="minorHAnsi" w:hAnsiTheme="minorHAnsi" w:cs="Times New Roman"/>
          <w:sz w:val="24"/>
          <w:szCs w:val="24"/>
          <w:lang w:val="en-GB"/>
        </w:rPr>
        <w:t>d damagingly change the nature o</w:t>
      </w:r>
      <w:r w:rsidR="00C66163" w:rsidRPr="008E5514">
        <w:rPr>
          <w:rFonts w:asciiTheme="minorHAnsi" w:hAnsiTheme="minorHAnsi" w:cs="Times New Roman"/>
          <w:sz w:val="24"/>
          <w:szCs w:val="24"/>
          <w:lang w:val="en-GB"/>
        </w:rPr>
        <w:t xml:space="preserve">f what it means to teach and learn </w:t>
      </w:r>
      <w:r w:rsidR="00CF6FFF">
        <w:rPr>
          <w:rFonts w:asciiTheme="minorHAnsi" w:hAnsiTheme="minorHAnsi" w:cs="Times New Roman"/>
          <w:sz w:val="24"/>
          <w:szCs w:val="24"/>
          <w:lang w:val="en-GB"/>
        </w:rPr>
        <w:t xml:space="preserve">such </w:t>
      </w:r>
      <w:r w:rsidR="00C66163" w:rsidRPr="008E5514">
        <w:rPr>
          <w:rFonts w:asciiTheme="minorHAnsi" w:hAnsiTheme="minorHAnsi" w:cs="Times New Roman"/>
          <w:sz w:val="24"/>
          <w:szCs w:val="24"/>
          <w:lang w:val="en-GB"/>
        </w:rPr>
        <w:t xml:space="preserve">subjects in universities. </w:t>
      </w:r>
    </w:p>
    <w:p w:rsidR="00C66163" w:rsidRDefault="00C66163" w:rsidP="00446234">
      <w:pPr>
        <w:autoSpaceDE w:val="0"/>
        <w:autoSpaceDN w:val="0"/>
        <w:adjustRightInd w:val="0"/>
        <w:spacing w:line="480" w:lineRule="auto"/>
      </w:pPr>
      <w:r w:rsidRPr="008E5514">
        <w:t xml:space="preserve">The AHELO response to this has been to develop generic skills tests for other disciplines. These are argued to be outcomes that are not specific to any particular subject but would be desired by students in any discipline. </w:t>
      </w:r>
      <w:r>
        <w:t xml:space="preserve">This means they </w:t>
      </w:r>
      <w:r w:rsidRPr="008E5514">
        <w:t>completely ignore the personal relationships that students develop with particular bodies of knowledge. Th</w:t>
      </w:r>
      <w:r w:rsidR="006D7AB3">
        <w:t xml:space="preserve">ese measures of </w:t>
      </w:r>
      <w:r w:rsidRPr="008E5514">
        <w:t>generic skills</w:t>
      </w:r>
      <w:r w:rsidR="006D7AB3">
        <w:t xml:space="preserve"> are l</w:t>
      </w:r>
      <w:r w:rsidRPr="008E5514">
        <w:t>argely meaningless because</w:t>
      </w:r>
      <w:r>
        <w:t xml:space="preserve"> t</w:t>
      </w:r>
      <w:r w:rsidRPr="008E5514">
        <w:t>h</w:t>
      </w:r>
      <w:r>
        <w:t>e</w:t>
      </w:r>
      <w:r w:rsidR="006D7AB3">
        <w:t>y are based on the</w:t>
      </w:r>
      <w:r>
        <w:t xml:space="preserve"> </w:t>
      </w:r>
      <w:r w:rsidR="006D7AB3">
        <w:t>m</w:t>
      </w:r>
      <w:r w:rsidRPr="008E5514">
        <w:t xml:space="preserve">istaken notion that </w:t>
      </w:r>
      <w:r>
        <w:t>we</w:t>
      </w:r>
      <w:r w:rsidRPr="008E5514">
        <w:t xml:space="preserve"> either have good or bad ‘communication’, ‘critical thinking’, ‘learning’, or ‘teaching’ skills regardless of the particular task </w:t>
      </w:r>
      <w:r>
        <w:t>and context in which we</w:t>
      </w:r>
      <w:r w:rsidRPr="008E5514">
        <w:t xml:space="preserve"> are engaged. </w:t>
      </w:r>
      <w:r w:rsidR="00441C25">
        <w:t>S</w:t>
      </w:r>
      <w:r>
        <w:t xml:space="preserve">kilful performances are shaped more by our understanding what </w:t>
      </w:r>
      <w:proofErr w:type="gramStart"/>
      <w:r>
        <w:t>is</w:t>
      </w:r>
      <w:proofErr w:type="gramEnd"/>
      <w:r>
        <w:t xml:space="preserve"> at stake in particular tasks </w:t>
      </w:r>
      <w:r w:rsidRPr="008E5514">
        <w:t xml:space="preserve">and </w:t>
      </w:r>
      <w:r>
        <w:t>our i</w:t>
      </w:r>
      <w:r w:rsidRPr="008E5514">
        <w:t xml:space="preserve">nteractions with other people and things </w:t>
      </w:r>
      <w:r>
        <w:t>than they are by supposedly transferable skills.</w:t>
      </w:r>
    </w:p>
    <w:p w:rsidR="00441C25" w:rsidRDefault="00441C25" w:rsidP="00446234">
      <w:pPr>
        <w:autoSpaceDE w:val="0"/>
        <w:autoSpaceDN w:val="0"/>
        <w:adjustRightInd w:val="0"/>
        <w:spacing w:line="480" w:lineRule="auto"/>
      </w:pPr>
    </w:p>
    <w:p w:rsidR="00C66163" w:rsidRDefault="00CF6FFF" w:rsidP="00446234">
      <w:pPr>
        <w:spacing w:line="480" w:lineRule="auto"/>
      </w:pPr>
      <w:r>
        <w:lastRenderedPageBreak/>
        <w:t>I</w:t>
      </w:r>
      <w:r w:rsidR="00A330DA">
        <w:t xml:space="preserve">f we </w:t>
      </w:r>
      <w:r w:rsidR="00C66163">
        <w:t xml:space="preserve">assume for a moment that the problems discussed in relation to AHELO’s </w:t>
      </w:r>
      <w:r>
        <w:t xml:space="preserve">disciplinary and </w:t>
      </w:r>
      <w:r w:rsidR="00C66163">
        <w:t xml:space="preserve">generic skills </w:t>
      </w:r>
      <w:r>
        <w:t xml:space="preserve">elements </w:t>
      </w:r>
      <w:r w:rsidR="00C66163">
        <w:t>are mistaken</w:t>
      </w:r>
      <w:r>
        <w:t>, then w</w:t>
      </w:r>
      <w:r w:rsidR="00C66163">
        <w:t xml:space="preserve">hat would be likely to happen if AHELO became a globally significant and respected measure of the quality of students’ learning outcomes? As Hazelkorn (2015) argues, measures which set out to support student choice tend to end up being tools by which institutions position themselves globally.  Thus if AHELO were successful, then universities would clearly need to take their students’ performance in the generic skills tests very seriously. The predictable outcome is that they would invest time and resources in preparing their students to undertake these tests.  </w:t>
      </w:r>
    </w:p>
    <w:p w:rsidR="00C66163" w:rsidRDefault="00C66163" w:rsidP="00446234">
      <w:pPr>
        <w:spacing w:line="480" w:lineRule="auto"/>
      </w:pPr>
    </w:p>
    <w:p w:rsidR="00272B8A" w:rsidRDefault="00CF6FFF" w:rsidP="00446234">
      <w:pPr>
        <w:spacing w:line="480" w:lineRule="auto"/>
      </w:pPr>
      <w:r>
        <w:t xml:space="preserve">This would not tell us about </w:t>
      </w:r>
      <w:r w:rsidR="00C66163">
        <w:t>the quality of students’ engagement with disciplinary and professional knowledge or their ability to perform in the workplace</w:t>
      </w:r>
      <w:r>
        <w:t xml:space="preserve">. It would </w:t>
      </w:r>
      <w:r w:rsidR="00C66163">
        <w:t xml:space="preserve">primarily tell us about how much time they had spent preparing to take these kinds of generic tests. In this way AHELO suffers from the same problems of the other ‘proxies’ that it seeks to replace. </w:t>
      </w:r>
      <w:r>
        <w:t xml:space="preserve">It would not help to </w:t>
      </w:r>
      <w:r w:rsidR="00C66163">
        <w:t>improve the quality of higher education</w:t>
      </w:r>
      <w:r>
        <w:t xml:space="preserve"> because </w:t>
      </w:r>
      <w:r w:rsidR="00C66163">
        <w:t xml:space="preserve">it would simply make students better versed in completing generic comprehension exercises. </w:t>
      </w:r>
      <w:r>
        <w:t xml:space="preserve">Crucially, </w:t>
      </w:r>
      <w:r w:rsidR="00C66163">
        <w:t>it</w:t>
      </w:r>
      <w:r>
        <w:t xml:space="preserve"> would be very unlikely to </w:t>
      </w:r>
      <w:r w:rsidR="00C66163">
        <w:t xml:space="preserve">reduce the impact of historical institutional hierarchies because the wealthier an institution, the more resources it would have available to prepare its students for taking the assessments. </w:t>
      </w:r>
      <w:r>
        <w:t xml:space="preserve"> </w:t>
      </w:r>
      <w:r w:rsidR="00C66163">
        <w:t xml:space="preserve">Thus if AHELO succeeded, then the likelihood is that over time it would serve to reinforce existing hierarchies rather than challenge them. </w:t>
      </w:r>
    </w:p>
    <w:p w:rsidR="00A3293B" w:rsidRDefault="008D09CF" w:rsidP="00446234">
      <w:pPr>
        <w:pStyle w:val="Heading2"/>
        <w:spacing w:line="480" w:lineRule="auto"/>
      </w:pPr>
      <w:r w:rsidRPr="00272B8A">
        <w:t>A Key Tension for HE Researchers</w:t>
      </w:r>
    </w:p>
    <w:p w:rsidR="00A330DA" w:rsidRPr="00A330DA" w:rsidRDefault="00A3293B" w:rsidP="00446234">
      <w:pPr>
        <w:spacing w:line="480" w:lineRule="auto"/>
      </w:pPr>
      <w:r>
        <w:t xml:space="preserve">So far I have focused on the tension </w:t>
      </w:r>
      <w:r w:rsidR="00612138">
        <w:t xml:space="preserve">between the </w:t>
      </w:r>
      <w:r w:rsidR="00F86B44">
        <w:t xml:space="preserve">importance of the </w:t>
      </w:r>
      <w:r w:rsidR="00612138">
        <w:t>transformational potential of undergr</w:t>
      </w:r>
      <w:r w:rsidR="00F86B44">
        <w:t>aduate degrees and the desire to compare the quality</w:t>
      </w:r>
      <w:r w:rsidR="00612138">
        <w:t xml:space="preserve"> of undergraduate degrees. However, we also face a tension as higher education</w:t>
      </w:r>
      <w:r w:rsidR="00441C25">
        <w:t xml:space="preserve"> researchers</w:t>
      </w:r>
      <w:r w:rsidR="00612138">
        <w:t xml:space="preserve">. This tension is </w:t>
      </w:r>
      <w:r w:rsidR="00612138">
        <w:lastRenderedPageBreak/>
        <w:t>be</w:t>
      </w:r>
      <w:r w:rsidR="00441C25">
        <w:t>twe</w:t>
      </w:r>
      <w:r w:rsidR="00612138">
        <w:t>en the distorting tendency of comparisons that I have focused on in this paper and the legitimacy of the need for such comparisons. As higher education researchers we need to do more than critique comparisons, we also need to help to develop ways of comparing that are less distorting. This is because the</w:t>
      </w:r>
      <w:r w:rsidR="00CF6FFF">
        <w:t xml:space="preserve">re are legitimate reasons for wanting to understand the quality of higher education that is offered in different settings. Simply ruling out all comparisons ignores the strength of these claims and leaves the field open for ways of comparing that, as we have seen, are very poor measures of quality and </w:t>
      </w:r>
      <w:r w:rsidR="001C2BAA">
        <w:t xml:space="preserve">serve primarily to reinforce institutional </w:t>
      </w:r>
      <w:r w:rsidR="00F86B44">
        <w:t xml:space="preserve">and social </w:t>
      </w:r>
      <w:r w:rsidR="001C2BAA">
        <w:t>privilege.</w:t>
      </w:r>
    </w:p>
    <w:p w:rsidR="001C2BAA" w:rsidRDefault="00C22E98" w:rsidP="00446234">
      <w:pPr>
        <w:pStyle w:val="Heading2"/>
        <w:spacing w:line="480" w:lineRule="auto"/>
      </w:pPr>
      <w:r>
        <w:t>Concluding questions</w:t>
      </w:r>
    </w:p>
    <w:p w:rsidR="00395240" w:rsidRDefault="00C22E98" w:rsidP="00446234">
      <w:pPr>
        <w:spacing w:line="480" w:lineRule="auto"/>
      </w:pPr>
      <w:r>
        <w:t xml:space="preserve">In concluding this paper, I </w:t>
      </w:r>
      <w:r w:rsidR="00F86B44">
        <w:t>want to raise three</w:t>
      </w:r>
      <w:r>
        <w:t xml:space="preserve"> questions about how we </w:t>
      </w:r>
      <w:r w:rsidR="00F86B44">
        <w:t xml:space="preserve">might </w:t>
      </w:r>
      <w:r>
        <w:t>compare the quality of undergraduate education. First, h</w:t>
      </w:r>
      <w:r w:rsidR="008D09CF" w:rsidRPr="00272B8A">
        <w:t>ow can we generate comparisons that are less distorting?</w:t>
      </w:r>
      <w:r>
        <w:t xml:space="preserve"> The key to answering this question is to recognise the limitations of any measurement of this form of qualit</w:t>
      </w:r>
      <w:r w:rsidR="00395240">
        <w:t xml:space="preserve">y. All measures of quality are blunt tools that can only tell us something meaningful in very broad terms. One of the major problems with university rankings is that they convey a very misleading impression of highly calibrated judgments, which, as we have seen, are largely meaningless. Thus we need to be very careful not to demand more of any alternative measure than is actually captured by existing measures. </w:t>
      </w:r>
    </w:p>
    <w:p w:rsidR="00395240" w:rsidRDefault="00395240" w:rsidP="00446234">
      <w:pPr>
        <w:spacing w:line="480" w:lineRule="auto"/>
      </w:pPr>
    </w:p>
    <w:p w:rsidR="008D09CF" w:rsidRDefault="00395240" w:rsidP="00446234">
      <w:pPr>
        <w:spacing w:line="480" w:lineRule="auto"/>
      </w:pPr>
      <w:r>
        <w:t>Second, h</w:t>
      </w:r>
      <w:r w:rsidR="008D09CF" w:rsidRPr="00272B8A">
        <w:t>ow can we make comparisons that reflect Higher Education’s role in helping students to gain access to transformative knowledge?</w:t>
      </w:r>
      <w:r>
        <w:t xml:space="preserve"> This is a major challenge. However, if we accept that the defining feature of </w:t>
      </w:r>
      <w:r w:rsidRPr="00395240">
        <w:rPr>
          <w:i/>
        </w:rPr>
        <w:t xml:space="preserve">higher </w:t>
      </w:r>
      <w:r>
        <w:t xml:space="preserve">education is the way that it transforms students’ sense of themselves and the world, then this needs to be a key element of how </w:t>
      </w:r>
      <w:r>
        <w:lastRenderedPageBreak/>
        <w:t>we measure quality. This is because the ways in which we choose to measure quality end up defining what quality is. Measures that start out as proxies end up be</w:t>
      </w:r>
      <w:r w:rsidR="00F86B44">
        <w:t>coming</w:t>
      </w:r>
      <w:r>
        <w:t xml:space="preserve"> the embodiment of quality. Therefore, we need to be intelligent about the measures we choose and take on the difficult challenge of developing measures that capture transformation. </w:t>
      </w:r>
    </w:p>
    <w:p w:rsidR="00395240" w:rsidRDefault="00395240" w:rsidP="00446234">
      <w:pPr>
        <w:spacing w:line="480" w:lineRule="auto"/>
      </w:pPr>
    </w:p>
    <w:p w:rsidR="008D09CF" w:rsidRDefault="00395240" w:rsidP="00446234">
      <w:pPr>
        <w:spacing w:line="480" w:lineRule="auto"/>
      </w:pPr>
      <w:r>
        <w:t xml:space="preserve">In developing such measures, it is important to be clear that most forms of measurement of quality are expensive. This raises our final question: if we are to put time and resources into developing measures of quality then would it not </w:t>
      </w:r>
      <w:proofErr w:type="gramStart"/>
      <w:r>
        <w:t>be</w:t>
      </w:r>
      <w:proofErr w:type="gramEnd"/>
      <w:r>
        <w:t xml:space="preserve"> more sensible to do this in a way that also enhances quality? </w:t>
      </w:r>
      <w:r w:rsidR="0080524A">
        <w:t xml:space="preserve">It is likely that any effective way forward for measuring the extent to which going to university changes students will also help to improve universities’ ability to support such transformation. </w:t>
      </w:r>
    </w:p>
    <w:p w:rsidR="0080524A" w:rsidRDefault="0080524A" w:rsidP="00446234">
      <w:pPr>
        <w:spacing w:line="480" w:lineRule="auto"/>
      </w:pPr>
    </w:p>
    <w:p w:rsidR="00F86B44" w:rsidRDefault="0080524A" w:rsidP="00446234">
      <w:pPr>
        <w:spacing w:line="480" w:lineRule="auto"/>
      </w:pPr>
      <w:r>
        <w:t xml:space="preserve">In developing alternative approaches, it is important to be clear of two things that get obscured in the Rankings and AHELO approaches to measuring quality. First, </w:t>
      </w:r>
      <w:r w:rsidR="00F86B44">
        <w:t xml:space="preserve">based on decades of research, we already have a very good understanding of the factors that lead to high quality learning in higher education. This understanding </w:t>
      </w:r>
      <w:r>
        <w:t xml:space="preserve">should be the basis of how we seek to compare the quality of undergraduate education. For example, these are clearly expressed in the 10 principles of teaching and learning that came out of the UK Teaching and Learning Research Programme (see Ashwin </w:t>
      </w:r>
      <w:r w:rsidRPr="006570AD">
        <w:rPr>
          <w:i/>
        </w:rPr>
        <w:t>et al.</w:t>
      </w:r>
      <w:r>
        <w:t xml:space="preserve"> 2015 for a working through of these principles in relation to higher education). </w:t>
      </w:r>
    </w:p>
    <w:p w:rsidR="00F86B44" w:rsidRDefault="00F86B44" w:rsidP="00446234">
      <w:pPr>
        <w:spacing w:line="480" w:lineRule="auto"/>
      </w:pPr>
    </w:p>
    <w:p w:rsidR="0080524A" w:rsidRDefault="0080524A" w:rsidP="00446234">
      <w:pPr>
        <w:spacing w:line="480" w:lineRule="auto"/>
      </w:pPr>
      <w:r>
        <w:t xml:space="preserve">Second, we need to be clear about the limits of what an undergraduate education is intended to offer. Despite the rhetoric from some policy makers including those within higher education, degree results or any form of assessment can never tell us what kind of </w:t>
      </w:r>
      <w:r>
        <w:lastRenderedPageBreak/>
        <w:t xml:space="preserve">employee or citizen an individual will become. At best they can tell us about students’ engagement with particular bodies of disciplinary and professional knowledge. This means that we need to avoid grandiose claims about what a robust measure of the quality of higher education can provide to students, employers and policy makers. </w:t>
      </w:r>
    </w:p>
    <w:p w:rsidR="00446234" w:rsidRDefault="00446234" w:rsidP="00446234">
      <w:pPr>
        <w:pStyle w:val="Heading2"/>
        <w:spacing w:line="480" w:lineRule="auto"/>
      </w:pPr>
      <w:r>
        <w:t>References</w:t>
      </w:r>
    </w:p>
    <w:p w:rsidR="00446234" w:rsidRPr="000A5580" w:rsidRDefault="008173CB" w:rsidP="000A5580">
      <w:pPr>
        <w:spacing w:line="480" w:lineRule="auto"/>
        <w:ind w:left="720" w:hanging="720"/>
        <w:rPr>
          <w:rFonts w:cstheme="minorHAnsi"/>
          <w:i/>
        </w:rPr>
      </w:pPr>
      <w:r w:rsidRPr="00446234">
        <w:rPr>
          <w:rStyle w:val="A1"/>
          <w:rFonts w:asciiTheme="minorHAnsi" w:hAnsiTheme="minorHAnsi" w:cstheme="minorHAnsi"/>
          <w:i/>
          <w:sz w:val="24"/>
          <w:szCs w:val="24"/>
        </w:rPr>
        <w:t xml:space="preserve"> </w:t>
      </w:r>
      <w:r w:rsidR="00446234" w:rsidRPr="00446234">
        <w:rPr>
          <w:rStyle w:val="A1"/>
          <w:rFonts w:asciiTheme="minorHAnsi" w:hAnsiTheme="minorHAnsi" w:cstheme="minorHAnsi"/>
          <w:sz w:val="24"/>
          <w:szCs w:val="24"/>
        </w:rPr>
        <w:t xml:space="preserve">Ashwin, P. (2015). Missionary </w:t>
      </w:r>
      <w:r w:rsidR="00446234" w:rsidRPr="000A5580">
        <w:rPr>
          <w:rStyle w:val="A1"/>
          <w:rFonts w:asciiTheme="minorHAnsi" w:hAnsiTheme="minorHAnsi" w:cstheme="minorHAnsi"/>
          <w:color w:val="auto"/>
          <w:sz w:val="24"/>
          <w:szCs w:val="24"/>
        </w:rPr>
        <w:t>zeal: some problems with the rhetoric, vision and approach of the AHELO project.</w:t>
      </w:r>
      <w:r w:rsidR="00446234" w:rsidRPr="000A5580">
        <w:rPr>
          <w:rStyle w:val="A1"/>
          <w:rFonts w:asciiTheme="minorHAnsi" w:hAnsiTheme="minorHAnsi" w:cstheme="minorHAnsi"/>
          <w:i/>
          <w:color w:val="auto"/>
          <w:sz w:val="24"/>
          <w:szCs w:val="24"/>
        </w:rPr>
        <w:t xml:space="preserve"> European Journal of Higher Education, </w:t>
      </w:r>
      <w:r w:rsidR="00446234" w:rsidRPr="000A5580">
        <w:rPr>
          <w:rStyle w:val="A1"/>
          <w:rFonts w:asciiTheme="minorHAnsi" w:hAnsiTheme="minorHAnsi" w:cstheme="minorHAnsi"/>
          <w:color w:val="auto"/>
          <w:sz w:val="24"/>
          <w:szCs w:val="24"/>
        </w:rPr>
        <w:t>5</w:t>
      </w:r>
      <w:r w:rsidR="00446234" w:rsidRPr="000A5580">
        <w:rPr>
          <w:rStyle w:val="A1"/>
          <w:rFonts w:asciiTheme="minorHAnsi" w:hAnsiTheme="minorHAnsi" w:cstheme="minorHAnsi"/>
          <w:i/>
          <w:color w:val="auto"/>
          <w:sz w:val="24"/>
          <w:szCs w:val="24"/>
        </w:rPr>
        <w:t xml:space="preserve">, </w:t>
      </w:r>
      <w:r w:rsidR="00446234" w:rsidRPr="000A5580">
        <w:rPr>
          <w:rStyle w:val="A1"/>
          <w:rFonts w:asciiTheme="minorHAnsi" w:hAnsiTheme="minorHAnsi" w:cstheme="minorHAnsi"/>
          <w:color w:val="auto"/>
          <w:sz w:val="24"/>
          <w:szCs w:val="24"/>
        </w:rPr>
        <w:t>437-444.</w:t>
      </w:r>
    </w:p>
    <w:p w:rsidR="00C66163" w:rsidRPr="000A5580" w:rsidRDefault="00C66163" w:rsidP="00446234">
      <w:pPr>
        <w:spacing w:line="480" w:lineRule="auto"/>
        <w:ind w:left="720" w:hanging="720"/>
        <w:rPr>
          <w:rFonts w:cstheme="minorHAnsi"/>
        </w:rPr>
      </w:pPr>
      <w:proofErr w:type="gramStart"/>
      <w:r w:rsidRPr="000A5580">
        <w:rPr>
          <w:rFonts w:cstheme="minorHAnsi"/>
        </w:rPr>
        <w:t xml:space="preserve">Ashwin, P., McLean, M., and Abbas, A. (2012) </w:t>
      </w:r>
      <w:r w:rsidRPr="000A5580">
        <w:rPr>
          <w:rStyle w:val="A0"/>
          <w:rFonts w:cstheme="minorHAnsi"/>
          <w:i/>
          <w:color w:val="auto"/>
          <w:sz w:val="24"/>
          <w:szCs w:val="24"/>
        </w:rPr>
        <w:t xml:space="preserve">Quality and Inequality in Undergraduate Courses: </w:t>
      </w:r>
      <w:r w:rsidRPr="000A5580">
        <w:rPr>
          <w:rStyle w:val="A1"/>
          <w:rFonts w:asciiTheme="minorHAnsi" w:hAnsiTheme="minorHAnsi" w:cstheme="minorHAnsi"/>
          <w:i/>
          <w:color w:val="auto"/>
          <w:sz w:val="24"/>
          <w:szCs w:val="24"/>
        </w:rPr>
        <w:t>A guide for national and institutional policy makers</w:t>
      </w:r>
      <w:r w:rsidRPr="000A5580">
        <w:rPr>
          <w:rStyle w:val="A1"/>
          <w:rFonts w:asciiTheme="minorHAnsi" w:hAnsiTheme="minorHAnsi" w:cstheme="minorHAnsi"/>
          <w:color w:val="auto"/>
          <w:sz w:val="24"/>
          <w:szCs w:val="24"/>
        </w:rPr>
        <w:t>.</w:t>
      </w:r>
      <w:proofErr w:type="gramEnd"/>
      <w:r w:rsidRPr="000A5580">
        <w:rPr>
          <w:rStyle w:val="A1"/>
          <w:rFonts w:asciiTheme="minorHAnsi" w:hAnsiTheme="minorHAnsi" w:cstheme="minorHAnsi"/>
          <w:color w:val="auto"/>
          <w:sz w:val="24"/>
          <w:szCs w:val="24"/>
        </w:rPr>
        <w:t xml:space="preserve"> Nottingham: University of Nottingham.</w:t>
      </w:r>
    </w:p>
    <w:p w:rsidR="00C66163" w:rsidRPr="000A5580" w:rsidRDefault="00C66163" w:rsidP="00446234">
      <w:pPr>
        <w:spacing w:after="120" w:line="480" w:lineRule="auto"/>
        <w:ind w:left="720" w:hanging="720"/>
        <w:rPr>
          <w:rFonts w:cs="Arial"/>
          <w:lang w:eastAsia="en-GB"/>
        </w:rPr>
      </w:pPr>
      <w:proofErr w:type="gramStart"/>
      <w:r w:rsidRPr="000A5580">
        <w:rPr>
          <w:rFonts w:cs="Arial"/>
          <w:lang w:eastAsia="en-GB"/>
        </w:rPr>
        <w:t>Ashwin, P., Abbas, A., &amp; McLean, M. (2014).</w:t>
      </w:r>
      <w:proofErr w:type="gramEnd"/>
      <w:r w:rsidRPr="000A5580">
        <w:rPr>
          <w:rFonts w:cs="Arial"/>
          <w:lang w:eastAsia="en-GB"/>
        </w:rPr>
        <w:t xml:space="preserve"> How do students’ accounts of sociology change over the course of their undergraduate degrees? </w:t>
      </w:r>
      <w:r w:rsidRPr="000A5580">
        <w:rPr>
          <w:rFonts w:cs="Arial"/>
          <w:i/>
          <w:iCs/>
          <w:lang w:eastAsia="en-GB"/>
        </w:rPr>
        <w:t>Higher Education</w:t>
      </w:r>
      <w:r w:rsidRPr="000A5580">
        <w:rPr>
          <w:rFonts w:cs="Arial"/>
          <w:lang w:eastAsia="en-GB"/>
        </w:rPr>
        <w:t xml:space="preserve">, </w:t>
      </w:r>
      <w:r w:rsidRPr="000A5580">
        <w:t>67: 219-234.</w:t>
      </w:r>
    </w:p>
    <w:p w:rsidR="00C66163" w:rsidRPr="000A5580" w:rsidRDefault="0010229D" w:rsidP="00446234">
      <w:pPr>
        <w:spacing w:after="120" w:line="480" w:lineRule="auto"/>
        <w:ind w:left="720" w:hanging="720"/>
        <w:jc w:val="both"/>
        <w:rPr>
          <w:rFonts w:cs="Arial"/>
          <w:lang w:eastAsia="en-GB"/>
        </w:rPr>
      </w:pPr>
      <w:hyperlink r:id="rId10" w:history="1">
        <w:proofErr w:type="gramStart"/>
        <w:r w:rsidR="00C66163" w:rsidRPr="000A5580">
          <w:rPr>
            <w:rFonts w:cs="Arial"/>
            <w:lang w:eastAsia="en-GB"/>
          </w:rPr>
          <w:t>Ashwin, P.</w:t>
        </w:r>
      </w:hyperlink>
      <w:r w:rsidR="00C66163" w:rsidRPr="000A5580">
        <w:rPr>
          <w:rFonts w:cs="Arial"/>
          <w:lang w:eastAsia="en-GB"/>
        </w:rPr>
        <w:t xml:space="preserve">, Boud, D., Coate, K., Hallett, F., Keane, E., Krause, K-L., Leibowitz, B., </w:t>
      </w:r>
      <w:proofErr w:type="spellStart"/>
      <w:r w:rsidR="00C66163" w:rsidRPr="000A5580">
        <w:rPr>
          <w:rFonts w:cs="Arial"/>
          <w:lang w:eastAsia="en-GB"/>
        </w:rPr>
        <w:t>MacLaren</w:t>
      </w:r>
      <w:proofErr w:type="spellEnd"/>
      <w:r w:rsidR="00C66163" w:rsidRPr="000A5580">
        <w:rPr>
          <w:rFonts w:cs="Arial"/>
          <w:lang w:eastAsia="en-GB"/>
        </w:rPr>
        <w:t>, I.</w:t>
      </w:r>
      <w:hyperlink r:id="rId11" w:history="1">
        <w:r w:rsidR="00C66163" w:rsidRPr="000A5580">
          <w:rPr>
            <w:rFonts w:cs="Arial"/>
            <w:lang w:eastAsia="en-GB"/>
          </w:rPr>
          <w:t>, McArthur, J</w:t>
        </w:r>
      </w:hyperlink>
      <w:r w:rsidR="00C66163" w:rsidRPr="000A5580">
        <w:rPr>
          <w:rFonts w:cs="Arial"/>
          <w:lang w:eastAsia="en-GB"/>
        </w:rPr>
        <w:t xml:space="preserve">, McCune, V. &amp; Tooher, M. (2015) </w:t>
      </w:r>
      <w:hyperlink r:id="rId12" w:history="1">
        <w:r w:rsidR="00C66163" w:rsidRPr="000A5580">
          <w:rPr>
            <w:rFonts w:cs="Arial"/>
            <w:i/>
            <w:lang w:eastAsia="en-GB"/>
          </w:rPr>
          <w:t>Reflective teaching in higher education</w:t>
        </w:r>
      </w:hyperlink>
      <w:r w:rsidR="00C66163" w:rsidRPr="000A5580">
        <w:rPr>
          <w:rFonts w:cs="Arial"/>
          <w:lang w:eastAsia="en-GB"/>
        </w:rPr>
        <w:t>.</w:t>
      </w:r>
      <w:proofErr w:type="gramEnd"/>
      <w:r w:rsidR="00C66163" w:rsidRPr="000A5580">
        <w:rPr>
          <w:rFonts w:cs="Arial"/>
          <w:lang w:eastAsia="en-GB"/>
        </w:rPr>
        <w:t xml:space="preserve"> London: Bloomsbury Academic.</w:t>
      </w:r>
    </w:p>
    <w:p w:rsidR="00C019EF" w:rsidRPr="000A5580" w:rsidRDefault="00C019EF" w:rsidP="00446234">
      <w:pPr>
        <w:autoSpaceDE w:val="0"/>
        <w:autoSpaceDN w:val="0"/>
        <w:adjustRightInd w:val="0"/>
        <w:spacing w:line="480" w:lineRule="auto"/>
        <w:ind w:left="720" w:hanging="720"/>
      </w:pPr>
      <w:proofErr w:type="spellStart"/>
      <w:proofErr w:type="gramStart"/>
      <w:r w:rsidRPr="000A5580">
        <w:t>Bradbeer</w:t>
      </w:r>
      <w:proofErr w:type="spellEnd"/>
      <w:r w:rsidRPr="000A5580">
        <w:t xml:space="preserve">, J., Healey, M. and </w:t>
      </w:r>
      <w:proofErr w:type="spellStart"/>
      <w:r w:rsidRPr="000A5580">
        <w:t>Kneale</w:t>
      </w:r>
      <w:proofErr w:type="spellEnd"/>
      <w:r w:rsidRPr="000A5580">
        <w:t>.</w:t>
      </w:r>
      <w:proofErr w:type="gramEnd"/>
      <w:r w:rsidRPr="000A5580">
        <w:t xml:space="preserve"> </w:t>
      </w:r>
      <w:proofErr w:type="gramStart"/>
      <w:r w:rsidRPr="000A5580">
        <w:t>P. (2004).</w:t>
      </w:r>
      <w:proofErr w:type="gramEnd"/>
      <w:r w:rsidRPr="000A5580">
        <w:t xml:space="preserve"> Undergraduate geographers' understandings of geography, learning and teaching: a </w:t>
      </w:r>
      <w:proofErr w:type="spellStart"/>
      <w:r w:rsidRPr="000A5580">
        <w:t>phenomenographic</w:t>
      </w:r>
      <w:proofErr w:type="spellEnd"/>
      <w:r w:rsidRPr="000A5580">
        <w:t xml:space="preserve"> study. </w:t>
      </w:r>
      <w:r w:rsidRPr="000A5580">
        <w:rPr>
          <w:i/>
        </w:rPr>
        <w:t>Journal of Geography in Higher Education</w:t>
      </w:r>
      <w:r w:rsidRPr="000A5580">
        <w:t>, 28: 17-34.</w:t>
      </w:r>
    </w:p>
    <w:p w:rsidR="00C66163" w:rsidRPr="000A5580" w:rsidRDefault="00C66163" w:rsidP="00446234">
      <w:pPr>
        <w:spacing w:line="480" w:lineRule="auto"/>
        <w:ind w:left="720" w:hanging="720"/>
        <w:rPr>
          <w:rFonts w:eastAsia="Times New Roman" w:cs="Arial"/>
          <w:lang w:eastAsia="en-GB"/>
        </w:rPr>
      </w:pPr>
      <w:r w:rsidRPr="000A5580">
        <w:rPr>
          <w:rFonts w:eastAsia="Times New Roman" w:cs="Arial"/>
          <w:lang w:eastAsia="en-GB"/>
        </w:rPr>
        <w:t xml:space="preserve">Hazelkorn, E. (2014). Reflections on a Decade of Global Rankings: what we've learned and outstanding issues. </w:t>
      </w:r>
      <w:r w:rsidRPr="000A5580">
        <w:rPr>
          <w:rFonts w:eastAsia="Times New Roman" w:cs="Arial"/>
          <w:i/>
          <w:iCs/>
          <w:lang w:eastAsia="en-GB"/>
        </w:rPr>
        <w:t>European Journal of Education</w:t>
      </w:r>
      <w:r w:rsidRPr="000A5580">
        <w:rPr>
          <w:rFonts w:eastAsia="Times New Roman" w:cs="Arial"/>
          <w:lang w:eastAsia="en-GB"/>
        </w:rPr>
        <w:t xml:space="preserve">, </w:t>
      </w:r>
      <w:r w:rsidRPr="000A5580">
        <w:rPr>
          <w:rFonts w:eastAsia="Times New Roman" w:cs="Arial"/>
          <w:i/>
          <w:iCs/>
          <w:lang w:eastAsia="en-GB"/>
        </w:rPr>
        <w:t>49</w:t>
      </w:r>
      <w:r w:rsidRPr="000A5580">
        <w:rPr>
          <w:rFonts w:eastAsia="Times New Roman" w:cs="Arial"/>
          <w:lang w:eastAsia="en-GB"/>
        </w:rPr>
        <w:t>: 12-28.</w:t>
      </w:r>
    </w:p>
    <w:p w:rsidR="006570AD" w:rsidRPr="000A5580" w:rsidRDefault="006570AD" w:rsidP="00446234">
      <w:pPr>
        <w:spacing w:line="480" w:lineRule="auto"/>
        <w:ind w:left="720" w:hanging="720"/>
        <w:rPr>
          <w:rFonts w:eastAsia="Times New Roman" w:cs="Arial"/>
          <w:lang w:eastAsia="en-GB" w:bidi="ar-SA"/>
        </w:rPr>
      </w:pPr>
      <w:proofErr w:type="spellStart"/>
      <w:proofErr w:type="gramStart"/>
      <w:r w:rsidRPr="00446234">
        <w:rPr>
          <w:rFonts w:eastAsia="Times New Roman" w:cs="Arial"/>
          <w:lang w:eastAsia="en-GB" w:bidi="ar-SA"/>
        </w:rPr>
        <w:t>Klemenčič</w:t>
      </w:r>
      <w:proofErr w:type="spellEnd"/>
      <w:r w:rsidRPr="00446234">
        <w:rPr>
          <w:rFonts w:eastAsia="Times New Roman" w:cs="Arial"/>
          <w:lang w:eastAsia="en-GB" w:bidi="ar-SA"/>
        </w:rPr>
        <w:t>, M., &amp; Ashwin, P. (2015).</w:t>
      </w:r>
      <w:proofErr w:type="gramEnd"/>
      <w:r w:rsidRPr="00446234">
        <w:rPr>
          <w:rFonts w:eastAsia="Times New Roman" w:cs="Arial"/>
          <w:lang w:eastAsia="en-GB" w:bidi="ar-SA"/>
        </w:rPr>
        <w:t xml:space="preserve"> Teaching and Learning: An Overview of the Thematic Section</w:t>
      </w:r>
      <w:r w:rsidRPr="000A5580">
        <w:rPr>
          <w:rFonts w:eastAsia="Times New Roman" w:cs="Arial"/>
          <w:lang w:eastAsia="en-GB" w:bidi="ar-SA"/>
        </w:rPr>
        <w:t>.</w:t>
      </w:r>
      <w:r w:rsidRPr="00446234">
        <w:rPr>
          <w:rFonts w:eastAsia="Times New Roman" w:cs="Arial"/>
          <w:lang w:eastAsia="en-GB" w:bidi="ar-SA"/>
        </w:rPr>
        <w:t xml:space="preserve"> In </w:t>
      </w:r>
      <w:proofErr w:type="spellStart"/>
      <w:r w:rsidRPr="000A5580">
        <w:rPr>
          <w:rFonts w:eastAsia="Times New Roman" w:cs="Arial"/>
          <w:lang w:eastAsia="en-GB" w:bidi="ar-SA"/>
        </w:rPr>
        <w:t>Curaj</w:t>
      </w:r>
      <w:proofErr w:type="spellEnd"/>
      <w:r w:rsidRPr="000A5580">
        <w:rPr>
          <w:rFonts w:eastAsia="Times New Roman" w:cs="Arial"/>
          <w:lang w:eastAsia="en-GB" w:bidi="ar-SA"/>
        </w:rPr>
        <w:t xml:space="preserve">, A., </w:t>
      </w:r>
      <w:proofErr w:type="spellStart"/>
      <w:r w:rsidRPr="000A5580">
        <w:rPr>
          <w:rFonts w:eastAsia="Times New Roman" w:cs="Arial"/>
          <w:lang w:eastAsia="en-GB" w:bidi="ar-SA"/>
        </w:rPr>
        <w:t>Matei</w:t>
      </w:r>
      <w:proofErr w:type="spellEnd"/>
      <w:r w:rsidRPr="000A5580">
        <w:rPr>
          <w:rFonts w:eastAsia="Times New Roman" w:cs="Arial"/>
          <w:lang w:eastAsia="en-GB" w:bidi="ar-SA"/>
        </w:rPr>
        <w:t xml:space="preserve">, L., </w:t>
      </w:r>
      <w:proofErr w:type="spellStart"/>
      <w:r w:rsidRPr="000A5580">
        <w:rPr>
          <w:rFonts w:eastAsia="Times New Roman" w:cs="Arial"/>
          <w:lang w:eastAsia="en-GB" w:bidi="ar-SA"/>
        </w:rPr>
        <w:t>Pricopie</w:t>
      </w:r>
      <w:proofErr w:type="spellEnd"/>
      <w:r w:rsidRPr="000A5580">
        <w:rPr>
          <w:rFonts w:eastAsia="Times New Roman" w:cs="Arial"/>
          <w:lang w:eastAsia="en-GB" w:bidi="ar-SA"/>
        </w:rPr>
        <w:t xml:space="preserve">, R., </w:t>
      </w:r>
      <w:proofErr w:type="spellStart"/>
      <w:r w:rsidRPr="000A5580">
        <w:rPr>
          <w:rFonts w:eastAsia="Times New Roman" w:cs="Arial"/>
          <w:lang w:eastAsia="en-GB" w:bidi="ar-SA"/>
        </w:rPr>
        <w:t>Salmi</w:t>
      </w:r>
      <w:proofErr w:type="spellEnd"/>
      <w:r w:rsidRPr="000A5580">
        <w:rPr>
          <w:rFonts w:eastAsia="Times New Roman" w:cs="Arial"/>
          <w:lang w:eastAsia="en-GB" w:bidi="ar-SA"/>
        </w:rPr>
        <w:t xml:space="preserve">, J., &amp; Scott, P. (eds.) </w:t>
      </w:r>
      <w:proofErr w:type="gramStart"/>
      <w:r w:rsidRPr="00446234">
        <w:rPr>
          <w:rFonts w:eastAsia="Times New Roman" w:cs="Arial"/>
          <w:i/>
          <w:iCs/>
          <w:lang w:eastAsia="en-GB" w:bidi="ar-SA"/>
        </w:rPr>
        <w:t>The</w:t>
      </w:r>
      <w:proofErr w:type="gramEnd"/>
      <w:r w:rsidRPr="00446234">
        <w:rPr>
          <w:rFonts w:eastAsia="Times New Roman" w:cs="Arial"/>
          <w:i/>
          <w:iCs/>
          <w:lang w:eastAsia="en-GB" w:bidi="ar-SA"/>
        </w:rPr>
        <w:t xml:space="preserve"> European Higher Education Area</w:t>
      </w:r>
      <w:r w:rsidRPr="00446234">
        <w:rPr>
          <w:rFonts w:eastAsia="Times New Roman" w:cs="Arial"/>
          <w:lang w:eastAsia="en-GB" w:bidi="ar-SA"/>
        </w:rPr>
        <w:t xml:space="preserve"> (pp. 315-324). </w:t>
      </w:r>
      <w:proofErr w:type="gramStart"/>
      <w:r w:rsidRPr="00446234">
        <w:rPr>
          <w:rFonts w:eastAsia="Times New Roman" w:cs="Arial"/>
          <w:lang w:eastAsia="en-GB" w:bidi="ar-SA"/>
        </w:rPr>
        <w:t>Springer International Publishing</w:t>
      </w:r>
      <w:r w:rsidRPr="000A5580">
        <w:rPr>
          <w:rFonts w:eastAsia="Times New Roman" w:cs="Arial"/>
          <w:lang w:eastAsia="en-GB" w:bidi="ar-SA"/>
        </w:rPr>
        <w:t>.</w:t>
      </w:r>
      <w:proofErr w:type="gramEnd"/>
    </w:p>
    <w:p w:rsidR="00D54747" w:rsidRPr="000A5580" w:rsidRDefault="00D54747" w:rsidP="00446234">
      <w:pPr>
        <w:spacing w:line="480" w:lineRule="auto"/>
        <w:ind w:left="720" w:hanging="720"/>
        <w:rPr>
          <w:rFonts w:eastAsia="Times New Roman" w:cs="Arial"/>
          <w:lang w:eastAsia="en-GB"/>
        </w:rPr>
      </w:pPr>
      <w:proofErr w:type="gramStart"/>
      <w:r w:rsidRPr="000A5580">
        <w:rPr>
          <w:rFonts w:eastAsia="Times New Roman" w:cs="Arial"/>
          <w:lang w:eastAsia="en-GB"/>
        </w:rPr>
        <w:lastRenderedPageBreak/>
        <w:t>McLean, M., Abbas, A., &amp; Ashwin, P. (2013).</w:t>
      </w:r>
      <w:proofErr w:type="gramEnd"/>
      <w:r w:rsidRPr="000A5580">
        <w:rPr>
          <w:rFonts w:eastAsia="Times New Roman" w:cs="Arial"/>
          <w:lang w:eastAsia="en-GB"/>
        </w:rPr>
        <w:t xml:space="preserve"> The use and value of Bernstein’s work in studying (in) equalities in undergraduate social science education. </w:t>
      </w:r>
      <w:r w:rsidRPr="000A5580">
        <w:rPr>
          <w:rFonts w:eastAsia="Times New Roman" w:cs="Arial"/>
          <w:i/>
          <w:lang w:eastAsia="en-GB"/>
        </w:rPr>
        <w:t>British Journal of Sociology of Education</w:t>
      </w:r>
      <w:r w:rsidRPr="000A5580">
        <w:rPr>
          <w:rFonts w:eastAsia="Times New Roman" w:cs="Arial"/>
          <w:lang w:eastAsia="en-GB"/>
        </w:rPr>
        <w:t>, 34(2), 262-280.</w:t>
      </w:r>
    </w:p>
    <w:p w:rsidR="00C66163" w:rsidRPr="000A5580" w:rsidRDefault="00C66163" w:rsidP="00446234">
      <w:pPr>
        <w:spacing w:line="480" w:lineRule="auto"/>
        <w:ind w:left="720" w:hanging="720"/>
      </w:pPr>
      <w:r w:rsidRPr="000A5580">
        <w:t xml:space="preserve">Morgan, J. (2015), OECD’s AHELO project could transform university hierarchy. </w:t>
      </w:r>
      <w:proofErr w:type="gramStart"/>
      <w:r w:rsidRPr="000A5580">
        <w:rPr>
          <w:i/>
        </w:rPr>
        <w:t>Times Higher Education,</w:t>
      </w:r>
      <w:r w:rsidRPr="000A5580">
        <w:t xml:space="preserve"> 7</w:t>
      </w:r>
      <w:r w:rsidRPr="000A5580">
        <w:rPr>
          <w:vertAlign w:val="superscript"/>
        </w:rPr>
        <w:t>th</w:t>
      </w:r>
      <w:r w:rsidRPr="000A5580">
        <w:t xml:space="preserve"> May 2015.</w:t>
      </w:r>
      <w:proofErr w:type="gramEnd"/>
      <w:r w:rsidRPr="000A5580">
        <w:t xml:space="preserve"> </w:t>
      </w:r>
      <w:proofErr w:type="gramStart"/>
      <w:r w:rsidRPr="000A5580">
        <w:t xml:space="preserve">(Downloaded on 19th August from </w:t>
      </w:r>
      <w:hyperlink r:id="rId13" w:history="1">
        <w:r w:rsidRPr="000A5580">
          <w:rPr>
            <w:rStyle w:val="Hyperlink"/>
            <w:color w:val="auto"/>
          </w:rPr>
          <w:t>https://www.timeshighereducation.co.uk/news/oecds-ahelo-project-could-transform-university-hierarchy/2020087.article</w:t>
        </w:r>
      </w:hyperlink>
      <w:r w:rsidRPr="000A5580">
        <w:t>).</w:t>
      </w:r>
      <w:proofErr w:type="gramEnd"/>
    </w:p>
    <w:p w:rsidR="00C66163" w:rsidRPr="000A5580" w:rsidRDefault="00C66163" w:rsidP="00446234">
      <w:pPr>
        <w:spacing w:line="480" w:lineRule="auto"/>
        <w:ind w:left="720" w:hanging="720"/>
        <w:rPr>
          <w:rFonts w:cs="Calibri,Bold"/>
          <w:bCs/>
        </w:rPr>
      </w:pPr>
      <w:r w:rsidRPr="000A5580">
        <w:rPr>
          <w:rFonts w:cs="AdvTT5843c571"/>
        </w:rPr>
        <w:t xml:space="preserve">OECD (2013a) </w:t>
      </w:r>
      <w:r w:rsidRPr="000A5580">
        <w:rPr>
          <w:rFonts w:cs="Calibri,Bold"/>
          <w:bCs/>
          <w:i/>
        </w:rPr>
        <w:t xml:space="preserve">Assessment of Higher Education Learning Outcomes Feasibility Study Report: Volume 2 – </w:t>
      </w:r>
      <w:r w:rsidRPr="000A5580">
        <w:rPr>
          <w:i/>
        </w:rPr>
        <w:t>Data Analysis and National Experiences</w:t>
      </w:r>
      <w:r w:rsidRPr="000A5580">
        <w:rPr>
          <w:rFonts w:cs="Calibri,Bold"/>
          <w:bCs/>
          <w:i/>
        </w:rPr>
        <w:t xml:space="preserve">. </w:t>
      </w:r>
      <w:r w:rsidRPr="000A5580">
        <w:rPr>
          <w:rFonts w:cs="Calibri,Bold"/>
          <w:bCs/>
        </w:rPr>
        <w:t>Paris: OECD.</w:t>
      </w:r>
    </w:p>
    <w:p w:rsidR="00C66163" w:rsidRPr="000A5580" w:rsidRDefault="00C66163" w:rsidP="00446234">
      <w:pPr>
        <w:spacing w:line="480" w:lineRule="auto"/>
        <w:ind w:left="720" w:hanging="720"/>
        <w:rPr>
          <w:rFonts w:cs="Calibri,Bold"/>
          <w:bCs/>
        </w:rPr>
      </w:pPr>
      <w:r w:rsidRPr="000A5580">
        <w:rPr>
          <w:rFonts w:cs="AdvTT5843c571"/>
        </w:rPr>
        <w:t xml:space="preserve">OECD (2013b) </w:t>
      </w:r>
      <w:r w:rsidRPr="000A5580">
        <w:rPr>
          <w:rFonts w:cs="Calibri,Bold"/>
          <w:bCs/>
          <w:i/>
        </w:rPr>
        <w:t xml:space="preserve">Assessment of Higher Education Learning Outcomes Feasibility Study Report: Volume 3 – </w:t>
      </w:r>
      <w:r w:rsidRPr="000A5580">
        <w:rPr>
          <w:i/>
        </w:rPr>
        <w:t>Further Insights</w:t>
      </w:r>
      <w:r w:rsidRPr="000A5580">
        <w:rPr>
          <w:rFonts w:cs="Calibri,Bold"/>
          <w:bCs/>
          <w:i/>
        </w:rPr>
        <w:t xml:space="preserve">. </w:t>
      </w:r>
      <w:r w:rsidRPr="000A5580">
        <w:rPr>
          <w:rFonts w:cs="Calibri,Bold"/>
          <w:bCs/>
        </w:rPr>
        <w:t>Paris: OECD.</w:t>
      </w:r>
    </w:p>
    <w:p w:rsidR="00A30D49" w:rsidRPr="000A5580" w:rsidRDefault="00A30D49" w:rsidP="00446234">
      <w:pPr>
        <w:spacing w:line="480" w:lineRule="auto"/>
        <w:ind w:left="720" w:hanging="720"/>
      </w:pPr>
      <w:r w:rsidRPr="000A5580">
        <w:rPr>
          <w:bCs/>
          <w:iCs/>
        </w:rPr>
        <w:t xml:space="preserve">Reid, A. (2001). </w:t>
      </w:r>
      <w:proofErr w:type="gramStart"/>
      <w:r w:rsidRPr="000A5580">
        <w:rPr>
          <w:bCs/>
          <w:iCs/>
        </w:rPr>
        <w:t>Variation in the ways that instrumental and vocal students experience learning music.</w:t>
      </w:r>
      <w:proofErr w:type="gramEnd"/>
      <w:r w:rsidRPr="000A5580">
        <w:rPr>
          <w:i/>
        </w:rPr>
        <w:t xml:space="preserve"> Music Education Research</w:t>
      </w:r>
      <w:r w:rsidRPr="000A5580">
        <w:t xml:space="preserve">, 3: 25-40. </w:t>
      </w:r>
    </w:p>
    <w:p w:rsidR="00A30D49" w:rsidRPr="000A5580" w:rsidRDefault="00A30D49" w:rsidP="00446234">
      <w:pPr>
        <w:autoSpaceDE w:val="0"/>
        <w:autoSpaceDN w:val="0"/>
        <w:adjustRightInd w:val="0"/>
        <w:spacing w:line="480" w:lineRule="auto"/>
        <w:ind w:left="720" w:hanging="720"/>
        <w:rPr>
          <w:b/>
          <w:bCs/>
          <w:i/>
          <w:iCs/>
        </w:rPr>
      </w:pPr>
      <w:proofErr w:type="gramStart"/>
      <w:r w:rsidRPr="000A5580">
        <w:t xml:space="preserve">Reid, A., </w:t>
      </w:r>
      <w:proofErr w:type="spellStart"/>
      <w:r w:rsidRPr="000A5580">
        <w:t>Nagarajan</w:t>
      </w:r>
      <w:proofErr w:type="spellEnd"/>
      <w:r w:rsidRPr="000A5580">
        <w:t xml:space="preserve">, V. and </w:t>
      </w:r>
      <w:proofErr w:type="spellStart"/>
      <w:r w:rsidRPr="000A5580">
        <w:t>Dortins</w:t>
      </w:r>
      <w:proofErr w:type="spellEnd"/>
      <w:r w:rsidRPr="000A5580">
        <w:t>, E. (2006).</w:t>
      </w:r>
      <w:proofErr w:type="gramEnd"/>
      <w:r w:rsidRPr="000A5580">
        <w:t xml:space="preserve"> </w:t>
      </w:r>
      <w:proofErr w:type="gramStart"/>
      <w:r w:rsidRPr="000A5580">
        <w:t xml:space="preserve">The experience of </w:t>
      </w:r>
      <w:r w:rsidRPr="000A5580">
        <w:rPr>
          <w:bCs/>
          <w:iCs/>
        </w:rPr>
        <w:t>becoming a legal professional.</w:t>
      </w:r>
      <w:proofErr w:type="gramEnd"/>
      <w:r w:rsidRPr="000A5580">
        <w:rPr>
          <w:bCs/>
          <w:iCs/>
        </w:rPr>
        <w:t xml:space="preserve"> </w:t>
      </w:r>
      <w:r w:rsidRPr="000A5580">
        <w:rPr>
          <w:bCs/>
          <w:i/>
          <w:iCs/>
        </w:rPr>
        <w:t>Higher Education Research &amp; Development</w:t>
      </w:r>
      <w:r w:rsidRPr="000A5580">
        <w:rPr>
          <w:bCs/>
          <w:iCs/>
        </w:rPr>
        <w:t>, 25: 85-99.</w:t>
      </w:r>
    </w:p>
    <w:p w:rsidR="00446234" w:rsidRPr="00446234" w:rsidRDefault="00446234" w:rsidP="00446234">
      <w:pPr>
        <w:spacing w:line="480" w:lineRule="auto"/>
        <w:ind w:left="709" w:hanging="709"/>
        <w:rPr>
          <w:rFonts w:eastAsia="Times New Roman" w:cs="Arial"/>
          <w:lang w:eastAsia="en-GB" w:bidi="ar-SA"/>
        </w:rPr>
      </w:pPr>
      <w:proofErr w:type="gramStart"/>
      <w:r w:rsidRPr="00446234">
        <w:rPr>
          <w:rFonts w:eastAsia="Times New Roman" w:cs="Arial"/>
          <w:lang w:eastAsia="en-GB" w:bidi="ar-SA"/>
        </w:rPr>
        <w:t>Sin, C. (2015).</w:t>
      </w:r>
      <w:proofErr w:type="gramEnd"/>
      <w:r w:rsidRPr="00446234">
        <w:rPr>
          <w:rFonts w:eastAsia="Times New Roman" w:cs="Arial"/>
          <w:lang w:eastAsia="en-GB" w:bidi="ar-SA"/>
        </w:rPr>
        <w:t xml:space="preserve"> Teaching and Learning: A Journey from the Margins to the Core in European Higher Education Policy. </w:t>
      </w:r>
      <w:r w:rsidRPr="00446234">
        <w:rPr>
          <w:rFonts w:eastAsia="Times New Roman" w:cs="Arial"/>
          <w:lang w:eastAsia="en-GB" w:bidi="ar-SA"/>
        </w:rPr>
        <w:t xml:space="preserve">In </w:t>
      </w:r>
      <w:proofErr w:type="spellStart"/>
      <w:r w:rsidRPr="000A5580">
        <w:rPr>
          <w:rFonts w:eastAsia="Times New Roman" w:cs="Arial"/>
          <w:lang w:eastAsia="en-GB" w:bidi="ar-SA"/>
        </w:rPr>
        <w:t>Curaj</w:t>
      </w:r>
      <w:proofErr w:type="spellEnd"/>
      <w:r w:rsidRPr="000A5580">
        <w:rPr>
          <w:rFonts w:eastAsia="Times New Roman" w:cs="Arial"/>
          <w:lang w:eastAsia="en-GB" w:bidi="ar-SA"/>
        </w:rPr>
        <w:t xml:space="preserve">, A., </w:t>
      </w:r>
      <w:proofErr w:type="spellStart"/>
      <w:r w:rsidRPr="000A5580">
        <w:rPr>
          <w:rFonts w:eastAsia="Times New Roman" w:cs="Arial"/>
          <w:lang w:eastAsia="en-GB" w:bidi="ar-SA"/>
        </w:rPr>
        <w:t>Matei</w:t>
      </w:r>
      <w:proofErr w:type="spellEnd"/>
      <w:r w:rsidRPr="000A5580">
        <w:rPr>
          <w:rFonts w:eastAsia="Times New Roman" w:cs="Arial"/>
          <w:lang w:eastAsia="en-GB" w:bidi="ar-SA"/>
        </w:rPr>
        <w:t xml:space="preserve">, L., </w:t>
      </w:r>
      <w:proofErr w:type="spellStart"/>
      <w:r w:rsidRPr="000A5580">
        <w:rPr>
          <w:rFonts w:eastAsia="Times New Roman" w:cs="Arial"/>
          <w:lang w:eastAsia="en-GB" w:bidi="ar-SA"/>
        </w:rPr>
        <w:t>Pricopie</w:t>
      </w:r>
      <w:proofErr w:type="spellEnd"/>
      <w:r w:rsidRPr="000A5580">
        <w:rPr>
          <w:rFonts w:eastAsia="Times New Roman" w:cs="Arial"/>
          <w:lang w:eastAsia="en-GB" w:bidi="ar-SA"/>
        </w:rPr>
        <w:t xml:space="preserve">, R., </w:t>
      </w:r>
      <w:proofErr w:type="spellStart"/>
      <w:r w:rsidRPr="000A5580">
        <w:rPr>
          <w:rFonts w:eastAsia="Times New Roman" w:cs="Arial"/>
          <w:lang w:eastAsia="en-GB" w:bidi="ar-SA"/>
        </w:rPr>
        <w:t>Salmi</w:t>
      </w:r>
      <w:proofErr w:type="spellEnd"/>
      <w:r w:rsidRPr="000A5580">
        <w:rPr>
          <w:rFonts w:eastAsia="Times New Roman" w:cs="Arial"/>
          <w:lang w:eastAsia="en-GB" w:bidi="ar-SA"/>
        </w:rPr>
        <w:t>, J., &amp; Scott, P. (eds.</w:t>
      </w:r>
      <w:proofErr w:type="gramStart"/>
      <w:r w:rsidRPr="000A5580">
        <w:rPr>
          <w:rFonts w:eastAsia="Times New Roman" w:cs="Arial"/>
          <w:lang w:eastAsia="en-GB" w:bidi="ar-SA"/>
        </w:rPr>
        <w:t xml:space="preserve">) </w:t>
      </w:r>
      <w:r w:rsidRPr="00446234">
        <w:rPr>
          <w:rFonts w:eastAsia="Times New Roman" w:cs="Arial"/>
          <w:lang w:eastAsia="en-GB" w:bidi="ar-SA"/>
        </w:rPr>
        <w:t xml:space="preserve"> </w:t>
      </w:r>
      <w:r w:rsidRPr="00446234">
        <w:rPr>
          <w:rFonts w:eastAsia="Times New Roman" w:cs="Arial"/>
          <w:i/>
          <w:iCs/>
          <w:lang w:eastAsia="en-GB" w:bidi="ar-SA"/>
        </w:rPr>
        <w:t>The</w:t>
      </w:r>
      <w:proofErr w:type="gramEnd"/>
      <w:r w:rsidRPr="00446234">
        <w:rPr>
          <w:rFonts w:eastAsia="Times New Roman" w:cs="Arial"/>
          <w:i/>
          <w:iCs/>
          <w:lang w:eastAsia="en-GB" w:bidi="ar-SA"/>
        </w:rPr>
        <w:t xml:space="preserve"> European Higher Education Area</w:t>
      </w:r>
      <w:r w:rsidRPr="00446234">
        <w:rPr>
          <w:rFonts w:eastAsia="Times New Roman" w:cs="Arial"/>
          <w:lang w:eastAsia="en-GB" w:bidi="ar-SA"/>
        </w:rPr>
        <w:t xml:space="preserve"> (pp. 325-341). </w:t>
      </w:r>
      <w:proofErr w:type="gramStart"/>
      <w:r w:rsidRPr="00446234">
        <w:rPr>
          <w:rFonts w:eastAsia="Times New Roman" w:cs="Arial"/>
          <w:lang w:eastAsia="en-GB" w:bidi="ar-SA"/>
        </w:rPr>
        <w:t>Springer International Publishing.</w:t>
      </w:r>
      <w:proofErr w:type="gramEnd"/>
    </w:p>
    <w:p w:rsidR="00A30D49" w:rsidRPr="000A5580" w:rsidRDefault="00A30D49" w:rsidP="00446234">
      <w:pPr>
        <w:autoSpaceDE w:val="0"/>
        <w:autoSpaceDN w:val="0"/>
        <w:adjustRightInd w:val="0"/>
        <w:spacing w:line="480" w:lineRule="auto"/>
        <w:ind w:left="720" w:hanging="720"/>
      </w:pPr>
      <w:r w:rsidRPr="000A5580">
        <w:t xml:space="preserve">Sin, S., Reid, A. and Jones, A.  (2012). </w:t>
      </w:r>
      <w:proofErr w:type="gramStart"/>
      <w:r w:rsidRPr="000A5580">
        <w:t>An</w:t>
      </w:r>
      <w:proofErr w:type="gramEnd"/>
      <w:r w:rsidRPr="000A5580">
        <w:t xml:space="preserve"> exploration of students' conceptions of accounting work. </w:t>
      </w:r>
      <w:proofErr w:type="gramStart"/>
      <w:r w:rsidRPr="000A5580">
        <w:rPr>
          <w:i/>
        </w:rPr>
        <w:t>Accounting Education: An International Journal</w:t>
      </w:r>
      <w:r w:rsidRPr="000A5580">
        <w:t>, 21: 323-340.</w:t>
      </w:r>
      <w:proofErr w:type="gramEnd"/>
    </w:p>
    <w:p w:rsidR="00A30D49" w:rsidRPr="000A5580" w:rsidRDefault="00A30D49" w:rsidP="00446234">
      <w:pPr>
        <w:spacing w:line="480" w:lineRule="auto"/>
        <w:ind w:left="720" w:hanging="720"/>
      </w:pPr>
      <w:proofErr w:type="gramStart"/>
      <w:r w:rsidRPr="000A5580">
        <w:t>Stokes, A. (2011).</w:t>
      </w:r>
      <w:proofErr w:type="gramEnd"/>
      <w:r w:rsidRPr="000A5580">
        <w:t xml:space="preserve"> </w:t>
      </w:r>
      <w:hyperlink r:id="rId14" w:history="1">
        <w:proofErr w:type="gramStart"/>
        <w:r w:rsidRPr="000A5580">
          <w:t xml:space="preserve">A </w:t>
        </w:r>
        <w:proofErr w:type="spellStart"/>
        <w:r w:rsidRPr="000A5580">
          <w:t>phenomenographic</w:t>
        </w:r>
        <w:proofErr w:type="spellEnd"/>
        <w:r w:rsidRPr="000A5580">
          <w:t xml:space="preserve"> approach to investigating students' conceptions of geoscience as an academic discipline</w:t>
        </w:r>
      </w:hyperlink>
      <w:r w:rsidRPr="000A5580">
        <w:t>.</w:t>
      </w:r>
      <w:proofErr w:type="gramEnd"/>
      <w:r w:rsidRPr="000A5580">
        <w:t xml:space="preserve"> In A. Feig and A. Stokes (Eds.) Qualitative </w:t>
      </w:r>
      <w:r w:rsidRPr="000A5580">
        <w:lastRenderedPageBreak/>
        <w:t xml:space="preserve">enquiry in </w:t>
      </w:r>
      <w:r w:rsidRPr="000A5580">
        <w:rPr>
          <w:i/>
        </w:rPr>
        <w:t>Geoscience education research: Geological Society of America Special paper 474 (</w:t>
      </w:r>
      <w:r w:rsidRPr="000A5580">
        <w:t>pp.23-35). Boulder, Colorado: Geological Society of America.</w:t>
      </w:r>
    </w:p>
    <w:p w:rsidR="00C66163" w:rsidRPr="000A5580" w:rsidRDefault="00C66163" w:rsidP="00446234">
      <w:pPr>
        <w:autoSpaceDE w:val="0"/>
        <w:autoSpaceDN w:val="0"/>
        <w:adjustRightInd w:val="0"/>
        <w:spacing w:line="480" w:lineRule="auto"/>
        <w:ind w:left="720" w:hanging="720"/>
        <w:rPr>
          <w:rFonts w:cs="Calibri,Bold"/>
          <w:bCs/>
        </w:rPr>
      </w:pPr>
      <w:r w:rsidRPr="000A5580">
        <w:rPr>
          <w:rFonts w:cs="Calibri,Bold"/>
          <w:bCs/>
        </w:rPr>
        <w:t xml:space="preserve">Tremblay, K., </w:t>
      </w:r>
      <w:proofErr w:type="spellStart"/>
      <w:r w:rsidRPr="000A5580">
        <w:rPr>
          <w:rFonts w:cs="Calibri,Bold"/>
          <w:bCs/>
        </w:rPr>
        <w:t>Lalancette</w:t>
      </w:r>
      <w:proofErr w:type="spellEnd"/>
      <w:r w:rsidRPr="000A5580">
        <w:rPr>
          <w:rFonts w:cs="Calibri,Bold"/>
          <w:bCs/>
        </w:rPr>
        <w:t xml:space="preserve">, D., and </w:t>
      </w:r>
      <w:proofErr w:type="spellStart"/>
      <w:r w:rsidRPr="000A5580">
        <w:rPr>
          <w:rFonts w:cs="Calibri,Bold"/>
          <w:bCs/>
        </w:rPr>
        <w:t>Roseveare</w:t>
      </w:r>
      <w:proofErr w:type="spellEnd"/>
      <w:r w:rsidRPr="000A5580">
        <w:rPr>
          <w:rFonts w:cs="Calibri,Bold"/>
          <w:bCs/>
        </w:rPr>
        <w:t xml:space="preserve">, D. (2012) </w:t>
      </w:r>
      <w:r w:rsidRPr="000A5580">
        <w:rPr>
          <w:rFonts w:cs="Calibri,Bold"/>
          <w:bCs/>
          <w:i/>
        </w:rPr>
        <w:t xml:space="preserve">Assessment of Higher Education Learning Outcomes Feasibility Study Report: Volume 1 – Design and Implementation. </w:t>
      </w:r>
      <w:r w:rsidRPr="000A5580">
        <w:rPr>
          <w:rFonts w:cs="Calibri,Bold"/>
          <w:bCs/>
        </w:rPr>
        <w:t>Paris: OECD.</w:t>
      </w:r>
    </w:p>
    <w:p w:rsidR="00A30D49" w:rsidRPr="000A5580" w:rsidRDefault="00A30D49" w:rsidP="00446234">
      <w:pPr>
        <w:spacing w:line="480" w:lineRule="auto"/>
        <w:ind w:left="720" w:hanging="720"/>
      </w:pPr>
      <w:proofErr w:type="gramStart"/>
      <w:r w:rsidRPr="000A5580">
        <w:t>van</w:t>
      </w:r>
      <w:proofErr w:type="gramEnd"/>
      <w:r w:rsidRPr="000A5580">
        <w:t xml:space="preserve"> Rossum, E. and Hamer, R. (2010). </w:t>
      </w:r>
      <w:r w:rsidRPr="000A5580">
        <w:rPr>
          <w:i/>
        </w:rPr>
        <w:t>The meaning of learning and knowing</w:t>
      </w:r>
      <w:r w:rsidRPr="000A5580">
        <w:t xml:space="preserve">. Rotterdam: </w:t>
      </w:r>
      <w:proofErr w:type="spellStart"/>
      <w:r w:rsidRPr="000A5580">
        <w:t>SensePublishers</w:t>
      </w:r>
      <w:proofErr w:type="spellEnd"/>
      <w:r w:rsidRPr="000A5580">
        <w:t xml:space="preserve">. </w:t>
      </w:r>
    </w:p>
    <w:p w:rsidR="005A06D2" w:rsidRPr="000A5580" w:rsidRDefault="00A30D49" w:rsidP="00446234">
      <w:pPr>
        <w:spacing w:line="480" w:lineRule="auto"/>
        <w:ind w:left="720" w:hanging="720"/>
      </w:pPr>
      <w:proofErr w:type="gramStart"/>
      <w:r w:rsidRPr="000A5580">
        <w:t xml:space="preserve">Wood, L., </w:t>
      </w:r>
      <w:proofErr w:type="spellStart"/>
      <w:r w:rsidRPr="000A5580">
        <w:t>Petocz</w:t>
      </w:r>
      <w:proofErr w:type="spellEnd"/>
      <w:r w:rsidRPr="000A5580">
        <w:t>, P. and Reid, A. (2012).</w:t>
      </w:r>
      <w:proofErr w:type="gramEnd"/>
      <w:r w:rsidRPr="000A5580">
        <w:t xml:space="preserve"> </w:t>
      </w:r>
      <w:proofErr w:type="gramStart"/>
      <w:r w:rsidRPr="000A5580">
        <w:rPr>
          <w:i/>
        </w:rPr>
        <w:t>Becoming a mathematician: an international perspective.</w:t>
      </w:r>
      <w:proofErr w:type="gramEnd"/>
      <w:r w:rsidRPr="000A5580">
        <w:rPr>
          <w:i/>
        </w:rPr>
        <w:t xml:space="preserve"> </w:t>
      </w:r>
      <w:r w:rsidRPr="000A5580">
        <w:t>Dordrecht:</w:t>
      </w:r>
      <w:r w:rsidRPr="000A5580">
        <w:rPr>
          <w:i/>
        </w:rPr>
        <w:t xml:space="preserve"> </w:t>
      </w:r>
      <w:r w:rsidRPr="000A5580">
        <w:t>Springer.</w:t>
      </w:r>
    </w:p>
    <w:p w:rsidR="006A53F2" w:rsidRDefault="006A53F2" w:rsidP="00446234">
      <w:pPr>
        <w:spacing w:line="480" w:lineRule="auto"/>
        <w:ind w:left="720" w:hanging="720"/>
      </w:pPr>
    </w:p>
    <w:sectPr w:rsidR="006A53F2" w:rsidSect="006A53F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25" w:rsidRDefault="00DF6625" w:rsidP="00272B8A">
      <w:r>
        <w:separator/>
      </w:r>
    </w:p>
  </w:endnote>
  <w:endnote w:type="continuationSeparator" w:id="0">
    <w:p w:rsidR="00DF6625" w:rsidRDefault="00DF6625" w:rsidP="0027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Medium">
    <w:altName w:val="Akzidenz Grotesk BE Medium"/>
    <w:panose1 w:val="00000000000000000000"/>
    <w:charset w:val="00"/>
    <w:family w:val="swiss"/>
    <w:notTrueType/>
    <w:pitch w:val="default"/>
    <w:sig w:usb0="00000003" w:usb1="00000000" w:usb2="00000000" w:usb3="00000000" w:csb0="00000001"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0409"/>
      <w:docPartObj>
        <w:docPartGallery w:val="Page Numbers (Bottom of Page)"/>
        <w:docPartUnique/>
      </w:docPartObj>
    </w:sdtPr>
    <w:sdtEndPr/>
    <w:sdtContent>
      <w:p w:rsidR="00A223AC" w:rsidRDefault="001022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223AC" w:rsidRDefault="00A2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25" w:rsidRDefault="00DF6625" w:rsidP="00272B8A">
      <w:r>
        <w:separator/>
      </w:r>
    </w:p>
  </w:footnote>
  <w:footnote w:type="continuationSeparator" w:id="0">
    <w:p w:rsidR="00DF6625" w:rsidRDefault="00DF6625" w:rsidP="0027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8A2"/>
    <w:multiLevelType w:val="hybridMultilevel"/>
    <w:tmpl w:val="B3D8ECEA"/>
    <w:lvl w:ilvl="0" w:tplc="612C491E">
      <w:start w:val="1"/>
      <w:numFmt w:val="bullet"/>
      <w:lvlText w:val=""/>
      <w:lvlJc w:val="left"/>
      <w:pPr>
        <w:tabs>
          <w:tab w:val="num" w:pos="720"/>
        </w:tabs>
        <w:ind w:left="720" w:hanging="360"/>
      </w:pPr>
      <w:rPr>
        <w:rFonts w:ascii="Wingdings" w:hAnsi="Wingdings" w:hint="default"/>
      </w:rPr>
    </w:lvl>
    <w:lvl w:ilvl="1" w:tplc="7250E584" w:tentative="1">
      <w:start w:val="1"/>
      <w:numFmt w:val="bullet"/>
      <w:lvlText w:val=""/>
      <w:lvlJc w:val="left"/>
      <w:pPr>
        <w:tabs>
          <w:tab w:val="num" w:pos="1440"/>
        </w:tabs>
        <w:ind w:left="1440" w:hanging="360"/>
      </w:pPr>
      <w:rPr>
        <w:rFonts w:ascii="Wingdings" w:hAnsi="Wingdings" w:hint="default"/>
      </w:rPr>
    </w:lvl>
    <w:lvl w:ilvl="2" w:tplc="AC8E4DD8" w:tentative="1">
      <w:start w:val="1"/>
      <w:numFmt w:val="bullet"/>
      <w:lvlText w:val=""/>
      <w:lvlJc w:val="left"/>
      <w:pPr>
        <w:tabs>
          <w:tab w:val="num" w:pos="2160"/>
        </w:tabs>
        <w:ind w:left="2160" w:hanging="360"/>
      </w:pPr>
      <w:rPr>
        <w:rFonts w:ascii="Wingdings" w:hAnsi="Wingdings" w:hint="default"/>
      </w:rPr>
    </w:lvl>
    <w:lvl w:ilvl="3" w:tplc="C3B810F6" w:tentative="1">
      <w:start w:val="1"/>
      <w:numFmt w:val="bullet"/>
      <w:lvlText w:val=""/>
      <w:lvlJc w:val="left"/>
      <w:pPr>
        <w:tabs>
          <w:tab w:val="num" w:pos="2880"/>
        </w:tabs>
        <w:ind w:left="2880" w:hanging="360"/>
      </w:pPr>
      <w:rPr>
        <w:rFonts w:ascii="Wingdings" w:hAnsi="Wingdings" w:hint="default"/>
      </w:rPr>
    </w:lvl>
    <w:lvl w:ilvl="4" w:tplc="FC2A5E9A" w:tentative="1">
      <w:start w:val="1"/>
      <w:numFmt w:val="bullet"/>
      <w:lvlText w:val=""/>
      <w:lvlJc w:val="left"/>
      <w:pPr>
        <w:tabs>
          <w:tab w:val="num" w:pos="3600"/>
        </w:tabs>
        <w:ind w:left="3600" w:hanging="360"/>
      </w:pPr>
      <w:rPr>
        <w:rFonts w:ascii="Wingdings" w:hAnsi="Wingdings" w:hint="default"/>
      </w:rPr>
    </w:lvl>
    <w:lvl w:ilvl="5" w:tplc="AC920FE6" w:tentative="1">
      <w:start w:val="1"/>
      <w:numFmt w:val="bullet"/>
      <w:lvlText w:val=""/>
      <w:lvlJc w:val="left"/>
      <w:pPr>
        <w:tabs>
          <w:tab w:val="num" w:pos="4320"/>
        </w:tabs>
        <w:ind w:left="4320" w:hanging="360"/>
      </w:pPr>
      <w:rPr>
        <w:rFonts w:ascii="Wingdings" w:hAnsi="Wingdings" w:hint="default"/>
      </w:rPr>
    </w:lvl>
    <w:lvl w:ilvl="6" w:tplc="6EF4E77E" w:tentative="1">
      <w:start w:val="1"/>
      <w:numFmt w:val="bullet"/>
      <w:lvlText w:val=""/>
      <w:lvlJc w:val="left"/>
      <w:pPr>
        <w:tabs>
          <w:tab w:val="num" w:pos="5040"/>
        </w:tabs>
        <w:ind w:left="5040" w:hanging="360"/>
      </w:pPr>
      <w:rPr>
        <w:rFonts w:ascii="Wingdings" w:hAnsi="Wingdings" w:hint="default"/>
      </w:rPr>
    </w:lvl>
    <w:lvl w:ilvl="7" w:tplc="4DC04D9E" w:tentative="1">
      <w:start w:val="1"/>
      <w:numFmt w:val="bullet"/>
      <w:lvlText w:val=""/>
      <w:lvlJc w:val="left"/>
      <w:pPr>
        <w:tabs>
          <w:tab w:val="num" w:pos="5760"/>
        </w:tabs>
        <w:ind w:left="5760" w:hanging="360"/>
      </w:pPr>
      <w:rPr>
        <w:rFonts w:ascii="Wingdings" w:hAnsi="Wingdings" w:hint="default"/>
      </w:rPr>
    </w:lvl>
    <w:lvl w:ilvl="8" w:tplc="10747676" w:tentative="1">
      <w:start w:val="1"/>
      <w:numFmt w:val="bullet"/>
      <w:lvlText w:val=""/>
      <w:lvlJc w:val="left"/>
      <w:pPr>
        <w:tabs>
          <w:tab w:val="num" w:pos="6480"/>
        </w:tabs>
        <w:ind w:left="6480" w:hanging="360"/>
      </w:pPr>
      <w:rPr>
        <w:rFonts w:ascii="Wingdings" w:hAnsi="Wingdings" w:hint="default"/>
      </w:rPr>
    </w:lvl>
  </w:abstractNum>
  <w:abstractNum w:abstractNumId="1">
    <w:nsid w:val="3EA215EE"/>
    <w:multiLevelType w:val="hybridMultilevel"/>
    <w:tmpl w:val="E7B0DFCA"/>
    <w:lvl w:ilvl="0" w:tplc="EA98808E">
      <w:start w:val="1"/>
      <w:numFmt w:val="bullet"/>
      <w:lvlText w:val=""/>
      <w:lvlJc w:val="left"/>
      <w:pPr>
        <w:tabs>
          <w:tab w:val="num" w:pos="720"/>
        </w:tabs>
        <w:ind w:left="720" w:hanging="360"/>
      </w:pPr>
      <w:rPr>
        <w:rFonts w:ascii="Wingdings" w:hAnsi="Wingdings" w:hint="default"/>
      </w:rPr>
    </w:lvl>
    <w:lvl w:ilvl="1" w:tplc="41689CAE" w:tentative="1">
      <w:start w:val="1"/>
      <w:numFmt w:val="bullet"/>
      <w:lvlText w:val=""/>
      <w:lvlJc w:val="left"/>
      <w:pPr>
        <w:tabs>
          <w:tab w:val="num" w:pos="1440"/>
        </w:tabs>
        <w:ind w:left="1440" w:hanging="360"/>
      </w:pPr>
      <w:rPr>
        <w:rFonts w:ascii="Wingdings" w:hAnsi="Wingdings" w:hint="default"/>
      </w:rPr>
    </w:lvl>
    <w:lvl w:ilvl="2" w:tplc="4394EB0E" w:tentative="1">
      <w:start w:val="1"/>
      <w:numFmt w:val="bullet"/>
      <w:lvlText w:val=""/>
      <w:lvlJc w:val="left"/>
      <w:pPr>
        <w:tabs>
          <w:tab w:val="num" w:pos="2160"/>
        </w:tabs>
        <w:ind w:left="2160" w:hanging="360"/>
      </w:pPr>
      <w:rPr>
        <w:rFonts w:ascii="Wingdings" w:hAnsi="Wingdings" w:hint="default"/>
      </w:rPr>
    </w:lvl>
    <w:lvl w:ilvl="3" w:tplc="3508D18A" w:tentative="1">
      <w:start w:val="1"/>
      <w:numFmt w:val="bullet"/>
      <w:lvlText w:val=""/>
      <w:lvlJc w:val="left"/>
      <w:pPr>
        <w:tabs>
          <w:tab w:val="num" w:pos="2880"/>
        </w:tabs>
        <w:ind w:left="2880" w:hanging="360"/>
      </w:pPr>
      <w:rPr>
        <w:rFonts w:ascii="Wingdings" w:hAnsi="Wingdings" w:hint="default"/>
      </w:rPr>
    </w:lvl>
    <w:lvl w:ilvl="4" w:tplc="2160D154" w:tentative="1">
      <w:start w:val="1"/>
      <w:numFmt w:val="bullet"/>
      <w:lvlText w:val=""/>
      <w:lvlJc w:val="left"/>
      <w:pPr>
        <w:tabs>
          <w:tab w:val="num" w:pos="3600"/>
        </w:tabs>
        <w:ind w:left="3600" w:hanging="360"/>
      </w:pPr>
      <w:rPr>
        <w:rFonts w:ascii="Wingdings" w:hAnsi="Wingdings" w:hint="default"/>
      </w:rPr>
    </w:lvl>
    <w:lvl w:ilvl="5" w:tplc="114853F2" w:tentative="1">
      <w:start w:val="1"/>
      <w:numFmt w:val="bullet"/>
      <w:lvlText w:val=""/>
      <w:lvlJc w:val="left"/>
      <w:pPr>
        <w:tabs>
          <w:tab w:val="num" w:pos="4320"/>
        </w:tabs>
        <w:ind w:left="4320" w:hanging="360"/>
      </w:pPr>
      <w:rPr>
        <w:rFonts w:ascii="Wingdings" w:hAnsi="Wingdings" w:hint="default"/>
      </w:rPr>
    </w:lvl>
    <w:lvl w:ilvl="6" w:tplc="FEEAF656" w:tentative="1">
      <w:start w:val="1"/>
      <w:numFmt w:val="bullet"/>
      <w:lvlText w:val=""/>
      <w:lvlJc w:val="left"/>
      <w:pPr>
        <w:tabs>
          <w:tab w:val="num" w:pos="5040"/>
        </w:tabs>
        <w:ind w:left="5040" w:hanging="360"/>
      </w:pPr>
      <w:rPr>
        <w:rFonts w:ascii="Wingdings" w:hAnsi="Wingdings" w:hint="default"/>
      </w:rPr>
    </w:lvl>
    <w:lvl w:ilvl="7" w:tplc="CE423B08" w:tentative="1">
      <w:start w:val="1"/>
      <w:numFmt w:val="bullet"/>
      <w:lvlText w:val=""/>
      <w:lvlJc w:val="left"/>
      <w:pPr>
        <w:tabs>
          <w:tab w:val="num" w:pos="5760"/>
        </w:tabs>
        <w:ind w:left="5760" w:hanging="360"/>
      </w:pPr>
      <w:rPr>
        <w:rFonts w:ascii="Wingdings" w:hAnsi="Wingdings" w:hint="default"/>
      </w:rPr>
    </w:lvl>
    <w:lvl w:ilvl="8" w:tplc="FCC23B26" w:tentative="1">
      <w:start w:val="1"/>
      <w:numFmt w:val="bullet"/>
      <w:lvlText w:val=""/>
      <w:lvlJc w:val="left"/>
      <w:pPr>
        <w:tabs>
          <w:tab w:val="num" w:pos="6480"/>
        </w:tabs>
        <w:ind w:left="6480" w:hanging="360"/>
      </w:pPr>
      <w:rPr>
        <w:rFonts w:ascii="Wingdings" w:hAnsi="Wingdings" w:hint="default"/>
      </w:rPr>
    </w:lvl>
  </w:abstractNum>
  <w:abstractNum w:abstractNumId="2">
    <w:nsid w:val="57E77B8D"/>
    <w:multiLevelType w:val="hybridMultilevel"/>
    <w:tmpl w:val="54AA8B54"/>
    <w:lvl w:ilvl="0" w:tplc="90E4157E">
      <w:start w:val="1"/>
      <w:numFmt w:val="bullet"/>
      <w:lvlText w:val=""/>
      <w:lvlJc w:val="left"/>
      <w:pPr>
        <w:tabs>
          <w:tab w:val="num" w:pos="720"/>
        </w:tabs>
        <w:ind w:left="720" w:hanging="360"/>
      </w:pPr>
      <w:rPr>
        <w:rFonts w:ascii="Wingdings" w:hAnsi="Wingdings" w:hint="default"/>
      </w:rPr>
    </w:lvl>
    <w:lvl w:ilvl="1" w:tplc="0B5AFE2E" w:tentative="1">
      <w:start w:val="1"/>
      <w:numFmt w:val="bullet"/>
      <w:lvlText w:val=""/>
      <w:lvlJc w:val="left"/>
      <w:pPr>
        <w:tabs>
          <w:tab w:val="num" w:pos="1440"/>
        </w:tabs>
        <w:ind w:left="1440" w:hanging="360"/>
      </w:pPr>
      <w:rPr>
        <w:rFonts w:ascii="Wingdings" w:hAnsi="Wingdings" w:hint="default"/>
      </w:rPr>
    </w:lvl>
    <w:lvl w:ilvl="2" w:tplc="CF0C8812" w:tentative="1">
      <w:start w:val="1"/>
      <w:numFmt w:val="bullet"/>
      <w:lvlText w:val=""/>
      <w:lvlJc w:val="left"/>
      <w:pPr>
        <w:tabs>
          <w:tab w:val="num" w:pos="2160"/>
        </w:tabs>
        <w:ind w:left="2160" w:hanging="360"/>
      </w:pPr>
      <w:rPr>
        <w:rFonts w:ascii="Wingdings" w:hAnsi="Wingdings" w:hint="default"/>
      </w:rPr>
    </w:lvl>
    <w:lvl w:ilvl="3" w:tplc="7D9A2084" w:tentative="1">
      <w:start w:val="1"/>
      <w:numFmt w:val="bullet"/>
      <w:lvlText w:val=""/>
      <w:lvlJc w:val="left"/>
      <w:pPr>
        <w:tabs>
          <w:tab w:val="num" w:pos="2880"/>
        </w:tabs>
        <w:ind w:left="2880" w:hanging="360"/>
      </w:pPr>
      <w:rPr>
        <w:rFonts w:ascii="Wingdings" w:hAnsi="Wingdings" w:hint="default"/>
      </w:rPr>
    </w:lvl>
    <w:lvl w:ilvl="4" w:tplc="AB44CC52" w:tentative="1">
      <w:start w:val="1"/>
      <w:numFmt w:val="bullet"/>
      <w:lvlText w:val=""/>
      <w:lvlJc w:val="left"/>
      <w:pPr>
        <w:tabs>
          <w:tab w:val="num" w:pos="3600"/>
        </w:tabs>
        <w:ind w:left="3600" w:hanging="360"/>
      </w:pPr>
      <w:rPr>
        <w:rFonts w:ascii="Wingdings" w:hAnsi="Wingdings" w:hint="default"/>
      </w:rPr>
    </w:lvl>
    <w:lvl w:ilvl="5" w:tplc="FB465FD6" w:tentative="1">
      <w:start w:val="1"/>
      <w:numFmt w:val="bullet"/>
      <w:lvlText w:val=""/>
      <w:lvlJc w:val="left"/>
      <w:pPr>
        <w:tabs>
          <w:tab w:val="num" w:pos="4320"/>
        </w:tabs>
        <w:ind w:left="4320" w:hanging="360"/>
      </w:pPr>
      <w:rPr>
        <w:rFonts w:ascii="Wingdings" w:hAnsi="Wingdings" w:hint="default"/>
      </w:rPr>
    </w:lvl>
    <w:lvl w:ilvl="6" w:tplc="03C88674" w:tentative="1">
      <w:start w:val="1"/>
      <w:numFmt w:val="bullet"/>
      <w:lvlText w:val=""/>
      <w:lvlJc w:val="left"/>
      <w:pPr>
        <w:tabs>
          <w:tab w:val="num" w:pos="5040"/>
        </w:tabs>
        <w:ind w:left="5040" w:hanging="360"/>
      </w:pPr>
      <w:rPr>
        <w:rFonts w:ascii="Wingdings" w:hAnsi="Wingdings" w:hint="default"/>
      </w:rPr>
    </w:lvl>
    <w:lvl w:ilvl="7" w:tplc="AE14C640" w:tentative="1">
      <w:start w:val="1"/>
      <w:numFmt w:val="bullet"/>
      <w:lvlText w:val=""/>
      <w:lvlJc w:val="left"/>
      <w:pPr>
        <w:tabs>
          <w:tab w:val="num" w:pos="5760"/>
        </w:tabs>
        <w:ind w:left="5760" w:hanging="360"/>
      </w:pPr>
      <w:rPr>
        <w:rFonts w:ascii="Wingdings" w:hAnsi="Wingdings" w:hint="default"/>
      </w:rPr>
    </w:lvl>
    <w:lvl w:ilvl="8" w:tplc="2AEE63B6" w:tentative="1">
      <w:start w:val="1"/>
      <w:numFmt w:val="bullet"/>
      <w:lvlText w:val=""/>
      <w:lvlJc w:val="left"/>
      <w:pPr>
        <w:tabs>
          <w:tab w:val="num" w:pos="6480"/>
        </w:tabs>
        <w:ind w:left="6480" w:hanging="360"/>
      </w:pPr>
      <w:rPr>
        <w:rFonts w:ascii="Wingdings" w:hAnsi="Wingdings" w:hint="default"/>
      </w:rPr>
    </w:lvl>
  </w:abstractNum>
  <w:abstractNum w:abstractNumId="3">
    <w:nsid w:val="5A083B8E"/>
    <w:multiLevelType w:val="hybridMultilevel"/>
    <w:tmpl w:val="FC8E7A5E"/>
    <w:lvl w:ilvl="0" w:tplc="E390998A">
      <w:start w:val="1"/>
      <w:numFmt w:val="bullet"/>
      <w:lvlText w:val=""/>
      <w:lvlJc w:val="left"/>
      <w:pPr>
        <w:tabs>
          <w:tab w:val="num" w:pos="720"/>
        </w:tabs>
        <w:ind w:left="720" w:hanging="360"/>
      </w:pPr>
      <w:rPr>
        <w:rFonts w:ascii="Wingdings" w:hAnsi="Wingdings" w:hint="default"/>
      </w:rPr>
    </w:lvl>
    <w:lvl w:ilvl="1" w:tplc="A7420FF2" w:tentative="1">
      <w:start w:val="1"/>
      <w:numFmt w:val="bullet"/>
      <w:lvlText w:val=""/>
      <w:lvlJc w:val="left"/>
      <w:pPr>
        <w:tabs>
          <w:tab w:val="num" w:pos="1440"/>
        </w:tabs>
        <w:ind w:left="1440" w:hanging="360"/>
      </w:pPr>
      <w:rPr>
        <w:rFonts w:ascii="Wingdings" w:hAnsi="Wingdings" w:hint="default"/>
      </w:rPr>
    </w:lvl>
    <w:lvl w:ilvl="2" w:tplc="1A4C3288" w:tentative="1">
      <w:start w:val="1"/>
      <w:numFmt w:val="bullet"/>
      <w:lvlText w:val=""/>
      <w:lvlJc w:val="left"/>
      <w:pPr>
        <w:tabs>
          <w:tab w:val="num" w:pos="2160"/>
        </w:tabs>
        <w:ind w:left="2160" w:hanging="360"/>
      </w:pPr>
      <w:rPr>
        <w:rFonts w:ascii="Wingdings" w:hAnsi="Wingdings" w:hint="default"/>
      </w:rPr>
    </w:lvl>
    <w:lvl w:ilvl="3" w:tplc="177A2C84" w:tentative="1">
      <w:start w:val="1"/>
      <w:numFmt w:val="bullet"/>
      <w:lvlText w:val=""/>
      <w:lvlJc w:val="left"/>
      <w:pPr>
        <w:tabs>
          <w:tab w:val="num" w:pos="2880"/>
        </w:tabs>
        <w:ind w:left="2880" w:hanging="360"/>
      </w:pPr>
      <w:rPr>
        <w:rFonts w:ascii="Wingdings" w:hAnsi="Wingdings" w:hint="default"/>
      </w:rPr>
    </w:lvl>
    <w:lvl w:ilvl="4" w:tplc="3E6AEC62" w:tentative="1">
      <w:start w:val="1"/>
      <w:numFmt w:val="bullet"/>
      <w:lvlText w:val=""/>
      <w:lvlJc w:val="left"/>
      <w:pPr>
        <w:tabs>
          <w:tab w:val="num" w:pos="3600"/>
        </w:tabs>
        <w:ind w:left="3600" w:hanging="360"/>
      </w:pPr>
      <w:rPr>
        <w:rFonts w:ascii="Wingdings" w:hAnsi="Wingdings" w:hint="default"/>
      </w:rPr>
    </w:lvl>
    <w:lvl w:ilvl="5" w:tplc="FA3ED602" w:tentative="1">
      <w:start w:val="1"/>
      <w:numFmt w:val="bullet"/>
      <w:lvlText w:val=""/>
      <w:lvlJc w:val="left"/>
      <w:pPr>
        <w:tabs>
          <w:tab w:val="num" w:pos="4320"/>
        </w:tabs>
        <w:ind w:left="4320" w:hanging="360"/>
      </w:pPr>
      <w:rPr>
        <w:rFonts w:ascii="Wingdings" w:hAnsi="Wingdings" w:hint="default"/>
      </w:rPr>
    </w:lvl>
    <w:lvl w:ilvl="6" w:tplc="B044A6D2" w:tentative="1">
      <w:start w:val="1"/>
      <w:numFmt w:val="bullet"/>
      <w:lvlText w:val=""/>
      <w:lvlJc w:val="left"/>
      <w:pPr>
        <w:tabs>
          <w:tab w:val="num" w:pos="5040"/>
        </w:tabs>
        <w:ind w:left="5040" w:hanging="360"/>
      </w:pPr>
      <w:rPr>
        <w:rFonts w:ascii="Wingdings" w:hAnsi="Wingdings" w:hint="default"/>
      </w:rPr>
    </w:lvl>
    <w:lvl w:ilvl="7" w:tplc="3350F26A" w:tentative="1">
      <w:start w:val="1"/>
      <w:numFmt w:val="bullet"/>
      <w:lvlText w:val=""/>
      <w:lvlJc w:val="left"/>
      <w:pPr>
        <w:tabs>
          <w:tab w:val="num" w:pos="5760"/>
        </w:tabs>
        <w:ind w:left="5760" w:hanging="360"/>
      </w:pPr>
      <w:rPr>
        <w:rFonts w:ascii="Wingdings" w:hAnsi="Wingdings" w:hint="default"/>
      </w:rPr>
    </w:lvl>
    <w:lvl w:ilvl="8" w:tplc="609CC9C6" w:tentative="1">
      <w:start w:val="1"/>
      <w:numFmt w:val="bullet"/>
      <w:lvlText w:val=""/>
      <w:lvlJc w:val="left"/>
      <w:pPr>
        <w:tabs>
          <w:tab w:val="num" w:pos="6480"/>
        </w:tabs>
        <w:ind w:left="6480" w:hanging="360"/>
      </w:pPr>
      <w:rPr>
        <w:rFonts w:ascii="Wingdings" w:hAnsi="Wingdings" w:hint="default"/>
      </w:rPr>
    </w:lvl>
  </w:abstractNum>
  <w:abstractNum w:abstractNumId="4">
    <w:nsid w:val="69D13E53"/>
    <w:multiLevelType w:val="hybridMultilevel"/>
    <w:tmpl w:val="7EE0D50A"/>
    <w:lvl w:ilvl="0" w:tplc="59AA20DE">
      <w:start w:val="1"/>
      <w:numFmt w:val="bullet"/>
      <w:lvlText w:val=""/>
      <w:lvlJc w:val="left"/>
      <w:pPr>
        <w:tabs>
          <w:tab w:val="num" w:pos="720"/>
        </w:tabs>
        <w:ind w:left="720" w:hanging="360"/>
      </w:pPr>
      <w:rPr>
        <w:rFonts w:ascii="Wingdings" w:hAnsi="Wingdings" w:hint="default"/>
      </w:rPr>
    </w:lvl>
    <w:lvl w:ilvl="1" w:tplc="5E541AD8">
      <w:start w:val="1643"/>
      <w:numFmt w:val="bullet"/>
      <w:lvlText w:val=""/>
      <w:lvlJc w:val="left"/>
      <w:pPr>
        <w:tabs>
          <w:tab w:val="num" w:pos="1440"/>
        </w:tabs>
        <w:ind w:left="1440" w:hanging="360"/>
      </w:pPr>
      <w:rPr>
        <w:rFonts w:ascii="Wingdings" w:hAnsi="Wingdings" w:hint="default"/>
      </w:rPr>
    </w:lvl>
    <w:lvl w:ilvl="2" w:tplc="5AD61BC8" w:tentative="1">
      <w:start w:val="1"/>
      <w:numFmt w:val="bullet"/>
      <w:lvlText w:val=""/>
      <w:lvlJc w:val="left"/>
      <w:pPr>
        <w:tabs>
          <w:tab w:val="num" w:pos="2160"/>
        </w:tabs>
        <w:ind w:left="2160" w:hanging="360"/>
      </w:pPr>
      <w:rPr>
        <w:rFonts w:ascii="Wingdings" w:hAnsi="Wingdings" w:hint="default"/>
      </w:rPr>
    </w:lvl>
    <w:lvl w:ilvl="3" w:tplc="12001154" w:tentative="1">
      <w:start w:val="1"/>
      <w:numFmt w:val="bullet"/>
      <w:lvlText w:val=""/>
      <w:lvlJc w:val="left"/>
      <w:pPr>
        <w:tabs>
          <w:tab w:val="num" w:pos="2880"/>
        </w:tabs>
        <w:ind w:left="2880" w:hanging="360"/>
      </w:pPr>
      <w:rPr>
        <w:rFonts w:ascii="Wingdings" w:hAnsi="Wingdings" w:hint="default"/>
      </w:rPr>
    </w:lvl>
    <w:lvl w:ilvl="4" w:tplc="1E924892" w:tentative="1">
      <w:start w:val="1"/>
      <w:numFmt w:val="bullet"/>
      <w:lvlText w:val=""/>
      <w:lvlJc w:val="left"/>
      <w:pPr>
        <w:tabs>
          <w:tab w:val="num" w:pos="3600"/>
        </w:tabs>
        <w:ind w:left="3600" w:hanging="360"/>
      </w:pPr>
      <w:rPr>
        <w:rFonts w:ascii="Wingdings" w:hAnsi="Wingdings" w:hint="default"/>
      </w:rPr>
    </w:lvl>
    <w:lvl w:ilvl="5" w:tplc="624A0A74" w:tentative="1">
      <w:start w:val="1"/>
      <w:numFmt w:val="bullet"/>
      <w:lvlText w:val=""/>
      <w:lvlJc w:val="left"/>
      <w:pPr>
        <w:tabs>
          <w:tab w:val="num" w:pos="4320"/>
        </w:tabs>
        <w:ind w:left="4320" w:hanging="360"/>
      </w:pPr>
      <w:rPr>
        <w:rFonts w:ascii="Wingdings" w:hAnsi="Wingdings" w:hint="default"/>
      </w:rPr>
    </w:lvl>
    <w:lvl w:ilvl="6" w:tplc="7888816C" w:tentative="1">
      <w:start w:val="1"/>
      <w:numFmt w:val="bullet"/>
      <w:lvlText w:val=""/>
      <w:lvlJc w:val="left"/>
      <w:pPr>
        <w:tabs>
          <w:tab w:val="num" w:pos="5040"/>
        </w:tabs>
        <w:ind w:left="5040" w:hanging="360"/>
      </w:pPr>
      <w:rPr>
        <w:rFonts w:ascii="Wingdings" w:hAnsi="Wingdings" w:hint="default"/>
      </w:rPr>
    </w:lvl>
    <w:lvl w:ilvl="7" w:tplc="AE765416" w:tentative="1">
      <w:start w:val="1"/>
      <w:numFmt w:val="bullet"/>
      <w:lvlText w:val=""/>
      <w:lvlJc w:val="left"/>
      <w:pPr>
        <w:tabs>
          <w:tab w:val="num" w:pos="5760"/>
        </w:tabs>
        <w:ind w:left="5760" w:hanging="360"/>
      </w:pPr>
      <w:rPr>
        <w:rFonts w:ascii="Wingdings" w:hAnsi="Wingdings" w:hint="default"/>
      </w:rPr>
    </w:lvl>
    <w:lvl w:ilvl="8" w:tplc="6A0836CC" w:tentative="1">
      <w:start w:val="1"/>
      <w:numFmt w:val="bullet"/>
      <w:lvlText w:val=""/>
      <w:lvlJc w:val="left"/>
      <w:pPr>
        <w:tabs>
          <w:tab w:val="num" w:pos="6480"/>
        </w:tabs>
        <w:ind w:left="6480" w:hanging="360"/>
      </w:pPr>
      <w:rPr>
        <w:rFonts w:ascii="Wingdings" w:hAnsi="Wingdings" w:hint="default"/>
      </w:rPr>
    </w:lvl>
  </w:abstractNum>
  <w:abstractNum w:abstractNumId="5">
    <w:nsid w:val="74F418A7"/>
    <w:multiLevelType w:val="hybridMultilevel"/>
    <w:tmpl w:val="03B47382"/>
    <w:lvl w:ilvl="0" w:tplc="9CB673BC">
      <w:start w:val="1"/>
      <w:numFmt w:val="bullet"/>
      <w:lvlText w:val=""/>
      <w:lvlJc w:val="left"/>
      <w:pPr>
        <w:tabs>
          <w:tab w:val="num" w:pos="720"/>
        </w:tabs>
        <w:ind w:left="720" w:hanging="360"/>
      </w:pPr>
      <w:rPr>
        <w:rFonts w:ascii="Wingdings" w:hAnsi="Wingdings" w:hint="default"/>
      </w:rPr>
    </w:lvl>
    <w:lvl w:ilvl="1" w:tplc="531CD870" w:tentative="1">
      <w:start w:val="1"/>
      <w:numFmt w:val="bullet"/>
      <w:lvlText w:val=""/>
      <w:lvlJc w:val="left"/>
      <w:pPr>
        <w:tabs>
          <w:tab w:val="num" w:pos="1440"/>
        </w:tabs>
        <w:ind w:left="1440" w:hanging="360"/>
      </w:pPr>
      <w:rPr>
        <w:rFonts w:ascii="Wingdings" w:hAnsi="Wingdings" w:hint="default"/>
      </w:rPr>
    </w:lvl>
    <w:lvl w:ilvl="2" w:tplc="D6E80572" w:tentative="1">
      <w:start w:val="1"/>
      <w:numFmt w:val="bullet"/>
      <w:lvlText w:val=""/>
      <w:lvlJc w:val="left"/>
      <w:pPr>
        <w:tabs>
          <w:tab w:val="num" w:pos="2160"/>
        </w:tabs>
        <w:ind w:left="2160" w:hanging="360"/>
      </w:pPr>
      <w:rPr>
        <w:rFonts w:ascii="Wingdings" w:hAnsi="Wingdings" w:hint="default"/>
      </w:rPr>
    </w:lvl>
    <w:lvl w:ilvl="3" w:tplc="2300003E" w:tentative="1">
      <w:start w:val="1"/>
      <w:numFmt w:val="bullet"/>
      <w:lvlText w:val=""/>
      <w:lvlJc w:val="left"/>
      <w:pPr>
        <w:tabs>
          <w:tab w:val="num" w:pos="2880"/>
        </w:tabs>
        <w:ind w:left="2880" w:hanging="360"/>
      </w:pPr>
      <w:rPr>
        <w:rFonts w:ascii="Wingdings" w:hAnsi="Wingdings" w:hint="default"/>
      </w:rPr>
    </w:lvl>
    <w:lvl w:ilvl="4" w:tplc="88C446A6" w:tentative="1">
      <w:start w:val="1"/>
      <w:numFmt w:val="bullet"/>
      <w:lvlText w:val=""/>
      <w:lvlJc w:val="left"/>
      <w:pPr>
        <w:tabs>
          <w:tab w:val="num" w:pos="3600"/>
        </w:tabs>
        <w:ind w:left="3600" w:hanging="360"/>
      </w:pPr>
      <w:rPr>
        <w:rFonts w:ascii="Wingdings" w:hAnsi="Wingdings" w:hint="default"/>
      </w:rPr>
    </w:lvl>
    <w:lvl w:ilvl="5" w:tplc="9F506314" w:tentative="1">
      <w:start w:val="1"/>
      <w:numFmt w:val="bullet"/>
      <w:lvlText w:val=""/>
      <w:lvlJc w:val="left"/>
      <w:pPr>
        <w:tabs>
          <w:tab w:val="num" w:pos="4320"/>
        </w:tabs>
        <w:ind w:left="4320" w:hanging="360"/>
      </w:pPr>
      <w:rPr>
        <w:rFonts w:ascii="Wingdings" w:hAnsi="Wingdings" w:hint="default"/>
      </w:rPr>
    </w:lvl>
    <w:lvl w:ilvl="6" w:tplc="4FA6ED56" w:tentative="1">
      <w:start w:val="1"/>
      <w:numFmt w:val="bullet"/>
      <w:lvlText w:val=""/>
      <w:lvlJc w:val="left"/>
      <w:pPr>
        <w:tabs>
          <w:tab w:val="num" w:pos="5040"/>
        </w:tabs>
        <w:ind w:left="5040" w:hanging="360"/>
      </w:pPr>
      <w:rPr>
        <w:rFonts w:ascii="Wingdings" w:hAnsi="Wingdings" w:hint="default"/>
      </w:rPr>
    </w:lvl>
    <w:lvl w:ilvl="7" w:tplc="ABE88E6E" w:tentative="1">
      <w:start w:val="1"/>
      <w:numFmt w:val="bullet"/>
      <w:lvlText w:val=""/>
      <w:lvlJc w:val="left"/>
      <w:pPr>
        <w:tabs>
          <w:tab w:val="num" w:pos="5760"/>
        </w:tabs>
        <w:ind w:left="5760" w:hanging="360"/>
      </w:pPr>
      <w:rPr>
        <w:rFonts w:ascii="Wingdings" w:hAnsi="Wingdings" w:hint="default"/>
      </w:rPr>
    </w:lvl>
    <w:lvl w:ilvl="8" w:tplc="777E875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8A"/>
    <w:rsid w:val="000A5580"/>
    <w:rsid w:val="0010229D"/>
    <w:rsid w:val="00105BD1"/>
    <w:rsid w:val="00107822"/>
    <w:rsid w:val="00150158"/>
    <w:rsid w:val="00195DF2"/>
    <w:rsid w:val="001C2BAA"/>
    <w:rsid w:val="001D5576"/>
    <w:rsid w:val="00263A4A"/>
    <w:rsid w:val="00272B8A"/>
    <w:rsid w:val="00277B2C"/>
    <w:rsid w:val="002A19DF"/>
    <w:rsid w:val="002C0187"/>
    <w:rsid w:val="002D60C4"/>
    <w:rsid w:val="00314134"/>
    <w:rsid w:val="00333011"/>
    <w:rsid w:val="003555D5"/>
    <w:rsid w:val="00395240"/>
    <w:rsid w:val="003A4FCB"/>
    <w:rsid w:val="00441C25"/>
    <w:rsid w:val="00443304"/>
    <w:rsid w:val="00446234"/>
    <w:rsid w:val="004C683B"/>
    <w:rsid w:val="004F34C1"/>
    <w:rsid w:val="005421B0"/>
    <w:rsid w:val="005A06D2"/>
    <w:rsid w:val="005A25C4"/>
    <w:rsid w:val="005B3DED"/>
    <w:rsid w:val="00612138"/>
    <w:rsid w:val="00624751"/>
    <w:rsid w:val="00647853"/>
    <w:rsid w:val="006570AD"/>
    <w:rsid w:val="006A1BE6"/>
    <w:rsid w:val="006A21CD"/>
    <w:rsid w:val="006A53F2"/>
    <w:rsid w:val="006C5F39"/>
    <w:rsid w:val="006D7AB3"/>
    <w:rsid w:val="0080524A"/>
    <w:rsid w:val="008173CB"/>
    <w:rsid w:val="00883879"/>
    <w:rsid w:val="008A1145"/>
    <w:rsid w:val="008C3C41"/>
    <w:rsid w:val="008D09CF"/>
    <w:rsid w:val="00950538"/>
    <w:rsid w:val="00A223AC"/>
    <w:rsid w:val="00A30D49"/>
    <w:rsid w:val="00A3293B"/>
    <w:rsid w:val="00A330DA"/>
    <w:rsid w:val="00A3498A"/>
    <w:rsid w:val="00A70EF1"/>
    <w:rsid w:val="00AE72CC"/>
    <w:rsid w:val="00B60764"/>
    <w:rsid w:val="00B61133"/>
    <w:rsid w:val="00BB278D"/>
    <w:rsid w:val="00BC3AEE"/>
    <w:rsid w:val="00C019EF"/>
    <w:rsid w:val="00C06BF2"/>
    <w:rsid w:val="00C208AC"/>
    <w:rsid w:val="00C22E98"/>
    <w:rsid w:val="00C35DC9"/>
    <w:rsid w:val="00C40CF8"/>
    <w:rsid w:val="00C66163"/>
    <w:rsid w:val="00CC0B28"/>
    <w:rsid w:val="00CF6FFF"/>
    <w:rsid w:val="00D54747"/>
    <w:rsid w:val="00DF6625"/>
    <w:rsid w:val="00E67FBC"/>
    <w:rsid w:val="00E93AF1"/>
    <w:rsid w:val="00EB36C7"/>
    <w:rsid w:val="00F1595F"/>
    <w:rsid w:val="00F86B44"/>
    <w:rsid w:val="00FE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CD"/>
    <w:pPr>
      <w:spacing w:after="0" w:line="240" w:lineRule="auto"/>
    </w:pPr>
    <w:rPr>
      <w:sz w:val="24"/>
      <w:szCs w:val="24"/>
      <w:lang w:val="en-GB"/>
    </w:rPr>
  </w:style>
  <w:style w:type="paragraph" w:styleId="Heading1">
    <w:name w:val="heading 1"/>
    <w:basedOn w:val="Normal"/>
    <w:next w:val="Normal"/>
    <w:link w:val="Heading1Char"/>
    <w:uiPriority w:val="9"/>
    <w:qFormat/>
    <w:rsid w:val="006A21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A21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A21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21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21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21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21CD"/>
    <w:pPr>
      <w:spacing w:before="240" w:after="60"/>
      <w:outlineLvl w:val="6"/>
    </w:pPr>
  </w:style>
  <w:style w:type="paragraph" w:styleId="Heading8">
    <w:name w:val="heading 8"/>
    <w:basedOn w:val="Normal"/>
    <w:next w:val="Normal"/>
    <w:link w:val="Heading8Char"/>
    <w:uiPriority w:val="9"/>
    <w:semiHidden/>
    <w:unhideWhenUsed/>
    <w:qFormat/>
    <w:rsid w:val="006A21CD"/>
    <w:pPr>
      <w:spacing w:before="240" w:after="60"/>
      <w:outlineLvl w:val="7"/>
    </w:pPr>
    <w:rPr>
      <w:i/>
      <w:iCs/>
    </w:rPr>
  </w:style>
  <w:style w:type="paragraph" w:styleId="Heading9">
    <w:name w:val="heading 9"/>
    <w:basedOn w:val="Normal"/>
    <w:next w:val="Normal"/>
    <w:link w:val="Heading9Char"/>
    <w:uiPriority w:val="9"/>
    <w:semiHidden/>
    <w:unhideWhenUsed/>
    <w:qFormat/>
    <w:rsid w:val="006A21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A21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A21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21CD"/>
    <w:rPr>
      <w:b/>
      <w:bCs/>
      <w:sz w:val="28"/>
      <w:szCs w:val="28"/>
    </w:rPr>
  </w:style>
  <w:style w:type="character" w:customStyle="1" w:styleId="Heading5Char">
    <w:name w:val="Heading 5 Char"/>
    <w:basedOn w:val="DefaultParagraphFont"/>
    <w:link w:val="Heading5"/>
    <w:uiPriority w:val="9"/>
    <w:semiHidden/>
    <w:rsid w:val="006A21CD"/>
    <w:rPr>
      <w:b/>
      <w:bCs/>
      <w:i/>
      <w:iCs/>
      <w:sz w:val="26"/>
      <w:szCs w:val="26"/>
    </w:rPr>
  </w:style>
  <w:style w:type="character" w:customStyle="1" w:styleId="Heading6Char">
    <w:name w:val="Heading 6 Char"/>
    <w:basedOn w:val="DefaultParagraphFont"/>
    <w:link w:val="Heading6"/>
    <w:uiPriority w:val="9"/>
    <w:semiHidden/>
    <w:rsid w:val="006A21CD"/>
    <w:rPr>
      <w:b/>
      <w:bCs/>
    </w:rPr>
  </w:style>
  <w:style w:type="character" w:customStyle="1" w:styleId="Heading7Char">
    <w:name w:val="Heading 7 Char"/>
    <w:basedOn w:val="DefaultParagraphFont"/>
    <w:link w:val="Heading7"/>
    <w:uiPriority w:val="9"/>
    <w:semiHidden/>
    <w:rsid w:val="006A21CD"/>
    <w:rPr>
      <w:sz w:val="24"/>
      <w:szCs w:val="24"/>
    </w:rPr>
  </w:style>
  <w:style w:type="character" w:customStyle="1" w:styleId="Heading8Char">
    <w:name w:val="Heading 8 Char"/>
    <w:basedOn w:val="DefaultParagraphFont"/>
    <w:link w:val="Heading8"/>
    <w:uiPriority w:val="9"/>
    <w:semiHidden/>
    <w:rsid w:val="006A21CD"/>
    <w:rPr>
      <w:i/>
      <w:iCs/>
      <w:sz w:val="24"/>
      <w:szCs w:val="24"/>
    </w:rPr>
  </w:style>
  <w:style w:type="character" w:customStyle="1" w:styleId="Heading9Char">
    <w:name w:val="Heading 9 Char"/>
    <w:basedOn w:val="DefaultParagraphFont"/>
    <w:link w:val="Heading9"/>
    <w:uiPriority w:val="9"/>
    <w:semiHidden/>
    <w:rsid w:val="006A21CD"/>
    <w:rPr>
      <w:rFonts w:asciiTheme="majorHAnsi" w:eastAsiaTheme="majorEastAsia" w:hAnsiTheme="majorHAnsi"/>
    </w:rPr>
  </w:style>
  <w:style w:type="paragraph" w:styleId="Title">
    <w:name w:val="Title"/>
    <w:basedOn w:val="Normal"/>
    <w:next w:val="Normal"/>
    <w:link w:val="TitleChar"/>
    <w:uiPriority w:val="10"/>
    <w:qFormat/>
    <w:rsid w:val="006A21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21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21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21CD"/>
    <w:rPr>
      <w:rFonts w:asciiTheme="majorHAnsi" w:eastAsiaTheme="majorEastAsia" w:hAnsiTheme="majorHAnsi"/>
      <w:sz w:val="24"/>
      <w:szCs w:val="24"/>
    </w:rPr>
  </w:style>
  <w:style w:type="character" w:styleId="Strong">
    <w:name w:val="Strong"/>
    <w:basedOn w:val="DefaultParagraphFont"/>
    <w:uiPriority w:val="22"/>
    <w:qFormat/>
    <w:rsid w:val="006A21CD"/>
    <w:rPr>
      <w:b/>
      <w:bCs/>
    </w:rPr>
  </w:style>
  <w:style w:type="character" w:styleId="Emphasis">
    <w:name w:val="Emphasis"/>
    <w:basedOn w:val="DefaultParagraphFont"/>
    <w:uiPriority w:val="20"/>
    <w:qFormat/>
    <w:rsid w:val="006A21CD"/>
    <w:rPr>
      <w:rFonts w:asciiTheme="minorHAnsi" w:hAnsiTheme="minorHAnsi"/>
      <w:b/>
      <w:i/>
      <w:iCs/>
    </w:rPr>
  </w:style>
  <w:style w:type="paragraph" w:styleId="NoSpacing">
    <w:name w:val="No Spacing"/>
    <w:basedOn w:val="Normal"/>
    <w:uiPriority w:val="1"/>
    <w:qFormat/>
    <w:rsid w:val="006A21CD"/>
    <w:rPr>
      <w:szCs w:val="32"/>
    </w:rPr>
  </w:style>
  <w:style w:type="paragraph" w:styleId="ListParagraph">
    <w:name w:val="List Paragraph"/>
    <w:basedOn w:val="Normal"/>
    <w:uiPriority w:val="34"/>
    <w:qFormat/>
    <w:rsid w:val="006A21CD"/>
    <w:pPr>
      <w:ind w:left="720"/>
      <w:contextualSpacing/>
    </w:pPr>
  </w:style>
  <w:style w:type="paragraph" w:styleId="Quote">
    <w:name w:val="Quote"/>
    <w:basedOn w:val="Normal"/>
    <w:next w:val="Normal"/>
    <w:link w:val="QuoteChar"/>
    <w:uiPriority w:val="29"/>
    <w:qFormat/>
    <w:rsid w:val="006A21CD"/>
    <w:rPr>
      <w:i/>
    </w:rPr>
  </w:style>
  <w:style w:type="character" w:customStyle="1" w:styleId="QuoteChar">
    <w:name w:val="Quote Char"/>
    <w:basedOn w:val="DefaultParagraphFont"/>
    <w:link w:val="Quote"/>
    <w:uiPriority w:val="29"/>
    <w:rsid w:val="006A21CD"/>
    <w:rPr>
      <w:i/>
      <w:sz w:val="24"/>
      <w:szCs w:val="24"/>
    </w:rPr>
  </w:style>
  <w:style w:type="paragraph" w:styleId="IntenseQuote">
    <w:name w:val="Intense Quote"/>
    <w:basedOn w:val="Normal"/>
    <w:next w:val="Normal"/>
    <w:link w:val="IntenseQuoteChar"/>
    <w:uiPriority w:val="30"/>
    <w:qFormat/>
    <w:rsid w:val="006A21CD"/>
    <w:pPr>
      <w:ind w:left="720" w:right="720"/>
    </w:pPr>
    <w:rPr>
      <w:b/>
      <w:i/>
      <w:szCs w:val="22"/>
    </w:rPr>
  </w:style>
  <w:style w:type="character" w:customStyle="1" w:styleId="IntenseQuoteChar">
    <w:name w:val="Intense Quote Char"/>
    <w:basedOn w:val="DefaultParagraphFont"/>
    <w:link w:val="IntenseQuote"/>
    <w:uiPriority w:val="30"/>
    <w:rsid w:val="006A21CD"/>
    <w:rPr>
      <w:b/>
      <w:i/>
      <w:sz w:val="24"/>
    </w:rPr>
  </w:style>
  <w:style w:type="character" w:styleId="SubtleEmphasis">
    <w:name w:val="Subtle Emphasis"/>
    <w:uiPriority w:val="19"/>
    <w:qFormat/>
    <w:rsid w:val="006A21CD"/>
    <w:rPr>
      <w:i/>
      <w:color w:val="5A5A5A" w:themeColor="text1" w:themeTint="A5"/>
    </w:rPr>
  </w:style>
  <w:style w:type="character" w:styleId="IntenseEmphasis">
    <w:name w:val="Intense Emphasis"/>
    <w:basedOn w:val="DefaultParagraphFont"/>
    <w:uiPriority w:val="21"/>
    <w:qFormat/>
    <w:rsid w:val="006A21CD"/>
    <w:rPr>
      <w:b/>
      <w:i/>
      <w:sz w:val="24"/>
      <w:szCs w:val="24"/>
      <w:u w:val="single"/>
    </w:rPr>
  </w:style>
  <w:style w:type="character" w:styleId="SubtleReference">
    <w:name w:val="Subtle Reference"/>
    <w:basedOn w:val="DefaultParagraphFont"/>
    <w:uiPriority w:val="31"/>
    <w:qFormat/>
    <w:rsid w:val="006A21CD"/>
    <w:rPr>
      <w:sz w:val="24"/>
      <w:szCs w:val="24"/>
      <w:u w:val="single"/>
    </w:rPr>
  </w:style>
  <w:style w:type="character" w:styleId="IntenseReference">
    <w:name w:val="Intense Reference"/>
    <w:basedOn w:val="DefaultParagraphFont"/>
    <w:uiPriority w:val="32"/>
    <w:qFormat/>
    <w:rsid w:val="006A21CD"/>
    <w:rPr>
      <w:b/>
      <w:sz w:val="24"/>
      <w:u w:val="single"/>
    </w:rPr>
  </w:style>
  <w:style w:type="character" w:styleId="BookTitle">
    <w:name w:val="Book Title"/>
    <w:basedOn w:val="DefaultParagraphFont"/>
    <w:uiPriority w:val="33"/>
    <w:qFormat/>
    <w:rsid w:val="006A21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21CD"/>
    <w:pPr>
      <w:outlineLvl w:val="9"/>
    </w:pPr>
  </w:style>
  <w:style w:type="character" w:styleId="Hyperlink">
    <w:name w:val="Hyperlink"/>
    <w:basedOn w:val="DefaultParagraphFont"/>
    <w:uiPriority w:val="99"/>
    <w:unhideWhenUsed/>
    <w:rsid w:val="00272B8A"/>
    <w:rPr>
      <w:color w:val="0000FF" w:themeColor="hyperlink"/>
      <w:u w:val="single"/>
    </w:rPr>
  </w:style>
  <w:style w:type="paragraph" w:styleId="BalloonText">
    <w:name w:val="Balloon Text"/>
    <w:basedOn w:val="Normal"/>
    <w:link w:val="BalloonTextChar"/>
    <w:uiPriority w:val="99"/>
    <w:semiHidden/>
    <w:unhideWhenUsed/>
    <w:rsid w:val="00272B8A"/>
    <w:rPr>
      <w:rFonts w:ascii="Tahoma" w:hAnsi="Tahoma" w:cs="Tahoma"/>
      <w:sz w:val="16"/>
      <w:szCs w:val="16"/>
    </w:rPr>
  </w:style>
  <w:style w:type="character" w:customStyle="1" w:styleId="BalloonTextChar">
    <w:name w:val="Balloon Text Char"/>
    <w:basedOn w:val="DefaultParagraphFont"/>
    <w:link w:val="BalloonText"/>
    <w:uiPriority w:val="99"/>
    <w:semiHidden/>
    <w:rsid w:val="00272B8A"/>
    <w:rPr>
      <w:rFonts w:ascii="Tahoma" w:hAnsi="Tahoma" w:cs="Tahoma"/>
      <w:sz w:val="16"/>
      <w:szCs w:val="16"/>
      <w:lang w:val="en-GB"/>
    </w:rPr>
  </w:style>
  <w:style w:type="paragraph" w:styleId="NormalWeb">
    <w:name w:val="Normal (Web)"/>
    <w:basedOn w:val="Normal"/>
    <w:uiPriority w:val="99"/>
    <w:unhideWhenUsed/>
    <w:rsid w:val="00272B8A"/>
    <w:pPr>
      <w:spacing w:before="100" w:beforeAutospacing="1" w:after="100" w:afterAutospacing="1"/>
    </w:pPr>
    <w:rPr>
      <w:rFonts w:ascii="Times New Roman" w:eastAsia="Times New Roman" w:hAnsi="Times New Roman"/>
      <w:lang w:eastAsia="en-GB" w:bidi="ar-SA"/>
    </w:rPr>
  </w:style>
  <w:style w:type="paragraph" w:styleId="Header">
    <w:name w:val="header"/>
    <w:basedOn w:val="Normal"/>
    <w:link w:val="HeaderChar"/>
    <w:uiPriority w:val="99"/>
    <w:semiHidden/>
    <w:unhideWhenUsed/>
    <w:rsid w:val="00272B8A"/>
    <w:pPr>
      <w:tabs>
        <w:tab w:val="center" w:pos="4513"/>
        <w:tab w:val="right" w:pos="9026"/>
      </w:tabs>
    </w:pPr>
  </w:style>
  <w:style w:type="character" w:customStyle="1" w:styleId="HeaderChar">
    <w:name w:val="Header Char"/>
    <w:basedOn w:val="DefaultParagraphFont"/>
    <w:link w:val="Header"/>
    <w:uiPriority w:val="99"/>
    <w:semiHidden/>
    <w:rsid w:val="00272B8A"/>
    <w:rPr>
      <w:sz w:val="24"/>
      <w:szCs w:val="24"/>
      <w:lang w:val="en-GB"/>
    </w:rPr>
  </w:style>
  <w:style w:type="paragraph" w:styleId="Footer">
    <w:name w:val="footer"/>
    <w:basedOn w:val="Normal"/>
    <w:link w:val="FooterChar"/>
    <w:uiPriority w:val="99"/>
    <w:unhideWhenUsed/>
    <w:rsid w:val="00272B8A"/>
    <w:pPr>
      <w:tabs>
        <w:tab w:val="center" w:pos="4513"/>
        <w:tab w:val="right" w:pos="9026"/>
      </w:tabs>
    </w:pPr>
  </w:style>
  <w:style w:type="character" w:customStyle="1" w:styleId="FooterChar">
    <w:name w:val="Footer Char"/>
    <w:basedOn w:val="DefaultParagraphFont"/>
    <w:link w:val="Footer"/>
    <w:uiPriority w:val="99"/>
    <w:rsid w:val="00272B8A"/>
    <w:rPr>
      <w:sz w:val="24"/>
      <w:szCs w:val="24"/>
      <w:lang w:val="en-GB"/>
    </w:rPr>
  </w:style>
  <w:style w:type="character" w:styleId="FollowedHyperlink">
    <w:name w:val="FollowedHyperlink"/>
    <w:basedOn w:val="DefaultParagraphFont"/>
    <w:uiPriority w:val="99"/>
    <w:semiHidden/>
    <w:unhideWhenUsed/>
    <w:rsid w:val="00FE7FB8"/>
    <w:rPr>
      <w:color w:val="800080" w:themeColor="followedHyperlink"/>
      <w:u w:val="single"/>
    </w:rPr>
  </w:style>
  <w:style w:type="paragraph" w:customStyle="1" w:styleId="BodyA">
    <w:name w:val="Body A"/>
    <w:rsid w:val="00C66163"/>
    <w:rPr>
      <w:rFonts w:ascii="Calibri" w:eastAsia="Calibri" w:hAnsi="Calibri" w:cs="Calibri"/>
      <w:color w:val="000000"/>
      <w:u w:color="000000"/>
      <w:lang w:eastAsia="lv-LV" w:bidi="ar-SA"/>
    </w:rPr>
  </w:style>
  <w:style w:type="paragraph" w:customStyle="1" w:styleId="References">
    <w:name w:val="References"/>
    <w:basedOn w:val="Normal"/>
    <w:link w:val="ReferencesChar"/>
    <w:qFormat/>
    <w:rsid w:val="00C66163"/>
    <w:pPr>
      <w:spacing w:after="120"/>
      <w:ind w:left="720" w:hanging="720"/>
    </w:pPr>
    <w:rPr>
      <w:rFonts w:eastAsiaTheme="minorEastAsia"/>
      <w:sz w:val="20"/>
      <w:lang w:bidi="ar-SA"/>
    </w:rPr>
  </w:style>
  <w:style w:type="character" w:customStyle="1" w:styleId="ReferencesChar">
    <w:name w:val="References Char"/>
    <w:basedOn w:val="DefaultParagraphFont"/>
    <w:link w:val="References"/>
    <w:rsid w:val="00C66163"/>
    <w:rPr>
      <w:rFonts w:eastAsiaTheme="minorEastAsia"/>
      <w:sz w:val="20"/>
      <w:szCs w:val="24"/>
      <w:lang w:val="en-GB" w:bidi="ar-SA"/>
    </w:rPr>
  </w:style>
  <w:style w:type="character" w:customStyle="1" w:styleId="A0">
    <w:name w:val="A0"/>
    <w:uiPriority w:val="99"/>
    <w:rsid w:val="00C66163"/>
    <w:rPr>
      <w:rFonts w:cs="Akzidenz Grotesk BE Medium"/>
      <w:color w:val="000000"/>
      <w:sz w:val="50"/>
      <w:szCs w:val="50"/>
    </w:rPr>
  </w:style>
  <w:style w:type="character" w:customStyle="1" w:styleId="A1">
    <w:name w:val="A1"/>
    <w:uiPriority w:val="99"/>
    <w:rsid w:val="00C66163"/>
    <w:rPr>
      <w:rFonts w:ascii="Akzidenz Grotesk BE Light" w:hAnsi="Akzidenz Grotesk BE Light" w:cs="Akzidenz Grotesk BE Light"/>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CD"/>
    <w:pPr>
      <w:spacing w:after="0" w:line="240" w:lineRule="auto"/>
    </w:pPr>
    <w:rPr>
      <w:sz w:val="24"/>
      <w:szCs w:val="24"/>
      <w:lang w:val="en-GB"/>
    </w:rPr>
  </w:style>
  <w:style w:type="paragraph" w:styleId="Heading1">
    <w:name w:val="heading 1"/>
    <w:basedOn w:val="Normal"/>
    <w:next w:val="Normal"/>
    <w:link w:val="Heading1Char"/>
    <w:uiPriority w:val="9"/>
    <w:qFormat/>
    <w:rsid w:val="006A21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A21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A21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21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21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21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21CD"/>
    <w:pPr>
      <w:spacing w:before="240" w:after="60"/>
      <w:outlineLvl w:val="6"/>
    </w:pPr>
  </w:style>
  <w:style w:type="paragraph" w:styleId="Heading8">
    <w:name w:val="heading 8"/>
    <w:basedOn w:val="Normal"/>
    <w:next w:val="Normal"/>
    <w:link w:val="Heading8Char"/>
    <w:uiPriority w:val="9"/>
    <w:semiHidden/>
    <w:unhideWhenUsed/>
    <w:qFormat/>
    <w:rsid w:val="006A21CD"/>
    <w:pPr>
      <w:spacing w:before="240" w:after="60"/>
      <w:outlineLvl w:val="7"/>
    </w:pPr>
    <w:rPr>
      <w:i/>
      <w:iCs/>
    </w:rPr>
  </w:style>
  <w:style w:type="paragraph" w:styleId="Heading9">
    <w:name w:val="heading 9"/>
    <w:basedOn w:val="Normal"/>
    <w:next w:val="Normal"/>
    <w:link w:val="Heading9Char"/>
    <w:uiPriority w:val="9"/>
    <w:semiHidden/>
    <w:unhideWhenUsed/>
    <w:qFormat/>
    <w:rsid w:val="006A21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A21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A21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21CD"/>
    <w:rPr>
      <w:b/>
      <w:bCs/>
      <w:sz w:val="28"/>
      <w:szCs w:val="28"/>
    </w:rPr>
  </w:style>
  <w:style w:type="character" w:customStyle="1" w:styleId="Heading5Char">
    <w:name w:val="Heading 5 Char"/>
    <w:basedOn w:val="DefaultParagraphFont"/>
    <w:link w:val="Heading5"/>
    <w:uiPriority w:val="9"/>
    <w:semiHidden/>
    <w:rsid w:val="006A21CD"/>
    <w:rPr>
      <w:b/>
      <w:bCs/>
      <w:i/>
      <w:iCs/>
      <w:sz w:val="26"/>
      <w:szCs w:val="26"/>
    </w:rPr>
  </w:style>
  <w:style w:type="character" w:customStyle="1" w:styleId="Heading6Char">
    <w:name w:val="Heading 6 Char"/>
    <w:basedOn w:val="DefaultParagraphFont"/>
    <w:link w:val="Heading6"/>
    <w:uiPriority w:val="9"/>
    <w:semiHidden/>
    <w:rsid w:val="006A21CD"/>
    <w:rPr>
      <w:b/>
      <w:bCs/>
    </w:rPr>
  </w:style>
  <w:style w:type="character" w:customStyle="1" w:styleId="Heading7Char">
    <w:name w:val="Heading 7 Char"/>
    <w:basedOn w:val="DefaultParagraphFont"/>
    <w:link w:val="Heading7"/>
    <w:uiPriority w:val="9"/>
    <w:semiHidden/>
    <w:rsid w:val="006A21CD"/>
    <w:rPr>
      <w:sz w:val="24"/>
      <w:szCs w:val="24"/>
    </w:rPr>
  </w:style>
  <w:style w:type="character" w:customStyle="1" w:styleId="Heading8Char">
    <w:name w:val="Heading 8 Char"/>
    <w:basedOn w:val="DefaultParagraphFont"/>
    <w:link w:val="Heading8"/>
    <w:uiPriority w:val="9"/>
    <w:semiHidden/>
    <w:rsid w:val="006A21CD"/>
    <w:rPr>
      <w:i/>
      <w:iCs/>
      <w:sz w:val="24"/>
      <w:szCs w:val="24"/>
    </w:rPr>
  </w:style>
  <w:style w:type="character" w:customStyle="1" w:styleId="Heading9Char">
    <w:name w:val="Heading 9 Char"/>
    <w:basedOn w:val="DefaultParagraphFont"/>
    <w:link w:val="Heading9"/>
    <w:uiPriority w:val="9"/>
    <w:semiHidden/>
    <w:rsid w:val="006A21CD"/>
    <w:rPr>
      <w:rFonts w:asciiTheme="majorHAnsi" w:eastAsiaTheme="majorEastAsia" w:hAnsiTheme="majorHAnsi"/>
    </w:rPr>
  </w:style>
  <w:style w:type="paragraph" w:styleId="Title">
    <w:name w:val="Title"/>
    <w:basedOn w:val="Normal"/>
    <w:next w:val="Normal"/>
    <w:link w:val="TitleChar"/>
    <w:uiPriority w:val="10"/>
    <w:qFormat/>
    <w:rsid w:val="006A21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21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21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21CD"/>
    <w:rPr>
      <w:rFonts w:asciiTheme="majorHAnsi" w:eastAsiaTheme="majorEastAsia" w:hAnsiTheme="majorHAnsi"/>
      <w:sz w:val="24"/>
      <w:szCs w:val="24"/>
    </w:rPr>
  </w:style>
  <w:style w:type="character" w:styleId="Strong">
    <w:name w:val="Strong"/>
    <w:basedOn w:val="DefaultParagraphFont"/>
    <w:uiPriority w:val="22"/>
    <w:qFormat/>
    <w:rsid w:val="006A21CD"/>
    <w:rPr>
      <w:b/>
      <w:bCs/>
    </w:rPr>
  </w:style>
  <w:style w:type="character" w:styleId="Emphasis">
    <w:name w:val="Emphasis"/>
    <w:basedOn w:val="DefaultParagraphFont"/>
    <w:uiPriority w:val="20"/>
    <w:qFormat/>
    <w:rsid w:val="006A21CD"/>
    <w:rPr>
      <w:rFonts w:asciiTheme="minorHAnsi" w:hAnsiTheme="minorHAnsi"/>
      <w:b/>
      <w:i/>
      <w:iCs/>
    </w:rPr>
  </w:style>
  <w:style w:type="paragraph" w:styleId="NoSpacing">
    <w:name w:val="No Spacing"/>
    <w:basedOn w:val="Normal"/>
    <w:uiPriority w:val="1"/>
    <w:qFormat/>
    <w:rsid w:val="006A21CD"/>
    <w:rPr>
      <w:szCs w:val="32"/>
    </w:rPr>
  </w:style>
  <w:style w:type="paragraph" w:styleId="ListParagraph">
    <w:name w:val="List Paragraph"/>
    <w:basedOn w:val="Normal"/>
    <w:uiPriority w:val="34"/>
    <w:qFormat/>
    <w:rsid w:val="006A21CD"/>
    <w:pPr>
      <w:ind w:left="720"/>
      <w:contextualSpacing/>
    </w:pPr>
  </w:style>
  <w:style w:type="paragraph" w:styleId="Quote">
    <w:name w:val="Quote"/>
    <w:basedOn w:val="Normal"/>
    <w:next w:val="Normal"/>
    <w:link w:val="QuoteChar"/>
    <w:uiPriority w:val="29"/>
    <w:qFormat/>
    <w:rsid w:val="006A21CD"/>
    <w:rPr>
      <w:i/>
    </w:rPr>
  </w:style>
  <w:style w:type="character" w:customStyle="1" w:styleId="QuoteChar">
    <w:name w:val="Quote Char"/>
    <w:basedOn w:val="DefaultParagraphFont"/>
    <w:link w:val="Quote"/>
    <w:uiPriority w:val="29"/>
    <w:rsid w:val="006A21CD"/>
    <w:rPr>
      <w:i/>
      <w:sz w:val="24"/>
      <w:szCs w:val="24"/>
    </w:rPr>
  </w:style>
  <w:style w:type="paragraph" w:styleId="IntenseQuote">
    <w:name w:val="Intense Quote"/>
    <w:basedOn w:val="Normal"/>
    <w:next w:val="Normal"/>
    <w:link w:val="IntenseQuoteChar"/>
    <w:uiPriority w:val="30"/>
    <w:qFormat/>
    <w:rsid w:val="006A21CD"/>
    <w:pPr>
      <w:ind w:left="720" w:right="720"/>
    </w:pPr>
    <w:rPr>
      <w:b/>
      <w:i/>
      <w:szCs w:val="22"/>
    </w:rPr>
  </w:style>
  <w:style w:type="character" w:customStyle="1" w:styleId="IntenseQuoteChar">
    <w:name w:val="Intense Quote Char"/>
    <w:basedOn w:val="DefaultParagraphFont"/>
    <w:link w:val="IntenseQuote"/>
    <w:uiPriority w:val="30"/>
    <w:rsid w:val="006A21CD"/>
    <w:rPr>
      <w:b/>
      <w:i/>
      <w:sz w:val="24"/>
    </w:rPr>
  </w:style>
  <w:style w:type="character" w:styleId="SubtleEmphasis">
    <w:name w:val="Subtle Emphasis"/>
    <w:uiPriority w:val="19"/>
    <w:qFormat/>
    <w:rsid w:val="006A21CD"/>
    <w:rPr>
      <w:i/>
      <w:color w:val="5A5A5A" w:themeColor="text1" w:themeTint="A5"/>
    </w:rPr>
  </w:style>
  <w:style w:type="character" w:styleId="IntenseEmphasis">
    <w:name w:val="Intense Emphasis"/>
    <w:basedOn w:val="DefaultParagraphFont"/>
    <w:uiPriority w:val="21"/>
    <w:qFormat/>
    <w:rsid w:val="006A21CD"/>
    <w:rPr>
      <w:b/>
      <w:i/>
      <w:sz w:val="24"/>
      <w:szCs w:val="24"/>
      <w:u w:val="single"/>
    </w:rPr>
  </w:style>
  <w:style w:type="character" w:styleId="SubtleReference">
    <w:name w:val="Subtle Reference"/>
    <w:basedOn w:val="DefaultParagraphFont"/>
    <w:uiPriority w:val="31"/>
    <w:qFormat/>
    <w:rsid w:val="006A21CD"/>
    <w:rPr>
      <w:sz w:val="24"/>
      <w:szCs w:val="24"/>
      <w:u w:val="single"/>
    </w:rPr>
  </w:style>
  <w:style w:type="character" w:styleId="IntenseReference">
    <w:name w:val="Intense Reference"/>
    <w:basedOn w:val="DefaultParagraphFont"/>
    <w:uiPriority w:val="32"/>
    <w:qFormat/>
    <w:rsid w:val="006A21CD"/>
    <w:rPr>
      <w:b/>
      <w:sz w:val="24"/>
      <w:u w:val="single"/>
    </w:rPr>
  </w:style>
  <w:style w:type="character" w:styleId="BookTitle">
    <w:name w:val="Book Title"/>
    <w:basedOn w:val="DefaultParagraphFont"/>
    <w:uiPriority w:val="33"/>
    <w:qFormat/>
    <w:rsid w:val="006A21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21CD"/>
    <w:pPr>
      <w:outlineLvl w:val="9"/>
    </w:pPr>
  </w:style>
  <w:style w:type="character" w:styleId="Hyperlink">
    <w:name w:val="Hyperlink"/>
    <w:basedOn w:val="DefaultParagraphFont"/>
    <w:uiPriority w:val="99"/>
    <w:unhideWhenUsed/>
    <w:rsid w:val="00272B8A"/>
    <w:rPr>
      <w:color w:val="0000FF" w:themeColor="hyperlink"/>
      <w:u w:val="single"/>
    </w:rPr>
  </w:style>
  <w:style w:type="paragraph" w:styleId="BalloonText">
    <w:name w:val="Balloon Text"/>
    <w:basedOn w:val="Normal"/>
    <w:link w:val="BalloonTextChar"/>
    <w:uiPriority w:val="99"/>
    <w:semiHidden/>
    <w:unhideWhenUsed/>
    <w:rsid w:val="00272B8A"/>
    <w:rPr>
      <w:rFonts w:ascii="Tahoma" w:hAnsi="Tahoma" w:cs="Tahoma"/>
      <w:sz w:val="16"/>
      <w:szCs w:val="16"/>
    </w:rPr>
  </w:style>
  <w:style w:type="character" w:customStyle="1" w:styleId="BalloonTextChar">
    <w:name w:val="Balloon Text Char"/>
    <w:basedOn w:val="DefaultParagraphFont"/>
    <w:link w:val="BalloonText"/>
    <w:uiPriority w:val="99"/>
    <w:semiHidden/>
    <w:rsid w:val="00272B8A"/>
    <w:rPr>
      <w:rFonts w:ascii="Tahoma" w:hAnsi="Tahoma" w:cs="Tahoma"/>
      <w:sz w:val="16"/>
      <w:szCs w:val="16"/>
      <w:lang w:val="en-GB"/>
    </w:rPr>
  </w:style>
  <w:style w:type="paragraph" w:styleId="NormalWeb">
    <w:name w:val="Normal (Web)"/>
    <w:basedOn w:val="Normal"/>
    <w:uiPriority w:val="99"/>
    <w:unhideWhenUsed/>
    <w:rsid w:val="00272B8A"/>
    <w:pPr>
      <w:spacing w:before="100" w:beforeAutospacing="1" w:after="100" w:afterAutospacing="1"/>
    </w:pPr>
    <w:rPr>
      <w:rFonts w:ascii="Times New Roman" w:eastAsia="Times New Roman" w:hAnsi="Times New Roman"/>
      <w:lang w:eastAsia="en-GB" w:bidi="ar-SA"/>
    </w:rPr>
  </w:style>
  <w:style w:type="paragraph" w:styleId="Header">
    <w:name w:val="header"/>
    <w:basedOn w:val="Normal"/>
    <w:link w:val="HeaderChar"/>
    <w:uiPriority w:val="99"/>
    <w:semiHidden/>
    <w:unhideWhenUsed/>
    <w:rsid w:val="00272B8A"/>
    <w:pPr>
      <w:tabs>
        <w:tab w:val="center" w:pos="4513"/>
        <w:tab w:val="right" w:pos="9026"/>
      </w:tabs>
    </w:pPr>
  </w:style>
  <w:style w:type="character" w:customStyle="1" w:styleId="HeaderChar">
    <w:name w:val="Header Char"/>
    <w:basedOn w:val="DefaultParagraphFont"/>
    <w:link w:val="Header"/>
    <w:uiPriority w:val="99"/>
    <w:semiHidden/>
    <w:rsid w:val="00272B8A"/>
    <w:rPr>
      <w:sz w:val="24"/>
      <w:szCs w:val="24"/>
      <w:lang w:val="en-GB"/>
    </w:rPr>
  </w:style>
  <w:style w:type="paragraph" w:styleId="Footer">
    <w:name w:val="footer"/>
    <w:basedOn w:val="Normal"/>
    <w:link w:val="FooterChar"/>
    <w:uiPriority w:val="99"/>
    <w:unhideWhenUsed/>
    <w:rsid w:val="00272B8A"/>
    <w:pPr>
      <w:tabs>
        <w:tab w:val="center" w:pos="4513"/>
        <w:tab w:val="right" w:pos="9026"/>
      </w:tabs>
    </w:pPr>
  </w:style>
  <w:style w:type="character" w:customStyle="1" w:styleId="FooterChar">
    <w:name w:val="Footer Char"/>
    <w:basedOn w:val="DefaultParagraphFont"/>
    <w:link w:val="Footer"/>
    <w:uiPriority w:val="99"/>
    <w:rsid w:val="00272B8A"/>
    <w:rPr>
      <w:sz w:val="24"/>
      <w:szCs w:val="24"/>
      <w:lang w:val="en-GB"/>
    </w:rPr>
  </w:style>
  <w:style w:type="character" w:styleId="FollowedHyperlink">
    <w:name w:val="FollowedHyperlink"/>
    <w:basedOn w:val="DefaultParagraphFont"/>
    <w:uiPriority w:val="99"/>
    <w:semiHidden/>
    <w:unhideWhenUsed/>
    <w:rsid w:val="00FE7FB8"/>
    <w:rPr>
      <w:color w:val="800080" w:themeColor="followedHyperlink"/>
      <w:u w:val="single"/>
    </w:rPr>
  </w:style>
  <w:style w:type="paragraph" w:customStyle="1" w:styleId="BodyA">
    <w:name w:val="Body A"/>
    <w:rsid w:val="00C66163"/>
    <w:rPr>
      <w:rFonts w:ascii="Calibri" w:eastAsia="Calibri" w:hAnsi="Calibri" w:cs="Calibri"/>
      <w:color w:val="000000"/>
      <w:u w:color="000000"/>
      <w:lang w:eastAsia="lv-LV" w:bidi="ar-SA"/>
    </w:rPr>
  </w:style>
  <w:style w:type="paragraph" w:customStyle="1" w:styleId="References">
    <w:name w:val="References"/>
    <w:basedOn w:val="Normal"/>
    <w:link w:val="ReferencesChar"/>
    <w:qFormat/>
    <w:rsid w:val="00C66163"/>
    <w:pPr>
      <w:spacing w:after="120"/>
      <w:ind w:left="720" w:hanging="720"/>
    </w:pPr>
    <w:rPr>
      <w:rFonts w:eastAsiaTheme="minorEastAsia"/>
      <w:sz w:val="20"/>
      <w:lang w:bidi="ar-SA"/>
    </w:rPr>
  </w:style>
  <w:style w:type="character" w:customStyle="1" w:styleId="ReferencesChar">
    <w:name w:val="References Char"/>
    <w:basedOn w:val="DefaultParagraphFont"/>
    <w:link w:val="References"/>
    <w:rsid w:val="00C66163"/>
    <w:rPr>
      <w:rFonts w:eastAsiaTheme="minorEastAsia"/>
      <w:sz w:val="20"/>
      <w:szCs w:val="24"/>
      <w:lang w:val="en-GB" w:bidi="ar-SA"/>
    </w:rPr>
  </w:style>
  <w:style w:type="character" w:customStyle="1" w:styleId="A0">
    <w:name w:val="A0"/>
    <w:uiPriority w:val="99"/>
    <w:rsid w:val="00C66163"/>
    <w:rPr>
      <w:rFonts w:cs="Akzidenz Grotesk BE Medium"/>
      <w:color w:val="000000"/>
      <w:sz w:val="50"/>
      <w:szCs w:val="50"/>
    </w:rPr>
  </w:style>
  <w:style w:type="character" w:customStyle="1" w:styleId="A1">
    <w:name w:val="A1"/>
    <w:uiPriority w:val="99"/>
    <w:rsid w:val="00C66163"/>
    <w:rPr>
      <w:rFonts w:ascii="Akzidenz Grotesk BE Light" w:hAnsi="Akzidenz Grotesk BE Light" w:cs="Akzidenz Grotesk BE Light"/>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7348">
      <w:bodyDiv w:val="1"/>
      <w:marLeft w:val="0"/>
      <w:marRight w:val="0"/>
      <w:marTop w:val="0"/>
      <w:marBottom w:val="0"/>
      <w:divBdr>
        <w:top w:val="none" w:sz="0" w:space="0" w:color="auto"/>
        <w:left w:val="none" w:sz="0" w:space="0" w:color="auto"/>
        <w:bottom w:val="none" w:sz="0" w:space="0" w:color="auto"/>
        <w:right w:val="none" w:sz="0" w:space="0" w:color="auto"/>
      </w:divBdr>
      <w:divsChild>
        <w:div w:id="1526871434">
          <w:marLeft w:val="0"/>
          <w:marRight w:val="0"/>
          <w:marTop w:val="0"/>
          <w:marBottom w:val="0"/>
          <w:divBdr>
            <w:top w:val="none" w:sz="0" w:space="0" w:color="auto"/>
            <w:left w:val="none" w:sz="0" w:space="0" w:color="auto"/>
            <w:bottom w:val="none" w:sz="0" w:space="0" w:color="auto"/>
            <w:right w:val="none" w:sz="0" w:space="0" w:color="auto"/>
          </w:divBdr>
          <w:divsChild>
            <w:div w:id="1865358060">
              <w:marLeft w:val="0"/>
              <w:marRight w:val="0"/>
              <w:marTop w:val="0"/>
              <w:marBottom w:val="0"/>
              <w:divBdr>
                <w:top w:val="none" w:sz="0" w:space="0" w:color="auto"/>
                <w:left w:val="none" w:sz="0" w:space="0" w:color="auto"/>
                <w:bottom w:val="none" w:sz="0" w:space="0" w:color="auto"/>
                <w:right w:val="none" w:sz="0" w:space="0" w:color="auto"/>
              </w:divBdr>
              <w:divsChild>
                <w:div w:id="832449905">
                  <w:marLeft w:val="0"/>
                  <w:marRight w:val="0"/>
                  <w:marTop w:val="0"/>
                  <w:marBottom w:val="0"/>
                  <w:divBdr>
                    <w:top w:val="none" w:sz="0" w:space="0" w:color="auto"/>
                    <w:left w:val="none" w:sz="0" w:space="0" w:color="auto"/>
                    <w:bottom w:val="none" w:sz="0" w:space="0" w:color="auto"/>
                    <w:right w:val="none" w:sz="0" w:space="0" w:color="auto"/>
                  </w:divBdr>
                  <w:divsChild>
                    <w:div w:id="2073769802">
                      <w:marLeft w:val="0"/>
                      <w:marRight w:val="0"/>
                      <w:marTop w:val="0"/>
                      <w:marBottom w:val="0"/>
                      <w:divBdr>
                        <w:top w:val="none" w:sz="0" w:space="0" w:color="auto"/>
                        <w:left w:val="none" w:sz="0" w:space="0" w:color="auto"/>
                        <w:bottom w:val="none" w:sz="0" w:space="0" w:color="auto"/>
                        <w:right w:val="none" w:sz="0" w:space="0" w:color="auto"/>
                      </w:divBdr>
                      <w:divsChild>
                        <w:div w:id="1553806877">
                          <w:marLeft w:val="0"/>
                          <w:marRight w:val="0"/>
                          <w:marTop w:val="0"/>
                          <w:marBottom w:val="0"/>
                          <w:divBdr>
                            <w:top w:val="none" w:sz="0" w:space="0" w:color="auto"/>
                            <w:left w:val="none" w:sz="0" w:space="0" w:color="auto"/>
                            <w:bottom w:val="none" w:sz="0" w:space="0" w:color="auto"/>
                            <w:right w:val="none" w:sz="0" w:space="0" w:color="auto"/>
                          </w:divBdr>
                          <w:divsChild>
                            <w:div w:id="1828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3699">
      <w:bodyDiv w:val="1"/>
      <w:marLeft w:val="0"/>
      <w:marRight w:val="0"/>
      <w:marTop w:val="0"/>
      <w:marBottom w:val="0"/>
      <w:divBdr>
        <w:top w:val="none" w:sz="0" w:space="0" w:color="auto"/>
        <w:left w:val="none" w:sz="0" w:space="0" w:color="auto"/>
        <w:bottom w:val="none" w:sz="0" w:space="0" w:color="auto"/>
        <w:right w:val="none" w:sz="0" w:space="0" w:color="auto"/>
      </w:divBdr>
      <w:divsChild>
        <w:div w:id="1424688505">
          <w:marLeft w:val="0"/>
          <w:marRight w:val="0"/>
          <w:marTop w:val="0"/>
          <w:marBottom w:val="0"/>
          <w:divBdr>
            <w:top w:val="none" w:sz="0" w:space="0" w:color="auto"/>
            <w:left w:val="none" w:sz="0" w:space="0" w:color="auto"/>
            <w:bottom w:val="none" w:sz="0" w:space="0" w:color="auto"/>
            <w:right w:val="none" w:sz="0" w:space="0" w:color="auto"/>
          </w:divBdr>
          <w:divsChild>
            <w:div w:id="308021467">
              <w:marLeft w:val="0"/>
              <w:marRight w:val="0"/>
              <w:marTop w:val="0"/>
              <w:marBottom w:val="0"/>
              <w:divBdr>
                <w:top w:val="none" w:sz="0" w:space="0" w:color="auto"/>
                <w:left w:val="none" w:sz="0" w:space="0" w:color="auto"/>
                <w:bottom w:val="none" w:sz="0" w:space="0" w:color="auto"/>
                <w:right w:val="none" w:sz="0" w:space="0" w:color="auto"/>
              </w:divBdr>
              <w:divsChild>
                <w:div w:id="1467896751">
                  <w:marLeft w:val="0"/>
                  <w:marRight w:val="0"/>
                  <w:marTop w:val="0"/>
                  <w:marBottom w:val="0"/>
                  <w:divBdr>
                    <w:top w:val="none" w:sz="0" w:space="0" w:color="auto"/>
                    <w:left w:val="none" w:sz="0" w:space="0" w:color="auto"/>
                    <w:bottom w:val="none" w:sz="0" w:space="0" w:color="auto"/>
                    <w:right w:val="none" w:sz="0" w:space="0" w:color="auto"/>
                  </w:divBdr>
                  <w:divsChild>
                    <w:div w:id="858351218">
                      <w:marLeft w:val="0"/>
                      <w:marRight w:val="0"/>
                      <w:marTop w:val="0"/>
                      <w:marBottom w:val="0"/>
                      <w:divBdr>
                        <w:top w:val="none" w:sz="0" w:space="0" w:color="auto"/>
                        <w:left w:val="none" w:sz="0" w:space="0" w:color="auto"/>
                        <w:bottom w:val="none" w:sz="0" w:space="0" w:color="auto"/>
                        <w:right w:val="none" w:sz="0" w:space="0" w:color="auto"/>
                      </w:divBdr>
                      <w:divsChild>
                        <w:div w:id="816342721">
                          <w:marLeft w:val="0"/>
                          <w:marRight w:val="0"/>
                          <w:marTop w:val="0"/>
                          <w:marBottom w:val="0"/>
                          <w:divBdr>
                            <w:top w:val="none" w:sz="0" w:space="0" w:color="auto"/>
                            <w:left w:val="none" w:sz="0" w:space="0" w:color="auto"/>
                            <w:bottom w:val="none" w:sz="0" w:space="0" w:color="auto"/>
                            <w:right w:val="none" w:sz="0" w:space="0" w:color="auto"/>
                          </w:divBdr>
                          <w:divsChild>
                            <w:div w:id="20809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9789">
      <w:bodyDiv w:val="1"/>
      <w:marLeft w:val="0"/>
      <w:marRight w:val="0"/>
      <w:marTop w:val="0"/>
      <w:marBottom w:val="0"/>
      <w:divBdr>
        <w:top w:val="none" w:sz="0" w:space="0" w:color="auto"/>
        <w:left w:val="none" w:sz="0" w:space="0" w:color="auto"/>
        <w:bottom w:val="none" w:sz="0" w:space="0" w:color="auto"/>
        <w:right w:val="none" w:sz="0" w:space="0" w:color="auto"/>
      </w:divBdr>
      <w:divsChild>
        <w:div w:id="1624117145">
          <w:marLeft w:val="547"/>
          <w:marRight w:val="0"/>
          <w:marTop w:val="0"/>
          <w:marBottom w:val="0"/>
          <w:divBdr>
            <w:top w:val="none" w:sz="0" w:space="0" w:color="auto"/>
            <w:left w:val="none" w:sz="0" w:space="0" w:color="auto"/>
            <w:bottom w:val="none" w:sz="0" w:space="0" w:color="auto"/>
            <w:right w:val="none" w:sz="0" w:space="0" w:color="auto"/>
          </w:divBdr>
        </w:div>
        <w:div w:id="1728258951">
          <w:marLeft w:val="547"/>
          <w:marRight w:val="0"/>
          <w:marTop w:val="0"/>
          <w:marBottom w:val="0"/>
          <w:divBdr>
            <w:top w:val="none" w:sz="0" w:space="0" w:color="auto"/>
            <w:left w:val="none" w:sz="0" w:space="0" w:color="auto"/>
            <w:bottom w:val="none" w:sz="0" w:space="0" w:color="auto"/>
            <w:right w:val="none" w:sz="0" w:space="0" w:color="auto"/>
          </w:divBdr>
        </w:div>
      </w:divsChild>
    </w:div>
    <w:div w:id="735785154">
      <w:bodyDiv w:val="1"/>
      <w:marLeft w:val="0"/>
      <w:marRight w:val="0"/>
      <w:marTop w:val="0"/>
      <w:marBottom w:val="0"/>
      <w:divBdr>
        <w:top w:val="none" w:sz="0" w:space="0" w:color="auto"/>
        <w:left w:val="none" w:sz="0" w:space="0" w:color="auto"/>
        <w:bottom w:val="none" w:sz="0" w:space="0" w:color="auto"/>
        <w:right w:val="none" w:sz="0" w:space="0" w:color="auto"/>
      </w:divBdr>
      <w:divsChild>
        <w:div w:id="597517717">
          <w:marLeft w:val="0"/>
          <w:marRight w:val="0"/>
          <w:marTop w:val="0"/>
          <w:marBottom w:val="0"/>
          <w:divBdr>
            <w:top w:val="none" w:sz="0" w:space="0" w:color="auto"/>
            <w:left w:val="none" w:sz="0" w:space="0" w:color="auto"/>
            <w:bottom w:val="none" w:sz="0" w:space="0" w:color="auto"/>
            <w:right w:val="none" w:sz="0" w:space="0" w:color="auto"/>
          </w:divBdr>
          <w:divsChild>
            <w:div w:id="399180441">
              <w:marLeft w:val="0"/>
              <w:marRight w:val="0"/>
              <w:marTop w:val="0"/>
              <w:marBottom w:val="0"/>
              <w:divBdr>
                <w:top w:val="none" w:sz="0" w:space="0" w:color="auto"/>
                <w:left w:val="none" w:sz="0" w:space="0" w:color="auto"/>
                <w:bottom w:val="none" w:sz="0" w:space="0" w:color="auto"/>
                <w:right w:val="none" w:sz="0" w:space="0" w:color="auto"/>
              </w:divBdr>
              <w:divsChild>
                <w:div w:id="1216887522">
                  <w:marLeft w:val="0"/>
                  <w:marRight w:val="0"/>
                  <w:marTop w:val="0"/>
                  <w:marBottom w:val="0"/>
                  <w:divBdr>
                    <w:top w:val="none" w:sz="0" w:space="0" w:color="auto"/>
                    <w:left w:val="none" w:sz="0" w:space="0" w:color="auto"/>
                    <w:bottom w:val="none" w:sz="0" w:space="0" w:color="auto"/>
                    <w:right w:val="none" w:sz="0" w:space="0" w:color="auto"/>
                  </w:divBdr>
                  <w:divsChild>
                    <w:div w:id="1724137068">
                      <w:marLeft w:val="0"/>
                      <w:marRight w:val="0"/>
                      <w:marTop w:val="0"/>
                      <w:marBottom w:val="0"/>
                      <w:divBdr>
                        <w:top w:val="none" w:sz="0" w:space="0" w:color="auto"/>
                        <w:left w:val="none" w:sz="0" w:space="0" w:color="auto"/>
                        <w:bottom w:val="none" w:sz="0" w:space="0" w:color="auto"/>
                        <w:right w:val="none" w:sz="0" w:space="0" w:color="auto"/>
                      </w:divBdr>
                      <w:divsChild>
                        <w:div w:id="1976595430">
                          <w:marLeft w:val="0"/>
                          <w:marRight w:val="0"/>
                          <w:marTop w:val="0"/>
                          <w:marBottom w:val="0"/>
                          <w:divBdr>
                            <w:top w:val="none" w:sz="0" w:space="0" w:color="auto"/>
                            <w:left w:val="none" w:sz="0" w:space="0" w:color="auto"/>
                            <w:bottom w:val="none" w:sz="0" w:space="0" w:color="auto"/>
                            <w:right w:val="none" w:sz="0" w:space="0" w:color="auto"/>
                          </w:divBdr>
                          <w:divsChild>
                            <w:div w:id="13534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11205">
      <w:bodyDiv w:val="1"/>
      <w:marLeft w:val="0"/>
      <w:marRight w:val="0"/>
      <w:marTop w:val="0"/>
      <w:marBottom w:val="0"/>
      <w:divBdr>
        <w:top w:val="none" w:sz="0" w:space="0" w:color="auto"/>
        <w:left w:val="none" w:sz="0" w:space="0" w:color="auto"/>
        <w:bottom w:val="none" w:sz="0" w:space="0" w:color="auto"/>
        <w:right w:val="none" w:sz="0" w:space="0" w:color="auto"/>
      </w:divBdr>
      <w:divsChild>
        <w:div w:id="664239594">
          <w:marLeft w:val="0"/>
          <w:marRight w:val="0"/>
          <w:marTop w:val="0"/>
          <w:marBottom w:val="0"/>
          <w:divBdr>
            <w:top w:val="none" w:sz="0" w:space="0" w:color="auto"/>
            <w:left w:val="none" w:sz="0" w:space="0" w:color="auto"/>
            <w:bottom w:val="none" w:sz="0" w:space="0" w:color="auto"/>
            <w:right w:val="none" w:sz="0" w:space="0" w:color="auto"/>
          </w:divBdr>
          <w:divsChild>
            <w:div w:id="737168257">
              <w:marLeft w:val="0"/>
              <w:marRight w:val="0"/>
              <w:marTop w:val="0"/>
              <w:marBottom w:val="0"/>
              <w:divBdr>
                <w:top w:val="none" w:sz="0" w:space="0" w:color="auto"/>
                <w:left w:val="none" w:sz="0" w:space="0" w:color="auto"/>
                <w:bottom w:val="none" w:sz="0" w:space="0" w:color="auto"/>
                <w:right w:val="none" w:sz="0" w:space="0" w:color="auto"/>
              </w:divBdr>
              <w:divsChild>
                <w:div w:id="853421160">
                  <w:marLeft w:val="0"/>
                  <w:marRight w:val="0"/>
                  <w:marTop w:val="0"/>
                  <w:marBottom w:val="0"/>
                  <w:divBdr>
                    <w:top w:val="none" w:sz="0" w:space="0" w:color="auto"/>
                    <w:left w:val="none" w:sz="0" w:space="0" w:color="auto"/>
                    <w:bottom w:val="none" w:sz="0" w:space="0" w:color="auto"/>
                    <w:right w:val="none" w:sz="0" w:space="0" w:color="auto"/>
                  </w:divBdr>
                  <w:divsChild>
                    <w:div w:id="1666935013">
                      <w:marLeft w:val="0"/>
                      <w:marRight w:val="0"/>
                      <w:marTop w:val="0"/>
                      <w:marBottom w:val="0"/>
                      <w:divBdr>
                        <w:top w:val="none" w:sz="0" w:space="0" w:color="auto"/>
                        <w:left w:val="none" w:sz="0" w:space="0" w:color="auto"/>
                        <w:bottom w:val="none" w:sz="0" w:space="0" w:color="auto"/>
                        <w:right w:val="none" w:sz="0" w:space="0" w:color="auto"/>
                      </w:divBdr>
                      <w:divsChild>
                        <w:div w:id="811291096">
                          <w:marLeft w:val="0"/>
                          <w:marRight w:val="0"/>
                          <w:marTop w:val="0"/>
                          <w:marBottom w:val="0"/>
                          <w:divBdr>
                            <w:top w:val="none" w:sz="0" w:space="0" w:color="auto"/>
                            <w:left w:val="none" w:sz="0" w:space="0" w:color="auto"/>
                            <w:bottom w:val="none" w:sz="0" w:space="0" w:color="auto"/>
                            <w:right w:val="none" w:sz="0" w:space="0" w:color="auto"/>
                          </w:divBdr>
                          <w:divsChild>
                            <w:div w:id="259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0521">
      <w:bodyDiv w:val="1"/>
      <w:marLeft w:val="0"/>
      <w:marRight w:val="0"/>
      <w:marTop w:val="0"/>
      <w:marBottom w:val="0"/>
      <w:divBdr>
        <w:top w:val="none" w:sz="0" w:space="0" w:color="auto"/>
        <w:left w:val="none" w:sz="0" w:space="0" w:color="auto"/>
        <w:bottom w:val="none" w:sz="0" w:space="0" w:color="auto"/>
        <w:right w:val="none" w:sz="0" w:space="0" w:color="auto"/>
      </w:divBdr>
      <w:divsChild>
        <w:div w:id="1151604532">
          <w:marLeft w:val="0"/>
          <w:marRight w:val="0"/>
          <w:marTop w:val="0"/>
          <w:marBottom w:val="0"/>
          <w:divBdr>
            <w:top w:val="none" w:sz="0" w:space="0" w:color="auto"/>
            <w:left w:val="none" w:sz="0" w:space="0" w:color="auto"/>
            <w:bottom w:val="none" w:sz="0" w:space="0" w:color="auto"/>
            <w:right w:val="none" w:sz="0" w:space="0" w:color="auto"/>
          </w:divBdr>
          <w:divsChild>
            <w:div w:id="706872005">
              <w:marLeft w:val="0"/>
              <w:marRight w:val="0"/>
              <w:marTop w:val="0"/>
              <w:marBottom w:val="0"/>
              <w:divBdr>
                <w:top w:val="none" w:sz="0" w:space="0" w:color="auto"/>
                <w:left w:val="none" w:sz="0" w:space="0" w:color="auto"/>
                <w:bottom w:val="none" w:sz="0" w:space="0" w:color="auto"/>
                <w:right w:val="none" w:sz="0" w:space="0" w:color="auto"/>
              </w:divBdr>
              <w:divsChild>
                <w:div w:id="1905412419">
                  <w:marLeft w:val="0"/>
                  <w:marRight w:val="0"/>
                  <w:marTop w:val="0"/>
                  <w:marBottom w:val="0"/>
                  <w:divBdr>
                    <w:top w:val="none" w:sz="0" w:space="0" w:color="auto"/>
                    <w:left w:val="none" w:sz="0" w:space="0" w:color="auto"/>
                    <w:bottom w:val="none" w:sz="0" w:space="0" w:color="auto"/>
                    <w:right w:val="none" w:sz="0" w:space="0" w:color="auto"/>
                  </w:divBdr>
                  <w:divsChild>
                    <w:div w:id="1122918830">
                      <w:marLeft w:val="0"/>
                      <w:marRight w:val="0"/>
                      <w:marTop w:val="0"/>
                      <w:marBottom w:val="0"/>
                      <w:divBdr>
                        <w:top w:val="none" w:sz="0" w:space="0" w:color="auto"/>
                        <w:left w:val="none" w:sz="0" w:space="0" w:color="auto"/>
                        <w:bottom w:val="none" w:sz="0" w:space="0" w:color="auto"/>
                        <w:right w:val="none" w:sz="0" w:space="0" w:color="auto"/>
                      </w:divBdr>
                      <w:divsChild>
                        <w:div w:id="1685086410">
                          <w:marLeft w:val="0"/>
                          <w:marRight w:val="0"/>
                          <w:marTop w:val="0"/>
                          <w:marBottom w:val="0"/>
                          <w:divBdr>
                            <w:top w:val="none" w:sz="0" w:space="0" w:color="auto"/>
                            <w:left w:val="none" w:sz="0" w:space="0" w:color="auto"/>
                            <w:bottom w:val="none" w:sz="0" w:space="0" w:color="auto"/>
                            <w:right w:val="none" w:sz="0" w:space="0" w:color="auto"/>
                          </w:divBdr>
                          <w:divsChild>
                            <w:div w:id="6669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976">
      <w:bodyDiv w:val="1"/>
      <w:marLeft w:val="0"/>
      <w:marRight w:val="0"/>
      <w:marTop w:val="0"/>
      <w:marBottom w:val="0"/>
      <w:divBdr>
        <w:top w:val="none" w:sz="0" w:space="0" w:color="auto"/>
        <w:left w:val="none" w:sz="0" w:space="0" w:color="auto"/>
        <w:bottom w:val="none" w:sz="0" w:space="0" w:color="auto"/>
        <w:right w:val="none" w:sz="0" w:space="0" w:color="auto"/>
      </w:divBdr>
      <w:divsChild>
        <w:div w:id="1163622107">
          <w:marLeft w:val="835"/>
          <w:marRight w:val="0"/>
          <w:marTop w:val="163"/>
          <w:marBottom w:val="0"/>
          <w:divBdr>
            <w:top w:val="none" w:sz="0" w:space="0" w:color="auto"/>
            <w:left w:val="none" w:sz="0" w:space="0" w:color="auto"/>
            <w:bottom w:val="none" w:sz="0" w:space="0" w:color="auto"/>
            <w:right w:val="none" w:sz="0" w:space="0" w:color="auto"/>
          </w:divBdr>
        </w:div>
        <w:div w:id="1396199556">
          <w:marLeft w:val="835"/>
          <w:marRight w:val="0"/>
          <w:marTop w:val="96"/>
          <w:marBottom w:val="0"/>
          <w:divBdr>
            <w:top w:val="none" w:sz="0" w:space="0" w:color="auto"/>
            <w:left w:val="none" w:sz="0" w:space="0" w:color="auto"/>
            <w:bottom w:val="none" w:sz="0" w:space="0" w:color="auto"/>
            <w:right w:val="none" w:sz="0" w:space="0" w:color="auto"/>
          </w:divBdr>
        </w:div>
        <w:div w:id="183788998">
          <w:marLeft w:val="835"/>
          <w:marRight w:val="0"/>
          <w:marTop w:val="96"/>
          <w:marBottom w:val="0"/>
          <w:divBdr>
            <w:top w:val="none" w:sz="0" w:space="0" w:color="auto"/>
            <w:left w:val="none" w:sz="0" w:space="0" w:color="auto"/>
            <w:bottom w:val="none" w:sz="0" w:space="0" w:color="auto"/>
            <w:right w:val="none" w:sz="0" w:space="0" w:color="auto"/>
          </w:divBdr>
        </w:div>
        <w:div w:id="236794882">
          <w:marLeft w:val="835"/>
          <w:marRight w:val="0"/>
          <w:marTop w:val="96"/>
          <w:marBottom w:val="0"/>
          <w:divBdr>
            <w:top w:val="none" w:sz="0" w:space="0" w:color="auto"/>
            <w:left w:val="none" w:sz="0" w:space="0" w:color="auto"/>
            <w:bottom w:val="none" w:sz="0" w:space="0" w:color="auto"/>
            <w:right w:val="none" w:sz="0" w:space="0" w:color="auto"/>
          </w:divBdr>
        </w:div>
        <w:div w:id="1329094262">
          <w:marLeft w:val="835"/>
          <w:marRight w:val="0"/>
          <w:marTop w:val="96"/>
          <w:marBottom w:val="0"/>
          <w:divBdr>
            <w:top w:val="none" w:sz="0" w:space="0" w:color="auto"/>
            <w:left w:val="none" w:sz="0" w:space="0" w:color="auto"/>
            <w:bottom w:val="none" w:sz="0" w:space="0" w:color="auto"/>
            <w:right w:val="none" w:sz="0" w:space="0" w:color="auto"/>
          </w:divBdr>
        </w:div>
        <w:div w:id="150678287">
          <w:marLeft w:val="835"/>
          <w:marRight w:val="0"/>
          <w:marTop w:val="96"/>
          <w:marBottom w:val="0"/>
          <w:divBdr>
            <w:top w:val="none" w:sz="0" w:space="0" w:color="auto"/>
            <w:left w:val="none" w:sz="0" w:space="0" w:color="auto"/>
            <w:bottom w:val="none" w:sz="0" w:space="0" w:color="auto"/>
            <w:right w:val="none" w:sz="0" w:space="0" w:color="auto"/>
          </w:divBdr>
        </w:div>
        <w:div w:id="1726218897">
          <w:marLeft w:val="835"/>
          <w:marRight w:val="0"/>
          <w:marTop w:val="154"/>
          <w:marBottom w:val="0"/>
          <w:divBdr>
            <w:top w:val="none" w:sz="0" w:space="0" w:color="auto"/>
            <w:left w:val="none" w:sz="0" w:space="0" w:color="auto"/>
            <w:bottom w:val="none" w:sz="0" w:space="0" w:color="auto"/>
            <w:right w:val="none" w:sz="0" w:space="0" w:color="auto"/>
          </w:divBdr>
        </w:div>
        <w:div w:id="1947342944">
          <w:marLeft w:val="835"/>
          <w:marRight w:val="0"/>
          <w:marTop w:val="125"/>
          <w:marBottom w:val="0"/>
          <w:divBdr>
            <w:top w:val="none" w:sz="0" w:space="0" w:color="auto"/>
            <w:left w:val="none" w:sz="0" w:space="0" w:color="auto"/>
            <w:bottom w:val="none" w:sz="0" w:space="0" w:color="auto"/>
            <w:right w:val="none" w:sz="0" w:space="0" w:color="auto"/>
          </w:divBdr>
        </w:div>
        <w:div w:id="769393976">
          <w:marLeft w:val="835"/>
          <w:marRight w:val="0"/>
          <w:marTop w:val="125"/>
          <w:marBottom w:val="0"/>
          <w:divBdr>
            <w:top w:val="none" w:sz="0" w:space="0" w:color="auto"/>
            <w:left w:val="none" w:sz="0" w:space="0" w:color="auto"/>
            <w:bottom w:val="none" w:sz="0" w:space="0" w:color="auto"/>
            <w:right w:val="none" w:sz="0" w:space="0" w:color="auto"/>
          </w:divBdr>
        </w:div>
        <w:div w:id="1289094112">
          <w:marLeft w:val="1166"/>
          <w:marRight w:val="0"/>
          <w:marTop w:val="134"/>
          <w:marBottom w:val="0"/>
          <w:divBdr>
            <w:top w:val="none" w:sz="0" w:space="0" w:color="auto"/>
            <w:left w:val="none" w:sz="0" w:space="0" w:color="auto"/>
            <w:bottom w:val="none" w:sz="0" w:space="0" w:color="auto"/>
            <w:right w:val="none" w:sz="0" w:space="0" w:color="auto"/>
          </w:divBdr>
        </w:div>
        <w:div w:id="704211841">
          <w:marLeft w:val="1166"/>
          <w:marRight w:val="0"/>
          <w:marTop w:val="134"/>
          <w:marBottom w:val="0"/>
          <w:divBdr>
            <w:top w:val="none" w:sz="0" w:space="0" w:color="auto"/>
            <w:left w:val="none" w:sz="0" w:space="0" w:color="auto"/>
            <w:bottom w:val="none" w:sz="0" w:space="0" w:color="auto"/>
            <w:right w:val="none" w:sz="0" w:space="0" w:color="auto"/>
          </w:divBdr>
        </w:div>
        <w:div w:id="1796097950">
          <w:marLeft w:val="1166"/>
          <w:marRight w:val="0"/>
          <w:marTop w:val="134"/>
          <w:marBottom w:val="0"/>
          <w:divBdr>
            <w:top w:val="none" w:sz="0" w:space="0" w:color="auto"/>
            <w:left w:val="none" w:sz="0" w:space="0" w:color="auto"/>
            <w:bottom w:val="none" w:sz="0" w:space="0" w:color="auto"/>
            <w:right w:val="none" w:sz="0" w:space="0" w:color="auto"/>
          </w:divBdr>
        </w:div>
        <w:div w:id="121503874">
          <w:marLeft w:val="1166"/>
          <w:marRight w:val="0"/>
          <w:marTop w:val="134"/>
          <w:marBottom w:val="0"/>
          <w:divBdr>
            <w:top w:val="none" w:sz="0" w:space="0" w:color="auto"/>
            <w:left w:val="none" w:sz="0" w:space="0" w:color="auto"/>
            <w:bottom w:val="none" w:sz="0" w:space="0" w:color="auto"/>
            <w:right w:val="none" w:sz="0" w:space="0" w:color="auto"/>
          </w:divBdr>
        </w:div>
        <w:div w:id="1939478866">
          <w:marLeft w:val="835"/>
          <w:marRight w:val="0"/>
          <w:marTop w:val="154"/>
          <w:marBottom w:val="0"/>
          <w:divBdr>
            <w:top w:val="none" w:sz="0" w:space="0" w:color="auto"/>
            <w:left w:val="none" w:sz="0" w:space="0" w:color="auto"/>
            <w:bottom w:val="none" w:sz="0" w:space="0" w:color="auto"/>
            <w:right w:val="none" w:sz="0" w:space="0" w:color="auto"/>
          </w:divBdr>
        </w:div>
        <w:div w:id="1801728838">
          <w:marLeft w:val="835"/>
          <w:marRight w:val="0"/>
          <w:marTop w:val="154"/>
          <w:marBottom w:val="0"/>
          <w:divBdr>
            <w:top w:val="none" w:sz="0" w:space="0" w:color="auto"/>
            <w:left w:val="none" w:sz="0" w:space="0" w:color="auto"/>
            <w:bottom w:val="none" w:sz="0" w:space="0" w:color="auto"/>
            <w:right w:val="none" w:sz="0" w:space="0" w:color="auto"/>
          </w:divBdr>
        </w:div>
        <w:div w:id="740373586">
          <w:marLeft w:val="835"/>
          <w:marRight w:val="0"/>
          <w:marTop w:val="154"/>
          <w:marBottom w:val="0"/>
          <w:divBdr>
            <w:top w:val="none" w:sz="0" w:space="0" w:color="auto"/>
            <w:left w:val="none" w:sz="0" w:space="0" w:color="auto"/>
            <w:bottom w:val="none" w:sz="0" w:space="0" w:color="auto"/>
            <w:right w:val="none" w:sz="0" w:space="0" w:color="auto"/>
          </w:divBdr>
        </w:div>
        <w:div w:id="1839881134">
          <w:marLeft w:val="835"/>
          <w:marRight w:val="0"/>
          <w:marTop w:val="154"/>
          <w:marBottom w:val="0"/>
          <w:divBdr>
            <w:top w:val="none" w:sz="0" w:space="0" w:color="auto"/>
            <w:left w:val="none" w:sz="0" w:space="0" w:color="auto"/>
            <w:bottom w:val="none" w:sz="0" w:space="0" w:color="auto"/>
            <w:right w:val="none" w:sz="0" w:space="0" w:color="auto"/>
          </w:divBdr>
        </w:div>
        <w:div w:id="1388453671">
          <w:marLeft w:val="835"/>
          <w:marRight w:val="0"/>
          <w:marTop w:val="154"/>
          <w:marBottom w:val="0"/>
          <w:divBdr>
            <w:top w:val="none" w:sz="0" w:space="0" w:color="auto"/>
            <w:left w:val="none" w:sz="0" w:space="0" w:color="auto"/>
            <w:bottom w:val="none" w:sz="0" w:space="0" w:color="auto"/>
            <w:right w:val="none" w:sz="0" w:space="0" w:color="auto"/>
          </w:divBdr>
        </w:div>
        <w:div w:id="1988823826">
          <w:marLeft w:val="835"/>
          <w:marRight w:val="0"/>
          <w:marTop w:val="115"/>
          <w:marBottom w:val="0"/>
          <w:divBdr>
            <w:top w:val="none" w:sz="0" w:space="0" w:color="auto"/>
            <w:left w:val="none" w:sz="0" w:space="0" w:color="auto"/>
            <w:bottom w:val="none" w:sz="0" w:space="0" w:color="auto"/>
            <w:right w:val="none" w:sz="0" w:space="0" w:color="auto"/>
          </w:divBdr>
        </w:div>
        <w:div w:id="1207109086">
          <w:marLeft w:val="835"/>
          <w:marRight w:val="0"/>
          <w:marTop w:val="115"/>
          <w:marBottom w:val="0"/>
          <w:divBdr>
            <w:top w:val="none" w:sz="0" w:space="0" w:color="auto"/>
            <w:left w:val="none" w:sz="0" w:space="0" w:color="auto"/>
            <w:bottom w:val="none" w:sz="0" w:space="0" w:color="auto"/>
            <w:right w:val="none" w:sz="0" w:space="0" w:color="auto"/>
          </w:divBdr>
        </w:div>
        <w:div w:id="293562654">
          <w:marLeft w:val="835"/>
          <w:marRight w:val="0"/>
          <w:marTop w:val="115"/>
          <w:marBottom w:val="0"/>
          <w:divBdr>
            <w:top w:val="none" w:sz="0" w:space="0" w:color="auto"/>
            <w:left w:val="none" w:sz="0" w:space="0" w:color="auto"/>
            <w:bottom w:val="none" w:sz="0" w:space="0" w:color="auto"/>
            <w:right w:val="none" w:sz="0" w:space="0" w:color="auto"/>
          </w:divBdr>
        </w:div>
        <w:div w:id="1114137576">
          <w:marLeft w:val="835"/>
          <w:marRight w:val="0"/>
          <w:marTop w:val="154"/>
          <w:marBottom w:val="0"/>
          <w:divBdr>
            <w:top w:val="none" w:sz="0" w:space="0" w:color="auto"/>
            <w:left w:val="none" w:sz="0" w:space="0" w:color="auto"/>
            <w:bottom w:val="none" w:sz="0" w:space="0" w:color="auto"/>
            <w:right w:val="none" w:sz="0" w:space="0" w:color="auto"/>
          </w:divBdr>
        </w:div>
        <w:div w:id="398747834">
          <w:marLeft w:val="835"/>
          <w:marRight w:val="0"/>
          <w:marTop w:val="154"/>
          <w:marBottom w:val="0"/>
          <w:divBdr>
            <w:top w:val="none" w:sz="0" w:space="0" w:color="auto"/>
            <w:left w:val="none" w:sz="0" w:space="0" w:color="auto"/>
            <w:bottom w:val="none" w:sz="0" w:space="0" w:color="auto"/>
            <w:right w:val="none" w:sz="0" w:space="0" w:color="auto"/>
          </w:divBdr>
        </w:div>
        <w:div w:id="1520008126">
          <w:marLeft w:val="835"/>
          <w:marRight w:val="0"/>
          <w:marTop w:val="154"/>
          <w:marBottom w:val="0"/>
          <w:divBdr>
            <w:top w:val="none" w:sz="0" w:space="0" w:color="auto"/>
            <w:left w:val="none" w:sz="0" w:space="0" w:color="auto"/>
            <w:bottom w:val="none" w:sz="0" w:space="0" w:color="auto"/>
            <w:right w:val="none" w:sz="0" w:space="0" w:color="auto"/>
          </w:divBdr>
        </w:div>
        <w:div w:id="1382245037">
          <w:marLeft w:val="835"/>
          <w:marRight w:val="0"/>
          <w:marTop w:val="154"/>
          <w:marBottom w:val="0"/>
          <w:divBdr>
            <w:top w:val="none" w:sz="0" w:space="0" w:color="auto"/>
            <w:left w:val="none" w:sz="0" w:space="0" w:color="auto"/>
            <w:bottom w:val="none" w:sz="0" w:space="0" w:color="auto"/>
            <w:right w:val="none" w:sz="0" w:space="0" w:color="auto"/>
          </w:divBdr>
        </w:div>
        <w:div w:id="924192091">
          <w:marLeft w:val="835"/>
          <w:marRight w:val="0"/>
          <w:marTop w:val="125"/>
          <w:marBottom w:val="0"/>
          <w:divBdr>
            <w:top w:val="none" w:sz="0" w:space="0" w:color="auto"/>
            <w:left w:val="none" w:sz="0" w:space="0" w:color="auto"/>
            <w:bottom w:val="none" w:sz="0" w:space="0" w:color="auto"/>
            <w:right w:val="none" w:sz="0" w:space="0" w:color="auto"/>
          </w:divBdr>
        </w:div>
        <w:div w:id="1992245363">
          <w:marLeft w:val="835"/>
          <w:marRight w:val="0"/>
          <w:marTop w:val="125"/>
          <w:marBottom w:val="0"/>
          <w:divBdr>
            <w:top w:val="none" w:sz="0" w:space="0" w:color="auto"/>
            <w:left w:val="none" w:sz="0" w:space="0" w:color="auto"/>
            <w:bottom w:val="none" w:sz="0" w:space="0" w:color="auto"/>
            <w:right w:val="none" w:sz="0" w:space="0" w:color="auto"/>
          </w:divBdr>
        </w:div>
        <w:div w:id="515077677">
          <w:marLeft w:val="835"/>
          <w:marRight w:val="0"/>
          <w:marTop w:val="125"/>
          <w:marBottom w:val="0"/>
          <w:divBdr>
            <w:top w:val="none" w:sz="0" w:space="0" w:color="auto"/>
            <w:left w:val="none" w:sz="0" w:space="0" w:color="auto"/>
            <w:bottom w:val="none" w:sz="0" w:space="0" w:color="auto"/>
            <w:right w:val="none" w:sz="0" w:space="0" w:color="auto"/>
          </w:divBdr>
        </w:div>
        <w:div w:id="1378702856">
          <w:marLeft w:val="835"/>
          <w:marRight w:val="0"/>
          <w:marTop w:val="125"/>
          <w:marBottom w:val="0"/>
          <w:divBdr>
            <w:top w:val="none" w:sz="0" w:space="0" w:color="auto"/>
            <w:left w:val="none" w:sz="0" w:space="0" w:color="auto"/>
            <w:bottom w:val="none" w:sz="0" w:space="0" w:color="auto"/>
            <w:right w:val="none" w:sz="0" w:space="0" w:color="auto"/>
          </w:divBdr>
        </w:div>
        <w:div w:id="128087247">
          <w:marLeft w:val="835"/>
          <w:marRight w:val="0"/>
          <w:marTop w:val="125"/>
          <w:marBottom w:val="0"/>
          <w:divBdr>
            <w:top w:val="none" w:sz="0" w:space="0" w:color="auto"/>
            <w:left w:val="none" w:sz="0" w:space="0" w:color="auto"/>
            <w:bottom w:val="none" w:sz="0" w:space="0" w:color="auto"/>
            <w:right w:val="none" w:sz="0" w:space="0" w:color="auto"/>
          </w:divBdr>
        </w:div>
        <w:div w:id="1343821525">
          <w:marLeft w:val="835"/>
          <w:marRight w:val="0"/>
          <w:marTop w:val="154"/>
          <w:marBottom w:val="0"/>
          <w:divBdr>
            <w:top w:val="none" w:sz="0" w:space="0" w:color="auto"/>
            <w:left w:val="none" w:sz="0" w:space="0" w:color="auto"/>
            <w:bottom w:val="none" w:sz="0" w:space="0" w:color="auto"/>
            <w:right w:val="none" w:sz="0" w:space="0" w:color="auto"/>
          </w:divBdr>
        </w:div>
        <w:div w:id="2082482489">
          <w:marLeft w:val="835"/>
          <w:marRight w:val="0"/>
          <w:marTop w:val="192"/>
          <w:marBottom w:val="0"/>
          <w:divBdr>
            <w:top w:val="none" w:sz="0" w:space="0" w:color="auto"/>
            <w:left w:val="none" w:sz="0" w:space="0" w:color="auto"/>
            <w:bottom w:val="none" w:sz="0" w:space="0" w:color="auto"/>
            <w:right w:val="none" w:sz="0" w:space="0" w:color="auto"/>
          </w:divBdr>
        </w:div>
        <w:div w:id="341208518">
          <w:marLeft w:val="835"/>
          <w:marRight w:val="0"/>
          <w:marTop w:val="192"/>
          <w:marBottom w:val="0"/>
          <w:divBdr>
            <w:top w:val="none" w:sz="0" w:space="0" w:color="auto"/>
            <w:left w:val="none" w:sz="0" w:space="0" w:color="auto"/>
            <w:bottom w:val="none" w:sz="0" w:space="0" w:color="auto"/>
            <w:right w:val="none" w:sz="0" w:space="0" w:color="auto"/>
          </w:divBdr>
        </w:div>
        <w:div w:id="2103254654">
          <w:marLeft w:val="835"/>
          <w:marRight w:val="0"/>
          <w:marTop w:val="192"/>
          <w:marBottom w:val="0"/>
          <w:divBdr>
            <w:top w:val="none" w:sz="0" w:space="0" w:color="auto"/>
            <w:left w:val="none" w:sz="0" w:space="0" w:color="auto"/>
            <w:bottom w:val="none" w:sz="0" w:space="0" w:color="auto"/>
            <w:right w:val="none" w:sz="0" w:space="0" w:color="auto"/>
          </w:divBdr>
        </w:div>
        <w:div w:id="1501702933">
          <w:marLeft w:val="835"/>
          <w:marRight w:val="0"/>
          <w:marTop w:val="192"/>
          <w:marBottom w:val="0"/>
          <w:divBdr>
            <w:top w:val="none" w:sz="0" w:space="0" w:color="auto"/>
            <w:left w:val="none" w:sz="0" w:space="0" w:color="auto"/>
            <w:bottom w:val="none" w:sz="0" w:space="0" w:color="auto"/>
            <w:right w:val="none" w:sz="0" w:space="0" w:color="auto"/>
          </w:divBdr>
        </w:div>
        <w:div w:id="1760327435">
          <w:marLeft w:val="835"/>
          <w:marRight w:val="0"/>
          <w:marTop w:val="192"/>
          <w:marBottom w:val="0"/>
          <w:divBdr>
            <w:top w:val="none" w:sz="0" w:space="0" w:color="auto"/>
            <w:left w:val="none" w:sz="0" w:space="0" w:color="auto"/>
            <w:bottom w:val="none" w:sz="0" w:space="0" w:color="auto"/>
            <w:right w:val="none" w:sz="0" w:space="0" w:color="auto"/>
          </w:divBdr>
        </w:div>
        <w:div w:id="73208705">
          <w:marLeft w:val="835"/>
          <w:marRight w:val="0"/>
          <w:marTop w:val="154"/>
          <w:marBottom w:val="0"/>
          <w:divBdr>
            <w:top w:val="none" w:sz="0" w:space="0" w:color="auto"/>
            <w:left w:val="none" w:sz="0" w:space="0" w:color="auto"/>
            <w:bottom w:val="none" w:sz="0" w:space="0" w:color="auto"/>
            <w:right w:val="none" w:sz="0" w:space="0" w:color="auto"/>
          </w:divBdr>
        </w:div>
        <w:div w:id="1161657592">
          <w:marLeft w:val="835"/>
          <w:marRight w:val="0"/>
          <w:marTop w:val="154"/>
          <w:marBottom w:val="0"/>
          <w:divBdr>
            <w:top w:val="none" w:sz="0" w:space="0" w:color="auto"/>
            <w:left w:val="none" w:sz="0" w:space="0" w:color="auto"/>
            <w:bottom w:val="none" w:sz="0" w:space="0" w:color="auto"/>
            <w:right w:val="none" w:sz="0" w:space="0" w:color="auto"/>
          </w:divBdr>
        </w:div>
        <w:div w:id="1588463133">
          <w:marLeft w:val="835"/>
          <w:marRight w:val="0"/>
          <w:marTop w:val="154"/>
          <w:marBottom w:val="0"/>
          <w:divBdr>
            <w:top w:val="none" w:sz="0" w:space="0" w:color="auto"/>
            <w:left w:val="none" w:sz="0" w:space="0" w:color="auto"/>
            <w:bottom w:val="none" w:sz="0" w:space="0" w:color="auto"/>
            <w:right w:val="none" w:sz="0" w:space="0" w:color="auto"/>
          </w:divBdr>
        </w:div>
        <w:div w:id="30153000">
          <w:marLeft w:val="835"/>
          <w:marRight w:val="0"/>
          <w:marTop w:val="154"/>
          <w:marBottom w:val="0"/>
          <w:divBdr>
            <w:top w:val="none" w:sz="0" w:space="0" w:color="auto"/>
            <w:left w:val="none" w:sz="0" w:space="0" w:color="auto"/>
            <w:bottom w:val="none" w:sz="0" w:space="0" w:color="auto"/>
            <w:right w:val="none" w:sz="0" w:space="0" w:color="auto"/>
          </w:divBdr>
        </w:div>
        <w:div w:id="275069157">
          <w:marLeft w:val="835"/>
          <w:marRight w:val="0"/>
          <w:marTop w:val="154"/>
          <w:marBottom w:val="0"/>
          <w:divBdr>
            <w:top w:val="none" w:sz="0" w:space="0" w:color="auto"/>
            <w:left w:val="none" w:sz="0" w:space="0" w:color="auto"/>
            <w:bottom w:val="none" w:sz="0" w:space="0" w:color="auto"/>
            <w:right w:val="none" w:sz="0" w:space="0" w:color="auto"/>
          </w:divBdr>
        </w:div>
      </w:divsChild>
    </w:div>
    <w:div w:id="1356149089">
      <w:bodyDiv w:val="1"/>
      <w:marLeft w:val="0"/>
      <w:marRight w:val="0"/>
      <w:marTop w:val="0"/>
      <w:marBottom w:val="0"/>
      <w:divBdr>
        <w:top w:val="none" w:sz="0" w:space="0" w:color="auto"/>
        <w:left w:val="none" w:sz="0" w:space="0" w:color="auto"/>
        <w:bottom w:val="none" w:sz="0" w:space="0" w:color="auto"/>
        <w:right w:val="none" w:sz="0" w:space="0" w:color="auto"/>
      </w:divBdr>
    </w:div>
    <w:div w:id="1749307437">
      <w:bodyDiv w:val="1"/>
      <w:marLeft w:val="0"/>
      <w:marRight w:val="0"/>
      <w:marTop w:val="0"/>
      <w:marBottom w:val="0"/>
      <w:divBdr>
        <w:top w:val="none" w:sz="0" w:space="0" w:color="auto"/>
        <w:left w:val="none" w:sz="0" w:space="0" w:color="auto"/>
        <w:bottom w:val="none" w:sz="0" w:space="0" w:color="auto"/>
        <w:right w:val="none" w:sz="0" w:space="0" w:color="auto"/>
      </w:divBdr>
      <w:divsChild>
        <w:div w:id="444034185">
          <w:marLeft w:val="0"/>
          <w:marRight w:val="0"/>
          <w:marTop w:val="0"/>
          <w:marBottom w:val="0"/>
          <w:divBdr>
            <w:top w:val="none" w:sz="0" w:space="0" w:color="auto"/>
            <w:left w:val="none" w:sz="0" w:space="0" w:color="auto"/>
            <w:bottom w:val="none" w:sz="0" w:space="0" w:color="auto"/>
            <w:right w:val="none" w:sz="0" w:space="0" w:color="auto"/>
          </w:divBdr>
          <w:divsChild>
            <w:div w:id="2035225835">
              <w:marLeft w:val="0"/>
              <w:marRight w:val="0"/>
              <w:marTop w:val="0"/>
              <w:marBottom w:val="0"/>
              <w:divBdr>
                <w:top w:val="none" w:sz="0" w:space="0" w:color="auto"/>
                <w:left w:val="none" w:sz="0" w:space="0" w:color="auto"/>
                <w:bottom w:val="none" w:sz="0" w:space="0" w:color="auto"/>
                <w:right w:val="none" w:sz="0" w:space="0" w:color="auto"/>
              </w:divBdr>
              <w:divsChild>
                <w:div w:id="1315374877">
                  <w:marLeft w:val="0"/>
                  <w:marRight w:val="0"/>
                  <w:marTop w:val="0"/>
                  <w:marBottom w:val="0"/>
                  <w:divBdr>
                    <w:top w:val="none" w:sz="0" w:space="0" w:color="auto"/>
                    <w:left w:val="none" w:sz="0" w:space="0" w:color="auto"/>
                    <w:bottom w:val="none" w:sz="0" w:space="0" w:color="auto"/>
                    <w:right w:val="none" w:sz="0" w:space="0" w:color="auto"/>
                  </w:divBdr>
                  <w:divsChild>
                    <w:div w:id="1187328416">
                      <w:marLeft w:val="0"/>
                      <w:marRight w:val="0"/>
                      <w:marTop w:val="0"/>
                      <w:marBottom w:val="0"/>
                      <w:divBdr>
                        <w:top w:val="none" w:sz="0" w:space="0" w:color="auto"/>
                        <w:left w:val="none" w:sz="0" w:space="0" w:color="auto"/>
                        <w:bottom w:val="none" w:sz="0" w:space="0" w:color="auto"/>
                        <w:right w:val="none" w:sz="0" w:space="0" w:color="auto"/>
                      </w:divBdr>
                      <w:divsChild>
                        <w:div w:id="3942621">
                          <w:marLeft w:val="0"/>
                          <w:marRight w:val="0"/>
                          <w:marTop w:val="0"/>
                          <w:marBottom w:val="0"/>
                          <w:divBdr>
                            <w:top w:val="none" w:sz="0" w:space="0" w:color="auto"/>
                            <w:left w:val="none" w:sz="0" w:space="0" w:color="auto"/>
                            <w:bottom w:val="none" w:sz="0" w:space="0" w:color="auto"/>
                            <w:right w:val="none" w:sz="0" w:space="0" w:color="auto"/>
                          </w:divBdr>
                          <w:divsChild>
                            <w:div w:id="2125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hwin@lancaster.ac.uk" TargetMode="External"/><Relationship Id="rId13" Type="http://schemas.openxmlformats.org/officeDocument/2006/relationships/hyperlink" Target="https://www.timeshighereducation.co.uk/news/oecds-ahelo-project-could-transform-university-hierarchy/2020087.artic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earch.lancs.ac.uk/portal/en/publications/reflective-teaching-in-higher-education(2911d09d-6d89-4185-8a92-2e0fa27773a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earch.lancs.ac.uk/portal/en/people/jan-mcarthur(0be8603b-3e94-4aaa-9759-4a5a09ac46b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earch.lancs.ac.uk/portal/en/people/paul-ashwin(0ed574bb-9b78-486d-bb0f-b555cf7aafea).html" TargetMode="External"/><Relationship Id="rId4" Type="http://schemas.openxmlformats.org/officeDocument/2006/relationships/settings" Target="settings.xml"/><Relationship Id="rId9" Type="http://schemas.openxmlformats.org/officeDocument/2006/relationships/hyperlink" Target="http://www.ehea.info/Uploads/SubmitedFiles/5_2015/112705.pdf" TargetMode="External"/><Relationship Id="rId14" Type="http://schemas.openxmlformats.org/officeDocument/2006/relationships/hyperlink" Target="http://specialpapers.gsapubs.org/content/474/23.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Ashwin</dc:creator>
  <cp:lastModifiedBy>Ashwin, Paul</cp:lastModifiedBy>
  <cp:revision>3</cp:revision>
  <cp:lastPrinted>2015-12-14T10:55:00Z</cp:lastPrinted>
  <dcterms:created xsi:type="dcterms:W3CDTF">2015-12-14T10:53:00Z</dcterms:created>
  <dcterms:modified xsi:type="dcterms:W3CDTF">2015-12-14T10:57:00Z</dcterms:modified>
</cp:coreProperties>
</file>