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FE0" w:rsidRPr="00FF4FE0" w:rsidRDefault="00FF4FE0">
      <w:pPr>
        <w:rPr>
          <w:b/>
          <w:sz w:val="28"/>
          <w:szCs w:val="28"/>
          <w:u w:val="single"/>
        </w:rPr>
      </w:pPr>
      <w:r w:rsidRPr="00FF4FE0">
        <w:rPr>
          <w:b/>
          <w:sz w:val="28"/>
          <w:szCs w:val="28"/>
          <w:u w:val="single"/>
        </w:rPr>
        <w:t xml:space="preserve">Open Access </w:t>
      </w:r>
      <w:r w:rsidR="000A2F36">
        <w:rPr>
          <w:b/>
          <w:sz w:val="28"/>
          <w:szCs w:val="28"/>
          <w:u w:val="single"/>
        </w:rPr>
        <w:t>Activity</w:t>
      </w:r>
      <w:r>
        <w:rPr>
          <w:b/>
          <w:sz w:val="28"/>
          <w:szCs w:val="28"/>
          <w:u w:val="single"/>
        </w:rPr>
        <w:t>, March 2016</w:t>
      </w:r>
    </w:p>
    <w:p w:rsidR="00C95F51" w:rsidRDefault="00FF4FE0" w:rsidP="00C95F51">
      <w:r>
        <w:t>The Open Access team has been coordinating with the Research Data team to target depart</w:t>
      </w:r>
      <w:r w:rsidR="00C95F51">
        <w:t xml:space="preserve">ments with low OA/RDM compliance with different approaches, </w:t>
      </w:r>
      <w:r w:rsidR="00010928">
        <w:t xml:space="preserve">providing </w:t>
      </w:r>
      <w:r w:rsidR="00C95F51">
        <w:t>one-to-one support</w:t>
      </w:r>
      <w:r w:rsidR="00010928">
        <w:t>, attending a departmental research meeting for Sociology, with two follow up open surgeries in the Sociology department.  Further open surgeries are planned in Engineering (16/03/16 2-3pm) and LEC (17/03/16 2-4pm), and will continue throughout the year.</w:t>
      </w:r>
    </w:p>
    <w:p w:rsidR="00C2747F" w:rsidRDefault="00C2747F" w:rsidP="00C95F51">
      <w:r>
        <w:t>Online training materials are being developed, aimed at new staff, and further details will be brought to the next meeting.</w:t>
      </w:r>
    </w:p>
    <w:p w:rsidR="00010928" w:rsidRDefault="00010928" w:rsidP="00C95F51">
      <w:r>
        <w:t xml:space="preserve">Further progress is being made with the reporting functionality in Pure.  This will hopefully result in being able to provide monthly compliance reports to departments. </w:t>
      </w:r>
    </w:p>
    <w:p w:rsidR="006C3938" w:rsidRDefault="006C3938" w:rsidP="006C3938">
      <w:r>
        <w:t xml:space="preserve">The Library has been developing online application processes using SharePoint to minimise the administrative burden for researchers.  Two separate online funding application forms have been created: one for institutional gold Open Access and the other for RCUK gold Open Access funding.  </w:t>
      </w:r>
      <w:r w:rsidR="00C2747F">
        <w:t>These will be discussed in the separate agenda item.</w:t>
      </w:r>
    </w:p>
    <w:p w:rsidR="00C95F51" w:rsidRPr="00FF4FE0" w:rsidRDefault="00C95F51" w:rsidP="00C95F51">
      <w:pPr>
        <w:rPr>
          <w:b/>
        </w:rPr>
      </w:pPr>
      <w:r w:rsidRPr="00FF4FE0">
        <w:rPr>
          <w:b/>
        </w:rPr>
        <w:t>Items for discussion:</w:t>
      </w:r>
    </w:p>
    <w:p w:rsidR="00C95F51" w:rsidRDefault="00010928" w:rsidP="00FF4FE0">
      <w:pPr>
        <w:pStyle w:val="ListParagraph"/>
        <w:numPr>
          <w:ilvl w:val="0"/>
          <w:numId w:val="1"/>
        </w:numPr>
      </w:pPr>
      <w:r>
        <w:t>To consider w</w:t>
      </w:r>
      <w:r w:rsidR="00FF4FE0">
        <w:t xml:space="preserve">hether the institutional funding </w:t>
      </w:r>
      <w:r>
        <w:t>should</w:t>
      </w:r>
      <w:r w:rsidR="00FF4FE0">
        <w:t xml:space="preserve"> be used for 4* research only, or</w:t>
      </w:r>
      <w:r>
        <w:t xml:space="preserve"> should include 3* research.</w:t>
      </w:r>
    </w:p>
    <w:p w:rsidR="00C95F51" w:rsidRDefault="00406F78" w:rsidP="00C95F51">
      <w:pPr>
        <w:pStyle w:val="ListParagraph"/>
        <w:numPr>
          <w:ilvl w:val="0"/>
          <w:numId w:val="1"/>
        </w:numPr>
      </w:pPr>
      <w:r>
        <w:t xml:space="preserve">To discuss the best practice for </w:t>
      </w:r>
      <w:r w:rsidR="00C95F51">
        <w:t xml:space="preserve">recording exceptions.  </w:t>
      </w:r>
      <w:r w:rsidR="00017CB5">
        <w:t>I</w:t>
      </w:r>
      <w:r w:rsidR="00A914A6">
        <w:t>f,</w:t>
      </w:r>
      <w:r w:rsidR="00017CB5">
        <w:t xml:space="preserve"> as a result of </w:t>
      </w:r>
      <w:r w:rsidR="00A914A6">
        <w:t xml:space="preserve">an institutional OA funding </w:t>
      </w:r>
      <w:r w:rsidR="00017CB5">
        <w:t>application</w:t>
      </w:r>
      <w:r w:rsidR="00A914A6">
        <w:t>,</w:t>
      </w:r>
      <w:r w:rsidR="00017CB5">
        <w:t xml:space="preserve"> it’s deemed not </w:t>
      </w:r>
      <w:r w:rsidR="00A914A6">
        <w:t xml:space="preserve">to </w:t>
      </w:r>
      <w:r w:rsidR="00017CB5">
        <w:t xml:space="preserve">be 4* </w:t>
      </w:r>
      <w:r w:rsidR="00A914A6">
        <w:t xml:space="preserve">research, </w:t>
      </w:r>
      <w:r w:rsidR="00017CB5">
        <w:t xml:space="preserve">then the Library can record </w:t>
      </w:r>
      <w:r w:rsidR="00A914A6">
        <w:t xml:space="preserve">this </w:t>
      </w:r>
      <w:r w:rsidR="00017CB5">
        <w:t xml:space="preserve">in Pure </w:t>
      </w:r>
      <w:r w:rsidR="00A914A6">
        <w:t>as</w:t>
      </w:r>
      <w:r w:rsidR="00017CB5">
        <w:t xml:space="preserve"> an exception</w:t>
      </w:r>
      <w:r w:rsidR="00A914A6">
        <w:t>, and it will then be deemed to be compliant for the REF</w:t>
      </w:r>
      <w:r w:rsidR="00017CB5">
        <w:t xml:space="preserve">. Does the group want to consider recording exceptions in another way </w:t>
      </w:r>
      <w:r w:rsidR="00A914A6">
        <w:t xml:space="preserve">(maybe a formal record of discussion with Department) </w:t>
      </w:r>
      <w:r w:rsidR="00017CB5">
        <w:t>other than t</w:t>
      </w:r>
      <w:r w:rsidR="00C95F51">
        <w:t xml:space="preserve">he </w:t>
      </w:r>
      <w:r w:rsidR="00017CB5">
        <w:t>L</w:t>
      </w:r>
      <w:r w:rsidR="00C95F51">
        <w:t xml:space="preserve">ibrary </w:t>
      </w:r>
      <w:r w:rsidR="00017CB5">
        <w:t>marking it</w:t>
      </w:r>
      <w:r w:rsidR="00C95F51">
        <w:t xml:space="preserve"> as an exception in Pure</w:t>
      </w:r>
      <w:r w:rsidR="00A914A6">
        <w:t>?</w:t>
      </w:r>
      <w:r w:rsidR="00017CB5">
        <w:t xml:space="preserve"> One such example would be </w:t>
      </w:r>
      <w:r w:rsidR="00C95F51">
        <w:t xml:space="preserve">if </w:t>
      </w:r>
      <w:r w:rsidR="00017CB5">
        <w:t>a journal does not</w:t>
      </w:r>
      <w:r w:rsidR="00C95F51">
        <w:t xml:space="preserve"> allow deposit</w:t>
      </w:r>
      <w:r w:rsidR="00017CB5">
        <w:t xml:space="preserve"> of post-print or the publisher’s pdf</w:t>
      </w:r>
      <w:r w:rsidR="00C95F51">
        <w:t xml:space="preserve"> and does</w:t>
      </w:r>
      <w:r w:rsidR="00017CB5">
        <w:t xml:space="preserve"> no</w:t>
      </w:r>
      <w:r w:rsidR="00C95F51">
        <w:t xml:space="preserve">t have </w:t>
      </w:r>
      <w:r w:rsidR="00017CB5">
        <w:t xml:space="preserve">a </w:t>
      </w:r>
      <w:r w:rsidR="00C95F51">
        <w:t>gold O</w:t>
      </w:r>
      <w:r w:rsidR="00017CB5">
        <w:t>pen Access option.</w:t>
      </w:r>
    </w:p>
    <w:p w:rsidR="00C95F51" w:rsidRDefault="00C95F51" w:rsidP="00C95F51"/>
    <w:p w:rsidR="00C95F51" w:rsidRDefault="00C95F51"/>
    <w:sectPr w:rsidR="00C95F5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F2C" w:rsidRDefault="00207F2C" w:rsidP="00207F2C">
      <w:pPr>
        <w:spacing w:after="0" w:line="240" w:lineRule="auto"/>
      </w:pPr>
      <w:r>
        <w:separator/>
      </w:r>
    </w:p>
  </w:endnote>
  <w:endnote w:type="continuationSeparator" w:id="0">
    <w:p w:rsidR="00207F2C" w:rsidRDefault="00207F2C" w:rsidP="00207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F2C" w:rsidRDefault="00207F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F2C" w:rsidRDefault="00207F2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F2C" w:rsidRDefault="00207F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F2C" w:rsidRDefault="00207F2C" w:rsidP="00207F2C">
      <w:pPr>
        <w:spacing w:after="0" w:line="240" w:lineRule="auto"/>
      </w:pPr>
      <w:r>
        <w:separator/>
      </w:r>
    </w:p>
  </w:footnote>
  <w:footnote w:type="continuationSeparator" w:id="0">
    <w:p w:rsidR="00207F2C" w:rsidRDefault="00207F2C" w:rsidP="00207F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F2C" w:rsidRDefault="00207F2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F2C" w:rsidRPr="00207F2C" w:rsidRDefault="00207F2C">
    <w:pPr>
      <w:pStyle w:val="Header"/>
      <w:rPr>
        <w:b/>
        <w:sz w:val="20"/>
      </w:rPr>
    </w:pPr>
    <w:r>
      <w:rPr>
        <w:b/>
      </w:rPr>
      <w:tab/>
    </w:r>
    <w:r>
      <w:rPr>
        <w:b/>
      </w:rPr>
      <w:tab/>
    </w:r>
    <w:bookmarkStart w:id="0" w:name="_GoBack"/>
    <w:bookmarkEnd w:id="0"/>
    <w:r w:rsidRPr="00207F2C">
      <w:rPr>
        <w:rFonts w:eastAsia="Times New Roman"/>
        <w:color w:val="000000"/>
        <w:sz w:val="21"/>
        <w:szCs w:val="21"/>
      </w:rPr>
      <w:t>VC/2016/</w:t>
    </w:r>
    <w:proofErr w:type="spellStart"/>
    <w:r w:rsidRPr="00207F2C">
      <w:rPr>
        <w:rFonts w:eastAsia="Times New Roman"/>
        <w:color w:val="000000"/>
        <w:sz w:val="21"/>
        <w:szCs w:val="21"/>
      </w:rPr>
      <w:t>ROADMaP</w:t>
    </w:r>
    <w:proofErr w:type="spellEnd"/>
    <w:r w:rsidRPr="00207F2C">
      <w:rPr>
        <w:rFonts w:eastAsia="Times New Roman"/>
        <w:color w:val="000000"/>
        <w:sz w:val="21"/>
        <w:szCs w:val="21"/>
      </w:rPr>
      <w:t>/007</w:t>
    </w:r>
  </w:p>
  <w:p w:rsidR="00207F2C" w:rsidRPr="00207F2C" w:rsidRDefault="00207F2C">
    <w:pPr>
      <w:pStyle w:val="Header"/>
      <w:rPr>
        <w:b/>
      </w:rPr>
    </w:pPr>
    <w:r>
      <w:rPr>
        <w:b/>
      </w:rPr>
      <w:t>Update on Open Access activity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7F2C" w:rsidRDefault="00207F2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4E2777"/>
    <w:multiLevelType w:val="hybridMultilevel"/>
    <w:tmpl w:val="647C6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F31"/>
    <w:rsid w:val="00010928"/>
    <w:rsid w:val="00017CB5"/>
    <w:rsid w:val="000A2F36"/>
    <w:rsid w:val="00207F2C"/>
    <w:rsid w:val="00406F78"/>
    <w:rsid w:val="006C3938"/>
    <w:rsid w:val="00820F31"/>
    <w:rsid w:val="00A914A6"/>
    <w:rsid w:val="00C2747F"/>
    <w:rsid w:val="00C95F51"/>
    <w:rsid w:val="00EB2806"/>
    <w:rsid w:val="00FF4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F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7F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F2C"/>
  </w:style>
  <w:style w:type="paragraph" w:styleId="Footer">
    <w:name w:val="footer"/>
    <w:basedOn w:val="Normal"/>
    <w:link w:val="FooterChar"/>
    <w:uiPriority w:val="99"/>
    <w:unhideWhenUsed/>
    <w:rsid w:val="00207F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F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4FE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7F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F2C"/>
  </w:style>
  <w:style w:type="paragraph" w:styleId="Footer">
    <w:name w:val="footer"/>
    <w:basedOn w:val="Normal"/>
    <w:link w:val="FooterChar"/>
    <w:uiPriority w:val="99"/>
    <w:unhideWhenUsed/>
    <w:rsid w:val="00207F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F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08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19170-29AA-4044-AF5F-5A48951F1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272</Words>
  <Characters>1554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Lancaster University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Tripp, Louise</dc:creator>
  <cp:lastModifiedBy>Tinker, Claire (tinkerc)</cp:lastModifiedBy>
  <cp:revision>2</cp:revision>
  <dcterms:created xsi:type="dcterms:W3CDTF">2016-03-08T16:45:00Z</dcterms:created>
  <dcterms:modified xsi:type="dcterms:W3CDTF">2016-03-08T16:45:00Z</dcterms:modified>
</cp:coreProperties>
</file>