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47922D" w14:textId="77777777" w:rsidR="00800DE0" w:rsidRPr="00800DE0" w:rsidRDefault="00800DE0" w:rsidP="00080870">
      <w:pPr>
        <w:spacing w:line="240" w:lineRule="auto"/>
        <w:rPr>
          <w:b/>
        </w:rPr>
      </w:pPr>
      <w:r w:rsidRPr="00800DE0">
        <w:rPr>
          <w:b/>
        </w:rPr>
        <w:t>Book Review</w:t>
      </w:r>
      <w:r w:rsidR="00AB5D60">
        <w:rPr>
          <w:b/>
        </w:rPr>
        <w:t xml:space="preserve"> (John Childs: J.Childs@lancaster</w:t>
      </w:r>
      <w:r w:rsidR="00050EEC">
        <w:rPr>
          <w:b/>
        </w:rPr>
        <w:t>.ac.uk)</w:t>
      </w:r>
    </w:p>
    <w:p w14:paraId="5CBF9E5D" w14:textId="77777777" w:rsidR="00D81AAE" w:rsidRDefault="0011733E" w:rsidP="00080870">
      <w:pPr>
        <w:spacing w:line="240" w:lineRule="auto"/>
        <w:jc w:val="both"/>
        <w:rPr>
          <w:b/>
        </w:rPr>
      </w:pPr>
      <w:r>
        <w:rPr>
          <w:b/>
        </w:rPr>
        <w:t>Veltmeyer, H. and J. Petras</w:t>
      </w:r>
      <w:r w:rsidR="00800DE0" w:rsidRPr="00076960">
        <w:rPr>
          <w:b/>
        </w:rPr>
        <w:t xml:space="preserve"> (eds.)</w:t>
      </w:r>
      <w:r>
        <w:rPr>
          <w:b/>
        </w:rPr>
        <w:t>, 2014</w:t>
      </w:r>
      <w:r w:rsidR="00800DE0" w:rsidRPr="00076960">
        <w:rPr>
          <w:b/>
        </w:rPr>
        <w:t xml:space="preserve"> </w:t>
      </w:r>
      <w:r>
        <w:rPr>
          <w:b/>
          <w:i/>
        </w:rPr>
        <w:t>The New Extractivism</w:t>
      </w:r>
      <w:r w:rsidR="00800DE0" w:rsidRPr="00076960">
        <w:rPr>
          <w:b/>
          <w:i/>
        </w:rPr>
        <w:t xml:space="preserve">: </w:t>
      </w:r>
      <w:r w:rsidR="005A2292">
        <w:rPr>
          <w:b/>
          <w:i/>
        </w:rPr>
        <w:t>A Post-Neoli</w:t>
      </w:r>
      <w:r>
        <w:rPr>
          <w:b/>
          <w:i/>
        </w:rPr>
        <w:t>beral Development Model or Imperialism of the Twenty-First Century?</w:t>
      </w:r>
      <w:r w:rsidR="00800DE0" w:rsidRPr="00076960">
        <w:rPr>
          <w:b/>
          <w:i/>
        </w:rPr>
        <w:t xml:space="preserve"> </w:t>
      </w:r>
      <w:r w:rsidR="00412588">
        <w:rPr>
          <w:b/>
        </w:rPr>
        <w:t xml:space="preserve">United Kingdom: </w:t>
      </w:r>
      <w:r>
        <w:rPr>
          <w:b/>
        </w:rPr>
        <w:t>Zed</w:t>
      </w:r>
      <w:r w:rsidR="00412588">
        <w:rPr>
          <w:b/>
        </w:rPr>
        <w:t xml:space="preserve"> books Ltd</w:t>
      </w:r>
    </w:p>
    <w:p w14:paraId="3E2B43B5" w14:textId="77777777" w:rsidR="00D81AAE" w:rsidRDefault="002B55BB" w:rsidP="00AC091D">
      <w:pPr>
        <w:spacing w:line="240" w:lineRule="auto"/>
        <w:jc w:val="both"/>
      </w:pPr>
      <w:r>
        <w:t xml:space="preserve">In the contemporary context of expanding frontiers of </w:t>
      </w:r>
      <w:r w:rsidR="008634A5">
        <w:t>resource</w:t>
      </w:r>
      <w:r>
        <w:t xml:space="preserve"> extraction and </w:t>
      </w:r>
      <w:r w:rsidR="008634A5">
        <w:t xml:space="preserve">the </w:t>
      </w:r>
      <w:r>
        <w:t>demand for</w:t>
      </w:r>
      <w:r w:rsidR="008634A5">
        <w:t xml:space="preserve"> their associated</w:t>
      </w:r>
      <w:r>
        <w:t xml:space="preserve"> </w:t>
      </w:r>
      <w:r w:rsidR="008634A5">
        <w:t>minerals and hydrocarbons</w:t>
      </w:r>
      <w:r>
        <w:t xml:space="preserve">, questions of governance, ownership, justice and </w:t>
      </w:r>
      <w:r w:rsidR="00080870">
        <w:t>sustainability assume</w:t>
      </w:r>
      <w:r>
        <w:t xml:space="preserve"> a greater relevance than ever. </w:t>
      </w:r>
      <w:r w:rsidR="008634A5">
        <w:t xml:space="preserve">At the same time, the imperatives of a dominant, market-driven, capitalist logic that shapes these issues are increasingly being challenged by the (re)emergence of the state as a key actor in resource politics. </w:t>
      </w:r>
      <w:r w:rsidR="00AC091D">
        <w:t xml:space="preserve">Nowhere is this trend more evident than in the case of Latin America, the focus of this edited volume, </w:t>
      </w:r>
      <w:r w:rsidR="000D1F5B">
        <w:t xml:space="preserve">and </w:t>
      </w:r>
      <w:r w:rsidR="00AC091D">
        <w:t xml:space="preserve">a setting where left-leaning governments seek to assert sovereignty over their pathways to development and establish a state of post-neoliberalism. </w:t>
      </w:r>
      <w:r w:rsidR="00820BDD">
        <w:t>To</w:t>
      </w:r>
      <w:r w:rsidR="00220D0C">
        <w:t xml:space="preserve"> many </w:t>
      </w:r>
      <w:r w:rsidR="00820BDD">
        <w:t xml:space="preserve">onlookers, </w:t>
      </w:r>
      <w:r w:rsidR="00220D0C">
        <w:t xml:space="preserve">this </w:t>
      </w:r>
      <w:r w:rsidR="00820BDD">
        <w:t>movement is to be read in a positive light, an example of one way in which the concerns of social and environmental justice can be mobilised against the pernicious effects of the structural adjustment programs of the late 20</w:t>
      </w:r>
      <w:r w:rsidR="00820BDD" w:rsidRPr="00820BDD">
        <w:rPr>
          <w:vertAlign w:val="superscript"/>
        </w:rPr>
        <w:t>th</w:t>
      </w:r>
      <w:r w:rsidR="00820BDD">
        <w:t xml:space="preserve"> century. </w:t>
      </w:r>
      <w:r w:rsidR="00220D0C">
        <w:t xml:space="preserve">However for </w:t>
      </w:r>
      <w:r w:rsidR="00820BDD">
        <w:t xml:space="preserve">the book’s authors, </w:t>
      </w:r>
      <w:r w:rsidR="00CA5EDF">
        <w:t>Henry Veltmeyer and James Petras</w:t>
      </w:r>
      <w:r w:rsidR="00D45163">
        <w:t xml:space="preserve">, the </w:t>
      </w:r>
      <w:r w:rsidR="003F553B">
        <w:t xml:space="preserve">related </w:t>
      </w:r>
      <w:r w:rsidR="00D45163">
        <w:t>claim</w:t>
      </w:r>
      <w:r w:rsidR="003F553B">
        <w:t>s</w:t>
      </w:r>
      <w:r w:rsidR="00D45163">
        <w:t xml:space="preserve"> that such ‘new extracti</w:t>
      </w:r>
      <w:r w:rsidR="003F553B">
        <w:t>vism’ is a sustainable, viable and novel model of development</w:t>
      </w:r>
      <w:r w:rsidR="00820BDD">
        <w:t xml:space="preserve"> are to be treated with caution. Rather, their central argument asserts that </w:t>
      </w:r>
      <w:r w:rsidR="003F553B">
        <w:t>the</w:t>
      </w:r>
      <w:r w:rsidR="00905B1B">
        <w:t>se</w:t>
      </w:r>
      <w:r w:rsidR="003F553B">
        <w:t xml:space="preserve"> state-led </w:t>
      </w:r>
      <w:r w:rsidR="00905B1B">
        <w:t>policies should be seen as</w:t>
      </w:r>
      <w:r w:rsidR="003F553B">
        <w:t xml:space="preserve"> a new ‘imperialism’</w:t>
      </w:r>
      <w:r w:rsidR="00905B1B">
        <w:t xml:space="preserve"> whereby ‘the state tends to side with the company against the community’ </w:t>
      </w:r>
      <w:r w:rsidR="0021588B">
        <w:t xml:space="preserve">in a class struggle over </w:t>
      </w:r>
      <w:r w:rsidR="008525FE">
        <w:t xml:space="preserve">the spoils of </w:t>
      </w:r>
      <w:r w:rsidR="0021588B">
        <w:t>resource extraction</w:t>
      </w:r>
      <w:r w:rsidR="009B1D22">
        <w:t xml:space="preserve"> </w:t>
      </w:r>
      <w:r w:rsidR="00905B1B">
        <w:t>(p.247).</w:t>
      </w:r>
      <w:r w:rsidR="00CA5EDF">
        <w:t xml:space="preserve"> </w:t>
      </w:r>
    </w:p>
    <w:p w14:paraId="1CD13C24" w14:textId="22D3681A" w:rsidR="00EF10A8" w:rsidRDefault="007F0846" w:rsidP="00AC091D">
      <w:pPr>
        <w:spacing w:line="240" w:lineRule="auto"/>
        <w:jc w:val="both"/>
      </w:pPr>
      <w:r>
        <w:t xml:space="preserve">Indeed, this emphasis on Marxian class theory is used to frame much of the analysis and establish a richly engaging, polemical tone that is maintained throughout the volume. </w:t>
      </w:r>
      <w:r w:rsidR="008525FE">
        <w:t xml:space="preserve">So it is that the interests of the state and mining multinationals are </w:t>
      </w:r>
      <w:r w:rsidR="007A2D2C">
        <w:t xml:space="preserve">understood as </w:t>
      </w:r>
      <w:r w:rsidR="008525FE">
        <w:t xml:space="preserve">co-constituted in their related search for resource rents and profits respectively. </w:t>
      </w:r>
      <w:r w:rsidR="00F46C3A">
        <w:t>Likewise, it is argued that r</w:t>
      </w:r>
      <w:r w:rsidR="007A2D2C">
        <w:t>esource policies are constructed with the express purpose of attracting foreign direct investment as a result of an inherent dependency of the state upon the modalities of global extractive capital.</w:t>
      </w:r>
      <w:r w:rsidR="008525FE">
        <w:t xml:space="preserve"> </w:t>
      </w:r>
      <w:r w:rsidR="00D813AB" w:rsidRPr="00D13342">
        <w:t xml:space="preserve">The critical findings of the book are nearly always convincing and present something of a corrective to </w:t>
      </w:r>
      <w:r w:rsidR="00FB1C81" w:rsidRPr="00D13342">
        <w:t>the progressive views of extractivism found elsewhere in the literature.</w:t>
      </w:r>
      <w:r w:rsidR="006726CE" w:rsidRPr="00D13342">
        <w:t xml:space="preserve"> Focusing exclusively on Latin America, </w:t>
      </w:r>
      <w:r w:rsidR="00CA1F08" w:rsidRPr="00D13342">
        <w:t>an impressive spread of case studies is</w:t>
      </w:r>
      <w:r w:rsidR="006726CE" w:rsidRPr="00D13342">
        <w:t xml:space="preserve"> </w:t>
      </w:r>
      <w:r w:rsidR="00CA1F08" w:rsidRPr="00D13342">
        <w:t>examined</w:t>
      </w:r>
      <w:r w:rsidR="006726CE" w:rsidRPr="00D13342">
        <w:t xml:space="preserve"> across the political spectrum</w:t>
      </w:r>
      <w:r w:rsidR="00FB1C81" w:rsidRPr="00D13342">
        <w:t xml:space="preserve"> </w:t>
      </w:r>
      <w:r w:rsidR="00CA1F08" w:rsidRPr="00D13342">
        <w:t xml:space="preserve">ranging </w:t>
      </w:r>
      <w:r w:rsidR="006726CE" w:rsidRPr="00D13342">
        <w:t>from</w:t>
      </w:r>
      <w:r w:rsidR="006726CE">
        <w:t xml:space="preserve"> Ecuador and Bolivia</w:t>
      </w:r>
      <w:r w:rsidR="00CA1F08">
        <w:t>’s discourse of resource nationalism</w:t>
      </w:r>
      <w:r w:rsidR="006726CE">
        <w:t xml:space="preserve"> at one end to Colombia</w:t>
      </w:r>
      <w:r w:rsidR="00CA1F08">
        <w:t xml:space="preserve"> and Mexico’s neoliberal leanings</w:t>
      </w:r>
      <w:r w:rsidR="008476DB">
        <w:t xml:space="preserve"> at the other. Aside from their geography, they are all united by a focus on mining with the exception of one comparative study </w:t>
      </w:r>
      <w:r w:rsidR="00C30DF4">
        <w:t xml:space="preserve">from Argentina </w:t>
      </w:r>
      <w:r w:rsidR="008476DB">
        <w:t xml:space="preserve">that analyses both open-pit gold, silver and copper extraction and </w:t>
      </w:r>
      <w:r w:rsidR="00C30DF4">
        <w:t xml:space="preserve">the </w:t>
      </w:r>
      <w:r w:rsidR="008476DB">
        <w:t>agribusiness</w:t>
      </w:r>
      <w:r w:rsidR="00C30DF4">
        <w:t xml:space="preserve"> of soya production and export.</w:t>
      </w:r>
      <w:r w:rsidR="00077D52">
        <w:t xml:space="preserve"> Whatever the political traditions of the states under evaluation, they are also all connected by a shift towards resource policy </w:t>
      </w:r>
      <w:r w:rsidR="00E50194">
        <w:t>‘</w:t>
      </w:r>
      <w:r w:rsidR="00077D52">
        <w:t>convergence</w:t>
      </w:r>
      <w:r w:rsidR="00E50194">
        <w:t>’</w:t>
      </w:r>
      <w:r w:rsidR="00793A07">
        <w:t xml:space="preserve">, </w:t>
      </w:r>
      <w:r w:rsidR="00077D52">
        <w:t xml:space="preserve">a notion </w:t>
      </w:r>
      <w:r w:rsidR="00793A07">
        <w:t>that builds upon the</w:t>
      </w:r>
      <w:r w:rsidR="00077D52">
        <w:t xml:space="preserve"> recent work of Anthony Bebbington</w:t>
      </w:r>
      <w:r w:rsidR="00793A07">
        <w:t xml:space="preserve"> </w:t>
      </w:r>
      <w:r w:rsidR="00A51E25">
        <w:t>(2013</w:t>
      </w:r>
      <w:bookmarkStart w:id="0" w:name="_GoBack"/>
      <w:bookmarkEnd w:id="0"/>
      <w:r w:rsidR="00D13342">
        <w:t xml:space="preserve">) </w:t>
      </w:r>
      <w:r w:rsidR="00793A07">
        <w:t>and others</w:t>
      </w:r>
      <w:r w:rsidR="00077D52">
        <w:t xml:space="preserve">. </w:t>
      </w:r>
      <w:r w:rsidR="00D3361D">
        <w:t xml:space="preserve">Whether this is </w:t>
      </w:r>
      <w:r w:rsidR="00D3361D" w:rsidRPr="00D13342">
        <w:t>parsed</w:t>
      </w:r>
      <w:r w:rsidR="00D3361D">
        <w:t xml:space="preserve"> as ‘neoliberalism with state intervention’ (</w:t>
      </w:r>
      <w:r w:rsidR="00B76C9F">
        <w:t xml:space="preserve">as </w:t>
      </w:r>
      <w:r w:rsidR="00D3361D">
        <w:t>in Lust’s chapter on Peruvian mining capital) or as ‘progressive extractivism’ (to describe Bolivia’s nationalization</w:t>
      </w:r>
      <w:r w:rsidR="005F5CC2">
        <w:t xml:space="preserve"> of the extractive industries), it is made clear that the titular imperialism’s culprit is free-market capital that is shaped and moulded by government discourse and policy. </w:t>
      </w:r>
    </w:p>
    <w:p w14:paraId="4BE18DB8" w14:textId="47B80E4D" w:rsidR="00300C62" w:rsidRDefault="00064602" w:rsidP="00AC091D">
      <w:pPr>
        <w:spacing w:line="240" w:lineRule="auto"/>
        <w:jc w:val="both"/>
      </w:pPr>
      <w:r>
        <w:t xml:space="preserve">This is a strongly argued and convincing critique of neo-extractivism which will be of particular interest to scholars of international development, political economy and Latin American area studies and would </w:t>
      </w:r>
      <w:r w:rsidR="00A33E2B">
        <w:t>be an important part of</w:t>
      </w:r>
      <w:r w:rsidR="00872A72">
        <w:t xml:space="preserve"> any</w:t>
      </w:r>
      <w:r>
        <w:t xml:space="preserve"> reading lists of specialist modules focused on resource extraction.</w:t>
      </w:r>
      <w:r w:rsidR="004132D0">
        <w:t xml:space="preserve"> The volume is logically constructed and its conclusions are clearly articulated in the form of bulleted ‘theses</w:t>
      </w:r>
      <w:r w:rsidR="00A44950">
        <w:t xml:space="preserve"> on extractive imperialism’</w:t>
      </w:r>
      <w:r w:rsidR="0002198A">
        <w:t>. However, while the focus on Latin America lends the collection contextual consistency, it does serve to margina</w:t>
      </w:r>
      <w:r w:rsidR="001550C0">
        <w:t>lise other geographies where this</w:t>
      </w:r>
      <w:r w:rsidR="0002198A">
        <w:t xml:space="preserve"> notion of new developmentalism of resource extraction could have been applied. For example, attention to Africa could have been made where, following recent resource discoveries, a new politics of development </w:t>
      </w:r>
      <w:r w:rsidR="006B479F">
        <w:t xml:space="preserve">and national ownership </w:t>
      </w:r>
      <w:r w:rsidR="0002198A">
        <w:t>is evident</w:t>
      </w:r>
      <w:r w:rsidR="006B479F">
        <w:t xml:space="preserve"> (Hickey 2013)</w:t>
      </w:r>
      <w:r w:rsidR="0002198A">
        <w:t xml:space="preserve">. </w:t>
      </w:r>
      <w:r w:rsidR="006B479F">
        <w:t xml:space="preserve">Increasing instances of ‘local content policy’ on the continent which aim to domesticate </w:t>
      </w:r>
      <w:r w:rsidR="00D12629">
        <w:t>industries that service foreign-owned extractive capital</w:t>
      </w:r>
      <w:r w:rsidR="0002198A">
        <w:t xml:space="preserve"> </w:t>
      </w:r>
      <w:r w:rsidR="00D12629">
        <w:t xml:space="preserve">are just one example of the ways in which the state and the market combine to shape </w:t>
      </w:r>
      <w:r w:rsidR="00D12629">
        <w:lastRenderedPageBreak/>
        <w:t>contemporary development strategies there.</w:t>
      </w:r>
      <w:r w:rsidR="001B5D14">
        <w:t xml:space="preserve"> The division of the book into particular, territorially bounded spaces also eschews greater engagement with the spatial dynamics of extractive capital</w:t>
      </w:r>
      <w:r w:rsidR="00A33E2B">
        <w:t xml:space="preserve"> that may flow across borders (in</w:t>
      </w:r>
      <w:r w:rsidR="006E302A">
        <w:t xml:space="preserve"> the case of pipeline politics) or</w:t>
      </w:r>
      <w:r w:rsidR="00A33E2B">
        <w:t xml:space="preserve"> originate in non-contiguous places (for example, the offshore, the arctic and the deep sea). To consider all of these dimensions would, no doubt, be too ambitious in a single volume and we are, nonetheless, left with a lucid and </w:t>
      </w:r>
      <w:r w:rsidR="00872A72">
        <w:t>valuable addition</w:t>
      </w:r>
      <w:r w:rsidR="00A33E2B">
        <w:t xml:space="preserve"> to the field of international development. </w:t>
      </w:r>
      <w:r w:rsidR="0002198A">
        <w:t xml:space="preserve"> </w:t>
      </w:r>
    </w:p>
    <w:p w14:paraId="2361F603" w14:textId="00279906" w:rsidR="00A51E25" w:rsidRPr="00A51E25" w:rsidRDefault="00A51E25" w:rsidP="00AC091D">
      <w:pPr>
        <w:spacing w:line="240" w:lineRule="auto"/>
        <w:jc w:val="both"/>
        <w:rPr>
          <w:u w:val="single"/>
        </w:rPr>
      </w:pPr>
      <w:r w:rsidRPr="00A51E25">
        <w:rPr>
          <w:u w:val="single"/>
        </w:rPr>
        <w:t>References</w:t>
      </w:r>
    </w:p>
    <w:p w14:paraId="4A68B02A" w14:textId="70677779" w:rsidR="00A51E25" w:rsidRPr="00A51E25" w:rsidRDefault="00A51E25" w:rsidP="00AC091D">
      <w:pPr>
        <w:spacing w:line="240" w:lineRule="auto"/>
        <w:jc w:val="both"/>
        <w:rPr>
          <w:rFonts w:cs="Arial"/>
          <w:color w:val="1A1A1A"/>
          <w:sz w:val="18"/>
          <w:lang w:val="en-US"/>
        </w:rPr>
      </w:pPr>
      <w:r w:rsidRPr="00A51E25">
        <w:rPr>
          <w:rFonts w:cs="Arial"/>
          <w:color w:val="1A1A1A"/>
          <w:szCs w:val="26"/>
          <w:lang w:val="en-US"/>
        </w:rPr>
        <w:t xml:space="preserve">Bebbington, A. (2013). </w:t>
      </w:r>
      <w:r>
        <w:rPr>
          <w:rFonts w:cs="Arial"/>
          <w:color w:val="1A1A1A"/>
          <w:szCs w:val="26"/>
          <w:lang w:val="en-US"/>
        </w:rPr>
        <w:t>‘</w:t>
      </w:r>
      <w:r w:rsidRPr="00A51E25">
        <w:rPr>
          <w:rFonts w:cs="Arial"/>
          <w:color w:val="1A1A1A"/>
          <w:szCs w:val="26"/>
          <w:lang w:val="en-US"/>
        </w:rPr>
        <w:t>Natural resource extraction and the possibilities of inclusive development: politics across space and time</w:t>
      </w:r>
      <w:r>
        <w:rPr>
          <w:rFonts w:cs="Arial"/>
          <w:color w:val="1A1A1A"/>
          <w:szCs w:val="26"/>
          <w:lang w:val="en-US"/>
        </w:rPr>
        <w:t>’</w:t>
      </w:r>
      <w:r w:rsidRPr="00A51E25">
        <w:rPr>
          <w:rFonts w:cs="Arial"/>
          <w:color w:val="1A1A1A"/>
          <w:szCs w:val="26"/>
          <w:lang w:val="en-US"/>
        </w:rPr>
        <w:t xml:space="preserve">. </w:t>
      </w:r>
      <w:r>
        <w:rPr>
          <w:rFonts w:cs="Arial"/>
          <w:color w:val="1A1A1A"/>
          <w:szCs w:val="26"/>
          <w:lang w:val="en-US"/>
        </w:rPr>
        <w:t xml:space="preserve">ESID Working Paper 21. </w:t>
      </w:r>
      <w:r w:rsidRPr="00A51E25">
        <w:rPr>
          <w:rFonts w:cs="Arial"/>
          <w:i/>
          <w:iCs/>
          <w:color w:val="1A1A1A"/>
          <w:szCs w:val="26"/>
          <w:lang w:val="en-US"/>
        </w:rPr>
        <w:t>Available at SSRN 2386711</w:t>
      </w:r>
      <w:r w:rsidRPr="00A51E25">
        <w:rPr>
          <w:rFonts w:cs="Arial"/>
          <w:color w:val="1A1A1A"/>
          <w:szCs w:val="26"/>
          <w:lang w:val="en-US"/>
        </w:rPr>
        <w:t>.</w:t>
      </w:r>
    </w:p>
    <w:p w14:paraId="21FCEC33" w14:textId="0B48A4C7" w:rsidR="0016679A" w:rsidRPr="00A51E25" w:rsidRDefault="00A51E25" w:rsidP="00AC091D">
      <w:pPr>
        <w:spacing w:line="240" w:lineRule="auto"/>
        <w:jc w:val="both"/>
      </w:pPr>
      <w:r w:rsidRPr="00A51E25">
        <w:rPr>
          <w:rFonts w:cs="Arial"/>
          <w:color w:val="1A1A1A"/>
          <w:lang w:val="en-US"/>
        </w:rPr>
        <w:t xml:space="preserve">Hickey, S. (2013). </w:t>
      </w:r>
      <w:r>
        <w:rPr>
          <w:rFonts w:cs="Arial"/>
          <w:color w:val="1A1A1A"/>
          <w:lang w:val="en-US"/>
        </w:rPr>
        <w:t>‘</w:t>
      </w:r>
      <w:r w:rsidRPr="00A51E25">
        <w:rPr>
          <w:rFonts w:cs="Arial"/>
          <w:color w:val="1A1A1A"/>
          <w:lang w:val="en-US"/>
        </w:rPr>
        <w:t>Beyond the poverty agenda? Insights from the new politics of development in Uganda</w:t>
      </w:r>
      <w:r>
        <w:rPr>
          <w:rFonts w:cs="Arial"/>
          <w:color w:val="1A1A1A"/>
          <w:lang w:val="en-US"/>
        </w:rPr>
        <w:t>’,</w:t>
      </w:r>
      <w:r w:rsidRPr="00A51E25">
        <w:rPr>
          <w:rFonts w:cs="Arial"/>
          <w:color w:val="1A1A1A"/>
          <w:lang w:val="en-US"/>
        </w:rPr>
        <w:t xml:space="preserve"> </w:t>
      </w:r>
      <w:r w:rsidRPr="00A51E25">
        <w:rPr>
          <w:rFonts w:cs="Arial"/>
          <w:i/>
          <w:iCs/>
          <w:color w:val="1A1A1A"/>
          <w:lang w:val="en-US"/>
        </w:rPr>
        <w:t>World Development</w:t>
      </w:r>
      <w:r w:rsidRPr="00A51E25">
        <w:rPr>
          <w:rFonts w:cs="Arial"/>
          <w:color w:val="1A1A1A"/>
          <w:lang w:val="en-US"/>
        </w:rPr>
        <w:t xml:space="preserve"> </w:t>
      </w:r>
      <w:r w:rsidRPr="00A51E25">
        <w:rPr>
          <w:rFonts w:cs="Arial"/>
          <w:iCs/>
          <w:color w:val="1A1A1A"/>
          <w:lang w:val="en-US"/>
        </w:rPr>
        <w:t>43</w:t>
      </w:r>
      <w:r>
        <w:rPr>
          <w:rFonts w:cs="Arial"/>
          <w:color w:val="1A1A1A"/>
          <w:lang w:val="en-US"/>
        </w:rPr>
        <w:t>:</w:t>
      </w:r>
      <w:r w:rsidRPr="00A51E25">
        <w:rPr>
          <w:rFonts w:cs="Arial"/>
          <w:color w:val="1A1A1A"/>
          <w:lang w:val="en-US"/>
        </w:rPr>
        <w:t xml:space="preserve"> 194-206.</w:t>
      </w:r>
    </w:p>
    <w:p w14:paraId="7EFE2010" w14:textId="77777777" w:rsidR="007C791B" w:rsidRPr="007C791B" w:rsidRDefault="007C791B" w:rsidP="00F82CBB">
      <w:pPr>
        <w:spacing w:line="480" w:lineRule="auto"/>
        <w:jc w:val="both"/>
        <w:rPr>
          <w:b/>
        </w:rPr>
      </w:pPr>
    </w:p>
    <w:sectPr w:rsidR="007C791B" w:rsidRPr="007C79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DE0"/>
    <w:rsid w:val="000153F8"/>
    <w:rsid w:val="0002198A"/>
    <w:rsid w:val="00037CFD"/>
    <w:rsid w:val="00050EEC"/>
    <w:rsid w:val="00064602"/>
    <w:rsid w:val="00076960"/>
    <w:rsid w:val="00077D52"/>
    <w:rsid w:val="00080870"/>
    <w:rsid w:val="000A043F"/>
    <w:rsid w:val="000A20B2"/>
    <w:rsid w:val="000D1F5B"/>
    <w:rsid w:val="0011733E"/>
    <w:rsid w:val="0014045E"/>
    <w:rsid w:val="001550C0"/>
    <w:rsid w:val="0016679A"/>
    <w:rsid w:val="001970AD"/>
    <w:rsid w:val="001B5D14"/>
    <w:rsid w:val="002035C6"/>
    <w:rsid w:val="0021588B"/>
    <w:rsid w:val="00220D0C"/>
    <w:rsid w:val="0026399D"/>
    <w:rsid w:val="002965CA"/>
    <w:rsid w:val="00297F71"/>
    <w:rsid w:val="002A35B1"/>
    <w:rsid w:val="002B55BB"/>
    <w:rsid w:val="00300C62"/>
    <w:rsid w:val="00360D12"/>
    <w:rsid w:val="00396B53"/>
    <w:rsid w:val="003B7CE2"/>
    <w:rsid w:val="003F553B"/>
    <w:rsid w:val="00412588"/>
    <w:rsid w:val="004132D0"/>
    <w:rsid w:val="004B500B"/>
    <w:rsid w:val="004D6BDD"/>
    <w:rsid w:val="00582058"/>
    <w:rsid w:val="00591A00"/>
    <w:rsid w:val="005A2292"/>
    <w:rsid w:val="005E4F9B"/>
    <w:rsid w:val="005F5CC2"/>
    <w:rsid w:val="00654B9C"/>
    <w:rsid w:val="00670450"/>
    <w:rsid w:val="006726CE"/>
    <w:rsid w:val="0068023D"/>
    <w:rsid w:val="006B479F"/>
    <w:rsid w:val="006D404D"/>
    <w:rsid w:val="006E302A"/>
    <w:rsid w:val="00793A07"/>
    <w:rsid w:val="007A2D2C"/>
    <w:rsid w:val="007C791B"/>
    <w:rsid w:val="007D4A86"/>
    <w:rsid w:val="007F0846"/>
    <w:rsid w:val="00800DE0"/>
    <w:rsid w:val="00820BDD"/>
    <w:rsid w:val="008476DB"/>
    <w:rsid w:val="008525FE"/>
    <w:rsid w:val="008634A5"/>
    <w:rsid w:val="00867E73"/>
    <w:rsid w:val="00872A72"/>
    <w:rsid w:val="00890F33"/>
    <w:rsid w:val="00905B1B"/>
    <w:rsid w:val="009137D0"/>
    <w:rsid w:val="00957ABA"/>
    <w:rsid w:val="00957E72"/>
    <w:rsid w:val="009B1D22"/>
    <w:rsid w:val="009D370A"/>
    <w:rsid w:val="00A33E2B"/>
    <w:rsid w:val="00A44950"/>
    <w:rsid w:val="00A51E25"/>
    <w:rsid w:val="00AB5D60"/>
    <w:rsid w:val="00AC091D"/>
    <w:rsid w:val="00AE47B3"/>
    <w:rsid w:val="00AF10BD"/>
    <w:rsid w:val="00B10C67"/>
    <w:rsid w:val="00B33B00"/>
    <w:rsid w:val="00B50222"/>
    <w:rsid w:val="00B6051C"/>
    <w:rsid w:val="00B61F43"/>
    <w:rsid w:val="00B76C9F"/>
    <w:rsid w:val="00C30DF4"/>
    <w:rsid w:val="00C45BFE"/>
    <w:rsid w:val="00C61B0F"/>
    <w:rsid w:val="00C71DF7"/>
    <w:rsid w:val="00CA1F08"/>
    <w:rsid w:val="00CA5EDF"/>
    <w:rsid w:val="00CE416F"/>
    <w:rsid w:val="00D12629"/>
    <w:rsid w:val="00D13342"/>
    <w:rsid w:val="00D3361D"/>
    <w:rsid w:val="00D45163"/>
    <w:rsid w:val="00D813AB"/>
    <w:rsid w:val="00D81AAE"/>
    <w:rsid w:val="00E20424"/>
    <w:rsid w:val="00E450D5"/>
    <w:rsid w:val="00E50194"/>
    <w:rsid w:val="00E52A08"/>
    <w:rsid w:val="00E6539D"/>
    <w:rsid w:val="00EE5BAB"/>
    <w:rsid w:val="00EF10A8"/>
    <w:rsid w:val="00F0178C"/>
    <w:rsid w:val="00F43827"/>
    <w:rsid w:val="00F46C3A"/>
    <w:rsid w:val="00F82CBB"/>
    <w:rsid w:val="00FB1C81"/>
    <w:rsid w:val="00FE77B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C1E9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it-title">
    <w:name w:val="cit-title"/>
    <w:basedOn w:val="DefaultParagraphFont"/>
    <w:rsid w:val="007C791B"/>
  </w:style>
  <w:style w:type="character" w:customStyle="1" w:styleId="site-title">
    <w:name w:val="site-title"/>
    <w:basedOn w:val="DefaultParagraphFont"/>
    <w:rsid w:val="007C791B"/>
  </w:style>
  <w:style w:type="character" w:customStyle="1" w:styleId="cit-print-date">
    <w:name w:val="cit-print-date"/>
    <w:basedOn w:val="DefaultParagraphFont"/>
    <w:rsid w:val="007C791B"/>
  </w:style>
  <w:style w:type="character" w:customStyle="1" w:styleId="cit-vol">
    <w:name w:val="cit-vol"/>
    <w:basedOn w:val="DefaultParagraphFont"/>
    <w:rsid w:val="007C791B"/>
  </w:style>
  <w:style w:type="character" w:customStyle="1" w:styleId="cit-sep">
    <w:name w:val="cit-sep"/>
    <w:basedOn w:val="DefaultParagraphFont"/>
    <w:rsid w:val="007C791B"/>
  </w:style>
  <w:style w:type="character" w:customStyle="1" w:styleId="cit-first-page">
    <w:name w:val="cit-first-page"/>
    <w:basedOn w:val="DefaultParagraphFont"/>
    <w:rsid w:val="007C791B"/>
  </w:style>
  <w:style w:type="character" w:customStyle="1" w:styleId="cit-last-page">
    <w:name w:val="cit-last-page"/>
    <w:basedOn w:val="DefaultParagraphFont"/>
    <w:rsid w:val="007C791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it-title">
    <w:name w:val="cit-title"/>
    <w:basedOn w:val="DefaultParagraphFont"/>
    <w:rsid w:val="007C791B"/>
  </w:style>
  <w:style w:type="character" w:customStyle="1" w:styleId="site-title">
    <w:name w:val="site-title"/>
    <w:basedOn w:val="DefaultParagraphFont"/>
    <w:rsid w:val="007C791B"/>
  </w:style>
  <w:style w:type="character" w:customStyle="1" w:styleId="cit-print-date">
    <w:name w:val="cit-print-date"/>
    <w:basedOn w:val="DefaultParagraphFont"/>
    <w:rsid w:val="007C791B"/>
  </w:style>
  <w:style w:type="character" w:customStyle="1" w:styleId="cit-vol">
    <w:name w:val="cit-vol"/>
    <w:basedOn w:val="DefaultParagraphFont"/>
    <w:rsid w:val="007C791B"/>
  </w:style>
  <w:style w:type="character" w:customStyle="1" w:styleId="cit-sep">
    <w:name w:val="cit-sep"/>
    <w:basedOn w:val="DefaultParagraphFont"/>
    <w:rsid w:val="007C791B"/>
  </w:style>
  <w:style w:type="character" w:customStyle="1" w:styleId="cit-first-page">
    <w:name w:val="cit-first-page"/>
    <w:basedOn w:val="DefaultParagraphFont"/>
    <w:rsid w:val="007C791B"/>
  </w:style>
  <w:style w:type="character" w:customStyle="1" w:styleId="cit-last-page">
    <w:name w:val="cit-last-page"/>
    <w:basedOn w:val="DefaultParagraphFont"/>
    <w:rsid w:val="007C79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811</Words>
  <Characters>4628</Characters>
  <Application>Microsoft Macintosh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Childs</cp:lastModifiedBy>
  <cp:revision>4</cp:revision>
  <dcterms:created xsi:type="dcterms:W3CDTF">2014-12-19T18:57:00Z</dcterms:created>
  <dcterms:modified xsi:type="dcterms:W3CDTF">2014-12-19T19:20:00Z</dcterms:modified>
</cp:coreProperties>
</file>