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0053D6" w14:textId="77777777" w:rsidR="00354E83" w:rsidRPr="006E2D0C" w:rsidRDefault="00884C69" w:rsidP="006E2D0C">
      <w:pPr>
        <w:pStyle w:val="Title"/>
        <w:jc w:val="left"/>
        <w:rPr>
          <w:sz w:val="36"/>
          <w:szCs w:val="36"/>
        </w:rPr>
      </w:pPr>
      <w:r w:rsidRPr="006E2D0C">
        <w:rPr>
          <w:sz w:val="36"/>
          <w:szCs w:val="36"/>
        </w:rPr>
        <w:t>Market Damages</w:t>
      </w:r>
      <w:r w:rsidR="005403A5" w:rsidRPr="006E2D0C">
        <w:rPr>
          <w:sz w:val="36"/>
          <w:szCs w:val="36"/>
        </w:rPr>
        <w:t xml:space="preserve"> and </w:t>
      </w:r>
      <w:r w:rsidR="00EF17A5" w:rsidRPr="006E2D0C">
        <w:rPr>
          <w:sz w:val="36"/>
          <w:szCs w:val="36"/>
        </w:rPr>
        <w:t>the Invisible Hand</w:t>
      </w:r>
    </w:p>
    <w:p w14:paraId="089D173B" w14:textId="77777777" w:rsidR="006E2D0C" w:rsidRDefault="006E2D0C" w:rsidP="006E2D0C">
      <w:pPr>
        <w:pStyle w:val="Heading2"/>
        <w:jc w:val="left"/>
        <w:rPr>
          <w:sz w:val="28"/>
          <w:szCs w:val="28"/>
        </w:rPr>
      </w:pPr>
    </w:p>
    <w:p w14:paraId="0D90E7C9" w14:textId="77777777" w:rsidR="000B5632" w:rsidRPr="006E2D0C" w:rsidRDefault="005E4EA1" w:rsidP="006E2D0C">
      <w:pPr>
        <w:pStyle w:val="Heading2"/>
        <w:jc w:val="left"/>
        <w:rPr>
          <w:i w:val="0"/>
          <w:sz w:val="28"/>
          <w:szCs w:val="28"/>
        </w:rPr>
      </w:pPr>
      <w:r w:rsidRPr="006E2D0C">
        <w:rPr>
          <w:sz w:val="28"/>
          <w:szCs w:val="28"/>
        </w:rPr>
        <w:t>David Campbell</w:t>
      </w:r>
      <w:r w:rsidR="000B5632" w:rsidRPr="006E2D0C">
        <w:rPr>
          <w:rStyle w:val="FootnoteReference"/>
          <w:i w:val="0"/>
          <w:sz w:val="28"/>
          <w:szCs w:val="28"/>
        </w:rPr>
        <w:footnoteReference w:customMarkFollows="1" w:id="1"/>
        <w:t>*</w:t>
      </w:r>
    </w:p>
    <w:p w14:paraId="0B18CA16" w14:textId="77777777" w:rsidR="000B5632" w:rsidRPr="006E2D0C" w:rsidRDefault="000B5632" w:rsidP="006E2D0C"/>
    <w:p w14:paraId="510D6D15" w14:textId="22D30A87" w:rsidR="000B5632" w:rsidRPr="006E2D0C" w:rsidRDefault="00CB1F83" w:rsidP="006E2D0C">
      <w:pPr>
        <w:pStyle w:val="Heading3"/>
        <w:jc w:val="left"/>
        <w:rPr>
          <w:b/>
          <w:sz w:val="28"/>
          <w:szCs w:val="28"/>
        </w:rPr>
      </w:pPr>
      <w:r>
        <w:rPr>
          <w:b/>
          <w:caps w:val="0"/>
          <w:sz w:val="28"/>
          <w:szCs w:val="28"/>
        </w:rPr>
        <w:t>Introduction: why does the invisible h</w:t>
      </w:r>
      <w:r w:rsidR="006E2D0C" w:rsidRPr="006E2D0C">
        <w:rPr>
          <w:b/>
          <w:caps w:val="0"/>
          <w:sz w:val="28"/>
          <w:szCs w:val="28"/>
        </w:rPr>
        <w:t>and work?</w:t>
      </w:r>
    </w:p>
    <w:p w14:paraId="0B1E9639" w14:textId="77777777" w:rsidR="006E2D0C" w:rsidRDefault="006E2D0C" w:rsidP="006E2D0C"/>
    <w:p w14:paraId="2F75C926" w14:textId="77777777" w:rsidR="000B5632" w:rsidRDefault="000B5632" w:rsidP="006E2D0C">
      <w:r w:rsidRPr="006E2D0C">
        <w:t>It is hardly satisfactory that our understanding of the market economy continues to rest on a concept that, to the contemporary analyst if not to its author, is the merest metaphor.</w:t>
      </w:r>
      <w:r w:rsidR="005C33E0" w:rsidRPr="006E2D0C">
        <w:rPr>
          <w:rStyle w:val="FootnoteReference"/>
        </w:rPr>
        <w:footnoteReference w:id="2"/>
      </w:r>
      <w:r w:rsidRPr="006E2D0C">
        <w:t xml:space="preserve"> In </w:t>
      </w:r>
      <w:r w:rsidRPr="006E2D0C">
        <w:rPr>
          <w:i/>
        </w:rPr>
        <w:t>The Wealth of Nations</w:t>
      </w:r>
      <w:r w:rsidRPr="006E2D0C">
        <w:t xml:space="preserve"> of 1776, Adam Smith told us that:</w:t>
      </w:r>
    </w:p>
    <w:p w14:paraId="54B2725F" w14:textId="77777777" w:rsidR="006E2D0C" w:rsidRPr="006E2D0C" w:rsidRDefault="006E2D0C" w:rsidP="006E2D0C"/>
    <w:p w14:paraId="5CDA8FDC" w14:textId="77777777" w:rsidR="000B5632" w:rsidRDefault="000B5632" w:rsidP="006E2D0C">
      <w:pPr>
        <w:pStyle w:val="Quote1"/>
        <w:spacing w:after="0" w:line="480" w:lineRule="auto"/>
        <w:ind w:left="709"/>
        <w:rPr>
          <w:szCs w:val="24"/>
        </w:rPr>
      </w:pPr>
      <w:r w:rsidRPr="006E2D0C">
        <w:rPr>
          <w:szCs w:val="24"/>
        </w:rPr>
        <w:t xml:space="preserve">every individual necessarily labours to render the annual revenue as great as he can. He generally indeed neither intends to promote the publick interest, nor knows how much he is promoting it … he intends only his own gain and he is </w:t>
      </w:r>
      <w:r w:rsidRPr="006E2D0C">
        <w:rPr>
          <w:szCs w:val="24"/>
        </w:rPr>
        <w:lastRenderedPageBreak/>
        <w:t>… led by an invisible hand to promote an end which was no part of his intention.</w:t>
      </w:r>
      <w:bookmarkStart w:id="0" w:name="_Ref364328077"/>
      <w:r w:rsidRPr="006E2D0C">
        <w:rPr>
          <w:rStyle w:val="FootnoteReference"/>
          <w:szCs w:val="24"/>
        </w:rPr>
        <w:footnoteReference w:id="3"/>
      </w:r>
      <w:bookmarkEnd w:id="0"/>
    </w:p>
    <w:p w14:paraId="47CDD399" w14:textId="77777777" w:rsidR="006E2D0C" w:rsidRPr="006E2D0C" w:rsidRDefault="006E2D0C" w:rsidP="006E2D0C"/>
    <w:p w14:paraId="3E3B64E8" w14:textId="31F801D0" w:rsidR="000B5632" w:rsidRPr="006E2D0C" w:rsidRDefault="000B5632" w:rsidP="006E2D0C">
      <w:r w:rsidRPr="006E2D0C">
        <w:t>For Smith, the invisible hand was evidence of the ‘benevolence and wisdom’ of ‘that divine Being’ who has ‘from all eternity, contrived and conducted the immense machine of the universe, so as at all times to produce the greatest possible quantity of happiness’.</w:t>
      </w:r>
      <w:r w:rsidRPr="006E2D0C">
        <w:rPr>
          <w:rStyle w:val="FootnoteReference"/>
        </w:rPr>
        <w:footnoteReference w:id="4"/>
      </w:r>
      <w:r w:rsidRPr="006E2D0C">
        <w:t xml:space="preserve"> This explanation of the social coherence of market organisation is not acceptable to the contemporary analyst, but the absence of anything like a fully worked out alternative to Smith’s beliefs leaves that analyst with</w:t>
      </w:r>
      <w:r w:rsidR="009073F0" w:rsidRPr="006E2D0C">
        <w:t>out a satisfactory answer to what</w:t>
      </w:r>
      <w:r w:rsidRPr="006E2D0C">
        <w:t xml:space="preserve"> remains overwhelmingly the most important </w:t>
      </w:r>
      <w:r w:rsidR="00FC323D">
        <w:t>question</w:t>
      </w:r>
      <w:r w:rsidRPr="006E2D0C">
        <w:t xml:space="preserve"> for social thought</w:t>
      </w:r>
      <w:r w:rsidR="009073F0" w:rsidRPr="006E2D0C">
        <w:t>:</w:t>
      </w:r>
      <w:r w:rsidR="00FC323D" w:rsidRPr="00FC323D">
        <w:rPr>
          <w:vertAlign w:val="superscript"/>
        </w:rPr>
        <w:footnoteReference w:id="5"/>
      </w:r>
      <w:r w:rsidR="009073F0" w:rsidRPr="006E2D0C">
        <w:t xml:space="preserve"> h</w:t>
      </w:r>
      <w:r w:rsidRPr="006E2D0C">
        <w:t xml:space="preserve">ow is it that self-interested actions which are not consciously co-ordinated </w:t>
      </w:r>
      <w:r w:rsidR="003A3F58" w:rsidRPr="006E2D0C">
        <w:t>do not yield</w:t>
      </w:r>
      <w:r w:rsidRPr="006E2D0C">
        <w:t xml:space="preserve"> chaos</w:t>
      </w:r>
      <w:r w:rsidR="003A3F58" w:rsidRPr="006E2D0C">
        <w:t xml:space="preserve"> </w:t>
      </w:r>
      <w:r w:rsidRPr="006E2D0C">
        <w:t>but an economy</w:t>
      </w:r>
      <w:r w:rsidR="003A3F58" w:rsidRPr="006E2D0C">
        <w:t xml:space="preserve"> capable</w:t>
      </w:r>
      <w:r w:rsidRPr="006E2D0C">
        <w:t>, not merely of organised self-reproduction, but of producing welfare outcomes generally far superior to those produced by any histori</w:t>
      </w:r>
      <w:r w:rsidR="00FC323D">
        <w:t>cal or contemporary alternative?</w:t>
      </w:r>
    </w:p>
    <w:p w14:paraId="079AE756" w14:textId="77777777" w:rsidR="006E2D0C" w:rsidRDefault="000B5632" w:rsidP="006E2D0C">
      <w:r w:rsidRPr="006E2D0C">
        <w:tab/>
      </w:r>
    </w:p>
    <w:p w14:paraId="5CA9738E" w14:textId="77777777" w:rsidR="000B5632" w:rsidRDefault="009073F0" w:rsidP="006E2D0C">
      <w:r w:rsidRPr="006E2D0C">
        <w:lastRenderedPageBreak/>
        <w:t>It is, h</w:t>
      </w:r>
      <w:r w:rsidR="000B5632" w:rsidRPr="006E2D0C">
        <w:t xml:space="preserve">owever, </w:t>
      </w:r>
      <w:r w:rsidR="003A3F58" w:rsidRPr="006E2D0C">
        <w:t xml:space="preserve">almost universally agreed that </w:t>
      </w:r>
      <w:r w:rsidR="00E8504A" w:rsidRPr="006E2D0C">
        <w:t xml:space="preserve">public provision of a </w:t>
      </w:r>
      <w:r w:rsidR="000B5632" w:rsidRPr="006E2D0C">
        <w:t xml:space="preserve">legal framework </w:t>
      </w:r>
      <w:r w:rsidR="00E8504A" w:rsidRPr="006E2D0C">
        <w:t xml:space="preserve">for economic action </w:t>
      </w:r>
      <w:r w:rsidR="000B5632" w:rsidRPr="006E2D0C">
        <w:t xml:space="preserve">is </w:t>
      </w:r>
      <w:r w:rsidR="00E8504A" w:rsidRPr="006E2D0C">
        <w:t>essential to the market economy</w:t>
      </w:r>
      <w:r w:rsidR="000B5632" w:rsidRPr="006E2D0C">
        <w:t>. Economic action is driven by the pursuit of self-interest, but self-interest may, of course, be exercised in ways</w:t>
      </w:r>
      <w:r w:rsidR="00E87E79" w:rsidRPr="006E2D0C">
        <w:t xml:space="preserve"> which do not increase overall welfare</w:t>
      </w:r>
      <w:r w:rsidR="000B5632" w:rsidRPr="006E2D0C">
        <w:t>, such as the forcible or fraudulent appropriation of economic goods in the possession of others, and legal</w:t>
      </w:r>
      <w:r w:rsidR="00E8504A" w:rsidRPr="006E2D0C">
        <w:t xml:space="preserve"> channelling of </w:t>
      </w:r>
      <w:r w:rsidR="000B5632" w:rsidRPr="006E2D0C">
        <w:t xml:space="preserve">self-interest into </w:t>
      </w:r>
      <w:r w:rsidR="00E8504A" w:rsidRPr="006E2D0C">
        <w:t xml:space="preserve">mutually </w:t>
      </w:r>
      <w:r w:rsidR="000B5632" w:rsidRPr="006E2D0C">
        <w:t>benefic</w:t>
      </w:r>
      <w:r w:rsidR="00E8504A" w:rsidRPr="006E2D0C">
        <w:t xml:space="preserve">ial exchange is necessary for the invisible hand to work. </w:t>
      </w:r>
      <w:r w:rsidR="000B5632" w:rsidRPr="006E2D0C">
        <w:t xml:space="preserve">Smith himself certainly </w:t>
      </w:r>
      <w:r w:rsidR="00E8504A" w:rsidRPr="006E2D0C">
        <w:t xml:space="preserve">was </w:t>
      </w:r>
      <w:r w:rsidR="000B5632" w:rsidRPr="006E2D0C">
        <w:t xml:space="preserve">aware of this necessity, and spent a great amount of effort on analysis of the </w:t>
      </w:r>
      <w:r w:rsidR="00E8504A" w:rsidRPr="006E2D0C">
        <w:t xml:space="preserve">requisite </w:t>
      </w:r>
      <w:r w:rsidR="000B5632" w:rsidRPr="006E2D0C">
        <w:t>legal framework</w:t>
      </w:r>
      <w:r w:rsidR="00E66FEF" w:rsidRPr="006E2D0C">
        <w:t xml:space="preserve"> </w:t>
      </w:r>
      <w:r w:rsidR="00E87E79" w:rsidRPr="006E2D0C">
        <w:t xml:space="preserve">of what he called </w:t>
      </w:r>
      <w:r w:rsidR="00121A20" w:rsidRPr="006E2D0C">
        <w:t>‘</w:t>
      </w:r>
      <w:r w:rsidR="00E66FEF" w:rsidRPr="006E2D0C">
        <w:t>justice</w:t>
      </w:r>
      <w:r w:rsidR="00121A20" w:rsidRPr="006E2D0C">
        <w:t>’</w:t>
      </w:r>
      <w:r w:rsidR="000B5632" w:rsidRPr="006E2D0C">
        <w:t>.</w:t>
      </w:r>
      <w:bookmarkStart w:id="1" w:name="_Ref394492813"/>
      <w:r w:rsidR="003A3F58" w:rsidRPr="006E2D0C">
        <w:rPr>
          <w:rStyle w:val="FootnoteReference"/>
        </w:rPr>
        <w:footnoteReference w:id="6"/>
      </w:r>
      <w:bookmarkEnd w:id="1"/>
      <w:r w:rsidR="000B5632" w:rsidRPr="006E2D0C">
        <w:t xml:space="preserve"> </w:t>
      </w:r>
      <w:r w:rsidR="00E8504A" w:rsidRPr="006E2D0C">
        <w:t xml:space="preserve">He </w:t>
      </w:r>
      <w:r w:rsidR="000B5632" w:rsidRPr="006E2D0C">
        <w:t xml:space="preserve">anticipated the </w:t>
      </w:r>
      <w:r w:rsidR="00E66FEF" w:rsidRPr="006E2D0C">
        <w:t xml:space="preserve">positive externality argument </w:t>
      </w:r>
      <w:r w:rsidR="000B5632" w:rsidRPr="006E2D0C">
        <w:t xml:space="preserve">for the provision of public goods and, as a matter of practical policy, </w:t>
      </w:r>
      <w:r w:rsidR="00E66FEF" w:rsidRPr="006E2D0C">
        <w:t xml:space="preserve">recommended </w:t>
      </w:r>
      <w:r w:rsidR="000B5632" w:rsidRPr="006E2D0C">
        <w:t xml:space="preserve">public expenditure on a number of </w:t>
      </w:r>
      <w:r w:rsidR="00E87E79" w:rsidRPr="006E2D0C">
        <w:t xml:space="preserve">such </w:t>
      </w:r>
      <w:r w:rsidR="000B5632" w:rsidRPr="006E2D0C">
        <w:t>goods,</w:t>
      </w:r>
      <w:r w:rsidR="00DA6564" w:rsidRPr="006E2D0C">
        <w:rPr>
          <w:vertAlign w:val="superscript"/>
        </w:rPr>
        <w:footnoteReference w:id="7"/>
      </w:r>
      <w:r w:rsidR="000B5632" w:rsidRPr="006E2D0C">
        <w:t xml:space="preserve"> notably general education</w:t>
      </w:r>
      <w:r w:rsidR="00E66FEF" w:rsidRPr="006E2D0C">
        <w:t xml:space="preserve"> but also the </w:t>
      </w:r>
      <w:r w:rsidR="00121A20" w:rsidRPr="006E2D0C">
        <w:t xml:space="preserve">special </w:t>
      </w:r>
      <w:r w:rsidR="00E66FEF" w:rsidRPr="006E2D0C">
        <w:t xml:space="preserve">encouragement of </w:t>
      </w:r>
      <w:r w:rsidR="00620BFD" w:rsidRPr="006E2D0C">
        <w:t>commerce</w:t>
      </w:r>
      <w:r w:rsidR="00121A20" w:rsidRPr="006E2D0C">
        <w:t>, which he called ‘police’</w:t>
      </w:r>
      <w:r w:rsidR="00E66FEF" w:rsidRPr="006E2D0C">
        <w:t>.</w:t>
      </w:r>
      <w:r w:rsidR="00121A20" w:rsidRPr="006E2D0C">
        <w:rPr>
          <w:rStyle w:val="FootnoteReference"/>
        </w:rPr>
        <w:footnoteReference w:id="8"/>
      </w:r>
      <w:r w:rsidR="00E66FEF" w:rsidRPr="006E2D0C">
        <w:t xml:space="preserve"> </w:t>
      </w:r>
      <w:r w:rsidR="000B5632" w:rsidRPr="006E2D0C">
        <w:t xml:space="preserve">Nevertheless, the economic policy to which the invisible hand naturally gives rise is one of what we would now call </w:t>
      </w:r>
      <w:r w:rsidR="000B5632" w:rsidRPr="006E2D0C">
        <w:rPr>
          <w:i/>
        </w:rPr>
        <w:t>laissez faire</w:t>
      </w:r>
      <w:r w:rsidR="000B5632" w:rsidRPr="006E2D0C">
        <w:t>, and so Smith’s conception of the ‘system of natural liberty’</w:t>
      </w:r>
      <w:r w:rsidR="000B5632" w:rsidRPr="006E2D0C">
        <w:rPr>
          <w:rStyle w:val="FootnoteReference"/>
        </w:rPr>
        <w:footnoteReference w:id="9"/>
      </w:r>
      <w:r w:rsidR="000B5632" w:rsidRPr="006E2D0C">
        <w:t xml:space="preserve"> was based on his belief that:</w:t>
      </w:r>
    </w:p>
    <w:p w14:paraId="6BC2F9F5" w14:textId="77777777" w:rsidR="006E2D0C" w:rsidRPr="006E2D0C" w:rsidRDefault="006E2D0C" w:rsidP="006E2D0C"/>
    <w:p w14:paraId="31FC1102" w14:textId="77777777" w:rsidR="000B5632" w:rsidRDefault="000B5632" w:rsidP="006E2D0C">
      <w:pPr>
        <w:pStyle w:val="Quote"/>
        <w:tabs>
          <w:tab w:val="clear" w:pos="1134"/>
        </w:tabs>
        <w:spacing w:after="0" w:line="480" w:lineRule="auto"/>
        <w:ind w:left="709"/>
      </w:pPr>
      <w:r w:rsidRPr="006E2D0C">
        <w:t xml:space="preserve">it requires no more than to leave [nature] alone and give her fair play in the pursuit of her own ends that she may establish her own designs … Little else is required to carry a state to the highest degree of affluence from the lowest </w:t>
      </w:r>
      <w:r w:rsidRPr="006E2D0C">
        <w:lastRenderedPageBreak/>
        <w:t>barbarism but peace, easy taxes and a tolerable administration of justice; all the rest being brought about by the natural course of things.</w:t>
      </w:r>
      <w:r w:rsidRPr="006E2D0C">
        <w:rPr>
          <w:rStyle w:val="FootnoteReference"/>
        </w:rPr>
        <w:footnoteReference w:id="10"/>
      </w:r>
    </w:p>
    <w:p w14:paraId="2E254DDF" w14:textId="77777777" w:rsidR="006E2D0C" w:rsidRPr="006E2D0C" w:rsidRDefault="006E2D0C" w:rsidP="006E2D0C"/>
    <w:p w14:paraId="111CC709" w14:textId="6ECB9DA5" w:rsidR="000B5632" w:rsidRPr="006E2D0C" w:rsidRDefault="000B5632" w:rsidP="006E2D0C">
      <w:r w:rsidRPr="006E2D0C">
        <w:t xml:space="preserve">The general defect of </w:t>
      </w:r>
      <w:r w:rsidRPr="006E2D0C">
        <w:rPr>
          <w:i/>
        </w:rPr>
        <w:t>laissez faire</w:t>
      </w:r>
      <w:r w:rsidRPr="006E2D0C">
        <w:t xml:space="preserve"> is not that it outright denies the necessity of government involvement in the market economy but that it </w:t>
      </w:r>
      <w:r w:rsidR="00544E43" w:rsidRPr="006E2D0C">
        <w:t xml:space="preserve">enormously </w:t>
      </w:r>
      <w:r w:rsidRPr="006E2D0C">
        <w:t>underestimates the extent of the inevitably complex and continuously revised government action required, not to intervene</w:t>
      </w:r>
      <w:r w:rsidR="00544E43" w:rsidRPr="006E2D0C">
        <w:t xml:space="preserve"> so as to alter market outcomes</w:t>
      </w:r>
      <w:r w:rsidRPr="006E2D0C">
        <w:t xml:space="preserve">, but to secure </w:t>
      </w:r>
      <w:r w:rsidR="00544E43" w:rsidRPr="006E2D0C">
        <w:t xml:space="preserve">the </w:t>
      </w:r>
      <w:r w:rsidRPr="006E2D0C">
        <w:t>‘peace … and a tolerable administration of justice’</w:t>
      </w:r>
      <w:r w:rsidR="00544E43" w:rsidRPr="006E2D0C">
        <w:t xml:space="preserve"> which is necessary for such outcomes</w:t>
      </w:r>
      <w:r w:rsidRPr="006E2D0C">
        <w:t>; a process which Matthias Klaes and I have elsewhere called ‘institutional direction’.</w:t>
      </w:r>
      <w:r w:rsidRPr="006E2D0C">
        <w:rPr>
          <w:rStyle w:val="FootnoteReference"/>
        </w:rPr>
        <w:footnoteReference w:id="11"/>
      </w:r>
      <w:r w:rsidRPr="006E2D0C">
        <w:t xml:space="preserve"> </w:t>
      </w:r>
      <w:r w:rsidR="00DA6564" w:rsidRPr="006E2D0C">
        <w:t>In particular, t</w:t>
      </w:r>
      <w:r w:rsidRPr="006E2D0C">
        <w:t xml:space="preserve">he </w:t>
      </w:r>
      <w:r w:rsidR="005C545A" w:rsidRPr="006E2D0C">
        <w:t xml:space="preserve">complexity and flexibility of the law of contract </w:t>
      </w:r>
      <w:r w:rsidR="009073F0" w:rsidRPr="006E2D0C">
        <w:t xml:space="preserve">which are </w:t>
      </w:r>
      <w:r w:rsidR="005C545A" w:rsidRPr="006E2D0C">
        <w:t xml:space="preserve">necessary for it to perform its </w:t>
      </w:r>
      <w:r w:rsidR="00544E43" w:rsidRPr="006E2D0C">
        <w:t xml:space="preserve">function </w:t>
      </w:r>
      <w:r w:rsidRPr="006E2D0C">
        <w:t>of e</w:t>
      </w:r>
      <w:r w:rsidR="005C545A" w:rsidRPr="006E2D0C">
        <w:t>nsuring</w:t>
      </w:r>
      <w:r w:rsidRPr="006E2D0C">
        <w:t xml:space="preserve"> that exchanges actually are voluntary bargains, and therefore comply with the conditions which </w:t>
      </w:r>
      <w:r w:rsidR="00544E43" w:rsidRPr="006E2D0C">
        <w:t xml:space="preserve">allow </w:t>
      </w:r>
      <w:r w:rsidRPr="006E2D0C">
        <w:t xml:space="preserve">them to be </w:t>
      </w:r>
      <w:r w:rsidR="00544E43" w:rsidRPr="006E2D0C">
        <w:t xml:space="preserve">mutually beneficial, </w:t>
      </w:r>
      <w:r w:rsidRPr="006E2D0C">
        <w:t xml:space="preserve">is </w:t>
      </w:r>
      <w:r w:rsidR="005C545A" w:rsidRPr="006E2D0C">
        <w:t xml:space="preserve">inadequately grasped in neo-classical </w:t>
      </w:r>
      <w:r w:rsidRPr="006E2D0C">
        <w:t xml:space="preserve">economic theory, and, the mirror image of this, the way that </w:t>
      </w:r>
      <w:r w:rsidR="00544E43" w:rsidRPr="006E2D0C">
        <w:t xml:space="preserve">function </w:t>
      </w:r>
      <w:r w:rsidRPr="006E2D0C">
        <w:t xml:space="preserve">shapes the law of contract is </w:t>
      </w:r>
      <w:r w:rsidR="005C545A" w:rsidRPr="006E2D0C">
        <w:t xml:space="preserve">inadequately grasped </w:t>
      </w:r>
      <w:r w:rsidRPr="006E2D0C">
        <w:t>in classical contract scholarship.</w:t>
      </w:r>
      <w:r w:rsidR="00DA6564" w:rsidRPr="006E2D0C">
        <w:rPr>
          <w:rStyle w:val="FootnoteReference"/>
        </w:rPr>
        <w:footnoteReference w:id="12"/>
      </w:r>
    </w:p>
    <w:p w14:paraId="180C5606" w14:textId="77777777" w:rsidR="006E2D0C" w:rsidRDefault="000B5632" w:rsidP="006E2D0C">
      <w:r w:rsidRPr="006E2D0C">
        <w:tab/>
      </w:r>
    </w:p>
    <w:p w14:paraId="2C4CEF09" w14:textId="7F5ECCAA" w:rsidR="000B5632" w:rsidRPr="006E2D0C" w:rsidRDefault="000B5632" w:rsidP="006E2D0C">
      <w:r w:rsidRPr="006E2D0C">
        <w:lastRenderedPageBreak/>
        <w:t xml:space="preserve">In this </w:t>
      </w:r>
      <w:r w:rsidR="00824654">
        <w:t>chapter I want to examine buyer</w:t>
      </w:r>
      <w:r w:rsidRPr="006E2D0C">
        <w:t>s</w:t>
      </w:r>
      <w:r w:rsidR="00824654">
        <w:t>’</w:t>
      </w:r>
      <w:r w:rsidRPr="006E2D0C">
        <w:t xml:space="preserve"> remedies for</w:t>
      </w:r>
      <w:r w:rsidR="005C773D" w:rsidRPr="006E2D0C">
        <w:t xml:space="preserve"> non-delivery of generic goods</w:t>
      </w:r>
      <w:r w:rsidRPr="006E2D0C">
        <w:t xml:space="preserve"> as an instance of the working of the invisible hand, and particularly as an instance of the contribution the law makes to that workin</w:t>
      </w:r>
      <w:r w:rsidR="00824654">
        <w:t>g. The law in this area in all C</w:t>
      </w:r>
      <w:r w:rsidRPr="006E2D0C">
        <w:t xml:space="preserve">ommon </w:t>
      </w:r>
      <w:r w:rsidR="00824654">
        <w:t>L</w:t>
      </w:r>
      <w:r w:rsidRPr="006E2D0C">
        <w:t xml:space="preserve">aw jurisdictions is based on the concept of market damages. These damages, we will see, do provide the framework for </w:t>
      </w:r>
      <w:r w:rsidR="005C773D" w:rsidRPr="006E2D0C">
        <w:t xml:space="preserve">what </w:t>
      </w:r>
      <w:r w:rsidRPr="006E2D0C">
        <w:t>seems to be the best response it is possible to devise to the most important class of breach, oblig</w:t>
      </w:r>
      <w:r w:rsidR="005C773D" w:rsidRPr="006E2D0C">
        <w:t>ing</w:t>
      </w:r>
      <w:r w:rsidRPr="006E2D0C">
        <w:t xml:space="preserve"> self-interested parties to co-operate in a way which yields optimal outcomes. But the law of market damages is also markedly deficient, and provides incentives to the opportunistic pursuit of self-interest which yields outcomes of a quite different sort. We cannot fully understand the working of the invisible hand, but the quality of the laws we devise does, it seems, have considerable effect on whether it can work</w:t>
      </w:r>
      <w:r w:rsidR="009073F0" w:rsidRPr="006E2D0C">
        <w:t xml:space="preserve"> at all</w:t>
      </w:r>
      <w:r w:rsidRPr="006E2D0C">
        <w:t xml:space="preserve">, and, in particular, whether it can generate appropriate forms of co-operation. </w:t>
      </w:r>
    </w:p>
    <w:p w14:paraId="1E7AF15B" w14:textId="77777777" w:rsidR="000B5632" w:rsidRPr="006E2D0C" w:rsidRDefault="000B5632" w:rsidP="006E2D0C">
      <w:pPr>
        <w:rPr>
          <w:iCs/>
          <w:color w:val="000000"/>
        </w:rPr>
      </w:pPr>
    </w:p>
    <w:p w14:paraId="6D89F5AA" w14:textId="77777777" w:rsidR="000B5632" w:rsidRDefault="006E2D0C" w:rsidP="006E2D0C">
      <w:pPr>
        <w:pStyle w:val="Heading3"/>
        <w:jc w:val="left"/>
        <w:rPr>
          <w:b/>
          <w:sz w:val="28"/>
          <w:szCs w:val="28"/>
        </w:rPr>
      </w:pPr>
      <w:r w:rsidRPr="006E2D0C">
        <w:rPr>
          <w:b/>
          <w:caps w:val="0"/>
          <w:sz w:val="28"/>
          <w:szCs w:val="28"/>
        </w:rPr>
        <w:t>The invisible hand and the principal remedy for breach of contract</w:t>
      </w:r>
      <w:bookmarkStart w:id="2" w:name="_Ref373503479"/>
      <w:r w:rsidR="000B5632" w:rsidRPr="006E2D0C">
        <w:rPr>
          <w:rStyle w:val="FootnoteReference"/>
        </w:rPr>
        <w:footnoteReference w:id="13"/>
      </w:r>
      <w:bookmarkEnd w:id="2"/>
    </w:p>
    <w:p w14:paraId="60A27125" w14:textId="77777777" w:rsidR="006E2D0C" w:rsidRPr="006E2D0C" w:rsidRDefault="006E2D0C" w:rsidP="006E2D0C"/>
    <w:p w14:paraId="52DB71FB" w14:textId="77777777" w:rsidR="000B5632" w:rsidRPr="006E2D0C" w:rsidRDefault="000B5632" w:rsidP="006E2D0C">
      <w:r w:rsidRPr="006E2D0C">
        <w:t xml:space="preserve">Though it receives scant attention by comparison to that paid to far less important remedies in English textbook treatments of the general principles of contract, the principal remedy for fundamental breach of contract is that the claimant take steps to secure </w:t>
      </w:r>
      <w:r w:rsidR="009073F0" w:rsidRPr="006E2D0C">
        <w:t xml:space="preserve">a substitute contract and, </w:t>
      </w:r>
      <w:r w:rsidRPr="006E2D0C">
        <w:t xml:space="preserve">if there is a difference between the contract price and </w:t>
      </w:r>
      <w:r w:rsidRPr="006E2D0C">
        <w:lastRenderedPageBreak/>
        <w:t>the price of the substitute</w:t>
      </w:r>
      <w:r w:rsidR="00DA6564" w:rsidRPr="006E2D0C">
        <w:t xml:space="preserve"> which prejudices the claimant’s expectation interest</w:t>
      </w:r>
      <w:r w:rsidRPr="006E2D0C">
        <w:t>, be awarded that difference as compensatory damages.</w:t>
      </w:r>
      <w:r w:rsidRPr="006E2D0C">
        <w:rPr>
          <w:rStyle w:val="FootnoteReference"/>
        </w:rPr>
        <w:footnoteReference w:id="14"/>
      </w:r>
      <w:r w:rsidRPr="006E2D0C">
        <w:t xml:space="preserve"> </w:t>
      </w:r>
      <w:r w:rsidR="006251AB" w:rsidRPr="006E2D0C">
        <w:t xml:space="preserve">This is the remedy which arises after breach of a sale of generic goods agreed by commercial parties, the most important class of breach which takes place. I </w:t>
      </w:r>
      <w:r w:rsidRPr="006E2D0C">
        <w:t xml:space="preserve">shall </w:t>
      </w:r>
      <w:r w:rsidR="006251AB" w:rsidRPr="006E2D0C">
        <w:t xml:space="preserve">focus only </w:t>
      </w:r>
      <w:r w:rsidRPr="006E2D0C">
        <w:t>on the buyer’s remedy for a seller’s failure to deliver</w:t>
      </w:r>
      <w:r w:rsidR="00725166" w:rsidRPr="006E2D0C">
        <w:t xml:space="preserve"> according to the terms of the contract</w:t>
      </w:r>
      <w:r w:rsidRPr="006E2D0C">
        <w:t xml:space="preserve">, though </w:t>
      </w:r>
      <w:r w:rsidR="006251AB" w:rsidRPr="006E2D0C">
        <w:t xml:space="preserve">occasional reference shall be made to the seller’s remedy for non-payment, which is essentially the same. </w:t>
      </w:r>
      <w:r w:rsidRPr="006E2D0C">
        <w:t xml:space="preserve">My focus is intended to highlight a contradiction which is implicit in the English law but made explicit in the US law: the remedies for non-delivery give the buyer both an incentive to act co-operatively in a way which yields an optimal outcome and also an incentive to act opportunistically in contradiction of that outcome. </w:t>
      </w:r>
    </w:p>
    <w:p w14:paraId="47B08658" w14:textId="77777777" w:rsidR="006E2D0C" w:rsidRDefault="000B5632" w:rsidP="006E2D0C">
      <w:r w:rsidRPr="006E2D0C">
        <w:tab/>
      </w:r>
    </w:p>
    <w:p w14:paraId="5A1EC7D7" w14:textId="77777777" w:rsidR="000B5632" w:rsidRDefault="000B5632" w:rsidP="006E2D0C">
      <w:r w:rsidRPr="006E2D0C">
        <w:t>In the US, the principal remedy for a seller’s failure to deliver is to effect ‘cover’ under the Uniform Commercial Code § 2-711(1)(a).</w:t>
      </w:r>
      <w:bookmarkStart w:id="3" w:name="_Ref278012564"/>
      <w:r w:rsidR="00DA6564" w:rsidRPr="006E2D0C">
        <w:rPr>
          <w:rStyle w:val="FootnoteReference"/>
        </w:rPr>
        <w:footnoteReference w:id="15"/>
      </w:r>
      <w:bookmarkEnd w:id="3"/>
      <w:r w:rsidRPr="006E2D0C">
        <w:t xml:space="preserve"> § 2-712, headed ‘Cover: Buyer’s Procurement of Substitute Goods’, provides that:</w:t>
      </w:r>
    </w:p>
    <w:p w14:paraId="69E57631" w14:textId="77777777" w:rsidR="006E2D0C" w:rsidRPr="006E2D0C" w:rsidRDefault="006E2D0C" w:rsidP="006E2D0C"/>
    <w:p w14:paraId="22F43601" w14:textId="77777777" w:rsidR="000B5632" w:rsidRPr="006E2D0C" w:rsidRDefault="000B5632" w:rsidP="006E2D0C">
      <w:pPr>
        <w:pStyle w:val="Quote"/>
        <w:tabs>
          <w:tab w:val="clear" w:pos="1134"/>
        </w:tabs>
        <w:spacing w:after="0" w:line="480" w:lineRule="auto"/>
        <w:ind w:left="709"/>
      </w:pPr>
      <w:r w:rsidRPr="006E2D0C">
        <w:t>(1) After a breach … the buyer may “cover” by making in good faith and without unreasonable delay any reasonable purchase of or contract to purchase goods in substitution from those due to the seller.</w:t>
      </w:r>
    </w:p>
    <w:p w14:paraId="0DC8960A" w14:textId="77777777" w:rsidR="000B5632" w:rsidRDefault="000B5632" w:rsidP="006E2D0C">
      <w:pPr>
        <w:pStyle w:val="Quote"/>
        <w:tabs>
          <w:tab w:val="clear" w:pos="1134"/>
        </w:tabs>
        <w:spacing w:after="0" w:line="480" w:lineRule="auto"/>
        <w:ind w:left="709"/>
      </w:pPr>
      <w:r w:rsidRPr="006E2D0C">
        <w:t>(2) The buyer may recover from the seller as damages the difference between the cost of cover and the contract price, together with any incidental or consequential damages … but less expenses saved in consequence of the seller’s breach.</w:t>
      </w:r>
    </w:p>
    <w:p w14:paraId="6330B0A8" w14:textId="77777777" w:rsidR="006E2D0C" w:rsidRPr="006E2D0C" w:rsidRDefault="006E2D0C" w:rsidP="006E2D0C"/>
    <w:p w14:paraId="5DF6119E" w14:textId="0F726F28" w:rsidR="000B5632" w:rsidRDefault="000B5632" w:rsidP="006E2D0C">
      <w:r w:rsidRPr="006E2D0C">
        <w:t xml:space="preserve">The law of England and Wales, </w:t>
      </w:r>
      <w:r w:rsidR="00945C91" w:rsidRPr="006E2D0C">
        <w:t xml:space="preserve">which </w:t>
      </w:r>
      <w:r w:rsidR="00DA6564" w:rsidRPr="006E2D0C">
        <w:t xml:space="preserve">effectively </w:t>
      </w:r>
      <w:r w:rsidR="00945C91" w:rsidRPr="006E2D0C">
        <w:t xml:space="preserve">remains </w:t>
      </w:r>
      <w:r w:rsidRPr="006E2D0C">
        <w:t xml:space="preserve">the law of most Commonwealth jurisdictions, does not have an explicit remedy of cover. </w:t>
      </w:r>
      <w:r w:rsidR="006251AB" w:rsidRPr="006E2D0C">
        <w:t xml:space="preserve">But cover </w:t>
      </w:r>
      <w:r w:rsidRPr="006E2D0C">
        <w:t>is effectively provided by the Sale of Goods Act 1979</w:t>
      </w:r>
      <w:r w:rsidR="004B39DF">
        <w:t>,</w:t>
      </w:r>
      <w:r w:rsidR="00DA6564" w:rsidRPr="006E2D0C">
        <w:t xml:space="preserve"> s</w:t>
      </w:r>
      <w:r w:rsidR="004B39DF">
        <w:t>ection</w:t>
      </w:r>
      <w:r w:rsidR="00DA6564" w:rsidRPr="006E2D0C">
        <w:t xml:space="preserve"> 51,</w:t>
      </w:r>
      <w:r w:rsidRPr="006E2D0C">
        <w:rPr>
          <w:rStyle w:val="FootnoteReference"/>
        </w:rPr>
        <w:footnoteReference w:id="16"/>
      </w:r>
      <w:r w:rsidRPr="006E2D0C">
        <w:t xml:space="preserve"> headed ‘Damages for Non-delivery’:</w:t>
      </w:r>
    </w:p>
    <w:p w14:paraId="440ECC84" w14:textId="77777777" w:rsidR="006E2D0C" w:rsidRPr="006E2D0C" w:rsidRDefault="006E2D0C" w:rsidP="006E2D0C"/>
    <w:p w14:paraId="06C8AFEF" w14:textId="77777777" w:rsidR="000B5632" w:rsidRPr="006E2D0C" w:rsidRDefault="000B5632" w:rsidP="006E2D0C">
      <w:pPr>
        <w:pStyle w:val="Quote"/>
        <w:tabs>
          <w:tab w:val="clear" w:pos="1134"/>
        </w:tabs>
        <w:spacing w:after="0" w:line="480" w:lineRule="auto"/>
        <w:ind w:left="709"/>
      </w:pPr>
      <w:r w:rsidRPr="006E2D0C">
        <w:lastRenderedPageBreak/>
        <w:t>(1) Where the seller wrongfully neglects or refuses to deliver the goods to the buyer, the buyer may maintain an action against the seller for damages for non-delivery.</w:t>
      </w:r>
    </w:p>
    <w:p w14:paraId="5C121E58" w14:textId="77777777" w:rsidR="000B5632" w:rsidRPr="006E2D0C" w:rsidRDefault="000B5632" w:rsidP="006E2D0C">
      <w:pPr>
        <w:pStyle w:val="Quote"/>
        <w:tabs>
          <w:tab w:val="clear" w:pos="1134"/>
        </w:tabs>
        <w:spacing w:after="0" w:line="480" w:lineRule="auto"/>
        <w:ind w:left="709"/>
      </w:pPr>
      <w:r w:rsidRPr="006E2D0C">
        <w:t>(2) The measure of damages is the estimated loss directly and naturally resulting, in the ordinary course of events, from the seller’s breach of contract.</w:t>
      </w:r>
    </w:p>
    <w:p w14:paraId="3E22EA7D" w14:textId="77777777" w:rsidR="000B5632" w:rsidRDefault="000B5632" w:rsidP="006E2D0C">
      <w:pPr>
        <w:pStyle w:val="Quote"/>
        <w:tabs>
          <w:tab w:val="clear" w:pos="1134"/>
        </w:tabs>
        <w:spacing w:after="0" w:line="480" w:lineRule="auto"/>
        <w:ind w:left="709"/>
      </w:pPr>
      <w:r w:rsidRPr="006E2D0C">
        <w:t xml:space="preserve">(3) Where there is an available market for the goods in question the measure of damages is </w:t>
      </w:r>
      <w:r w:rsidRPr="006E2D0C">
        <w:rPr>
          <w:i/>
        </w:rPr>
        <w:t>prima facie</w:t>
      </w:r>
      <w:r w:rsidRPr="006E2D0C">
        <w:t xml:space="preserve"> to be ascertained by the difference between the contract price and the market or current price of the goods at the time or time when they ought to have been delivered or (if no time was fixed) at the time of the refusal to deliver.</w:t>
      </w:r>
    </w:p>
    <w:p w14:paraId="5C8A930D" w14:textId="77777777" w:rsidR="006E2D0C" w:rsidRPr="006E2D0C" w:rsidRDefault="006E2D0C" w:rsidP="006E2D0C"/>
    <w:p w14:paraId="4B384B2A" w14:textId="77777777" w:rsidR="000B5632" w:rsidRDefault="000B5632" w:rsidP="006E2D0C">
      <w:r w:rsidRPr="006E2D0C">
        <w:t xml:space="preserve">Though not explicitly made available, cover emerges from s 51(3) because the measure of damages which is provided, generally called the ‘market price’ or ‘market damages’ rule, envisages cover taking place. As it was put in the leading English case of </w:t>
      </w:r>
      <w:r w:rsidRPr="006E2D0C">
        <w:rPr>
          <w:i/>
        </w:rPr>
        <w:t>Williams Bros v Agius (ET) Ltd</w:t>
      </w:r>
      <w:r w:rsidRPr="006E2D0C">
        <w:t>, the buyer</w:t>
      </w:r>
      <w:r w:rsidR="009073F0" w:rsidRPr="006E2D0C">
        <w:t>:</w:t>
      </w:r>
    </w:p>
    <w:p w14:paraId="49A8643F" w14:textId="77777777" w:rsidR="006E2D0C" w:rsidRPr="006E2D0C" w:rsidRDefault="006E2D0C" w:rsidP="006E2D0C"/>
    <w:p w14:paraId="5C1AA47E" w14:textId="77777777" w:rsidR="000B5632" w:rsidRDefault="000B5632" w:rsidP="006E2D0C">
      <w:pPr>
        <w:pStyle w:val="Quote"/>
        <w:tabs>
          <w:tab w:val="clear" w:pos="1134"/>
        </w:tabs>
        <w:spacing w:after="0" w:line="480" w:lineRule="auto"/>
        <w:ind w:left="709"/>
      </w:pPr>
      <w:r w:rsidRPr="006E2D0C">
        <w:t xml:space="preserve">is entitled to recover the expense of putting himself into the position of having those goods, and this he can do by going into the market and purchasing them at the market price. To do so he must pay a sum which is larger than that which he would have had to pay under the contract by the difference between the two prices. This difference is, therefore, the true measure of his loss from </w:t>
      </w:r>
      <w:r w:rsidRPr="006E2D0C">
        <w:lastRenderedPageBreak/>
        <w:t>the breach, for it is that which it will cost him to put himself in the same position as if the contract had been fulfilled.</w:t>
      </w:r>
      <w:r w:rsidRPr="006E2D0C">
        <w:rPr>
          <w:rStyle w:val="FootnoteReference"/>
        </w:rPr>
        <w:footnoteReference w:id="17"/>
      </w:r>
    </w:p>
    <w:p w14:paraId="05256D4A" w14:textId="77777777" w:rsidR="006E2D0C" w:rsidRPr="006E2D0C" w:rsidRDefault="006E2D0C" w:rsidP="006E2D0C"/>
    <w:p w14:paraId="07DE587F" w14:textId="77777777" w:rsidR="000B5632" w:rsidRPr="006E2D0C" w:rsidRDefault="000B5632" w:rsidP="006E2D0C">
      <w:r w:rsidRPr="006E2D0C">
        <w:t>Whilst, for a reason the discussion of which is central to this chapter, it would be highly misleading to say that UCC § 2-712 establishes a market damages rule, s 51(3) is a functional equivalent to UCC § 2-712(2).</w:t>
      </w:r>
    </w:p>
    <w:p w14:paraId="77F5C4D8" w14:textId="77777777" w:rsidR="006E2D0C" w:rsidRDefault="000B5632" w:rsidP="006E2D0C">
      <w:r w:rsidRPr="006E2D0C">
        <w:tab/>
      </w:r>
    </w:p>
    <w:p w14:paraId="2A8D81F7" w14:textId="262192BA" w:rsidR="000B5632" w:rsidRPr="006E2D0C" w:rsidRDefault="000B5632" w:rsidP="006E2D0C">
      <w:r w:rsidRPr="006E2D0C">
        <w:t xml:space="preserve">As one whose professional life is largely occupied with the now </w:t>
      </w:r>
      <w:r w:rsidR="00E67977" w:rsidRPr="006E2D0C">
        <w:t xml:space="preserve">preponderantly </w:t>
      </w:r>
      <w:r w:rsidRPr="006E2D0C">
        <w:t xml:space="preserve">dismal science of regulation, I am pleased to be able to point to this functional equivalence as an instance of an outstanding regulatory success. </w:t>
      </w:r>
      <w:r w:rsidR="00725166" w:rsidRPr="006E2D0C">
        <w:t xml:space="preserve">Despite its commercial importance, </w:t>
      </w:r>
      <w:r w:rsidRPr="006E2D0C">
        <w:t>an absence of case law and such</w:t>
      </w:r>
      <w:r w:rsidR="00B11C10" w:rsidRPr="006E2D0C">
        <w:t xml:space="preserve">, admittedly outdated and inadequate, </w:t>
      </w:r>
      <w:r w:rsidRPr="006E2D0C">
        <w:t xml:space="preserve">empirical evidence as we have </w:t>
      </w:r>
      <w:r w:rsidR="00E67977" w:rsidRPr="006E2D0C">
        <w:t xml:space="preserve">both </w:t>
      </w:r>
      <w:r w:rsidR="00B11C10" w:rsidRPr="006E2D0C">
        <w:t xml:space="preserve">seem to confirm Macaulay’s </w:t>
      </w:r>
      <w:r w:rsidR="009073F0" w:rsidRPr="006E2D0C">
        <w:t xml:space="preserve">seminal </w:t>
      </w:r>
      <w:r w:rsidR="00B11C10" w:rsidRPr="006E2D0C">
        <w:t xml:space="preserve">finding that </w:t>
      </w:r>
      <w:r w:rsidR="00725166" w:rsidRPr="006E2D0C">
        <w:t>a failure to deliver generic goods</w:t>
      </w:r>
      <w:r w:rsidRPr="006E2D0C">
        <w:t xml:space="preserve"> caus</w:t>
      </w:r>
      <w:r w:rsidR="00B11C10" w:rsidRPr="006E2D0C">
        <w:t>es</w:t>
      </w:r>
      <w:r w:rsidRPr="006E2D0C">
        <w:t xml:space="preserve"> few problems for commercial parties.</w:t>
      </w:r>
      <w:r w:rsidRPr="006E2D0C">
        <w:rPr>
          <w:rStyle w:val="FootnoteReference"/>
        </w:rPr>
        <w:footnoteReference w:id="18"/>
      </w:r>
      <w:r w:rsidRPr="006E2D0C">
        <w:t xml:space="preserve"> </w:t>
      </w:r>
      <w:r w:rsidR="00B11C10" w:rsidRPr="006E2D0C">
        <w:t xml:space="preserve">If the seller does not </w:t>
      </w:r>
      <w:r w:rsidR="0011741A" w:rsidRPr="006E2D0C">
        <w:t>itself provide alternative goods or effect a repair</w:t>
      </w:r>
      <w:r w:rsidR="00B11C10" w:rsidRPr="006E2D0C">
        <w:t>,</w:t>
      </w:r>
      <w:bookmarkStart w:id="4" w:name="_Ref394510564"/>
      <w:r w:rsidR="00E07A55" w:rsidRPr="006E2D0C">
        <w:rPr>
          <w:rStyle w:val="FootnoteReference"/>
        </w:rPr>
        <w:footnoteReference w:id="19"/>
      </w:r>
      <w:bookmarkEnd w:id="4"/>
      <w:r w:rsidR="00B11C10" w:rsidRPr="006E2D0C">
        <w:t xml:space="preserve"> c</w:t>
      </w:r>
      <w:r w:rsidRPr="006E2D0C">
        <w:t xml:space="preserve">over is taken and, if necessary, a payment effectively corresponding to damages under UCC § 2-712(2) </w:t>
      </w:r>
      <w:r w:rsidR="00725166" w:rsidRPr="006E2D0C">
        <w:t>or</w:t>
      </w:r>
      <w:r w:rsidRPr="006E2D0C">
        <w:t xml:space="preserve"> SoGA s 51(3) is made without dispute, perhaps in the form of a credit for future purchases. The standard work on the UCC explicitly states that § </w:t>
      </w:r>
      <w:r w:rsidRPr="006E2D0C">
        <w:lastRenderedPageBreak/>
        <w:t>2-712 (and § 2-713) are ‘not much cited in reported cases’,</w:t>
      </w:r>
      <w:bookmarkStart w:id="5" w:name="_Ref363799756"/>
      <w:r w:rsidRPr="006E2D0C">
        <w:rPr>
          <w:rStyle w:val="FootnoteReference"/>
        </w:rPr>
        <w:footnoteReference w:id="20"/>
      </w:r>
      <w:bookmarkEnd w:id="5"/>
      <w:r w:rsidRPr="006E2D0C">
        <w:t xml:space="preserve"> and the standard works on remedies under SoGA are unable to identify clear authority for the nevertheless </w:t>
      </w:r>
      <w:r w:rsidR="00E67977" w:rsidRPr="006E2D0C">
        <w:t xml:space="preserve">vitally significant </w:t>
      </w:r>
      <w:r w:rsidRPr="006E2D0C">
        <w:t>proposition that ‘</w:t>
      </w:r>
      <w:r w:rsidR="009073F0" w:rsidRPr="006E2D0C">
        <w:t>I</w:t>
      </w:r>
      <w:r w:rsidRPr="006E2D0C">
        <w:t>f … there is no difference between the contract and the market price the buyer will have lost nothing and the damages will be nominal’.</w:t>
      </w:r>
      <w:bookmarkStart w:id="6" w:name="_Ref364083217"/>
      <w:r w:rsidRPr="006E2D0C">
        <w:rPr>
          <w:rStyle w:val="FootnoteReference"/>
        </w:rPr>
        <w:footnoteReference w:id="21"/>
      </w:r>
      <w:bookmarkEnd w:id="6"/>
      <w:r w:rsidRPr="006E2D0C">
        <w:t xml:space="preserve"> The whole process works so smoothly</w:t>
      </w:r>
      <w:r w:rsidR="00EF1C6F" w:rsidRPr="006E2D0C">
        <w:t xml:space="preserve">, </w:t>
      </w:r>
      <w:r w:rsidRPr="006E2D0C">
        <w:t xml:space="preserve">without any recourse to legal </w:t>
      </w:r>
      <w:r w:rsidR="00725166" w:rsidRPr="006E2D0C">
        <w:t>action</w:t>
      </w:r>
      <w:r w:rsidRPr="006E2D0C">
        <w:t xml:space="preserve">, </w:t>
      </w:r>
      <w:r w:rsidR="004C182D" w:rsidRPr="006E2D0C">
        <w:t xml:space="preserve">that it is often </w:t>
      </w:r>
      <w:r w:rsidRPr="006E2D0C">
        <w:t xml:space="preserve">taken to be an instance of Macaulay’s non-use of contract or the use of his non-contractual relations. </w:t>
      </w:r>
      <w:r w:rsidR="00725166" w:rsidRPr="006E2D0C">
        <w:t xml:space="preserve">But </w:t>
      </w:r>
      <w:r w:rsidRPr="006E2D0C">
        <w:t>this is not the case.</w:t>
      </w:r>
      <w:bookmarkStart w:id="7" w:name="_Ref373502752"/>
      <w:r w:rsidRPr="006E2D0C">
        <w:rPr>
          <w:rStyle w:val="FootnoteReference"/>
        </w:rPr>
        <w:footnoteReference w:id="22"/>
      </w:r>
      <w:bookmarkEnd w:id="7"/>
      <w:r w:rsidRPr="006E2D0C">
        <w:t xml:space="preserve"> </w:t>
      </w:r>
      <w:r w:rsidR="00725166" w:rsidRPr="006E2D0C">
        <w:t xml:space="preserve">By the buyer covering and the seller paying the costs of doing so if necessary, the parties </w:t>
      </w:r>
      <w:r w:rsidRPr="006E2D0C">
        <w:t>deal with the breach in an optimal</w:t>
      </w:r>
      <w:r w:rsidR="00675DEE">
        <w:t>ly co-operative</w:t>
      </w:r>
      <w:r w:rsidRPr="006E2D0C">
        <w:t xml:space="preserve"> way as if led by an invisible hand, </w:t>
      </w:r>
      <w:r w:rsidR="003C44CE" w:rsidRPr="006E2D0C">
        <w:t xml:space="preserve">but they do </w:t>
      </w:r>
      <w:r w:rsidRPr="006E2D0C">
        <w:t xml:space="preserve">so, </w:t>
      </w:r>
      <w:r w:rsidRPr="006E2D0C">
        <w:lastRenderedPageBreak/>
        <w:t xml:space="preserve">not </w:t>
      </w:r>
      <w:r w:rsidR="003C44CE" w:rsidRPr="006E2D0C">
        <w:t xml:space="preserve">by departing from </w:t>
      </w:r>
      <w:r w:rsidRPr="006E2D0C">
        <w:t xml:space="preserve">the law, but </w:t>
      </w:r>
      <w:r w:rsidR="003C44CE" w:rsidRPr="006E2D0C">
        <w:t xml:space="preserve">by </w:t>
      </w:r>
      <w:r w:rsidRPr="006E2D0C">
        <w:t>obe</w:t>
      </w:r>
      <w:r w:rsidR="003C44CE" w:rsidRPr="006E2D0C">
        <w:t>ying it, though it works so well that it remains, precisely, invisible.</w:t>
      </w:r>
    </w:p>
    <w:p w14:paraId="11BF9F00" w14:textId="77777777" w:rsidR="006E2D0C" w:rsidRDefault="000B5632" w:rsidP="006E2D0C">
      <w:r w:rsidRPr="006E2D0C">
        <w:tab/>
      </w:r>
    </w:p>
    <w:p w14:paraId="7F43744D" w14:textId="3AB59CC6" w:rsidR="004C182D" w:rsidRPr="006E2D0C" w:rsidRDefault="00BE5DE7" w:rsidP="006E2D0C">
      <w:r w:rsidRPr="006E2D0C">
        <w:t xml:space="preserve">Understanding </w:t>
      </w:r>
      <w:r w:rsidR="000B5632" w:rsidRPr="006E2D0C">
        <w:t xml:space="preserve">how this </w:t>
      </w:r>
      <w:r w:rsidR="009073F0" w:rsidRPr="006E2D0C">
        <w:t>course of action come</w:t>
      </w:r>
      <w:r w:rsidR="00481B69">
        <w:t>s</w:t>
      </w:r>
      <w:r w:rsidR="000B5632" w:rsidRPr="006E2D0C">
        <w:t xml:space="preserve"> </w:t>
      </w:r>
      <w:r w:rsidR="009073F0" w:rsidRPr="006E2D0C">
        <w:t xml:space="preserve">to be adopted by the parties </w:t>
      </w:r>
      <w:r w:rsidR="003C44CE" w:rsidRPr="006E2D0C">
        <w:t xml:space="preserve">ultimately requires </w:t>
      </w:r>
      <w:r w:rsidR="00561352" w:rsidRPr="006E2D0C">
        <w:t xml:space="preserve">us to </w:t>
      </w:r>
      <w:r w:rsidRPr="006E2D0C">
        <w:t>expla</w:t>
      </w:r>
      <w:r w:rsidR="00561352" w:rsidRPr="006E2D0C">
        <w:t>i</w:t>
      </w:r>
      <w:r w:rsidRPr="006E2D0C">
        <w:t>n</w:t>
      </w:r>
      <w:r w:rsidR="00561352" w:rsidRPr="006E2D0C">
        <w:t xml:space="preserve"> </w:t>
      </w:r>
      <w:r w:rsidR="003C44CE" w:rsidRPr="006E2D0C">
        <w:t xml:space="preserve">why </w:t>
      </w:r>
      <w:r w:rsidRPr="006E2D0C">
        <w:t xml:space="preserve">the </w:t>
      </w:r>
      <w:r w:rsidR="003C44CE" w:rsidRPr="006E2D0C">
        <w:t>‘Holmesian choice’ is the best conceivable default law of remedies for breach of contract</w:t>
      </w:r>
      <w:r w:rsidRPr="006E2D0C">
        <w:t>. I have</w:t>
      </w:r>
      <w:r w:rsidR="00561352" w:rsidRPr="006E2D0C">
        <w:t xml:space="preserve"> attempted to do this elsewhere, the nub of the explanation being that, as bounded rationality makes </w:t>
      </w:r>
      <w:r w:rsidR="00CA4389" w:rsidRPr="006E2D0C">
        <w:t xml:space="preserve">errors in </w:t>
      </w:r>
      <w:r w:rsidR="00767D0A" w:rsidRPr="006E2D0C">
        <w:t xml:space="preserve">the allocation of goods through exchange </w:t>
      </w:r>
      <w:r w:rsidR="00561352" w:rsidRPr="006E2D0C">
        <w:t>a</w:t>
      </w:r>
      <w:r w:rsidR="00767D0A" w:rsidRPr="006E2D0C">
        <w:t xml:space="preserve">n inevitable, indeed normal, </w:t>
      </w:r>
      <w:r w:rsidR="00561352" w:rsidRPr="006E2D0C">
        <w:t>feature of the market economy</w:t>
      </w:r>
      <w:r w:rsidR="00767D0A" w:rsidRPr="006E2D0C">
        <w:t xml:space="preserve">, </w:t>
      </w:r>
      <w:r w:rsidR="00561352" w:rsidRPr="006E2D0C">
        <w:t>and as the availability of goods in competitive supply</w:t>
      </w:r>
      <w:r w:rsidR="00767D0A" w:rsidRPr="006E2D0C">
        <w:t>, making obtaining substitute goods possible,</w:t>
      </w:r>
      <w:r w:rsidR="00561352" w:rsidRPr="006E2D0C">
        <w:t xml:space="preserve"> is also a normal feature of that economy, then it is right that, ‘F</w:t>
      </w:r>
      <w:r w:rsidR="000B5632" w:rsidRPr="006E2D0C">
        <w:t>ar from it being the function of the law of contract to (so far as possible) prevent breach, the function of that law is to make breach possible, although on terms which the law regulates’.</w:t>
      </w:r>
      <w:r w:rsidR="00561352" w:rsidRPr="006E2D0C">
        <w:rPr>
          <w:rStyle w:val="FootnoteReference"/>
        </w:rPr>
        <w:footnoteReference w:id="23"/>
      </w:r>
    </w:p>
    <w:p w14:paraId="59D19BBE" w14:textId="77777777" w:rsidR="006E2D0C" w:rsidRDefault="004C182D" w:rsidP="006E2D0C">
      <w:r w:rsidRPr="006E2D0C">
        <w:tab/>
      </w:r>
    </w:p>
    <w:p w14:paraId="5950A5E8" w14:textId="77777777" w:rsidR="000B5632" w:rsidRPr="006E2D0C" w:rsidRDefault="000B5632" w:rsidP="006E2D0C">
      <w:r w:rsidRPr="006E2D0C">
        <w:t xml:space="preserve">I do not want to </w:t>
      </w:r>
      <w:r w:rsidR="00561352" w:rsidRPr="006E2D0C">
        <w:t xml:space="preserve">discuss the general </w:t>
      </w:r>
      <w:r w:rsidRPr="006E2D0C">
        <w:t>function</w:t>
      </w:r>
      <w:r w:rsidR="00561352" w:rsidRPr="006E2D0C">
        <w:t xml:space="preserve"> of remedies </w:t>
      </w:r>
      <w:r w:rsidRPr="006E2D0C">
        <w:t xml:space="preserve">here, but </w:t>
      </w:r>
      <w:r w:rsidR="00CC5B61" w:rsidRPr="006E2D0C">
        <w:t xml:space="preserve">rather </w:t>
      </w:r>
      <w:r w:rsidRPr="006E2D0C">
        <w:t xml:space="preserve">to show how the law </w:t>
      </w:r>
      <w:r w:rsidR="00CC5B61" w:rsidRPr="006E2D0C">
        <w:t xml:space="preserve">guides self-interested commercial </w:t>
      </w:r>
      <w:r w:rsidR="004C182D" w:rsidRPr="006E2D0C">
        <w:t xml:space="preserve">parties </w:t>
      </w:r>
      <w:r w:rsidRPr="006E2D0C">
        <w:t>t</w:t>
      </w:r>
      <w:r w:rsidR="009073F0" w:rsidRPr="006E2D0C">
        <w:t>o</w:t>
      </w:r>
      <w:r w:rsidR="004C182D" w:rsidRPr="006E2D0C">
        <w:t>wards</w:t>
      </w:r>
      <w:r w:rsidR="009073F0" w:rsidRPr="006E2D0C">
        <w:t xml:space="preserve"> </w:t>
      </w:r>
      <w:r w:rsidR="00CC5B61" w:rsidRPr="006E2D0C">
        <w:t xml:space="preserve">the </w:t>
      </w:r>
      <w:r w:rsidRPr="006E2D0C">
        <w:t xml:space="preserve">optimal </w:t>
      </w:r>
      <w:r w:rsidR="00CC5B61" w:rsidRPr="006E2D0C">
        <w:t xml:space="preserve">co-operative </w:t>
      </w:r>
      <w:r w:rsidRPr="006E2D0C">
        <w:t xml:space="preserve">outcome </w:t>
      </w:r>
      <w:r w:rsidR="00CC5B61" w:rsidRPr="006E2D0C">
        <w:t>of cover</w:t>
      </w:r>
      <w:r w:rsidRPr="006E2D0C">
        <w:t xml:space="preserve">. Let us consider a bulk sale of generic pig iron with which the buyer intends to produce steel, </w:t>
      </w:r>
      <w:r w:rsidR="009073F0" w:rsidRPr="006E2D0C">
        <w:t xml:space="preserve">its </w:t>
      </w:r>
      <w:r w:rsidRPr="006E2D0C">
        <w:t>expectation being the net profits from the sale of the steel. If, after non-delivery, the buyer effects</w:t>
      </w:r>
      <w:r w:rsidR="00533F01" w:rsidRPr="006E2D0C">
        <w:t xml:space="preserve"> cover, it</w:t>
      </w:r>
      <w:r w:rsidRPr="006E2D0C">
        <w:t xml:space="preserve"> can make the steel and realise that expectation. If the market price of the steel is hi</w:t>
      </w:r>
      <w:r w:rsidR="00533F01" w:rsidRPr="006E2D0C">
        <w:t>gher than the contract price, it</w:t>
      </w:r>
      <w:r w:rsidRPr="006E2D0C">
        <w:t xml:space="preserve"> will be </w:t>
      </w:r>
      <w:r w:rsidRPr="006E2D0C">
        <w:lastRenderedPageBreak/>
        <w:t>compensated for the difference under UCC § 2-712(2) or SoGA s 51(3). The buyer who complies with the law has his expectations arising from the contract satisfied.</w:t>
      </w:r>
    </w:p>
    <w:p w14:paraId="05F9A5FA" w14:textId="77777777" w:rsidR="006E2D0C" w:rsidRDefault="000B5632" w:rsidP="006E2D0C">
      <w:r w:rsidRPr="006E2D0C">
        <w:tab/>
      </w:r>
    </w:p>
    <w:p w14:paraId="5561227D" w14:textId="701A1EAD" w:rsidR="000B5632" w:rsidRPr="006E2D0C" w:rsidRDefault="000B5632" w:rsidP="006E2D0C">
      <w:r w:rsidRPr="006E2D0C">
        <w:t xml:space="preserve">If the buyer did not take cover, </w:t>
      </w:r>
      <w:r w:rsidR="00533F01" w:rsidRPr="006E2D0C">
        <w:t>it</w:t>
      </w:r>
      <w:r w:rsidRPr="006E2D0C">
        <w:t xml:space="preserve"> would, of course, run up a consequential loss </w:t>
      </w:r>
      <w:r w:rsidR="00533F01" w:rsidRPr="006E2D0C">
        <w:t>as it</w:t>
      </w:r>
      <w:r w:rsidRPr="006E2D0C">
        <w:t xml:space="preserve"> would be unable to produce the steel, but</w:t>
      </w:r>
      <w:r w:rsidR="004C182D" w:rsidRPr="006E2D0C">
        <w:t xml:space="preserve"> </w:t>
      </w:r>
      <w:r w:rsidR="009073F0" w:rsidRPr="006E2D0C">
        <w:t xml:space="preserve">(if this can be allowed for the moment) </w:t>
      </w:r>
      <w:r w:rsidR="00533F01" w:rsidRPr="006E2D0C">
        <w:t xml:space="preserve">it </w:t>
      </w:r>
      <w:r w:rsidRPr="006E2D0C">
        <w:t>would</w:t>
      </w:r>
      <w:r w:rsidR="00533F01" w:rsidRPr="006E2D0C">
        <w:t xml:space="preserve"> </w:t>
      </w:r>
      <w:r w:rsidRPr="006E2D0C">
        <w:t xml:space="preserve">still have </w:t>
      </w:r>
      <w:r w:rsidR="004C182D" w:rsidRPr="006E2D0C">
        <w:t xml:space="preserve">its </w:t>
      </w:r>
      <w:r w:rsidRPr="006E2D0C">
        <w:t>e</w:t>
      </w:r>
      <w:r w:rsidR="00533F01" w:rsidRPr="006E2D0C">
        <w:t>xpectations satisfied because it</w:t>
      </w:r>
      <w:r w:rsidRPr="006E2D0C">
        <w:t xml:space="preserve"> could claim consequential damages under § 2-712(2) and SoGA s 54, though the latter unsatisfactorily retains the language of ‘special</w:t>
      </w:r>
      <w:r w:rsidR="00C74C14" w:rsidRPr="006E2D0C">
        <w:t>’ damages</w:t>
      </w:r>
      <w:r w:rsidRPr="006E2D0C">
        <w:t xml:space="preserve"> derived from </w:t>
      </w:r>
      <w:r w:rsidRPr="006E2D0C">
        <w:rPr>
          <w:i/>
        </w:rPr>
        <w:t>Hadley v Baxendale</w:t>
      </w:r>
      <w:r w:rsidRPr="006E2D0C">
        <w:t xml:space="preserve"> to capture </w:t>
      </w:r>
      <w:r w:rsidR="009073F0" w:rsidRPr="006E2D0C">
        <w:t xml:space="preserve">the compensation of </w:t>
      </w:r>
      <w:r w:rsidRPr="006E2D0C">
        <w:t xml:space="preserve">consequential </w:t>
      </w:r>
      <w:r w:rsidR="009073F0" w:rsidRPr="006E2D0C">
        <w:t>loss</w:t>
      </w:r>
      <w:r w:rsidRPr="006E2D0C">
        <w:t>.</w:t>
      </w:r>
      <w:r w:rsidR="00C74C14" w:rsidRPr="006E2D0C">
        <w:rPr>
          <w:rStyle w:val="FootnoteReference"/>
        </w:rPr>
        <w:footnoteReference w:id="24"/>
      </w:r>
      <w:r w:rsidRPr="006E2D0C">
        <w:t xml:space="preserve"> But claiming consequential loss is, of course, not a matter of unconstrained election by the buyer. Whether </w:t>
      </w:r>
      <w:r w:rsidR="009073F0" w:rsidRPr="006E2D0C">
        <w:t xml:space="preserve">damages for consequential loss </w:t>
      </w:r>
      <w:r w:rsidRPr="006E2D0C">
        <w:t xml:space="preserve">are available under </w:t>
      </w:r>
      <w:r w:rsidRPr="006E2D0C">
        <w:rPr>
          <w:i/>
        </w:rPr>
        <w:t>Hadley v Baxendale</w:t>
      </w:r>
      <w:r w:rsidRPr="006E2D0C">
        <w:t xml:space="preserve"> is governed, </w:t>
      </w:r>
      <w:r w:rsidRPr="006E2D0C">
        <w:rPr>
          <w:i/>
        </w:rPr>
        <w:t>inter alia</w:t>
      </w:r>
      <w:r w:rsidRPr="006E2D0C">
        <w:t>, by the law of mitigation which, in the normal sales case, is a question of whether, as § 2-715(2)(a) explicitly makes clear</w:t>
      </w:r>
      <w:r w:rsidR="00C4434A">
        <w:t>,</w:t>
      </w:r>
      <w:r w:rsidRPr="006E2D0C">
        <w:t xml:space="preserve"> but as is also effectively the case under s 54, cover was reasonably possible.</w:t>
      </w:r>
    </w:p>
    <w:p w14:paraId="0A74F7DF" w14:textId="77777777" w:rsidR="006E2D0C" w:rsidRDefault="000B5632" w:rsidP="006E2D0C">
      <w:r w:rsidRPr="006E2D0C">
        <w:tab/>
      </w:r>
    </w:p>
    <w:p w14:paraId="4455CD0D" w14:textId="77777777" w:rsidR="008D754E" w:rsidRPr="006E2D0C" w:rsidRDefault="008D754E" w:rsidP="006E2D0C">
      <w:r w:rsidRPr="006E2D0C">
        <w:t>The ‘duty’ to mitigate may, then, confine t</w:t>
      </w:r>
      <w:r w:rsidR="000B5632" w:rsidRPr="006E2D0C">
        <w:t xml:space="preserve">he buyer to damages quantified as the cost of obtaining substitute pig iron, but as such goods are </w:t>
      </w:r>
      <w:r w:rsidR="00533F01" w:rsidRPr="006E2D0C">
        <w:t xml:space="preserve">generic, </w:t>
      </w:r>
      <w:r w:rsidRPr="006E2D0C">
        <w:t xml:space="preserve">the buyer </w:t>
      </w:r>
      <w:r w:rsidR="000B5632" w:rsidRPr="006E2D0C">
        <w:t>should be indifferent about this as</w:t>
      </w:r>
      <w:r w:rsidR="00533F01" w:rsidRPr="006E2D0C">
        <w:t xml:space="preserve"> it</w:t>
      </w:r>
      <w:r w:rsidR="000B5632" w:rsidRPr="006E2D0C">
        <w:t xml:space="preserve"> will be able to cover and produce the steel, thereby realising </w:t>
      </w:r>
      <w:r w:rsidR="00C74C14" w:rsidRPr="006E2D0C">
        <w:t>its</w:t>
      </w:r>
      <w:r w:rsidR="000B5632" w:rsidRPr="006E2D0C">
        <w:t xml:space="preserve"> expectation</w:t>
      </w:r>
      <w:r w:rsidR="00533F01" w:rsidRPr="006E2D0C">
        <w:t xml:space="preserve"> in the way it</w:t>
      </w:r>
      <w:r w:rsidR="000B5632" w:rsidRPr="006E2D0C">
        <w:t xml:space="preserve"> originally planned. The cover remedy will succeed in its aim, as § 2-712 Comment 1 has it, of ‘enabling [t</w:t>
      </w:r>
      <w:r w:rsidR="00533F01" w:rsidRPr="006E2D0C">
        <w:t>he buyer] to obtain the goods it</w:t>
      </w:r>
      <w:r w:rsidR="000B5632" w:rsidRPr="006E2D0C">
        <w:t xml:space="preserve"> needs thus meeting his essential need’. This is consistent with the basic aim of compensatory damages of protecting the claimant’s expectation by putting </w:t>
      </w:r>
      <w:r w:rsidR="009073F0" w:rsidRPr="006E2D0C">
        <w:t xml:space="preserve">it </w:t>
      </w:r>
      <w:r w:rsidR="00533F01" w:rsidRPr="006E2D0C">
        <w:t xml:space="preserve">in the </w:t>
      </w:r>
      <w:r w:rsidR="00533F01" w:rsidRPr="006E2D0C">
        <w:lastRenderedPageBreak/>
        <w:t>position it</w:t>
      </w:r>
      <w:r w:rsidR="000B5632" w:rsidRPr="006E2D0C">
        <w:t xml:space="preserve"> would have been in had the contract been performed, stated explicitly in UCC § 1</w:t>
      </w:r>
      <w:r w:rsidR="009073F0" w:rsidRPr="006E2D0C">
        <w:t xml:space="preserve">-305 (formerly § 1-106(1)) and known throughout </w:t>
      </w:r>
      <w:r w:rsidR="00533F01" w:rsidRPr="006E2D0C">
        <w:t xml:space="preserve">the Commonwealth </w:t>
      </w:r>
      <w:r w:rsidR="000B5632" w:rsidRPr="006E2D0C">
        <w:t xml:space="preserve">as the rule in </w:t>
      </w:r>
      <w:r w:rsidR="000B5632" w:rsidRPr="006E2D0C">
        <w:rPr>
          <w:i/>
        </w:rPr>
        <w:t>Robinson v Harman</w:t>
      </w:r>
      <w:r w:rsidR="009073F0" w:rsidRPr="006E2D0C">
        <w:t>.</w:t>
      </w:r>
      <w:r w:rsidR="000B5632" w:rsidRPr="006E2D0C">
        <w:rPr>
          <w:rStyle w:val="FootnoteReference"/>
        </w:rPr>
        <w:footnoteReference w:id="25"/>
      </w:r>
    </w:p>
    <w:p w14:paraId="2AA8378D" w14:textId="77777777" w:rsidR="006E2D0C" w:rsidRDefault="008D754E" w:rsidP="006E2D0C">
      <w:r w:rsidRPr="006E2D0C">
        <w:tab/>
      </w:r>
    </w:p>
    <w:p w14:paraId="1267EF2C" w14:textId="77777777" w:rsidR="007C3105" w:rsidRPr="006E2D0C" w:rsidRDefault="000B5632" w:rsidP="006E2D0C">
      <w:r w:rsidRPr="006E2D0C">
        <w:t xml:space="preserve">But cover also seems, at a first blush, to serve the interests of the seller even better. </w:t>
      </w:r>
      <w:r w:rsidR="007C3105" w:rsidRPr="006E2D0C">
        <w:t>By paying market damages, t</w:t>
      </w:r>
      <w:r w:rsidRPr="006E2D0C">
        <w:t xml:space="preserve">he seller is able to avoid the costs of delivery, which, </w:t>
      </w:r>
      <w:r w:rsidRPr="006E2D0C">
        <w:rPr>
          <w:i/>
        </w:rPr>
        <w:t>ex hypothesi</w:t>
      </w:r>
      <w:r w:rsidR="00533F01" w:rsidRPr="006E2D0C">
        <w:t>, have become greater than it</w:t>
      </w:r>
      <w:r w:rsidRPr="006E2D0C">
        <w:t xml:space="preserve"> envisaged at the time of the agreement, because the grounds on which specific performance may be ordered turn on the goods not being generic,</w:t>
      </w:r>
      <w:r w:rsidRPr="006E2D0C">
        <w:rPr>
          <w:rStyle w:val="FootnoteReference"/>
        </w:rPr>
        <w:footnoteReference w:id="26"/>
      </w:r>
      <w:r w:rsidRPr="006E2D0C">
        <w:t xml:space="preserve"> and the </w:t>
      </w:r>
      <w:r w:rsidR="009073F0" w:rsidRPr="006E2D0C">
        <w:t xml:space="preserve">very concept of </w:t>
      </w:r>
      <w:r w:rsidRPr="006E2D0C">
        <w:t xml:space="preserve">cover </w:t>
      </w:r>
      <w:r w:rsidR="009073F0" w:rsidRPr="006E2D0C">
        <w:t xml:space="preserve">embodies </w:t>
      </w:r>
      <w:r w:rsidRPr="006E2D0C">
        <w:t>mitigation in an attempt to ensure that compensatory damages are quantified in a way which protects the claimant buyer’s expectation at lea</w:t>
      </w:r>
      <w:r w:rsidR="007C3105" w:rsidRPr="006E2D0C">
        <w:t xml:space="preserve">st possible cost to the </w:t>
      </w:r>
      <w:r w:rsidR="009073F0" w:rsidRPr="006E2D0C">
        <w:t xml:space="preserve">defendant </w:t>
      </w:r>
      <w:r w:rsidR="007C3105" w:rsidRPr="006E2D0C">
        <w:t>seller.</w:t>
      </w:r>
    </w:p>
    <w:p w14:paraId="384F2162" w14:textId="77777777" w:rsidR="006E2D0C" w:rsidRDefault="007C3105" w:rsidP="006E2D0C">
      <w:r w:rsidRPr="006E2D0C">
        <w:tab/>
      </w:r>
    </w:p>
    <w:p w14:paraId="4EC0817F" w14:textId="77777777" w:rsidR="007C3105" w:rsidRPr="006E2D0C" w:rsidRDefault="007C3105" w:rsidP="006E2D0C">
      <w:r w:rsidRPr="006E2D0C">
        <w:t xml:space="preserve">In the end, however, cover is the default rule because that is what both parties agree is mutually beneficial. What choice would the buyer of generic pig iron in our hypothetical example make between two sellers whose product was identical, save that the first seller contracted on a cover default whilst the second (ignoring the legal obstacles to doing so) contracted on a basis of a literal enforcement remedy such as specific performance or total disgorgement of any savings from breach? The latter terms would make delivery by the second seller more likely, but, </w:t>
      </w:r>
      <w:r w:rsidRPr="006E2D0C">
        <w:rPr>
          <w:i/>
        </w:rPr>
        <w:t>ex hypothesi</w:t>
      </w:r>
      <w:r w:rsidRPr="006E2D0C">
        <w:t xml:space="preserve">, this would involve the seller incurring a more costly liability and this cost would, </w:t>
      </w:r>
      <w:r w:rsidRPr="006E2D0C">
        <w:rPr>
          <w:i/>
        </w:rPr>
        <w:t>ceteris paribus</w:t>
      </w:r>
      <w:r w:rsidRPr="006E2D0C">
        <w:t xml:space="preserve">, have to be factored into the offer price. In these circumstances, the buyer will </w:t>
      </w:r>
      <w:r w:rsidRPr="006E2D0C">
        <w:lastRenderedPageBreak/>
        <w:t xml:space="preserve">choose the first seller, because the extra security of delivery </w:t>
      </w:r>
      <w:r w:rsidRPr="006E2D0C">
        <w:rPr>
          <w:i/>
        </w:rPr>
        <w:t>per</w:t>
      </w:r>
      <w:r w:rsidRPr="006E2D0C">
        <w:t xml:space="preserve"> the contract offered by the second seller is of little or no value to the buyer. It already has security of supply because the goods are available on the market; this is what their being generic means. In contracting on the default basis of cover, the self-interest of both parties is best served by agreeing to co-operate in handling the consequences of breach. This is a paradigm economic exchange driven by mutual benefit.</w:t>
      </w:r>
    </w:p>
    <w:p w14:paraId="4A34B742" w14:textId="77777777" w:rsidR="006E2D0C" w:rsidRDefault="000B5632" w:rsidP="006E2D0C">
      <w:r w:rsidRPr="006E2D0C">
        <w:tab/>
      </w:r>
    </w:p>
    <w:p w14:paraId="63673BD0" w14:textId="203B4F26" w:rsidR="000B5632" w:rsidRPr="006E2D0C" w:rsidRDefault="000B5632" w:rsidP="006E2D0C">
      <w:r w:rsidRPr="006E2D0C">
        <w:t>The best example of the working of this system is one which it is difficult for classical contract scholarship to grasp, for it is a case of costless b</w:t>
      </w:r>
      <w:r w:rsidR="008D754E" w:rsidRPr="006E2D0C">
        <w:t xml:space="preserve">reach completely irreconcilable </w:t>
      </w:r>
      <w:r w:rsidRPr="006E2D0C">
        <w:t xml:space="preserve">with the idea that the function of contract is to prevent breach. If the parties are competent and if the market in the goods is liquid, it is likely that a seller’s breach will lead to </w:t>
      </w:r>
      <w:r w:rsidR="009073F0" w:rsidRPr="006E2D0C">
        <w:t xml:space="preserve">no </w:t>
      </w:r>
      <w:r w:rsidR="00533F01" w:rsidRPr="006E2D0C">
        <w:t>payment</w:t>
      </w:r>
      <w:r w:rsidRPr="006E2D0C">
        <w:t xml:space="preserve"> at all, much less </w:t>
      </w:r>
      <w:r w:rsidR="00533F01" w:rsidRPr="006E2D0C">
        <w:t xml:space="preserve">to </w:t>
      </w:r>
      <w:r w:rsidRPr="006E2D0C">
        <w:t>any ostensible legal action. For in these circumstances, the difference between the contract and the substitute price may be negligible or zero, and</w:t>
      </w:r>
      <w:r w:rsidR="001D002A" w:rsidRPr="006E2D0C">
        <w:t xml:space="preserve"> (</w:t>
      </w:r>
      <w:r w:rsidR="00860045" w:rsidRPr="006E2D0C">
        <w:t>putting what are known as incidental damages under UCC §§ 2-712(2) and 2-715(1), which are recoverable as special</w:t>
      </w:r>
      <w:r w:rsidR="001D002A" w:rsidRPr="006E2D0C">
        <w:t xml:space="preserve"> damages under SoGA s</w:t>
      </w:r>
      <w:r w:rsidR="00632106">
        <w:t>ection</w:t>
      </w:r>
      <w:r w:rsidR="001D002A" w:rsidRPr="006E2D0C">
        <w:t xml:space="preserve"> 54, aside)</w:t>
      </w:r>
      <w:r w:rsidR="00860045" w:rsidRPr="006E2D0C">
        <w:t xml:space="preserve"> </w:t>
      </w:r>
      <w:r w:rsidRPr="006E2D0C">
        <w:t xml:space="preserve">the seller will simply buy the substitute. </w:t>
      </w:r>
      <w:r w:rsidR="001D002A" w:rsidRPr="006E2D0C">
        <w:t>But e</w:t>
      </w:r>
      <w:r w:rsidR="00533F01" w:rsidRPr="006E2D0C">
        <w:t xml:space="preserve">ven </w:t>
      </w:r>
      <w:r w:rsidR="0076332F" w:rsidRPr="006E2D0C">
        <w:t xml:space="preserve">this complete forbearance from </w:t>
      </w:r>
      <w:r w:rsidR="001D002A" w:rsidRPr="006E2D0C">
        <w:t xml:space="preserve">claim is </w:t>
      </w:r>
      <w:r w:rsidRPr="006E2D0C">
        <w:t xml:space="preserve">not a case of non-use. </w:t>
      </w:r>
      <w:r w:rsidR="001D002A" w:rsidRPr="006E2D0C">
        <w:t>T</w:t>
      </w:r>
      <w:r w:rsidRPr="006E2D0C">
        <w:t xml:space="preserve">he law institutionalises the interests of the parties in so excellent a way as to make </w:t>
      </w:r>
      <w:r w:rsidR="001D002A" w:rsidRPr="006E2D0C">
        <w:t xml:space="preserve">a claim </w:t>
      </w:r>
      <w:r w:rsidRPr="006E2D0C">
        <w:t>unnecessary.</w:t>
      </w:r>
    </w:p>
    <w:p w14:paraId="0A6E766E" w14:textId="77777777" w:rsidR="006E2D0C" w:rsidRDefault="000B5632" w:rsidP="006E2D0C">
      <w:r w:rsidRPr="006E2D0C">
        <w:tab/>
      </w:r>
    </w:p>
    <w:p w14:paraId="4AC20199" w14:textId="5C4A05C7" w:rsidR="007C3105" w:rsidRPr="006E2D0C" w:rsidRDefault="000B5632" w:rsidP="006E2D0C">
      <w:r w:rsidRPr="006E2D0C">
        <w:t xml:space="preserve">If the goods are not generic, cover may not be possible and a consequential loss may be sustained, and if there is some idiosyncratic element to this loss, the claimant </w:t>
      </w:r>
      <w:r w:rsidR="00533F01" w:rsidRPr="006E2D0C">
        <w:t>buyer may be confined to what it</w:t>
      </w:r>
      <w:r w:rsidRPr="006E2D0C">
        <w:t xml:space="preserve"> regards, but is unable to prove, are inadequate damages. When these damages are nominal, typically because the loss is too uncertain to be recovered, this is not, as it is under § 2-712 or s</w:t>
      </w:r>
      <w:r w:rsidR="0057366E">
        <w:t>ection</w:t>
      </w:r>
      <w:r w:rsidRPr="006E2D0C">
        <w:t xml:space="preserve"> 51, because the rules are </w:t>
      </w:r>
      <w:r w:rsidRPr="006E2D0C">
        <w:lastRenderedPageBreak/>
        <w:t>working perfectly well</w:t>
      </w:r>
      <w:r w:rsidR="001D002A" w:rsidRPr="006E2D0C">
        <w:t>,</w:t>
      </w:r>
      <w:r w:rsidRPr="006E2D0C">
        <w:t xml:space="preserve"> but because they are working poorly. </w:t>
      </w:r>
      <w:r w:rsidR="001D002A" w:rsidRPr="006E2D0C">
        <w:t xml:space="preserve">The English law has been subject to much turmoil over the last forty years as an attempt has been made to extend more sweeping remedies to the claimant so that it can avoid such uncompensated loss. </w:t>
      </w:r>
      <w:r w:rsidR="008D754E" w:rsidRPr="006E2D0C">
        <w:t>But t</w:t>
      </w:r>
      <w:r w:rsidRPr="006E2D0C">
        <w:t xml:space="preserve">he correct response to this </w:t>
      </w:r>
      <w:r w:rsidR="008D754E" w:rsidRPr="006E2D0C">
        <w:t xml:space="preserve">problem </w:t>
      </w:r>
      <w:r w:rsidRPr="006E2D0C">
        <w:t xml:space="preserve">is </w:t>
      </w:r>
      <w:r w:rsidR="008D754E" w:rsidRPr="006E2D0C">
        <w:t xml:space="preserve">for commercial parties </w:t>
      </w:r>
      <w:r w:rsidRPr="006E2D0C">
        <w:t xml:space="preserve">to recognise that it is the very properties of the default rules for the quantification of damages which make those rules work so well for breach of sales of generic goods that make those rules work very badly for </w:t>
      </w:r>
      <w:r w:rsidR="008D754E" w:rsidRPr="006E2D0C">
        <w:t xml:space="preserve">contracts the breach of which is </w:t>
      </w:r>
      <w:r w:rsidRPr="006E2D0C">
        <w:t xml:space="preserve">likely to lead to idiosyncratic consequential loss, and </w:t>
      </w:r>
      <w:r w:rsidR="008D754E" w:rsidRPr="006E2D0C">
        <w:t xml:space="preserve">so those parties </w:t>
      </w:r>
      <w:r w:rsidRPr="006E2D0C">
        <w:t>should oust those default rules</w:t>
      </w:r>
      <w:r w:rsidR="0057366E">
        <w:t xml:space="preserve"> when entering i</w:t>
      </w:r>
      <w:r w:rsidR="008D754E" w:rsidRPr="006E2D0C">
        <w:t>nto such contracts</w:t>
      </w:r>
      <w:r w:rsidRPr="006E2D0C">
        <w:t>.</w:t>
      </w:r>
      <w:r w:rsidRPr="006E2D0C">
        <w:rPr>
          <w:rStyle w:val="FootnoteReference"/>
        </w:rPr>
        <w:footnoteReference w:id="27"/>
      </w:r>
      <w:r w:rsidR="009073F0" w:rsidRPr="006E2D0C">
        <w:t xml:space="preserve"> The core of the default rule of cover is itself impeccable.</w:t>
      </w:r>
    </w:p>
    <w:p w14:paraId="0FC427CC" w14:textId="77777777" w:rsidR="000B5632" w:rsidRPr="006E2D0C" w:rsidRDefault="000B5632" w:rsidP="006E2D0C"/>
    <w:p w14:paraId="73376F15" w14:textId="77777777" w:rsidR="000B5632" w:rsidRPr="006E2D0C" w:rsidRDefault="006E2D0C" w:rsidP="006E2D0C">
      <w:pPr>
        <w:pStyle w:val="Heading3"/>
        <w:jc w:val="left"/>
        <w:rPr>
          <w:b/>
          <w:sz w:val="28"/>
          <w:szCs w:val="28"/>
        </w:rPr>
      </w:pPr>
      <w:r w:rsidRPr="006E2D0C">
        <w:rPr>
          <w:b/>
          <w:caps w:val="0"/>
          <w:sz w:val="28"/>
          <w:szCs w:val="28"/>
        </w:rPr>
        <w:t>Cover and market damages</w:t>
      </w:r>
    </w:p>
    <w:p w14:paraId="30AD7EC0" w14:textId="77777777" w:rsidR="006E2D0C" w:rsidRPr="006E2D0C" w:rsidRDefault="006E2D0C" w:rsidP="006E2D0C"/>
    <w:p w14:paraId="0AE46AFD" w14:textId="3B3BA5B3" w:rsidR="000B5632" w:rsidRPr="006E2D0C" w:rsidRDefault="000B5632" w:rsidP="006E2D0C">
      <w:r w:rsidRPr="006E2D0C">
        <w:t xml:space="preserve">Chalmers’ </w:t>
      </w:r>
      <w:r w:rsidR="00C57257" w:rsidRPr="006E2D0C">
        <w:t xml:space="preserve">generally accurate </w:t>
      </w:r>
      <w:r w:rsidRPr="006E2D0C">
        <w:t xml:space="preserve">claim that the </w:t>
      </w:r>
      <w:r w:rsidR="00E01155" w:rsidRPr="006E2D0C">
        <w:t xml:space="preserve">Bill which became the </w:t>
      </w:r>
      <w:r w:rsidRPr="006E2D0C">
        <w:t>Sale of Goods Act 1893</w:t>
      </w:r>
      <w:r w:rsidR="00E01155" w:rsidRPr="006E2D0C">
        <w:t xml:space="preserve"> </w:t>
      </w:r>
      <w:r w:rsidRPr="006E2D0C">
        <w:t>‘endeavoured to re</w:t>
      </w:r>
      <w:r w:rsidR="00E01155" w:rsidRPr="006E2D0C">
        <w:t xml:space="preserve">produce as exactly as possible the </w:t>
      </w:r>
      <w:r w:rsidRPr="006E2D0C">
        <w:t>existing law</w:t>
      </w:r>
      <w:r w:rsidR="00E01155" w:rsidRPr="006E2D0C">
        <w:t>’ and that ‘the conscious changes’ made in the Act itself were only ‘very slight’</w:t>
      </w:r>
      <w:r w:rsidRPr="006E2D0C">
        <w:rPr>
          <w:rStyle w:val="FootnoteReference"/>
        </w:rPr>
        <w:footnoteReference w:id="28"/>
      </w:r>
      <w:r w:rsidR="00140B18" w:rsidRPr="006E2D0C">
        <w:t xml:space="preserve"> </w:t>
      </w:r>
      <w:r w:rsidR="00C57257" w:rsidRPr="006E2D0C">
        <w:t>certainly seems to have been accurate in respect of s</w:t>
      </w:r>
      <w:r w:rsidR="0057366E">
        <w:t>ection</w:t>
      </w:r>
      <w:r w:rsidR="00C57257" w:rsidRPr="006E2D0C">
        <w:t xml:space="preserve"> 51. Though the English law of sales has never </w:t>
      </w:r>
      <w:r w:rsidR="00C57257" w:rsidRPr="006E2D0C">
        <w:lastRenderedPageBreak/>
        <w:t xml:space="preserve">known an explicit remedy of cover, </w:t>
      </w:r>
      <w:r w:rsidR="00910FA1" w:rsidRPr="006E2D0C">
        <w:t>s</w:t>
      </w:r>
      <w:r w:rsidR="0057366E">
        <w:t>ection</w:t>
      </w:r>
      <w:r w:rsidR="00910FA1" w:rsidRPr="006E2D0C">
        <w:t xml:space="preserve"> 51 codified </w:t>
      </w:r>
      <w:r w:rsidR="00B3664A" w:rsidRPr="006E2D0C">
        <w:t xml:space="preserve">the </w:t>
      </w:r>
      <w:r w:rsidR="00910FA1" w:rsidRPr="006E2D0C">
        <w:t>commercial practice</w:t>
      </w:r>
      <w:r w:rsidR="00B3664A" w:rsidRPr="006E2D0C">
        <w:t xml:space="preserve"> of that remedy</w:t>
      </w:r>
      <w:r w:rsidR="00910FA1" w:rsidRPr="006E2D0C">
        <w:t xml:space="preserve">. </w:t>
      </w:r>
      <w:r w:rsidR="00C74C14" w:rsidRPr="006E2D0C">
        <w:t>Though</w:t>
      </w:r>
      <w:r w:rsidR="00910FA1" w:rsidRPr="006E2D0C">
        <w:t xml:space="preserve"> </w:t>
      </w:r>
      <w:r w:rsidRPr="006E2D0C">
        <w:t xml:space="preserve">the </w:t>
      </w:r>
      <w:r w:rsidR="004F185C">
        <w:t xml:space="preserve">explicit </w:t>
      </w:r>
      <w:r w:rsidRPr="006E2D0C">
        <w:t xml:space="preserve">concept of cover was an innovation </w:t>
      </w:r>
      <w:r w:rsidR="00C74C14" w:rsidRPr="006E2D0C">
        <w:t xml:space="preserve">under </w:t>
      </w:r>
      <w:r w:rsidRPr="006E2D0C">
        <w:t>UCC § 2-712</w:t>
      </w:r>
      <w:r w:rsidR="00C74C14" w:rsidRPr="006E2D0C">
        <w:t xml:space="preserve">, it was, in my opinion, </w:t>
      </w:r>
      <w:r w:rsidRPr="006E2D0C">
        <w:t xml:space="preserve">an instance of codification </w:t>
      </w:r>
      <w:r w:rsidR="00991905" w:rsidRPr="006E2D0C">
        <w:t>of the best sort, for it effected</w:t>
      </w:r>
      <w:r w:rsidRPr="006E2D0C">
        <w:t xml:space="preserve"> </w:t>
      </w:r>
      <w:r w:rsidR="00991905" w:rsidRPr="006E2D0C">
        <w:t xml:space="preserve">an important </w:t>
      </w:r>
      <w:r w:rsidRPr="006E2D0C">
        <w:t>c</w:t>
      </w:r>
      <w:r w:rsidR="00991905" w:rsidRPr="006E2D0C">
        <w:t>hange</w:t>
      </w:r>
      <w:r w:rsidRPr="006E2D0C">
        <w:t xml:space="preserve"> only as a consequence of its persuasive clarification of prior law</w:t>
      </w:r>
      <w:r w:rsidR="00B3664A" w:rsidRPr="006E2D0C">
        <w:t xml:space="preserve"> and practice</w:t>
      </w:r>
      <w:r w:rsidRPr="006E2D0C">
        <w:t>. It seems significant that Williston, who thought it a very good policy that the U</w:t>
      </w:r>
      <w:r w:rsidR="0057366E">
        <w:t>niform Sales Act 1906</w:t>
      </w:r>
      <w:r w:rsidR="001A4769">
        <w:rPr>
          <w:rStyle w:val="FootnoteReference"/>
        </w:rPr>
        <w:footnoteReference w:id="29"/>
      </w:r>
      <w:r w:rsidR="0057366E">
        <w:t xml:space="preserve"> sought </w:t>
      </w:r>
      <w:r w:rsidRPr="006E2D0C">
        <w:t xml:space="preserve">closely </w:t>
      </w:r>
      <w:r w:rsidR="0057366E">
        <w:t xml:space="preserve">to </w:t>
      </w:r>
      <w:r w:rsidRPr="006E2D0C">
        <w:t>follow the Sale of Goods Act 1893</w:t>
      </w:r>
      <w:r w:rsidR="00B3664A" w:rsidRPr="006E2D0C">
        <w:t xml:space="preserve"> and who was particularly concerned about lack of uniformity in remedies,</w:t>
      </w:r>
      <w:bookmarkStart w:id="8" w:name="_Ref278014648"/>
      <w:r w:rsidR="00B3664A" w:rsidRPr="006E2D0C">
        <w:rPr>
          <w:rStyle w:val="FootnoteReference"/>
        </w:rPr>
        <w:footnoteReference w:id="30"/>
      </w:r>
      <w:bookmarkEnd w:id="8"/>
      <w:r w:rsidRPr="006E2D0C">
        <w:t xml:space="preserve"> did not include § 2-712 amongst those sections of Art 2 that he specifically criticised, </w:t>
      </w:r>
      <w:r w:rsidR="00B3664A" w:rsidRPr="006E2D0C">
        <w:t xml:space="preserve">though </w:t>
      </w:r>
      <w:r w:rsidRPr="006E2D0C">
        <w:t xml:space="preserve">§ 2-712 surely exemplified the ‘iconoclastic’ novelty he found unwise in a number of other </w:t>
      </w:r>
      <w:r w:rsidR="00910FA1" w:rsidRPr="006E2D0C">
        <w:t>Art</w:t>
      </w:r>
      <w:r w:rsidR="0057366E">
        <w:t>icle</w:t>
      </w:r>
      <w:r w:rsidR="00910FA1" w:rsidRPr="006E2D0C">
        <w:t xml:space="preserve"> 2 </w:t>
      </w:r>
      <w:r w:rsidRPr="006E2D0C">
        <w:t>provisions.</w:t>
      </w:r>
      <w:r w:rsidRPr="006E2D0C">
        <w:rPr>
          <w:rStyle w:val="FootnoteReference"/>
        </w:rPr>
        <w:footnoteReference w:id="31"/>
      </w:r>
      <w:r w:rsidRPr="006E2D0C">
        <w:t xml:space="preserve"> In respect of § 2-712 at least, Llewellyn was justified in claiming to have proceeded in a direction mapped out by Chalmers and Williston.</w:t>
      </w:r>
      <w:r w:rsidRPr="006E2D0C">
        <w:rPr>
          <w:rStyle w:val="FootnoteReference"/>
        </w:rPr>
        <w:footnoteReference w:id="32"/>
      </w:r>
    </w:p>
    <w:p w14:paraId="6C45E4F6" w14:textId="77777777" w:rsidR="002B18EA" w:rsidRDefault="000B5632" w:rsidP="006E2D0C">
      <w:r w:rsidRPr="006E2D0C">
        <w:tab/>
      </w:r>
    </w:p>
    <w:p w14:paraId="77E91A36" w14:textId="1ECCFD00" w:rsidR="000B5632" w:rsidRDefault="000B5632" w:rsidP="006E2D0C">
      <w:r w:rsidRPr="006E2D0C">
        <w:t xml:space="preserve">It is, in fact, a lack of innovation uncharacteristic of Llewellyn himself that allowed the UCC to retain the anomaly on which this chapter focuses: § 2-713. I have </w:t>
      </w:r>
      <w:r w:rsidRPr="006E2D0C">
        <w:lastRenderedPageBreak/>
        <w:t>mentioned that s</w:t>
      </w:r>
      <w:r w:rsidR="00847ED7">
        <w:t>ection</w:t>
      </w:r>
      <w:r w:rsidRPr="006E2D0C">
        <w:t xml:space="preserve"> 51 is widely described as having set out the market damages or market price rule. But it would be a source of considerable confusion to describe § 2-712 as setting out such a rule, though indeed in substance it does, because, remarkable as it first seems to say, § 2-713 sets up a market damages rule as an alternative to cover. § 2-712(3) provides that: ‘Failure of the buyer to effect cover within this section does not bar him from any other remedy’, and Comment 3 states that ‘Subsection (3) expresses the policy that cover is not a mandatory remedy for the buyer. The buyer is always free to choose between cover and damages for non-delivery under the next section’. § 2-713(1) provides that:</w:t>
      </w:r>
    </w:p>
    <w:p w14:paraId="19A9D227" w14:textId="77777777" w:rsidR="002B18EA" w:rsidRPr="006E2D0C" w:rsidRDefault="002B18EA" w:rsidP="006E2D0C"/>
    <w:p w14:paraId="449F938F" w14:textId="77777777" w:rsidR="000B5632" w:rsidRDefault="000B5632" w:rsidP="002B18EA">
      <w:pPr>
        <w:pStyle w:val="Quote"/>
        <w:tabs>
          <w:tab w:val="clear" w:pos="1134"/>
        </w:tabs>
        <w:spacing w:after="0" w:line="480" w:lineRule="auto"/>
        <w:ind w:left="709"/>
      </w:pPr>
      <w:r w:rsidRPr="006E2D0C">
        <w:t>the measure of damages for non-delivery or repudiation by the seller is the difference between the market price at the time when the buyer learned of the breach and the contract price together with any incidental or consequential damages … but less expenses saved in consequence of the seller’s breach.</w:t>
      </w:r>
    </w:p>
    <w:p w14:paraId="22EFE5E8" w14:textId="77777777" w:rsidR="002B18EA" w:rsidRPr="002B18EA" w:rsidRDefault="002B18EA" w:rsidP="002B18EA"/>
    <w:p w14:paraId="38ECBE39" w14:textId="77777777" w:rsidR="000B5632" w:rsidRPr="006E2D0C" w:rsidRDefault="000B5632" w:rsidP="006E2D0C">
      <w:r w:rsidRPr="006E2D0C">
        <w:t xml:space="preserve">In sum, the UCC provides for market damages both </w:t>
      </w:r>
      <w:r w:rsidR="00991905" w:rsidRPr="006E2D0C">
        <w:t>as part of</w:t>
      </w:r>
      <w:r w:rsidRPr="006E2D0C">
        <w:t xml:space="preserve">, and </w:t>
      </w:r>
      <w:r w:rsidR="00991905" w:rsidRPr="006E2D0C">
        <w:t xml:space="preserve">as </w:t>
      </w:r>
      <w:r w:rsidRPr="006E2D0C">
        <w:t>an alternative to, cover.</w:t>
      </w:r>
    </w:p>
    <w:p w14:paraId="6853B08C" w14:textId="77777777" w:rsidR="002B18EA" w:rsidRDefault="000B5632" w:rsidP="006E2D0C">
      <w:r w:rsidRPr="006E2D0C">
        <w:tab/>
      </w:r>
    </w:p>
    <w:p w14:paraId="6D4A7269" w14:textId="128B9003" w:rsidR="000B5632" w:rsidRPr="006E2D0C" w:rsidRDefault="000B5632" w:rsidP="006E2D0C">
      <w:r w:rsidRPr="006E2D0C">
        <w:t>§ 2-713 represents the retention in the UCC of s</w:t>
      </w:r>
      <w:r w:rsidR="004E4FFF">
        <w:t>ection</w:t>
      </w:r>
      <w:r w:rsidRPr="006E2D0C">
        <w:t xml:space="preserve"> 67(3) of the Uniform Sales Act 1906, which was itself modelled on SoGA s</w:t>
      </w:r>
      <w:r w:rsidR="004E4FFF">
        <w:t>ection</w:t>
      </w:r>
      <w:r w:rsidRPr="006E2D0C">
        <w:t xml:space="preserve"> 51. I am in no position to contribute to the legal history of this retention.</w:t>
      </w:r>
      <w:r w:rsidR="00B748E6" w:rsidRPr="006E2D0C">
        <w:rPr>
          <w:rStyle w:val="FootnoteReference"/>
        </w:rPr>
        <w:footnoteReference w:id="33"/>
      </w:r>
      <w:r w:rsidR="00B748E6" w:rsidRPr="006E2D0C">
        <w:t xml:space="preserve"> </w:t>
      </w:r>
      <w:r w:rsidRPr="006E2D0C">
        <w:t xml:space="preserve"> I can say only what seems </w:t>
      </w:r>
      <w:r w:rsidRPr="006E2D0C">
        <w:lastRenderedPageBreak/>
        <w:t xml:space="preserve">unarguable, that, having introduced the innovation of cover, this retention is </w:t>
      </w:r>
      <w:r w:rsidRPr="006E2D0C">
        <w:rPr>
          <w:i/>
        </w:rPr>
        <w:t>prima facie</w:t>
      </w:r>
      <w:r w:rsidRPr="006E2D0C">
        <w:t xml:space="preserve"> markedly inconsistent drafting. The relationship between §</w:t>
      </w:r>
      <w:r w:rsidR="004E4FFF" w:rsidRPr="006E2D0C">
        <w:t>§</w:t>
      </w:r>
      <w:r w:rsidRPr="006E2D0C">
        <w:t xml:space="preserve"> 2-712 and  2-713 may, of course, take one of two forms: duplication or a failure to duplicate which generates inconsistencies. In order to realise </w:t>
      </w:r>
      <w:r w:rsidR="00A367CC" w:rsidRPr="006E2D0C">
        <w:t>its</w:t>
      </w:r>
      <w:r w:rsidRPr="006E2D0C">
        <w:t xml:space="preserve"> expectation from, in our example, the sale of the steel, the buyer will have to buy sub</w:t>
      </w:r>
      <w:r w:rsidR="00533F01" w:rsidRPr="006E2D0C">
        <w:t>stitute pig iron, and whether it</w:t>
      </w:r>
      <w:r w:rsidRPr="006E2D0C">
        <w:t xml:space="preserve"> claims the costs of doing so in a rising market under § 2-712 or § 2-713 would seem to be a matter of indifference. Nothing in § 2-713 makes it possible for the buyer to refuse to take cover and then claim consequential loss. I believe that § 2-713 does not have widespread unwelcome effects because a buyer will normally cover and any ancillary market damages would then be the same under § 2-712 or § 2-713.</w:t>
      </w:r>
    </w:p>
    <w:p w14:paraId="02744BD4" w14:textId="77777777" w:rsidR="002B18EA" w:rsidRDefault="000B5632" w:rsidP="006E2D0C">
      <w:r w:rsidRPr="006E2D0C">
        <w:tab/>
      </w:r>
    </w:p>
    <w:p w14:paraId="5C1420F3" w14:textId="6415D19F" w:rsidR="000B5632" w:rsidRPr="006E2D0C" w:rsidRDefault="000B5632" w:rsidP="006E2D0C">
      <w:r w:rsidRPr="006E2D0C">
        <w:t>But two sources of dispute do emerge from § 2-713. First, a buyer may secure a substitute at so substantially less than the market price prevailing at the appropriate time for effecting cover as to make it seem merely wi</w:t>
      </w:r>
      <w:r w:rsidR="004E4FFF">
        <w:t>se to bring an action under § 2-</w:t>
      </w:r>
      <w:r w:rsidRPr="006E2D0C">
        <w:t xml:space="preserve">713 in order to obtain a marginal windfall profit, the market damages under § 2-713 being greater than the market </w:t>
      </w:r>
      <w:r w:rsidR="0041001A">
        <w:t xml:space="preserve">(in support of cover) </w:t>
      </w:r>
      <w:r w:rsidRPr="006E2D0C">
        <w:t>damages under § 2-712.</w:t>
      </w:r>
      <w:r w:rsidRPr="006E2D0C">
        <w:rPr>
          <w:rStyle w:val="FootnoteReference"/>
        </w:rPr>
        <w:footnoteReference w:id="34"/>
      </w:r>
      <w:r w:rsidRPr="006E2D0C">
        <w:t xml:space="preserve"> This </w:t>
      </w:r>
      <w:r w:rsidRPr="006E2D0C">
        <w:lastRenderedPageBreak/>
        <w:t>possibility does not pose a fundamentally difficult problem. It would not be the end of the world to allow it.</w:t>
      </w:r>
      <w:r w:rsidRPr="006E2D0C">
        <w:rPr>
          <w:rStyle w:val="FootnoteReference"/>
        </w:rPr>
        <w:footnoteReference w:id="35"/>
      </w:r>
      <w:r w:rsidRPr="006E2D0C">
        <w:t xml:space="preserve"> But, to my mind, it should simply be prevented. Allowing this practice would unarguably be inconsistent with both the policy of mitigation that underlies § 2-712 and the general aim of compensatory damages incorporated into § 1-305, and, no doubt in recognition of this, § 2-713 Comment 5 stipulates that market damages is ‘a remedy which is completely alternative to cover … and applies only when and to the extent that the buyer has not covered’.</w:t>
      </w:r>
    </w:p>
    <w:p w14:paraId="50218154" w14:textId="77777777" w:rsidR="002B18EA" w:rsidRDefault="000B5632" w:rsidP="006E2D0C">
      <w:r w:rsidRPr="006E2D0C">
        <w:tab/>
      </w:r>
    </w:p>
    <w:p w14:paraId="0B40FF65" w14:textId="6E49411F" w:rsidR="00BD37CA" w:rsidRPr="006E2D0C" w:rsidRDefault="00BD37CA" w:rsidP="006E2D0C">
      <w:r w:rsidRPr="006E2D0C">
        <w:t>T</w:t>
      </w:r>
      <w:r w:rsidR="000B5632" w:rsidRPr="006E2D0C">
        <w:t>he situation in which the buyer, on learning of t</w:t>
      </w:r>
      <w:r w:rsidR="00533F01" w:rsidRPr="006E2D0C">
        <w:t>he breach, abandons the plans it</w:t>
      </w:r>
      <w:r w:rsidR="000B5632" w:rsidRPr="006E2D0C">
        <w:t xml:space="preserve"> had, and, no longer wanting the goods, does not cover and seeks market damages as a pure windfall profit</w:t>
      </w:r>
      <w:r w:rsidRPr="006E2D0C">
        <w:t xml:space="preserve"> is much more difficult</w:t>
      </w:r>
      <w:r w:rsidR="000B5632" w:rsidRPr="006E2D0C">
        <w:t>. In our example, having decided not to make the steel, perhaps because, since the time of the agreement, the market for steel has grown cold, the buyer seeks th</w:t>
      </w:r>
      <w:r w:rsidR="00533F01" w:rsidRPr="006E2D0C">
        <w:t>e market damages for pig iron it</w:t>
      </w:r>
      <w:r w:rsidR="000B5632" w:rsidRPr="006E2D0C">
        <w:t xml:space="preserve"> has no intention of buying. As these damages are justified as meeting the </w:t>
      </w:r>
      <w:r w:rsidR="00533F01" w:rsidRPr="006E2D0C">
        <w:t>buyer’s ‘essential need’ when it</w:t>
      </w:r>
      <w:r w:rsidR="000B5632" w:rsidRPr="006E2D0C">
        <w:t xml:space="preserve"> no longer has that need, they are both wholly contradictory and purely hypothetical, and as such are highly prone to manipulation. Given § 2-713’s ultimate basis in s 51, it is unsurprising that the shortcomings of market damages under § 2-713 are paralleled by similar shortcomings of s</w:t>
      </w:r>
      <w:r w:rsidR="007D1A96">
        <w:t>ection</w:t>
      </w:r>
      <w:r w:rsidR="000B5632" w:rsidRPr="006E2D0C">
        <w:t xml:space="preserve"> 51, </w:t>
      </w:r>
      <w:r w:rsidRPr="006E2D0C">
        <w:t xml:space="preserve">though </w:t>
      </w:r>
      <w:r w:rsidR="000B5632" w:rsidRPr="006E2D0C">
        <w:t xml:space="preserve">the absence in the English law of </w:t>
      </w:r>
      <w:r w:rsidRPr="006E2D0C">
        <w:t xml:space="preserve">an </w:t>
      </w:r>
      <w:r w:rsidR="000B5632" w:rsidRPr="006E2D0C">
        <w:t xml:space="preserve">explicit </w:t>
      </w:r>
      <w:r w:rsidRPr="006E2D0C">
        <w:t xml:space="preserve">cover </w:t>
      </w:r>
      <w:r w:rsidR="000B5632" w:rsidRPr="006E2D0C">
        <w:t xml:space="preserve">remedy </w:t>
      </w:r>
      <w:r w:rsidRPr="006E2D0C">
        <w:t xml:space="preserve">makes </w:t>
      </w:r>
      <w:r w:rsidR="00B3664A" w:rsidRPr="006E2D0C">
        <w:t xml:space="preserve">it harder to perceive the reason these </w:t>
      </w:r>
      <w:r w:rsidR="000B5632" w:rsidRPr="006E2D0C">
        <w:t>shortcomings</w:t>
      </w:r>
      <w:r w:rsidR="00B3664A" w:rsidRPr="006E2D0C">
        <w:t xml:space="preserve"> arise.</w:t>
      </w:r>
    </w:p>
    <w:p w14:paraId="2112FBC2" w14:textId="77777777" w:rsidR="002B18EA" w:rsidRDefault="00BD37CA" w:rsidP="006E2D0C">
      <w:r w:rsidRPr="006E2D0C">
        <w:tab/>
      </w:r>
    </w:p>
    <w:p w14:paraId="5792757F" w14:textId="0B54276B" w:rsidR="000B5632" w:rsidRDefault="00BD37CA" w:rsidP="006E2D0C">
      <w:r w:rsidRPr="006E2D0C">
        <w:lastRenderedPageBreak/>
        <w:t>T</w:t>
      </w:r>
      <w:r w:rsidR="000B5632" w:rsidRPr="006E2D0C">
        <w:t>he difficulties of iden</w:t>
      </w:r>
      <w:r w:rsidR="00A957E9" w:rsidRPr="006E2D0C">
        <w:t>tifying the date and place of a</w:t>
      </w:r>
      <w:r w:rsidR="000B5632" w:rsidRPr="006E2D0C">
        <w:t xml:space="preserve"> hypothetically available market on which no actual purchase is made can, of their nature, arise only in connection with market damages when no substitute is purchased.</w:t>
      </w:r>
      <w:bookmarkStart w:id="9" w:name="_Ref363999245"/>
      <w:r w:rsidR="000B5632" w:rsidRPr="006E2D0C">
        <w:rPr>
          <w:rStyle w:val="FootnoteReference"/>
        </w:rPr>
        <w:footnoteReference w:id="36"/>
      </w:r>
      <w:bookmarkEnd w:id="9"/>
      <w:r w:rsidR="000B5632" w:rsidRPr="006E2D0C">
        <w:t xml:space="preserve"> In these circumstances, when trying </w:t>
      </w:r>
      <w:r w:rsidR="00033F44" w:rsidRPr="006E2D0C">
        <w:t>to identify a market price, ‘Y</w:t>
      </w:r>
      <w:r w:rsidR="000B5632" w:rsidRPr="006E2D0C">
        <w:t>ou always’, as Lord Dunedin famously put it, ‘have to ask yourself “what market”?’</w:t>
      </w:r>
      <w:r w:rsidR="007D1A96">
        <w:t>.</w:t>
      </w:r>
      <w:r w:rsidR="000B5632" w:rsidRPr="006E2D0C">
        <w:rPr>
          <w:rStyle w:val="FootnoteReference"/>
        </w:rPr>
        <w:footnoteReference w:id="37"/>
      </w:r>
      <w:r w:rsidR="000B5632" w:rsidRPr="006E2D0C">
        <w:t xml:space="preserve"> And, as Bailhache J equally famously put it in </w:t>
      </w:r>
      <w:r w:rsidR="000B5632" w:rsidRPr="006E2D0C">
        <w:rPr>
          <w:i/>
        </w:rPr>
        <w:t>Melachrino v Nickoll</w:t>
      </w:r>
      <w:r w:rsidR="000B5632" w:rsidRPr="006E2D0C">
        <w:t>, the court can be reduced to doing ‘the best it can’.</w:t>
      </w:r>
      <w:r w:rsidR="000B5632" w:rsidRPr="006E2D0C">
        <w:rPr>
          <w:rStyle w:val="FootnoteReference"/>
        </w:rPr>
        <w:footnoteReference w:id="38"/>
      </w:r>
      <w:r w:rsidR="000B5632" w:rsidRPr="006E2D0C">
        <w:t xml:space="preserve"> On the other hand, </w:t>
      </w:r>
      <w:r w:rsidR="0036038B" w:rsidRPr="006E2D0C">
        <w:t xml:space="preserve">putting fraud and a case brought in error aside, </w:t>
      </w:r>
      <w:r w:rsidR="000B5632" w:rsidRPr="006E2D0C">
        <w:t xml:space="preserve">the costs of cover are a liquidated sum, and the </w:t>
      </w:r>
      <w:r w:rsidR="00533F01" w:rsidRPr="006E2D0C">
        <w:t>buyer who had to show it</w:t>
      </w:r>
      <w:r w:rsidR="000B5632" w:rsidRPr="006E2D0C">
        <w:t xml:space="preserve"> had covered and had paid a market differential ancillary to doing so in order to bring a market damages claim could never benefit from speculation about hypothetical markets as </w:t>
      </w:r>
      <w:r w:rsidR="00B3664A" w:rsidRPr="006E2D0C">
        <w:t xml:space="preserve">its </w:t>
      </w:r>
      <w:r w:rsidR="000B5632" w:rsidRPr="006E2D0C">
        <w:t xml:space="preserve">claim would have to be based on the liquidated sum. </w:t>
      </w:r>
      <w:r w:rsidR="0036038B" w:rsidRPr="006E2D0C">
        <w:t>Arguments that abolishing market damages would make quantification less ‘certain’ or more ‘subjective’ seem to me to be groundless</w:t>
      </w:r>
      <w:r w:rsidR="00B3664A" w:rsidRPr="006E2D0C">
        <w:t xml:space="preserve"> for this reason</w:t>
      </w:r>
      <w:r w:rsidR="0036038B" w:rsidRPr="006E2D0C">
        <w:t>.</w:t>
      </w:r>
      <w:r w:rsidR="00226851" w:rsidRPr="006E2D0C">
        <w:t xml:space="preserve"> </w:t>
      </w:r>
      <w:r w:rsidR="000B5632" w:rsidRPr="006E2D0C">
        <w:t>The only issue which should arise in connection with such a claim is the one which is of the essence of the common law of mitigation: was the step taken in mitigation a reasonable attempt to avoid loss? In the context of taking cover, this is predominantly an issue of taking that step ‘without unreasonable delay’, as § 2-712(1) has it, and of this Comment 1 says:</w:t>
      </w:r>
    </w:p>
    <w:p w14:paraId="6D25628F" w14:textId="77777777" w:rsidR="002B18EA" w:rsidRPr="006E2D0C" w:rsidRDefault="002B18EA" w:rsidP="006E2D0C"/>
    <w:p w14:paraId="28B25EA2" w14:textId="77777777" w:rsidR="000B5632" w:rsidRPr="006E2D0C" w:rsidRDefault="000B5632" w:rsidP="002B18EA">
      <w:pPr>
        <w:pStyle w:val="Quote"/>
        <w:tabs>
          <w:tab w:val="clear" w:pos="1134"/>
        </w:tabs>
        <w:spacing w:after="0" w:line="480" w:lineRule="auto"/>
        <w:ind w:left="709"/>
      </w:pPr>
      <w:r w:rsidRPr="006E2D0C">
        <w:lastRenderedPageBreak/>
        <w:t>The requirement that the buyer must cover “without unreasonable delay” is not intended to limit the time necessary for him to look around and decide as to how he may best effect cover. The test here is similar to that generally used in this Article as to reasonable time and seasonable action.</w:t>
      </w:r>
    </w:p>
    <w:p w14:paraId="4E43035B" w14:textId="77777777" w:rsidR="002B18EA" w:rsidRDefault="000B5632" w:rsidP="006E2D0C">
      <w:r w:rsidRPr="006E2D0C">
        <w:tab/>
        <w:t xml:space="preserve"> </w:t>
      </w:r>
    </w:p>
    <w:p w14:paraId="0BFC255E" w14:textId="77777777" w:rsidR="002B18EA" w:rsidRDefault="002B18EA" w:rsidP="006E2D0C"/>
    <w:p w14:paraId="5DE529FE" w14:textId="4954526D" w:rsidR="000B5632" w:rsidRPr="006E2D0C" w:rsidRDefault="000B5632" w:rsidP="006E2D0C">
      <w:r w:rsidRPr="006E2D0C">
        <w:t xml:space="preserve">Consider, however, the issues which arise from two instructively notorious cases, one American and one a Hong Kong case decided under English law in which final judgment was handed down by the Privy Council. </w:t>
      </w:r>
      <w:r w:rsidRPr="006E2D0C">
        <w:rPr>
          <w:i/>
        </w:rPr>
        <w:t>Reliance Cooperage Corp</w:t>
      </w:r>
      <w:r w:rsidR="00745108">
        <w:rPr>
          <w:i/>
        </w:rPr>
        <w:t>oration</w:t>
      </w:r>
      <w:r w:rsidRPr="006E2D0C">
        <w:rPr>
          <w:i/>
        </w:rPr>
        <w:t xml:space="preserve"> v Treat</w:t>
      </w:r>
      <w:r w:rsidRPr="006E2D0C">
        <w:rPr>
          <w:rStyle w:val="FootnoteReference"/>
        </w:rPr>
        <w:footnoteReference w:id="39"/>
      </w:r>
      <w:r w:rsidRPr="006E2D0C">
        <w:t xml:space="preserve"> was decided prior to the adoption of the UCC and so, of course, the explicit concept of cover played no part in the reasoning in the case.</w:t>
      </w:r>
      <w:r w:rsidRPr="006E2D0C">
        <w:rPr>
          <w:rStyle w:val="FootnoteReference"/>
        </w:rPr>
        <w:footnoteReference w:id="40"/>
      </w:r>
      <w:r w:rsidRPr="006E2D0C">
        <w:t xml:space="preserve"> After the defendant seller had anticipatorily repudiated </w:t>
      </w:r>
      <w:r w:rsidR="00B3664A" w:rsidRPr="006E2D0C">
        <w:t xml:space="preserve">its </w:t>
      </w:r>
      <w:r w:rsidRPr="006E2D0C">
        <w:t>obligation to deliver a large consignment of wooden staves for making bourbon barrels, the claimant buyer did not ca</w:t>
      </w:r>
      <w:r w:rsidR="005E2B82" w:rsidRPr="006E2D0C">
        <w:t xml:space="preserve">ncel and purchase a substitute </w:t>
      </w:r>
      <w:r w:rsidRPr="006E2D0C">
        <w:t xml:space="preserve">but eventually brought an action for market damages based on a market price assessed on the last possible date for delivery under the contract, which was some four months after the purported repudiation. We cannot be certain whether </w:t>
      </w:r>
      <w:r w:rsidRPr="006E2D0C">
        <w:lastRenderedPageBreak/>
        <w:t xml:space="preserve">the buyer purchased a substitute at or near the time of repudiation or, as seems more likely, did not purchase a substitute at all, though </w:t>
      </w:r>
      <w:r w:rsidRPr="006E2D0C">
        <w:rPr>
          <w:i/>
        </w:rPr>
        <w:t>prima facie</w:t>
      </w:r>
      <w:r w:rsidRPr="006E2D0C">
        <w:t xml:space="preserve"> this must have cost </w:t>
      </w:r>
      <w:r w:rsidR="00991905" w:rsidRPr="006E2D0C">
        <w:t xml:space="preserve">it its </w:t>
      </w:r>
      <w:r w:rsidRPr="006E2D0C">
        <w:t xml:space="preserve">ultimate profit from use of the bourbon barrels. But, however this is, after damages calculations based on the reported facts, the reason the buyer claimed the breach had been made at the latest possible date is clear. This was a steeply rising market and the market damages of $78,750 </w:t>
      </w:r>
      <w:r w:rsidR="00AA35B2">
        <w:t xml:space="preserve">(now approximately $720,000) </w:t>
      </w:r>
      <w:r w:rsidRPr="006E2D0C">
        <w:t xml:space="preserve">which were claimed were $67,500 </w:t>
      </w:r>
      <w:r w:rsidR="00AA35B2">
        <w:t xml:space="preserve">($616,400) </w:t>
      </w:r>
      <w:r w:rsidRPr="006E2D0C">
        <w:t>more than market damages either in support of or in the alternative to cover assessed at the date of the repudiation.</w:t>
      </w:r>
      <w:r w:rsidRPr="006E2D0C">
        <w:rPr>
          <w:rStyle w:val="FootnoteReference"/>
        </w:rPr>
        <w:footnoteReference w:id="41"/>
      </w:r>
      <w:r w:rsidRPr="006E2D0C">
        <w:t xml:space="preserve"> We do not know what the buyer’s ultimate expectation was, but a pure windfall of either $78,750 (minus any ultimate profit) or $67,500 might be thought to be an effective inducement to await a performance which was never to come of a sale with an original price of $146,250</w:t>
      </w:r>
      <w:r w:rsidR="00AA35B2">
        <w:t xml:space="preserve"> ($1,336,000)</w:t>
      </w:r>
      <w:r w:rsidRPr="006E2D0C">
        <w:t xml:space="preserve">. </w:t>
      </w:r>
    </w:p>
    <w:p w14:paraId="6332396C" w14:textId="77777777" w:rsidR="002B18EA" w:rsidRDefault="000B5632" w:rsidP="006E2D0C">
      <w:r w:rsidRPr="006E2D0C">
        <w:tab/>
      </w:r>
    </w:p>
    <w:p w14:paraId="3B88D781" w14:textId="6EDB1335" w:rsidR="000B5632" w:rsidRPr="006E2D0C" w:rsidRDefault="000B5632" w:rsidP="006E2D0C">
      <w:r w:rsidRPr="006E2D0C">
        <w:t xml:space="preserve">In </w:t>
      </w:r>
      <w:r w:rsidRPr="006E2D0C">
        <w:rPr>
          <w:i/>
        </w:rPr>
        <w:t>Tai Hing Cotton Mill Ltd v Kamsing Knitting Factory</w:t>
      </w:r>
      <w:r w:rsidRPr="006E2D0C">
        <w:t>,</w:t>
      </w:r>
      <w:bookmarkStart w:id="10" w:name="_Ref373485593"/>
      <w:r w:rsidRPr="006E2D0C">
        <w:rPr>
          <w:rStyle w:val="FootnoteReference"/>
        </w:rPr>
        <w:footnoteReference w:id="42"/>
      </w:r>
      <w:bookmarkEnd w:id="10"/>
      <w:r w:rsidRPr="006E2D0C">
        <w:t xml:space="preserve"> the seller anticipatorily repudiated a sale of bales of yarn under a contract which did not specify a delivery date. Again it was only after four months that the buyer brought a claim for market damages, and, in this case, the market price was dated a month later than this in recognition that, in the absence of a specified delivery date, the buyer could have given notice of up to a month that it wan</w:t>
      </w:r>
      <w:r w:rsidR="009E791A">
        <w:t>ted delivery. Section</w:t>
      </w:r>
      <w:r w:rsidRPr="006E2D0C">
        <w:t xml:space="preserve"> 51(3) explicitly provides, in what has become known as the subsection’s second limb, that when no </w:t>
      </w:r>
      <w:r w:rsidRPr="006E2D0C">
        <w:lastRenderedPageBreak/>
        <w:t xml:space="preserve">time for delivery was fixed, the market price is the price ‘at the time of the refusal to deliver’. </w:t>
      </w:r>
      <w:r w:rsidRPr="006E2D0C">
        <w:rPr>
          <w:i/>
        </w:rPr>
        <w:t>Tai Hing</w:t>
      </w:r>
      <w:r w:rsidRPr="006E2D0C">
        <w:t xml:space="preserve"> ‘affirm[ed] the principle that the second limb of s 51(3) does not apply in any case of anticipatory breach’.</w:t>
      </w:r>
      <w:bookmarkStart w:id="11" w:name="_Ref373503295"/>
      <w:r w:rsidRPr="006E2D0C">
        <w:rPr>
          <w:rStyle w:val="FootnoteReference"/>
        </w:rPr>
        <w:footnoteReference w:id="43"/>
      </w:r>
      <w:bookmarkEnd w:id="11"/>
      <w:r w:rsidRPr="006E2D0C">
        <w:t xml:space="preserve"> The reported facts do not allow us to perform calculations similar to those I have put forward for </w:t>
      </w:r>
      <w:r w:rsidRPr="006E2D0C">
        <w:rPr>
          <w:i/>
        </w:rPr>
        <w:t>Reliance Cooperage</w:t>
      </w:r>
      <w:r w:rsidRPr="006E2D0C">
        <w:t>, but the buyer’s incentives were undoubtedly the same.</w:t>
      </w:r>
    </w:p>
    <w:p w14:paraId="46861640" w14:textId="77777777" w:rsidR="002B18EA" w:rsidRDefault="000B5632" w:rsidP="006E2D0C">
      <w:r w:rsidRPr="006E2D0C">
        <w:tab/>
      </w:r>
    </w:p>
    <w:p w14:paraId="0BC04EBA" w14:textId="426932CE" w:rsidR="000B5632" w:rsidRPr="006E2D0C" w:rsidRDefault="00C50390" w:rsidP="006E2D0C">
      <w:r w:rsidRPr="006E2D0C">
        <w:t>T</w:t>
      </w:r>
      <w:r w:rsidR="000B5632" w:rsidRPr="006E2D0C">
        <w:t xml:space="preserve">he protracted delay in </w:t>
      </w:r>
      <w:r w:rsidR="000B5632" w:rsidRPr="006E2D0C">
        <w:rPr>
          <w:i/>
        </w:rPr>
        <w:t>Reliance Cooperage</w:t>
      </w:r>
      <w:r w:rsidR="000B5632" w:rsidRPr="006E2D0C">
        <w:t xml:space="preserve"> and </w:t>
      </w:r>
      <w:r w:rsidR="000B5632" w:rsidRPr="006E2D0C">
        <w:rPr>
          <w:i/>
        </w:rPr>
        <w:t>Tai Hing</w:t>
      </w:r>
      <w:r w:rsidR="000B5632" w:rsidRPr="006E2D0C">
        <w:t xml:space="preserve"> would seem </w:t>
      </w:r>
      <w:r w:rsidRPr="006E2D0C">
        <w:t xml:space="preserve">not </w:t>
      </w:r>
      <w:r w:rsidR="000B5632" w:rsidRPr="006E2D0C">
        <w:t xml:space="preserve">to </w:t>
      </w:r>
      <w:r w:rsidRPr="006E2D0C">
        <w:t xml:space="preserve">be </w:t>
      </w:r>
      <w:r w:rsidR="00C822C0" w:rsidRPr="006E2D0C">
        <w:t xml:space="preserve">that of </w:t>
      </w:r>
      <w:r w:rsidRPr="006E2D0C">
        <w:t xml:space="preserve">a buyer which actually wants the goods spending an ‘unreasonable time’ urging retraction of an anticipatory breach, </w:t>
      </w:r>
      <w:r w:rsidR="00C822C0" w:rsidRPr="006E2D0C">
        <w:t>the provision for which</w:t>
      </w:r>
      <w:r w:rsidRPr="006E2D0C">
        <w:t xml:space="preserve"> under </w:t>
      </w:r>
      <w:r w:rsidR="00C822C0" w:rsidRPr="006E2D0C">
        <w:t xml:space="preserve">§ 2-610 effectively states the English law, though SoGA does not </w:t>
      </w:r>
      <w:r w:rsidR="00B3664A" w:rsidRPr="006E2D0C">
        <w:t xml:space="preserve">explicitly </w:t>
      </w:r>
      <w:r w:rsidR="00C822C0" w:rsidRPr="006E2D0C">
        <w:t xml:space="preserve">address this in anything it says about performance, delivery or non-delivery. Rather this delay </w:t>
      </w:r>
      <w:r w:rsidR="000B5632" w:rsidRPr="006E2D0C">
        <w:t>raise</w:t>
      </w:r>
      <w:r w:rsidR="00C822C0" w:rsidRPr="006E2D0C">
        <w:t>d</w:t>
      </w:r>
      <w:r w:rsidR="000B5632" w:rsidRPr="006E2D0C">
        <w:t xml:space="preserve"> the very different issue </w:t>
      </w:r>
      <w:r w:rsidR="009E791A">
        <w:t xml:space="preserve">of </w:t>
      </w:r>
      <w:r w:rsidR="000B5632" w:rsidRPr="006E2D0C">
        <w:t xml:space="preserve">whether a claimant is obliged to cancel after repudiation, or can affirm the contract and, maintaining its willingness to buy, await delivery until, in </w:t>
      </w:r>
      <w:r w:rsidR="000B5632" w:rsidRPr="006E2D0C">
        <w:rPr>
          <w:i/>
        </w:rPr>
        <w:t>Reliance Cooperage</w:t>
      </w:r>
      <w:r w:rsidR="000B5632" w:rsidRPr="006E2D0C">
        <w:t xml:space="preserve">, the stipulated date for delivery or, in </w:t>
      </w:r>
      <w:r w:rsidR="000B5632" w:rsidRPr="006E2D0C">
        <w:rPr>
          <w:i/>
        </w:rPr>
        <w:t>Tai Hing</w:t>
      </w:r>
      <w:r w:rsidR="000B5632" w:rsidRPr="006E2D0C">
        <w:t>, it would seem until Doomsday,</w:t>
      </w:r>
      <w:r w:rsidR="000B5632" w:rsidRPr="006E2D0C">
        <w:rPr>
          <w:rStyle w:val="FootnoteReference"/>
        </w:rPr>
        <w:footnoteReference w:id="44"/>
      </w:r>
      <w:r w:rsidR="000B5632" w:rsidRPr="006E2D0C">
        <w:t xml:space="preserve"> bringing an action for market damages at the time which was to its best advantage, </w:t>
      </w:r>
      <w:r w:rsidR="00B3664A" w:rsidRPr="006E2D0C">
        <w:t xml:space="preserve">when such advantage is </w:t>
      </w:r>
      <w:r w:rsidR="000B5632" w:rsidRPr="006E2D0C">
        <w:t>defined with tendentious disregard of the seller’s interests as institutionalised in the doctrine of mitigation.</w:t>
      </w:r>
    </w:p>
    <w:p w14:paraId="0BDF156C" w14:textId="77777777" w:rsidR="002B18EA" w:rsidRDefault="000B5632" w:rsidP="006E2D0C">
      <w:r w:rsidRPr="006E2D0C">
        <w:tab/>
      </w:r>
    </w:p>
    <w:p w14:paraId="6B98E765" w14:textId="1ED70CE3" w:rsidR="000B5632" w:rsidRPr="006E2D0C" w:rsidRDefault="000B5632" w:rsidP="006E2D0C">
      <w:r w:rsidRPr="006E2D0C">
        <w:lastRenderedPageBreak/>
        <w:t xml:space="preserve">That something had gone badly wrong in cases like </w:t>
      </w:r>
      <w:r w:rsidRPr="006E2D0C">
        <w:rPr>
          <w:i/>
        </w:rPr>
        <w:t>Reliance Cooperage</w:t>
      </w:r>
      <w:r w:rsidRPr="006E2D0C">
        <w:t xml:space="preserve"> was clear to the drafters of the UCC, who, in response, supplied Comment 1 to § 2-610, which says that if the ‘aggrieved party’ (§ 2-610 provides a remedy for buyers and sellers) ‘awaits performance beyond a </w:t>
      </w:r>
      <w:r w:rsidR="00533F01" w:rsidRPr="006E2D0C">
        <w:t>commercially reasonable time, it</w:t>
      </w:r>
      <w:r w:rsidRPr="006E2D0C">
        <w:t xml:space="preserve"> cannot re</w:t>
      </w:r>
      <w:r w:rsidR="00533F01" w:rsidRPr="006E2D0C">
        <w:t>cover resulting damages which he</w:t>
      </w:r>
      <w:r w:rsidRPr="006E2D0C">
        <w:t xml:space="preserve"> should have avoided’.</w:t>
      </w:r>
      <w:r w:rsidRPr="006E2D0C">
        <w:rPr>
          <w:rStyle w:val="FootnoteReference"/>
        </w:rPr>
        <w:footnoteReference w:id="45"/>
      </w:r>
      <w:r w:rsidRPr="006E2D0C">
        <w:t xml:space="preserve"> One might argue that this is consistent with § 2-713, which, it will be recalled, states that the market price is to be assessed ‘at the time when the buyer learned of the breach’ (and is also consistent with the similar evidentiary rule about proof of market price under § 2-723). But, whilst one can see what the buyer should do,</w:t>
      </w:r>
      <w:r w:rsidRPr="006E2D0C">
        <w:rPr>
          <w:rStyle w:val="FootnoteReference"/>
        </w:rPr>
        <w:footnoteReference w:id="46"/>
      </w:r>
      <w:r w:rsidRPr="006E2D0C">
        <w:t xml:space="preserve"> to say this is not really to get very far. How one interprets ‘commercially reasonable’ or ‘learned of the breach’ depends on whether one thinks that the buyer’s election to cancel or await performance should be subject to the mitigation rule which unarguably does apply to the quantification of </w:t>
      </w:r>
      <w:r w:rsidRPr="006E2D0C">
        <w:lastRenderedPageBreak/>
        <w:t>damages after cancellation. Textual exegesis will not solve this problem,</w:t>
      </w:r>
      <w:r w:rsidRPr="006E2D0C">
        <w:rPr>
          <w:rStyle w:val="FootnoteReference"/>
        </w:rPr>
        <w:footnoteReference w:id="47"/>
      </w:r>
      <w:r w:rsidRPr="006E2D0C">
        <w:t xml:space="preserve"> which is not, of course, confined to the sale of goods.</w:t>
      </w:r>
      <w:r w:rsidR="00C822C0" w:rsidRPr="006E2D0C">
        <w:rPr>
          <w:rStyle w:val="FootnoteReference"/>
        </w:rPr>
        <w:footnoteReference w:id="48"/>
      </w:r>
      <w:r w:rsidRPr="006E2D0C">
        <w:t xml:space="preserve"> I will say without argument </w:t>
      </w:r>
      <w:r w:rsidR="00C822C0" w:rsidRPr="006E2D0C">
        <w:t xml:space="preserve">here </w:t>
      </w:r>
      <w:r w:rsidRPr="006E2D0C">
        <w:t>that I believe the general principle of the law in England and Wales</w:t>
      </w:r>
      <w:r w:rsidR="00FB2ED2">
        <w:t>,</w:t>
      </w:r>
      <w:r w:rsidRPr="006E2D0C">
        <w:t xml:space="preserve"> and </w:t>
      </w:r>
      <w:r w:rsidR="00675DEE">
        <w:t xml:space="preserve">throughout the </w:t>
      </w:r>
      <w:r w:rsidR="00B3664A" w:rsidRPr="006E2D0C">
        <w:t>Commonwealth</w:t>
      </w:r>
      <w:r w:rsidR="00FB2ED2">
        <w:t xml:space="preserve">, </w:t>
      </w:r>
      <w:r w:rsidR="00B3664A" w:rsidRPr="006E2D0C">
        <w:t xml:space="preserve">is that </w:t>
      </w:r>
      <w:r w:rsidRPr="006E2D0C">
        <w:t>the mitigation rule does apply to this election, though there is no doubt that the position is</w:t>
      </w:r>
      <w:r w:rsidR="007044B5" w:rsidRPr="006E2D0C">
        <w:t xml:space="preserve"> difficult</w:t>
      </w:r>
      <w:bookmarkStart w:id="12" w:name="_Ref364103914"/>
      <w:r w:rsidR="007044B5" w:rsidRPr="006E2D0C">
        <w:t>.</w:t>
      </w:r>
      <w:bookmarkEnd w:id="12"/>
      <w:r w:rsidR="007044B5" w:rsidRPr="006E2D0C">
        <w:rPr>
          <w:rStyle w:val="FootnoteReference"/>
        </w:rPr>
        <w:footnoteReference w:id="49"/>
      </w:r>
      <w:r w:rsidRPr="006E2D0C">
        <w:t xml:space="preserve"> But the point in relationship to the sale of goods is that the preservation of the possibility of claiming market damages as an alternative to cover must unsettle the application of the general principle of mitigation, and introduce irremediable uncertainty into the interpretation of §</w:t>
      </w:r>
      <w:r w:rsidR="003C384B" w:rsidRPr="006E2D0C">
        <w:t>§</w:t>
      </w:r>
      <w:r w:rsidRPr="006E2D0C">
        <w:t xml:space="preserve"> 2-712 and  2-713</w:t>
      </w:r>
      <w:r w:rsidR="003C384B">
        <w:t>,</w:t>
      </w:r>
      <w:r w:rsidRPr="006E2D0C">
        <w:t xml:space="preserve"> and of s</w:t>
      </w:r>
      <w:r w:rsidR="003C384B">
        <w:t>ection</w:t>
      </w:r>
      <w:r w:rsidRPr="006E2D0C">
        <w:t xml:space="preserve"> 51, for such damages </w:t>
      </w:r>
      <w:r w:rsidR="00B36FEE">
        <w:t xml:space="preserve">seem to </w:t>
      </w:r>
      <w:r w:rsidRPr="006E2D0C">
        <w:t xml:space="preserve">have no function </w:t>
      </w:r>
      <w:r w:rsidR="00B36FEE">
        <w:t xml:space="preserve">in sales </w:t>
      </w:r>
      <w:r w:rsidRPr="006E2D0C">
        <w:t xml:space="preserve">whatsoever except to allow the claimant to maximise windfall profits by disregarding the seller’s interest in mitigation. Though there can be no doubt it was not the intention of its drafters that § 2-713 should provide an incentive to avoid cover, the </w:t>
      </w:r>
      <w:r w:rsidRPr="006E2D0C">
        <w:rPr>
          <w:i/>
        </w:rPr>
        <w:lastRenderedPageBreak/>
        <w:t>Reliance Cooperage</w:t>
      </w:r>
      <w:r w:rsidRPr="006E2D0C">
        <w:t xml:space="preserve"> or </w:t>
      </w:r>
      <w:r w:rsidRPr="006E2D0C">
        <w:rPr>
          <w:i/>
        </w:rPr>
        <w:t>Tai Hing</w:t>
      </w:r>
      <w:r w:rsidRPr="006E2D0C">
        <w:t xml:space="preserve"> problem is created by allowing market damages to be claimed in the alternative to cover.</w:t>
      </w:r>
      <w:r w:rsidRPr="006E2D0C">
        <w:rPr>
          <w:rStyle w:val="FootnoteReference"/>
        </w:rPr>
        <w:footnoteReference w:id="50"/>
      </w:r>
    </w:p>
    <w:p w14:paraId="36CF5FF5" w14:textId="77777777" w:rsidR="002B18EA" w:rsidRDefault="000B5632" w:rsidP="006E2D0C">
      <w:r w:rsidRPr="006E2D0C">
        <w:tab/>
      </w:r>
    </w:p>
    <w:p w14:paraId="63F205E0" w14:textId="7AD51EF0" w:rsidR="000B5632" w:rsidRPr="006E2D0C" w:rsidRDefault="000B5632" w:rsidP="006E2D0C">
      <w:r w:rsidRPr="006E2D0C">
        <w:t xml:space="preserve">Urging that ‘reasonableness’ (or ‘good faith’, or whatever) be part of the framing of a market damages claim as a way of solving this problem will fail because it is flatly inconsistent with preserving such damages. This instance of </w:t>
      </w:r>
      <w:r w:rsidR="00E06617" w:rsidRPr="006E2D0C">
        <w:t xml:space="preserve">the </w:t>
      </w:r>
      <w:r w:rsidRPr="006E2D0C">
        <w:t xml:space="preserve">word </w:t>
      </w:r>
      <w:r w:rsidR="00E06617" w:rsidRPr="006E2D0C">
        <w:t>‘</w:t>
      </w:r>
      <w:r w:rsidRPr="006E2D0C">
        <w:t>reasonable</w:t>
      </w:r>
      <w:r w:rsidR="00B3664A" w:rsidRPr="006E2D0C">
        <w:t>’</w:t>
      </w:r>
      <w:r w:rsidRPr="006E2D0C">
        <w:t xml:space="preserve"> being used</w:t>
      </w:r>
      <w:r w:rsidR="00E06617" w:rsidRPr="006E2D0C">
        <w:t>, as it so often is,</w:t>
      </w:r>
      <w:r w:rsidRPr="006E2D0C">
        <w:t xml:space="preserve"> to manage the conflict of irreconcilable </w:t>
      </w:r>
      <w:r w:rsidR="00E06617" w:rsidRPr="006E2D0C">
        <w:t xml:space="preserve">legal provisions </w:t>
      </w:r>
      <w:r w:rsidRPr="006E2D0C">
        <w:t>can yield only an incoherent law based on unprincipled compromises. This also must be the result of the suggestion that § 2-713 damages actually be ‘capped’ by the damages which would have been awarded under § 2-712(2). This position arguably is implicit in the priority which their drafters intended § 2-712 should enjoy over § 2-713, particularly in the statement in § 2-713 Comment 1 that ‘[t]he general baseline adopted in this section uses as a yardstick the market in which the buyer would have obtained cover had he sought relief’, and it has, White and Summers tell us,</w:t>
      </w:r>
      <w:r w:rsidRPr="006E2D0C">
        <w:rPr>
          <w:rStyle w:val="FootnoteReference"/>
        </w:rPr>
        <w:footnoteReference w:id="51"/>
      </w:r>
      <w:r w:rsidR="00E70CDB">
        <w:t xml:space="preserve"> been adopted in two cases: </w:t>
      </w:r>
      <w:r w:rsidRPr="006E2D0C">
        <w:rPr>
          <w:i/>
        </w:rPr>
        <w:t>Allied Canners and Packers Inc v Victor Packing Co</w:t>
      </w:r>
      <w:bookmarkStart w:id="13" w:name="_Ref363981569"/>
      <w:r w:rsidRPr="006E2D0C">
        <w:rPr>
          <w:rStyle w:val="FootnoteReference"/>
        </w:rPr>
        <w:footnoteReference w:id="52"/>
      </w:r>
      <w:bookmarkEnd w:id="13"/>
      <w:r w:rsidRPr="006E2D0C">
        <w:t xml:space="preserve"> and </w:t>
      </w:r>
      <w:r w:rsidRPr="006E2D0C">
        <w:rPr>
          <w:i/>
        </w:rPr>
        <w:t>H-</w:t>
      </w:r>
      <w:r w:rsidRPr="006E2D0C">
        <w:rPr>
          <w:i/>
        </w:rPr>
        <w:lastRenderedPageBreak/>
        <w:t>W-H Cattle Co v Schroeder</w:t>
      </w:r>
      <w:r w:rsidRPr="006E2D0C">
        <w:t>.</w:t>
      </w:r>
      <w:r w:rsidRPr="006E2D0C">
        <w:rPr>
          <w:rStyle w:val="FootnoteReference"/>
        </w:rPr>
        <w:footnoteReference w:id="53"/>
      </w:r>
      <w:r w:rsidRPr="006E2D0C">
        <w:t xml:space="preserve"> But if § 2-713 claims are legitimate, why should they be capped? And if they are illegitimate, why should they be allowed at all? It is inconceivable that a rule which gives the wrong answer to both of these questions will lead to a coherent law.</w:t>
      </w:r>
    </w:p>
    <w:p w14:paraId="5A5DB8D2" w14:textId="77777777" w:rsidR="002B18EA" w:rsidRDefault="000B5632" w:rsidP="006E2D0C">
      <w:r w:rsidRPr="006E2D0C">
        <w:tab/>
      </w:r>
    </w:p>
    <w:p w14:paraId="56D849B3" w14:textId="04365AB5" w:rsidR="000B5632" w:rsidRPr="006E2D0C" w:rsidRDefault="000B5632" w:rsidP="006E2D0C">
      <w:r w:rsidRPr="006E2D0C">
        <w:t xml:space="preserve">It is insufficiently appreciated that the </w:t>
      </w:r>
      <w:r w:rsidRPr="006E2D0C">
        <w:rPr>
          <w:i/>
        </w:rPr>
        <w:t>Reliance Cooperage</w:t>
      </w:r>
      <w:r w:rsidRPr="006E2D0C">
        <w:t xml:space="preserve"> or </w:t>
      </w:r>
      <w:r w:rsidRPr="006E2D0C">
        <w:rPr>
          <w:i/>
        </w:rPr>
        <w:t>Tai Hing</w:t>
      </w:r>
      <w:r w:rsidR="00E70CDB">
        <w:t xml:space="preserve"> problem simply could not</w:t>
      </w:r>
      <w:r w:rsidRPr="006E2D0C">
        <w:t xml:space="preserve"> arise (save as a fraud or as a case brought in error) if market damages under § 2-713 were abolished and, reversing the position under § 2-712 Comment 3, cover was made the mandatory remedy for non-delivery, including repudiation. </w:t>
      </w:r>
      <w:r w:rsidR="00226851" w:rsidRPr="006E2D0C">
        <w:t xml:space="preserve">What would be claimed would, </w:t>
      </w:r>
      <w:r w:rsidR="00B3664A" w:rsidRPr="006E2D0C">
        <w:t xml:space="preserve">as </w:t>
      </w:r>
      <w:r w:rsidR="00226851" w:rsidRPr="006E2D0C">
        <w:t xml:space="preserve">I have argued, be a liquidated sum. </w:t>
      </w:r>
      <w:r w:rsidRPr="006E2D0C">
        <w:t xml:space="preserve">A similar change could be made to SoGA by introducing an explicit remedy of cover and abolishing the market price rule save as a </w:t>
      </w:r>
      <w:r w:rsidR="007044B5" w:rsidRPr="006E2D0C">
        <w:t xml:space="preserve">part of </w:t>
      </w:r>
      <w:r w:rsidRPr="006E2D0C">
        <w:t>cover. The claimant could gain no benefit from manipulating the time or place for the assessment of market damages if proof of having effected cover was the condition of any such award. The claimant could only ever claim a liquidated sum, which the defendant would pay</w:t>
      </w:r>
      <w:r w:rsidR="00B3664A" w:rsidRPr="006E2D0C">
        <w:t>, in one fashion or another,</w:t>
      </w:r>
      <w:r w:rsidRPr="006E2D0C">
        <w:t xml:space="preserve"> after it had been presented. As the buyer will have paid whatever sum is awarded, market damages confined in this way to being a supplement to cover cannot be a source of a windfall profit which gives an incentive to opportunistic action. Such confinement would leave the mitigation issues that I have mentioned </w:t>
      </w:r>
      <w:r w:rsidRPr="006E2D0C">
        <w:lastRenderedPageBreak/>
        <w:t>apply</w:t>
      </w:r>
      <w:r w:rsidR="00BA3C3C">
        <w:t>ing</w:t>
      </w:r>
      <w:r w:rsidRPr="006E2D0C">
        <w:t xml:space="preserve"> to cover just as much as </w:t>
      </w:r>
      <w:r w:rsidR="00B3664A" w:rsidRPr="006E2D0C">
        <w:t xml:space="preserve">to </w:t>
      </w:r>
      <w:r w:rsidRPr="006E2D0C">
        <w:t xml:space="preserve">market damages, but they would eliminate the problems of proof of market damages when the claimant intentionally puts a distance between the time of effecting cover and claiming market damages or does not cover at all. The claimant buyer could cover and, if there was a market differential, claim the liquidated sum. If cover was not reasonably possible, the claimant would seek consequential damages. A failure to cover when possible would bar both an award of consequential damages and of market damages. And there you have it. </w:t>
      </w:r>
    </w:p>
    <w:p w14:paraId="40AC8E57" w14:textId="77777777" w:rsidR="00FA4FA5" w:rsidRDefault="000B5632" w:rsidP="006E2D0C">
      <w:r w:rsidRPr="006E2D0C">
        <w:tab/>
      </w:r>
    </w:p>
    <w:p w14:paraId="42904460" w14:textId="36DD7613" w:rsidR="000B5632" w:rsidRPr="006E2D0C" w:rsidRDefault="000B5632" w:rsidP="006E2D0C">
      <w:r w:rsidRPr="006E2D0C">
        <w:t>If my argument has any merit, then that so excellent a remedy as cover is to some extent undermined by market damages as a pointless alternative to cover clearly obliges one to ask why the availability of market damages has been allowed, and I now proceed to do so.</w:t>
      </w:r>
    </w:p>
    <w:p w14:paraId="339BE361" w14:textId="77777777" w:rsidR="000B5632" w:rsidRPr="006E2D0C" w:rsidRDefault="000B5632" w:rsidP="006E2D0C"/>
    <w:p w14:paraId="7A8F0704" w14:textId="62F82D06" w:rsidR="000B5632" w:rsidRPr="00FA4FA5" w:rsidRDefault="00FA4FA5" w:rsidP="006E2D0C">
      <w:pPr>
        <w:pStyle w:val="Heading3"/>
        <w:jc w:val="left"/>
        <w:rPr>
          <w:b/>
          <w:sz w:val="28"/>
          <w:szCs w:val="28"/>
        </w:rPr>
      </w:pPr>
      <w:r w:rsidRPr="00FA4FA5">
        <w:rPr>
          <w:b/>
          <w:caps w:val="0"/>
          <w:sz w:val="28"/>
          <w:szCs w:val="28"/>
        </w:rPr>
        <w:t>The justification of</w:t>
      </w:r>
      <w:r w:rsidR="00BC0FF7" w:rsidRPr="00FA4FA5">
        <w:rPr>
          <w:b/>
          <w:sz w:val="28"/>
          <w:szCs w:val="28"/>
        </w:rPr>
        <w:t xml:space="preserve"> </w:t>
      </w:r>
      <w:r w:rsidRPr="00FA4FA5">
        <w:rPr>
          <w:b/>
          <w:caps w:val="0"/>
          <w:sz w:val="28"/>
          <w:szCs w:val="28"/>
        </w:rPr>
        <w:t>market damages</w:t>
      </w:r>
      <w:r w:rsidR="00BC0FF7" w:rsidRPr="00FA4FA5">
        <w:rPr>
          <w:b/>
          <w:sz w:val="28"/>
          <w:szCs w:val="28"/>
        </w:rPr>
        <w:t xml:space="preserve"> (1):</w:t>
      </w:r>
      <w:r>
        <w:rPr>
          <w:b/>
          <w:sz w:val="28"/>
          <w:szCs w:val="28"/>
        </w:rPr>
        <w:t xml:space="preserve"> </w:t>
      </w:r>
      <w:r>
        <w:rPr>
          <w:b/>
          <w:caps w:val="0"/>
          <w:sz w:val="28"/>
          <w:szCs w:val="28"/>
        </w:rPr>
        <w:t>v</w:t>
      </w:r>
      <w:r w:rsidRPr="00FA4FA5">
        <w:rPr>
          <w:b/>
          <w:caps w:val="0"/>
          <w:sz w:val="28"/>
          <w:szCs w:val="28"/>
        </w:rPr>
        <w:t>indication of rights</w:t>
      </w:r>
    </w:p>
    <w:p w14:paraId="690781E7" w14:textId="77777777" w:rsidR="00FA4FA5" w:rsidRDefault="00FA4FA5" w:rsidP="006E2D0C"/>
    <w:p w14:paraId="5C0D2328" w14:textId="3EB5B379" w:rsidR="000B5632" w:rsidRPr="006E2D0C" w:rsidRDefault="000B5632" w:rsidP="006E2D0C">
      <w:r w:rsidRPr="006E2D0C">
        <w:t>The English law of market damages under SoGA s</w:t>
      </w:r>
      <w:r w:rsidR="004275A1">
        <w:t>ection</w:t>
      </w:r>
      <w:r w:rsidRPr="006E2D0C">
        <w:t xml:space="preserve"> 51 is confused to such an extent that one seeks in vain to find, either in the decided cases or in the secondary literature, a coherent discussion of the policy issue which is addressed in this chapter: whether market damages should be available when the buyer does not use them to cover but instead to obtain a windfall profit from manipulation of prices on a rising market.</w:t>
      </w:r>
      <w:r w:rsidR="00BC0FF7" w:rsidRPr="006E2D0C">
        <w:t xml:space="preserve"> </w:t>
      </w:r>
      <w:r w:rsidR="00A32751" w:rsidRPr="006E2D0C">
        <w:t>I</w:t>
      </w:r>
      <w:r w:rsidRPr="006E2D0C">
        <w:t xml:space="preserve">n </w:t>
      </w:r>
      <w:r w:rsidR="00BC0FF7" w:rsidRPr="006E2D0C">
        <w:t xml:space="preserve">such </w:t>
      </w:r>
      <w:r w:rsidRPr="006E2D0C">
        <w:t xml:space="preserve">discussion as </w:t>
      </w:r>
      <w:r w:rsidR="00A32751" w:rsidRPr="006E2D0C">
        <w:t xml:space="preserve">there is, one can detect </w:t>
      </w:r>
      <w:r w:rsidRPr="006E2D0C">
        <w:t xml:space="preserve">a scepticism about the value of mitigation. In some cases, market damages will lead to the buyer obtaining damages in excess of his expectation, but so what? Those damages arise from the buyer’s rights </w:t>
      </w:r>
      <w:r w:rsidRPr="006E2D0C">
        <w:lastRenderedPageBreak/>
        <w:t>under the contr</w:t>
      </w:r>
      <w:r w:rsidR="00533F01" w:rsidRPr="006E2D0C">
        <w:t>act, and it</w:t>
      </w:r>
      <w:r w:rsidRPr="006E2D0C">
        <w:t xml:space="preserve"> is perfectly justified in pursuing </w:t>
      </w:r>
      <w:r w:rsidR="00675DEE">
        <w:t>its</w:t>
      </w:r>
      <w:r w:rsidRPr="006E2D0C">
        <w:t xml:space="preserve"> self-interest by fully exercising those rights. In the leading English work on damages, Mr McGregor unproblematically maintains that a buyer need not go into the market after anticipatory repudiation but ‘is entitled to sit back on</w:t>
      </w:r>
      <w:r w:rsidR="00533F01" w:rsidRPr="006E2D0C">
        <w:t xml:space="preserve"> a</w:t>
      </w:r>
      <w:r w:rsidR="002C58BC">
        <w:t xml:space="preserve"> rising market’ because, as it </w:t>
      </w:r>
      <w:r w:rsidR="00533F01" w:rsidRPr="006E2D0C">
        <w:t xml:space="preserve">has </w:t>
      </w:r>
      <w:r w:rsidR="002C58BC">
        <w:t>‘</w:t>
      </w:r>
      <w:r w:rsidR="00533F01" w:rsidRPr="006E2D0C">
        <w:t>no duty to mitigate’, it</w:t>
      </w:r>
      <w:r w:rsidRPr="006E2D0C">
        <w:t xml:space="preserve"> ‘is not holding the seller to ransom her</w:t>
      </w:r>
      <w:r w:rsidR="00533F01" w:rsidRPr="006E2D0C">
        <w:t>e’, when this is exactly what it</w:t>
      </w:r>
      <w:r w:rsidRPr="006E2D0C">
        <w:t xml:space="preserve"> is doing.</w:t>
      </w:r>
      <w:bookmarkStart w:id="14" w:name="_Ref364083162"/>
      <w:r w:rsidRPr="006E2D0C">
        <w:rPr>
          <w:rStyle w:val="FootnoteReference"/>
        </w:rPr>
        <w:footnoteReference w:id="54"/>
      </w:r>
      <w:bookmarkEnd w:id="14"/>
      <w:r w:rsidRPr="006E2D0C">
        <w:t xml:space="preserve"> In the leading English work on commercial law in general, Professor Goode tells us that, when the buyer purchases a substitute at below the market price, </w:t>
      </w:r>
      <w:r w:rsidR="00533F01" w:rsidRPr="006E2D0C">
        <w:t>it</w:t>
      </w:r>
      <w:r w:rsidRPr="006E2D0C">
        <w:t xml:space="preserve"> is still entitled to c</w:t>
      </w:r>
      <w:r w:rsidR="00533F01" w:rsidRPr="006E2D0C">
        <w:t>laim the market price, though it</w:t>
      </w:r>
      <w:r w:rsidRPr="006E2D0C">
        <w:t xml:space="preserve"> has lost nothing and this will constitute a windfall irreconcilable with </w:t>
      </w:r>
      <w:r w:rsidRPr="006E2D0C">
        <w:rPr>
          <w:i/>
        </w:rPr>
        <w:t>Robinson v Harman</w:t>
      </w:r>
      <w:r w:rsidRPr="006E2D0C">
        <w:t>, because ‘[t]he seller, it is said, is not entitled to have his own damages diminished by the buyer’s own efforts to minimise his loss’, though ‘in general contract law that is precisely what the guilty party is entitled to demand’.</w:t>
      </w:r>
      <w:r w:rsidRPr="006E2D0C">
        <w:rPr>
          <w:rStyle w:val="FootnoteReference"/>
        </w:rPr>
        <w:footnoteReference w:id="55"/>
      </w:r>
    </w:p>
    <w:p w14:paraId="019D194A" w14:textId="77777777" w:rsidR="004847BE" w:rsidRDefault="000B5632" w:rsidP="006E2D0C">
      <w:r w:rsidRPr="006E2D0C">
        <w:tab/>
      </w:r>
    </w:p>
    <w:p w14:paraId="7F0A955C" w14:textId="02DFD120" w:rsidR="000B5632" w:rsidRDefault="000B5632" w:rsidP="006E2D0C">
      <w:r w:rsidRPr="006E2D0C">
        <w:t xml:space="preserve">In general, Goode has lent his great authority to the claim that the market price rule is justified because it ‘has the advantage of simplicity and of a greater measure of certainty’, ultimately because ‘[s]ales law is probably the one area in which … the mitigation principles that apply to other contracts cannot on the whole work </w:t>
      </w:r>
      <w:r w:rsidRPr="006E2D0C">
        <w:lastRenderedPageBreak/>
        <w:t>effectively … because the task of establishing the causal connection between breach and acts supposedly in mitigation is so great’.</w:t>
      </w:r>
      <w:r w:rsidRPr="006E2D0C">
        <w:rPr>
          <w:rStyle w:val="FootnoteReference"/>
        </w:rPr>
        <w:footnoteReference w:id="56"/>
      </w:r>
      <w:r w:rsidRPr="006E2D0C">
        <w:t xml:space="preserve"> This task arises because:</w:t>
      </w:r>
    </w:p>
    <w:p w14:paraId="75DF4AA0" w14:textId="77777777" w:rsidR="004847BE" w:rsidRPr="006E2D0C" w:rsidRDefault="004847BE" w:rsidP="006E2D0C"/>
    <w:p w14:paraId="5410F6D6" w14:textId="77777777" w:rsidR="000B5632" w:rsidRPr="006E2D0C" w:rsidRDefault="000B5632" w:rsidP="004847BE">
      <w:pPr>
        <w:pStyle w:val="Quote"/>
        <w:tabs>
          <w:tab w:val="clear" w:pos="1134"/>
        </w:tabs>
        <w:spacing w:after="0" w:line="480" w:lineRule="auto"/>
        <w:ind w:left="709"/>
      </w:pPr>
      <w:r w:rsidRPr="006E2D0C">
        <w:t>the defendant has to show that [the steps taken] were not merely acts independent of the breach which the innocent party had intended to perform anyway; and the</w:t>
      </w:r>
      <w:r w:rsidR="00BC0FF7" w:rsidRPr="006E2D0C">
        <w:t xml:space="preserve"> longer the gap between the due</w:t>
      </w:r>
      <w:r w:rsidRPr="006E2D0C">
        <w:t xml:space="preserve"> performance date and date of the action alleged to be in mitigation, the harder it becomes for the guilty party to show that such action was connected to the breach at all. Where a commercial buyer makes regular purchases on the market, it becomes extremely difficult to say that a purchase made, say, a week after the original seller’s failure to deliver was intended as a substitute for the original contract goods rather than as a wholly independent transaction. Moreover, if a series of such purchases is made, which of them is to be taken as a substitute for the goods which the original seller failed to deliver? The market price rule, rigid though it is, cuts through the difficulties of causal connection by … looking at the market price at [the due date of delivery].</w:t>
      </w:r>
      <w:r w:rsidRPr="006E2D0C">
        <w:rPr>
          <w:rStyle w:val="FootnoteReference"/>
        </w:rPr>
        <w:footnoteReference w:id="57"/>
      </w:r>
    </w:p>
    <w:p w14:paraId="5F6676AA" w14:textId="77777777" w:rsidR="004847BE" w:rsidRDefault="000B5632" w:rsidP="006E2D0C">
      <w:r w:rsidRPr="006E2D0C">
        <w:tab/>
      </w:r>
    </w:p>
    <w:p w14:paraId="29DA58DE" w14:textId="22F77458" w:rsidR="000B5632" w:rsidRPr="006E2D0C" w:rsidRDefault="000B5632" w:rsidP="006E2D0C">
      <w:r w:rsidRPr="006E2D0C">
        <w:t xml:space="preserve">With the greatest respect, this is an extraordinary thing to say of a rule for </w:t>
      </w:r>
      <w:r w:rsidR="00B3664A" w:rsidRPr="006E2D0C">
        <w:t xml:space="preserve">quantifying </w:t>
      </w:r>
      <w:r w:rsidRPr="006E2D0C">
        <w:t xml:space="preserve">damages which, by making the avoidance of consequential loss the basis of </w:t>
      </w:r>
      <w:r w:rsidRPr="006E2D0C">
        <w:rPr>
          <w:i/>
        </w:rPr>
        <w:t>prima facie</w:t>
      </w:r>
      <w:r w:rsidRPr="006E2D0C">
        <w:t xml:space="preserve"> </w:t>
      </w:r>
      <w:r w:rsidR="00B3664A" w:rsidRPr="006E2D0C">
        <w:t>quantification</w:t>
      </w:r>
      <w:r w:rsidRPr="006E2D0C">
        <w:t xml:space="preserve">, </w:t>
      </w:r>
      <w:r w:rsidRPr="006E2D0C">
        <w:rPr>
          <w:i/>
        </w:rPr>
        <w:t>is</w:t>
      </w:r>
      <w:r w:rsidRPr="006E2D0C">
        <w:t xml:space="preserve"> a mitigation rule. Surely the issue has to be making the mitigation rule work, not claiming that it is irrelevant. And, with very considerable </w:t>
      </w:r>
      <w:r w:rsidRPr="006E2D0C">
        <w:lastRenderedPageBreak/>
        <w:t xml:space="preserve">hesitation in the face of this authority, I suggest that, if the policy I put forward here is adopted, the difficulties which analytically arise from allowing market damages </w:t>
      </w:r>
      <w:r w:rsidR="00B3664A" w:rsidRPr="006E2D0C">
        <w:t xml:space="preserve">as an </w:t>
      </w:r>
      <w:r w:rsidRPr="006E2D0C">
        <w:t>alternative to cover</w:t>
      </w:r>
      <w:r w:rsidR="00B3664A" w:rsidRPr="006E2D0C">
        <w:t xml:space="preserve"> </w:t>
      </w:r>
      <w:r w:rsidRPr="006E2D0C">
        <w:t>will disappear. To consistently look at things this way, however, one has to recognise that the co-operative remedial response institutionalised as cover is the basis of the parties’ contractual relationship, and not, as Goode does, think the untrammelled pursuit of self-interest is legitimate, even if, as Goode fully realises,</w:t>
      </w:r>
      <w:r w:rsidRPr="006E2D0C">
        <w:rPr>
          <w:rStyle w:val="FootnoteReference"/>
        </w:rPr>
        <w:footnoteReference w:id="58"/>
      </w:r>
      <w:r w:rsidRPr="006E2D0C">
        <w:t xml:space="preserve"> one then has to bring in a number of </w:t>
      </w:r>
      <w:r w:rsidRPr="006E2D0C">
        <w:rPr>
          <w:i/>
        </w:rPr>
        <w:t>ad hoc</w:t>
      </w:r>
      <w:r w:rsidRPr="006E2D0C">
        <w:t xml:space="preserve"> good faith limits to that pursuit to deal with the unwelcome consequences.</w:t>
      </w:r>
    </w:p>
    <w:p w14:paraId="123ED477" w14:textId="77777777" w:rsidR="004847BE" w:rsidRDefault="000B5632" w:rsidP="006E2D0C">
      <w:r w:rsidRPr="006E2D0C">
        <w:tab/>
      </w:r>
    </w:p>
    <w:p w14:paraId="3890106B" w14:textId="0F6981EB" w:rsidR="000B5632" w:rsidRDefault="000B5632" w:rsidP="006E2D0C">
      <w:r w:rsidRPr="006E2D0C">
        <w:t>Consideration of the centrepiece of the US literature brings us considerably closer to the analytically essential issue. In their leading work on the UCC, which I am surely not alone in finding a continuous source of insight into the background competing values which inform the Code, White and Summers tell us that:</w:t>
      </w:r>
    </w:p>
    <w:p w14:paraId="5DA9E00C" w14:textId="77777777" w:rsidR="004847BE" w:rsidRPr="006E2D0C" w:rsidRDefault="004847BE" w:rsidP="006E2D0C"/>
    <w:p w14:paraId="09D2B590" w14:textId="77777777" w:rsidR="000B5632" w:rsidRDefault="000B5632" w:rsidP="004847BE">
      <w:pPr>
        <w:pStyle w:val="Quote"/>
        <w:tabs>
          <w:tab w:val="clear" w:pos="1134"/>
        </w:tabs>
        <w:spacing w:after="0" w:line="480" w:lineRule="auto"/>
        <w:ind w:left="709"/>
      </w:pPr>
      <w:r w:rsidRPr="006E2D0C">
        <w:t xml:space="preserve">perhaps the best … explanation of 2-713 is that it is a statutory liquidated damages clause, a breach inhibitor the payout of which need bear no close relation to the plaintiff’s actual loss. This explanation … is consistent with the </w:t>
      </w:r>
      <w:r w:rsidRPr="006E2D0C">
        <w:lastRenderedPageBreak/>
        <w:t>beliefs that plaintiffs recover too little and too infrequently for the threat of damages to be an optimal deterrent.</w:t>
      </w:r>
      <w:r w:rsidRPr="006E2D0C">
        <w:rPr>
          <w:rStyle w:val="FootnoteReference"/>
        </w:rPr>
        <w:footnoteReference w:id="59"/>
      </w:r>
    </w:p>
    <w:p w14:paraId="590517BB" w14:textId="77777777" w:rsidR="004847BE" w:rsidRPr="004847BE" w:rsidRDefault="004847BE" w:rsidP="004847BE"/>
    <w:p w14:paraId="738BFCDF" w14:textId="77777777" w:rsidR="000B5632" w:rsidRPr="006E2D0C" w:rsidRDefault="000B5632" w:rsidP="006E2D0C">
      <w:r w:rsidRPr="006E2D0C">
        <w:t>This sums up the argument for preservation of § 2-713 which is made extensively within the US academic literature,</w:t>
      </w:r>
      <w:r w:rsidRPr="006E2D0C">
        <w:rPr>
          <w:rStyle w:val="FootnoteReference"/>
        </w:rPr>
        <w:footnoteReference w:id="60"/>
      </w:r>
      <w:r w:rsidRPr="006E2D0C">
        <w:t xml:space="preserve"> and for which there is some authority, in the form of </w:t>
      </w:r>
      <w:r w:rsidRPr="006E2D0C">
        <w:rPr>
          <w:i/>
        </w:rPr>
        <w:t>dicta</w:t>
      </w:r>
      <w:r w:rsidRPr="006E2D0C">
        <w:t xml:space="preserve"> at least, in the decided cases</w:t>
      </w:r>
      <w:r w:rsidR="00767D0A" w:rsidRPr="006E2D0C">
        <w:t xml:space="preserve"> which White and Summers cite</w:t>
      </w:r>
      <w:r w:rsidRPr="006E2D0C">
        <w:t>.</w:t>
      </w:r>
    </w:p>
    <w:p w14:paraId="336C45F0" w14:textId="77777777" w:rsidR="004847BE" w:rsidRDefault="000B5632" w:rsidP="006E2D0C">
      <w:r w:rsidRPr="006E2D0C">
        <w:tab/>
      </w:r>
    </w:p>
    <w:p w14:paraId="5C70F39E" w14:textId="0DA67D3D" w:rsidR="000B5632" w:rsidRPr="006E2D0C" w:rsidRDefault="000B5632" w:rsidP="006E2D0C">
      <w:r w:rsidRPr="006E2D0C">
        <w:t>But</w:t>
      </w:r>
      <w:r w:rsidR="003B4BAF">
        <w:t>,</w:t>
      </w:r>
      <w:r w:rsidRPr="006E2D0C">
        <w:t xml:space="preserve"> that White and Summers penetratingly capture the thinking behind § 2-713</w:t>
      </w:r>
      <w:r w:rsidR="003B4BAF">
        <w:t>,</w:t>
      </w:r>
      <w:r w:rsidRPr="006E2D0C">
        <w:t xml:space="preserve"> does not make that thinking more palatable. As with all contracts, the parties to a sale obtain security of expectation by giving their economic exchange relationship the legal form of a contract. In the paradigm case of a sale of generic goods, after seller’s breach that expectation will be protected at least cost to the seller by the buyer effecting cover, and this is the default remedy, from which they both benefit, that the parties agree. There can be no contractual justification for ‘a … liquidated damages clause … which need bear no close relation to the plaintiff’s actual loss’, save when contract is regarded as merely a means by which a buyer may, after agreeing to respect the seller’s interest, pursue its </w:t>
      </w:r>
      <w:r w:rsidR="00BB2860">
        <w:t xml:space="preserve">own </w:t>
      </w:r>
      <w:r w:rsidRPr="006E2D0C">
        <w:t>untrammelled self-interest in compl</w:t>
      </w:r>
      <w:r w:rsidR="00BB2860">
        <w:t>ete disregard of that interest</w:t>
      </w:r>
      <w:r w:rsidRPr="006E2D0C">
        <w:t xml:space="preserve">. § 2-712 gives legal expression to the essentially co-operative nature of the law. The independent existence of § 2-713 gives legal </w:t>
      </w:r>
      <w:r w:rsidRPr="006E2D0C">
        <w:lastRenderedPageBreak/>
        <w:t>expression to quite the other thing (as well as to other problems). It should, it is suggested, be removed from Art</w:t>
      </w:r>
      <w:r w:rsidR="00192577">
        <w:t>icle</w:t>
      </w:r>
      <w:r w:rsidRPr="006E2D0C">
        <w:t xml:space="preserve"> 2. SoGA s</w:t>
      </w:r>
      <w:r w:rsidR="00192577">
        <w:t>ection</w:t>
      </w:r>
      <w:r w:rsidRPr="006E2D0C">
        <w:t xml:space="preserve"> 51 is not as sophisticated as § 2-712 and a parallel reform would involve its complete re-enactment. </w:t>
      </w:r>
    </w:p>
    <w:p w14:paraId="743ED0EF" w14:textId="77777777" w:rsidR="000B5632" w:rsidRPr="006E2D0C" w:rsidRDefault="000B5632" w:rsidP="006E2D0C"/>
    <w:p w14:paraId="0BD167FC" w14:textId="7D7E7A37" w:rsidR="000B5632" w:rsidRPr="004847BE" w:rsidRDefault="004847BE" w:rsidP="006E2D0C">
      <w:pPr>
        <w:pStyle w:val="Heading3"/>
        <w:jc w:val="left"/>
        <w:rPr>
          <w:b/>
          <w:sz w:val="28"/>
          <w:szCs w:val="28"/>
        </w:rPr>
      </w:pPr>
      <w:r w:rsidRPr="004847BE">
        <w:rPr>
          <w:b/>
          <w:caps w:val="0"/>
          <w:sz w:val="28"/>
          <w:szCs w:val="28"/>
        </w:rPr>
        <w:t>The justification of market damages (2): commodities trading</w:t>
      </w:r>
    </w:p>
    <w:p w14:paraId="09D1BFAF" w14:textId="77777777" w:rsidR="004847BE" w:rsidRPr="004847BE" w:rsidRDefault="004847BE" w:rsidP="004847BE"/>
    <w:p w14:paraId="7B8EF1D4" w14:textId="78EEF646" w:rsidR="009E699D" w:rsidRPr="006E2D0C" w:rsidRDefault="00C234B7" w:rsidP="006E2D0C">
      <w:r w:rsidRPr="006E2D0C">
        <w:t xml:space="preserve">When I conceived of the argument of this chapter, I did so </w:t>
      </w:r>
      <w:r w:rsidR="009E699D" w:rsidRPr="006E2D0C">
        <w:t xml:space="preserve">as an academic researcher into the law of contract holding the </w:t>
      </w:r>
      <w:r w:rsidR="00346055" w:rsidRPr="006E2D0C">
        <w:t xml:space="preserve">belief </w:t>
      </w:r>
      <w:r w:rsidRPr="006E2D0C">
        <w:t>that it would be both possible and helpful to separ</w:t>
      </w:r>
      <w:r w:rsidR="00DA2704" w:rsidRPr="006E2D0C">
        <w:t>ate what I will call the ‘sales</w:t>
      </w:r>
      <w:r w:rsidRPr="006E2D0C">
        <w:t xml:space="preserve"> perspective</w:t>
      </w:r>
      <w:r w:rsidR="00DA2704" w:rsidRPr="006E2D0C">
        <w:t>’</w:t>
      </w:r>
      <w:r w:rsidRPr="006E2D0C">
        <w:t xml:space="preserve"> from the ‘trading perspective’. The </w:t>
      </w:r>
      <w:r w:rsidR="000B5632" w:rsidRPr="006E2D0C">
        <w:t xml:space="preserve">assumption </w:t>
      </w:r>
      <w:r w:rsidRPr="006E2D0C">
        <w:t xml:space="preserve">on which the sales perspective rests is </w:t>
      </w:r>
      <w:r w:rsidR="000B5632" w:rsidRPr="006E2D0C">
        <w:t xml:space="preserve">that the ultimate purpose of the contract is the transfer of possession of goods. Though </w:t>
      </w:r>
      <w:r w:rsidR="00DA2704" w:rsidRPr="006E2D0C">
        <w:t xml:space="preserve">by </w:t>
      </w:r>
      <w:r w:rsidR="000B5632" w:rsidRPr="006E2D0C">
        <w:t>no</w:t>
      </w:r>
      <w:r w:rsidR="00DA2704" w:rsidRPr="006E2D0C">
        <w:t xml:space="preserve"> means </w:t>
      </w:r>
      <w:r w:rsidR="000B5632" w:rsidRPr="006E2D0C">
        <w:t>essential to the legal concept of sale, which</w:t>
      </w:r>
      <w:r w:rsidR="001A004A">
        <w:t xml:space="preserve"> is based on transfer of title (</w:t>
      </w:r>
      <w:r w:rsidR="000B5632" w:rsidRPr="006E2D0C">
        <w:t>to which possession is an incident</w:t>
      </w:r>
      <w:r w:rsidR="001A004A">
        <w:t>)</w:t>
      </w:r>
      <w:r w:rsidR="000B5632" w:rsidRPr="006E2D0C">
        <w:t>, transfer of possession</w:t>
      </w:r>
      <w:r w:rsidRPr="006E2D0C">
        <w:t xml:space="preserve">, </w:t>
      </w:r>
      <w:r w:rsidR="00C43235" w:rsidRPr="006E2D0C">
        <w:t xml:space="preserve">so that the goods may be used </w:t>
      </w:r>
      <w:r w:rsidR="005C2F1E" w:rsidRPr="006E2D0C">
        <w:t xml:space="preserve">to realise a profit through </w:t>
      </w:r>
      <w:r w:rsidRPr="006E2D0C">
        <w:t>producti</w:t>
      </w:r>
      <w:r w:rsidR="005C2F1E" w:rsidRPr="006E2D0C">
        <w:t>ve use (or consumed by consumers)</w:t>
      </w:r>
      <w:r w:rsidR="009E699D" w:rsidRPr="006E2D0C">
        <w:t>,</w:t>
      </w:r>
      <w:r w:rsidRPr="006E2D0C">
        <w:t xml:space="preserve"> </w:t>
      </w:r>
      <w:r w:rsidR="000B5632" w:rsidRPr="006E2D0C">
        <w:t xml:space="preserve">is analytically </w:t>
      </w:r>
      <w:r w:rsidR="00C43235" w:rsidRPr="006E2D0C">
        <w:t>integral</w:t>
      </w:r>
      <w:r w:rsidR="000B5632" w:rsidRPr="006E2D0C">
        <w:t xml:space="preserve"> to the </w:t>
      </w:r>
      <w:r w:rsidR="00346055" w:rsidRPr="006E2D0C">
        <w:t xml:space="preserve">fundamental </w:t>
      </w:r>
      <w:r w:rsidR="000B5632" w:rsidRPr="006E2D0C">
        <w:t xml:space="preserve">economic exchange which the law of </w:t>
      </w:r>
      <w:r w:rsidR="009E699D" w:rsidRPr="006E2D0C">
        <w:t xml:space="preserve">contract, including </w:t>
      </w:r>
      <w:r w:rsidR="000B5632" w:rsidRPr="006E2D0C">
        <w:t>sales</w:t>
      </w:r>
      <w:r w:rsidR="009E699D" w:rsidRPr="006E2D0C">
        <w:t>,</w:t>
      </w:r>
      <w:r w:rsidR="000B5632" w:rsidRPr="006E2D0C">
        <w:t xml:space="preserve"> institutionalises. </w:t>
      </w:r>
      <w:r w:rsidR="009E699D" w:rsidRPr="006E2D0C">
        <w:t>This chapter is written from this sales perspective.</w:t>
      </w:r>
      <w:r w:rsidR="005C2F1E" w:rsidRPr="006E2D0C">
        <w:t xml:space="preserve"> I believe the chapter’s argument for abolishing market damages as an alternative to cover is a good one when assessed from this perspective. </w:t>
      </w:r>
      <w:r w:rsidR="00346055" w:rsidRPr="006E2D0C">
        <w:t xml:space="preserve">However, </w:t>
      </w:r>
      <w:r w:rsidR="005C2F1E" w:rsidRPr="006E2D0C">
        <w:t>in the course of writing the c</w:t>
      </w:r>
      <w:r w:rsidR="001A004A">
        <w:t xml:space="preserve">hapter, particularly in light of comments I </w:t>
      </w:r>
      <w:r w:rsidR="005C2F1E" w:rsidRPr="006E2D0C">
        <w:t xml:space="preserve">received on it in draft, I have </w:t>
      </w:r>
      <w:r w:rsidR="00346055" w:rsidRPr="006E2D0C">
        <w:t>relinquished my belief</w:t>
      </w:r>
      <w:r w:rsidR="005C2F1E" w:rsidRPr="006E2D0C">
        <w:t xml:space="preserve"> that the separation of the sales and trading perspectives is possible.</w:t>
      </w:r>
    </w:p>
    <w:p w14:paraId="78239294" w14:textId="77777777" w:rsidR="004847BE" w:rsidRDefault="009E699D" w:rsidP="006E2D0C">
      <w:r w:rsidRPr="006E2D0C">
        <w:tab/>
      </w:r>
    </w:p>
    <w:p w14:paraId="35E05691" w14:textId="471F5863" w:rsidR="00FB53E6" w:rsidRPr="006E2D0C" w:rsidRDefault="00C43235" w:rsidP="006E2D0C">
      <w:r w:rsidRPr="006E2D0C">
        <w:t xml:space="preserve">Forward </w:t>
      </w:r>
      <w:r w:rsidR="00764EA2" w:rsidRPr="006E2D0C">
        <w:t xml:space="preserve">or futures </w:t>
      </w:r>
      <w:r w:rsidRPr="006E2D0C">
        <w:t xml:space="preserve">contracts may be made by buyers and sellers which are </w:t>
      </w:r>
      <w:r w:rsidR="00BD00E8" w:rsidRPr="006E2D0C">
        <w:t>trad</w:t>
      </w:r>
      <w:r w:rsidR="00A056DA" w:rsidRPr="006E2D0C">
        <w:t xml:space="preserve">ing </w:t>
      </w:r>
      <w:r w:rsidR="00BD00E8" w:rsidRPr="006E2D0C">
        <w:t xml:space="preserve">to hedge </w:t>
      </w:r>
      <w:r w:rsidR="00764EA2" w:rsidRPr="006E2D0C">
        <w:t xml:space="preserve">the risk of price movements in commodities </w:t>
      </w:r>
      <w:r w:rsidRPr="006E2D0C">
        <w:t xml:space="preserve">or </w:t>
      </w:r>
      <w:r w:rsidR="00BD00E8" w:rsidRPr="006E2D0C">
        <w:t>to speculate</w:t>
      </w:r>
      <w:r w:rsidR="00764EA2" w:rsidRPr="006E2D0C">
        <w:t xml:space="preserve"> on those </w:t>
      </w:r>
      <w:r w:rsidR="00764EA2" w:rsidRPr="006E2D0C">
        <w:lastRenderedPageBreak/>
        <w:t>movements</w:t>
      </w:r>
      <w:r w:rsidR="00BD00E8" w:rsidRPr="006E2D0C">
        <w:t xml:space="preserve">. </w:t>
      </w:r>
      <w:r w:rsidR="00A056DA" w:rsidRPr="006E2D0C">
        <w:t xml:space="preserve">To such traders, </w:t>
      </w:r>
      <w:r w:rsidR="00764EA2" w:rsidRPr="006E2D0C">
        <w:t xml:space="preserve">possession is a remote or irrelevant concern and their contracts </w:t>
      </w:r>
      <w:r w:rsidR="00491684" w:rsidRPr="006E2D0C">
        <w:t xml:space="preserve">have to some or a very preponderant degree the </w:t>
      </w:r>
      <w:r w:rsidR="00764EA2" w:rsidRPr="006E2D0C">
        <w:t>characteristic</w:t>
      </w:r>
      <w:r w:rsidR="00491684" w:rsidRPr="006E2D0C">
        <w:t>s</w:t>
      </w:r>
      <w:r w:rsidR="00764EA2" w:rsidRPr="006E2D0C">
        <w:t xml:space="preserve"> of </w:t>
      </w:r>
      <w:r w:rsidR="00491684" w:rsidRPr="006E2D0C">
        <w:t xml:space="preserve">a </w:t>
      </w:r>
      <w:r w:rsidR="00764EA2" w:rsidRPr="006E2D0C">
        <w:t>purely</w:t>
      </w:r>
      <w:r w:rsidR="00491684" w:rsidRPr="006E2D0C">
        <w:t xml:space="preserve"> financial asset</w:t>
      </w:r>
      <w:r w:rsidR="00764EA2" w:rsidRPr="006E2D0C">
        <w:t xml:space="preserve"> </w:t>
      </w:r>
      <w:r w:rsidR="00491684" w:rsidRPr="006E2D0C">
        <w:t>rather than of a sale of goods</w:t>
      </w:r>
      <w:r w:rsidR="00B3664A" w:rsidRPr="006E2D0C">
        <w:t xml:space="preserve"> as it institutionalises fundamental economic exchange</w:t>
      </w:r>
      <w:r w:rsidR="00491684" w:rsidRPr="006E2D0C">
        <w:t xml:space="preserve">. Though the essence of hedging and speculation </w:t>
      </w:r>
      <w:r w:rsidR="00504090" w:rsidRPr="006E2D0C">
        <w:t xml:space="preserve">could be said to be </w:t>
      </w:r>
      <w:r w:rsidR="00491684" w:rsidRPr="006E2D0C">
        <w:t>the substitution of one contract</w:t>
      </w:r>
      <w:r w:rsidR="00504090" w:rsidRPr="006E2D0C">
        <w:t xml:space="preserve"> for another</w:t>
      </w:r>
      <w:r w:rsidR="00491684" w:rsidRPr="006E2D0C">
        <w:t xml:space="preserve">, </w:t>
      </w:r>
      <w:r w:rsidR="00504090" w:rsidRPr="006E2D0C">
        <w:t xml:space="preserve">such substitution is not </w:t>
      </w:r>
      <w:r w:rsidR="00346055" w:rsidRPr="006E2D0C">
        <w:t xml:space="preserve">made </w:t>
      </w:r>
      <w:r w:rsidR="00504090" w:rsidRPr="006E2D0C">
        <w:t>in order to cover in the sense of obtaining substitute goods but in order to realise the financial value of the contract regarded</w:t>
      </w:r>
      <w:r w:rsidR="00346055" w:rsidRPr="006E2D0C">
        <w:t xml:space="preserve"> </w:t>
      </w:r>
      <w:r w:rsidR="00504090" w:rsidRPr="006E2D0C">
        <w:t xml:space="preserve">as </w:t>
      </w:r>
      <w:r w:rsidR="00FB53E6" w:rsidRPr="006E2D0C">
        <w:t>an end in itself.</w:t>
      </w:r>
      <w:r w:rsidR="005C2F1E" w:rsidRPr="006E2D0C">
        <w:t xml:space="preserve"> The remoteness or irrelevance of possession and the corollary immediate or unmediated pursuit of financial gain identifies the trading perspective.</w:t>
      </w:r>
    </w:p>
    <w:p w14:paraId="32149139" w14:textId="77777777" w:rsidR="004847BE" w:rsidRDefault="00FB53E6" w:rsidP="006E2D0C">
      <w:r w:rsidRPr="006E2D0C">
        <w:tab/>
      </w:r>
    </w:p>
    <w:p w14:paraId="7A65B896" w14:textId="72A27FC4" w:rsidR="00490F07" w:rsidRPr="006E2D0C" w:rsidRDefault="00B51E21" w:rsidP="006E2D0C">
      <w:r w:rsidRPr="006E2D0C">
        <w:t xml:space="preserve">Whilst the attitude towards </w:t>
      </w:r>
      <w:r w:rsidR="00FB53E6" w:rsidRPr="006E2D0C">
        <w:t>mitigation illustrated by reference</w:t>
      </w:r>
      <w:r w:rsidR="00675DEE">
        <w:t>s</w:t>
      </w:r>
      <w:r w:rsidR="00FB53E6" w:rsidRPr="006E2D0C">
        <w:t xml:space="preserve"> to Goode and McGregor in the previous section is </w:t>
      </w:r>
      <w:r w:rsidRPr="006E2D0C">
        <w:t xml:space="preserve">unwise judged from the sales perspective, it is essential to the trading perspective, and indeed </w:t>
      </w:r>
      <w:r w:rsidR="00346055" w:rsidRPr="006E2D0C">
        <w:t xml:space="preserve">one can state that attitude more </w:t>
      </w:r>
      <w:r w:rsidRPr="006E2D0C">
        <w:t xml:space="preserve">strongly. </w:t>
      </w:r>
      <w:r w:rsidR="001548F7" w:rsidRPr="006E2D0C">
        <w:t xml:space="preserve">From the trading perspective, the purpose of market damages is and should be institutionalisation of what Professor Bridge </w:t>
      </w:r>
      <w:r w:rsidR="00EB41ED" w:rsidRPr="006E2D0C">
        <w:t>has called the ‘speculation principle’.</w:t>
      </w:r>
      <w:bookmarkStart w:id="15" w:name="_Ref394565350"/>
      <w:r w:rsidR="00EB41ED" w:rsidRPr="006E2D0C">
        <w:rPr>
          <w:rStyle w:val="FootnoteReference"/>
        </w:rPr>
        <w:footnoteReference w:id="61"/>
      </w:r>
      <w:bookmarkEnd w:id="15"/>
      <w:r w:rsidR="00EB41ED" w:rsidRPr="006E2D0C">
        <w:t xml:space="preserve"> </w:t>
      </w:r>
      <w:r w:rsidR="0001251A" w:rsidRPr="006E2D0C">
        <w:t xml:space="preserve">The ‘market rule’, Bridge tells us, ‘is based on the idea that </w:t>
      </w:r>
      <w:r w:rsidR="003F6BCA" w:rsidRPr="006E2D0C">
        <w:t>a buyer need not go to market’</w:t>
      </w:r>
      <w:r w:rsidR="00FF5A2F" w:rsidRPr="006E2D0C">
        <w:t>.</w:t>
      </w:r>
      <w:r w:rsidR="003F6BCA" w:rsidRPr="006E2D0C">
        <w:rPr>
          <w:rStyle w:val="FootnoteReference"/>
        </w:rPr>
        <w:footnoteReference w:id="62"/>
      </w:r>
      <w:r w:rsidR="003F6BCA" w:rsidRPr="006E2D0C">
        <w:t xml:space="preserve"> </w:t>
      </w:r>
      <w:r w:rsidR="00FF5A2F" w:rsidRPr="006E2D0C">
        <w:t xml:space="preserve">By allowing </w:t>
      </w:r>
      <w:r w:rsidR="003F6BCA" w:rsidRPr="006E2D0C">
        <w:t xml:space="preserve">recovery of purely ‘abstract’ rather than ‘concrete’ </w:t>
      </w:r>
      <w:r w:rsidR="00BB2860">
        <w:t>damages</w:t>
      </w:r>
      <w:r w:rsidR="00A14EAB" w:rsidRPr="006E2D0C">
        <w:t>,</w:t>
      </w:r>
      <w:r w:rsidR="00FF5A2F" w:rsidRPr="006E2D0C">
        <w:t xml:space="preserve"> </w:t>
      </w:r>
      <w:r w:rsidR="00A14EAB" w:rsidRPr="006E2D0C">
        <w:t>‘</w:t>
      </w:r>
      <w:r w:rsidR="00FF5A2F" w:rsidRPr="006E2D0C">
        <w:t>it permits the claimant’s loss to be crystallised as a market position, without a substitute transaction being made’.</w:t>
      </w:r>
      <w:r w:rsidR="00FF5A2F" w:rsidRPr="006E2D0C">
        <w:rPr>
          <w:rStyle w:val="FootnoteReference"/>
        </w:rPr>
        <w:footnoteReference w:id="63"/>
      </w:r>
      <w:r w:rsidR="00FF5A2F" w:rsidRPr="006E2D0C">
        <w:t xml:space="preserve"> </w:t>
      </w:r>
      <w:r w:rsidR="00490F07" w:rsidRPr="006E2D0C">
        <w:t xml:space="preserve">The ‘essential need’ of the buyer </w:t>
      </w:r>
      <w:r w:rsidR="00490F07" w:rsidRPr="006E2D0C">
        <w:lastRenderedPageBreak/>
        <w:t>taking the sales perspective is for substitute goods</w:t>
      </w:r>
      <w:r w:rsidR="001D5139">
        <w:t>,</w:t>
      </w:r>
      <w:r w:rsidR="00490F07" w:rsidRPr="006E2D0C">
        <w:t xml:space="preserve"> </w:t>
      </w:r>
      <w:r w:rsidR="00346055" w:rsidRPr="006E2D0C">
        <w:t xml:space="preserve">the productive use of </w:t>
      </w:r>
      <w:r w:rsidR="00490F07" w:rsidRPr="006E2D0C">
        <w:t>which will allow the</w:t>
      </w:r>
      <w:r w:rsidR="00346055" w:rsidRPr="006E2D0C">
        <w:t xml:space="preserve"> buyer</w:t>
      </w:r>
      <w:r w:rsidR="00490F07" w:rsidRPr="006E2D0C">
        <w:t xml:space="preserve"> to realise </w:t>
      </w:r>
      <w:r w:rsidR="00346055" w:rsidRPr="006E2D0C">
        <w:t xml:space="preserve">its </w:t>
      </w:r>
      <w:r w:rsidR="00490F07" w:rsidRPr="006E2D0C">
        <w:t xml:space="preserve">expectations, and cover satisfies this need at least cost. But hedgers and speculators have no such </w:t>
      </w:r>
      <w:r w:rsidR="00346055" w:rsidRPr="006E2D0C">
        <w:t>essential need</w:t>
      </w:r>
      <w:r w:rsidR="00490F07" w:rsidRPr="006E2D0C">
        <w:t xml:space="preserve">. Their expectation </w:t>
      </w:r>
      <w:r w:rsidR="00C40A1E" w:rsidRPr="006E2D0C">
        <w:t>is immediate or unmediated financial gain from the trade</w:t>
      </w:r>
      <w:r w:rsidR="00490F07" w:rsidRPr="006E2D0C">
        <w:t>s they make</w:t>
      </w:r>
      <w:r w:rsidR="00C40A1E" w:rsidRPr="006E2D0C">
        <w:t xml:space="preserve">, </w:t>
      </w:r>
      <w:r w:rsidR="00490F07" w:rsidRPr="006E2D0C">
        <w:t xml:space="preserve">and </w:t>
      </w:r>
      <w:r w:rsidR="00C40A1E" w:rsidRPr="006E2D0C">
        <w:t xml:space="preserve">market damages </w:t>
      </w:r>
      <w:r w:rsidR="00490F07" w:rsidRPr="006E2D0C">
        <w:t>satisfies this at least cost</w:t>
      </w:r>
      <w:r w:rsidR="00895B8F" w:rsidRPr="006E2D0C">
        <w:t>. C</w:t>
      </w:r>
      <w:r w:rsidR="00490F07" w:rsidRPr="006E2D0C">
        <w:t xml:space="preserve">over </w:t>
      </w:r>
      <w:r w:rsidR="00895B8F" w:rsidRPr="006E2D0C">
        <w:t xml:space="preserve">simply does not naturally arise and could arise only </w:t>
      </w:r>
      <w:r w:rsidR="00FF7371" w:rsidRPr="006E2D0C">
        <w:t xml:space="preserve">from </w:t>
      </w:r>
      <w:r w:rsidR="00895B8F" w:rsidRPr="006E2D0C">
        <w:t xml:space="preserve">the imposition of a needless, indeed </w:t>
      </w:r>
      <w:r w:rsidR="00033F44" w:rsidRPr="006E2D0C">
        <w:t xml:space="preserve">impossible or even meaningless </w:t>
      </w:r>
      <w:r w:rsidR="00895B8F" w:rsidRPr="006E2D0C">
        <w:t xml:space="preserve">in the context of </w:t>
      </w:r>
      <w:r w:rsidR="00FF7371" w:rsidRPr="006E2D0C">
        <w:t>hedging and speculation</w:t>
      </w:r>
      <w:r w:rsidR="00895B8F" w:rsidRPr="006E2D0C">
        <w:t xml:space="preserve">, </w:t>
      </w:r>
      <w:r w:rsidR="00C40A1E" w:rsidRPr="006E2D0C">
        <w:t>cost</w:t>
      </w:r>
      <w:r w:rsidR="00895B8F" w:rsidRPr="006E2D0C">
        <w:t xml:space="preserve"> on claimants</w:t>
      </w:r>
      <w:r w:rsidR="00A66F80" w:rsidRPr="006E2D0C">
        <w:t>.</w:t>
      </w:r>
    </w:p>
    <w:p w14:paraId="4F6D93F8" w14:textId="77777777" w:rsidR="004847BE" w:rsidRDefault="00490F07" w:rsidP="006E2D0C">
      <w:r w:rsidRPr="006E2D0C">
        <w:tab/>
      </w:r>
    </w:p>
    <w:p w14:paraId="2B675060" w14:textId="12783AAC" w:rsidR="00DA2704" w:rsidRPr="006E2D0C" w:rsidRDefault="00895B8F" w:rsidP="006E2D0C">
      <w:r w:rsidRPr="006E2D0C">
        <w:t>If something like the distinction between the sales and trading perspectives</w:t>
      </w:r>
      <w:r w:rsidR="00746DB6" w:rsidRPr="006E2D0C">
        <w:t>, and</w:t>
      </w:r>
      <w:r w:rsidR="001D5139">
        <w:t xml:space="preserve"> the legitimacy of both of the—if it can be put this way—</w:t>
      </w:r>
      <w:r w:rsidR="00746DB6" w:rsidRPr="006E2D0C">
        <w:t xml:space="preserve">opposed senses of expectation </w:t>
      </w:r>
      <w:r w:rsidR="001F613A" w:rsidRPr="006E2D0C">
        <w:t xml:space="preserve">on which </w:t>
      </w:r>
      <w:r w:rsidR="00746DB6" w:rsidRPr="006E2D0C">
        <w:t>each of these perspectives</w:t>
      </w:r>
      <w:r w:rsidR="001F613A" w:rsidRPr="006E2D0C">
        <w:t xml:space="preserve"> rest,</w:t>
      </w:r>
      <w:r w:rsidR="001F613A" w:rsidRPr="006E2D0C">
        <w:rPr>
          <w:rStyle w:val="FootnoteReference"/>
        </w:rPr>
        <w:footnoteReference w:id="64"/>
      </w:r>
      <w:r w:rsidR="001F613A" w:rsidRPr="006E2D0C">
        <w:t xml:space="preserve"> </w:t>
      </w:r>
      <w:r w:rsidR="00746DB6" w:rsidRPr="006E2D0C">
        <w:t xml:space="preserve">are accepted, then unarguably abolition of market damages </w:t>
      </w:r>
      <w:r w:rsidR="00212C4E" w:rsidRPr="006E2D0C">
        <w:t>would be a ‘disaster’</w:t>
      </w:r>
      <w:bookmarkStart w:id="16" w:name="_Ref394840904"/>
      <w:r w:rsidR="008C4E1D" w:rsidRPr="006E2D0C">
        <w:rPr>
          <w:rStyle w:val="FootnoteReference"/>
        </w:rPr>
        <w:footnoteReference w:id="65"/>
      </w:r>
      <w:bookmarkEnd w:id="16"/>
      <w:r w:rsidR="00212C4E" w:rsidRPr="006E2D0C">
        <w:t xml:space="preserve"> as, for the commodities markets to function, ‘it may well be essential to award market damages’.</w:t>
      </w:r>
      <w:bookmarkStart w:id="17" w:name="_Ref278278520"/>
      <w:r w:rsidR="001F613A" w:rsidRPr="006E2D0C">
        <w:rPr>
          <w:rStyle w:val="FootnoteReference"/>
        </w:rPr>
        <w:footnoteReference w:id="66"/>
      </w:r>
      <w:bookmarkEnd w:id="17"/>
      <w:r w:rsidR="00212C4E" w:rsidRPr="006E2D0C">
        <w:t xml:space="preserve"> </w:t>
      </w:r>
      <w:r w:rsidR="007633C1" w:rsidRPr="006E2D0C">
        <w:t>I accept that this is the case, but</w:t>
      </w:r>
      <w:r w:rsidR="00033F44" w:rsidRPr="006E2D0C">
        <w:t xml:space="preserve">, to be </w:t>
      </w:r>
      <w:r w:rsidR="007633C1" w:rsidRPr="006E2D0C">
        <w:t>precise</w:t>
      </w:r>
      <w:r w:rsidR="00033F44" w:rsidRPr="006E2D0C">
        <w:t>, i</w:t>
      </w:r>
      <w:r w:rsidR="007633C1" w:rsidRPr="006E2D0C">
        <w:t xml:space="preserve">t is not the opposition of </w:t>
      </w:r>
      <w:r w:rsidR="00AD2807" w:rsidRPr="006E2D0C">
        <w:t xml:space="preserve">these </w:t>
      </w:r>
      <w:r w:rsidR="00FA523F" w:rsidRPr="006E2D0C">
        <w:t xml:space="preserve">two </w:t>
      </w:r>
      <w:r w:rsidR="00AD2807" w:rsidRPr="006E2D0C">
        <w:t xml:space="preserve">senses </w:t>
      </w:r>
      <w:r w:rsidR="008E73DA" w:rsidRPr="006E2D0C">
        <w:t xml:space="preserve">of expectation </w:t>
      </w:r>
      <w:r w:rsidR="00DA2704" w:rsidRPr="006E2D0C">
        <w:t xml:space="preserve">that </w:t>
      </w:r>
      <w:r w:rsidR="00AD2807" w:rsidRPr="006E2D0C">
        <w:t xml:space="preserve">itself </w:t>
      </w:r>
      <w:r w:rsidR="00DA2704" w:rsidRPr="006E2D0C">
        <w:lastRenderedPageBreak/>
        <w:t xml:space="preserve">gives rise to </w:t>
      </w:r>
      <w:r w:rsidR="00FA523F" w:rsidRPr="006E2D0C">
        <w:t xml:space="preserve">the </w:t>
      </w:r>
      <w:r w:rsidR="00DA2704" w:rsidRPr="006E2D0C">
        <w:t>problems</w:t>
      </w:r>
      <w:r w:rsidR="00FA523F" w:rsidRPr="006E2D0C">
        <w:t xml:space="preserve"> discussed here</w:t>
      </w:r>
      <w:r w:rsidR="001F613A" w:rsidRPr="006E2D0C">
        <w:t xml:space="preserve">. </w:t>
      </w:r>
      <w:r w:rsidR="00DF4F96" w:rsidRPr="006E2D0C">
        <w:t>I</w:t>
      </w:r>
      <w:r w:rsidR="00DA2704" w:rsidRPr="006E2D0C">
        <w:t xml:space="preserve">t is </w:t>
      </w:r>
      <w:r w:rsidR="00DF4F96" w:rsidRPr="006E2D0C">
        <w:t>that</w:t>
      </w:r>
      <w:r w:rsidR="00AD2807" w:rsidRPr="006E2D0C">
        <w:t xml:space="preserve">, </w:t>
      </w:r>
      <w:r w:rsidR="00FA523F" w:rsidRPr="006E2D0C">
        <w:t>though these senses are opposed</w:t>
      </w:r>
      <w:r w:rsidR="00AD2807" w:rsidRPr="006E2D0C">
        <w:t>,</w:t>
      </w:r>
      <w:r w:rsidR="00DF4F96" w:rsidRPr="006E2D0C">
        <w:t xml:space="preserve"> </w:t>
      </w:r>
      <w:r w:rsidR="00D34B02" w:rsidRPr="006E2D0C">
        <w:t xml:space="preserve">they must, on the current law, both be </w:t>
      </w:r>
      <w:r w:rsidR="00AD2807" w:rsidRPr="006E2D0C">
        <w:t>accommodate</w:t>
      </w:r>
      <w:r w:rsidR="00D34B02" w:rsidRPr="006E2D0C">
        <w:t>d</w:t>
      </w:r>
      <w:r w:rsidR="00AD2807" w:rsidRPr="006E2D0C">
        <w:t xml:space="preserve"> </w:t>
      </w:r>
      <w:r w:rsidR="00FA523F" w:rsidRPr="006E2D0C">
        <w:t>in the concept of market damages</w:t>
      </w:r>
      <w:r w:rsidR="00D34B02" w:rsidRPr="006E2D0C">
        <w:t>, and this is not coherently possible</w:t>
      </w:r>
      <w:r w:rsidR="00FA523F" w:rsidRPr="006E2D0C">
        <w:t xml:space="preserve">. </w:t>
      </w:r>
      <w:r w:rsidR="00AD2807" w:rsidRPr="006E2D0C">
        <w:t xml:space="preserve">It </w:t>
      </w:r>
      <w:r w:rsidR="00DF4F96" w:rsidRPr="006E2D0C">
        <w:t xml:space="preserve">is </w:t>
      </w:r>
      <w:r w:rsidR="00FA523F" w:rsidRPr="006E2D0C">
        <w:t xml:space="preserve">no doubt </w:t>
      </w:r>
      <w:r w:rsidR="00AD2807" w:rsidRPr="006E2D0C">
        <w:t xml:space="preserve">true that </w:t>
      </w:r>
      <w:r w:rsidR="00FA523F" w:rsidRPr="006E2D0C">
        <w:t xml:space="preserve">an accommodation of sorts has </w:t>
      </w:r>
      <w:r w:rsidR="00033F44" w:rsidRPr="006E2D0C">
        <w:t xml:space="preserve">often </w:t>
      </w:r>
      <w:r w:rsidR="00FA523F" w:rsidRPr="006E2D0C">
        <w:t xml:space="preserve">been reached because </w:t>
      </w:r>
      <w:r w:rsidR="00346055" w:rsidRPr="006E2D0C">
        <w:t xml:space="preserve">each </w:t>
      </w:r>
      <w:r w:rsidR="00D34B02" w:rsidRPr="006E2D0C">
        <w:t xml:space="preserve">perspective has </w:t>
      </w:r>
      <w:r w:rsidR="00346055" w:rsidRPr="006E2D0C">
        <w:t>been maintained in ignorance</w:t>
      </w:r>
      <w:r w:rsidR="00D34B02" w:rsidRPr="006E2D0C">
        <w:t xml:space="preserve"> of the </w:t>
      </w:r>
      <w:r w:rsidR="00346055" w:rsidRPr="006E2D0C">
        <w:t>other</w:t>
      </w:r>
      <w:r w:rsidR="00D34B02" w:rsidRPr="006E2D0C">
        <w:t>,</w:t>
      </w:r>
      <w:r w:rsidR="001F613A" w:rsidRPr="006E2D0C">
        <w:rPr>
          <w:rStyle w:val="FootnoteReference"/>
        </w:rPr>
        <w:footnoteReference w:id="67"/>
      </w:r>
      <w:r w:rsidR="001F613A" w:rsidRPr="006E2D0C">
        <w:t xml:space="preserve"> </w:t>
      </w:r>
      <w:r w:rsidR="00D34B02" w:rsidRPr="006E2D0C">
        <w:t xml:space="preserve">but </w:t>
      </w:r>
      <w:r w:rsidR="005C2F1E" w:rsidRPr="006E2D0C">
        <w:t xml:space="preserve">such an accommodation works, </w:t>
      </w:r>
      <w:r w:rsidR="00BA63B5" w:rsidRPr="006E2D0C">
        <w:t xml:space="preserve">to the extent </w:t>
      </w:r>
      <w:r w:rsidR="005C2F1E" w:rsidRPr="006E2D0C">
        <w:t xml:space="preserve">that </w:t>
      </w:r>
      <w:r w:rsidR="00BA63B5" w:rsidRPr="006E2D0C">
        <w:t>it does</w:t>
      </w:r>
      <w:r w:rsidR="005C2F1E" w:rsidRPr="006E2D0C">
        <w:t>,</w:t>
      </w:r>
      <w:r w:rsidR="00BA63B5" w:rsidRPr="006E2D0C">
        <w:t xml:space="preserve"> </w:t>
      </w:r>
      <w:r w:rsidR="005C2F1E" w:rsidRPr="006E2D0C">
        <w:t xml:space="preserve">only </w:t>
      </w:r>
      <w:r w:rsidR="00BA63B5" w:rsidRPr="006E2D0C">
        <w:t xml:space="preserve">by limiting the </w:t>
      </w:r>
      <w:r w:rsidR="00CE1F87" w:rsidRPr="006E2D0C">
        <w:t xml:space="preserve">understanding of the </w:t>
      </w:r>
      <w:r w:rsidR="00D34B02" w:rsidRPr="006E2D0C">
        <w:t xml:space="preserve">problems </w:t>
      </w:r>
      <w:r w:rsidR="00BA63B5" w:rsidRPr="006E2D0C">
        <w:t xml:space="preserve">to which market </w:t>
      </w:r>
      <w:r w:rsidR="00CE1F87" w:rsidRPr="006E2D0C">
        <w:t xml:space="preserve">damages </w:t>
      </w:r>
      <w:r w:rsidR="00033F44" w:rsidRPr="006E2D0C">
        <w:t>give rise.</w:t>
      </w:r>
    </w:p>
    <w:p w14:paraId="5A7C6C0D" w14:textId="77777777" w:rsidR="004847BE" w:rsidRDefault="00DA2704" w:rsidP="006E2D0C">
      <w:r w:rsidRPr="006E2D0C">
        <w:tab/>
      </w:r>
    </w:p>
    <w:p w14:paraId="35832C59" w14:textId="53FBB0DD" w:rsidR="000B5632" w:rsidRPr="006E2D0C" w:rsidRDefault="005C2F1E" w:rsidP="006E2D0C">
      <w:r w:rsidRPr="006E2D0C">
        <w:t xml:space="preserve">Even if it is accepted that my argument for abolition of market damages works from the sales perspective, it is clear that abolition is not possible when the trading perspective is taken into account. </w:t>
      </w:r>
      <w:r w:rsidR="008B14B0" w:rsidRPr="006E2D0C">
        <w:t>If we wish to remove the difficulties which the retention of market damages as an alternative to cover causes for the sales perspective, then t</w:t>
      </w:r>
      <w:r w:rsidRPr="006E2D0C">
        <w:t xml:space="preserve">he separation of perspectives I wrongly believed was </w:t>
      </w:r>
      <w:r w:rsidR="008B14B0" w:rsidRPr="006E2D0C">
        <w:t xml:space="preserve">now </w:t>
      </w:r>
      <w:r w:rsidRPr="006E2D0C">
        <w:t>possible will</w:t>
      </w:r>
      <w:r w:rsidR="000D4C8D" w:rsidRPr="006E2D0C">
        <w:t xml:space="preserve"> have to be actually brought about by reform of the law of cover and market damages. Though I take this as confirmation of my basic argument that adequate law is necessary in order to get the invisible hand to work, it is not merely reasons of space that preclude my making any suggestions about </w:t>
      </w:r>
      <w:r w:rsidR="008B14B0" w:rsidRPr="006E2D0C">
        <w:t>how to do it. My lack of understanding of the trading perspective makes me in</w:t>
      </w:r>
      <w:r w:rsidR="000D4C8D" w:rsidRPr="006E2D0C">
        <w:t>competent to do so, though I intend to turn to this specific problem</w:t>
      </w:r>
      <w:r w:rsidR="00675DEE">
        <w:t xml:space="preserve"> in future work</w:t>
      </w:r>
      <w:r w:rsidR="000D4C8D" w:rsidRPr="006E2D0C">
        <w:t xml:space="preserve">. </w:t>
      </w:r>
      <w:r w:rsidR="007633C1" w:rsidRPr="006E2D0C">
        <w:t xml:space="preserve">In previous work I have argued that, to the extent that the development of trading in financial futures was based on the case for </w:t>
      </w:r>
      <w:r w:rsidR="00C9173A" w:rsidRPr="006E2D0C">
        <w:t xml:space="preserve">futures </w:t>
      </w:r>
      <w:r w:rsidR="007633C1" w:rsidRPr="006E2D0C">
        <w:t xml:space="preserve">trading </w:t>
      </w:r>
      <w:r w:rsidR="00C9173A" w:rsidRPr="006E2D0C">
        <w:t>in commoditi</w:t>
      </w:r>
      <w:r w:rsidR="007633C1" w:rsidRPr="006E2D0C">
        <w:t>es</w:t>
      </w:r>
      <w:r w:rsidR="00C9173A" w:rsidRPr="006E2D0C">
        <w:t xml:space="preserve">, then that development had neither a coherent theoretical nor a compelling normative foundation because </w:t>
      </w:r>
      <w:r w:rsidR="008B14B0" w:rsidRPr="006E2D0C">
        <w:t xml:space="preserve">the justification of </w:t>
      </w:r>
      <w:r w:rsidR="00C9173A" w:rsidRPr="006E2D0C">
        <w:t xml:space="preserve">trading </w:t>
      </w:r>
      <w:r w:rsidR="00C9173A" w:rsidRPr="006E2D0C">
        <w:lastRenderedPageBreak/>
        <w:t>in commodities</w:t>
      </w:r>
      <w:r w:rsidR="008B14B0" w:rsidRPr="006E2D0C">
        <w:t xml:space="preserve">, which is ultimately based on their physical characteristics, </w:t>
      </w:r>
      <w:r w:rsidR="00C9173A" w:rsidRPr="006E2D0C">
        <w:t xml:space="preserve">could not justify trading in </w:t>
      </w:r>
      <w:r w:rsidR="008B14B0" w:rsidRPr="006E2D0C">
        <w:t xml:space="preserve">purely </w:t>
      </w:r>
      <w:r w:rsidR="00C9173A" w:rsidRPr="006E2D0C">
        <w:t>financial assets.</w:t>
      </w:r>
      <w:r w:rsidR="00346055" w:rsidRPr="006E2D0C">
        <w:rPr>
          <w:rStyle w:val="FootnoteReference"/>
        </w:rPr>
        <w:footnoteReference w:id="68"/>
      </w:r>
      <w:r w:rsidR="00C9173A" w:rsidRPr="006E2D0C">
        <w:t xml:space="preserve"> It would seem that the same sort of </w:t>
      </w:r>
      <w:r w:rsidR="008B14B0" w:rsidRPr="006E2D0C">
        <w:t>problem of relating the</w:t>
      </w:r>
      <w:r w:rsidR="002F7DFB">
        <w:t>—as it were—</w:t>
      </w:r>
      <w:r w:rsidR="008B14B0" w:rsidRPr="006E2D0C">
        <w:t xml:space="preserve">physical and financial aspects of commodities </w:t>
      </w:r>
      <w:r w:rsidR="00C9173A" w:rsidRPr="006E2D0C">
        <w:t>arises within commodities trading itself.</w:t>
      </w:r>
    </w:p>
    <w:p w14:paraId="21284098" w14:textId="77777777" w:rsidR="004847BE" w:rsidRDefault="008B14B0" w:rsidP="006E2D0C">
      <w:r w:rsidRPr="006E2D0C">
        <w:tab/>
      </w:r>
    </w:p>
    <w:p w14:paraId="04491206" w14:textId="2042C5A3" w:rsidR="008B14B0" w:rsidRPr="006E2D0C" w:rsidRDefault="008B14B0" w:rsidP="006E2D0C">
      <w:r w:rsidRPr="006E2D0C">
        <w:t>Let us now conclude, however, by summing up the issues solely from the sales perspective.</w:t>
      </w:r>
    </w:p>
    <w:p w14:paraId="024532CC" w14:textId="77777777" w:rsidR="000B5632" w:rsidRPr="006E2D0C" w:rsidRDefault="000B5632" w:rsidP="006E2D0C"/>
    <w:p w14:paraId="33BA5B95" w14:textId="2370C567" w:rsidR="000B5632" w:rsidRPr="004847BE" w:rsidRDefault="004847BE" w:rsidP="006E2D0C">
      <w:pPr>
        <w:pStyle w:val="Heading3"/>
        <w:jc w:val="left"/>
        <w:rPr>
          <w:b/>
          <w:sz w:val="28"/>
          <w:szCs w:val="28"/>
        </w:rPr>
      </w:pPr>
      <w:r w:rsidRPr="004847BE">
        <w:rPr>
          <w:b/>
          <w:caps w:val="0"/>
          <w:sz w:val="28"/>
          <w:szCs w:val="28"/>
        </w:rPr>
        <w:t>Conclusion: self-interest and co-operation in the law of market damages</w:t>
      </w:r>
    </w:p>
    <w:p w14:paraId="3CA4BD74" w14:textId="77777777" w:rsidR="004847BE" w:rsidRPr="004847BE" w:rsidRDefault="004847BE" w:rsidP="004847BE"/>
    <w:p w14:paraId="0F5821B3" w14:textId="77777777" w:rsidR="000B5632" w:rsidRDefault="000B5632" w:rsidP="006E2D0C">
      <w:r w:rsidRPr="006E2D0C">
        <w:t>In this chapter, I have tried to show how the invisible hand works in the most important remedy for breach of contract: effecting cover after breach of a sale of generic goods. Cover brings out an element of Smith’s conception of exchange that is insufficiently appreciated, even though it is expressed in perhaps the most famous passage in modern social thought:</w:t>
      </w:r>
    </w:p>
    <w:p w14:paraId="3851B3BF" w14:textId="77777777" w:rsidR="004847BE" w:rsidRPr="006E2D0C" w:rsidRDefault="004847BE" w:rsidP="006E2D0C"/>
    <w:p w14:paraId="43118DD8" w14:textId="77777777" w:rsidR="000B5632" w:rsidRDefault="000B5632" w:rsidP="004847BE">
      <w:pPr>
        <w:pStyle w:val="Quote"/>
        <w:tabs>
          <w:tab w:val="clear" w:pos="1134"/>
        </w:tabs>
        <w:spacing w:after="0" w:line="480" w:lineRule="auto"/>
        <w:ind w:left="709"/>
      </w:pPr>
      <w:r w:rsidRPr="006E2D0C">
        <w:t xml:space="preserve">It is not from the benevolence of the butcher, the brewer, or the baker that we expect our dinner, but from their regard to their own interest. We address </w:t>
      </w:r>
      <w:r w:rsidRPr="006E2D0C">
        <w:lastRenderedPageBreak/>
        <w:t>ourselves, not to their humanity but to their self-love and never talk to them of our own necessities but of their advantages.</w:t>
      </w:r>
      <w:r w:rsidRPr="006E2D0C">
        <w:rPr>
          <w:rStyle w:val="FootnoteReference"/>
        </w:rPr>
        <w:footnoteReference w:id="69"/>
      </w:r>
    </w:p>
    <w:p w14:paraId="31696A20" w14:textId="77777777" w:rsidR="004847BE" w:rsidRPr="004847BE" w:rsidRDefault="004847BE" w:rsidP="004847BE"/>
    <w:p w14:paraId="137B6BB1" w14:textId="62FBD8F0" w:rsidR="000B5632" w:rsidRDefault="000B5632" w:rsidP="006E2D0C">
      <w:r w:rsidRPr="006E2D0C">
        <w:t xml:space="preserve">That Smith believed exchange was motivated by self-interest is perfectly clear from this. But, as I have noted, he equally saw that </w:t>
      </w:r>
      <w:r w:rsidR="00675DEE">
        <w:t xml:space="preserve">self-interest </w:t>
      </w:r>
      <w:r w:rsidRPr="006E2D0C">
        <w:t xml:space="preserve">has to be channelled into the welfare-enhancing form of </w:t>
      </w:r>
      <w:r w:rsidR="00033F44" w:rsidRPr="006E2D0C">
        <w:t xml:space="preserve">mutually beneficial </w:t>
      </w:r>
      <w:r w:rsidRPr="006E2D0C">
        <w:t xml:space="preserve">exchange. The channelling effected by the law of contract has a profound effect on self-interest itself. How does one economic actor get another to participate in an exchange? It is, Smith tells us in this famous passage, by talking to that actor of its advantages. Legitimate exchange is a process of persuasion. An economic actor can pursue its self-interest only by convincing the other party that the exchange is also in its interest: </w:t>
      </w:r>
    </w:p>
    <w:p w14:paraId="341908E5" w14:textId="77777777" w:rsidR="004847BE" w:rsidRPr="006E2D0C" w:rsidRDefault="004847BE" w:rsidP="006E2D0C"/>
    <w:p w14:paraId="00DF1F13" w14:textId="77777777" w:rsidR="000B5632" w:rsidRDefault="000B5632" w:rsidP="004847BE">
      <w:pPr>
        <w:pStyle w:val="Quote"/>
        <w:tabs>
          <w:tab w:val="clear" w:pos="1134"/>
        </w:tabs>
        <w:spacing w:after="0" w:line="480" w:lineRule="auto"/>
        <w:ind w:left="709"/>
      </w:pPr>
      <w:r w:rsidRPr="006E2D0C">
        <w:t>man has almost constant occasion for the help of his brethren, and it is in vain for him to expect it from their benevolence only.</w:t>
      </w:r>
      <w:r w:rsidRPr="006E2D0C">
        <w:rPr>
          <w:rStyle w:val="FootnoteReference"/>
        </w:rPr>
        <w:footnoteReference w:id="70"/>
      </w:r>
      <w:r w:rsidRPr="006E2D0C">
        <w:t xml:space="preserve"> He will be more likely to prevail if he can interest their self-love in his favour, and shew them that it is to their advantage to do for him what he requires of them. Whoever offers to </w:t>
      </w:r>
      <w:r w:rsidRPr="006E2D0C">
        <w:lastRenderedPageBreak/>
        <w:t>another a bargain of any kind proposes to do this. Give me that which I want, and you shall have this that you want, is the meaning of every such offer.</w:t>
      </w:r>
      <w:r w:rsidRPr="006E2D0C">
        <w:rPr>
          <w:rStyle w:val="FootnoteReference"/>
        </w:rPr>
        <w:footnoteReference w:id="71"/>
      </w:r>
    </w:p>
    <w:p w14:paraId="3F7706AB" w14:textId="77777777" w:rsidR="004847BE" w:rsidRPr="004847BE" w:rsidRDefault="004847BE" w:rsidP="004847BE"/>
    <w:p w14:paraId="0AB7D11B" w14:textId="77777777" w:rsidR="000B5632" w:rsidRPr="006E2D0C" w:rsidRDefault="000B5632" w:rsidP="006E2D0C">
      <w:r w:rsidRPr="006E2D0C">
        <w:t>The pursuit of self-interest through legitimate exchange gives rise to a co-operative relationship which intrinsically channels that self-interest into welfare-enhancing outcomes.</w:t>
      </w:r>
    </w:p>
    <w:p w14:paraId="5447A0EA" w14:textId="77777777" w:rsidR="004847BE" w:rsidRDefault="000B5632" w:rsidP="006E2D0C">
      <w:r w:rsidRPr="006E2D0C">
        <w:tab/>
      </w:r>
    </w:p>
    <w:p w14:paraId="48DDAAF0" w14:textId="72BE4E92" w:rsidR="001B3BD3" w:rsidRPr="006E2D0C" w:rsidRDefault="000B5632" w:rsidP="006E2D0C">
      <w:r w:rsidRPr="006E2D0C">
        <w:t xml:space="preserve">An exchange is welfare-enhancing when it reflects the choices of economic actors, and it is the function of the law of contract to ensure that the exchange is a voluntary bargain, for only a contract truly of this nature will actually reflect those choices. This is not only the case in respect of the, as it were, intrinsic properties of goods but of the terms on which the contract is agreed, including the remedy for breach. The default remedial obligation which parties to a contract, including the paradigm contract of a sale of a generic good, agree is compensation of expectation. This agreement cannot be given effect unless they co-operate in dealing with the consequences of breach. There is no doubt this is not well understood. </w:t>
      </w:r>
      <w:r w:rsidR="00826DF7" w:rsidRPr="006E2D0C">
        <w:t>Nevertheless, this is the</w:t>
      </w:r>
      <w:r w:rsidR="00E769FA" w:rsidRPr="006E2D0C">
        <w:t xml:space="preserve"> parties’ </w:t>
      </w:r>
      <w:r w:rsidR="00826DF7" w:rsidRPr="006E2D0C">
        <w:t>agreement, and the problem is not with what is agreed, but with the classical understanding of that agreement</w:t>
      </w:r>
      <w:r w:rsidR="000209DA" w:rsidRPr="006E2D0C">
        <w:t>,</w:t>
      </w:r>
      <w:r w:rsidR="00826DF7" w:rsidRPr="006E2D0C">
        <w:t xml:space="preserve"> which cannot see beyond </w:t>
      </w:r>
      <w:r w:rsidR="00D95511" w:rsidRPr="006E2D0C">
        <w:t xml:space="preserve">untrammelled </w:t>
      </w:r>
      <w:r w:rsidR="00826DF7" w:rsidRPr="006E2D0C">
        <w:t xml:space="preserve">self-interest to the co-operation that </w:t>
      </w:r>
      <w:r w:rsidR="00D95511" w:rsidRPr="006E2D0C">
        <w:t xml:space="preserve">the invisible hand produces so that channelled </w:t>
      </w:r>
      <w:r w:rsidR="00826DF7" w:rsidRPr="006E2D0C">
        <w:t xml:space="preserve">self-interest </w:t>
      </w:r>
      <w:r w:rsidR="000209DA" w:rsidRPr="006E2D0C">
        <w:t xml:space="preserve">yields the </w:t>
      </w:r>
      <w:r w:rsidR="00D95511" w:rsidRPr="006E2D0C">
        <w:t>optimal outcome</w:t>
      </w:r>
      <w:r w:rsidR="000209DA" w:rsidRPr="006E2D0C">
        <w:t xml:space="preserve"> of cover</w:t>
      </w:r>
      <w:r w:rsidR="00D95511" w:rsidRPr="006E2D0C">
        <w:t>.</w:t>
      </w:r>
    </w:p>
    <w:p w14:paraId="09C7294E" w14:textId="77777777" w:rsidR="004847BE" w:rsidRDefault="009F0361" w:rsidP="006E2D0C">
      <w:r w:rsidRPr="006E2D0C">
        <w:tab/>
      </w:r>
    </w:p>
    <w:p w14:paraId="7AF38C04" w14:textId="38C077D7" w:rsidR="000209DA" w:rsidRPr="006E2D0C" w:rsidRDefault="00CA4389" w:rsidP="006E2D0C">
      <w:r w:rsidRPr="006E2D0C">
        <w:lastRenderedPageBreak/>
        <w:t xml:space="preserve">As market damages under </w:t>
      </w:r>
      <w:r w:rsidR="006C3556" w:rsidRPr="006E2D0C">
        <w:t>S</w:t>
      </w:r>
      <w:r w:rsidR="00A0480C" w:rsidRPr="006E2D0C">
        <w:t>o</w:t>
      </w:r>
      <w:r w:rsidR="006C3556" w:rsidRPr="006E2D0C">
        <w:t>GA s</w:t>
      </w:r>
      <w:r w:rsidR="00850172">
        <w:t>ection</w:t>
      </w:r>
      <w:r w:rsidR="006C3556" w:rsidRPr="006E2D0C">
        <w:t xml:space="preserve"> 51 </w:t>
      </w:r>
      <w:r w:rsidRPr="006E2D0C">
        <w:t>do not provide for cover in clear terms, s</w:t>
      </w:r>
      <w:r w:rsidR="00AE14D5">
        <w:t>ection</w:t>
      </w:r>
      <w:r w:rsidRPr="006E2D0C">
        <w:t xml:space="preserve"> 51 is inferior law to </w:t>
      </w:r>
      <w:r w:rsidR="006C3556" w:rsidRPr="006E2D0C">
        <w:t>UCC § 2-712</w:t>
      </w:r>
      <w:r w:rsidRPr="006E2D0C">
        <w:t xml:space="preserve"> which does make such provision</w:t>
      </w:r>
      <w:r w:rsidR="006C3556" w:rsidRPr="006E2D0C">
        <w:t xml:space="preserve">, but </w:t>
      </w:r>
      <w:r w:rsidRPr="006E2D0C">
        <w:t xml:space="preserve">the existence of market damages under </w:t>
      </w:r>
      <w:r w:rsidR="006C3556" w:rsidRPr="006E2D0C">
        <w:t>§ 2-713</w:t>
      </w:r>
      <w:r w:rsidRPr="006E2D0C">
        <w:t>,</w:t>
      </w:r>
      <w:r w:rsidR="006C3556" w:rsidRPr="006E2D0C">
        <w:t xml:space="preserve"> which can lead</w:t>
      </w:r>
      <w:r w:rsidR="00BE16EF" w:rsidRPr="006E2D0C">
        <w:t xml:space="preserve"> both to cover and </w:t>
      </w:r>
      <w:r w:rsidR="006C3556" w:rsidRPr="006E2D0C">
        <w:t>to outcomes contrary to th</w:t>
      </w:r>
      <w:r w:rsidR="00BE16EF" w:rsidRPr="006E2D0C">
        <w:t xml:space="preserve">at </w:t>
      </w:r>
      <w:r w:rsidR="006C3556" w:rsidRPr="006E2D0C">
        <w:t>remedy</w:t>
      </w:r>
      <w:r w:rsidRPr="006E2D0C">
        <w:t>, makes explicit what is implicit in s</w:t>
      </w:r>
      <w:r w:rsidR="00AE14D5">
        <w:t>ection</w:t>
      </w:r>
      <w:r w:rsidRPr="006E2D0C">
        <w:t xml:space="preserve"> 51: the problems arising from market damages are by no means </w:t>
      </w:r>
      <w:r w:rsidR="00CE7324" w:rsidRPr="006E2D0C">
        <w:t xml:space="preserve">ultimately </w:t>
      </w:r>
      <w:r w:rsidR="006C3556" w:rsidRPr="006E2D0C">
        <w:t>problem</w:t>
      </w:r>
      <w:r w:rsidRPr="006E2D0C">
        <w:t>s</w:t>
      </w:r>
      <w:r w:rsidR="006C3556" w:rsidRPr="006E2D0C">
        <w:t xml:space="preserve"> of drafting. </w:t>
      </w:r>
      <w:r w:rsidRPr="006E2D0C">
        <w:t xml:space="preserve">They are </w:t>
      </w:r>
      <w:r w:rsidR="006C3556" w:rsidRPr="006E2D0C">
        <w:t>problem</w:t>
      </w:r>
      <w:r w:rsidRPr="006E2D0C">
        <w:t>s</w:t>
      </w:r>
      <w:r w:rsidR="006C3556" w:rsidRPr="006E2D0C">
        <w:t xml:space="preserve"> of the </w:t>
      </w:r>
      <w:r w:rsidRPr="006E2D0C">
        <w:t xml:space="preserve">basic function of </w:t>
      </w:r>
      <w:r w:rsidR="006C3556" w:rsidRPr="006E2D0C">
        <w:t xml:space="preserve">contract in institutionalising exchange. </w:t>
      </w:r>
      <w:r w:rsidRPr="006E2D0C">
        <w:t xml:space="preserve">Though </w:t>
      </w:r>
      <w:r w:rsidR="00775E38" w:rsidRPr="006E2D0C">
        <w:t xml:space="preserve">cover </w:t>
      </w:r>
      <w:r w:rsidRPr="006E2D0C">
        <w:t xml:space="preserve">is </w:t>
      </w:r>
      <w:r w:rsidR="00775E38" w:rsidRPr="006E2D0C">
        <w:t>a</w:t>
      </w:r>
      <w:r w:rsidR="00A32751" w:rsidRPr="006E2D0C">
        <w:t xml:space="preserve"> </w:t>
      </w:r>
      <w:r w:rsidR="00775E38" w:rsidRPr="006E2D0C">
        <w:t>co-operative response to inevitable errors in economic action,</w:t>
      </w:r>
      <w:r w:rsidR="00A32751" w:rsidRPr="006E2D0C">
        <w:t xml:space="preserve"> i</w:t>
      </w:r>
      <w:r w:rsidR="00775E38" w:rsidRPr="006E2D0C">
        <w:t xml:space="preserve">t does not thwart self-interest. It is </w:t>
      </w:r>
      <w:r w:rsidR="000209DA" w:rsidRPr="006E2D0C">
        <w:t xml:space="preserve">the result of the </w:t>
      </w:r>
      <w:r w:rsidR="00775E38" w:rsidRPr="006E2D0C">
        <w:t xml:space="preserve">optimal exercise of self-interest. In contrast, </w:t>
      </w:r>
      <w:r w:rsidR="00675DEE">
        <w:t xml:space="preserve">from the sales perspective </w:t>
      </w:r>
      <w:r w:rsidR="005C1684" w:rsidRPr="006E2D0C">
        <w:t xml:space="preserve">market damages as an alternative to cover have no function save to allow the untrammelled pursuit of self-interest in defiance of the co-operative solution. </w:t>
      </w:r>
      <w:r w:rsidR="00675DEE">
        <w:t xml:space="preserve">Market damages are </w:t>
      </w:r>
      <w:r w:rsidR="005C1684" w:rsidRPr="006E2D0C">
        <w:t xml:space="preserve">defended on the basis that contract </w:t>
      </w:r>
      <w:r w:rsidR="005C1684" w:rsidRPr="006E2D0C">
        <w:rPr>
          <w:i/>
        </w:rPr>
        <w:t>is</w:t>
      </w:r>
      <w:r w:rsidR="005C1684" w:rsidRPr="006E2D0C">
        <w:t xml:space="preserve"> a system of untrammelled self-interest, but it becomes necessary to resile from the consequences of that claim by the </w:t>
      </w:r>
      <w:r w:rsidR="005C1684" w:rsidRPr="006E2D0C">
        <w:rPr>
          <w:i/>
        </w:rPr>
        <w:t>ad hoc</w:t>
      </w:r>
      <w:r w:rsidR="005C1684" w:rsidRPr="006E2D0C">
        <w:t xml:space="preserve"> introduction of reasonable limits on the action legitimated by allowing market damages in the first place. A pure law of cover is far more coherent </w:t>
      </w:r>
      <w:r w:rsidR="00675DEE">
        <w:t xml:space="preserve">law of sales </w:t>
      </w:r>
      <w:bookmarkStart w:id="18" w:name="_GoBack"/>
      <w:bookmarkEnd w:id="18"/>
      <w:r w:rsidR="005C1684" w:rsidRPr="006E2D0C">
        <w:t>because its grasp of the nature of economic action is far more coherent.</w:t>
      </w:r>
    </w:p>
    <w:p w14:paraId="5E1953D9" w14:textId="77777777" w:rsidR="004847BE" w:rsidRDefault="000209DA" w:rsidP="006E2D0C">
      <w:r w:rsidRPr="006E2D0C">
        <w:tab/>
      </w:r>
    </w:p>
    <w:p w14:paraId="6C4F8144" w14:textId="0CB28A8B" w:rsidR="00DD4AE2" w:rsidRPr="006E2D0C" w:rsidRDefault="0005594D" w:rsidP="006E2D0C">
      <w:r w:rsidRPr="006E2D0C">
        <w:t>We do not fully know how the invisible hand works, but we do know it needs a legal framework to work, and m</w:t>
      </w:r>
      <w:r w:rsidR="005C1684" w:rsidRPr="006E2D0C">
        <w:t xml:space="preserve">arket damages </w:t>
      </w:r>
      <w:r w:rsidRPr="006E2D0C">
        <w:t xml:space="preserve">show both how optimising action can follow from well-designed law and opportunistic action can follow from poorly designed law. The key to distinguishing </w:t>
      </w:r>
      <w:r w:rsidR="000209DA" w:rsidRPr="006E2D0C">
        <w:t xml:space="preserve">between these </w:t>
      </w:r>
      <w:r w:rsidRPr="006E2D0C">
        <w:t xml:space="preserve">laws </w:t>
      </w:r>
      <w:r w:rsidR="000209DA" w:rsidRPr="006E2D0C">
        <w:t xml:space="preserve">is </w:t>
      </w:r>
      <w:r w:rsidRPr="006E2D0C">
        <w:t>determining the degree to which they channel self-interest into an appropriate</w:t>
      </w:r>
      <w:r w:rsidR="00B3281E" w:rsidRPr="006E2D0C">
        <w:t>ly</w:t>
      </w:r>
      <w:r w:rsidRPr="006E2D0C">
        <w:t xml:space="preserve"> co-operative contractual relationship. The </w:t>
      </w:r>
      <w:r w:rsidR="000209DA" w:rsidRPr="006E2D0C">
        <w:t xml:space="preserve">working of the invisible hand </w:t>
      </w:r>
      <w:r w:rsidRPr="006E2D0C">
        <w:t>by which economic action comes to promote ‘the publick interest’ is not entirely invisible</w:t>
      </w:r>
      <w:r w:rsidR="00B3281E" w:rsidRPr="006E2D0C">
        <w:t xml:space="preserve">, but one has to remove the blinders of a belief </w:t>
      </w:r>
      <w:r w:rsidR="00B3281E" w:rsidRPr="006E2D0C">
        <w:lastRenderedPageBreak/>
        <w:t xml:space="preserve">that exchange and contract are matters of </w:t>
      </w:r>
      <w:r w:rsidR="00E44D75" w:rsidRPr="006E2D0C">
        <w:t xml:space="preserve">untrammelled </w:t>
      </w:r>
      <w:r w:rsidR="00B3281E" w:rsidRPr="006E2D0C">
        <w:t>self-interest in order to see even so much of it</w:t>
      </w:r>
      <w:r w:rsidR="000209DA" w:rsidRPr="006E2D0C">
        <w:t>s working</w:t>
      </w:r>
      <w:r w:rsidR="00B3281E" w:rsidRPr="006E2D0C">
        <w:t xml:space="preserve"> as we now can.</w:t>
      </w:r>
    </w:p>
    <w:sectPr w:rsidR="00DD4AE2" w:rsidRPr="006E2D0C" w:rsidSect="0016665B">
      <w:footerReference w:type="default" r:id="rId9"/>
      <w:endnotePr>
        <w:numFmt w:val="decimal"/>
      </w:endnotePr>
      <w:type w:val="oddPage"/>
      <w:pgSz w:w="11906" w:h="16838"/>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679BAD" w14:textId="77777777" w:rsidR="001747CC" w:rsidRPr="00735D07" w:rsidRDefault="001747CC" w:rsidP="00735D07">
      <w:pPr>
        <w:pStyle w:val="Footer"/>
      </w:pPr>
    </w:p>
  </w:endnote>
  <w:endnote w:type="continuationSeparator" w:id="0">
    <w:p w14:paraId="6D0F0893" w14:textId="77777777" w:rsidR="001747CC" w:rsidRPr="00735D07" w:rsidRDefault="001747CC" w:rsidP="00735D07">
      <w:pPr>
        <w:pStyle w:val="Foot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033878"/>
      <w:docPartObj>
        <w:docPartGallery w:val="Page Numbers (Bottom of Page)"/>
        <w:docPartUnique/>
      </w:docPartObj>
    </w:sdtPr>
    <w:sdtEndPr>
      <w:rPr>
        <w:noProof/>
      </w:rPr>
    </w:sdtEndPr>
    <w:sdtContent>
      <w:p w14:paraId="24E28DA8" w14:textId="77777777" w:rsidR="00850172" w:rsidRDefault="00850172">
        <w:pPr>
          <w:pStyle w:val="Footer"/>
          <w:jc w:val="center"/>
        </w:pPr>
      </w:p>
      <w:p w14:paraId="22613B3A" w14:textId="77777777" w:rsidR="00850172" w:rsidRDefault="00850172" w:rsidP="0057366E">
        <w:pPr>
          <w:pStyle w:val="Footer"/>
          <w:jc w:val="right"/>
        </w:pPr>
        <w:r>
          <w:fldChar w:fldCharType="begin"/>
        </w:r>
        <w:r>
          <w:instrText xml:space="preserve"> PAGE   \* MERGEFORMAT </w:instrText>
        </w:r>
        <w:r>
          <w:fldChar w:fldCharType="separate"/>
        </w:r>
        <w:r w:rsidR="00675DEE">
          <w:rPr>
            <w:noProof/>
          </w:rPr>
          <w:t>40</w:t>
        </w:r>
        <w:r>
          <w:rPr>
            <w:noProof/>
          </w:rPr>
          <w:fldChar w:fldCharType="end"/>
        </w:r>
      </w:p>
    </w:sdtContent>
  </w:sdt>
  <w:p w14:paraId="0729E7B5" w14:textId="77777777" w:rsidR="00850172" w:rsidRDefault="008501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6BB439" w14:textId="77777777" w:rsidR="001747CC" w:rsidRPr="000B5632" w:rsidRDefault="001747CC" w:rsidP="000B5632">
      <w:pPr>
        <w:pStyle w:val="Footer"/>
      </w:pPr>
      <w:r>
        <w:separator/>
      </w:r>
    </w:p>
  </w:footnote>
  <w:footnote w:type="continuationSeparator" w:id="0">
    <w:p w14:paraId="18564A01" w14:textId="77777777" w:rsidR="001747CC" w:rsidRPr="000B5632" w:rsidRDefault="001747CC" w:rsidP="000B5632">
      <w:pPr>
        <w:pStyle w:val="Footer"/>
      </w:pPr>
      <w:r>
        <w:continuationSeparator/>
      </w:r>
    </w:p>
  </w:footnote>
  <w:footnote w:id="1">
    <w:p w14:paraId="0AD80408" w14:textId="4CE7FBC8" w:rsidR="00850172" w:rsidRPr="006E2D0C" w:rsidRDefault="00850172" w:rsidP="006E2D0C">
      <w:pPr>
        <w:pStyle w:val="FootnoteText"/>
        <w:spacing w:line="480" w:lineRule="auto"/>
        <w:rPr>
          <w:sz w:val="24"/>
        </w:rPr>
      </w:pPr>
      <w:r w:rsidRPr="006E2D0C">
        <w:rPr>
          <w:rStyle w:val="FootnoteReference"/>
          <w:sz w:val="24"/>
        </w:rPr>
        <w:t>*</w:t>
      </w:r>
      <w:r w:rsidRPr="006E2D0C">
        <w:rPr>
          <w:sz w:val="24"/>
        </w:rPr>
        <w:t xml:space="preserve"> I am grateful to Hugh Beale, Michael Bridge, Mark Gergen, Stewart Macaulay, Bill Whitford</w:t>
      </w:r>
      <w:r>
        <w:rPr>
          <w:sz w:val="24"/>
        </w:rPr>
        <w:t>,</w:t>
      </w:r>
      <w:r w:rsidRPr="006E2D0C">
        <w:rPr>
          <w:sz w:val="24"/>
        </w:rPr>
        <w:t xml:space="preserve"> and the participants at the </w:t>
      </w:r>
      <w:r w:rsidRPr="006E2D0C">
        <w:rPr>
          <w:i/>
          <w:sz w:val="24"/>
        </w:rPr>
        <w:t>Transatlantic Perspectives on Commercial Law Conference II</w:t>
      </w:r>
      <w:r w:rsidRPr="006E2D0C">
        <w:rPr>
          <w:sz w:val="24"/>
        </w:rPr>
        <w:t xml:space="preserve"> and at the meeting of the North East Regional Obligations Group held at the School of Law, University of Sheffield in January 2014</w:t>
      </w:r>
      <w:r>
        <w:rPr>
          <w:sz w:val="24"/>
        </w:rPr>
        <w:t>,</w:t>
      </w:r>
      <w:r w:rsidRPr="006E2D0C">
        <w:rPr>
          <w:sz w:val="24"/>
        </w:rPr>
        <w:t xml:space="preserve"> for their comments. I am also grateful to Peter Goodrich for help with US sources.</w:t>
      </w:r>
    </w:p>
  </w:footnote>
  <w:footnote w:id="2">
    <w:p w14:paraId="1C1F6600" w14:textId="7865BF28"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sidRPr="006E2D0C">
        <w:rPr>
          <w:sz w:val="24"/>
          <w:lang w:val="en-GB"/>
        </w:rPr>
        <w:t>R</w:t>
      </w:r>
      <w:r>
        <w:rPr>
          <w:sz w:val="24"/>
          <w:lang w:val="en-GB"/>
        </w:rPr>
        <w:t xml:space="preserve"> </w:t>
      </w:r>
      <w:r w:rsidRPr="006E2D0C">
        <w:rPr>
          <w:sz w:val="24"/>
          <w:lang w:val="en-GB"/>
        </w:rPr>
        <w:t xml:space="preserve">H Coase, ‘The Wealth of Nations’ in </w:t>
      </w:r>
      <w:r w:rsidRPr="006E2D0C">
        <w:rPr>
          <w:i/>
          <w:sz w:val="24"/>
          <w:lang w:val="en-GB"/>
        </w:rPr>
        <w:t>Essays on Economics and Economists</w:t>
      </w:r>
      <w:r w:rsidRPr="006E2D0C">
        <w:rPr>
          <w:sz w:val="24"/>
          <w:lang w:val="en-GB"/>
        </w:rPr>
        <w:t xml:space="preserve"> (Univ</w:t>
      </w:r>
      <w:r>
        <w:rPr>
          <w:sz w:val="24"/>
          <w:lang w:val="en-GB"/>
        </w:rPr>
        <w:t xml:space="preserve">ersity of Chicago Press 1994) </w:t>
      </w:r>
      <w:r w:rsidRPr="006E2D0C">
        <w:rPr>
          <w:sz w:val="24"/>
          <w:lang w:val="en-GB"/>
        </w:rPr>
        <w:t>94.</w:t>
      </w:r>
    </w:p>
  </w:footnote>
  <w:footnote w:id="3">
    <w:p w14:paraId="7B98BF39" w14:textId="663776BE"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A</w:t>
      </w:r>
      <w:r>
        <w:rPr>
          <w:sz w:val="24"/>
        </w:rPr>
        <w:t>dam</w:t>
      </w:r>
      <w:r w:rsidRPr="006E2D0C">
        <w:rPr>
          <w:sz w:val="24"/>
        </w:rPr>
        <w:t xml:space="preserve"> Smith, </w:t>
      </w:r>
      <w:r w:rsidR="00FC323D">
        <w:rPr>
          <w:i/>
          <w:sz w:val="24"/>
        </w:rPr>
        <w:t>An I</w:t>
      </w:r>
      <w:r>
        <w:rPr>
          <w:i/>
          <w:sz w:val="24"/>
        </w:rPr>
        <w:t xml:space="preserve">nquiry into the </w:t>
      </w:r>
      <w:r w:rsidR="00FC323D">
        <w:rPr>
          <w:i/>
          <w:sz w:val="24"/>
        </w:rPr>
        <w:t>N</w:t>
      </w:r>
      <w:r>
        <w:rPr>
          <w:i/>
          <w:sz w:val="24"/>
        </w:rPr>
        <w:t xml:space="preserve">ature and </w:t>
      </w:r>
      <w:r w:rsidR="00FC323D">
        <w:rPr>
          <w:i/>
          <w:sz w:val="24"/>
        </w:rPr>
        <w:t>C</w:t>
      </w:r>
      <w:r>
        <w:rPr>
          <w:i/>
          <w:sz w:val="24"/>
        </w:rPr>
        <w:t xml:space="preserve">auses of the </w:t>
      </w:r>
      <w:r w:rsidR="00FC323D">
        <w:rPr>
          <w:i/>
          <w:sz w:val="24"/>
        </w:rPr>
        <w:t>W</w:t>
      </w:r>
      <w:r>
        <w:rPr>
          <w:i/>
          <w:sz w:val="24"/>
        </w:rPr>
        <w:t xml:space="preserve">ealth of </w:t>
      </w:r>
      <w:r w:rsidR="00FC323D">
        <w:rPr>
          <w:i/>
          <w:sz w:val="24"/>
        </w:rPr>
        <w:t>N</w:t>
      </w:r>
      <w:r w:rsidRPr="006E2D0C">
        <w:rPr>
          <w:i/>
          <w:sz w:val="24"/>
        </w:rPr>
        <w:t>ations</w:t>
      </w:r>
      <w:r>
        <w:rPr>
          <w:sz w:val="24"/>
        </w:rPr>
        <w:t xml:space="preserve"> (first published 1776, Clarendon Press</w:t>
      </w:r>
      <w:r w:rsidRPr="006E2D0C">
        <w:rPr>
          <w:sz w:val="24"/>
        </w:rPr>
        <w:t xml:space="preserve"> 1976) </w:t>
      </w:r>
      <w:r>
        <w:rPr>
          <w:sz w:val="24"/>
        </w:rPr>
        <w:t>vol</w:t>
      </w:r>
      <w:r w:rsidR="00FC323D">
        <w:rPr>
          <w:sz w:val="24"/>
        </w:rPr>
        <w:t xml:space="preserve"> 1, </w:t>
      </w:r>
      <w:r w:rsidRPr="006E2D0C">
        <w:rPr>
          <w:sz w:val="24"/>
        </w:rPr>
        <w:t>456.</w:t>
      </w:r>
    </w:p>
  </w:footnote>
  <w:footnote w:id="4">
    <w:p w14:paraId="2DECFAE0" w14:textId="1AF1851C"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A</w:t>
      </w:r>
      <w:r>
        <w:rPr>
          <w:sz w:val="24"/>
        </w:rPr>
        <w:t>dam</w:t>
      </w:r>
      <w:r w:rsidRPr="006E2D0C">
        <w:rPr>
          <w:sz w:val="24"/>
        </w:rPr>
        <w:t xml:space="preserve"> Smith, </w:t>
      </w:r>
      <w:r w:rsidR="00FC323D">
        <w:rPr>
          <w:i/>
          <w:sz w:val="24"/>
        </w:rPr>
        <w:t>The T</w:t>
      </w:r>
      <w:r>
        <w:rPr>
          <w:i/>
          <w:sz w:val="24"/>
        </w:rPr>
        <w:t xml:space="preserve">heory of </w:t>
      </w:r>
      <w:r w:rsidR="00FC323D">
        <w:rPr>
          <w:i/>
          <w:sz w:val="24"/>
        </w:rPr>
        <w:t>M</w:t>
      </w:r>
      <w:r>
        <w:rPr>
          <w:i/>
          <w:sz w:val="24"/>
        </w:rPr>
        <w:t xml:space="preserve">oral </w:t>
      </w:r>
      <w:r w:rsidR="00FC323D">
        <w:rPr>
          <w:i/>
          <w:sz w:val="24"/>
        </w:rPr>
        <w:t>S</w:t>
      </w:r>
      <w:r w:rsidRPr="006E2D0C">
        <w:rPr>
          <w:i/>
          <w:sz w:val="24"/>
        </w:rPr>
        <w:t>entiments</w:t>
      </w:r>
      <w:r w:rsidRPr="006E2D0C">
        <w:rPr>
          <w:sz w:val="24"/>
        </w:rPr>
        <w:t xml:space="preserve"> (</w:t>
      </w:r>
      <w:r>
        <w:rPr>
          <w:sz w:val="24"/>
        </w:rPr>
        <w:t xml:space="preserve">first published 1759, </w:t>
      </w:r>
      <w:r w:rsidRPr="006E2D0C">
        <w:rPr>
          <w:sz w:val="24"/>
        </w:rPr>
        <w:t>Clarendon Press, 1976) 236.</w:t>
      </w:r>
    </w:p>
  </w:footnote>
  <w:footnote w:id="5">
    <w:p w14:paraId="0B216887" w14:textId="734140E9" w:rsidR="00FC323D" w:rsidRPr="00D5252A" w:rsidRDefault="00FC323D" w:rsidP="00FC323D">
      <w:pPr>
        <w:pStyle w:val="FootnoteText"/>
        <w:rPr>
          <w:lang w:val="en-GB"/>
        </w:rPr>
      </w:pPr>
      <w:r w:rsidRPr="00675DEE">
        <w:rPr>
          <w:rStyle w:val="FootnoteReference"/>
          <w:sz w:val="24"/>
        </w:rPr>
        <w:footnoteRef/>
      </w:r>
      <w:r>
        <w:t xml:space="preserve"> </w:t>
      </w:r>
      <w:r w:rsidRPr="00FC323D">
        <w:rPr>
          <w:sz w:val="24"/>
        </w:rPr>
        <w:t>I say this in awareness of Hayek’s credible claim to have identified the principles of ‘an evident order that was not the product of a designing human intelligence [but which] need not therefore be ascribed to the design of a higher supernatural order’:  F</w:t>
      </w:r>
      <w:r>
        <w:rPr>
          <w:sz w:val="24"/>
        </w:rPr>
        <w:t xml:space="preserve">riedrich </w:t>
      </w:r>
      <w:r w:rsidRPr="00FC323D">
        <w:rPr>
          <w:sz w:val="24"/>
        </w:rPr>
        <w:t xml:space="preserve">A Hayek, </w:t>
      </w:r>
      <w:r w:rsidRPr="00675DEE">
        <w:rPr>
          <w:i/>
          <w:sz w:val="24"/>
        </w:rPr>
        <w:t>The Constitution of Liberty</w:t>
      </w:r>
      <w:r w:rsidR="006015FA">
        <w:rPr>
          <w:sz w:val="24"/>
        </w:rPr>
        <w:t xml:space="preserve"> (University of Chicago Press</w:t>
      </w:r>
      <w:r w:rsidRPr="00FC323D">
        <w:rPr>
          <w:sz w:val="24"/>
        </w:rPr>
        <w:t xml:space="preserve"> 2011) 115. Hayek, of course, bases the possibility of doing this on, in part, a secular interpretation of Smith: ibid, 113.</w:t>
      </w:r>
      <w:r>
        <w:rPr>
          <w:lang w:val="en-GB"/>
        </w:rPr>
        <w:t xml:space="preserve"> </w:t>
      </w:r>
    </w:p>
  </w:footnote>
  <w:footnote w:id="6">
    <w:p w14:paraId="77611EF1" w14:textId="1C24A848"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sidRPr="006E2D0C">
        <w:rPr>
          <w:sz w:val="24"/>
          <w:lang w:val="en-GB"/>
        </w:rPr>
        <w:t>A</w:t>
      </w:r>
      <w:r>
        <w:rPr>
          <w:sz w:val="24"/>
          <w:lang w:val="en-GB"/>
        </w:rPr>
        <w:t>dam</w:t>
      </w:r>
      <w:r w:rsidRPr="006E2D0C">
        <w:rPr>
          <w:sz w:val="24"/>
          <w:lang w:val="en-GB"/>
        </w:rPr>
        <w:t xml:space="preserve"> Smith, </w:t>
      </w:r>
      <w:r w:rsidRPr="006E2D0C">
        <w:rPr>
          <w:i/>
          <w:sz w:val="24"/>
          <w:lang w:val="en-GB"/>
        </w:rPr>
        <w:t>Lectures on Jurisprudence</w:t>
      </w:r>
      <w:r w:rsidRPr="006E2D0C">
        <w:rPr>
          <w:sz w:val="24"/>
          <w:lang w:val="en-GB"/>
        </w:rPr>
        <w:t xml:space="preserve"> (</w:t>
      </w:r>
      <w:r>
        <w:rPr>
          <w:sz w:val="24"/>
          <w:lang w:val="en-GB"/>
        </w:rPr>
        <w:t>Clarendon Press</w:t>
      </w:r>
      <w:r w:rsidRPr="006E2D0C">
        <w:rPr>
          <w:sz w:val="24"/>
          <w:lang w:val="en-GB"/>
        </w:rPr>
        <w:t xml:space="preserve"> 1978) 1.</w:t>
      </w:r>
    </w:p>
  </w:footnote>
  <w:footnote w:id="7">
    <w:p w14:paraId="63ECECE6" w14:textId="2964289A" w:rsidR="00850172" w:rsidRPr="006E2D0C" w:rsidRDefault="00850172" w:rsidP="006E2D0C">
      <w:pPr>
        <w:pStyle w:val="FootnoteText"/>
        <w:spacing w:line="480" w:lineRule="auto"/>
        <w:rPr>
          <w:sz w:val="24"/>
          <w:lang w:val="en-GB"/>
        </w:rPr>
      </w:pPr>
      <w:r w:rsidRPr="006E2D0C">
        <w:rPr>
          <w:rStyle w:val="FootnoteReference"/>
          <w:sz w:val="24"/>
        </w:rPr>
        <w:footnoteRef/>
      </w:r>
      <w:r>
        <w:rPr>
          <w:sz w:val="24"/>
        </w:rPr>
        <w:t xml:space="preserve"> Smith (n</w:t>
      </w:r>
      <w:r w:rsidRPr="006E2D0C">
        <w:rPr>
          <w:sz w:val="24"/>
        </w:rPr>
        <w:t xml:space="preserve"> </w:t>
      </w:r>
      <w:r w:rsidRPr="006E2D0C">
        <w:rPr>
          <w:sz w:val="24"/>
        </w:rPr>
        <w:fldChar w:fldCharType="begin"/>
      </w:r>
      <w:r w:rsidRPr="006E2D0C">
        <w:rPr>
          <w:sz w:val="24"/>
        </w:rPr>
        <w:instrText xml:space="preserve"> NOTEREF _Ref364328077 \h </w:instrText>
      </w:r>
      <w:r w:rsidRPr="006E2D0C">
        <w:rPr>
          <w:sz w:val="24"/>
        </w:rPr>
      </w:r>
      <w:r w:rsidRPr="006E2D0C">
        <w:rPr>
          <w:sz w:val="24"/>
        </w:rPr>
        <w:fldChar w:fldCharType="separate"/>
      </w:r>
      <w:r w:rsidR="00BB2860">
        <w:rPr>
          <w:sz w:val="24"/>
        </w:rPr>
        <w:t>2</w:t>
      </w:r>
      <w:r w:rsidRPr="006E2D0C">
        <w:rPr>
          <w:sz w:val="24"/>
        </w:rPr>
        <w:fldChar w:fldCharType="end"/>
      </w:r>
      <w:r>
        <w:rPr>
          <w:sz w:val="24"/>
        </w:rPr>
        <w:t>)</w:t>
      </w:r>
      <w:r w:rsidRPr="006E2D0C">
        <w:rPr>
          <w:sz w:val="24"/>
        </w:rPr>
        <w:t xml:space="preserve"> </w:t>
      </w:r>
      <w:r w:rsidR="006015FA">
        <w:rPr>
          <w:sz w:val="24"/>
        </w:rPr>
        <w:t xml:space="preserve">vol 2, </w:t>
      </w:r>
      <w:r w:rsidRPr="006E2D0C">
        <w:rPr>
          <w:sz w:val="24"/>
        </w:rPr>
        <w:t>723.</w:t>
      </w:r>
    </w:p>
  </w:footnote>
  <w:footnote w:id="8">
    <w:p w14:paraId="13491C62" w14:textId="0F0A1277"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Pr>
          <w:sz w:val="24"/>
          <w:lang w:val="en-GB"/>
        </w:rPr>
        <w:t>Smith</w:t>
      </w:r>
      <w:r w:rsidRPr="006E2D0C">
        <w:rPr>
          <w:sz w:val="24"/>
          <w:lang w:val="en-GB"/>
        </w:rPr>
        <w:t xml:space="preserve"> </w:t>
      </w:r>
      <w:r>
        <w:rPr>
          <w:sz w:val="24"/>
          <w:lang w:val="en-GB"/>
        </w:rPr>
        <w:t>(</w:t>
      </w:r>
      <w:r w:rsidRPr="006E2D0C">
        <w:rPr>
          <w:sz w:val="24"/>
          <w:lang w:val="en-GB"/>
        </w:rPr>
        <w:t xml:space="preserve">n </w:t>
      </w:r>
      <w:r w:rsidRPr="006E2D0C">
        <w:rPr>
          <w:sz w:val="24"/>
          <w:lang w:val="en-GB"/>
        </w:rPr>
        <w:fldChar w:fldCharType="begin"/>
      </w:r>
      <w:r w:rsidRPr="006E2D0C">
        <w:rPr>
          <w:sz w:val="24"/>
          <w:lang w:val="en-GB"/>
        </w:rPr>
        <w:instrText xml:space="preserve"> NOTEREF _Ref394492813 \h </w:instrText>
      </w:r>
      <w:r w:rsidRPr="006E2D0C">
        <w:rPr>
          <w:sz w:val="24"/>
          <w:lang w:val="en-GB"/>
        </w:rPr>
      </w:r>
      <w:r w:rsidRPr="006E2D0C">
        <w:rPr>
          <w:sz w:val="24"/>
          <w:lang w:val="en-GB"/>
        </w:rPr>
        <w:fldChar w:fldCharType="separate"/>
      </w:r>
      <w:r w:rsidR="00BB2860">
        <w:rPr>
          <w:sz w:val="24"/>
          <w:lang w:val="en-GB"/>
        </w:rPr>
        <w:t>5</w:t>
      </w:r>
      <w:r w:rsidRPr="006E2D0C">
        <w:rPr>
          <w:sz w:val="24"/>
          <w:lang w:val="en-GB"/>
        </w:rPr>
        <w:fldChar w:fldCharType="end"/>
      </w:r>
      <w:r>
        <w:rPr>
          <w:sz w:val="24"/>
          <w:lang w:val="en-GB"/>
        </w:rPr>
        <w:t>)</w:t>
      </w:r>
      <w:r w:rsidRPr="006E2D0C">
        <w:rPr>
          <w:sz w:val="24"/>
          <w:lang w:val="en-GB"/>
        </w:rPr>
        <w:t xml:space="preserve"> 1.</w:t>
      </w:r>
    </w:p>
  </w:footnote>
  <w:footnote w:id="9">
    <w:p w14:paraId="76D2937F" w14:textId="02765C76"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Smith</w:t>
      </w:r>
      <w:r w:rsidRPr="006E2D0C">
        <w:rPr>
          <w:sz w:val="24"/>
        </w:rPr>
        <w:t xml:space="preserve"> </w:t>
      </w:r>
      <w:r>
        <w:rPr>
          <w:sz w:val="24"/>
        </w:rPr>
        <w:t>(</w:t>
      </w:r>
      <w:r w:rsidRPr="006E2D0C">
        <w:rPr>
          <w:sz w:val="24"/>
        </w:rPr>
        <w:t xml:space="preserve">n </w:t>
      </w:r>
      <w:r w:rsidRPr="006E2D0C">
        <w:rPr>
          <w:sz w:val="24"/>
        </w:rPr>
        <w:fldChar w:fldCharType="begin"/>
      </w:r>
      <w:r w:rsidRPr="006E2D0C">
        <w:rPr>
          <w:sz w:val="24"/>
        </w:rPr>
        <w:instrText xml:space="preserve"> NOTEREF _Ref364328077 \h </w:instrText>
      </w:r>
      <w:r w:rsidRPr="006E2D0C">
        <w:rPr>
          <w:sz w:val="24"/>
        </w:rPr>
      </w:r>
      <w:r w:rsidRPr="006E2D0C">
        <w:rPr>
          <w:sz w:val="24"/>
        </w:rPr>
        <w:fldChar w:fldCharType="separate"/>
      </w:r>
      <w:r w:rsidR="00BB2860">
        <w:rPr>
          <w:sz w:val="24"/>
        </w:rPr>
        <w:t>2</w:t>
      </w:r>
      <w:r w:rsidRPr="006E2D0C">
        <w:rPr>
          <w:sz w:val="24"/>
        </w:rPr>
        <w:fldChar w:fldCharType="end"/>
      </w:r>
      <w:r>
        <w:rPr>
          <w:sz w:val="24"/>
        </w:rPr>
        <w:t>)</w:t>
      </w:r>
      <w:r w:rsidRPr="006E2D0C">
        <w:rPr>
          <w:sz w:val="24"/>
        </w:rPr>
        <w:t xml:space="preserve"> </w:t>
      </w:r>
      <w:r w:rsidR="006015FA">
        <w:rPr>
          <w:sz w:val="24"/>
        </w:rPr>
        <w:t xml:space="preserve">vol 2, </w:t>
      </w:r>
      <w:r w:rsidRPr="006E2D0C">
        <w:rPr>
          <w:sz w:val="24"/>
        </w:rPr>
        <w:t>687.</w:t>
      </w:r>
    </w:p>
  </w:footnote>
  <w:footnote w:id="10">
    <w:p w14:paraId="07715C50" w14:textId="6135FB9A"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D</w:t>
      </w:r>
      <w:r>
        <w:rPr>
          <w:sz w:val="24"/>
        </w:rPr>
        <w:t>ugald</w:t>
      </w:r>
      <w:r w:rsidRPr="006E2D0C">
        <w:rPr>
          <w:sz w:val="24"/>
        </w:rPr>
        <w:t xml:space="preserve"> Stewart, ‘Account of the Life and Writings of Adam Smith LLD’ in A</w:t>
      </w:r>
      <w:r>
        <w:rPr>
          <w:sz w:val="24"/>
        </w:rPr>
        <w:t>dam</w:t>
      </w:r>
      <w:r w:rsidRPr="006E2D0C">
        <w:rPr>
          <w:sz w:val="24"/>
        </w:rPr>
        <w:t xml:space="preserve"> Smith, </w:t>
      </w:r>
      <w:r w:rsidRPr="006E2D0C">
        <w:rPr>
          <w:i/>
          <w:sz w:val="24"/>
        </w:rPr>
        <w:t>Essays on Philosophical Subjects</w:t>
      </w:r>
      <w:r w:rsidRPr="006E2D0C">
        <w:rPr>
          <w:sz w:val="24"/>
        </w:rPr>
        <w:t xml:space="preserve"> (</w:t>
      </w:r>
      <w:r>
        <w:rPr>
          <w:sz w:val="24"/>
        </w:rPr>
        <w:t>Clarendon Press</w:t>
      </w:r>
      <w:r w:rsidRPr="006E2D0C">
        <w:rPr>
          <w:sz w:val="24"/>
        </w:rPr>
        <w:t xml:space="preserve"> 1980) 322. </w:t>
      </w:r>
    </w:p>
  </w:footnote>
  <w:footnote w:id="11">
    <w:p w14:paraId="22EF0F34" w14:textId="4424B155"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D</w:t>
      </w:r>
      <w:r>
        <w:rPr>
          <w:sz w:val="24"/>
        </w:rPr>
        <w:t>avid</w:t>
      </w:r>
      <w:r w:rsidRPr="006E2D0C">
        <w:rPr>
          <w:sz w:val="24"/>
        </w:rPr>
        <w:t xml:space="preserve"> Campbell and M</w:t>
      </w:r>
      <w:r>
        <w:rPr>
          <w:sz w:val="24"/>
        </w:rPr>
        <w:t>atthias</w:t>
      </w:r>
      <w:r w:rsidRPr="006E2D0C">
        <w:rPr>
          <w:sz w:val="24"/>
        </w:rPr>
        <w:t xml:space="preserve"> Klaes, ‘The Principle of Institutional Direction: Coase’s Regulatory Critique of Intervention’ (2005) 29 </w:t>
      </w:r>
      <w:r>
        <w:rPr>
          <w:sz w:val="24"/>
        </w:rPr>
        <w:t>Cambridge J of Econ</w:t>
      </w:r>
      <w:r w:rsidRPr="006E2D0C">
        <w:rPr>
          <w:sz w:val="24"/>
        </w:rPr>
        <w:t xml:space="preserve"> 263.</w:t>
      </w:r>
    </w:p>
  </w:footnote>
  <w:footnote w:id="12">
    <w:p w14:paraId="482702D3" w14:textId="629EF25D" w:rsidR="00850172" w:rsidRPr="00824654"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sidRPr="006E2D0C">
        <w:rPr>
          <w:sz w:val="24"/>
          <w:lang w:val="en-GB"/>
        </w:rPr>
        <w:t>D</w:t>
      </w:r>
      <w:r>
        <w:rPr>
          <w:sz w:val="24"/>
          <w:lang w:val="en-GB"/>
        </w:rPr>
        <w:t>avid</w:t>
      </w:r>
      <w:r w:rsidRPr="006E2D0C">
        <w:rPr>
          <w:sz w:val="24"/>
          <w:lang w:val="en-GB"/>
        </w:rPr>
        <w:t xml:space="preserve"> Campbell, </w:t>
      </w:r>
      <w:r w:rsidRPr="006E2D0C">
        <w:rPr>
          <w:sz w:val="24"/>
        </w:rPr>
        <w:t>‘The Relational Constitution of Contractual Agreement’ in P</w:t>
      </w:r>
      <w:r w:rsidR="00F931CA">
        <w:rPr>
          <w:sz w:val="24"/>
        </w:rPr>
        <w:t>ursey</w:t>
      </w:r>
      <w:r w:rsidRPr="006E2D0C">
        <w:rPr>
          <w:sz w:val="24"/>
        </w:rPr>
        <w:t xml:space="preserve"> Heugens</w:t>
      </w:r>
      <w:r w:rsidR="00F931CA">
        <w:rPr>
          <w:sz w:val="24"/>
        </w:rPr>
        <w:t>, Hans von Osoterhout,</w:t>
      </w:r>
      <w:r w:rsidRPr="006E2D0C">
        <w:rPr>
          <w:sz w:val="24"/>
        </w:rPr>
        <w:t xml:space="preserve"> </w:t>
      </w:r>
      <w:r w:rsidR="00F931CA">
        <w:rPr>
          <w:sz w:val="24"/>
        </w:rPr>
        <w:t xml:space="preserve">and Jack Vromen </w:t>
      </w:r>
      <w:r>
        <w:rPr>
          <w:sz w:val="24"/>
        </w:rPr>
        <w:t>(</w:t>
      </w:r>
      <w:r w:rsidRPr="006E2D0C">
        <w:rPr>
          <w:sz w:val="24"/>
        </w:rPr>
        <w:t>eds</w:t>
      </w:r>
      <w:r>
        <w:rPr>
          <w:sz w:val="24"/>
        </w:rPr>
        <w:t>)</w:t>
      </w:r>
      <w:r w:rsidRPr="006E2D0C">
        <w:rPr>
          <w:sz w:val="24"/>
        </w:rPr>
        <w:t xml:space="preserve">, </w:t>
      </w:r>
      <w:r w:rsidRPr="006E2D0C">
        <w:rPr>
          <w:i/>
          <w:sz w:val="24"/>
        </w:rPr>
        <w:t>The Social Institutions of Capitalism: Evolution and Design of Social Contracts</w:t>
      </w:r>
      <w:r w:rsidRPr="006E2D0C">
        <w:rPr>
          <w:sz w:val="24"/>
        </w:rPr>
        <w:t xml:space="preserve"> (</w:t>
      </w:r>
      <w:r>
        <w:rPr>
          <w:sz w:val="24"/>
        </w:rPr>
        <w:t>Edward Elgar</w:t>
      </w:r>
      <w:r w:rsidRPr="006E2D0C">
        <w:rPr>
          <w:sz w:val="24"/>
        </w:rPr>
        <w:t xml:space="preserve"> 2003).</w:t>
      </w:r>
    </w:p>
  </w:footnote>
  <w:footnote w:id="13">
    <w:p w14:paraId="1BA436B1" w14:textId="1624A7DD"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In writing this section of this chapter, I have benefitted throughout from J</w:t>
      </w:r>
      <w:r>
        <w:rPr>
          <w:sz w:val="24"/>
        </w:rPr>
        <w:t xml:space="preserve">ohn </w:t>
      </w:r>
      <w:r w:rsidRPr="006E2D0C">
        <w:rPr>
          <w:sz w:val="24"/>
        </w:rPr>
        <w:t xml:space="preserve">N Adams, ‘Damages in the Sale of Goods: </w:t>
      </w:r>
      <w:r w:rsidRPr="006E2D0C">
        <w:rPr>
          <w:bCs/>
          <w:sz w:val="24"/>
        </w:rPr>
        <w:t>A Critique of the Provisions of the Sale of Goods Act and Article 2 of the Uniform Commercial Code</w:t>
      </w:r>
      <w:r>
        <w:rPr>
          <w:sz w:val="24"/>
        </w:rPr>
        <w:t>’ (2002)</w:t>
      </w:r>
      <w:r w:rsidRPr="006E2D0C">
        <w:rPr>
          <w:sz w:val="24"/>
        </w:rPr>
        <w:t xml:space="preserve"> </w:t>
      </w:r>
      <w:r>
        <w:rPr>
          <w:sz w:val="24"/>
        </w:rPr>
        <w:t>J of Bus L</w:t>
      </w:r>
      <w:r w:rsidRPr="006E2D0C">
        <w:rPr>
          <w:sz w:val="24"/>
        </w:rPr>
        <w:t xml:space="preserve"> 553.</w:t>
      </w:r>
    </w:p>
  </w:footnote>
  <w:footnote w:id="14">
    <w:p w14:paraId="05D2D635" w14:textId="468CFA6F"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A commendable but itself not terribly substantial exception is </w:t>
      </w:r>
      <w:r w:rsidRPr="006E2D0C">
        <w:rPr>
          <w:i/>
          <w:sz w:val="24"/>
        </w:rPr>
        <w:t>Anson</w:t>
      </w:r>
      <w:r w:rsidRPr="006E2D0C">
        <w:rPr>
          <w:sz w:val="24"/>
        </w:rPr>
        <w:t>, into which the distinguished sales lawyer A</w:t>
      </w:r>
      <w:r w:rsidR="006015FA">
        <w:rPr>
          <w:sz w:val="24"/>
        </w:rPr>
        <w:t xml:space="preserve"> G </w:t>
      </w:r>
      <w:r w:rsidRPr="006E2D0C">
        <w:rPr>
          <w:sz w:val="24"/>
        </w:rPr>
        <w:t>Guest introduced a discussion of remedies for breach of a contract of sales which has been preserved in subsequent editions: see now J</w:t>
      </w:r>
      <w:r>
        <w:rPr>
          <w:sz w:val="24"/>
        </w:rPr>
        <w:t>ack</w:t>
      </w:r>
      <w:r w:rsidRPr="006E2D0C">
        <w:rPr>
          <w:sz w:val="24"/>
        </w:rPr>
        <w:t xml:space="preserve"> Beatson</w:t>
      </w:r>
      <w:r w:rsidR="00F931CA">
        <w:rPr>
          <w:sz w:val="24"/>
        </w:rPr>
        <w:t>, Andrew Burrows, and John Cartwright</w:t>
      </w:r>
      <w:r w:rsidRPr="006E2D0C">
        <w:rPr>
          <w:sz w:val="24"/>
        </w:rPr>
        <w:t xml:space="preserve">, </w:t>
      </w:r>
      <w:r w:rsidRPr="006E2D0C">
        <w:rPr>
          <w:i/>
          <w:sz w:val="24"/>
        </w:rPr>
        <w:t>Anson’s Law of Contract</w:t>
      </w:r>
      <w:r w:rsidRPr="006E2D0C">
        <w:rPr>
          <w:sz w:val="24"/>
        </w:rPr>
        <w:t xml:space="preserve"> (</w:t>
      </w:r>
      <w:r>
        <w:rPr>
          <w:sz w:val="24"/>
        </w:rPr>
        <w:t>29th edn, OUP</w:t>
      </w:r>
      <w:r w:rsidRPr="006E2D0C">
        <w:rPr>
          <w:sz w:val="24"/>
        </w:rPr>
        <w:t xml:space="preserve"> 2010) 557-</w:t>
      </w:r>
      <w:r w:rsidR="00B36FEE">
        <w:rPr>
          <w:sz w:val="24"/>
        </w:rPr>
        <w:t>5</w:t>
      </w:r>
      <w:r w:rsidRPr="006E2D0C">
        <w:rPr>
          <w:sz w:val="24"/>
        </w:rPr>
        <w:t>61.</w:t>
      </w:r>
    </w:p>
  </w:footnote>
  <w:footnote w:id="15">
    <w:p w14:paraId="047061AF" w14:textId="645A873D"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w:t>
      </w:r>
      <w:r w:rsidR="006015FA">
        <w:rPr>
          <w:sz w:val="24"/>
        </w:rPr>
        <w:t>H</w:t>
      </w:r>
      <w:r w:rsidRPr="006E2D0C">
        <w:rPr>
          <w:sz w:val="24"/>
        </w:rPr>
        <w:t xml:space="preserve">ereinafter </w:t>
      </w:r>
      <w:r>
        <w:rPr>
          <w:sz w:val="24"/>
        </w:rPr>
        <w:t>‘</w:t>
      </w:r>
      <w:r w:rsidRPr="006E2D0C">
        <w:rPr>
          <w:sz w:val="24"/>
        </w:rPr>
        <w:t>UCC</w:t>
      </w:r>
      <w:r>
        <w:rPr>
          <w:sz w:val="24"/>
        </w:rPr>
        <w:t>’</w:t>
      </w:r>
      <w:r w:rsidRPr="006E2D0C">
        <w:rPr>
          <w:sz w:val="24"/>
        </w:rPr>
        <w:t xml:space="preserve">. The </w:t>
      </w:r>
      <w:r w:rsidRPr="0032269F">
        <w:rPr>
          <w:i/>
          <w:sz w:val="24"/>
        </w:rPr>
        <w:t xml:space="preserve">Restatement </w:t>
      </w:r>
      <w:r>
        <w:rPr>
          <w:i/>
          <w:sz w:val="24"/>
        </w:rPr>
        <w:t xml:space="preserve">of the Law </w:t>
      </w:r>
      <w:r w:rsidRPr="0032269F">
        <w:rPr>
          <w:i/>
          <w:sz w:val="24"/>
        </w:rPr>
        <w:t>Second</w:t>
      </w:r>
      <w:r>
        <w:rPr>
          <w:i/>
          <w:sz w:val="24"/>
        </w:rPr>
        <w:t xml:space="preserve">, </w:t>
      </w:r>
      <w:r w:rsidRPr="0032269F">
        <w:rPr>
          <w:i/>
          <w:sz w:val="24"/>
        </w:rPr>
        <w:t>Contracts</w:t>
      </w:r>
      <w:r w:rsidRPr="006E2D0C">
        <w:rPr>
          <w:sz w:val="24"/>
        </w:rPr>
        <w:t xml:space="preserve">, hereinafter </w:t>
      </w:r>
      <w:r>
        <w:rPr>
          <w:sz w:val="24"/>
        </w:rPr>
        <w:t>‘R2d</w:t>
      </w:r>
      <w:r w:rsidRPr="006E2D0C">
        <w:rPr>
          <w:sz w:val="24"/>
        </w:rPr>
        <w:t xml:space="preserve"> Contracts</w:t>
      </w:r>
      <w:r>
        <w:rPr>
          <w:sz w:val="24"/>
        </w:rPr>
        <w:t>’</w:t>
      </w:r>
      <w:r w:rsidRPr="006E2D0C">
        <w:rPr>
          <w:sz w:val="24"/>
        </w:rPr>
        <w:t>, also explicitly recognises cover under §§ 237, 242, but no detailed consideration of these provisions will be undertaken here: see W</w:t>
      </w:r>
      <w:r>
        <w:rPr>
          <w:sz w:val="24"/>
        </w:rPr>
        <w:t xml:space="preserve">illiam </w:t>
      </w:r>
      <w:r w:rsidRPr="006E2D0C">
        <w:rPr>
          <w:sz w:val="24"/>
        </w:rPr>
        <w:t xml:space="preserve">H Lawrence, ‘Cure After Breach Under the Restatement (Second) of Contracts: An Analytical Comparison with the Uniform Commercial Code’ (1986) 70 </w:t>
      </w:r>
      <w:r>
        <w:rPr>
          <w:sz w:val="24"/>
        </w:rPr>
        <w:t>Minnesota LR</w:t>
      </w:r>
      <w:r w:rsidRPr="006E2D0C">
        <w:rPr>
          <w:sz w:val="24"/>
        </w:rPr>
        <w:t xml:space="preserve"> 713</w:t>
      </w:r>
      <w:r>
        <w:rPr>
          <w:sz w:val="24"/>
        </w:rPr>
        <w:t>;</w:t>
      </w:r>
      <w:r w:rsidRPr="006E2D0C">
        <w:rPr>
          <w:sz w:val="24"/>
        </w:rPr>
        <w:t xml:space="preserve"> and n </w:t>
      </w:r>
      <w:r w:rsidRPr="006E2D0C">
        <w:rPr>
          <w:sz w:val="24"/>
        </w:rPr>
        <w:fldChar w:fldCharType="begin"/>
      </w:r>
      <w:r w:rsidRPr="006E2D0C">
        <w:rPr>
          <w:sz w:val="24"/>
        </w:rPr>
        <w:instrText xml:space="preserve"> NOTEREF _Ref394840904 \h </w:instrText>
      </w:r>
      <w:r w:rsidRPr="006E2D0C">
        <w:rPr>
          <w:sz w:val="24"/>
        </w:rPr>
      </w:r>
      <w:r w:rsidRPr="006E2D0C">
        <w:rPr>
          <w:sz w:val="24"/>
        </w:rPr>
        <w:fldChar w:fldCharType="separate"/>
      </w:r>
      <w:r w:rsidR="00BB2860">
        <w:rPr>
          <w:sz w:val="24"/>
        </w:rPr>
        <w:t>64</w:t>
      </w:r>
      <w:r w:rsidRPr="006E2D0C">
        <w:rPr>
          <w:sz w:val="24"/>
        </w:rPr>
        <w:fldChar w:fldCharType="end"/>
      </w:r>
      <w:r w:rsidRPr="006E2D0C">
        <w:rPr>
          <w:sz w:val="24"/>
        </w:rPr>
        <w:t xml:space="preserve"> below.</w:t>
      </w:r>
    </w:p>
  </w:footnote>
  <w:footnote w:id="16">
    <w:p w14:paraId="6660336A" w14:textId="47381453"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c 54, hereinafter </w:t>
      </w:r>
      <w:r>
        <w:rPr>
          <w:sz w:val="24"/>
        </w:rPr>
        <w:t>‘</w:t>
      </w:r>
      <w:r w:rsidRPr="006E2D0C">
        <w:rPr>
          <w:sz w:val="24"/>
        </w:rPr>
        <w:t>SoGA</w:t>
      </w:r>
      <w:r>
        <w:rPr>
          <w:sz w:val="24"/>
        </w:rPr>
        <w:t>’</w:t>
      </w:r>
      <w:r w:rsidRPr="006E2D0C">
        <w:rPr>
          <w:sz w:val="24"/>
        </w:rPr>
        <w:t>. The original Sale of Goods Act 1893 (56 and 57 Vict c 71) was adopted throughout</w:t>
      </w:r>
      <w:r>
        <w:rPr>
          <w:sz w:val="24"/>
        </w:rPr>
        <w:t xml:space="preserve"> the Common L</w:t>
      </w:r>
      <w:r w:rsidRPr="006E2D0C">
        <w:rPr>
          <w:sz w:val="24"/>
        </w:rPr>
        <w:t>aw world, inclu</w:t>
      </w:r>
      <w:r>
        <w:rPr>
          <w:sz w:val="24"/>
        </w:rPr>
        <w:t>ding, as we shall see, the US. S</w:t>
      </w:r>
      <w:r w:rsidRPr="006E2D0C">
        <w:rPr>
          <w:sz w:val="24"/>
        </w:rPr>
        <w:t>s 51 and 54 of SoGA are almost verbatim reenactments of</w:t>
      </w:r>
      <w:r>
        <w:rPr>
          <w:sz w:val="24"/>
        </w:rPr>
        <w:t xml:space="preserve"> those sections of the 1893 Act</w:t>
      </w:r>
      <w:r w:rsidRPr="006E2D0C">
        <w:rPr>
          <w:sz w:val="24"/>
        </w:rPr>
        <w:t xml:space="preserve">. </w:t>
      </w:r>
    </w:p>
  </w:footnote>
  <w:footnote w:id="17">
    <w:p w14:paraId="13A1563B" w14:textId="7777777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[1914] AC 510, 531 (HL).</w:t>
      </w:r>
    </w:p>
  </w:footnote>
  <w:footnote w:id="18">
    <w:p w14:paraId="2F75DE6A" w14:textId="0B318FAF"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Eg</w:t>
      </w:r>
      <w:r w:rsidRPr="006E2D0C">
        <w:rPr>
          <w:sz w:val="24"/>
        </w:rPr>
        <w:t xml:space="preserve"> </w:t>
      </w:r>
      <w:r w:rsidRPr="006E2D0C">
        <w:rPr>
          <w:sz w:val="24"/>
          <w:lang w:val="en-GB"/>
        </w:rPr>
        <w:t>H</w:t>
      </w:r>
      <w:r>
        <w:rPr>
          <w:sz w:val="24"/>
          <w:lang w:val="en-GB"/>
        </w:rPr>
        <w:t>ugh</w:t>
      </w:r>
      <w:r w:rsidRPr="006E2D0C">
        <w:rPr>
          <w:sz w:val="24"/>
          <w:lang w:val="en-GB"/>
        </w:rPr>
        <w:t xml:space="preserve"> Beale and T</w:t>
      </w:r>
      <w:r>
        <w:rPr>
          <w:sz w:val="24"/>
          <w:lang w:val="en-GB"/>
        </w:rPr>
        <w:t>ony</w:t>
      </w:r>
      <w:r w:rsidRPr="006E2D0C">
        <w:rPr>
          <w:sz w:val="24"/>
          <w:lang w:val="en-GB"/>
        </w:rPr>
        <w:t xml:space="preserve"> Dugdale</w:t>
      </w:r>
      <w:r>
        <w:rPr>
          <w:sz w:val="24"/>
          <w:lang w:val="en-GB"/>
        </w:rPr>
        <w:t>, ‘</w:t>
      </w:r>
      <w:r w:rsidRPr="006E2D0C">
        <w:rPr>
          <w:sz w:val="24"/>
          <w:lang w:val="en-GB"/>
        </w:rPr>
        <w:t xml:space="preserve">Contracts Between Businessmen: Planning and </w:t>
      </w:r>
      <w:r>
        <w:rPr>
          <w:sz w:val="24"/>
          <w:lang w:val="en-GB"/>
        </w:rPr>
        <w:t>the Use of Contractual Remedies’</w:t>
      </w:r>
      <w:r w:rsidRPr="006E2D0C">
        <w:rPr>
          <w:sz w:val="24"/>
          <w:lang w:val="en-GB"/>
        </w:rPr>
        <w:t xml:space="preserve"> (1975) 2 </w:t>
      </w:r>
      <w:r>
        <w:rPr>
          <w:sz w:val="24"/>
          <w:lang w:val="en-GB"/>
        </w:rPr>
        <w:t>Brit J of L</w:t>
      </w:r>
      <w:r w:rsidRPr="00B75CF0">
        <w:rPr>
          <w:sz w:val="24"/>
          <w:lang w:val="en-GB"/>
        </w:rPr>
        <w:t xml:space="preserve"> and Society</w:t>
      </w:r>
      <w:r w:rsidRPr="006E2D0C">
        <w:rPr>
          <w:i/>
          <w:sz w:val="24"/>
          <w:lang w:val="en-GB"/>
        </w:rPr>
        <w:t xml:space="preserve"> </w:t>
      </w:r>
      <w:r w:rsidRPr="006E2D0C">
        <w:rPr>
          <w:sz w:val="24"/>
          <w:lang w:val="en-GB"/>
        </w:rPr>
        <w:t>45</w:t>
      </w:r>
      <w:r w:rsidRPr="006E2D0C">
        <w:rPr>
          <w:sz w:val="24"/>
        </w:rPr>
        <w:t>.</w:t>
      </w:r>
    </w:p>
  </w:footnote>
  <w:footnote w:id="19">
    <w:p w14:paraId="57E25F33" w14:textId="77777777"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Reasons of space preclude discussion of the range of issues here and their relationship to cover. </w:t>
      </w:r>
    </w:p>
  </w:footnote>
  <w:footnote w:id="20">
    <w:p w14:paraId="226B0770" w14:textId="2D520E38"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sidR="006015FA">
        <w:rPr>
          <w:sz w:val="24"/>
        </w:rPr>
        <w:t xml:space="preserve">James J White and Robert S Summers, The Uniform Commercial Code (6th edn, West 2010) </w:t>
      </w:r>
      <w:r w:rsidRPr="006E2D0C">
        <w:rPr>
          <w:sz w:val="24"/>
        </w:rPr>
        <w:t>§ 7</w:t>
      </w:r>
      <w:r w:rsidR="00B36FEE">
        <w:rPr>
          <w:sz w:val="24"/>
        </w:rPr>
        <w:t>-</w:t>
      </w:r>
      <w:r w:rsidRPr="006E2D0C">
        <w:rPr>
          <w:sz w:val="24"/>
        </w:rPr>
        <w:t>4 n 1.</w:t>
      </w:r>
    </w:p>
  </w:footnote>
  <w:footnote w:id="21">
    <w:p w14:paraId="7F091A57" w14:textId="11C867BB"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H</w:t>
      </w:r>
      <w:r>
        <w:rPr>
          <w:sz w:val="24"/>
        </w:rPr>
        <w:t>arvey</w:t>
      </w:r>
      <w:r w:rsidRPr="006E2D0C">
        <w:rPr>
          <w:sz w:val="24"/>
        </w:rPr>
        <w:t xml:space="preserve"> McGregor, </w:t>
      </w:r>
      <w:r w:rsidRPr="006E2D0C">
        <w:rPr>
          <w:i/>
          <w:sz w:val="24"/>
        </w:rPr>
        <w:t>McGregor on Damages</w:t>
      </w:r>
      <w:r w:rsidRPr="006E2D0C">
        <w:rPr>
          <w:sz w:val="24"/>
        </w:rPr>
        <w:t xml:space="preserve"> (</w:t>
      </w:r>
      <w:r w:rsidR="001A3FE4">
        <w:rPr>
          <w:sz w:val="24"/>
        </w:rPr>
        <w:t>19th edn, Sweet and Maxwell 2014) para 23</w:t>
      </w:r>
      <w:r w:rsidR="00B36FEE">
        <w:rPr>
          <w:sz w:val="24"/>
        </w:rPr>
        <w:t>-</w:t>
      </w:r>
      <w:r>
        <w:rPr>
          <w:sz w:val="24"/>
        </w:rPr>
        <w:t>005; s</w:t>
      </w:r>
      <w:r w:rsidRPr="006E2D0C">
        <w:rPr>
          <w:sz w:val="24"/>
        </w:rPr>
        <w:t>ee further paras 20</w:t>
      </w:r>
      <w:r w:rsidR="00B36FEE">
        <w:rPr>
          <w:sz w:val="24"/>
        </w:rPr>
        <w:t>-</w:t>
      </w:r>
      <w:r w:rsidRPr="006E2D0C">
        <w:rPr>
          <w:sz w:val="24"/>
        </w:rPr>
        <w:t>01</w:t>
      </w:r>
      <w:r w:rsidR="001A3FE4">
        <w:rPr>
          <w:sz w:val="24"/>
        </w:rPr>
        <w:t>3</w:t>
      </w:r>
      <w:r w:rsidRPr="006E2D0C">
        <w:rPr>
          <w:sz w:val="24"/>
        </w:rPr>
        <w:t xml:space="preserve"> </w:t>
      </w:r>
      <w:r>
        <w:rPr>
          <w:sz w:val="24"/>
        </w:rPr>
        <w:t xml:space="preserve">and </w:t>
      </w:r>
      <w:r w:rsidRPr="006E2D0C">
        <w:rPr>
          <w:sz w:val="24"/>
        </w:rPr>
        <w:t>20</w:t>
      </w:r>
      <w:r w:rsidR="00B36FEE">
        <w:rPr>
          <w:sz w:val="24"/>
        </w:rPr>
        <w:t>-</w:t>
      </w:r>
      <w:r w:rsidRPr="006E2D0C">
        <w:rPr>
          <w:sz w:val="24"/>
        </w:rPr>
        <w:t>02</w:t>
      </w:r>
      <w:r w:rsidR="001A3FE4">
        <w:rPr>
          <w:sz w:val="24"/>
        </w:rPr>
        <w:t>6</w:t>
      </w:r>
      <w:r w:rsidRPr="006E2D0C">
        <w:rPr>
          <w:sz w:val="24"/>
        </w:rPr>
        <w:t xml:space="preserve">. The case I have found most valuable in making this point to Commonwealth students over thirty years of teaching this topic is </w:t>
      </w:r>
      <w:r w:rsidRPr="006E2D0C">
        <w:rPr>
          <w:i/>
          <w:sz w:val="24"/>
        </w:rPr>
        <w:t>Charter v Sullivan</w:t>
      </w:r>
      <w:r w:rsidRPr="006E2D0C">
        <w:rPr>
          <w:sz w:val="24"/>
        </w:rPr>
        <w:t xml:space="preserve"> [1957] 2 QB 117 (CA), an unsuccessful lost volume case in which the seller’s damages were therefore nominal. It may be, and very commonly is, contrasted to the successful lost volume case of </w:t>
      </w:r>
      <w:r w:rsidRPr="006E2D0C">
        <w:rPr>
          <w:i/>
          <w:sz w:val="24"/>
        </w:rPr>
        <w:t>W</w:t>
      </w:r>
      <w:r>
        <w:rPr>
          <w:i/>
          <w:sz w:val="24"/>
        </w:rPr>
        <w:t xml:space="preserve"> </w:t>
      </w:r>
      <w:r w:rsidRPr="006E2D0C">
        <w:rPr>
          <w:i/>
          <w:sz w:val="24"/>
        </w:rPr>
        <w:t>L Thompson Ltd v Robinson (Gunmakers) Ltd</w:t>
      </w:r>
      <w:r>
        <w:rPr>
          <w:sz w:val="24"/>
        </w:rPr>
        <w:t xml:space="preserve"> [1955] Ch 177 (Ch</w:t>
      </w:r>
      <w:r w:rsidR="00B36FEE">
        <w:rPr>
          <w:sz w:val="24"/>
        </w:rPr>
        <w:t xml:space="preserve"> D</w:t>
      </w:r>
      <w:r w:rsidRPr="006E2D0C">
        <w:rPr>
          <w:sz w:val="24"/>
        </w:rPr>
        <w:t xml:space="preserve">). </w:t>
      </w:r>
    </w:p>
  </w:footnote>
  <w:footnote w:id="22">
    <w:p w14:paraId="1B4486D3" w14:textId="23EBC712"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D</w:t>
      </w:r>
      <w:r>
        <w:rPr>
          <w:sz w:val="24"/>
        </w:rPr>
        <w:t>avid</w:t>
      </w:r>
      <w:r w:rsidRPr="006E2D0C">
        <w:rPr>
          <w:sz w:val="24"/>
        </w:rPr>
        <w:t xml:space="preserve"> Campbell, ‘What Do We Mean By the Non-use of Contract?’ in J</w:t>
      </w:r>
      <w:r>
        <w:rPr>
          <w:sz w:val="24"/>
        </w:rPr>
        <w:t>ean</w:t>
      </w:r>
      <w:r w:rsidRPr="006E2D0C">
        <w:rPr>
          <w:sz w:val="24"/>
        </w:rPr>
        <w:t xml:space="preserve"> Braucher</w:t>
      </w:r>
      <w:r w:rsidR="00F931CA">
        <w:rPr>
          <w:sz w:val="24"/>
        </w:rPr>
        <w:t xml:space="preserve">, John Kidwell, and William C Whitford </w:t>
      </w:r>
      <w:r w:rsidRPr="006E2D0C">
        <w:rPr>
          <w:sz w:val="24"/>
        </w:rPr>
        <w:t xml:space="preserve">(eds) </w:t>
      </w:r>
      <w:r w:rsidRPr="006E2D0C">
        <w:rPr>
          <w:i/>
          <w:sz w:val="24"/>
        </w:rPr>
        <w:t>Revisiting the Contracts Scholarship of Stewart Macaulay: On the Empirical and the Lyrical</w:t>
      </w:r>
      <w:r w:rsidRPr="006E2D0C">
        <w:rPr>
          <w:sz w:val="24"/>
        </w:rPr>
        <w:t xml:space="preserve"> (</w:t>
      </w:r>
      <w:r>
        <w:rPr>
          <w:sz w:val="24"/>
        </w:rPr>
        <w:t>Hart 2013) 177–1</w:t>
      </w:r>
      <w:r w:rsidRPr="006E2D0C">
        <w:rPr>
          <w:sz w:val="24"/>
        </w:rPr>
        <w:t>81.</w:t>
      </w:r>
    </w:p>
  </w:footnote>
  <w:footnote w:id="23">
    <w:p w14:paraId="2EF51303" w14:textId="2B9820A1"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D</w:t>
      </w:r>
      <w:r>
        <w:rPr>
          <w:sz w:val="24"/>
        </w:rPr>
        <w:t>avid</w:t>
      </w:r>
      <w:r w:rsidRPr="006E2D0C">
        <w:rPr>
          <w:sz w:val="24"/>
        </w:rPr>
        <w:t xml:space="preserve"> Campbell, ‘The Relational Constitution of Remedy: Co-operation as the Implicit Second Principle of Remedies for Breach of Contract’ (2005) 11 </w:t>
      </w:r>
      <w:r w:rsidRPr="008521CA">
        <w:rPr>
          <w:sz w:val="24"/>
        </w:rPr>
        <w:t xml:space="preserve">Texas Wesleyan </w:t>
      </w:r>
      <w:r>
        <w:rPr>
          <w:sz w:val="24"/>
        </w:rPr>
        <w:t xml:space="preserve">LR </w:t>
      </w:r>
      <w:r w:rsidRPr="006E2D0C">
        <w:rPr>
          <w:sz w:val="24"/>
        </w:rPr>
        <w:t>455, 456.</w:t>
      </w:r>
    </w:p>
  </w:footnote>
  <w:footnote w:id="24">
    <w:p w14:paraId="0AE72313" w14:textId="3C80FCA9"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(1854) 9 Ex 341</w:t>
      </w:r>
      <w:r w:rsidR="00EA1484">
        <w:rPr>
          <w:sz w:val="24"/>
        </w:rPr>
        <w:t xml:space="preserve"> (Ex Ct)</w:t>
      </w:r>
      <w:r>
        <w:rPr>
          <w:sz w:val="24"/>
        </w:rPr>
        <w:t>, 355–3</w:t>
      </w:r>
      <w:r w:rsidRPr="006E2D0C">
        <w:rPr>
          <w:sz w:val="24"/>
        </w:rPr>
        <w:t>56.</w:t>
      </w:r>
    </w:p>
  </w:footnote>
  <w:footnote w:id="25">
    <w:p w14:paraId="6039403B" w14:textId="3B69A1DB"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(1848) 1 Exch 850</w:t>
      </w:r>
      <w:r w:rsidR="00EA1484">
        <w:rPr>
          <w:sz w:val="24"/>
        </w:rPr>
        <w:t xml:space="preserve"> (Ex Ct)</w:t>
      </w:r>
      <w:r w:rsidRPr="006E2D0C">
        <w:rPr>
          <w:sz w:val="24"/>
        </w:rPr>
        <w:t>, 855.</w:t>
      </w:r>
    </w:p>
  </w:footnote>
  <w:footnote w:id="26">
    <w:p w14:paraId="0F61F758" w14:textId="7777777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UCC § 2-716(1) (cf § 2-712 c 3) and SoGA s 52.</w:t>
      </w:r>
    </w:p>
  </w:footnote>
  <w:footnote w:id="27">
    <w:p w14:paraId="3C5AB1A0" w14:textId="0FA8A768"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Campbell (</w:t>
      </w:r>
      <w:r w:rsidRPr="006E2D0C">
        <w:rPr>
          <w:sz w:val="24"/>
        </w:rPr>
        <w:t xml:space="preserve">n </w:t>
      </w:r>
      <w:r w:rsidRPr="006E2D0C">
        <w:rPr>
          <w:sz w:val="24"/>
        </w:rPr>
        <w:fldChar w:fldCharType="begin"/>
      </w:r>
      <w:r w:rsidRPr="006E2D0C">
        <w:rPr>
          <w:sz w:val="24"/>
        </w:rPr>
        <w:instrText xml:space="preserve"> NOTEREF _Ref373502752 \h </w:instrText>
      </w:r>
      <w:r w:rsidRPr="006E2D0C">
        <w:rPr>
          <w:sz w:val="24"/>
        </w:rPr>
      </w:r>
      <w:r w:rsidRPr="006E2D0C">
        <w:rPr>
          <w:sz w:val="24"/>
        </w:rPr>
        <w:fldChar w:fldCharType="separate"/>
      </w:r>
      <w:r w:rsidR="00BB2860">
        <w:rPr>
          <w:sz w:val="24"/>
        </w:rPr>
        <w:t>21</w:t>
      </w:r>
      <w:r w:rsidRPr="006E2D0C">
        <w:rPr>
          <w:sz w:val="24"/>
        </w:rPr>
        <w:fldChar w:fldCharType="end"/>
      </w:r>
      <w:r w:rsidR="004F185C">
        <w:rPr>
          <w:sz w:val="24"/>
        </w:rPr>
        <w:t>) 182</w:t>
      </w:r>
      <w:r>
        <w:rPr>
          <w:sz w:val="24"/>
        </w:rPr>
        <w:t>–</w:t>
      </w:r>
      <w:r w:rsidR="004F185C">
        <w:rPr>
          <w:sz w:val="24"/>
        </w:rPr>
        <w:t>83.</w:t>
      </w:r>
    </w:p>
  </w:footnote>
  <w:footnote w:id="28">
    <w:p w14:paraId="7E5D2BFA" w14:textId="18821BF8"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M</w:t>
      </w:r>
      <w:r>
        <w:rPr>
          <w:sz w:val="24"/>
        </w:rPr>
        <w:t xml:space="preserve">ackenzie </w:t>
      </w:r>
      <w:r w:rsidRPr="006E2D0C">
        <w:rPr>
          <w:sz w:val="24"/>
        </w:rPr>
        <w:t xml:space="preserve">D Chalmers, </w:t>
      </w:r>
      <w:r w:rsidRPr="006E2D0C">
        <w:rPr>
          <w:i/>
          <w:sz w:val="24"/>
        </w:rPr>
        <w:t>The Sale of Goods Act 1893</w:t>
      </w:r>
      <w:r w:rsidRPr="006E2D0C">
        <w:rPr>
          <w:sz w:val="24"/>
        </w:rPr>
        <w:t xml:space="preserve"> (</w:t>
      </w:r>
      <w:r>
        <w:rPr>
          <w:sz w:val="24"/>
        </w:rPr>
        <w:t>2nd edn, William Clowes and Sons 1894) iv–</w:t>
      </w:r>
      <w:r w:rsidRPr="006E2D0C">
        <w:rPr>
          <w:sz w:val="24"/>
        </w:rPr>
        <w:t xml:space="preserve">v. It is very instructive to compare this book with its first edition, published prior </w:t>
      </w:r>
      <w:r w:rsidR="00675DEE">
        <w:rPr>
          <w:sz w:val="24"/>
        </w:rPr>
        <w:t>to the Act in 1890. The Common L</w:t>
      </w:r>
      <w:r w:rsidRPr="006E2D0C">
        <w:rPr>
          <w:sz w:val="24"/>
        </w:rPr>
        <w:t xml:space="preserve">aw codified as s 51(3) was that stated in </w:t>
      </w:r>
      <w:r w:rsidRPr="006E2D0C">
        <w:rPr>
          <w:i/>
          <w:sz w:val="24"/>
        </w:rPr>
        <w:t>Barrow v Arnaud</w:t>
      </w:r>
      <w:r>
        <w:rPr>
          <w:sz w:val="24"/>
        </w:rPr>
        <w:t xml:space="preserve"> (1846) 8 QB 595, 609–</w:t>
      </w:r>
      <w:r w:rsidR="00B36FEE">
        <w:rPr>
          <w:sz w:val="24"/>
        </w:rPr>
        <w:t>6</w:t>
      </w:r>
      <w:r w:rsidRPr="006E2D0C">
        <w:rPr>
          <w:sz w:val="24"/>
        </w:rPr>
        <w:t>10.</w:t>
      </w:r>
    </w:p>
  </w:footnote>
  <w:footnote w:id="29">
    <w:p w14:paraId="7A50A8E1" w14:textId="6DB8C7A8" w:rsidR="001A4769" w:rsidRDefault="001A4769">
      <w:pPr>
        <w:pStyle w:val="FootnoteText"/>
        <w:rPr>
          <w:sz w:val="24"/>
        </w:rPr>
      </w:pPr>
      <w:r w:rsidRPr="001A4769">
        <w:rPr>
          <w:rStyle w:val="FootnoteReference"/>
          <w:sz w:val="24"/>
        </w:rPr>
        <w:footnoteRef/>
      </w:r>
      <w:r w:rsidRPr="001A4769">
        <w:rPr>
          <w:rStyle w:val="FootnoteReference"/>
          <w:sz w:val="24"/>
        </w:rPr>
        <w:t xml:space="preserve"> </w:t>
      </w:r>
      <w:r>
        <w:rPr>
          <w:sz w:val="24"/>
        </w:rPr>
        <w:t>Because it is available online via Google Books or the Haithi Trust, a particularly useful source of the text of the 1906 Act is John O Madden, Uniform Sales Act (McMaster Co 1923) 9-110.</w:t>
      </w:r>
    </w:p>
    <w:p w14:paraId="362F91FB" w14:textId="77777777" w:rsidR="00675DEE" w:rsidRPr="001A4769" w:rsidRDefault="00675DEE">
      <w:pPr>
        <w:pStyle w:val="FootnoteText"/>
        <w:rPr>
          <w:lang w:val="en-GB"/>
        </w:rPr>
      </w:pPr>
    </w:p>
  </w:footnote>
  <w:footnote w:id="30">
    <w:p w14:paraId="576D0264" w14:textId="3F28744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S</w:t>
      </w:r>
      <w:r>
        <w:rPr>
          <w:sz w:val="24"/>
        </w:rPr>
        <w:t>amuel</w:t>
      </w:r>
      <w:r w:rsidRPr="006E2D0C">
        <w:rPr>
          <w:sz w:val="24"/>
        </w:rPr>
        <w:t xml:space="preserve"> Williston, ‘The Law of Sales in the Proposed Uniform Commercial Code’ (1950) 63 </w:t>
      </w:r>
      <w:r>
        <w:rPr>
          <w:sz w:val="24"/>
        </w:rPr>
        <w:t xml:space="preserve">Harv LR </w:t>
      </w:r>
      <w:r w:rsidRPr="006E2D0C">
        <w:rPr>
          <w:sz w:val="24"/>
        </w:rPr>
        <w:t xml:space="preserve">561, 564. </w:t>
      </w:r>
    </w:p>
  </w:footnote>
  <w:footnote w:id="31">
    <w:p w14:paraId="0C0197D0" w14:textId="0104F345"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Pr>
          <w:sz w:val="24"/>
        </w:rPr>
        <w:t xml:space="preserve">Williston (n </w:t>
      </w:r>
      <w:r>
        <w:rPr>
          <w:sz w:val="24"/>
        </w:rPr>
        <w:fldChar w:fldCharType="begin"/>
      </w:r>
      <w:r>
        <w:rPr>
          <w:sz w:val="24"/>
        </w:rPr>
        <w:instrText xml:space="preserve"> NOTEREF _Ref278014648 \h </w:instrText>
      </w:r>
      <w:r>
        <w:rPr>
          <w:sz w:val="24"/>
        </w:rPr>
      </w:r>
      <w:r>
        <w:rPr>
          <w:sz w:val="24"/>
        </w:rPr>
        <w:fldChar w:fldCharType="separate"/>
      </w:r>
      <w:r w:rsidR="00BB2860">
        <w:rPr>
          <w:sz w:val="24"/>
        </w:rPr>
        <w:t>29</w:t>
      </w:r>
      <w:r>
        <w:rPr>
          <w:sz w:val="24"/>
        </w:rPr>
        <w:fldChar w:fldCharType="end"/>
      </w:r>
      <w:r>
        <w:rPr>
          <w:sz w:val="24"/>
        </w:rPr>
        <w:t>)</w:t>
      </w:r>
      <w:r w:rsidRPr="006E2D0C">
        <w:rPr>
          <w:sz w:val="24"/>
        </w:rPr>
        <w:t xml:space="preserve"> 561, 565, 573.</w:t>
      </w:r>
    </w:p>
  </w:footnote>
  <w:footnote w:id="32">
    <w:p w14:paraId="3429C61A" w14:textId="23ED9AB0"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National Conference of Commissioners on Uniform State Laws, </w:t>
      </w:r>
      <w:r w:rsidRPr="006E2D0C">
        <w:rPr>
          <w:i/>
          <w:sz w:val="24"/>
        </w:rPr>
        <w:t>The Revised Uniform Sales Act: Report and Second Draft</w:t>
      </w:r>
      <w:r w:rsidRPr="006E2D0C">
        <w:rPr>
          <w:sz w:val="24"/>
        </w:rPr>
        <w:t xml:space="preserve"> (n</w:t>
      </w:r>
      <w:r w:rsidR="004F185C">
        <w:rPr>
          <w:sz w:val="24"/>
        </w:rPr>
        <w:t xml:space="preserve">ot published </w:t>
      </w:r>
      <w:r w:rsidRPr="006E2D0C">
        <w:rPr>
          <w:sz w:val="24"/>
        </w:rPr>
        <w:t>1941) 7.</w:t>
      </w:r>
      <w:r w:rsidR="004F185C">
        <w:rPr>
          <w:sz w:val="24"/>
        </w:rPr>
        <w:t xml:space="preserve"> This </w:t>
      </w:r>
      <w:r w:rsidR="004F185C" w:rsidRPr="004F185C">
        <w:rPr>
          <w:i/>
          <w:sz w:val="24"/>
        </w:rPr>
        <w:t>Report</w:t>
      </w:r>
      <w:r w:rsidR="004F185C">
        <w:rPr>
          <w:sz w:val="24"/>
        </w:rPr>
        <w:t xml:space="preserve"> is available via the Library of Congress.</w:t>
      </w:r>
    </w:p>
  </w:footnote>
  <w:footnote w:id="33">
    <w:p w14:paraId="41A1AE7C" w14:textId="269B05DB"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Reasons of space preclude discussion of the retention of </w:t>
      </w:r>
      <w:r w:rsidRPr="006E2D0C">
        <w:rPr>
          <w:sz w:val="24"/>
          <w:lang w:val="en-GB"/>
        </w:rPr>
        <w:t xml:space="preserve">§ </w:t>
      </w:r>
      <w:r w:rsidRPr="006E2D0C">
        <w:rPr>
          <w:sz w:val="24"/>
        </w:rPr>
        <w:t xml:space="preserve">2-713, albeit on terms which sought to strengthen all the limitations to its use in the existing UCC which I am about to discuss, in the abandoned revision of Art 2: American Law Institute: </w:t>
      </w:r>
      <w:r w:rsidRPr="006E2D0C">
        <w:rPr>
          <w:i/>
          <w:sz w:val="24"/>
        </w:rPr>
        <w:t>Uniform Commercial Code Revised Article 2 Sales: Discussion Draft 14 April 1997</w:t>
      </w:r>
      <w:r w:rsidRPr="006E2D0C">
        <w:rPr>
          <w:sz w:val="24"/>
        </w:rPr>
        <w:t xml:space="preserve"> (</w:t>
      </w:r>
      <w:r>
        <w:rPr>
          <w:sz w:val="24"/>
        </w:rPr>
        <w:t>American Law Institute 1997) 145; s</w:t>
      </w:r>
      <w:r w:rsidRPr="006E2D0C">
        <w:rPr>
          <w:sz w:val="24"/>
        </w:rPr>
        <w:t xml:space="preserve">ee, however, n </w:t>
      </w:r>
      <w:r w:rsidRPr="006E2D0C">
        <w:rPr>
          <w:sz w:val="24"/>
        </w:rPr>
        <w:fldChar w:fldCharType="begin"/>
      </w:r>
      <w:r w:rsidRPr="006E2D0C">
        <w:rPr>
          <w:sz w:val="24"/>
        </w:rPr>
        <w:instrText xml:space="preserve"> NOTEREF _Ref394840904 \h </w:instrText>
      </w:r>
      <w:r w:rsidRPr="006E2D0C">
        <w:rPr>
          <w:sz w:val="24"/>
        </w:rPr>
      </w:r>
      <w:r w:rsidRPr="006E2D0C">
        <w:rPr>
          <w:sz w:val="24"/>
        </w:rPr>
        <w:fldChar w:fldCharType="separate"/>
      </w:r>
      <w:r w:rsidR="00BB2860">
        <w:rPr>
          <w:sz w:val="24"/>
        </w:rPr>
        <w:t>64</w:t>
      </w:r>
      <w:r w:rsidRPr="006E2D0C">
        <w:rPr>
          <w:sz w:val="24"/>
        </w:rPr>
        <w:fldChar w:fldCharType="end"/>
      </w:r>
      <w:r w:rsidRPr="006E2D0C">
        <w:rPr>
          <w:sz w:val="24"/>
        </w:rPr>
        <w:t xml:space="preserve">. These reasons also preclude reference to existing and proposed European and international contract codes. </w:t>
      </w:r>
    </w:p>
  </w:footnote>
  <w:footnote w:id="34">
    <w:p w14:paraId="72AF991F" w14:textId="22D8B29F"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E</w:t>
      </w:r>
      <w:r>
        <w:rPr>
          <w:sz w:val="24"/>
        </w:rPr>
        <w:t xml:space="preserve">llen </w:t>
      </w:r>
      <w:r w:rsidRPr="006E2D0C">
        <w:rPr>
          <w:sz w:val="24"/>
        </w:rPr>
        <w:t xml:space="preserve">A Peters, ‘Remedies for Breach of Contracts Relating to the Sale of Goods Under the Uniform Commercial Code: A Roadmap for Article 2’ (1963) 73 </w:t>
      </w:r>
      <w:r>
        <w:rPr>
          <w:sz w:val="24"/>
        </w:rPr>
        <w:t>Yale LJ</w:t>
      </w:r>
      <w:r w:rsidRPr="006E2D0C">
        <w:rPr>
          <w:sz w:val="24"/>
        </w:rPr>
        <w:t xml:space="preserve"> 199, 260.</w:t>
      </w:r>
    </w:p>
  </w:footnote>
  <w:footnote w:id="35">
    <w:p w14:paraId="55921E71" w14:textId="7777777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I speculate that it would have unwelcome consequences for the buyer’s reputation that would eventually stop it. </w:t>
      </w:r>
    </w:p>
  </w:footnote>
  <w:footnote w:id="36">
    <w:p w14:paraId="61A6A958" w14:textId="11E8D6E1"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Strikingly similar lists of these (and other) problems are given in </w:t>
      </w:r>
      <w:r w:rsidR="00D7628F">
        <w:rPr>
          <w:sz w:val="24"/>
        </w:rPr>
        <w:t xml:space="preserve">Ewan </w:t>
      </w:r>
      <w:r w:rsidRPr="006E2D0C">
        <w:rPr>
          <w:sz w:val="24"/>
        </w:rPr>
        <w:t xml:space="preserve">McKendrick, </w:t>
      </w:r>
      <w:r w:rsidR="00D7628F" w:rsidRPr="00AA35B2">
        <w:rPr>
          <w:i/>
          <w:sz w:val="24"/>
        </w:rPr>
        <w:t>Goode on Commercial Law</w:t>
      </w:r>
      <w:r w:rsidR="00D7628F">
        <w:rPr>
          <w:sz w:val="24"/>
        </w:rPr>
        <w:t xml:space="preserve"> (4th edn, Penguin </w:t>
      </w:r>
      <w:r w:rsidR="00AA35B2">
        <w:rPr>
          <w:sz w:val="24"/>
        </w:rPr>
        <w:t xml:space="preserve">2010) </w:t>
      </w:r>
      <w:r>
        <w:rPr>
          <w:sz w:val="24"/>
        </w:rPr>
        <w:t>400</w:t>
      </w:r>
      <w:r w:rsidR="00B36FEE">
        <w:rPr>
          <w:sz w:val="24"/>
        </w:rPr>
        <w:t>-401</w:t>
      </w:r>
      <w:r>
        <w:rPr>
          <w:sz w:val="24"/>
        </w:rPr>
        <w:t>, 403–</w:t>
      </w:r>
      <w:r w:rsidR="00B36FEE">
        <w:rPr>
          <w:sz w:val="24"/>
        </w:rPr>
        <w:t>40</w:t>
      </w:r>
      <w:r>
        <w:rPr>
          <w:sz w:val="24"/>
        </w:rPr>
        <w:t>4 and White and Summers (</w:t>
      </w:r>
      <w:r w:rsidRPr="006E2D0C">
        <w:rPr>
          <w:sz w:val="24"/>
        </w:rPr>
        <w:t>n</w:t>
      </w:r>
      <w:r w:rsidR="00AA35B2">
        <w:rPr>
          <w:sz w:val="24"/>
        </w:rPr>
        <w:t xml:space="preserve"> </w:t>
      </w:r>
      <w:r w:rsidR="00AA35B2">
        <w:rPr>
          <w:sz w:val="24"/>
        </w:rPr>
        <w:fldChar w:fldCharType="begin"/>
      </w:r>
      <w:r w:rsidR="00AA35B2">
        <w:rPr>
          <w:sz w:val="24"/>
        </w:rPr>
        <w:instrText xml:space="preserve"> NOTEREF _Ref363799756 \h </w:instrText>
      </w:r>
      <w:r w:rsidR="00AA35B2">
        <w:rPr>
          <w:sz w:val="24"/>
        </w:rPr>
      </w:r>
      <w:r w:rsidR="00AA35B2">
        <w:rPr>
          <w:sz w:val="24"/>
        </w:rPr>
        <w:fldChar w:fldCharType="separate"/>
      </w:r>
      <w:r w:rsidR="00BB2860">
        <w:rPr>
          <w:sz w:val="24"/>
        </w:rPr>
        <w:t>19</w:t>
      </w:r>
      <w:r w:rsidR="00AA35B2">
        <w:rPr>
          <w:sz w:val="24"/>
        </w:rPr>
        <w:fldChar w:fldCharType="end"/>
      </w:r>
      <w:r>
        <w:rPr>
          <w:sz w:val="24"/>
        </w:rPr>
        <w:t>)</w:t>
      </w:r>
      <w:r w:rsidRPr="006E2D0C">
        <w:rPr>
          <w:sz w:val="24"/>
        </w:rPr>
        <w:t xml:space="preserve"> § 7-4.</w:t>
      </w:r>
    </w:p>
  </w:footnote>
  <w:footnote w:id="37">
    <w:p w14:paraId="51BB7C12" w14:textId="44A5A792"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sidRPr="006E2D0C">
        <w:rPr>
          <w:i/>
          <w:sz w:val="24"/>
        </w:rPr>
        <w:t>Charrington and Co v Wooder</w:t>
      </w:r>
      <w:r w:rsidRPr="006E2D0C">
        <w:rPr>
          <w:sz w:val="24"/>
        </w:rPr>
        <w:t xml:space="preserve"> [1914] AC 71 (HL)</w:t>
      </w:r>
      <w:r>
        <w:rPr>
          <w:sz w:val="24"/>
        </w:rPr>
        <w:t xml:space="preserve">, </w:t>
      </w:r>
      <w:r w:rsidRPr="006E2D0C">
        <w:rPr>
          <w:sz w:val="24"/>
        </w:rPr>
        <w:t>84.</w:t>
      </w:r>
    </w:p>
  </w:footnote>
  <w:footnote w:id="38">
    <w:p w14:paraId="209395FC" w14:textId="2C882D7D"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[1920] 1 KB 693</w:t>
      </w:r>
      <w:r w:rsidR="00B36FEE">
        <w:rPr>
          <w:sz w:val="24"/>
        </w:rPr>
        <w:t xml:space="preserve"> (KBD Comm Ct)</w:t>
      </w:r>
      <w:r>
        <w:rPr>
          <w:sz w:val="24"/>
        </w:rPr>
        <w:t xml:space="preserve">, </w:t>
      </w:r>
      <w:r w:rsidRPr="006E2D0C">
        <w:rPr>
          <w:sz w:val="24"/>
        </w:rPr>
        <w:t>699.</w:t>
      </w:r>
    </w:p>
  </w:footnote>
  <w:footnote w:id="39">
    <w:p w14:paraId="58ED970C" w14:textId="1FDEA21E"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195 F 2d 977 (</w:t>
      </w:r>
      <w:r>
        <w:rPr>
          <w:sz w:val="24"/>
        </w:rPr>
        <w:t>Us Ct Apps (</w:t>
      </w:r>
      <w:r w:rsidRPr="006E2D0C">
        <w:rPr>
          <w:sz w:val="24"/>
        </w:rPr>
        <w:t>8th Cir</w:t>
      </w:r>
      <w:r>
        <w:rPr>
          <w:sz w:val="24"/>
        </w:rPr>
        <w:t>),</w:t>
      </w:r>
      <w:r w:rsidRPr="006E2D0C">
        <w:rPr>
          <w:sz w:val="24"/>
        </w:rPr>
        <w:t xml:space="preserve"> 1952).</w:t>
      </w:r>
    </w:p>
  </w:footnote>
  <w:footnote w:id="40">
    <w:p w14:paraId="2DC89189" w14:textId="3ABDAD8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The law prior to the UCC is set out in J</w:t>
      </w:r>
      <w:r>
        <w:rPr>
          <w:sz w:val="24"/>
        </w:rPr>
        <w:t xml:space="preserve">ospeh </w:t>
      </w:r>
      <w:r w:rsidRPr="006E2D0C">
        <w:rPr>
          <w:sz w:val="24"/>
        </w:rPr>
        <w:t xml:space="preserve">H Beale, ‘Damages Upon Repudiation of a Contract’ (1908) 17 </w:t>
      </w:r>
      <w:r>
        <w:rPr>
          <w:sz w:val="24"/>
        </w:rPr>
        <w:t>Yale LJ</w:t>
      </w:r>
      <w:r w:rsidRPr="006E2D0C">
        <w:rPr>
          <w:sz w:val="24"/>
        </w:rPr>
        <w:t xml:space="preserve"> 443</w:t>
      </w:r>
      <w:r>
        <w:rPr>
          <w:sz w:val="24"/>
        </w:rPr>
        <w:t>,</w:t>
      </w:r>
      <w:r w:rsidRPr="006E2D0C">
        <w:rPr>
          <w:sz w:val="24"/>
        </w:rPr>
        <w:t xml:space="preserve"> and Anon, ‘Note: Measure of Damages for Anticipatory Breach of a Contract of Sale’ (1924) 24 </w:t>
      </w:r>
      <w:r>
        <w:rPr>
          <w:sz w:val="24"/>
        </w:rPr>
        <w:t>Columbia LR</w:t>
      </w:r>
      <w:r w:rsidRPr="006E2D0C">
        <w:rPr>
          <w:sz w:val="24"/>
        </w:rPr>
        <w:t xml:space="preserve"> 55. These should be read in conjunction with D</w:t>
      </w:r>
      <w:r>
        <w:rPr>
          <w:sz w:val="24"/>
        </w:rPr>
        <w:t xml:space="preserve">avid </w:t>
      </w:r>
      <w:r w:rsidRPr="006E2D0C">
        <w:rPr>
          <w:sz w:val="24"/>
        </w:rPr>
        <w:t xml:space="preserve">J Leibson, ‘Anticipatory Breach and Buyer’s Damages: A Look at How the UCC Has Changed the Common Law (1975) 7 </w:t>
      </w:r>
      <w:r>
        <w:rPr>
          <w:sz w:val="24"/>
        </w:rPr>
        <w:t>UCC LJ</w:t>
      </w:r>
      <w:r w:rsidRPr="006E2D0C">
        <w:rPr>
          <w:sz w:val="24"/>
        </w:rPr>
        <w:t xml:space="preserve"> 272.</w:t>
      </w:r>
    </w:p>
  </w:footnote>
  <w:footnote w:id="41">
    <w:p w14:paraId="0283F703" w14:textId="7777777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I cannot explain the award of $500 by a jury essentially instructed that the claimant had a duty to mitigate, though obviously the sum reflects this instruction.</w:t>
      </w:r>
    </w:p>
  </w:footnote>
  <w:footnote w:id="42">
    <w:p w14:paraId="1BA7D115" w14:textId="7777777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[1979] AC 91 (PC).</w:t>
      </w:r>
    </w:p>
  </w:footnote>
  <w:footnote w:id="43">
    <w:p w14:paraId="100CE5CE" w14:textId="7E05DFD7"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The principle is identified with </w:t>
      </w:r>
      <w:r w:rsidRPr="006E2D0C">
        <w:rPr>
          <w:i/>
          <w:sz w:val="24"/>
        </w:rPr>
        <w:t>Millett v Van Heek</w:t>
      </w:r>
      <w:r w:rsidRPr="006E2D0C">
        <w:rPr>
          <w:sz w:val="24"/>
        </w:rPr>
        <w:t xml:space="preserve"> [1921] 2 KB 369 (CA), in which the drafting of s 51(3) was subjected to such searching criticism that it was later accepted in </w:t>
      </w:r>
      <w:r w:rsidRPr="006E2D0C">
        <w:rPr>
          <w:i/>
          <w:sz w:val="24"/>
        </w:rPr>
        <w:t>Tai Hing</w:t>
      </w:r>
      <w:r>
        <w:rPr>
          <w:sz w:val="24"/>
        </w:rPr>
        <w:t xml:space="preserve"> (</w:t>
      </w:r>
      <w:r w:rsidRPr="006E2D0C">
        <w:rPr>
          <w:sz w:val="24"/>
        </w:rPr>
        <w:t xml:space="preserve">n </w:t>
      </w:r>
      <w:r w:rsidRPr="006E2D0C">
        <w:rPr>
          <w:sz w:val="24"/>
        </w:rPr>
        <w:fldChar w:fldCharType="begin"/>
      </w:r>
      <w:r w:rsidRPr="006E2D0C">
        <w:rPr>
          <w:sz w:val="24"/>
        </w:rPr>
        <w:instrText xml:space="preserve"> NOTEREF _Ref373485593 \h </w:instrText>
      </w:r>
      <w:r w:rsidRPr="006E2D0C">
        <w:rPr>
          <w:sz w:val="24"/>
        </w:rPr>
      </w:r>
      <w:r w:rsidRPr="006E2D0C">
        <w:rPr>
          <w:sz w:val="24"/>
        </w:rPr>
        <w:fldChar w:fldCharType="separate"/>
      </w:r>
      <w:r w:rsidR="00BB2860">
        <w:rPr>
          <w:sz w:val="24"/>
        </w:rPr>
        <w:t>41</w:t>
      </w:r>
      <w:r w:rsidRPr="006E2D0C">
        <w:rPr>
          <w:sz w:val="24"/>
        </w:rPr>
        <w:fldChar w:fldCharType="end"/>
      </w:r>
      <w:r>
        <w:rPr>
          <w:sz w:val="24"/>
        </w:rPr>
        <w:t>)</w:t>
      </w:r>
      <w:r w:rsidRPr="006E2D0C">
        <w:rPr>
          <w:sz w:val="24"/>
        </w:rPr>
        <w:t xml:space="preserve"> 104C, that the second limb had ‘no content whatsoever’.</w:t>
      </w:r>
    </w:p>
  </w:footnote>
  <w:footnote w:id="44">
    <w:p w14:paraId="59D8CBC7" w14:textId="3FA74A4A"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J</w:t>
      </w:r>
      <w:r>
        <w:rPr>
          <w:sz w:val="24"/>
        </w:rPr>
        <w:t xml:space="preserve">ohn </w:t>
      </w:r>
      <w:r w:rsidRPr="006E2D0C">
        <w:rPr>
          <w:sz w:val="24"/>
        </w:rPr>
        <w:t>N Adams and H</w:t>
      </w:r>
      <w:r>
        <w:rPr>
          <w:sz w:val="24"/>
        </w:rPr>
        <w:t>ector L</w:t>
      </w:r>
      <w:r w:rsidRPr="006E2D0C">
        <w:rPr>
          <w:sz w:val="24"/>
        </w:rPr>
        <w:t xml:space="preserve"> MacQueen, </w:t>
      </w:r>
      <w:r w:rsidRPr="006E2D0C">
        <w:rPr>
          <w:i/>
          <w:sz w:val="24"/>
        </w:rPr>
        <w:t>Atiyah’s Sale of Goods</w:t>
      </w:r>
      <w:r w:rsidRPr="006E2D0C">
        <w:rPr>
          <w:sz w:val="24"/>
        </w:rPr>
        <w:t xml:space="preserve"> (12th edn</w:t>
      </w:r>
      <w:r>
        <w:rPr>
          <w:sz w:val="24"/>
        </w:rPr>
        <w:t>,</w:t>
      </w:r>
      <w:r w:rsidRPr="006E2D0C">
        <w:rPr>
          <w:sz w:val="24"/>
        </w:rPr>
        <w:t xml:space="preserve"> </w:t>
      </w:r>
      <w:r>
        <w:rPr>
          <w:sz w:val="24"/>
        </w:rPr>
        <w:t xml:space="preserve">Pearson </w:t>
      </w:r>
      <w:r w:rsidRPr="006E2D0C">
        <w:rPr>
          <w:sz w:val="24"/>
        </w:rPr>
        <w:t>2010) 534 speculates about a wait of 5 years.</w:t>
      </w:r>
    </w:p>
  </w:footnote>
  <w:footnote w:id="45">
    <w:p w14:paraId="6D0E771E" w14:textId="5B848598"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sidRPr="006E2D0C">
        <w:rPr>
          <w:i/>
          <w:sz w:val="24"/>
        </w:rPr>
        <w:t>Reliance Cooperage</w:t>
      </w:r>
      <w:r w:rsidRPr="006E2D0C">
        <w:rPr>
          <w:sz w:val="24"/>
        </w:rPr>
        <w:t xml:space="preserve"> is cited in connection with R2d Contracts § 350 Comment f which deals with the ‘Time for arranging substitute transaction’ when mitigating. Comment f is based on § 2-713 (and the parallel seller’s remedy under § 2-708), not on § 2-712. § 2-712 is the basis of Comment h, ‘Actual efforts to mitigate damages’, but this is concerned only with a subsidiary aspect of the law of mitigation. In sum, </w:t>
      </w:r>
      <w:r>
        <w:rPr>
          <w:sz w:val="24"/>
        </w:rPr>
        <w:t>R2d</w:t>
      </w:r>
      <w:r w:rsidR="00B36FEE">
        <w:rPr>
          <w:sz w:val="24"/>
        </w:rPr>
        <w:t xml:space="preserve"> Contract</w:t>
      </w:r>
      <w:r>
        <w:rPr>
          <w:sz w:val="24"/>
        </w:rPr>
        <w:t>’s</w:t>
      </w:r>
      <w:r w:rsidRPr="006E2D0C">
        <w:rPr>
          <w:sz w:val="24"/>
        </w:rPr>
        <w:t xml:space="preserve"> treatment of the issues reverses the priority which should be given to cover over market damages.</w:t>
      </w:r>
    </w:p>
  </w:footnote>
  <w:footnote w:id="46">
    <w:p w14:paraId="5EFCB454" w14:textId="507C69E4"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T</w:t>
      </w:r>
      <w:r>
        <w:rPr>
          <w:sz w:val="24"/>
        </w:rPr>
        <w:t>homas H</w:t>
      </w:r>
      <w:r w:rsidRPr="006E2D0C">
        <w:rPr>
          <w:sz w:val="24"/>
        </w:rPr>
        <w:t xml:space="preserve"> Jackson, ‘Anticipatory Repudiation and the Temporal Element of Contract Law: An Economic Inquiry into Contract Damages in Cases of Prospective Non-performance’ (</w:t>
      </w:r>
      <w:r>
        <w:rPr>
          <w:sz w:val="24"/>
        </w:rPr>
        <w:t>1</w:t>
      </w:r>
      <w:r w:rsidRPr="006E2D0C">
        <w:rPr>
          <w:sz w:val="24"/>
        </w:rPr>
        <w:t xml:space="preserve">978) 31 </w:t>
      </w:r>
      <w:r>
        <w:rPr>
          <w:sz w:val="24"/>
        </w:rPr>
        <w:t>Stanford LR</w:t>
      </w:r>
      <w:r w:rsidRPr="006E2D0C">
        <w:rPr>
          <w:sz w:val="24"/>
        </w:rPr>
        <w:t xml:space="preserve"> 69.</w:t>
      </w:r>
    </w:p>
  </w:footnote>
  <w:footnote w:id="47">
    <w:p w14:paraId="1F9EF33A" w14:textId="60BE5F88"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J</w:t>
      </w:r>
      <w:r>
        <w:rPr>
          <w:sz w:val="24"/>
        </w:rPr>
        <w:t xml:space="preserve">oseph </w:t>
      </w:r>
      <w:r w:rsidRPr="006E2D0C">
        <w:rPr>
          <w:sz w:val="24"/>
        </w:rPr>
        <w:t xml:space="preserve">M Perillo, </w:t>
      </w:r>
      <w:r w:rsidRPr="006E2D0C">
        <w:rPr>
          <w:i/>
          <w:sz w:val="24"/>
        </w:rPr>
        <w:t>Calamari and Perillo on Contracts</w:t>
      </w:r>
      <w:r w:rsidRPr="006E2D0C">
        <w:rPr>
          <w:sz w:val="24"/>
        </w:rPr>
        <w:t xml:space="preserve"> (</w:t>
      </w:r>
      <w:r>
        <w:rPr>
          <w:sz w:val="24"/>
        </w:rPr>
        <w:t>6th edn,</w:t>
      </w:r>
      <w:r w:rsidRPr="006E2D0C">
        <w:rPr>
          <w:sz w:val="24"/>
        </w:rPr>
        <w:t xml:space="preserve"> </w:t>
      </w:r>
      <w:r>
        <w:rPr>
          <w:sz w:val="24"/>
        </w:rPr>
        <w:t xml:space="preserve">West </w:t>
      </w:r>
      <w:r w:rsidRPr="006E2D0C">
        <w:rPr>
          <w:sz w:val="24"/>
        </w:rPr>
        <w:t>2009) 516.</w:t>
      </w:r>
    </w:p>
  </w:footnote>
  <w:footnote w:id="48">
    <w:p w14:paraId="2FE5C373" w14:textId="7CA320A2"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In the Commonwealth</w:t>
      </w:r>
      <w:r>
        <w:rPr>
          <w:sz w:val="24"/>
        </w:rPr>
        <w:t>,</w:t>
      </w:r>
      <w:r w:rsidRPr="006E2D0C">
        <w:rPr>
          <w:sz w:val="24"/>
        </w:rPr>
        <w:t xml:space="preserve"> this problem is identified with </w:t>
      </w:r>
      <w:r w:rsidRPr="006E2D0C">
        <w:rPr>
          <w:i/>
          <w:sz w:val="24"/>
        </w:rPr>
        <w:t>White and Carter (Councils) Ltd v McGregor</w:t>
      </w:r>
      <w:r>
        <w:rPr>
          <w:i/>
          <w:sz w:val="24"/>
        </w:rPr>
        <w:t xml:space="preserve"> </w:t>
      </w:r>
      <w:r w:rsidRPr="006E2D0C">
        <w:rPr>
          <w:sz w:val="24"/>
        </w:rPr>
        <w:t>[1962] AC 413 (HL(Sc)), surely one of the most roundly criticised cases in the law</w:t>
      </w:r>
      <w:r>
        <w:rPr>
          <w:sz w:val="24"/>
        </w:rPr>
        <w:t xml:space="preserve"> of damages</w:t>
      </w:r>
      <w:r w:rsidRPr="006E2D0C">
        <w:rPr>
          <w:sz w:val="24"/>
        </w:rPr>
        <w:t xml:space="preserve">. The problem is discussed by Professor Gergen in </w:t>
      </w:r>
      <w:r>
        <w:rPr>
          <w:sz w:val="24"/>
        </w:rPr>
        <w:t>ch 000 of</w:t>
      </w:r>
      <w:r w:rsidRPr="006E2D0C">
        <w:rPr>
          <w:sz w:val="24"/>
        </w:rPr>
        <w:t xml:space="preserve"> this volume.</w:t>
      </w:r>
    </w:p>
  </w:footnote>
  <w:footnote w:id="49">
    <w:p w14:paraId="1C87E247" w14:textId="3B161870"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D</w:t>
      </w:r>
      <w:r>
        <w:rPr>
          <w:sz w:val="24"/>
        </w:rPr>
        <w:t>onald</w:t>
      </w:r>
      <w:r w:rsidR="00F931CA">
        <w:rPr>
          <w:sz w:val="24"/>
        </w:rPr>
        <w:t xml:space="preserve"> Harris, David Campbell, and Roger Halson</w:t>
      </w:r>
      <w:r w:rsidRPr="006E2D0C">
        <w:rPr>
          <w:sz w:val="24"/>
        </w:rPr>
        <w:t xml:space="preserve">, </w:t>
      </w:r>
      <w:r w:rsidRPr="006E2D0C">
        <w:rPr>
          <w:i/>
          <w:sz w:val="24"/>
        </w:rPr>
        <w:t>Remedies in Contract and Tort</w:t>
      </w:r>
      <w:r w:rsidRPr="006E2D0C">
        <w:rPr>
          <w:sz w:val="24"/>
        </w:rPr>
        <w:t xml:space="preserve"> (2nd edn, </w:t>
      </w:r>
      <w:r>
        <w:rPr>
          <w:sz w:val="24"/>
        </w:rPr>
        <w:t>CUP</w:t>
      </w:r>
      <w:r w:rsidRPr="006E2D0C">
        <w:rPr>
          <w:sz w:val="24"/>
        </w:rPr>
        <w:t xml:space="preserve"> </w:t>
      </w:r>
      <w:r>
        <w:rPr>
          <w:sz w:val="24"/>
        </w:rPr>
        <w:t>2002) 160–1</w:t>
      </w:r>
      <w:r w:rsidRPr="006E2D0C">
        <w:rPr>
          <w:sz w:val="24"/>
        </w:rPr>
        <w:t>65</w:t>
      </w:r>
      <w:r>
        <w:rPr>
          <w:sz w:val="24"/>
        </w:rPr>
        <w:t>,</w:t>
      </w:r>
      <w:r w:rsidRPr="006E2D0C">
        <w:rPr>
          <w:sz w:val="24"/>
        </w:rPr>
        <w:t xml:space="preserve"> and </w:t>
      </w:r>
      <w:r>
        <w:rPr>
          <w:sz w:val="24"/>
        </w:rPr>
        <w:t>p 000 of this volume (</w:t>
      </w:r>
      <w:r w:rsidRPr="006E2D0C">
        <w:rPr>
          <w:sz w:val="24"/>
        </w:rPr>
        <w:t>my comment</w:t>
      </w:r>
      <w:r>
        <w:rPr>
          <w:sz w:val="24"/>
        </w:rPr>
        <w:t>ary</w:t>
      </w:r>
      <w:r w:rsidRPr="006E2D0C">
        <w:rPr>
          <w:sz w:val="24"/>
        </w:rPr>
        <w:t xml:space="preserve"> on Professor Gergen’s chapter in this volume</w:t>
      </w:r>
      <w:r>
        <w:rPr>
          <w:sz w:val="24"/>
        </w:rPr>
        <w:t>)</w:t>
      </w:r>
      <w:r w:rsidRPr="006E2D0C">
        <w:rPr>
          <w:sz w:val="24"/>
        </w:rPr>
        <w:t>.</w:t>
      </w:r>
    </w:p>
  </w:footnote>
  <w:footnote w:id="50">
    <w:p w14:paraId="24008CEB" w14:textId="5BD09ECF"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R</w:t>
      </w:r>
      <w:r>
        <w:rPr>
          <w:sz w:val="24"/>
        </w:rPr>
        <w:t>obert</w:t>
      </w:r>
      <w:r w:rsidRPr="006E2D0C">
        <w:rPr>
          <w:sz w:val="24"/>
        </w:rPr>
        <w:t xml:space="preserve"> Childres, ‘Buyer’s Remedies: The Danger of Section 2-712’ (1978) 72 </w:t>
      </w:r>
      <w:r w:rsidRPr="00E70CDB">
        <w:rPr>
          <w:sz w:val="24"/>
        </w:rPr>
        <w:t>No</w:t>
      </w:r>
      <w:r>
        <w:rPr>
          <w:sz w:val="24"/>
        </w:rPr>
        <w:t>rthwestern Uni LR</w:t>
      </w:r>
      <w:r w:rsidRPr="006E2D0C">
        <w:rPr>
          <w:sz w:val="24"/>
        </w:rPr>
        <w:t xml:space="preserve"> 837.</w:t>
      </w:r>
    </w:p>
  </w:footnote>
  <w:footnote w:id="51">
    <w:p w14:paraId="442AE604" w14:textId="4BF7AF64"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n </w:t>
      </w:r>
      <w:r w:rsidRPr="006E2D0C">
        <w:rPr>
          <w:sz w:val="24"/>
        </w:rPr>
        <w:fldChar w:fldCharType="begin"/>
      </w:r>
      <w:r w:rsidRPr="006E2D0C">
        <w:rPr>
          <w:sz w:val="24"/>
        </w:rPr>
        <w:instrText xml:space="preserve"> NOTEREF _Ref363799756 \h </w:instrText>
      </w:r>
      <w:r w:rsidRPr="006E2D0C">
        <w:rPr>
          <w:sz w:val="24"/>
        </w:rPr>
      </w:r>
      <w:r w:rsidRPr="006E2D0C">
        <w:rPr>
          <w:sz w:val="24"/>
        </w:rPr>
        <w:fldChar w:fldCharType="separate"/>
      </w:r>
      <w:r w:rsidR="00BB2860">
        <w:rPr>
          <w:sz w:val="24"/>
        </w:rPr>
        <w:t>19</w:t>
      </w:r>
      <w:r w:rsidRPr="006E2D0C">
        <w:rPr>
          <w:sz w:val="24"/>
        </w:rPr>
        <w:fldChar w:fldCharType="end"/>
      </w:r>
      <w:r w:rsidRPr="006E2D0C">
        <w:rPr>
          <w:sz w:val="24"/>
        </w:rPr>
        <w:t>, § 7-4.</w:t>
      </w:r>
    </w:p>
  </w:footnote>
  <w:footnote w:id="52">
    <w:p w14:paraId="3CC70EB4" w14:textId="2D8A219A"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162 Cal App 3d 905, 209 Cal Rptr 60, 39 UCC 1567 (</w:t>
      </w:r>
      <w:r>
        <w:rPr>
          <w:sz w:val="24"/>
        </w:rPr>
        <w:t xml:space="preserve">Cal Ct App, </w:t>
      </w:r>
      <w:r w:rsidRPr="006E2D0C">
        <w:rPr>
          <w:sz w:val="24"/>
        </w:rPr>
        <w:t xml:space="preserve">1984). </w:t>
      </w:r>
      <w:r w:rsidRPr="006E2D0C">
        <w:rPr>
          <w:i/>
          <w:sz w:val="24"/>
        </w:rPr>
        <w:t>Allied Packers</w:t>
      </w:r>
      <w:r w:rsidRPr="006E2D0C">
        <w:rPr>
          <w:sz w:val="24"/>
        </w:rPr>
        <w:t xml:space="preserve"> has been subject to considerable criticism: eg </w:t>
      </w:r>
      <w:r w:rsidRPr="006E2D0C">
        <w:rPr>
          <w:i/>
          <w:sz w:val="24"/>
        </w:rPr>
        <w:t>Tongish v Thomas</w:t>
      </w:r>
      <w:r w:rsidRPr="006E2D0C">
        <w:rPr>
          <w:sz w:val="24"/>
        </w:rPr>
        <w:t xml:space="preserve"> 840 P 2d 471 (Kan</w:t>
      </w:r>
      <w:r>
        <w:rPr>
          <w:sz w:val="24"/>
        </w:rPr>
        <w:t xml:space="preserve"> Sup Ct,</w:t>
      </w:r>
      <w:r w:rsidRPr="006E2D0C">
        <w:rPr>
          <w:sz w:val="24"/>
        </w:rPr>
        <w:t xml:space="preserve"> 1992).</w:t>
      </w:r>
    </w:p>
  </w:footnote>
  <w:footnote w:id="53">
    <w:p w14:paraId="3B8BF4C5" w14:textId="65C2473E"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767 F 2d 437</w:t>
      </w:r>
      <w:r>
        <w:rPr>
          <w:sz w:val="24"/>
        </w:rPr>
        <w:t>, 41 UCC 832 (US Ct of Apps (8th Cir), 1985). I</w:t>
      </w:r>
      <w:r w:rsidRPr="006E2D0C">
        <w:rPr>
          <w:sz w:val="24"/>
        </w:rPr>
        <w:t xml:space="preserve"> myself believe that </w:t>
      </w:r>
      <w:r w:rsidRPr="006E2D0C">
        <w:rPr>
          <w:i/>
          <w:sz w:val="24"/>
        </w:rPr>
        <w:t>Allied Packers</w:t>
      </w:r>
      <w:r w:rsidRPr="006E2D0C">
        <w:rPr>
          <w:sz w:val="24"/>
        </w:rPr>
        <w:t xml:space="preserve"> and this case confuse problems with the relationship of cover and market damages with problems with cover and consequential damages in a way which makes their </w:t>
      </w:r>
      <w:r w:rsidRPr="006E2D0C">
        <w:rPr>
          <w:i/>
          <w:sz w:val="24"/>
        </w:rPr>
        <w:t>ratio</w:t>
      </w:r>
      <w:r w:rsidRPr="006E2D0C">
        <w:rPr>
          <w:sz w:val="24"/>
        </w:rPr>
        <w:t xml:space="preserve"> in respect of the former unhelpfully ambiguous.</w:t>
      </w:r>
    </w:p>
  </w:footnote>
  <w:footnote w:id="54">
    <w:p w14:paraId="0339FA31" w14:textId="5D12F486"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McGregor (</w:t>
      </w:r>
      <w:r w:rsidRPr="006E2D0C">
        <w:rPr>
          <w:sz w:val="24"/>
        </w:rPr>
        <w:t xml:space="preserve">n </w:t>
      </w:r>
      <w:r w:rsidRPr="006E2D0C">
        <w:rPr>
          <w:sz w:val="24"/>
        </w:rPr>
        <w:fldChar w:fldCharType="begin"/>
      </w:r>
      <w:r w:rsidRPr="006E2D0C">
        <w:rPr>
          <w:sz w:val="24"/>
        </w:rPr>
        <w:instrText xml:space="preserve"> NOTEREF _Ref364083217 \h </w:instrText>
      </w:r>
      <w:r w:rsidRPr="006E2D0C">
        <w:rPr>
          <w:sz w:val="24"/>
        </w:rPr>
      </w:r>
      <w:r w:rsidRPr="006E2D0C">
        <w:rPr>
          <w:sz w:val="24"/>
        </w:rPr>
        <w:fldChar w:fldCharType="separate"/>
      </w:r>
      <w:r w:rsidR="00BB2860">
        <w:rPr>
          <w:sz w:val="24"/>
        </w:rPr>
        <w:t>20</w:t>
      </w:r>
      <w:r w:rsidRPr="006E2D0C">
        <w:rPr>
          <w:sz w:val="24"/>
        </w:rPr>
        <w:fldChar w:fldCharType="end"/>
      </w:r>
      <w:r>
        <w:rPr>
          <w:sz w:val="24"/>
        </w:rPr>
        <w:t>)</w:t>
      </w:r>
      <w:r w:rsidR="000D1BB3">
        <w:rPr>
          <w:sz w:val="24"/>
        </w:rPr>
        <w:t xml:space="preserve"> paras </w:t>
      </w:r>
      <w:r w:rsidR="001A4769">
        <w:rPr>
          <w:sz w:val="24"/>
        </w:rPr>
        <w:t>23-018</w:t>
      </w:r>
      <w:r w:rsidR="002C58BC">
        <w:rPr>
          <w:sz w:val="24"/>
        </w:rPr>
        <w:t>. McGregor’</w:t>
      </w:r>
      <w:r w:rsidR="001A4769">
        <w:rPr>
          <w:sz w:val="24"/>
        </w:rPr>
        <w:t>s</w:t>
      </w:r>
      <w:r w:rsidR="002C58BC">
        <w:rPr>
          <w:sz w:val="24"/>
        </w:rPr>
        <w:t xml:space="preserve"> position generally is that numerous sales </w:t>
      </w:r>
      <w:r w:rsidRPr="006E2D0C">
        <w:rPr>
          <w:sz w:val="24"/>
        </w:rPr>
        <w:t xml:space="preserve">authorities </w:t>
      </w:r>
      <w:r w:rsidR="001A4769">
        <w:rPr>
          <w:sz w:val="24"/>
        </w:rPr>
        <w:t xml:space="preserve">are an ‘illustration’ of the ‘principles’ </w:t>
      </w:r>
      <w:r w:rsidRPr="006E2D0C">
        <w:rPr>
          <w:sz w:val="24"/>
        </w:rPr>
        <w:t xml:space="preserve">of </w:t>
      </w:r>
      <w:r w:rsidRPr="006E2D0C">
        <w:rPr>
          <w:i/>
          <w:sz w:val="24"/>
        </w:rPr>
        <w:t>White and Carter</w:t>
      </w:r>
      <w:r w:rsidR="001A4769">
        <w:rPr>
          <w:sz w:val="24"/>
        </w:rPr>
        <w:t xml:space="preserve">: ibid, para </w:t>
      </w:r>
      <w:r w:rsidRPr="006E2D0C">
        <w:rPr>
          <w:sz w:val="24"/>
        </w:rPr>
        <w:t xml:space="preserve"> </w:t>
      </w:r>
      <w:r w:rsidR="001A4769">
        <w:rPr>
          <w:sz w:val="24"/>
        </w:rPr>
        <w:t>9-021.</w:t>
      </w:r>
      <w:r w:rsidRPr="006E2D0C">
        <w:rPr>
          <w:sz w:val="24"/>
        </w:rPr>
        <w:t xml:space="preserve"> </w:t>
      </w:r>
    </w:p>
  </w:footnote>
  <w:footnote w:id="55">
    <w:p w14:paraId="623FEE5C" w14:textId="1682D86E"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McKendrick (</w:t>
      </w:r>
      <w:r w:rsidRPr="006E2D0C">
        <w:rPr>
          <w:sz w:val="24"/>
        </w:rPr>
        <w:t>n</w:t>
      </w:r>
      <w:r w:rsidR="000D1BB3">
        <w:rPr>
          <w:sz w:val="24"/>
        </w:rPr>
        <w:t xml:space="preserve"> </w:t>
      </w:r>
      <w:r w:rsidR="000D1BB3">
        <w:rPr>
          <w:sz w:val="24"/>
        </w:rPr>
        <w:fldChar w:fldCharType="begin"/>
      </w:r>
      <w:r w:rsidR="000D1BB3">
        <w:rPr>
          <w:sz w:val="24"/>
        </w:rPr>
        <w:instrText xml:space="preserve"> NOTEREF _Ref363999245 \h </w:instrText>
      </w:r>
      <w:r w:rsidR="000D1BB3">
        <w:rPr>
          <w:sz w:val="24"/>
        </w:rPr>
      </w:r>
      <w:r w:rsidR="000D1BB3">
        <w:rPr>
          <w:sz w:val="24"/>
        </w:rPr>
        <w:fldChar w:fldCharType="separate"/>
      </w:r>
      <w:r w:rsidR="00BB2860">
        <w:rPr>
          <w:sz w:val="24"/>
        </w:rPr>
        <w:t>35</w:t>
      </w:r>
      <w:r w:rsidR="000D1BB3">
        <w:rPr>
          <w:sz w:val="24"/>
        </w:rPr>
        <w:fldChar w:fldCharType="end"/>
      </w:r>
      <w:r>
        <w:rPr>
          <w:sz w:val="24"/>
        </w:rPr>
        <w:t>)</w:t>
      </w:r>
      <w:r w:rsidRPr="006E2D0C">
        <w:rPr>
          <w:sz w:val="24"/>
        </w:rPr>
        <w:t xml:space="preserve"> 419.</w:t>
      </w:r>
    </w:p>
  </w:footnote>
  <w:footnote w:id="56">
    <w:p w14:paraId="49A820FB" w14:textId="3FB62D75"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Pr>
          <w:sz w:val="24"/>
        </w:rPr>
        <w:t>McKendrick (</w:t>
      </w:r>
      <w:r w:rsidRPr="006E2D0C">
        <w:rPr>
          <w:sz w:val="24"/>
        </w:rPr>
        <w:t>n</w:t>
      </w:r>
      <w:r w:rsidR="000D1BB3">
        <w:rPr>
          <w:sz w:val="24"/>
        </w:rPr>
        <w:t xml:space="preserve"> </w:t>
      </w:r>
      <w:r w:rsidR="000D1BB3">
        <w:rPr>
          <w:sz w:val="24"/>
        </w:rPr>
        <w:fldChar w:fldCharType="begin"/>
      </w:r>
      <w:r w:rsidR="000D1BB3">
        <w:rPr>
          <w:sz w:val="24"/>
        </w:rPr>
        <w:instrText xml:space="preserve"> NOTEREF _Ref363999245 \h </w:instrText>
      </w:r>
      <w:r w:rsidR="000D1BB3">
        <w:rPr>
          <w:sz w:val="24"/>
        </w:rPr>
      </w:r>
      <w:r w:rsidR="000D1BB3">
        <w:rPr>
          <w:sz w:val="24"/>
        </w:rPr>
        <w:fldChar w:fldCharType="separate"/>
      </w:r>
      <w:r w:rsidR="00BB2860">
        <w:rPr>
          <w:sz w:val="24"/>
        </w:rPr>
        <w:t>35</w:t>
      </w:r>
      <w:r w:rsidR="000D1BB3">
        <w:rPr>
          <w:sz w:val="24"/>
        </w:rPr>
        <w:fldChar w:fldCharType="end"/>
      </w:r>
      <w:r>
        <w:rPr>
          <w:sz w:val="24"/>
        </w:rPr>
        <w:t xml:space="preserve">) </w:t>
      </w:r>
      <w:r w:rsidRPr="006E2D0C">
        <w:rPr>
          <w:sz w:val="24"/>
        </w:rPr>
        <w:t>420.</w:t>
      </w:r>
    </w:p>
  </w:footnote>
  <w:footnote w:id="57">
    <w:p w14:paraId="52061AB1" w14:textId="595EB222"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Pr>
          <w:sz w:val="24"/>
        </w:rPr>
        <w:t>McKendrick (</w:t>
      </w:r>
      <w:r w:rsidRPr="006E2D0C">
        <w:rPr>
          <w:sz w:val="24"/>
        </w:rPr>
        <w:t>n</w:t>
      </w:r>
      <w:r w:rsidR="00BB2860">
        <w:rPr>
          <w:sz w:val="24"/>
        </w:rPr>
        <w:t xml:space="preserve"> </w:t>
      </w:r>
      <w:r w:rsidR="00BB2860">
        <w:rPr>
          <w:sz w:val="24"/>
        </w:rPr>
        <w:fldChar w:fldCharType="begin"/>
      </w:r>
      <w:r w:rsidR="00BB2860">
        <w:rPr>
          <w:sz w:val="24"/>
        </w:rPr>
        <w:instrText xml:space="preserve"> NOTEREF _Ref363999245 \h </w:instrText>
      </w:r>
      <w:r w:rsidR="00BB2860">
        <w:rPr>
          <w:sz w:val="24"/>
        </w:rPr>
      </w:r>
      <w:r w:rsidR="00BB2860">
        <w:rPr>
          <w:sz w:val="24"/>
        </w:rPr>
        <w:fldChar w:fldCharType="separate"/>
      </w:r>
      <w:r w:rsidR="00BB2860">
        <w:rPr>
          <w:sz w:val="24"/>
        </w:rPr>
        <w:t>35</w:t>
      </w:r>
      <w:r w:rsidR="00BB2860">
        <w:rPr>
          <w:sz w:val="24"/>
        </w:rPr>
        <w:fldChar w:fldCharType="end"/>
      </w:r>
      <w:r>
        <w:rPr>
          <w:sz w:val="24"/>
        </w:rPr>
        <w:t xml:space="preserve">) </w:t>
      </w:r>
      <w:r w:rsidRPr="006E2D0C">
        <w:rPr>
          <w:sz w:val="24"/>
        </w:rPr>
        <w:t>419.</w:t>
      </w:r>
    </w:p>
  </w:footnote>
  <w:footnote w:id="58">
    <w:p w14:paraId="4F3AEC84" w14:textId="0B5262BC"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Goode is to the forefront of those who have found the absence of general doctrine of good faith to be ‘at once the most remarkable and the most reprehensible feature of the English law of contract’: </w:t>
      </w:r>
      <w:r w:rsidR="00BB2860">
        <w:rPr>
          <w:sz w:val="24"/>
        </w:rPr>
        <w:t xml:space="preserve">McKendrick (n </w:t>
      </w:r>
      <w:r w:rsidR="00BB2860">
        <w:rPr>
          <w:sz w:val="24"/>
        </w:rPr>
        <w:fldChar w:fldCharType="begin"/>
      </w:r>
      <w:r w:rsidR="00BB2860">
        <w:rPr>
          <w:sz w:val="24"/>
        </w:rPr>
        <w:instrText xml:space="preserve"> NOTEREF _Ref363999245 \h </w:instrText>
      </w:r>
      <w:r w:rsidR="00BB2860">
        <w:rPr>
          <w:sz w:val="24"/>
        </w:rPr>
      </w:r>
      <w:r w:rsidR="00BB2860">
        <w:rPr>
          <w:sz w:val="24"/>
        </w:rPr>
        <w:fldChar w:fldCharType="separate"/>
      </w:r>
      <w:r w:rsidR="00BB2860">
        <w:rPr>
          <w:sz w:val="24"/>
        </w:rPr>
        <w:t>35</w:t>
      </w:r>
      <w:r w:rsidR="00BB2860">
        <w:rPr>
          <w:sz w:val="24"/>
        </w:rPr>
        <w:fldChar w:fldCharType="end"/>
      </w:r>
      <w:r w:rsidR="00675DEE">
        <w:rPr>
          <w:sz w:val="24"/>
        </w:rPr>
        <w:t xml:space="preserve">) </w:t>
      </w:r>
      <w:r w:rsidRPr="006E2D0C">
        <w:rPr>
          <w:sz w:val="24"/>
        </w:rPr>
        <w:t xml:space="preserve">125. </w:t>
      </w:r>
    </w:p>
  </w:footnote>
  <w:footnote w:id="59">
    <w:p w14:paraId="2290533B" w14:textId="78A804CC"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White and Summers (</w:t>
      </w:r>
      <w:r w:rsidRPr="006E2D0C">
        <w:rPr>
          <w:sz w:val="24"/>
        </w:rPr>
        <w:t xml:space="preserve">n </w:t>
      </w:r>
      <w:r w:rsidRPr="006E2D0C">
        <w:rPr>
          <w:sz w:val="24"/>
        </w:rPr>
        <w:fldChar w:fldCharType="begin"/>
      </w:r>
      <w:r w:rsidRPr="006E2D0C">
        <w:rPr>
          <w:sz w:val="24"/>
        </w:rPr>
        <w:instrText xml:space="preserve"> NOTEREF _Ref363799756 \h </w:instrText>
      </w:r>
      <w:r w:rsidRPr="006E2D0C">
        <w:rPr>
          <w:sz w:val="24"/>
        </w:rPr>
      </w:r>
      <w:r w:rsidRPr="006E2D0C">
        <w:rPr>
          <w:sz w:val="24"/>
        </w:rPr>
        <w:fldChar w:fldCharType="separate"/>
      </w:r>
      <w:r w:rsidR="00BB2860">
        <w:rPr>
          <w:sz w:val="24"/>
        </w:rPr>
        <w:t>19</w:t>
      </w:r>
      <w:r w:rsidRPr="006E2D0C">
        <w:rPr>
          <w:sz w:val="24"/>
        </w:rPr>
        <w:fldChar w:fldCharType="end"/>
      </w:r>
      <w:r>
        <w:rPr>
          <w:sz w:val="24"/>
        </w:rPr>
        <w:t>)</w:t>
      </w:r>
      <w:r w:rsidRPr="006E2D0C">
        <w:rPr>
          <w:sz w:val="24"/>
        </w:rPr>
        <w:t xml:space="preserve"> § 7-4, citing </w:t>
      </w:r>
      <w:r w:rsidRPr="006E2D0C">
        <w:rPr>
          <w:i/>
          <w:sz w:val="24"/>
        </w:rPr>
        <w:t>Allied Canners</w:t>
      </w:r>
      <w:r>
        <w:rPr>
          <w:sz w:val="24"/>
        </w:rPr>
        <w:t xml:space="preserve"> (</w:t>
      </w:r>
      <w:r w:rsidRPr="006E2D0C">
        <w:rPr>
          <w:sz w:val="24"/>
        </w:rPr>
        <w:t xml:space="preserve">n </w:t>
      </w:r>
      <w:r w:rsidRPr="006E2D0C">
        <w:rPr>
          <w:sz w:val="24"/>
        </w:rPr>
        <w:fldChar w:fldCharType="begin"/>
      </w:r>
      <w:r w:rsidRPr="006E2D0C">
        <w:rPr>
          <w:sz w:val="24"/>
        </w:rPr>
        <w:instrText xml:space="preserve"> NOTEREF _Ref363981569 \h </w:instrText>
      </w:r>
      <w:r w:rsidRPr="006E2D0C">
        <w:rPr>
          <w:sz w:val="24"/>
        </w:rPr>
      </w:r>
      <w:r w:rsidRPr="006E2D0C">
        <w:rPr>
          <w:sz w:val="24"/>
        </w:rPr>
        <w:fldChar w:fldCharType="separate"/>
      </w:r>
      <w:r w:rsidR="00BB2860">
        <w:rPr>
          <w:sz w:val="24"/>
        </w:rPr>
        <w:t>51</w:t>
      </w:r>
      <w:r w:rsidRPr="006E2D0C">
        <w:rPr>
          <w:sz w:val="24"/>
        </w:rPr>
        <w:fldChar w:fldCharType="end"/>
      </w:r>
      <w:r>
        <w:rPr>
          <w:sz w:val="24"/>
        </w:rPr>
        <w:t>)</w:t>
      </w:r>
      <w:r w:rsidRPr="006E2D0C">
        <w:rPr>
          <w:sz w:val="24"/>
        </w:rPr>
        <w:t xml:space="preserve">, in support of their use of ‘liquidated damages’. </w:t>
      </w:r>
    </w:p>
  </w:footnote>
  <w:footnote w:id="60">
    <w:p w14:paraId="15D5B8A8" w14:textId="001C0489"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E</w:t>
      </w:r>
      <w:r w:rsidRPr="006E2D0C">
        <w:rPr>
          <w:sz w:val="24"/>
        </w:rPr>
        <w:t>g D</w:t>
      </w:r>
      <w:r>
        <w:rPr>
          <w:sz w:val="24"/>
        </w:rPr>
        <w:t xml:space="preserve">avid </w:t>
      </w:r>
      <w:r w:rsidRPr="006E2D0C">
        <w:rPr>
          <w:sz w:val="24"/>
        </w:rPr>
        <w:t xml:space="preserve">W Carroll, ‘A Little Essay in Partial Defence of the Contract: Market Differential as a Remedy for Buyers’ (1984) 57 </w:t>
      </w:r>
      <w:r>
        <w:rPr>
          <w:sz w:val="24"/>
        </w:rPr>
        <w:t>Southern Calif LR</w:t>
      </w:r>
      <w:r w:rsidRPr="006E2D0C">
        <w:rPr>
          <w:sz w:val="24"/>
        </w:rPr>
        <w:t xml:space="preserve"> 667.</w:t>
      </w:r>
    </w:p>
  </w:footnote>
  <w:footnote w:id="61">
    <w:p w14:paraId="4319BDAD" w14:textId="0AB3E714"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sidRPr="006E2D0C">
        <w:rPr>
          <w:sz w:val="24"/>
          <w:lang w:val="en-GB"/>
        </w:rPr>
        <w:t>M</w:t>
      </w:r>
      <w:r>
        <w:rPr>
          <w:sz w:val="24"/>
          <w:lang w:val="en-GB"/>
        </w:rPr>
        <w:t xml:space="preserve">ichael </w:t>
      </w:r>
      <w:r w:rsidRPr="006E2D0C">
        <w:rPr>
          <w:sz w:val="24"/>
          <w:lang w:val="en-GB"/>
        </w:rPr>
        <w:t xml:space="preserve">G Bridge, </w:t>
      </w:r>
      <w:r w:rsidRPr="006E2D0C">
        <w:rPr>
          <w:i/>
          <w:sz w:val="24"/>
          <w:lang w:val="en-GB"/>
        </w:rPr>
        <w:t>Sale of Goods</w:t>
      </w:r>
      <w:r w:rsidRPr="006E2D0C">
        <w:rPr>
          <w:sz w:val="24"/>
          <w:lang w:val="en-GB"/>
        </w:rPr>
        <w:t xml:space="preserve"> (3rd edn, </w:t>
      </w:r>
      <w:r>
        <w:rPr>
          <w:sz w:val="24"/>
          <w:lang w:val="en-GB"/>
        </w:rPr>
        <w:t>OUP</w:t>
      </w:r>
      <w:r w:rsidRPr="006E2D0C">
        <w:rPr>
          <w:sz w:val="24"/>
          <w:lang w:val="en-GB"/>
        </w:rPr>
        <w:t xml:space="preserve"> 2014) para</w:t>
      </w:r>
      <w:r>
        <w:rPr>
          <w:sz w:val="24"/>
          <w:lang w:val="en-GB"/>
        </w:rPr>
        <w:t xml:space="preserve"> </w:t>
      </w:r>
      <w:r w:rsidR="00516AE7">
        <w:rPr>
          <w:sz w:val="24"/>
          <w:lang w:val="en-GB"/>
        </w:rPr>
        <w:t>12-</w:t>
      </w:r>
      <w:r w:rsidRPr="006E2D0C">
        <w:rPr>
          <w:sz w:val="24"/>
          <w:lang w:val="en-GB"/>
        </w:rPr>
        <w:t>42.</w:t>
      </w:r>
    </w:p>
  </w:footnote>
  <w:footnote w:id="62">
    <w:p w14:paraId="4D8E7BF9" w14:textId="6D37F8D7" w:rsidR="00850172" w:rsidRPr="006E2D0C" w:rsidRDefault="00850172" w:rsidP="006E2D0C">
      <w:pPr>
        <w:pStyle w:val="FootnoteText"/>
        <w:spacing w:line="480" w:lineRule="auto"/>
        <w:rPr>
          <w:b/>
          <w:sz w:val="24"/>
          <w:lang w:val="en-GB"/>
        </w:rPr>
      </w:pPr>
      <w:r w:rsidRPr="006E2D0C">
        <w:rPr>
          <w:rStyle w:val="FootnoteReference"/>
          <w:sz w:val="24"/>
        </w:rPr>
        <w:footnoteRef/>
      </w:r>
      <w:r w:rsidRPr="006E2D0C">
        <w:rPr>
          <w:sz w:val="24"/>
        </w:rPr>
        <w:t xml:space="preserve"> M</w:t>
      </w:r>
      <w:r>
        <w:rPr>
          <w:sz w:val="24"/>
        </w:rPr>
        <w:t xml:space="preserve">ichael </w:t>
      </w:r>
      <w:r w:rsidRPr="006E2D0C">
        <w:rPr>
          <w:sz w:val="24"/>
        </w:rPr>
        <w:t>G Bridge, ‘The Market Rule of Damages Assessment’ in D</w:t>
      </w:r>
      <w:r>
        <w:rPr>
          <w:sz w:val="24"/>
        </w:rPr>
        <w:t>jakhongir</w:t>
      </w:r>
      <w:r w:rsidRPr="006E2D0C">
        <w:rPr>
          <w:sz w:val="24"/>
        </w:rPr>
        <w:t xml:space="preserve"> Saidov and R</w:t>
      </w:r>
      <w:r>
        <w:rPr>
          <w:sz w:val="24"/>
        </w:rPr>
        <w:t>alph</w:t>
      </w:r>
      <w:r w:rsidRPr="006E2D0C">
        <w:rPr>
          <w:sz w:val="24"/>
        </w:rPr>
        <w:t xml:space="preserve"> Cunnington (eds) </w:t>
      </w:r>
      <w:r w:rsidRPr="006E2D0C">
        <w:rPr>
          <w:i/>
          <w:sz w:val="24"/>
        </w:rPr>
        <w:t>Contract Damages</w:t>
      </w:r>
      <w:r w:rsidRPr="006E2D0C">
        <w:rPr>
          <w:sz w:val="24"/>
        </w:rPr>
        <w:t xml:space="preserve"> (</w:t>
      </w:r>
      <w:r>
        <w:rPr>
          <w:sz w:val="24"/>
        </w:rPr>
        <w:t>Hart</w:t>
      </w:r>
      <w:r w:rsidRPr="006E2D0C">
        <w:rPr>
          <w:sz w:val="24"/>
        </w:rPr>
        <w:t xml:space="preserve"> 2008) 455.</w:t>
      </w:r>
    </w:p>
  </w:footnote>
  <w:footnote w:id="63">
    <w:p w14:paraId="6E36EF66" w14:textId="138AB71C"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Pr>
          <w:sz w:val="24"/>
          <w:lang w:val="en-GB"/>
        </w:rPr>
        <w:t>Bridge (</w:t>
      </w:r>
      <w:r w:rsidRPr="006E2D0C">
        <w:rPr>
          <w:sz w:val="24"/>
          <w:lang w:val="en-GB"/>
        </w:rPr>
        <w:t xml:space="preserve">n </w:t>
      </w:r>
      <w:r w:rsidRPr="006E2D0C">
        <w:rPr>
          <w:sz w:val="24"/>
          <w:lang w:val="en-GB"/>
        </w:rPr>
        <w:fldChar w:fldCharType="begin"/>
      </w:r>
      <w:r w:rsidRPr="006E2D0C">
        <w:rPr>
          <w:sz w:val="24"/>
          <w:lang w:val="en-GB"/>
        </w:rPr>
        <w:instrText xml:space="preserve"> NOTEREF _Ref394565350 \h </w:instrText>
      </w:r>
      <w:r w:rsidRPr="006E2D0C">
        <w:rPr>
          <w:sz w:val="24"/>
          <w:lang w:val="en-GB"/>
        </w:rPr>
      </w:r>
      <w:r w:rsidRPr="006E2D0C">
        <w:rPr>
          <w:sz w:val="24"/>
          <w:lang w:val="en-GB"/>
        </w:rPr>
        <w:fldChar w:fldCharType="separate"/>
      </w:r>
      <w:r w:rsidR="00BB2860">
        <w:rPr>
          <w:sz w:val="24"/>
          <w:lang w:val="en-GB"/>
        </w:rPr>
        <w:t>60</w:t>
      </w:r>
      <w:r w:rsidRPr="006E2D0C">
        <w:rPr>
          <w:sz w:val="24"/>
          <w:lang w:val="en-GB"/>
        </w:rPr>
        <w:fldChar w:fldCharType="end"/>
      </w:r>
      <w:r>
        <w:rPr>
          <w:sz w:val="24"/>
          <w:lang w:val="en-GB"/>
        </w:rPr>
        <w:t>)</w:t>
      </w:r>
      <w:r w:rsidR="00516AE7">
        <w:rPr>
          <w:sz w:val="24"/>
          <w:lang w:val="en-GB"/>
        </w:rPr>
        <w:t xml:space="preserve"> para 12-</w:t>
      </w:r>
      <w:r w:rsidRPr="006E2D0C">
        <w:rPr>
          <w:sz w:val="24"/>
          <w:lang w:val="en-GB"/>
        </w:rPr>
        <w:t>57.</w:t>
      </w:r>
    </w:p>
  </w:footnote>
  <w:footnote w:id="64">
    <w:p w14:paraId="4C8B0421" w14:textId="0D79170C"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sidRPr="006E2D0C">
        <w:rPr>
          <w:sz w:val="24"/>
          <w:lang w:val="en-GB"/>
        </w:rPr>
        <w:t>R</w:t>
      </w:r>
      <w:r>
        <w:rPr>
          <w:sz w:val="24"/>
          <w:lang w:val="en-GB"/>
        </w:rPr>
        <w:t xml:space="preserve">obert </w:t>
      </w:r>
      <w:r w:rsidRPr="006E2D0C">
        <w:rPr>
          <w:sz w:val="24"/>
          <w:lang w:val="en-GB"/>
        </w:rPr>
        <w:t>E Scott, ‘</w:t>
      </w:r>
      <w:r w:rsidRPr="006E2D0C">
        <w:rPr>
          <w:bCs/>
          <w:sz w:val="24"/>
          <w:lang w:val="en-GB"/>
        </w:rPr>
        <w:t xml:space="preserve">The </w:t>
      </w:r>
      <w:r w:rsidRPr="006E2D0C">
        <w:rPr>
          <w:sz w:val="24"/>
          <w:lang w:val="en-GB"/>
        </w:rPr>
        <w:t xml:space="preserve">Case </w:t>
      </w:r>
      <w:r w:rsidRPr="006E2D0C">
        <w:rPr>
          <w:bCs/>
          <w:sz w:val="24"/>
          <w:lang w:val="en-GB"/>
        </w:rPr>
        <w:t>for Market Damages: Revisiting the Lost Profits Puzzle’</w:t>
      </w:r>
      <w:r w:rsidRPr="006E2D0C">
        <w:rPr>
          <w:b/>
          <w:bCs/>
          <w:sz w:val="24"/>
          <w:lang w:val="en-GB"/>
        </w:rPr>
        <w:t xml:space="preserve"> </w:t>
      </w:r>
      <w:r w:rsidRPr="006E2D0C">
        <w:rPr>
          <w:sz w:val="24"/>
          <w:lang w:val="en-GB"/>
        </w:rPr>
        <w:t xml:space="preserve">(1990) 57 </w:t>
      </w:r>
      <w:r>
        <w:rPr>
          <w:sz w:val="24"/>
          <w:lang w:val="en-GB"/>
        </w:rPr>
        <w:t>Univ</w:t>
      </w:r>
      <w:r w:rsidRPr="001D5139">
        <w:rPr>
          <w:sz w:val="24"/>
          <w:lang w:val="en-GB"/>
        </w:rPr>
        <w:t xml:space="preserve"> of Chicago </w:t>
      </w:r>
      <w:r>
        <w:rPr>
          <w:sz w:val="24"/>
          <w:lang w:val="en-GB"/>
        </w:rPr>
        <w:t>LR</w:t>
      </w:r>
      <w:r w:rsidRPr="006E2D0C">
        <w:rPr>
          <w:sz w:val="24"/>
          <w:lang w:val="en-GB"/>
        </w:rPr>
        <w:t xml:space="preserve"> 1155</w:t>
      </w:r>
      <w:r w:rsidRPr="006E2D0C">
        <w:rPr>
          <w:bCs/>
          <w:sz w:val="24"/>
          <w:lang w:val="en-GB"/>
        </w:rPr>
        <w:t>.</w:t>
      </w:r>
    </w:p>
  </w:footnote>
  <w:footnote w:id="65">
    <w:p w14:paraId="0C2A4B5F" w14:textId="19A0866E"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J</w:t>
      </w:r>
      <w:r>
        <w:rPr>
          <w:sz w:val="24"/>
        </w:rPr>
        <w:t xml:space="preserve">ohn </w:t>
      </w:r>
      <w:r w:rsidRPr="006E2D0C">
        <w:rPr>
          <w:sz w:val="24"/>
        </w:rPr>
        <w:t>D Clark, ‘The Proposed Revisions to Contract Market Damages of Art</w:t>
      </w:r>
      <w:r>
        <w:rPr>
          <w:sz w:val="24"/>
        </w:rPr>
        <w:t>icle</w:t>
      </w:r>
      <w:r w:rsidRPr="006E2D0C">
        <w:rPr>
          <w:sz w:val="24"/>
        </w:rPr>
        <w:t xml:space="preserve"> 2 of the UCC: A Disaster Not a Remedy’ (1997) 46 </w:t>
      </w:r>
      <w:r>
        <w:rPr>
          <w:sz w:val="24"/>
        </w:rPr>
        <w:t>Emory LJ</w:t>
      </w:r>
      <w:r w:rsidRPr="006E2D0C">
        <w:rPr>
          <w:sz w:val="24"/>
        </w:rPr>
        <w:t xml:space="preserve"> 807. See also </w:t>
      </w:r>
      <w:r w:rsidRPr="006E2D0C">
        <w:rPr>
          <w:sz w:val="24"/>
          <w:lang w:val="en-GB"/>
        </w:rPr>
        <w:t>D</w:t>
      </w:r>
      <w:r>
        <w:rPr>
          <w:sz w:val="24"/>
          <w:lang w:val="en-GB"/>
        </w:rPr>
        <w:t>avid</w:t>
      </w:r>
      <w:r w:rsidRPr="006E2D0C">
        <w:rPr>
          <w:sz w:val="24"/>
          <w:lang w:val="en-GB"/>
        </w:rPr>
        <w:t xml:space="preserve"> Simon, ‘</w:t>
      </w:r>
      <w:r w:rsidRPr="006E2D0C">
        <w:rPr>
          <w:bCs/>
          <w:sz w:val="24"/>
          <w:lang w:val="en-GB"/>
        </w:rPr>
        <w:t xml:space="preserve">A Critique of the Treatment of Market Damages in the </w:t>
      </w:r>
      <w:r w:rsidRPr="006E2D0C">
        <w:rPr>
          <w:bCs/>
          <w:i/>
          <w:iCs/>
          <w:sz w:val="24"/>
          <w:lang w:val="en-GB"/>
        </w:rPr>
        <w:t>Restatement (Second) of Contracts</w:t>
      </w:r>
      <w:r w:rsidRPr="006E2D0C">
        <w:rPr>
          <w:bCs/>
          <w:iCs/>
          <w:sz w:val="24"/>
          <w:lang w:val="en-GB"/>
        </w:rPr>
        <w:t>’ (1981)</w:t>
      </w:r>
      <w:r w:rsidRPr="006E2D0C">
        <w:rPr>
          <w:sz w:val="24"/>
          <w:lang w:val="en-GB"/>
        </w:rPr>
        <w:t xml:space="preserve"> 81 </w:t>
      </w:r>
      <w:r>
        <w:rPr>
          <w:sz w:val="24"/>
          <w:lang w:val="en-GB"/>
        </w:rPr>
        <w:t>Columb LR</w:t>
      </w:r>
      <w:r w:rsidRPr="006E2D0C">
        <w:rPr>
          <w:sz w:val="24"/>
          <w:lang w:val="en-GB"/>
        </w:rPr>
        <w:t xml:space="preserve"> 80.</w:t>
      </w:r>
    </w:p>
  </w:footnote>
  <w:footnote w:id="66">
    <w:p w14:paraId="4D9A25C5" w14:textId="671D2EAF"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D</w:t>
      </w:r>
      <w:r>
        <w:rPr>
          <w:sz w:val="24"/>
        </w:rPr>
        <w:t>avid</w:t>
      </w:r>
      <w:r w:rsidRPr="006E2D0C">
        <w:rPr>
          <w:sz w:val="24"/>
        </w:rPr>
        <w:t xml:space="preserve"> </w:t>
      </w:r>
      <w:r w:rsidRPr="006E2D0C">
        <w:rPr>
          <w:sz w:val="24"/>
          <w:lang w:val="en-GB"/>
        </w:rPr>
        <w:t>Simon and G</w:t>
      </w:r>
      <w:r>
        <w:rPr>
          <w:sz w:val="24"/>
          <w:lang w:val="en-GB"/>
        </w:rPr>
        <w:t xml:space="preserve">erald </w:t>
      </w:r>
      <w:r w:rsidRPr="006E2D0C">
        <w:rPr>
          <w:sz w:val="24"/>
          <w:lang w:val="en-GB"/>
        </w:rPr>
        <w:t>A Novack, ‘</w:t>
      </w:r>
      <w:r w:rsidRPr="006E2D0C">
        <w:rPr>
          <w:iCs/>
          <w:sz w:val="24"/>
          <w:lang w:val="en-GB"/>
        </w:rPr>
        <w:t>Limiting the Buyer's Market Damages to Lost Profits: A Challenge to the Enforceability of Market Contracts’ (1979)</w:t>
      </w:r>
      <w:r w:rsidRPr="006E2D0C">
        <w:rPr>
          <w:i/>
          <w:iCs/>
          <w:sz w:val="24"/>
          <w:lang w:val="en-GB"/>
        </w:rPr>
        <w:t xml:space="preserve"> </w:t>
      </w:r>
      <w:r w:rsidRPr="006E2D0C">
        <w:rPr>
          <w:sz w:val="24"/>
          <w:lang w:val="en-GB"/>
        </w:rPr>
        <w:t xml:space="preserve">92 </w:t>
      </w:r>
      <w:r>
        <w:rPr>
          <w:sz w:val="24"/>
          <w:lang w:val="en-GB"/>
        </w:rPr>
        <w:t>Harv LR</w:t>
      </w:r>
      <w:r w:rsidRPr="00626F8A">
        <w:rPr>
          <w:sz w:val="24"/>
          <w:lang w:val="en-GB"/>
        </w:rPr>
        <w:t xml:space="preserve"> </w:t>
      </w:r>
      <w:r w:rsidRPr="006E2D0C">
        <w:rPr>
          <w:sz w:val="24"/>
          <w:lang w:val="en-GB"/>
        </w:rPr>
        <w:t>1395, 1396.</w:t>
      </w:r>
    </w:p>
  </w:footnote>
  <w:footnote w:id="67">
    <w:p w14:paraId="2DA7E17E" w14:textId="2CFC3706"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w:t>
      </w:r>
      <w:r>
        <w:rPr>
          <w:sz w:val="24"/>
        </w:rPr>
        <w:t xml:space="preserve">Simon and Novack (n </w:t>
      </w:r>
      <w:r>
        <w:rPr>
          <w:sz w:val="24"/>
        </w:rPr>
        <w:fldChar w:fldCharType="begin"/>
      </w:r>
      <w:r>
        <w:rPr>
          <w:sz w:val="24"/>
        </w:rPr>
        <w:instrText xml:space="preserve"> NOTEREF _Ref278278520 \h </w:instrText>
      </w:r>
      <w:r>
        <w:rPr>
          <w:sz w:val="24"/>
        </w:rPr>
      </w:r>
      <w:r>
        <w:rPr>
          <w:sz w:val="24"/>
        </w:rPr>
        <w:fldChar w:fldCharType="separate"/>
      </w:r>
      <w:r w:rsidR="00BB2860">
        <w:rPr>
          <w:sz w:val="24"/>
        </w:rPr>
        <w:t>65</w:t>
      </w:r>
      <w:r>
        <w:rPr>
          <w:sz w:val="24"/>
        </w:rPr>
        <w:fldChar w:fldCharType="end"/>
      </w:r>
      <w:r>
        <w:rPr>
          <w:sz w:val="24"/>
        </w:rPr>
        <w:t>)</w:t>
      </w:r>
      <w:r w:rsidRPr="006E2D0C">
        <w:rPr>
          <w:sz w:val="24"/>
        </w:rPr>
        <w:t xml:space="preserve"> 1397.</w:t>
      </w:r>
    </w:p>
  </w:footnote>
  <w:footnote w:id="68">
    <w:p w14:paraId="1C8259F8" w14:textId="1046BCE2" w:rsidR="00850172" w:rsidRPr="006E2D0C" w:rsidRDefault="00850172" w:rsidP="006E2D0C">
      <w:pPr>
        <w:pStyle w:val="FootnoteText"/>
        <w:spacing w:line="480" w:lineRule="auto"/>
        <w:rPr>
          <w:sz w:val="24"/>
          <w:lang w:val="en-GB"/>
        </w:rPr>
      </w:pPr>
      <w:r w:rsidRPr="006E2D0C">
        <w:rPr>
          <w:rStyle w:val="FootnoteReference"/>
          <w:sz w:val="24"/>
        </w:rPr>
        <w:footnoteRef/>
      </w:r>
      <w:r w:rsidRPr="006E2D0C">
        <w:rPr>
          <w:sz w:val="24"/>
        </w:rPr>
        <w:t xml:space="preserve"> D</w:t>
      </w:r>
      <w:r>
        <w:rPr>
          <w:sz w:val="24"/>
        </w:rPr>
        <w:t>avid</w:t>
      </w:r>
      <w:r w:rsidRPr="006E2D0C">
        <w:rPr>
          <w:sz w:val="24"/>
        </w:rPr>
        <w:t xml:space="preserve"> Campbell and S</w:t>
      </w:r>
      <w:r>
        <w:rPr>
          <w:sz w:val="24"/>
        </w:rPr>
        <w:t>ol Piccio</w:t>
      </w:r>
      <w:r w:rsidRPr="006E2D0C">
        <w:rPr>
          <w:sz w:val="24"/>
        </w:rPr>
        <w:t>t</w:t>
      </w:r>
      <w:r>
        <w:rPr>
          <w:sz w:val="24"/>
        </w:rPr>
        <w:t>to</w:t>
      </w:r>
      <w:r w:rsidRPr="006E2D0C">
        <w:rPr>
          <w:sz w:val="24"/>
        </w:rPr>
        <w:t>, ‘The Justification of Financial Futures Exchanges’ in A</w:t>
      </w:r>
      <w:r>
        <w:rPr>
          <w:sz w:val="24"/>
        </w:rPr>
        <w:t>lastair</w:t>
      </w:r>
      <w:r w:rsidRPr="006E2D0C">
        <w:rPr>
          <w:sz w:val="24"/>
        </w:rPr>
        <w:t xml:space="preserve"> Hudson (ed)  </w:t>
      </w:r>
      <w:r w:rsidRPr="006E2D0C">
        <w:rPr>
          <w:i/>
          <w:sz w:val="24"/>
        </w:rPr>
        <w:t>Modern Financial Techniques, Derivatives and Law</w:t>
      </w:r>
      <w:r w:rsidRPr="006E2D0C">
        <w:rPr>
          <w:sz w:val="24"/>
        </w:rPr>
        <w:t xml:space="preserve"> (</w:t>
      </w:r>
      <w:r>
        <w:rPr>
          <w:sz w:val="24"/>
        </w:rPr>
        <w:t>Kluwer</w:t>
      </w:r>
      <w:r w:rsidRPr="006E2D0C">
        <w:rPr>
          <w:sz w:val="24"/>
        </w:rPr>
        <w:t xml:space="preserve"> 2000).</w:t>
      </w:r>
    </w:p>
  </w:footnote>
  <w:footnote w:id="69">
    <w:p w14:paraId="4FC2459A" w14:textId="48986334" w:rsidR="00850172" w:rsidRPr="006E2D0C" w:rsidRDefault="00850172" w:rsidP="006E2D0C">
      <w:pPr>
        <w:pStyle w:val="FootnoteText"/>
        <w:spacing w:line="480" w:lineRule="auto"/>
        <w:rPr>
          <w:sz w:val="24"/>
        </w:rPr>
      </w:pPr>
      <w:r w:rsidRPr="006E2D0C">
        <w:rPr>
          <w:rStyle w:val="FootnoteReference"/>
          <w:sz w:val="24"/>
        </w:rPr>
        <w:footnoteRef/>
      </w:r>
      <w:r>
        <w:rPr>
          <w:sz w:val="24"/>
        </w:rPr>
        <w:t xml:space="preserve"> Smith (</w:t>
      </w:r>
      <w:r w:rsidRPr="006E2D0C">
        <w:rPr>
          <w:sz w:val="24"/>
        </w:rPr>
        <w:t xml:space="preserve">n </w:t>
      </w:r>
      <w:r w:rsidRPr="006E2D0C">
        <w:rPr>
          <w:sz w:val="24"/>
        </w:rPr>
        <w:fldChar w:fldCharType="begin"/>
      </w:r>
      <w:r w:rsidRPr="006E2D0C">
        <w:rPr>
          <w:sz w:val="24"/>
        </w:rPr>
        <w:instrText xml:space="preserve"> NOTEREF _Ref364328077 \h </w:instrText>
      </w:r>
      <w:r w:rsidRPr="006E2D0C">
        <w:rPr>
          <w:sz w:val="24"/>
        </w:rPr>
      </w:r>
      <w:r w:rsidRPr="006E2D0C">
        <w:rPr>
          <w:sz w:val="24"/>
        </w:rPr>
        <w:fldChar w:fldCharType="separate"/>
      </w:r>
      <w:r w:rsidR="00BB2860">
        <w:rPr>
          <w:sz w:val="24"/>
        </w:rPr>
        <w:t>2</w:t>
      </w:r>
      <w:r w:rsidRPr="006E2D0C">
        <w:rPr>
          <w:sz w:val="24"/>
        </w:rPr>
        <w:fldChar w:fldCharType="end"/>
      </w:r>
      <w:r>
        <w:rPr>
          <w:sz w:val="24"/>
        </w:rPr>
        <w:t xml:space="preserve">) </w:t>
      </w:r>
      <w:r w:rsidR="00D7628F">
        <w:rPr>
          <w:sz w:val="24"/>
        </w:rPr>
        <w:t xml:space="preserve">vol 1, </w:t>
      </w:r>
      <w:r>
        <w:rPr>
          <w:sz w:val="24"/>
        </w:rPr>
        <w:t>26–</w:t>
      </w:r>
      <w:r w:rsidRPr="006E2D0C">
        <w:rPr>
          <w:sz w:val="24"/>
        </w:rPr>
        <w:t>7.</w:t>
      </w:r>
    </w:p>
  </w:footnote>
  <w:footnote w:id="70">
    <w:p w14:paraId="6AF4FBDC" w14:textId="19229716"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This is not entirely a statement about the inefficacy o</w:t>
      </w:r>
      <w:r>
        <w:rPr>
          <w:sz w:val="24"/>
        </w:rPr>
        <w:t>f depending upon charity. Self-</w:t>
      </w:r>
      <w:r w:rsidRPr="006E2D0C">
        <w:rPr>
          <w:sz w:val="24"/>
        </w:rPr>
        <w:t xml:space="preserve">worth normally requires one to avoid such dependence: ‘Nobody but a beggar chuses to depend chiefly upon the benevolence of his fellow citizens’: </w:t>
      </w:r>
      <w:r>
        <w:rPr>
          <w:sz w:val="24"/>
        </w:rPr>
        <w:t>Smith (</w:t>
      </w:r>
      <w:r w:rsidRPr="006E2D0C">
        <w:rPr>
          <w:sz w:val="24"/>
        </w:rPr>
        <w:t xml:space="preserve">n </w:t>
      </w:r>
      <w:r w:rsidRPr="006E2D0C">
        <w:rPr>
          <w:sz w:val="24"/>
        </w:rPr>
        <w:fldChar w:fldCharType="begin"/>
      </w:r>
      <w:r w:rsidRPr="006E2D0C">
        <w:rPr>
          <w:sz w:val="24"/>
        </w:rPr>
        <w:instrText xml:space="preserve"> NOTEREF _Ref364328077 \h </w:instrText>
      </w:r>
      <w:r w:rsidRPr="006E2D0C">
        <w:rPr>
          <w:sz w:val="24"/>
        </w:rPr>
      </w:r>
      <w:r w:rsidRPr="006E2D0C">
        <w:rPr>
          <w:sz w:val="24"/>
        </w:rPr>
        <w:fldChar w:fldCharType="separate"/>
      </w:r>
      <w:r w:rsidR="00BB2860">
        <w:rPr>
          <w:sz w:val="24"/>
        </w:rPr>
        <w:t>2</w:t>
      </w:r>
      <w:r w:rsidRPr="006E2D0C">
        <w:rPr>
          <w:sz w:val="24"/>
        </w:rPr>
        <w:fldChar w:fldCharType="end"/>
      </w:r>
      <w:r>
        <w:rPr>
          <w:sz w:val="24"/>
        </w:rPr>
        <w:t>)</w:t>
      </w:r>
      <w:r w:rsidRPr="006E2D0C">
        <w:rPr>
          <w:sz w:val="24"/>
        </w:rPr>
        <w:t xml:space="preserve"> </w:t>
      </w:r>
      <w:r w:rsidR="00D7628F">
        <w:rPr>
          <w:sz w:val="24"/>
        </w:rPr>
        <w:t xml:space="preserve">vol 1, </w:t>
      </w:r>
      <w:r w:rsidRPr="006E2D0C">
        <w:rPr>
          <w:sz w:val="24"/>
        </w:rPr>
        <w:t xml:space="preserve">27. </w:t>
      </w:r>
    </w:p>
  </w:footnote>
  <w:footnote w:id="71">
    <w:p w14:paraId="536F1BBC" w14:textId="5F0AEE9F" w:rsidR="00850172" w:rsidRPr="006E2D0C" w:rsidRDefault="00850172" w:rsidP="006E2D0C">
      <w:pPr>
        <w:pStyle w:val="FootnoteText"/>
        <w:spacing w:line="480" w:lineRule="auto"/>
        <w:rPr>
          <w:sz w:val="24"/>
        </w:rPr>
      </w:pPr>
      <w:r w:rsidRPr="006E2D0C">
        <w:rPr>
          <w:rStyle w:val="FootnoteReference"/>
          <w:sz w:val="24"/>
        </w:rPr>
        <w:footnoteRef/>
      </w:r>
      <w:r w:rsidRPr="006E2D0C">
        <w:rPr>
          <w:sz w:val="24"/>
        </w:rPr>
        <w:t xml:space="preserve"> </w:t>
      </w:r>
      <w:r>
        <w:rPr>
          <w:sz w:val="24"/>
        </w:rPr>
        <w:t>Smith (</w:t>
      </w:r>
      <w:r w:rsidRPr="006E2D0C">
        <w:rPr>
          <w:sz w:val="24"/>
        </w:rPr>
        <w:t xml:space="preserve">n </w:t>
      </w:r>
      <w:r w:rsidRPr="006E2D0C">
        <w:rPr>
          <w:sz w:val="24"/>
        </w:rPr>
        <w:fldChar w:fldCharType="begin"/>
      </w:r>
      <w:r w:rsidRPr="006E2D0C">
        <w:rPr>
          <w:sz w:val="24"/>
        </w:rPr>
        <w:instrText xml:space="preserve"> NOTEREF _Ref364328077 \h </w:instrText>
      </w:r>
      <w:r w:rsidRPr="006E2D0C">
        <w:rPr>
          <w:sz w:val="24"/>
        </w:rPr>
      </w:r>
      <w:r w:rsidRPr="006E2D0C">
        <w:rPr>
          <w:sz w:val="24"/>
        </w:rPr>
        <w:fldChar w:fldCharType="separate"/>
      </w:r>
      <w:r w:rsidR="00BB2860">
        <w:rPr>
          <w:sz w:val="24"/>
        </w:rPr>
        <w:t>2</w:t>
      </w:r>
      <w:r w:rsidRPr="006E2D0C">
        <w:rPr>
          <w:sz w:val="24"/>
        </w:rPr>
        <w:fldChar w:fldCharType="end"/>
      </w:r>
      <w:r>
        <w:rPr>
          <w:sz w:val="24"/>
        </w:rPr>
        <w:t xml:space="preserve">) </w:t>
      </w:r>
      <w:r w:rsidR="00D7628F">
        <w:rPr>
          <w:sz w:val="24"/>
        </w:rPr>
        <w:t xml:space="preserve">vol 1, </w:t>
      </w:r>
      <w:r w:rsidRPr="006E2D0C">
        <w:rPr>
          <w:sz w:val="24"/>
        </w:rPr>
        <w:t>26.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E3D89"/>
    <w:multiLevelType w:val="singleLevel"/>
    <w:tmpl w:val="0809000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7FC"/>
    <w:rsid w:val="00001684"/>
    <w:rsid w:val="00002336"/>
    <w:rsid w:val="0000274B"/>
    <w:rsid w:val="000035AC"/>
    <w:rsid w:val="00003871"/>
    <w:rsid w:val="0000411B"/>
    <w:rsid w:val="0000453B"/>
    <w:rsid w:val="00004B67"/>
    <w:rsid w:val="00004C1D"/>
    <w:rsid w:val="00004C6F"/>
    <w:rsid w:val="00004DDC"/>
    <w:rsid w:val="000064BE"/>
    <w:rsid w:val="00006569"/>
    <w:rsid w:val="000068F4"/>
    <w:rsid w:val="00006BAD"/>
    <w:rsid w:val="00006C5A"/>
    <w:rsid w:val="00006E68"/>
    <w:rsid w:val="00007856"/>
    <w:rsid w:val="00007925"/>
    <w:rsid w:val="00010BCF"/>
    <w:rsid w:val="00010D89"/>
    <w:rsid w:val="0001251A"/>
    <w:rsid w:val="000127EA"/>
    <w:rsid w:val="00012EA9"/>
    <w:rsid w:val="00015011"/>
    <w:rsid w:val="00015450"/>
    <w:rsid w:val="00015BED"/>
    <w:rsid w:val="00015DE5"/>
    <w:rsid w:val="00016113"/>
    <w:rsid w:val="0002003D"/>
    <w:rsid w:val="000209DA"/>
    <w:rsid w:val="00020D71"/>
    <w:rsid w:val="000213AE"/>
    <w:rsid w:val="00021912"/>
    <w:rsid w:val="00023DFF"/>
    <w:rsid w:val="00024022"/>
    <w:rsid w:val="0002492F"/>
    <w:rsid w:val="00024DA0"/>
    <w:rsid w:val="00024EE2"/>
    <w:rsid w:val="00025373"/>
    <w:rsid w:val="00025579"/>
    <w:rsid w:val="00025634"/>
    <w:rsid w:val="00025C72"/>
    <w:rsid w:val="00030E26"/>
    <w:rsid w:val="0003292A"/>
    <w:rsid w:val="00033916"/>
    <w:rsid w:val="00033F44"/>
    <w:rsid w:val="0003416D"/>
    <w:rsid w:val="00034408"/>
    <w:rsid w:val="00034DFA"/>
    <w:rsid w:val="00034DFB"/>
    <w:rsid w:val="000351EE"/>
    <w:rsid w:val="000363AF"/>
    <w:rsid w:val="00036434"/>
    <w:rsid w:val="00036441"/>
    <w:rsid w:val="00037E89"/>
    <w:rsid w:val="000403FC"/>
    <w:rsid w:val="000409F9"/>
    <w:rsid w:val="00042361"/>
    <w:rsid w:val="0004352D"/>
    <w:rsid w:val="000436D4"/>
    <w:rsid w:val="00043916"/>
    <w:rsid w:val="00043C22"/>
    <w:rsid w:val="000440E9"/>
    <w:rsid w:val="000445F7"/>
    <w:rsid w:val="000447EC"/>
    <w:rsid w:val="000448CA"/>
    <w:rsid w:val="00044C04"/>
    <w:rsid w:val="00045007"/>
    <w:rsid w:val="000457ED"/>
    <w:rsid w:val="000469D1"/>
    <w:rsid w:val="00046B94"/>
    <w:rsid w:val="00050581"/>
    <w:rsid w:val="000517C8"/>
    <w:rsid w:val="00051FEF"/>
    <w:rsid w:val="00054E23"/>
    <w:rsid w:val="00055323"/>
    <w:rsid w:val="0005540D"/>
    <w:rsid w:val="000554DF"/>
    <w:rsid w:val="0005594D"/>
    <w:rsid w:val="00055DB5"/>
    <w:rsid w:val="00056D8B"/>
    <w:rsid w:val="00056FA6"/>
    <w:rsid w:val="0005711A"/>
    <w:rsid w:val="000577C0"/>
    <w:rsid w:val="00057896"/>
    <w:rsid w:val="0006059D"/>
    <w:rsid w:val="00060E7E"/>
    <w:rsid w:val="00061B52"/>
    <w:rsid w:val="00062E22"/>
    <w:rsid w:val="000636E4"/>
    <w:rsid w:val="00064389"/>
    <w:rsid w:val="00064FF1"/>
    <w:rsid w:val="0006617A"/>
    <w:rsid w:val="00066B94"/>
    <w:rsid w:val="00066BAA"/>
    <w:rsid w:val="00067D94"/>
    <w:rsid w:val="0007068B"/>
    <w:rsid w:val="00070ECF"/>
    <w:rsid w:val="0007156A"/>
    <w:rsid w:val="000719BC"/>
    <w:rsid w:val="00071AE5"/>
    <w:rsid w:val="00071CC2"/>
    <w:rsid w:val="00071E55"/>
    <w:rsid w:val="00072744"/>
    <w:rsid w:val="00072D9B"/>
    <w:rsid w:val="000732F1"/>
    <w:rsid w:val="00074738"/>
    <w:rsid w:val="0007572E"/>
    <w:rsid w:val="000759E6"/>
    <w:rsid w:val="0007644C"/>
    <w:rsid w:val="00076737"/>
    <w:rsid w:val="000767E4"/>
    <w:rsid w:val="00076A37"/>
    <w:rsid w:val="00080415"/>
    <w:rsid w:val="0008053A"/>
    <w:rsid w:val="00081762"/>
    <w:rsid w:val="00083487"/>
    <w:rsid w:val="00083F36"/>
    <w:rsid w:val="00084BA0"/>
    <w:rsid w:val="0008603A"/>
    <w:rsid w:val="0008636C"/>
    <w:rsid w:val="00087494"/>
    <w:rsid w:val="00090457"/>
    <w:rsid w:val="000909E9"/>
    <w:rsid w:val="00091203"/>
    <w:rsid w:val="00091D06"/>
    <w:rsid w:val="00091FCC"/>
    <w:rsid w:val="000922AA"/>
    <w:rsid w:val="000924DC"/>
    <w:rsid w:val="00092569"/>
    <w:rsid w:val="00092B5C"/>
    <w:rsid w:val="00092FA3"/>
    <w:rsid w:val="000934F8"/>
    <w:rsid w:val="00093768"/>
    <w:rsid w:val="00094BDA"/>
    <w:rsid w:val="00097452"/>
    <w:rsid w:val="000979BF"/>
    <w:rsid w:val="000A0F9F"/>
    <w:rsid w:val="000A28A9"/>
    <w:rsid w:val="000A2FF1"/>
    <w:rsid w:val="000A3528"/>
    <w:rsid w:val="000A4401"/>
    <w:rsid w:val="000A4405"/>
    <w:rsid w:val="000A55A2"/>
    <w:rsid w:val="000A6016"/>
    <w:rsid w:val="000A669C"/>
    <w:rsid w:val="000A74E6"/>
    <w:rsid w:val="000B0430"/>
    <w:rsid w:val="000B09EA"/>
    <w:rsid w:val="000B0D8D"/>
    <w:rsid w:val="000B20A7"/>
    <w:rsid w:val="000B25A0"/>
    <w:rsid w:val="000B393A"/>
    <w:rsid w:val="000B3EB1"/>
    <w:rsid w:val="000B4802"/>
    <w:rsid w:val="000B4B27"/>
    <w:rsid w:val="000B5125"/>
    <w:rsid w:val="000B5632"/>
    <w:rsid w:val="000B6019"/>
    <w:rsid w:val="000B652A"/>
    <w:rsid w:val="000B6F35"/>
    <w:rsid w:val="000B707B"/>
    <w:rsid w:val="000B7E59"/>
    <w:rsid w:val="000B7F1F"/>
    <w:rsid w:val="000C0903"/>
    <w:rsid w:val="000C1570"/>
    <w:rsid w:val="000C2BCE"/>
    <w:rsid w:val="000C6A26"/>
    <w:rsid w:val="000C762A"/>
    <w:rsid w:val="000C7749"/>
    <w:rsid w:val="000C78F8"/>
    <w:rsid w:val="000D095D"/>
    <w:rsid w:val="000D171B"/>
    <w:rsid w:val="000D188A"/>
    <w:rsid w:val="000D1A1C"/>
    <w:rsid w:val="000D1BB3"/>
    <w:rsid w:val="000D379F"/>
    <w:rsid w:val="000D458E"/>
    <w:rsid w:val="000D45C6"/>
    <w:rsid w:val="000D4C8D"/>
    <w:rsid w:val="000D5182"/>
    <w:rsid w:val="000D588B"/>
    <w:rsid w:val="000D7713"/>
    <w:rsid w:val="000E01BB"/>
    <w:rsid w:val="000E19DC"/>
    <w:rsid w:val="000E44B9"/>
    <w:rsid w:val="000E47A8"/>
    <w:rsid w:val="000E4F7B"/>
    <w:rsid w:val="000E4F81"/>
    <w:rsid w:val="000E5232"/>
    <w:rsid w:val="000E5E64"/>
    <w:rsid w:val="000E63BB"/>
    <w:rsid w:val="000E7283"/>
    <w:rsid w:val="000E74C7"/>
    <w:rsid w:val="000E7A94"/>
    <w:rsid w:val="000E7D27"/>
    <w:rsid w:val="000F0CC9"/>
    <w:rsid w:val="000F4017"/>
    <w:rsid w:val="000F4433"/>
    <w:rsid w:val="000F475B"/>
    <w:rsid w:val="000F6542"/>
    <w:rsid w:val="000F7667"/>
    <w:rsid w:val="00100013"/>
    <w:rsid w:val="00101E70"/>
    <w:rsid w:val="00102ED2"/>
    <w:rsid w:val="00103EC8"/>
    <w:rsid w:val="001070C7"/>
    <w:rsid w:val="001071A1"/>
    <w:rsid w:val="00107E5A"/>
    <w:rsid w:val="001108DE"/>
    <w:rsid w:val="00111ED8"/>
    <w:rsid w:val="001126C3"/>
    <w:rsid w:val="00112E6B"/>
    <w:rsid w:val="001134EC"/>
    <w:rsid w:val="00114447"/>
    <w:rsid w:val="001146E3"/>
    <w:rsid w:val="00115383"/>
    <w:rsid w:val="00115944"/>
    <w:rsid w:val="00116E0C"/>
    <w:rsid w:val="00117317"/>
    <w:rsid w:val="0011741A"/>
    <w:rsid w:val="00117452"/>
    <w:rsid w:val="001175E4"/>
    <w:rsid w:val="001206C3"/>
    <w:rsid w:val="001213C8"/>
    <w:rsid w:val="00121A20"/>
    <w:rsid w:val="00121A94"/>
    <w:rsid w:val="00121C46"/>
    <w:rsid w:val="00122D8C"/>
    <w:rsid w:val="0012357F"/>
    <w:rsid w:val="00123A07"/>
    <w:rsid w:val="00123FB4"/>
    <w:rsid w:val="00124526"/>
    <w:rsid w:val="0012452D"/>
    <w:rsid w:val="00124FBD"/>
    <w:rsid w:val="0012522A"/>
    <w:rsid w:val="00126251"/>
    <w:rsid w:val="001264B3"/>
    <w:rsid w:val="0013079B"/>
    <w:rsid w:val="0013124E"/>
    <w:rsid w:val="0013206D"/>
    <w:rsid w:val="00132254"/>
    <w:rsid w:val="001324BD"/>
    <w:rsid w:val="001337A2"/>
    <w:rsid w:val="00133BC7"/>
    <w:rsid w:val="00134A09"/>
    <w:rsid w:val="00135CAE"/>
    <w:rsid w:val="00136417"/>
    <w:rsid w:val="001366DB"/>
    <w:rsid w:val="00136EFD"/>
    <w:rsid w:val="00140795"/>
    <w:rsid w:val="00140B18"/>
    <w:rsid w:val="001415BB"/>
    <w:rsid w:val="001418A7"/>
    <w:rsid w:val="00141D5D"/>
    <w:rsid w:val="00141DF0"/>
    <w:rsid w:val="001424E9"/>
    <w:rsid w:val="0014569D"/>
    <w:rsid w:val="00146176"/>
    <w:rsid w:val="0015005E"/>
    <w:rsid w:val="00151AB5"/>
    <w:rsid w:val="00151DCE"/>
    <w:rsid w:val="00152F33"/>
    <w:rsid w:val="0015412F"/>
    <w:rsid w:val="001548F7"/>
    <w:rsid w:val="00154C6D"/>
    <w:rsid w:val="00154FF4"/>
    <w:rsid w:val="00156962"/>
    <w:rsid w:val="0016147D"/>
    <w:rsid w:val="00161A3F"/>
    <w:rsid w:val="0016207C"/>
    <w:rsid w:val="00162192"/>
    <w:rsid w:val="00162D8E"/>
    <w:rsid w:val="00162FCA"/>
    <w:rsid w:val="00163C8E"/>
    <w:rsid w:val="001640B7"/>
    <w:rsid w:val="00164711"/>
    <w:rsid w:val="001647EE"/>
    <w:rsid w:val="00165BD3"/>
    <w:rsid w:val="00166459"/>
    <w:rsid w:val="0016665B"/>
    <w:rsid w:val="00167E6D"/>
    <w:rsid w:val="00167ED8"/>
    <w:rsid w:val="00170982"/>
    <w:rsid w:val="00172076"/>
    <w:rsid w:val="001737D9"/>
    <w:rsid w:val="0017399E"/>
    <w:rsid w:val="00173DA1"/>
    <w:rsid w:val="00174414"/>
    <w:rsid w:val="001747CC"/>
    <w:rsid w:val="00174E8E"/>
    <w:rsid w:val="00175D82"/>
    <w:rsid w:val="00176D5A"/>
    <w:rsid w:val="00176EFB"/>
    <w:rsid w:val="00177702"/>
    <w:rsid w:val="001779F9"/>
    <w:rsid w:val="00177A97"/>
    <w:rsid w:val="00180464"/>
    <w:rsid w:val="001806CC"/>
    <w:rsid w:val="00181A78"/>
    <w:rsid w:val="001831D7"/>
    <w:rsid w:val="00183203"/>
    <w:rsid w:val="0018390A"/>
    <w:rsid w:val="0018547C"/>
    <w:rsid w:val="00185D50"/>
    <w:rsid w:val="001868E3"/>
    <w:rsid w:val="00187BE3"/>
    <w:rsid w:val="00187DBD"/>
    <w:rsid w:val="0019098F"/>
    <w:rsid w:val="001916E6"/>
    <w:rsid w:val="00192577"/>
    <w:rsid w:val="00192AE5"/>
    <w:rsid w:val="00192B03"/>
    <w:rsid w:val="001939EC"/>
    <w:rsid w:val="00193DFC"/>
    <w:rsid w:val="001942CB"/>
    <w:rsid w:val="00194D2E"/>
    <w:rsid w:val="00194ECA"/>
    <w:rsid w:val="00195BFE"/>
    <w:rsid w:val="00196B4E"/>
    <w:rsid w:val="001A004A"/>
    <w:rsid w:val="001A07D2"/>
    <w:rsid w:val="001A0C6F"/>
    <w:rsid w:val="001A1435"/>
    <w:rsid w:val="001A215F"/>
    <w:rsid w:val="001A37BC"/>
    <w:rsid w:val="001A3FE4"/>
    <w:rsid w:val="001A42DC"/>
    <w:rsid w:val="001A4769"/>
    <w:rsid w:val="001A4B78"/>
    <w:rsid w:val="001A4C33"/>
    <w:rsid w:val="001A4D82"/>
    <w:rsid w:val="001A5007"/>
    <w:rsid w:val="001A5252"/>
    <w:rsid w:val="001A5AAA"/>
    <w:rsid w:val="001A653B"/>
    <w:rsid w:val="001A680D"/>
    <w:rsid w:val="001B14E1"/>
    <w:rsid w:val="001B31D7"/>
    <w:rsid w:val="001B36D9"/>
    <w:rsid w:val="001B3952"/>
    <w:rsid w:val="001B3BD3"/>
    <w:rsid w:val="001B47FD"/>
    <w:rsid w:val="001B53D6"/>
    <w:rsid w:val="001B5602"/>
    <w:rsid w:val="001B578D"/>
    <w:rsid w:val="001B6596"/>
    <w:rsid w:val="001B663D"/>
    <w:rsid w:val="001B776F"/>
    <w:rsid w:val="001C07B7"/>
    <w:rsid w:val="001C0A8E"/>
    <w:rsid w:val="001C0C8A"/>
    <w:rsid w:val="001C3CAA"/>
    <w:rsid w:val="001C4010"/>
    <w:rsid w:val="001C5904"/>
    <w:rsid w:val="001D002A"/>
    <w:rsid w:val="001D00D1"/>
    <w:rsid w:val="001D1BEB"/>
    <w:rsid w:val="001D231D"/>
    <w:rsid w:val="001D27D2"/>
    <w:rsid w:val="001D314F"/>
    <w:rsid w:val="001D3295"/>
    <w:rsid w:val="001D3D87"/>
    <w:rsid w:val="001D3F1E"/>
    <w:rsid w:val="001D4F55"/>
    <w:rsid w:val="001D5139"/>
    <w:rsid w:val="001D58EF"/>
    <w:rsid w:val="001D5FDD"/>
    <w:rsid w:val="001D6D21"/>
    <w:rsid w:val="001D6F91"/>
    <w:rsid w:val="001E001C"/>
    <w:rsid w:val="001E0296"/>
    <w:rsid w:val="001E09DC"/>
    <w:rsid w:val="001E0EFE"/>
    <w:rsid w:val="001E1892"/>
    <w:rsid w:val="001E2B2D"/>
    <w:rsid w:val="001E314A"/>
    <w:rsid w:val="001E3A1E"/>
    <w:rsid w:val="001E3AE1"/>
    <w:rsid w:val="001E4099"/>
    <w:rsid w:val="001E4B4E"/>
    <w:rsid w:val="001E59F3"/>
    <w:rsid w:val="001E6061"/>
    <w:rsid w:val="001E68E6"/>
    <w:rsid w:val="001E6BCE"/>
    <w:rsid w:val="001E73D8"/>
    <w:rsid w:val="001E775B"/>
    <w:rsid w:val="001F0A5C"/>
    <w:rsid w:val="001F0D3D"/>
    <w:rsid w:val="001F13AD"/>
    <w:rsid w:val="001F188D"/>
    <w:rsid w:val="001F2544"/>
    <w:rsid w:val="001F2E0B"/>
    <w:rsid w:val="001F4971"/>
    <w:rsid w:val="001F4A72"/>
    <w:rsid w:val="001F4CCE"/>
    <w:rsid w:val="001F5788"/>
    <w:rsid w:val="001F613A"/>
    <w:rsid w:val="001F62D1"/>
    <w:rsid w:val="001F66E9"/>
    <w:rsid w:val="001F69AD"/>
    <w:rsid w:val="001F6AD6"/>
    <w:rsid w:val="001F7899"/>
    <w:rsid w:val="0020006D"/>
    <w:rsid w:val="00200B46"/>
    <w:rsid w:val="00200D8C"/>
    <w:rsid w:val="00201F22"/>
    <w:rsid w:val="002024FF"/>
    <w:rsid w:val="0020447B"/>
    <w:rsid w:val="002046A3"/>
    <w:rsid w:val="00205C62"/>
    <w:rsid w:val="00210A45"/>
    <w:rsid w:val="00211038"/>
    <w:rsid w:val="00211260"/>
    <w:rsid w:val="002122C3"/>
    <w:rsid w:val="00212C4E"/>
    <w:rsid w:val="00212F48"/>
    <w:rsid w:val="00213C6B"/>
    <w:rsid w:val="00214396"/>
    <w:rsid w:val="00214E91"/>
    <w:rsid w:val="00215916"/>
    <w:rsid w:val="002163D3"/>
    <w:rsid w:val="00216726"/>
    <w:rsid w:val="00217028"/>
    <w:rsid w:val="00217323"/>
    <w:rsid w:val="00217601"/>
    <w:rsid w:val="00217A32"/>
    <w:rsid w:val="002202B0"/>
    <w:rsid w:val="002202B2"/>
    <w:rsid w:val="00220B90"/>
    <w:rsid w:val="0022204E"/>
    <w:rsid w:val="00222CDC"/>
    <w:rsid w:val="0022431E"/>
    <w:rsid w:val="00224390"/>
    <w:rsid w:val="002245C8"/>
    <w:rsid w:val="00224872"/>
    <w:rsid w:val="0022546E"/>
    <w:rsid w:val="00225D16"/>
    <w:rsid w:val="00225F08"/>
    <w:rsid w:val="002265EB"/>
    <w:rsid w:val="00226673"/>
    <w:rsid w:val="00226851"/>
    <w:rsid w:val="002301F4"/>
    <w:rsid w:val="0023104F"/>
    <w:rsid w:val="002313C4"/>
    <w:rsid w:val="002314AD"/>
    <w:rsid w:val="00233378"/>
    <w:rsid w:val="002334DD"/>
    <w:rsid w:val="002336F5"/>
    <w:rsid w:val="00233ADC"/>
    <w:rsid w:val="00233C5D"/>
    <w:rsid w:val="00233EE5"/>
    <w:rsid w:val="0023507E"/>
    <w:rsid w:val="00235616"/>
    <w:rsid w:val="00235811"/>
    <w:rsid w:val="00235A46"/>
    <w:rsid w:val="00236295"/>
    <w:rsid w:val="00236390"/>
    <w:rsid w:val="002364BA"/>
    <w:rsid w:val="00237099"/>
    <w:rsid w:val="0024051D"/>
    <w:rsid w:val="00242029"/>
    <w:rsid w:val="00242143"/>
    <w:rsid w:val="0024282C"/>
    <w:rsid w:val="00244091"/>
    <w:rsid w:val="00244E80"/>
    <w:rsid w:val="00245EF1"/>
    <w:rsid w:val="00246C62"/>
    <w:rsid w:val="00250755"/>
    <w:rsid w:val="00250A34"/>
    <w:rsid w:val="00251B73"/>
    <w:rsid w:val="00251FDA"/>
    <w:rsid w:val="00252234"/>
    <w:rsid w:val="002525CA"/>
    <w:rsid w:val="00252870"/>
    <w:rsid w:val="00252A73"/>
    <w:rsid w:val="00253694"/>
    <w:rsid w:val="00254AE9"/>
    <w:rsid w:val="002570C6"/>
    <w:rsid w:val="00257472"/>
    <w:rsid w:val="00257677"/>
    <w:rsid w:val="00257898"/>
    <w:rsid w:val="002602AE"/>
    <w:rsid w:val="002604C3"/>
    <w:rsid w:val="00260959"/>
    <w:rsid w:val="00260CC3"/>
    <w:rsid w:val="00260D61"/>
    <w:rsid w:val="00261846"/>
    <w:rsid w:val="0026184B"/>
    <w:rsid w:val="00262895"/>
    <w:rsid w:val="00262C12"/>
    <w:rsid w:val="00263073"/>
    <w:rsid w:val="00265290"/>
    <w:rsid w:val="0026599E"/>
    <w:rsid w:val="002665AA"/>
    <w:rsid w:val="002702A9"/>
    <w:rsid w:val="002706B2"/>
    <w:rsid w:val="002707D4"/>
    <w:rsid w:val="00271236"/>
    <w:rsid w:val="00271291"/>
    <w:rsid w:val="002712E6"/>
    <w:rsid w:val="002713D7"/>
    <w:rsid w:val="0027182D"/>
    <w:rsid w:val="0027244B"/>
    <w:rsid w:val="002729DE"/>
    <w:rsid w:val="00272E9A"/>
    <w:rsid w:val="002734A3"/>
    <w:rsid w:val="00273655"/>
    <w:rsid w:val="0027446C"/>
    <w:rsid w:val="00274608"/>
    <w:rsid w:val="00274B51"/>
    <w:rsid w:val="00274E9F"/>
    <w:rsid w:val="00275F83"/>
    <w:rsid w:val="002771D6"/>
    <w:rsid w:val="002778AA"/>
    <w:rsid w:val="00277D7F"/>
    <w:rsid w:val="00280491"/>
    <w:rsid w:val="00281115"/>
    <w:rsid w:val="00281196"/>
    <w:rsid w:val="002811F2"/>
    <w:rsid w:val="002811FD"/>
    <w:rsid w:val="00281417"/>
    <w:rsid w:val="00281D9F"/>
    <w:rsid w:val="00282E08"/>
    <w:rsid w:val="002832DE"/>
    <w:rsid w:val="002836D7"/>
    <w:rsid w:val="00284531"/>
    <w:rsid w:val="002859EB"/>
    <w:rsid w:val="002861BF"/>
    <w:rsid w:val="0028729E"/>
    <w:rsid w:val="002877E6"/>
    <w:rsid w:val="0028789D"/>
    <w:rsid w:val="002907FF"/>
    <w:rsid w:val="002924D2"/>
    <w:rsid w:val="00293A0D"/>
    <w:rsid w:val="0029443A"/>
    <w:rsid w:val="0029629A"/>
    <w:rsid w:val="00296DB0"/>
    <w:rsid w:val="00297947"/>
    <w:rsid w:val="00297CBD"/>
    <w:rsid w:val="002A0A98"/>
    <w:rsid w:val="002A2902"/>
    <w:rsid w:val="002A3488"/>
    <w:rsid w:val="002A40DD"/>
    <w:rsid w:val="002A4237"/>
    <w:rsid w:val="002A4A13"/>
    <w:rsid w:val="002B09DA"/>
    <w:rsid w:val="002B1494"/>
    <w:rsid w:val="002B18EA"/>
    <w:rsid w:val="002B1D50"/>
    <w:rsid w:val="002B3FD5"/>
    <w:rsid w:val="002B4F5C"/>
    <w:rsid w:val="002B5302"/>
    <w:rsid w:val="002B5D8E"/>
    <w:rsid w:val="002B65AA"/>
    <w:rsid w:val="002B6EF9"/>
    <w:rsid w:val="002B73B3"/>
    <w:rsid w:val="002B7C46"/>
    <w:rsid w:val="002C056B"/>
    <w:rsid w:val="002C078E"/>
    <w:rsid w:val="002C1077"/>
    <w:rsid w:val="002C149B"/>
    <w:rsid w:val="002C167E"/>
    <w:rsid w:val="002C16BF"/>
    <w:rsid w:val="002C16F0"/>
    <w:rsid w:val="002C1BF4"/>
    <w:rsid w:val="002C20E1"/>
    <w:rsid w:val="002C244B"/>
    <w:rsid w:val="002C355B"/>
    <w:rsid w:val="002C36CE"/>
    <w:rsid w:val="002C3965"/>
    <w:rsid w:val="002C45CB"/>
    <w:rsid w:val="002C4CAC"/>
    <w:rsid w:val="002C58BC"/>
    <w:rsid w:val="002C6C28"/>
    <w:rsid w:val="002C6CDE"/>
    <w:rsid w:val="002D0012"/>
    <w:rsid w:val="002D03AD"/>
    <w:rsid w:val="002D081B"/>
    <w:rsid w:val="002D15C7"/>
    <w:rsid w:val="002D17C4"/>
    <w:rsid w:val="002D1A4A"/>
    <w:rsid w:val="002D548D"/>
    <w:rsid w:val="002D5B0D"/>
    <w:rsid w:val="002D61E0"/>
    <w:rsid w:val="002D7344"/>
    <w:rsid w:val="002E17EE"/>
    <w:rsid w:val="002E232C"/>
    <w:rsid w:val="002E2ABF"/>
    <w:rsid w:val="002E32FD"/>
    <w:rsid w:val="002E3333"/>
    <w:rsid w:val="002E3AA1"/>
    <w:rsid w:val="002E3EE4"/>
    <w:rsid w:val="002E4A23"/>
    <w:rsid w:val="002E5E41"/>
    <w:rsid w:val="002E72F8"/>
    <w:rsid w:val="002E73D2"/>
    <w:rsid w:val="002E7D5F"/>
    <w:rsid w:val="002F00A0"/>
    <w:rsid w:val="002F01DE"/>
    <w:rsid w:val="002F0403"/>
    <w:rsid w:val="002F133B"/>
    <w:rsid w:val="002F1526"/>
    <w:rsid w:val="002F3790"/>
    <w:rsid w:val="002F3CB3"/>
    <w:rsid w:val="002F3D26"/>
    <w:rsid w:val="002F44D7"/>
    <w:rsid w:val="002F49EA"/>
    <w:rsid w:val="002F4AD3"/>
    <w:rsid w:val="002F5957"/>
    <w:rsid w:val="002F613A"/>
    <w:rsid w:val="002F6C3F"/>
    <w:rsid w:val="002F75BC"/>
    <w:rsid w:val="002F785A"/>
    <w:rsid w:val="002F7DFB"/>
    <w:rsid w:val="00300254"/>
    <w:rsid w:val="003017B5"/>
    <w:rsid w:val="00301AD0"/>
    <w:rsid w:val="00301CE3"/>
    <w:rsid w:val="00302339"/>
    <w:rsid w:val="00302BC5"/>
    <w:rsid w:val="00303029"/>
    <w:rsid w:val="0030348C"/>
    <w:rsid w:val="00305329"/>
    <w:rsid w:val="003064DC"/>
    <w:rsid w:val="0031011B"/>
    <w:rsid w:val="003102A2"/>
    <w:rsid w:val="003120AA"/>
    <w:rsid w:val="00312180"/>
    <w:rsid w:val="00314A2B"/>
    <w:rsid w:val="00315B23"/>
    <w:rsid w:val="003174E7"/>
    <w:rsid w:val="00317ADF"/>
    <w:rsid w:val="00317E12"/>
    <w:rsid w:val="003207AC"/>
    <w:rsid w:val="00321761"/>
    <w:rsid w:val="00321FE5"/>
    <w:rsid w:val="0032220F"/>
    <w:rsid w:val="00322A5C"/>
    <w:rsid w:val="00322F2D"/>
    <w:rsid w:val="003231FD"/>
    <w:rsid w:val="00323719"/>
    <w:rsid w:val="003243EA"/>
    <w:rsid w:val="0032485F"/>
    <w:rsid w:val="00324B17"/>
    <w:rsid w:val="00324C47"/>
    <w:rsid w:val="00324C93"/>
    <w:rsid w:val="003250E9"/>
    <w:rsid w:val="0032514F"/>
    <w:rsid w:val="00325191"/>
    <w:rsid w:val="00326873"/>
    <w:rsid w:val="00326E02"/>
    <w:rsid w:val="00326F55"/>
    <w:rsid w:val="00327440"/>
    <w:rsid w:val="0033074F"/>
    <w:rsid w:val="00330BA3"/>
    <w:rsid w:val="00331904"/>
    <w:rsid w:val="0033317C"/>
    <w:rsid w:val="0033345A"/>
    <w:rsid w:val="00333C98"/>
    <w:rsid w:val="003341E1"/>
    <w:rsid w:val="003349C8"/>
    <w:rsid w:val="003351DB"/>
    <w:rsid w:val="003360A5"/>
    <w:rsid w:val="00336383"/>
    <w:rsid w:val="003369A6"/>
    <w:rsid w:val="00336CC1"/>
    <w:rsid w:val="00336E78"/>
    <w:rsid w:val="0033711B"/>
    <w:rsid w:val="00337A48"/>
    <w:rsid w:val="00340099"/>
    <w:rsid w:val="003406D8"/>
    <w:rsid w:val="0034125A"/>
    <w:rsid w:val="00341406"/>
    <w:rsid w:val="00341AED"/>
    <w:rsid w:val="003421FE"/>
    <w:rsid w:val="00343F92"/>
    <w:rsid w:val="003442EE"/>
    <w:rsid w:val="00345D16"/>
    <w:rsid w:val="00345D56"/>
    <w:rsid w:val="00345F77"/>
    <w:rsid w:val="00346055"/>
    <w:rsid w:val="00346BF0"/>
    <w:rsid w:val="0034751C"/>
    <w:rsid w:val="003479D7"/>
    <w:rsid w:val="00347A5D"/>
    <w:rsid w:val="00347F83"/>
    <w:rsid w:val="0035059C"/>
    <w:rsid w:val="003524C2"/>
    <w:rsid w:val="00352521"/>
    <w:rsid w:val="00352814"/>
    <w:rsid w:val="003530CB"/>
    <w:rsid w:val="00353C0C"/>
    <w:rsid w:val="0035406C"/>
    <w:rsid w:val="00354E83"/>
    <w:rsid w:val="003558F7"/>
    <w:rsid w:val="00355B50"/>
    <w:rsid w:val="00355E9D"/>
    <w:rsid w:val="00356985"/>
    <w:rsid w:val="00360079"/>
    <w:rsid w:val="0036038B"/>
    <w:rsid w:val="00360B59"/>
    <w:rsid w:val="00360DEF"/>
    <w:rsid w:val="00361018"/>
    <w:rsid w:val="00361197"/>
    <w:rsid w:val="00361A30"/>
    <w:rsid w:val="003623F2"/>
    <w:rsid w:val="00362454"/>
    <w:rsid w:val="00362E24"/>
    <w:rsid w:val="00363342"/>
    <w:rsid w:val="003638ED"/>
    <w:rsid w:val="00363A1F"/>
    <w:rsid w:val="0036435C"/>
    <w:rsid w:val="00364747"/>
    <w:rsid w:val="003721EB"/>
    <w:rsid w:val="003724D3"/>
    <w:rsid w:val="003726BB"/>
    <w:rsid w:val="00373751"/>
    <w:rsid w:val="00374C40"/>
    <w:rsid w:val="00374FC3"/>
    <w:rsid w:val="003756D3"/>
    <w:rsid w:val="00376A1E"/>
    <w:rsid w:val="00376C68"/>
    <w:rsid w:val="003770B0"/>
    <w:rsid w:val="00377222"/>
    <w:rsid w:val="003772B2"/>
    <w:rsid w:val="003801FA"/>
    <w:rsid w:val="00380297"/>
    <w:rsid w:val="003804F6"/>
    <w:rsid w:val="003807BF"/>
    <w:rsid w:val="00380AE2"/>
    <w:rsid w:val="00380B1F"/>
    <w:rsid w:val="0038133D"/>
    <w:rsid w:val="00381FF3"/>
    <w:rsid w:val="00382955"/>
    <w:rsid w:val="00382A2B"/>
    <w:rsid w:val="00382D8D"/>
    <w:rsid w:val="00383426"/>
    <w:rsid w:val="00383A9B"/>
    <w:rsid w:val="00384202"/>
    <w:rsid w:val="003842A4"/>
    <w:rsid w:val="00384565"/>
    <w:rsid w:val="003852C6"/>
    <w:rsid w:val="0038631E"/>
    <w:rsid w:val="0038665E"/>
    <w:rsid w:val="00386BAE"/>
    <w:rsid w:val="00386C3B"/>
    <w:rsid w:val="0038750F"/>
    <w:rsid w:val="00387AE1"/>
    <w:rsid w:val="0039011A"/>
    <w:rsid w:val="00390121"/>
    <w:rsid w:val="00390BD6"/>
    <w:rsid w:val="00390C97"/>
    <w:rsid w:val="00390FC4"/>
    <w:rsid w:val="003911D3"/>
    <w:rsid w:val="00391555"/>
    <w:rsid w:val="00391C27"/>
    <w:rsid w:val="00391D0D"/>
    <w:rsid w:val="003929DB"/>
    <w:rsid w:val="00393714"/>
    <w:rsid w:val="00393729"/>
    <w:rsid w:val="00394BF2"/>
    <w:rsid w:val="003968AE"/>
    <w:rsid w:val="00396FF7"/>
    <w:rsid w:val="003971DC"/>
    <w:rsid w:val="003976A0"/>
    <w:rsid w:val="003A1703"/>
    <w:rsid w:val="003A19FA"/>
    <w:rsid w:val="003A2A29"/>
    <w:rsid w:val="003A2B61"/>
    <w:rsid w:val="003A3838"/>
    <w:rsid w:val="003A38A5"/>
    <w:rsid w:val="003A3B27"/>
    <w:rsid w:val="003A3F58"/>
    <w:rsid w:val="003A553C"/>
    <w:rsid w:val="003A5E59"/>
    <w:rsid w:val="003A6400"/>
    <w:rsid w:val="003A67F3"/>
    <w:rsid w:val="003B029E"/>
    <w:rsid w:val="003B3BBA"/>
    <w:rsid w:val="003B4666"/>
    <w:rsid w:val="003B4BAF"/>
    <w:rsid w:val="003B4E34"/>
    <w:rsid w:val="003B5145"/>
    <w:rsid w:val="003B58D8"/>
    <w:rsid w:val="003B5B2A"/>
    <w:rsid w:val="003B6EF4"/>
    <w:rsid w:val="003B7478"/>
    <w:rsid w:val="003B770E"/>
    <w:rsid w:val="003B77BB"/>
    <w:rsid w:val="003B7EC9"/>
    <w:rsid w:val="003C0B06"/>
    <w:rsid w:val="003C2382"/>
    <w:rsid w:val="003C2631"/>
    <w:rsid w:val="003C2C31"/>
    <w:rsid w:val="003C2E72"/>
    <w:rsid w:val="003C384B"/>
    <w:rsid w:val="003C3DFE"/>
    <w:rsid w:val="003C44CE"/>
    <w:rsid w:val="003C4CC7"/>
    <w:rsid w:val="003C50E6"/>
    <w:rsid w:val="003C6605"/>
    <w:rsid w:val="003C7352"/>
    <w:rsid w:val="003C7CE6"/>
    <w:rsid w:val="003D0AB8"/>
    <w:rsid w:val="003D0E8E"/>
    <w:rsid w:val="003D107A"/>
    <w:rsid w:val="003D11DC"/>
    <w:rsid w:val="003D2BF5"/>
    <w:rsid w:val="003D379D"/>
    <w:rsid w:val="003D454A"/>
    <w:rsid w:val="003D5729"/>
    <w:rsid w:val="003D5F41"/>
    <w:rsid w:val="003D701D"/>
    <w:rsid w:val="003D7F12"/>
    <w:rsid w:val="003E10E9"/>
    <w:rsid w:val="003E11F7"/>
    <w:rsid w:val="003E17E9"/>
    <w:rsid w:val="003E19DC"/>
    <w:rsid w:val="003E1F1F"/>
    <w:rsid w:val="003E27A4"/>
    <w:rsid w:val="003E2C39"/>
    <w:rsid w:val="003E30B8"/>
    <w:rsid w:val="003E53A6"/>
    <w:rsid w:val="003E5DEF"/>
    <w:rsid w:val="003E6FC5"/>
    <w:rsid w:val="003E7A76"/>
    <w:rsid w:val="003E7B68"/>
    <w:rsid w:val="003E7E71"/>
    <w:rsid w:val="003F032D"/>
    <w:rsid w:val="003F202E"/>
    <w:rsid w:val="003F2CF4"/>
    <w:rsid w:val="003F42E0"/>
    <w:rsid w:val="003F5225"/>
    <w:rsid w:val="003F5456"/>
    <w:rsid w:val="003F6BCA"/>
    <w:rsid w:val="003F7FF2"/>
    <w:rsid w:val="004007C9"/>
    <w:rsid w:val="00400E78"/>
    <w:rsid w:val="00400EAF"/>
    <w:rsid w:val="00402682"/>
    <w:rsid w:val="00402801"/>
    <w:rsid w:val="0040287D"/>
    <w:rsid w:val="00402A66"/>
    <w:rsid w:val="00402D90"/>
    <w:rsid w:val="00403C74"/>
    <w:rsid w:val="0040434B"/>
    <w:rsid w:val="0040441B"/>
    <w:rsid w:val="00404AAC"/>
    <w:rsid w:val="004054D0"/>
    <w:rsid w:val="00405920"/>
    <w:rsid w:val="004077E8"/>
    <w:rsid w:val="0041001A"/>
    <w:rsid w:val="0041188B"/>
    <w:rsid w:val="004118F4"/>
    <w:rsid w:val="00411909"/>
    <w:rsid w:val="00411AE1"/>
    <w:rsid w:val="00411E8F"/>
    <w:rsid w:val="00411F8B"/>
    <w:rsid w:val="00412271"/>
    <w:rsid w:val="004124FA"/>
    <w:rsid w:val="00412BEE"/>
    <w:rsid w:val="00414E44"/>
    <w:rsid w:val="00415DC6"/>
    <w:rsid w:val="00416124"/>
    <w:rsid w:val="00417454"/>
    <w:rsid w:val="004174BD"/>
    <w:rsid w:val="00417A82"/>
    <w:rsid w:val="00417B9C"/>
    <w:rsid w:val="00417DC3"/>
    <w:rsid w:val="004204FE"/>
    <w:rsid w:val="00420CE0"/>
    <w:rsid w:val="00420EB6"/>
    <w:rsid w:val="00421C01"/>
    <w:rsid w:val="004230A6"/>
    <w:rsid w:val="0042318C"/>
    <w:rsid w:val="0042452B"/>
    <w:rsid w:val="0042473E"/>
    <w:rsid w:val="004249C5"/>
    <w:rsid w:val="0042542F"/>
    <w:rsid w:val="00425CE6"/>
    <w:rsid w:val="00425ED2"/>
    <w:rsid w:val="00426064"/>
    <w:rsid w:val="00426EBB"/>
    <w:rsid w:val="004270D6"/>
    <w:rsid w:val="004275A1"/>
    <w:rsid w:val="004278EA"/>
    <w:rsid w:val="00430981"/>
    <w:rsid w:val="00432452"/>
    <w:rsid w:val="0043258B"/>
    <w:rsid w:val="00432CB4"/>
    <w:rsid w:val="004346D3"/>
    <w:rsid w:val="00434744"/>
    <w:rsid w:val="00440904"/>
    <w:rsid w:val="00441BC3"/>
    <w:rsid w:val="00441FB2"/>
    <w:rsid w:val="00441FB8"/>
    <w:rsid w:val="00443CD2"/>
    <w:rsid w:val="004446C0"/>
    <w:rsid w:val="00444FE9"/>
    <w:rsid w:val="00450764"/>
    <w:rsid w:val="0045246A"/>
    <w:rsid w:val="00452680"/>
    <w:rsid w:val="0045295B"/>
    <w:rsid w:val="004529F7"/>
    <w:rsid w:val="00452B0C"/>
    <w:rsid w:val="00453213"/>
    <w:rsid w:val="004535F8"/>
    <w:rsid w:val="004538FF"/>
    <w:rsid w:val="00454B0F"/>
    <w:rsid w:val="00456E11"/>
    <w:rsid w:val="004572AB"/>
    <w:rsid w:val="00457486"/>
    <w:rsid w:val="00457799"/>
    <w:rsid w:val="00457D1E"/>
    <w:rsid w:val="00460CFE"/>
    <w:rsid w:val="00461277"/>
    <w:rsid w:val="00462793"/>
    <w:rsid w:val="004627B6"/>
    <w:rsid w:val="0046292F"/>
    <w:rsid w:val="00462A3E"/>
    <w:rsid w:val="00464037"/>
    <w:rsid w:val="00464223"/>
    <w:rsid w:val="004643BC"/>
    <w:rsid w:val="00465640"/>
    <w:rsid w:val="00466D36"/>
    <w:rsid w:val="00471058"/>
    <w:rsid w:val="004716E9"/>
    <w:rsid w:val="00471A97"/>
    <w:rsid w:val="00471B8F"/>
    <w:rsid w:val="0047212B"/>
    <w:rsid w:val="004734DA"/>
    <w:rsid w:val="00473DF9"/>
    <w:rsid w:val="00473FA3"/>
    <w:rsid w:val="00474003"/>
    <w:rsid w:val="00474015"/>
    <w:rsid w:val="00474363"/>
    <w:rsid w:val="00474B70"/>
    <w:rsid w:val="0047557C"/>
    <w:rsid w:val="00476B79"/>
    <w:rsid w:val="00476F70"/>
    <w:rsid w:val="00477042"/>
    <w:rsid w:val="00477C08"/>
    <w:rsid w:val="00477C54"/>
    <w:rsid w:val="00477D42"/>
    <w:rsid w:val="004801E5"/>
    <w:rsid w:val="00480D98"/>
    <w:rsid w:val="00480E11"/>
    <w:rsid w:val="0048161E"/>
    <w:rsid w:val="00481B69"/>
    <w:rsid w:val="004823EF"/>
    <w:rsid w:val="004835AE"/>
    <w:rsid w:val="004847BE"/>
    <w:rsid w:val="004865CD"/>
    <w:rsid w:val="00486BE0"/>
    <w:rsid w:val="00486C0F"/>
    <w:rsid w:val="00487A5D"/>
    <w:rsid w:val="00487B9B"/>
    <w:rsid w:val="004904BC"/>
    <w:rsid w:val="00490EBA"/>
    <w:rsid w:val="00490F07"/>
    <w:rsid w:val="00491684"/>
    <w:rsid w:val="0049168A"/>
    <w:rsid w:val="00491912"/>
    <w:rsid w:val="00491ADF"/>
    <w:rsid w:val="00492153"/>
    <w:rsid w:val="0049238F"/>
    <w:rsid w:val="00492866"/>
    <w:rsid w:val="00494613"/>
    <w:rsid w:val="004955B6"/>
    <w:rsid w:val="00495AAE"/>
    <w:rsid w:val="00495E51"/>
    <w:rsid w:val="00495F6F"/>
    <w:rsid w:val="0049615B"/>
    <w:rsid w:val="004963EC"/>
    <w:rsid w:val="004964AE"/>
    <w:rsid w:val="0049650B"/>
    <w:rsid w:val="00496BF5"/>
    <w:rsid w:val="00496D4D"/>
    <w:rsid w:val="00496F08"/>
    <w:rsid w:val="00497930"/>
    <w:rsid w:val="00497EDF"/>
    <w:rsid w:val="004A0473"/>
    <w:rsid w:val="004A0FEF"/>
    <w:rsid w:val="004A12CB"/>
    <w:rsid w:val="004A14C8"/>
    <w:rsid w:val="004A153B"/>
    <w:rsid w:val="004A1841"/>
    <w:rsid w:val="004A1A80"/>
    <w:rsid w:val="004A1FFE"/>
    <w:rsid w:val="004A317D"/>
    <w:rsid w:val="004A50F3"/>
    <w:rsid w:val="004A55F3"/>
    <w:rsid w:val="004A5709"/>
    <w:rsid w:val="004A6019"/>
    <w:rsid w:val="004A7128"/>
    <w:rsid w:val="004A7B82"/>
    <w:rsid w:val="004B00C6"/>
    <w:rsid w:val="004B1325"/>
    <w:rsid w:val="004B15A0"/>
    <w:rsid w:val="004B1EBA"/>
    <w:rsid w:val="004B26B8"/>
    <w:rsid w:val="004B39DF"/>
    <w:rsid w:val="004B3B7A"/>
    <w:rsid w:val="004B3BC4"/>
    <w:rsid w:val="004B427E"/>
    <w:rsid w:val="004B5E17"/>
    <w:rsid w:val="004B6BCB"/>
    <w:rsid w:val="004B70A7"/>
    <w:rsid w:val="004B7A2F"/>
    <w:rsid w:val="004C0057"/>
    <w:rsid w:val="004C00EC"/>
    <w:rsid w:val="004C02AB"/>
    <w:rsid w:val="004C1662"/>
    <w:rsid w:val="004C1715"/>
    <w:rsid w:val="004C182D"/>
    <w:rsid w:val="004C296F"/>
    <w:rsid w:val="004C3730"/>
    <w:rsid w:val="004C65BD"/>
    <w:rsid w:val="004C7A55"/>
    <w:rsid w:val="004D0683"/>
    <w:rsid w:val="004D0A29"/>
    <w:rsid w:val="004D0CAD"/>
    <w:rsid w:val="004D0CD3"/>
    <w:rsid w:val="004D1BBB"/>
    <w:rsid w:val="004D220E"/>
    <w:rsid w:val="004D2426"/>
    <w:rsid w:val="004D2A54"/>
    <w:rsid w:val="004D2CC7"/>
    <w:rsid w:val="004D3A42"/>
    <w:rsid w:val="004D3E87"/>
    <w:rsid w:val="004D4586"/>
    <w:rsid w:val="004D4705"/>
    <w:rsid w:val="004D65A3"/>
    <w:rsid w:val="004D6E14"/>
    <w:rsid w:val="004D79DF"/>
    <w:rsid w:val="004E09FA"/>
    <w:rsid w:val="004E1CA1"/>
    <w:rsid w:val="004E2458"/>
    <w:rsid w:val="004E2D2D"/>
    <w:rsid w:val="004E2D2F"/>
    <w:rsid w:val="004E2EBA"/>
    <w:rsid w:val="004E30F6"/>
    <w:rsid w:val="004E4FFF"/>
    <w:rsid w:val="004E55E4"/>
    <w:rsid w:val="004E5BA9"/>
    <w:rsid w:val="004E71FB"/>
    <w:rsid w:val="004E7923"/>
    <w:rsid w:val="004E7F80"/>
    <w:rsid w:val="004F0021"/>
    <w:rsid w:val="004F15A4"/>
    <w:rsid w:val="004F17BB"/>
    <w:rsid w:val="004F185C"/>
    <w:rsid w:val="004F1AA8"/>
    <w:rsid w:val="004F27EF"/>
    <w:rsid w:val="004F2D4F"/>
    <w:rsid w:val="004F2E42"/>
    <w:rsid w:val="004F34B6"/>
    <w:rsid w:val="004F3BA4"/>
    <w:rsid w:val="004F3E19"/>
    <w:rsid w:val="004F4A2B"/>
    <w:rsid w:val="004F5464"/>
    <w:rsid w:val="004F6482"/>
    <w:rsid w:val="004F6F87"/>
    <w:rsid w:val="004F761A"/>
    <w:rsid w:val="004F77BF"/>
    <w:rsid w:val="005011F4"/>
    <w:rsid w:val="005013CB"/>
    <w:rsid w:val="00502D44"/>
    <w:rsid w:val="00503F35"/>
    <w:rsid w:val="00504090"/>
    <w:rsid w:val="0050439A"/>
    <w:rsid w:val="00504BFF"/>
    <w:rsid w:val="00504EF2"/>
    <w:rsid w:val="00505528"/>
    <w:rsid w:val="00505C99"/>
    <w:rsid w:val="005106A1"/>
    <w:rsid w:val="00512832"/>
    <w:rsid w:val="005130FE"/>
    <w:rsid w:val="005147CD"/>
    <w:rsid w:val="00515A21"/>
    <w:rsid w:val="00515F45"/>
    <w:rsid w:val="00516023"/>
    <w:rsid w:val="00516622"/>
    <w:rsid w:val="00516733"/>
    <w:rsid w:val="00516AE7"/>
    <w:rsid w:val="00517464"/>
    <w:rsid w:val="00517EE9"/>
    <w:rsid w:val="0052096E"/>
    <w:rsid w:val="00520CE7"/>
    <w:rsid w:val="00520F56"/>
    <w:rsid w:val="0052100D"/>
    <w:rsid w:val="00521117"/>
    <w:rsid w:val="00522D7A"/>
    <w:rsid w:val="0052545F"/>
    <w:rsid w:val="0052591C"/>
    <w:rsid w:val="00525C3A"/>
    <w:rsid w:val="00526536"/>
    <w:rsid w:val="005266A4"/>
    <w:rsid w:val="00526848"/>
    <w:rsid w:val="00527105"/>
    <w:rsid w:val="005275B7"/>
    <w:rsid w:val="0052765C"/>
    <w:rsid w:val="00527691"/>
    <w:rsid w:val="005302E2"/>
    <w:rsid w:val="005320CB"/>
    <w:rsid w:val="00533F01"/>
    <w:rsid w:val="005342F4"/>
    <w:rsid w:val="00534E4F"/>
    <w:rsid w:val="00535A1A"/>
    <w:rsid w:val="00537EBD"/>
    <w:rsid w:val="005403A5"/>
    <w:rsid w:val="0054061B"/>
    <w:rsid w:val="00541B01"/>
    <w:rsid w:val="00544E43"/>
    <w:rsid w:val="005459CA"/>
    <w:rsid w:val="00545A0E"/>
    <w:rsid w:val="00545CF2"/>
    <w:rsid w:val="00546340"/>
    <w:rsid w:val="00546CB4"/>
    <w:rsid w:val="00547330"/>
    <w:rsid w:val="0054738B"/>
    <w:rsid w:val="005473B0"/>
    <w:rsid w:val="00550C90"/>
    <w:rsid w:val="00550F35"/>
    <w:rsid w:val="00551204"/>
    <w:rsid w:val="005517DC"/>
    <w:rsid w:val="005527F1"/>
    <w:rsid w:val="00553178"/>
    <w:rsid w:val="00554B7D"/>
    <w:rsid w:val="00554EF5"/>
    <w:rsid w:val="0055506B"/>
    <w:rsid w:val="005552DC"/>
    <w:rsid w:val="00555BBB"/>
    <w:rsid w:val="00556496"/>
    <w:rsid w:val="00557330"/>
    <w:rsid w:val="00560089"/>
    <w:rsid w:val="00560301"/>
    <w:rsid w:val="005612A0"/>
    <w:rsid w:val="00561352"/>
    <w:rsid w:val="00561538"/>
    <w:rsid w:val="005636D2"/>
    <w:rsid w:val="005640C7"/>
    <w:rsid w:val="00565653"/>
    <w:rsid w:val="00567532"/>
    <w:rsid w:val="0057271E"/>
    <w:rsid w:val="00573032"/>
    <w:rsid w:val="0057318B"/>
    <w:rsid w:val="0057366E"/>
    <w:rsid w:val="00573FBB"/>
    <w:rsid w:val="0057416A"/>
    <w:rsid w:val="0057467F"/>
    <w:rsid w:val="00574723"/>
    <w:rsid w:val="00574E14"/>
    <w:rsid w:val="005750C5"/>
    <w:rsid w:val="00575BC6"/>
    <w:rsid w:val="00575E33"/>
    <w:rsid w:val="005762BE"/>
    <w:rsid w:val="00576D22"/>
    <w:rsid w:val="00576F44"/>
    <w:rsid w:val="005770BA"/>
    <w:rsid w:val="005801F4"/>
    <w:rsid w:val="00580FF0"/>
    <w:rsid w:val="0058188E"/>
    <w:rsid w:val="0058195A"/>
    <w:rsid w:val="00581D97"/>
    <w:rsid w:val="00581EEF"/>
    <w:rsid w:val="00582E99"/>
    <w:rsid w:val="00583025"/>
    <w:rsid w:val="00583192"/>
    <w:rsid w:val="0058345C"/>
    <w:rsid w:val="005838BF"/>
    <w:rsid w:val="0058500E"/>
    <w:rsid w:val="00585DF7"/>
    <w:rsid w:val="00586712"/>
    <w:rsid w:val="005869B0"/>
    <w:rsid w:val="00587621"/>
    <w:rsid w:val="00587736"/>
    <w:rsid w:val="005900DF"/>
    <w:rsid w:val="005907D8"/>
    <w:rsid w:val="00590B4A"/>
    <w:rsid w:val="00591DFC"/>
    <w:rsid w:val="00592905"/>
    <w:rsid w:val="0059470B"/>
    <w:rsid w:val="005947F4"/>
    <w:rsid w:val="00595047"/>
    <w:rsid w:val="005954F4"/>
    <w:rsid w:val="005957D8"/>
    <w:rsid w:val="00597423"/>
    <w:rsid w:val="00597A16"/>
    <w:rsid w:val="00597B85"/>
    <w:rsid w:val="005A0139"/>
    <w:rsid w:val="005A0472"/>
    <w:rsid w:val="005A0EF7"/>
    <w:rsid w:val="005A225C"/>
    <w:rsid w:val="005A2351"/>
    <w:rsid w:val="005A30AD"/>
    <w:rsid w:val="005A42C1"/>
    <w:rsid w:val="005A4943"/>
    <w:rsid w:val="005A4B07"/>
    <w:rsid w:val="005A5866"/>
    <w:rsid w:val="005A6113"/>
    <w:rsid w:val="005A6810"/>
    <w:rsid w:val="005A72F0"/>
    <w:rsid w:val="005A78AA"/>
    <w:rsid w:val="005A796E"/>
    <w:rsid w:val="005A7CAF"/>
    <w:rsid w:val="005B16DC"/>
    <w:rsid w:val="005B1FEE"/>
    <w:rsid w:val="005B1FEF"/>
    <w:rsid w:val="005B215E"/>
    <w:rsid w:val="005B2617"/>
    <w:rsid w:val="005B3EA9"/>
    <w:rsid w:val="005B4245"/>
    <w:rsid w:val="005B4892"/>
    <w:rsid w:val="005B4CAE"/>
    <w:rsid w:val="005B5A0C"/>
    <w:rsid w:val="005B704B"/>
    <w:rsid w:val="005B7233"/>
    <w:rsid w:val="005B77C3"/>
    <w:rsid w:val="005B7E65"/>
    <w:rsid w:val="005C09C8"/>
    <w:rsid w:val="005C12A2"/>
    <w:rsid w:val="005C1368"/>
    <w:rsid w:val="005C139E"/>
    <w:rsid w:val="005C1684"/>
    <w:rsid w:val="005C1CA2"/>
    <w:rsid w:val="005C1FAF"/>
    <w:rsid w:val="005C268B"/>
    <w:rsid w:val="005C2B42"/>
    <w:rsid w:val="005C2F1E"/>
    <w:rsid w:val="005C33E0"/>
    <w:rsid w:val="005C3629"/>
    <w:rsid w:val="005C3AB3"/>
    <w:rsid w:val="005C3AFC"/>
    <w:rsid w:val="005C43F3"/>
    <w:rsid w:val="005C4F91"/>
    <w:rsid w:val="005C545A"/>
    <w:rsid w:val="005C5889"/>
    <w:rsid w:val="005C773D"/>
    <w:rsid w:val="005C7BC4"/>
    <w:rsid w:val="005D052A"/>
    <w:rsid w:val="005D0BC2"/>
    <w:rsid w:val="005D1648"/>
    <w:rsid w:val="005D17C6"/>
    <w:rsid w:val="005D2C4E"/>
    <w:rsid w:val="005D2FB2"/>
    <w:rsid w:val="005D2FCA"/>
    <w:rsid w:val="005D38D7"/>
    <w:rsid w:val="005D399A"/>
    <w:rsid w:val="005D3D2D"/>
    <w:rsid w:val="005D3DCC"/>
    <w:rsid w:val="005D426C"/>
    <w:rsid w:val="005D4ACA"/>
    <w:rsid w:val="005D4F4E"/>
    <w:rsid w:val="005D5205"/>
    <w:rsid w:val="005D54FD"/>
    <w:rsid w:val="005D595A"/>
    <w:rsid w:val="005D5A1D"/>
    <w:rsid w:val="005D5E22"/>
    <w:rsid w:val="005D6B54"/>
    <w:rsid w:val="005D6B78"/>
    <w:rsid w:val="005D7502"/>
    <w:rsid w:val="005E00A8"/>
    <w:rsid w:val="005E022F"/>
    <w:rsid w:val="005E0F5B"/>
    <w:rsid w:val="005E17A0"/>
    <w:rsid w:val="005E2420"/>
    <w:rsid w:val="005E27F0"/>
    <w:rsid w:val="005E284D"/>
    <w:rsid w:val="005E2B82"/>
    <w:rsid w:val="005E3511"/>
    <w:rsid w:val="005E4051"/>
    <w:rsid w:val="005E47ED"/>
    <w:rsid w:val="005E4EA1"/>
    <w:rsid w:val="005E4F91"/>
    <w:rsid w:val="005E586B"/>
    <w:rsid w:val="005E6A97"/>
    <w:rsid w:val="005E7425"/>
    <w:rsid w:val="005E744F"/>
    <w:rsid w:val="005E7DE3"/>
    <w:rsid w:val="005F007E"/>
    <w:rsid w:val="005F06E9"/>
    <w:rsid w:val="005F34A7"/>
    <w:rsid w:val="005F40EF"/>
    <w:rsid w:val="005F4E3F"/>
    <w:rsid w:val="005F5BE3"/>
    <w:rsid w:val="005F6F88"/>
    <w:rsid w:val="006015FA"/>
    <w:rsid w:val="00601A3D"/>
    <w:rsid w:val="00602ADF"/>
    <w:rsid w:val="006037D2"/>
    <w:rsid w:val="00604889"/>
    <w:rsid w:val="006054E0"/>
    <w:rsid w:val="00605822"/>
    <w:rsid w:val="00606281"/>
    <w:rsid w:val="00606CFF"/>
    <w:rsid w:val="00607C16"/>
    <w:rsid w:val="006106DE"/>
    <w:rsid w:val="006121C9"/>
    <w:rsid w:val="00612544"/>
    <w:rsid w:val="006125A3"/>
    <w:rsid w:val="00612F2C"/>
    <w:rsid w:val="00613CB1"/>
    <w:rsid w:val="006140F5"/>
    <w:rsid w:val="00615225"/>
    <w:rsid w:val="00616306"/>
    <w:rsid w:val="00616405"/>
    <w:rsid w:val="00617C27"/>
    <w:rsid w:val="00620BFD"/>
    <w:rsid w:val="00621131"/>
    <w:rsid w:val="00622429"/>
    <w:rsid w:val="00622A56"/>
    <w:rsid w:val="00623B60"/>
    <w:rsid w:val="00623EED"/>
    <w:rsid w:val="00624718"/>
    <w:rsid w:val="00624B49"/>
    <w:rsid w:val="006251AB"/>
    <w:rsid w:val="00625617"/>
    <w:rsid w:val="00626088"/>
    <w:rsid w:val="006262AF"/>
    <w:rsid w:val="00626F8A"/>
    <w:rsid w:val="006270CB"/>
    <w:rsid w:val="0062754A"/>
    <w:rsid w:val="00627625"/>
    <w:rsid w:val="00630048"/>
    <w:rsid w:val="00631239"/>
    <w:rsid w:val="00632106"/>
    <w:rsid w:val="00632730"/>
    <w:rsid w:val="00633D33"/>
    <w:rsid w:val="00633F7B"/>
    <w:rsid w:val="006344A0"/>
    <w:rsid w:val="00635182"/>
    <w:rsid w:val="006355F4"/>
    <w:rsid w:val="00635869"/>
    <w:rsid w:val="0063680E"/>
    <w:rsid w:val="006371A9"/>
    <w:rsid w:val="00637E7E"/>
    <w:rsid w:val="006419F1"/>
    <w:rsid w:val="00641E48"/>
    <w:rsid w:val="00642369"/>
    <w:rsid w:val="006434E1"/>
    <w:rsid w:val="00643500"/>
    <w:rsid w:val="0064380F"/>
    <w:rsid w:val="00645299"/>
    <w:rsid w:val="00645308"/>
    <w:rsid w:val="00646459"/>
    <w:rsid w:val="00646A6F"/>
    <w:rsid w:val="00646C1C"/>
    <w:rsid w:val="00646E24"/>
    <w:rsid w:val="00647064"/>
    <w:rsid w:val="00647C1D"/>
    <w:rsid w:val="006508DA"/>
    <w:rsid w:val="00650EB7"/>
    <w:rsid w:val="006513F5"/>
    <w:rsid w:val="006517D5"/>
    <w:rsid w:val="00651861"/>
    <w:rsid w:val="00651D3E"/>
    <w:rsid w:val="00652686"/>
    <w:rsid w:val="006531B3"/>
    <w:rsid w:val="00655227"/>
    <w:rsid w:val="006558AA"/>
    <w:rsid w:val="006569E6"/>
    <w:rsid w:val="00656A5D"/>
    <w:rsid w:val="006572CC"/>
    <w:rsid w:val="00657546"/>
    <w:rsid w:val="00657BA7"/>
    <w:rsid w:val="006614C7"/>
    <w:rsid w:val="00661C7E"/>
    <w:rsid w:val="00661C9D"/>
    <w:rsid w:val="00662593"/>
    <w:rsid w:val="00662FCD"/>
    <w:rsid w:val="0066327D"/>
    <w:rsid w:val="00664E5B"/>
    <w:rsid w:val="00664FFB"/>
    <w:rsid w:val="0066544C"/>
    <w:rsid w:val="00665613"/>
    <w:rsid w:val="0066620D"/>
    <w:rsid w:val="00666388"/>
    <w:rsid w:val="00666790"/>
    <w:rsid w:val="00666856"/>
    <w:rsid w:val="00666E4C"/>
    <w:rsid w:val="00666E8C"/>
    <w:rsid w:val="006676C8"/>
    <w:rsid w:val="006719E9"/>
    <w:rsid w:val="00671BC1"/>
    <w:rsid w:val="006722E4"/>
    <w:rsid w:val="00672DB0"/>
    <w:rsid w:val="00673C7D"/>
    <w:rsid w:val="006743E8"/>
    <w:rsid w:val="006747DE"/>
    <w:rsid w:val="00674958"/>
    <w:rsid w:val="00675A11"/>
    <w:rsid w:val="00675DEE"/>
    <w:rsid w:val="00676C17"/>
    <w:rsid w:val="00676F1B"/>
    <w:rsid w:val="00677BE0"/>
    <w:rsid w:val="0068001C"/>
    <w:rsid w:val="0068065D"/>
    <w:rsid w:val="00684EF0"/>
    <w:rsid w:val="00685EF0"/>
    <w:rsid w:val="00686214"/>
    <w:rsid w:val="00687240"/>
    <w:rsid w:val="006874A5"/>
    <w:rsid w:val="00690119"/>
    <w:rsid w:val="00691A8E"/>
    <w:rsid w:val="006934FA"/>
    <w:rsid w:val="00693690"/>
    <w:rsid w:val="00693E22"/>
    <w:rsid w:val="0069409B"/>
    <w:rsid w:val="00694634"/>
    <w:rsid w:val="00694C74"/>
    <w:rsid w:val="006955EF"/>
    <w:rsid w:val="006955FE"/>
    <w:rsid w:val="00695963"/>
    <w:rsid w:val="00695D92"/>
    <w:rsid w:val="00696DDE"/>
    <w:rsid w:val="00697444"/>
    <w:rsid w:val="00697940"/>
    <w:rsid w:val="00697C30"/>
    <w:rsid w:val="006A0770"/>
    <w:rsid w:val="006A2DE0"/>
    <w:rsid w:val="006A2F08"/>
    <w:rsid w:val="006A55A2"/>
    <w:rsid w:val="006A5906"/>
    <w:rsid w:val="006A6B5E"/>
    <w:rsid w:val="006A7731"/>
    <w:rsid w:val="006B0010"/>
    <w:rsid w:val="006B107A"/>
    <w:rsid w:val="006B144D"/>
    <w:rsid w:val="006B16DD"/>
    <w:rsid w:val="006B3764"/>
    <w:rsid w:val="006B38DC"/>
    <w:rsid w:val="006B3B39"/>
    <w:rsid w:val="006B3DEE"/>
    <w:rsid w:val="006B4396"/>
    <w:rsid w:val="006B4776"/>
    <w:rsid w:val="006B6246"/>
    <w:rsid w:val="006B62B5"/>
    <w:rsid w:val="006B649C"/>
    <w:rsid w:val="006B72EA"/>
    <w:rsid w:val="006B7792"/>
    <w:rsid w:val="006C06CC"/>
    <w:rsid w:val="006C099D"/>
    <w:rsid w:val="006C0DFC"/>
    <w:rsid w:val="006C212C"/>
    <w:rsid w:val="006C2135"/>
    <w:rsid w:val="006C3556"/>
    <w:rsid w:val="006C4396"/>
    <w:rsid w:val="006C530B"/>
    <w:rsid w:val="006C5CAD"/>
    <w:rsid w:val="006C5D05"/>
    <w:rsid w:val="006C620F"/>
    <w:rsid w:val="006C6518"/>
    <w:rsid w:val="006C6572"/>
    <w:rsid w:val="006C72C9"/>
    <w:rsid w:val="006C7AD3"/>
    <w:rsid w:val="006C7CDD"/>
    <w:rsid w:val="006D0DA9"/>
    <w:rsid w:val="006D0FCB"/>
    <w:rsid w:val="006D14F7"/>
    <w:rsid w:val="006D1B83"/>
    <w:rsid w:val="006D2266"/>
    <w:rsid w:val="006D2CE0"/>
    <w:rsid w:val="006D3AFB"/>
    <w:rsid w:val="006D401F"/>
    <w:rsid w:val="006D463C"/>
    <w:rsid w:val="006D5188"/>
    <w:rsid w:val="006D53C6"/>
    <w:rsid w:val="006D5508"/>
    <w:rsid w:val="006D57B7"/>
    <w:rsid w:val="006E0EA4"/>
    <w:rsid w:val="006E22C2"/>
    <w:rsid w:val="006E26CE"/>
    <w:rsid w:val="006E2BB3"/>
    <w:rsid w:val="006E2D0C"/>
    <w:rsid w:val="006E3450"/>
    <w:rsid w:val="006E3C3C"/>
    <w:rsid w:val="006E4CE5"/>
    <w:rsid w:val="006E5A60"/>
    <w:rsid w:val="006E61D2"/>
    <w:rsid w:val="006E77AF"/>
    <w:rsid w:val="006F0FCE"/>
    <w:rsid w:val="006F1185"/>
    <w:rsid w:val="006F16C6"/>
    <w:rsid w:val="006F2153"/>
    <w:rsid w:val="006F2538"/>
    <w:rsid w:val="006F2BE9"/>
    <w:rsid w:val="006F2F03"/>
    <w:rsid w:val="006F413E"/>
    <w:rsid w:val="006F4CAD"/>
    <w:rsid w:val="006F512E"/>
    <w:rsid w:val="006F52CC"/>
    <w:rsid w:val="006F53D2"/>
    <w:rsid w:val="006F594B"/>
    <w:rsid w:val="006F5A15"/>
    <w:rsid w:val="006F5F2B"/>
    <w:rsid w:val="006F61F5"/>
    <w:rsid w:val="006F6871"/>
    <w:rsid w:val="006F6B9D"/>
    <w:rsid w:val="006F7040"/>
    <w:rsid w:val="006F745E"/>
    <w:rsid w:val="00700D72"/>
    <w:rsid w:val="00700DFF"/>
    <w:rsid w:val="0070105B"/>
    <w:rsid w:val="00701325"/>
    <w:rsid w:val="00701B23"/>
    <w:rsid w:val="00701F8B"/>
    <w:rsid w:val="0070270E"/>
    <w:rsid w:val="007028DC"/>
    <w:rsid w:val="0070308C"/>
    <w:rsid w:val="007032EE"/>
    <w:rsid w:val="00703452"/>
    <w:rsid w:val="007044B5"/>
    <w:rsid w:val="007044F3"/>
    <w:rsid w:val="00705C7C"/>
    <w:rsid w:val="00705DFC"/>
    <w:rsid w:val="00707472"/>
    <w:rsid w:val="00710F7F"/>
    <w:rsid w:val="00711DA6"/>
    <w:rsid w:val="007126F8"/>
    <w:rsid w:val="007132B2"/>
    <w:rsid w:val="00714F60"/>
    <w:rsid w:val="00715773"/>
    <w:rsid w:val="007158D0"/>
    <w:rsid w:val="00715B5E"/>
    <w:rsid w:val="00715B74"/>
    <w:rsid w:val="00716716"/>
    <w:rsid w:val="00716D4F"/>
    <w:rsid w:val="00720474"/>
    <w:rsid w:val="00720E73"/>
    <w:rsid w:val="007211A2"/>
    <w:rsid w:val="00721759"/>
    <w:rsid w:val="007218CE"/>
    <w:rsid w:val="00721F36"/>
    <w:rsid w:val="00722DD8"/>
    <w:rsid w:val="00723206"/>
    <w:rsid w:val="00723A46"/>
    <w:rsid w:val="00723D0A"/>
    <w:rsid w:val="00724C52"/>
    <w:rsid w:val="00725166"/>
    <w:rsid w:val="007254D9"/>
    <w:rsid w:val="007255B1"/>
    <w:rsid w:val="00725743"/>
    <w:rsid w:val="007258D7"/>
    <w:rsid w:val="00726DD1"/>
    <w:rsid w:val="00730330"/>
    <w:rsid w:val="007318FB"/>
    <w:rsid w:val="00731AC5"/>
    <w:rsid w:val="00731CBD"/>
    <w:rsid w:val="00733117"/>
    <w:rsid w:val="00734610"/>
    <w:rsid w:val="00734E5B"/>
    <w:rsid w:val="00735D07"/>
    <w:rsid w:val="00735D8F"/>
    <w:rsid w:val="007366D8"/>
    <w:rsid w:val="007367F0"/>
    <w:rsid w:val="00736D62"/>
    <w:rsid w:val="0073749D"/>
    <w:rsid w:val="0074062C"/>
    <w:rsid w:val="007415CF"/>
    <w:rsid w:val="00741B25"/>
    <w:rsid w:val="007420ED"/>
    <w:rsid w:val="00744328"/>
    <w:rsid w:val="007450E0"/>
    <w:rsid w:val="00745108"/>
    <w:rsid w:val="00746A69"/>
    <w:rsid w:val="00746DB6"/>
    <w:rsid w:val="007471CA"/>
    <w:rsid w:val="00747256"/>
    <w:rsid w:val="007478D3"/>
    <w:rsid w:val="0075022C"/>
    <w:rsid w:val="00750570"/>
    <w:rsid w:val="00750DA3"/>
    <w:rsid w:val="00751837"/>
    <w:rsid w:val="00751C99"/>
    <w:rsid w:val="007525AB"/>
    <w:rsid w:val="007529D9"/>
    <w:rsid w:val="007531D3"/>
    <w:rsid w:val="00753EBD"/>
    <w:rsid w:val="00754025"/>
    <w:rsid w:val="007555AC"/>
    <w:rsid w:val="00756265"/>
    <w:rsid w:val="00756324"/>
    <w:rsid w:val="0075738C"/>
    <w:rsid w:val="00757839"/>
    <w:rsid w:val="00757DCB"/>
    <w:rsid w:val="00757E51"/>
    <w:rsid w:val="00760179"/>
    <w:rsid w:val="007603BF"/>
    <w:rsid w:val="0076063C"/>
    <w:rsid w:val="007606C4"/>
    <w:rsid w:val="00760BD0"/>
    <w:rsid w:val="00761078"/>
    <w:rsid w:val="00761145"/>
    <w:rsid w:val="00761728"/>
    <w:rsid w:val="00761C04"/>
    <w:rsid w:val="00761DC8"/>
    <w:rsid w:val="00761E1C"/>
    <w:rsid w:val="007620ED"/>
    <w:rsid w:val="00762D07"/>
    <w:rsid w:val="00762F18"/>
    <w:rsid w:val="0076332F"/>
    <w:rsid w:val="007633C1"/>
    <w:rsid w:val="00764EA2"/>
    <w:rsid w:val="00765401"/>
    <w:rsid w:val="00765748"/>
    <w:rsid w:val="00766509"/>
    <w:rsid w:val="00767049"/>
    <w:rsid w:val="00767B2A"/>
    <w:rsid w:val="00767CC3"/>
    <w:rsid w:val="00767D0A"/>
    <w:rsid w:val="007733BD"/>
    <w:rsid w:val="00773553"/>
    <w:rsid w:val="007754F1"/>
    <w:rsid w:val="00775543"/>
    <w:rsid w:val="00775591"/>
    <w:rsid w:val="00775DCE"/>
    <w:rsid w:val="00775E38"/>
    <w:rsid w:val="00777F64"/>
    <w:rsid w:val="0078079A"/>
    <w:rsid w:val="0078193C"/>
    <w:rsid w:val="00782C98"/>
    <w:rsid w:val="00783016"/>
    <w:rsid w:val="00783434"/>
    <w:rsid w:val="0078346C"/>
    <w:rsid w:val="00783944"/>
    <w:rsid w:val="00783E1D"/>
    <w:rsid w:val="0078572F"/>
    <w:rsid w:val="007859C2"/>
    <w:rsid w:val="0078610F"/>
    <w:rsid w:val="007863D4"/>
    <w:rsid w:val="00790565"/>
    <w:rsid w:val="00790738"/>
    <w:rsid w:val="0079105C"/>
    <w:rsid w:val="00791104"/>
    <w:rsid w:val="0079212F"/>
    <w:rsid w:val="00792CBC"/>
    <w:rsid w:val="00792D4C"/>
    <w:rsid w:val="0079302F"/>
    <w:rsid w:val="007930FC"/>
    <w:rsid w:val="00794775"/>
    <w:rsid w:val="00797078"/>
    <w:rsid w:val="00797D06"/>
    <w:rsid w:val="007A0AE9"/>
    <w:rsid w:val="007A0C41"/>
    <w:rsid w:val="007A1045"/>
    <w:rsid w:val="007A12B4"/>
    <w:rsid w:val="007A2270"/>
    <w:rsid w:val="007A2B85"/>
    <w:rsid w:val="007A2CB4"/>
    <w:rsid w:val="007A40D3"/>
    <w:rsid w:val="007A4F1E"/>
    <w:rsid w:val="007A5169"/>
    <w:rsid w:val="007A6578"/>
    <w:rsid w:val="007A6BE7"/>
    <w:rsid w:val="007B0425"/>
    <w:rsid w:val="007B1A5E"/>
    <w:rsid w:val="007B1F65"/>
    <w:rsid w:val="007B2139"/>
    <w:rsid w:val="007B2EF6"/>
    <w:rsid w:val="007B3123"/>
    <w:rsid w:val="007B3323"/>
    <w:rsid w:val="007B34C2"/>
    <w:rsid w:val="007B4E68"/>
    <w:rsid w:val="007B5AB0"/>
    <w:rsid w:val="007B5DA6"/>
    <w:rsid w:val="007B6870"/>
    <w:rsid w:val="007B7244"/>
    <w:rsid w:val="007B746D"/>
    <w:rsid w:val="007B781E"/>
    <w:rsid w:val="007B7F03"/>
    <w:rsid w:val="007C068E"/>
    <w:rsid w:val="007C103E"/>
    <w:rsid w:val="007C10E2"/>
    <w:rsid w:val="007C1DAD"/>
    <w:rsid w:val="007C2616"/>
    <w:rsid w:val="007C2F9B"/>
    <w:rsid w:val="007C3105"/>
    <w:rsid w:val="007C376C"/>
    <w:rsid w:val="007C3934"/>
    <w:rsid w:val="007C3E2E"/>
    <w:rsid w:val="007C48EC"/>
    <w:rsid w:val="007C5238"/>
    <w:rsid w:val="007C5BBB"/>
    <w:rsid w:val="007C7694"/>
    <w:rsid w:val="007C7E38"/>
    <w:rsid w:val="007C7E82"/>
    <w:rsid w:val="007D04F1"/>
    <w:rsid w:val="007D0C4C"/>
    <w:rsid w:val="007D1238"/>
    <w:rsid w:val="007D1A96"/>
    <w:rsid w:val="007D2030"/>
    <w:rsid w:val="007D21ED"/>
    <w:rsid w:val="007D2362"/>
    <w:rsid w:val="007D2FA5"/>
    <w:rsid w:val="007D305A"/>
    <w:rsid w:val="007D4337"/>
    <w:rsid w:val="007D4FC9"/>
    <w:rsid w:val="007D548F"/>
    <w:rsid w:val="007D72A3"/>
    <w:rsid w:val="007D778B"/>
    <w:rsid w:val="007E0C2C"/>
    <w:rsid w:val="007E13A0"/>
    <w:rsid w:val="007E1EEA"/>
    <w:rsid w:val="007E2BC9"/>
    <w:rsid w:val="007E5AD5"/>
    <w:rsid w:val="007E61CE"/>
    <w:rsid w:val="007E6530"/>
    <w:rsid w:val="007E7807"/>
    <w:rsid w:val="007E7A69"/>
    <w:rsid w:val="007F03A1"/>
    <w:rsid w:val="007F1194"/>
    <w:rsid w:val="007F1BA2"/>
    <w:rsid w:val="007F2EA5"/>
    <w:rsid w:val="007F35F8"/>
    <w:rsid w:val="007F40B2"/>
    <w:rsid w:val="007F471A"/>
    <w:rsid w:val="007F4A3E"/>
    <w:rsid w:val="007F4A57"/>
    <w:rsid w:val="007F4D71"/>
    <w:rsid w:val="007F5437"/>
    <w:rsid w:val="007F7254"/>
    <w:rsid w:val="007F78A0"/>
    <w:rsid w:val="007F7F83"/>
    <w:rsid w:val="00801752"/>
    <w:rsid w:val="00801D5E"/>
    <w:rsid w:val="00802600"/>
    <w:rsid w:val="00802C80"/>
    <w:rsid w:val="008035CC"/>
    <w:rsid w:val="00804726"/>
    <w:rsid w:val="00805297"/>
    <w:rsid w:val="00805361"/>
    <w:rsid w:val="008054D9"/>
    <w:rsid w:val="00805957"/>
    <w:rsid w:val="00805BDF"/>
    <w:rsid w:val="00806A98"/>
    <w:rsid w:val="00806AE4"/>
    <w:rsid w:val="00806B06"/>
    <w:rsid w:val="0081076F"/>
    <w:rsid w:val="00810988"/>
    <w:rsid w:val="00811349"/>
    <w:rsid w:val="00811499"/>
    <w:rsid w:val="00813029"/>
    <w:rsid w:val="00813D1F"/>
    <w:rsid w:val="00814D8F"/>
    <w:rsid w:val="008150A2"/>
    <w:rsid w:val="0081532E"/>
    <w:rsid w:val="00816171"/>
    <w:rsid w:val="00816D33"/>
    <w:rsid w:val="00817188"/>
    <w:rsid w:val="00817B9F"/>
    <w:rsid w:val="0082140B"/>
    <w:rsid w:val="008216BF"/>
    <w:rsid w:val="00821DC5"/>
    <w:rsid w:val="00823CA9"/>
    <w:rsid w:val="00823F83"/>
    <w:rsid w:val="00824654"/>
    <w:rsid w:val="008254BD"/>
    <w:rsid w:val="00826B3D"/>
    <w:rsid w:val="00826DF7"/>
    <w:rsid w:val="008276E2"/>
    <w:rsid w:val="0082770D"/>
    <w:rsid w:val="00830301"/>
    <w:rsid w:val="008308B8"/>
    <w:rsid w:val="00831260"/>
    <w:rsid w:val="0083409C"/>
    <w:rsid w:val="008347F6"/>
    <w:rsid w:val="0083502B"/>
    <w:rsid w:val="00835BFE"/>
    <w:rsid w:val="00836264"/>
    <w:rsid w:val="0083735C"/>
    <w:rsid w:val="008400F9"/>
    <w:rsid w:val="008405EE"/>
    <w:rsid w:val="00840BDA"/>
    <w:rsid w:val="00842C1E"/>
    <w:rsid w:val="00842F1D"/>
    <w:rsid w:val="0084319C"/>
    <w:rsid w:val="00843AAC"/>
    <w:rsid w:val="00844606"/>
    <w:rsid w:val="00844842"/>
    <w:rsid w:val="00845630"/>
    <w:rsid w:val="00846F97"/>
    <w:rsid w:val="00847442"/>
    <w:rsid w:val="00847753"/>
    <w:rsid w:val="00847ED7"/>
    <w:rsid w:val="00850172"/>
    <w:rsid w:val="00850ACF"/>
    <w:rsid w:val="00851A7D"/>
    <w:rsid w:val="008520FA"/>
    <w:rsid w:val="008521CA"/>
    <w:rsid w:val="00852744"/>
    <w:rsid w:val="00852944"/>
    <w:rsid w:val="0085456F"/>
    <w:rsid w:val="00855D22"/>
    <w:rsid w:val="008567DB"/>
    <w:rsid w:val="00856D55"/>
    <w:rsid w:val="0085729C"/>
    <w:rsid w:val="00857874"/>
    <w:rsid w:val="00857DB7"/>
    <w:rsid w:val="00860045"/>
    <w:rsid w:val="00860CB3"/>
    <w:rsid w:val="00860ED3"/>
    <w:rsid w:val="00861470"/>
    <w:rsid w:val="0086201D"/>
    <w:rsid w:val="00862E9B"/>
    <w:rsid w:val="0086348C"/>
    <w:rsid w:val="00863932"/>
    <w:rsid w:val="00863C42"/>
    <w:rsid w:val="008647A3"/>
    <w:rsid w:val="00864D0F"/>
    <w:rsid w:val="00865D0F"/>
    <w:rsid w:val="008661EA"/>
    <w:rsid w:val="008666C7"/>
    <w:rsid w:val="00867ADB"/>
    <w:rsid w:val="00870D01"/>
    <w:rsid w:val="00870DDA"/>
    <w:rsid w:val="008738D9"/>
    <w:rsid w:val="008740A3"/>
    <w:rsid w:val="00875D0F"/>
    <w:rsid w:val="00875DD1"/>
    <w:rsid w:val="0087636D"/>
    <w:rsid w:val="00877121"/>
    <w:rsid w:val="00877C3F"/>
    <w:rsid w:val="008804B3"/>
    <w:rsid w:val="00880D13"/>
    <w:rsid w:val="00880D5E"/>
    <w:rsid w:val="00881AE9"/>
    <w:rsid w:val="00881EAB"/>
    <w:rsid w:val="0088233D"/>
    <w:rsid w:val="008837C9"/>
    <w:rsid w:val="00883977"/>
    <w:rsid w:val="00884539"/>
    <w:rsid w:val="00884B9A"/>
    <w:rsid w:val="00884C69"/>
    <w:rsid w:val="00884C9C"/>
    <w:rsid w:val="008852D8"/>
    <w:rsid w:val="00885E1F"/>
    <w:rsid w:val="0088645E"/>
    <w:rsid w:val="0088646F"/>
    <w:rsid w:val="00890D94"/>
    <w:rsid w:val="00891774"/>
    <w:rsid w:val="008925AF"/>
    <w:rsid w:val="00892900"/>
    <w:rsid w:val="008954D0"/>
    <w:rsid w:val="008957DC"/>
    <w:rsid w:val="008958C4"/>
    <w:rsid w:val="00895B8F"/>
    <w:rsid w:val="00895EBE"/>
    <w:rsid w:val="00896412"/>
    <w:rsid w:val="00896B66"/>
    <w:rsid w:val="00896C01"/>
    <w:rsid w:val="00896E07"/>
    <w:rsid w:val="008973EF"/>
    <w:rsid w:val="0089793E"/>
    <w:rsid w:val="008A0ED9"/>
    <w:rsid w:val="008A13BA"/>
    <w:rsid w:val="008A18F0"/>
    <w:rsid w:val="008A3401"/>
    <w:rsid w:val="008A38D3"/>
    <w:rsid w:val="008A4002"/>
    <w:rsid w:val="008A409B"/>
    <w:rsid w:val="008A41F3"/>
    <w:rsid w:val="008A4306"/>
    <w:rsid w:val="008A47D0"/>
    <w:rsid w:val="008A547B"/>
    <w:rsid w:val="008A64BE"/>
    <w:rsid w:val="008A65E1"/>
    <w:rsid w:val="008B05D4"/>
    <w:rsid w:val="008B1140"/>
    <w:rsid w:val="008B14B0"/>
    <w:rsid w:val="008B164B"/>
    <w:rsid w:val="008B2479"/>
    <w:rsid w:val="008B2A11"/>
    <w:rsid w:val="008B2CE6"/>
    <w:rsid w:val="008B3858"/>
    <w:rsid w:val="008B4078"/>
    <w:rsid w:val="008B4BEF"/>
    <w:rsid w:val="008B632D"/>
    <w:rsid w:val="008B6F90"/>
    <w:rsid w:val="008B76D2"/>
    <w:rsid w:val="008C029E"/>
    <w:rsid w:val="008C04C2"/>
    <w:rsid w:val="008C17F3"/>
    <w:rsid w:val="008C1998"/>
    <w:rsid w:val="008C19A9"/>
    <w:rsid w:val="008C1ADA"/>
    <w:rsid w:val="008C1ECF"/>
    <w:rsid w:val="008C202B"/>
    <w:rsid w:val="008C2607"/>
    <w:rsid w:val="008C4859"/>
    <w:rsid w:val="008C4E1D"/>
    <w:rsid w:val="008C4FE3"/>
    <w:rsid w:val="008C50E7"/>
    <w:rsid w:val="008C5F1D"/>
    <w:rsid w:val="008C6095"/>
    <w:rsid w:val="008C6814"/>
    <w:rsid w:val="008C6E5E"/>
    <w:rsid w:val="008C79A0"/>
    <w:rsid w:val="008C7E61"/>
    <w:rsid w:val="008D03C7"/>
    <w:rsid w:val="008D0AC3"/>
    <w:rsid w:val="008D0FA0"/>
    <w:rsid w:val="008D2992"/>
    <w:rsid w:val="008D2B53"/>
    <w:rsid w:val="008D3469"/>
    <w:rsid w:val="008D4A94"/>
    <w:rsid w:val="008D4BE6"/>
    <w:rsid w:val="008D4D6B"/>
    <w:rsid w:val="008D5A6A"/>
    <w:rsid w:val="008D693D"/>
    <w:rsid w:val="008D6DF3"/>
    <w:rsid w:val="008D6F3E"/>
    <w:rsid w:val="008D74B8"/>
    <w:rsid w:val="008D754E"/>
    <w:rsid w:val="008D7AD8"/>
    <w:rsid w:val="008E0825"/>
    <w:rsid w:val="008E18E4"/>
    <w:rsid w:val="008E1B01"/>
    <w:rsid w:val="008E2469"/>
    <w:rsid w:val="008E2517"/>
    <w:rsid w:val="008E262F"/>
    <w:rsid w:val="008E523C"/>
    <w:rsid w:val="008E5573"/>
    <w:rsid w:val="008E5B9C"/>
    <w:rsid w:val="008E73DA"/>
    <w:rsid w:val="008F030D"/>
    <w:rsid w:val="008F1012"/>
    <w:rsid w:val="008F228C"/>
    <w:rsid w:val="008F2A83"/>
    <w:rsid w:val="008F2B45"/>
    <w:rsid w:val="008F2E3B"/>
    <w:rsid w:val="008F3721"/>
    <w:rsid w:val="008F41D0"/>
    <w:rsid w:val="008F4DB3"/>
    <w:rsid w:val="008F5083"/>
    <w:rsid w:val="008F5186"/>
    <w:rsid w:val="008F5FE8"/>
    <w:rsid w:val="008F6427"/>
    <w:rsid w:val="008F644F"/>
    <w:rsid w:val="008F722F"/>
    <w:rsid w:val="00901421"/>
    <w:rsid w:val="00901684"/>
    <w:rsid w:val="00902484"/>
    <w:rsid w:val="009031A3"/>
    <w:rsid w:val="00903CD2"/>
    <w:rsid w:val="00903D02"/>
    <w:rsid w:val="00904BEB"/>
    <w:rsid w:val="00904DD1"/>
    <w:rsid w:val="009060C1"/>
    <w:rsid w:val="00906915"/>
    <w:rsid w:val="00906EAF"/>
    <w:rsid w:val="00906F09"/>
    <w:rsid w:val="00906FC5"/>
    <w:rsid w:val="009070D4"/>
    <w:rsid w:val="009073F0"/>
    <w:rsid w:val="00907BF7"/>
    <w:rsid w:val="00907E8E"/>
    <w:rsid w:val="00910FA1"/>
    <w:rsid w:val="00911273"/>
    <w:rsid w:val="00911B3C"/>
    <w:rsid w:val="00911FBE"/>
    <w:rsid w:val="009126C4"/>
    <w:rsid w:val="00914E34"/>
    <w:rsid w:val="00915DA2"/>
    <w:rsid w:val="00916561"/>
    <w:rsid w:val="009168A1"/>
    <w:rsid w:val="00916D15"/>
    <w:rsid w:val="009171C7"/>
    <w:rsid w:val="00917A29"/>
    <w:rsid w:val="00917F81"/>
    <w:rsid w:val="00920726"/>
    <w:rsid w:val="0092258F"/>
    <w:rsid w:val="00922933"/>
    <w:rsid w:val="00922BC6"/>
    <w:rsid w:val="00922C3A"/>
    <w:rsid w:val="00922F29"/>
    <w:rsid w:val="00923694"/>
    <w:rsid w:val="00923888"/>
    <w:rsid w:val="009244B2"/>
    <w:rsid w:val="00925136"/>
    <w:rsid w:val="00925BBD"/>
    <w:rsid w:val="00926435"/>
    <w:rsid w:val="00926772"/>
    <w:rsid w:val="00926996"/>
    <w:rsid w:val="009273F4"/>
    <w:rsid w:val="00927B39"/>
    <w:rsid w:val="00927E30"/>
    <w:rsid w:val="0093135B"/>
    <w:rsid w:val="00931C49"/>
    <w:rsid w:val="00931F78"/>
    <w:rsid w:val="0093360B"/>
    <w:rsid w:val="00933950"/>
    <w:rsid w:val="009348BC"/>
    <w:rsid w:val="00935F3A"/>
    <w:rsid w:val="009363B7"/>
    <w:rsid w:val="00936475"/>
    <w:rsid w:val="00937241"/>
    <w:rsid w:val="00937739"/>
    <w:rsid w:val="00937E0C"/>
    <w:rsid w:val="00937F32"/>
    <w:rsid w:val="009413EF"/>
    <w:rsid w:val="0094182D"/>
    <w:rsid w:val="0094191F"/>
    <w:rsid w:val="00941C01"/>
    <w:rsid w:val="0094256C"/>
    <w:rsid w:val="009428B3"/>
    <w:rsid w:val="009428D0"/>
    <w:rsid w:val="009431B3"/>
    <w:rsid w:val="00943DE8"/>
    <w:rsid w:val="00944673"/>
    <w:rsid w:val="009451E5"/>
    <w:rsid w:val="00945741"/>
    <w:rsid w:val="00945C91"/>
    <w:rsid w:val="009473C4"/>
    <w:rsid w:val="0094789C"/>
    <w:rsid w:val="00947D5E"/>
    <w:rsid w:val="00947EE2"/>
    <w:rsid w:val="009504CC"/>
    <w:rsid w:val="0095060C"/>
    <w:rsid w:val="00950CFF"/>
    <w:rsid w:val="00951A01"/>
    <w:rsid w:val="009533D6"/>
    <w:rsid w:val="00953D3C"/>
    <w:rsid w:val="00954017"/>
    <w:rsid w:val="00954137"/>
    <w:rsid w:val="00954CD0"/>
    <w:rsid w:val="00955B3E"/>
    <w:rsid w:val="00955EE1"/>
    <w:rsid w:val="009573CD"/>
    <w:rsid w:val="00957409"/>
    <w:rsid w:val="00957647"/>
    <w:rsid w:val="0096145C"/>
    <w:rsid w:val="00961B40"/>
    <w:rsid w:val="0096334F"/>
    <w:rsid w:val="00964238"/>
    <w:rsid w:val="00964498"/>
    <w:rsid w:val="00964556"/>
    <w:rsid w:val="00964C02"/>
    <w:rsid w:val="00967EAE"/>
    <w:rsid w:val="00971574"/>
    <w:rsid w:val="0097160B"/>
    <w:rsid w:val="00971AD6"/>
    <w:rsid w:val="00971AF3"/>
    <w:rsid w:val="0097201E"/>
    <w:rsid w:val="00972A99"/>
    <w:rsid w:val="00973673"/>
    <w:rsid w:val="00974105"/>
    <w:rsid w:val="0097450A"/>
    <w:rsid w:val="00974638"/>
    <w:rsid w:val="009749B4"/>
    <w:rsid w:val="00975EB9"/>
    <w:rsid w:val="0097630A"/>
    <w:rsid w:val="00976644"/>
    <w:rsid w:val="009806A3"/>
    <w:rsid w:val="0098088B"/>
    <w:rsid w:val="00980CBE"/>
    <w:rsid w:val="0098315E"/>
    <w:rsid w:val="00983BD4"/>
    <w:rsid w:val="009844EE"/>
    <w:rsid w:val="00984E8C"/>
    <w:rsid w:val="00985261"/>
    <w:rsid w:val="009854F1"/>
    <w:rsid w:val="00985F8E"/>
    <w:rsid w:val="00986514"/>
    <w:rsid w:val="009868B0"/>
    <w:rsid w:val="00986A61"/>
    <w:rsid w:val="009870BE"/>
    <w:rsid w:val="009871E4"/>
    <w:rsid w:val="00987626"/>
    <w:rsid w:val="00987A78"/>
    <w:rsid w:val="0099046D"/>
    <w:rsid w:val="009904DC"/>
    <w:rsid w:val="009909AD"/>
    <w:rsid w:val="00990E63"/>
    <w:rsid w:val="00990ED0"/>
    <w:rsid w:val="00991905"/>
    <w:rsid w:val="00993125"/>
    <w:rsid w:val="009939C3"/>
    <w:rsid w:val="00993EB6"/>
    <w:rsid w:val="009954A7"/>
    <w:rsid w:val="00995643"/>
    <w:rsid w:val="00996146"/>
    <w:rsid w:val="00996A85"/>
    <w:rsid w:val="0099769E"/>
    <w:rsid w:val="00997B7D"/>
    <w:rsid w:val="00997F3F"/>
    <w:rsid w:val="009A01B9"/>
    <w:rsid w:val="009A1F98"/>
    <w:rsid w:val="009A2484"/>
    <w:rsid w:val="009A2514"/>
    <w:rsid w:val="009A27ED"/>
    <w:rsid w:val="009A405E"/>
    <w:rsid w:val="009A44A0"/>
    <w:rsid w:val="009A4D92"/>
    <w:rsid w:val="009A58F5"/>
    <w:rsid w:val="009A6442"/>
    <w:rsid w:val="009A6875"/>
    <w:rsid w:val="009A6A20"/>
    <w:rsid w:val="009B1EB4"/>
    <w:rsid w:val="009B21C8"/>
    <w:rsid w:val="009B2BD9"/>
    <w:rsid w:val="009B2F70"/>
    <w:rsid w:val="009B3A3F"/>
    <w:rsid w:val="009B3C9E"/>
    <w:rsid w:val="009B4BC7"/>
    <w:rsid w:val="009B4E1A"/>
    <w:rsid w:val="009B65D3"/>
    <w:rsid w:val="009B7DAF"/>
    <w:rsid w:val="009C0A87"/>
    <w:rsid w:val="009C0E8F"/>
    <w:rsid w:val="009C0F8D"/>
    <w:rsid w:val="009C22D9"/>
    <w:rsid w:val="009C2CFB"/>
    <w:rsid w:val="009C35B7"/>
    <w:rsid w:val="009C44BA"/>
    <w:rsid w:val="009C44E3"/>
    <w:rsid w:val="009C451D"/>
    <w:rsid w:val="009C491D"/>
    <w:rsid w:val="009C4ADA"/>
    <w:rsid w:val="009C664E"/>
    <w:rsid w:val="009C7613"/>
    <w:rsid w:val="009C7628"/>
    <w:rsid w:val="009C78D7"/>
    <w:rsid w:val="009D0E01"/>
    <w:rsid w:val="009D1438"/>
    <w:rsid w:val="009D23A2"/>
    <w:rsid w:val="009D24AC"/>
    <w:rsid w:val="009D2B88"/>
    <w:rsid w:val="009D2D06"/>
    <w:rsid w:val="009D2D50"/>
    <w:rsid w:val="009D31D1"/>
    <w:rsid w:val="009D38DC"/>
    <w:rsid w:val="009D467A"/>
    <w:rsid w:val="009D47A9"/>
    <w:rsid w:val="009D4A48"/>
    <w:rsid w:val="009D54A6"/>
    <w:rsid w:val="009D59D3"/>
    <w:rsid w:val="009D6079"/>
    <w:rsid w:val="009D67D0"/>
    <w:rsid w:val="009D6D99"/>
    <w:rsid w:val="009D78C1"/>
    <w:rsid w:val="009E075C"/>
    <w:rsid w:val="009E12E1"/>
    <w:rsid w:val="009E1BA0"/>
    <w:rsid w:val="009E2356"/>
    <w:rsid w:val="009E2EB6"/>
    <w:rsid w:val="009E46EF"/>
    <w:rsid w:val="009E6016"/>
    <w:rsid w:val="009E699D"/>
    <w:rsid w:val="009E7787"/>
    <w:rsid w:val="009E791A"/>
    <w:rsid w:val="009E7AFA"/>
    <w:rsid w:val="009F0361"/>
    <w:rsid w:val="009F0AA4"/>
    <w:rsid w:val="009F1969"/>
    <w:rsid w:val="009F1B3F"/>
    <w:rsid w:val="009F2A27"/>
    <w:rsid w:val="009F59FD"/>
    <w:rsid w:val="009F6060"/>
    <w:rsid w:val="009F60C0"/>
    <w:rsid w:val="009F6C3C"/>
    <w:rsid w:val="009F7B5D"/>
    <w:rsid w:val="00A00016"/>
    <w:rsid w:val="00A0051A"/>
    <w:rsid w:val="00A01BCF"/>
    <w:rsid w:val="00A02E56"/>
    <w:rsid w:val="00A02FB0"/>
    <w:rsid w:val="00A0480C"/>
    <w:rsid w:val="00A04A9B"/>
    <w:rsid w:val="00A04C8D"/>
    <w:rsid w:val="00A050AB"/>
    <w:rsid w:val="00A056DA"/>
    <w:rsid w:val="00A06091"/>
    <w:rsid w:val="00A064A3"/>
    <w:rsid w:val="00A06922"/>
    <w:rsid w:val="00A069AA"/>
    <w:rsid w:val="00A06D90"/>
    <w:rsid w:val="00A1078C"/>
    <w:rsid w:val="00A11477"/>
    <w:rsid w:val="00A114D8"/>
    <w:rsid w:val="00A1172E"/>
    <w:rsid w:val="00A1182E"/>
    <w:rsid w:val="00A128F5"/>
    <w:rsid w:val="00A12CD4"/>
    <w:rsid w:val="00A12FF6"/>
    <w:rsid w:val="00A139A3"/>
    <w:rsid w:val="00A14E00"/>
    <w:rsid w:val="00A14EAB"/>
    <w:rsid w:val="00A14F82"/>
    <w:rsid w:val="00A170A7"/>
    <w:rsid w:val="00A17E82"/>
    <w:rsid w:val="00A202E5"/>
    <w:rsid w:val="00A20C4B"/>
    <w:rsid w:val="00A20EE8"/>
    <w:rsid w:val="00A21BD1"/>
    <w:rsid w:val="00A223E1"/>
    <w:rsid w:val="00A235CE"/>
    <w:rsid w:val="00A23BAA"/>
    <w:rsid w:val="00A24E07"/>
    <w:rsid w:val="00A25595"/>
    <w:rsid w:val="00A2599C"/>
    <w:rsid w:val="00A25A1A"/>
    <w:rsid w:val="00A26361"/>
    <w:rsid w:val="00A271A2"/>
    <w:rsid w:val="00A27EE9"/>
    <w:rsid w:val="00A3159E"/>
    <w:rsid w:val="00A31A61"/>
    <w:rsid w:val="00A31CDC"/>
    <w:rsid w:val="00A3202F"/>
    <w:rsid w:val="00A32751"/>
    <w:rsid w:val="00A3451B"/>
    <w:rsid w:val="00A34678"/>
    <w:rsid w:val="00A34C4D"/>
    <w:rsid w:val="00A34D7B"/>
    <w:rsid w:val="00A3508D"/>
    <w:rsid w:val="00A35542"/>
    <w:rsid w:val="00A365DD"/>
    <w:rsid w:val="00A367CC"/>
    <w:rsid w:val="00A4245A"/>
    <w:rsid w:val="00A42BCF"/>
    <w:rsid w:val="00A44159"/>
    <w:rsid w:val="00A449AC"/>
    <w:rsid w:val="00A44F34"/>
    <w:rsid w:val="00A452F4"/>
    <w:rsid w:val="00A469BD"/>
    <w:rsid w:val="00A46D7A"/>
    <w:rsid w:val="00A4723D"/>
    <w:rsid w:val="00A47D86"/>
    <w:rsid w:val="00A50FEF"/>
    <w:rsid w:val="00A5194F"/>
    <w:rsid w:val="00A5196F"/>
    <w:rsid w:val="00A52CC0"/>
    <w:rsid w:val="00A54322"/>
    <w:rsid w:val="00A54B40"/>
    <w:rsid w:val="00A55059"/>
    <w:rsid w:val="00A5669E"/>
    <w:rsid w:val="00A6035E"/>
    <w:rsid w:val="00A606BD"/>
    <w:rsid w:val="00A6070B"/>
    <w:rsid w:val="00A60986"/>
    <w:rsid w:val="00A61823"/>
    <w:rsid w:val="00A6227B"/>
    <w:rsid w:val="00A622F5"/>
    <w:rsid w:val="00A62B27"/>
    <w:rsid w:val="00A63596"/>
    <w:rsid w:val="00A63AED"/>
    <w:rsid w:val="00A63DF2"/>
    <w:rsid w:val="00A63E0D"/>
    <w:rsid w:val="00A63E87"/>
    <w:rsid w:val="00A64268"/>
    <w:rsid w:val="00A669B3"/>
    <w:rsid w:val="00A66E72"/>
    <w:rsid w:val="00A66F80"/>
    <w:rsid w:val="00A67D84"/>
    <w:rsid w:val="00A71140"/>
    <w:rsid w:val="00A71E32"/>
    <w:rsid w:val="00A7293D"/>
    <w:rsid w:val="00A73912"/>
    <w:rsid w:val="00A7392B"/>
    <w:rsid w:val="00A73DA9"/>
    <w:rsid w:val="00A74169"/>
    <w:rsid w:val="00A74E98"/>
    <w:rsid w:val="00A75192"/>
    <w:rsid w:val="00A754A4"/>
    <w:rsid w:val="00A754A8"/>
    <w:rsid w:val="00A76738"/>
    <w:rsid w:val="00A76A4D"/>
    <w:rsid w:val="00A76D65"/>
    <w:rsid w:val="00A77BFD"/>
    <w:rsid w:val="00A77C8B"/>
    <w:rsid w:val="00A81227"/>
    <w:rsid w:val="00A81306"/>
    <w:rsid w:val="00A81881"/>
    <w:rsid w:val="00A82B4B"/>
    <w:rsid w:val="00A82E8E"/>
    <w:rsid w:val="00A8393B"/>
    <w:rsid w:val="00A8435F"/>
    <w:rsid w:val="00A84A8A"/>
    <w:rsid w:val="00A85388"/>
    <w:rsid w:val="00A85B6D"/>
    <w:rsid w:val="00A85C2A"/>
    <w:rsid w:val="00A85F5D"/>
    <w:rsid w:val="00A86205"/>
    <w:rsid w:val="00A86472"/>
    <w:rsid w:val="00A865E6"/>
    <w:rsid w:val="00A86690"/>
    <w:rsid w:val="00A86C55"/>
    <w:rsid w:val="00A87FB2"/>
    <w:rsid w:val="00A90004"/>
    <w:rsid w:val="00A900D5"/>
    <w:rsid w:val="00A907DC"/>
    <w:rsid w:val="00A90BC3"/>
    <w:rsid w:val="00A9184B"/>
    <w:rsid w:val="00A92370"/>
    <w:rsid w:val="00A94E04"/>
    <w:rsid w:val="00A957E9"/>
    <w:rsid w:val="00A95A65"/>
    <w:rsid w:val="00A9611A"/>
    <w:rsid w:val="00A9625E"/>
    <w:rsid w:val="00A96923"/>
    <w:rsid w:val="00A96AED"/>
    <w:rsid w:val="00A96FF5"/>
    <w:rsid w:val="00AA134F"/>
    <w:rsid w:val="00AA1425"/>
    <w:rsid w:val="00AA16FD"/>
    <w:rsid w:val="00AA1BEF"/>
    <w:rsid w:val="00AA33A4"/>
    <w:rsid w:val="00AA35B2"/>
    <w:rsid w:val="00AA383C"/>
    <w:rsid w:val="00AA4193"/>
    <w:rsid w:val="00AA457E"/>
    <w:rsid w:val="00AA5129"/>
    <w:rsid w:val="00AA5216"/>
    <w:rsid w:val="00AA5DEA"/>
    <w:rsid w:val="00AA6AA5"/>
    <w:rsid w:val="00AA6C1C"/>
    <w:rsid w:val="00AA72F7"/>
    <w:rsid w:val="00AB04A6"/>
    <w:rsid w:val="00AB1024"/>
    <w:rsid w:val="00AB1458"/>
    <w:rsid w:val="00AB16B3"/>
    <w:rsid w:val="00AB1A6C"/>
    <w:rsid w:val="00AB1D1F"/>
    <w:rsid w:val="00AB1DBC"/>
    <w:rsid w:val="00AB37D6"/>
    <w:rsid w:val="00AB42F9"/>
    <w:rsid w:val="00AB65F6"/>
    <w:rsid w:val="00AB6B86"/>
    <w:rsid w:val="00AB6FAD"/>
    <w:rsid w:val="00AB7394"/>
    <w:rsid w:val="00AC021D"/>
    <w:rsid w:val="00AC1024"/>
    <w:rsid w:val="00AC10AF"/>
    <w:rsid w:val="00AC10C7"/>
    <w:rsid w:val="00AC1405"/>
    <w:rsid w:val="00AC1E48"/>
    <w:rsid w:val="00AC2ADA"/>
    <w:rsid w:val="00AC35A6"/>
    <w:rsid w:val="00AC4DCF"/>
    <w:rsid w:val="00AC533A"/>
    <w:rsid w:val="00AC5AE2"/>
    <w:rsid w:val="00AC69F6"/>
    <w:rsid w:val="00AC6AEF"/>
    <w:rsid w:val="00AC7056"/>
    <w:rsid w:val="00AC733C"/>
    <w:rsid w:val="00AC7D86"/>
    <w:rsid w:val="00AD046B"/>
    <w:rsid w:val="00AD0FCD"/>
    <w:rsid w:val="00AD12AB"/>
    <w:rsid w:val="00AD2807"/>
    <w:rsid w:val="00AD2F58"/>
    <w:rsid w:val="00AD3BD8"/>
    <w:rsid w:val="00AD4316"/>
    <w:rsid w:val="00AD59C5"/>
    <w:rsid w:val="00AD59E5"/>
    <w:rsid w:val="00AD6B4C"/>
    <w:rsid w:val="00AE024C"/>
    <w:rsid w:val="00AE0720"/>
    <w:rsid w:val="00AE0C78"/>
    <w:rsid w:val="00AE14D5"/>
    <w:rsid w:val="00AE1691"/>
    <w:rsid w:val="00AE1BA4"/>
    <w:rsid w:val="00AE238F"/>
    <w:rsid w:val="00AE2B8F"/>
    <w:rsid w:val="00AE330E"/>
    <w:rsid w:val="00AE3BF0"/>
    <w:rsid w:val="00AE3D7F"/>
    <w:rsid w:val="00AE4B24"/>
    <w:rsid w:val="00AE6D68"/>
    <w:rsid w:val="00AE7797"/>
    <w:rsid w:val="00AE7E4D"/>
    <w:rsid w:val="00AE7E73"/>
    <w:rsid w:val="00AE7FB5"/>
    <w:rsid w:val="00AF0683"/>
    <w:rsid w:val="00AF0A4F"/>
    <w:rsid w:val="00AF1E57"/>
    <w:rsid w:val="00AF22D0"/>
    <w:rsid w:val="00AF2A23"/>
    <w:rsid w:val="00AF2EA3"/>
    <w:rsid w:val="00AF2F2F"/>
    <w:rsid w:val="00AF319F"/>
    <w:rsid w:val="00AF3269"/>
    <w:rsid w:val="00AF4262"/>
    <w:rsid w:val="00AF4544"/>
    <w:rsid w:val="00AF4BAF"/>
    <w:rsid w:val="00AF5B6E"/>
    <w:rsid w:val="00AF615B"/>
    <w:rsid w:val="00B00299"/>
    <w:rsid w:val="00B00347"/>
    <w:rsid w:val="00B005AB"/>
    <w:rsid w:val="00B00FF2"/>
    <w:rsid w:val="00B018A4"/>
    <w:rsid w:val="00B03132"/>
    <w:rsid w:val="00B0350F"/>
    <w:rsid w:val="00B035A6"/>
    <w:rsid w:val="00B037C9"/>
    <w:rsid w:val="00B04157"/>
    <w:rsid w:val="00B05285"/>
    <w:rsid w:val="00B06B3B"/>
    <w:rsid w:val="00B06CAA"/>
    <w:rsid w:val="00B077D5"/>
    <w:rsid w:val="00B07CFB"/>
    <w:rsid w:val="00B10418"/>
    <w:rsid w:val="00B10C75"/>
    <w:rsid w:val="00B117E1"/>
    <w:rsid w:val="00B11872"/>
    <w:rsid w:val="00B1190A"/>
    <w:rsid w:val="00B11B1F"/>
    <w:rsid w:val="00B11C10"/>
    <w:rsid w:val="00B11E3D"/>
    <w:rsid w:val="00B13DA8"/>
    <w:rsid w:val="00B15036"/>
    <w:rsid w:val="00B16192"/>
    <w:rsid w:val="00B1640F"/>
    <w:rsid w:val="00B165FD"/>
    <w:rsid w:val="00B17043"/>
    <w:rsid w:val="00B1731F"/>
    <w:rsid w:val="00B17A76"/>
    <w:rsid w:val="00B2053A"/>
    <w:rsid w:val="00B2089B"/>
    <w:rsid w:val="00B21451"/>
    <w:rsid w:val="00B21714"/>
    <w:rsid w:val="00B22FBC"/>
    <w:rsid w:val="00B23A37"/>
    <w:rsid w:val="00B23B96"/>
    <w:rsid w:val="00B24B14"/>
    <w:rsid w:val="00B25A48"/>
    <w:rsid w:val="00B2613B"/>
    <w:rsid w:val="00B27176"/>
    <w:rsid w:val="00B27664"/>
    <w:rsid w:val="00B30220"/>
    <w:rsid w:val="00B3047C"/>
    <w:rsid w:val="00B308E3"/>
    <w:rsid w:val="00B3281E"/>
    <w:rsid w:val="00B3305D"/>
    <w:rsid w:val="00B33600"/>
    <w:rsid w:val="00B33609"/>
    <w:rsid w:val="00B343ED"/>
    <w:rsid w:val="00B34CB4"/>
    <w:rsid w:val="00B3564B"/>
    <w:rsid w:val="00B360C7"/>
    <w:rsid w:val="00B362F6"/>
    <w:rsid w:val="00B36466"/>
    <w:rsid w:val="00B3664A"/>
    <w:rsid w:val="00B36FEE"/>
    <w:rsid w:val="00B37E01"/>
    <w:rsid w:val="00B37E28"/>
    <w:rsid w:val="00B401A4"/>
    <w:rsid w:val="00B403A2"/>
    <w:rsid w:val="00B40855"/>
    <w:rsid w:val="00B41473"/>
    <w:rsid w:val="00B42DAB"/>
    <w:rsid w:val="00B430AF"/>
    <w:rsid w:val="00B4312B"/>
    <w:rsid w:val="00B444A1"/>
    <w:rsid w:val="00B444B2"/>
    <w:rsid w:val="00B445C3"/>
    <w:rsid w:val="00B44EB6"/>
    <w:rsid w:val="00B45ED7"/>
    <w:rsid w:val="00B47C85"/>
    <w:rsid w:val="00B47D38"/>
    <w:rsid w:val="00B50927"/>
    <w:rsid w:val="00B50A7E"/>
    <w:rsid w:val="00B5124D"/>
    <w:rsid w:val="00B51CC2"/>
    <w:rsid w:val="00B51E21"/>
    <w:rsid w:val="00B52608"/>
    <w:rsid w:val="00B52978"/>
    <w:rsid w:val="00B52F2D"/>
    <w:rsid w:val="00B530AC"/>
    <w:rsid w:val="00B532AE"/>
    <w:rsid w:val="00B5337C"/>
    <w:rsid w:val="00B543AF"/>
    <w:rsid w:val="00B5479B"/>
    <w:rsid w:val="00B547BB"/>
    <w:rsid w:val="00B569D6"/>
    <w:rsid w:val="00B57F31"/>
    <w:rsid w:val="00B60B53"/>
    <w:rsid w:val="00B61029"/>
    <w:rsid w:val="00B61987"/>
    <w:rsid w:val="00B620B2"/>
    <w:rsid w:val="00B62981"/>
    <w:rsid w:val="00B630A2"/>
    <w:rsid w:val="00B64BCE"/>
    <w:rsid w:val="00B66410"/>
    <w:rsid w:val="00B6644E"/>
    <w:rsid w:val="00B7095B"/>
    <w:rsid w:val="00B71134"/>
    <w:rsid w:val="00B72FB2"/>
    <w:rsid w:val="00B73260"/>
    <w:rsid w:val="00B73379"/>
    <w:rsid w:val="00B748E6"/>
    <w:rsid w:val="00B74992"/>
    <w:rsid w:val="00B752F3"/>
    <w:rsid w:val="00B75CF0"/>
    <w:rsid w:val="00B76D41"/>
    <w:rsid w:val="00B80F63"/>
    <w:rsid w:val="00B814F9"/>
    <w:rsid w:val="00B817C5"/>
    <w:rsid w:val="00B81803"/>
    <w:rsid w:val="00B824C1"/>
    <w:rsid w:val="00B83087"/>
    <w:rsid w:val="00B847AC"/>
    <w:rsid w:val="00B8488E"/>
    <w:rsid w:val="00B85121"/>
    <w:rsid w:val="00B857BD"/>
    <w:rsid w:val="00B8593F"/>
    <w:rsid w:val="00B85B0D"/>
    <w:rsid w:val="00B86888"/>
    <w:rsid w:val="00B8776B"/>
    <w:rsid w:val="00B90C8D"/>
    <w:rsid w:val="00B93DD3"/>
    <w:rsid w:val="00B943CD"/>
    <w:rsid w:val="00B94B5F"/>
    <w:rsid w:val="00B97057"/>
    <w:rsid w:val="00BA1061"/>
    <w:rsid w:val="00BA1E4B"/>
    <w:rsid w:val="00BA2350"/>
    <w:rsid w:val="00BA2611"/>
    <w:rsid w:val="00BA3C3C"/>
    <w:rsid w:val="00BA3DA2"/>
    <w:rsid w:val="00BA4948"/>
    <w:rsid w:val="00BA4D97"/>
    <w:rsid w:val="00BA59A1"/>
    <w:rsid w:val="00BA5B12"/>
    <w:rsid w:val="00BA62B1"/>
    <w:rsid w:val="00BA63B5"/>
    <w:rsid w:val="00BA6871"/>
    <w:rsid w:val="00BA79CF"/>
    <w:rsid w:val="00BB022D"/>
    <w:rsid w:val="00BB03B1"/>
    <w:rsid w:val="00BB072D"/>
    <w:rsid w:val="00BB0820"/>
    <w:rsid w:val="00BB2860"/>
    <w:rsid w:val="00BB2A55"/>
    <w:rsid w:val="00BB4590"/>
    <w:rsid w:val="00BB570E"/>
    <w:rsid w:val="00BB59EE"/>
    <w:rsid w:val="00BB5C08"/>
    <w:rsid w:val="00BB61DF"/>
    <w:rsid w:val="00BB637C"/>
    <w:rsid w:val="00BB7D4E"/>
    <w:rsid w:val="00BC0FF7"/>
    <w:rsid w:val="00BC1B00"/>
    <w:rsid w:val="00BC232F"/>
    <w:rsid w:val="00BC2E16"/>
    <w:rsid w:val="00BC4B29"/>
    <w:rsid w:val="00BC5E72"/>
    <w:rsid w:val="00BC6267"/>
    <w:rsid w:val="00BC64DC"/>
    <w:rsid w:val="00BC6517"/>
    <w:rsid w:val="00BC7CA7"/>
    <w:rsid w:val="00BD00E8"/>
    <w:rsid w:val="00BD07F9"/>
    <w:rsid w:val="00BD0877"/>
    <w:rsid w:val="00BD0DBA"/>
    <w:rsid w:val="00BD119E"/>
    <w:rsid w:val="00BD1919"/>
    <w:rsid w:val="00BD1BB0"/>
    <w:rsid w:val="00BD20A3"/>
    <w:rsid w:val="00BD2B70"/>
    <w:rsid w:val="00BD2C5C"/>
    <w:rsid w:val="00BD37CA"/>
    <w:rsid w:val="00BD4123"/>
    <w:rsid w:val="00BD460C"/>
    <w:rsid w:val="00BD4A5D"/>
    <w:rsid w:val="00BD4AAD"/>
    <w:rsid w:val="00BD65C1"/>
    <w:rsid w:val="00BD7261"/>
    <w:rsid w:val="00BD7934"/>
    <w:rsid w:val="00BE03C8"/>
    <w:rsid w:val="00BE0D2A"/>
    <w:rsid w:val="00BE125F"/>
    <w:rsid w:val="00BE16EF"/>
    <w:rsid w:val="00BE23EF"/>
    <w:rsid w:val="00BE434A"/>
    <w:rsid w:val="00BE4439"/>
    <w:rsid w:val="00BE4FC8"/>
    <w:rsid w:val="00BE5531"/>
    <w:rsid w:val="00BE5DE7"/>
    <w:rsid w:val="00BE6119"/>
    <w:rsid w:val="00BE6473"/>
    <w:rsid w:val="00BE6661"/>
    <w:rsid w:val="00BE6BF8"/>
    <w:rsid w:val="00BE6E64"/>
    <w:rsid w:val="00BE6EEB"/>
    <w:rsid w:val="00BE6F7A"/>
    <w:rsid w:val="00BF11BC"/>
    <w:rsid w:val="00BF2978"/>
    <w:rsid w:val="00BF30D0"/>
    <w:rsid w:val="00BF3741"/>
    <w:rsid w:val="00BF376E"/>
    <w:rsid w:val="00BF3B25"/>
    <w:rsid w:val="00BF4396"/>
    <w:rsid w:val="00BF4992"/>
    <w:rsid w:val="00BF5378"/>
    <w:rsid w:val="00BF5BE0"/>
    <w:rsid w:val="00BF606C"/>
    <w:rsid w:val="00BF7D14"/>
    <w:rsid w:val="00BF7F70"/>
    <w:rsid w:val="00C000B4"/>
    <w:rsid w:val="00C00463"/>
    <w:rsid w:val="00C00913"/>
    <w:rsid w:val="00C00B1A"/>
    <w:rsid w:val="00C02527"/>
    <w:rsid w:val="00C047B6"/>
    <w:rsid w:val="00C0643A"/>
    <w:rsid w:val="00C07506"/>
    <w:rsid w:val="00C07CE0"/>
    <w:rsid w:val="00C07E2D"/>
    <w:rsid w:val="00C10386"/>
    <w:rsid w:val="00C10B37"/>
    <w:rsid w:val="00C113E2"/>
    <w:rsid w:val="00C12671"/>
    <w:rsid w:val="00C12F9C"/>
    <w:rsid w:val="00C133ED"/>
    <w:rsid w:val="00C1353A"/>
    <w:rsid w:val="00C143D3"/>
    <w:rsid w:val="00C14715"/>
    <w:rsid w:val="00C1491C"/>
    <w:rsid w:val="00C151EF"/>
    <w:rsid w:val="00C1531D"/>
    <w:rsid w:val="00C15838"/>
    <w:rsid w:val="00C15DB1"/>
    <w:rsid w:val="00C17415"/>
    <w:rsid w:val="00C17F78"/>
    <w:rsid w:val="00C20151"/>
    <w:rsid w:val="00C20453"/>
    <w:rsid w:val="00C2059A"/>
    <w:rsid w:val="00C2199D"/>
    <w:rsid w:val="00C22457"/>
    <w:rsid w:val="00C22459"/>
    <w:rsid w:val="00C22EED"/>
    <w:rsid w:val="00C234B7"/>
    <w:rsid w:val="00C237F4"/>
    <w:rsid w:val="00C23FDE"/>
    <w:rsid w:val="00C256AF"/>
    <w:rsid w:val="00C2733F"/>
    <w:rsid w:val="00C27BD1"/>
    <w:rsid w:val="00C301D2"/>
    <w:rsid w:val="00C30E6D"/>
    <w:rsid w:val="00C30EBA"/>
    <w:rsid w:val="00C314A4"/>
    <w:rsid w:val="00C3162D"/>
    <w:rsid w:val="00C31810"/>
    <w:rsid w:val="00C31845"/>
    <w:rsid w:val="00C32367"/>
    <w:rsid w:val="00C32719"/>
    <w:rsid w:val="00C32782"/>
    <w:rsid w:val="00C32AEE"/>
    <w:rsid w:val="00C32EBC"/>
    <w:rsid w:val="00C3340F"/>
    <w:rsid w:val="00C33EB1"/>
    <w:rsid w:val="00C3408E"/>
    <w:rsid w:val="00C3425E"/>
    <w:rsid w:val="00C34A4A"/>
    <w:rsid w:val="00C36B92"/>
    <w:rsid w:val="00C36DF9"/>
    <w:rsid w:val="00C3713A"/>
    <w:rsid w:val="00C378D8"/>
    <w:rsid w:val="00C37ED3"/>
    <w:rsid w:val="00C37F89"/>
    <w:rsid w:val="00C406F2"/>
    <w:rsid w:val="00C4097A"/>
    <w:rsid w:val="00C40A1E"/>
    <w:rsid w:val="00C40F79"/>
    <w:rsid w:val="00C410AA"/>
    <w:rsid w:val="00C41D3A"/>
    <w:rsid w:val="00C43007"/>
    <w:rsid w:val="00C4315A"/>
    <w:rsid w:val="00C43235"/>
    <w:rsid w:val="00C442D9"/>
    <w:rsid w:val="00C442DD"/>
    <w:rsid w:val="00C4434A"/>
    <w:rsid w:val="00C44692"/>
    <w:rsid w:val="00C44FA5"/>
    <w:rsid w:val="00C4587A"/>
    <w:rsid w:val="00C45988"/>
    <w:rsid w:val="00C45C86"/>
    <w:rsid w:val="00C466D8"/>
    <w:rsid w:val="00C47143"/>
    <w:rsid w:val="00C4789E"/>
    <w:rsid w:val="00C47CD4"/>
    <w:rsid w:val="00C500C0"/>
    <w:rsid w:val="00C50390"/>
    <w:rsid w:val="00C50455"/>
    <w:rsid w:val="00C504C8"/>
    <w:rsid w:val="00C513B3"/>
    <w:rsid w:val="00C517D8"/>
    <w:rsid w:val="00C517EF"/>
    <w:rsid w:val="00C52128"/>
    <w:rsid w:val="00C52588"/>
    <w:rsid w:val="00C53132"/>
    <w:rsid w:val="00C536CE"/>
    <w:rsid w:val="00C546B2"/>
    <w:rsid w:val="00C55198"/>
    <w:rsid w:val="00C55B3D"/>
    <w:rsid w:val="00C56E7C"/>
    <w:rsid w:val="00C57257"/>
    <w:rsid w:val="00C57401"/>
    <w:rsid w:val="00C574A1"/>
    <w:rsid w:val="00C57502"/>
    <w:rsid w:val="00C57A84"/>
    <w:rsid w:val="00C61BC6"/>
    <w:rsid w:val="00C63F2A"/>
    <w:rsid w:val="00C63F77"/>
    <w:rsid w:val="00C640E4"/>
    <w:rsid w:val="00C65633"/>
    <w:rsid w:val="00C659AA"/>
    <w:rsid w:val="00C65BF2"/>
    <w:rsid w:val="00C66339"/>
    <w:rsid w:val="00C67B33"/>
    <w:rsid w:val="00C70067"/>
    <w:rsid w:val="00C706F6"/>
    <w:rsid w:val="00C70ABC"/>
    <w:rsid w:val="00C71054"/>
    <w:rsid w:val="00C71273"/>
    <w:rsid w:val="00C725FE"/>
    <w:rsid w:val="00C748A3"/>
    <w:rsid w:val="00C74C14"/>
    <w:rsid w:val="00C7573E"/>
    <w:rsid w:val="00C75D68"/>
    <w:rsid w:val="00C76B20"/>
    <w:rsid w:val="00C77D6F"/>
    <w:rsid w:val="00C812DB"/>
    <w:rsid w:val="00C815B3"/>
    <w:rsid w:val="00C81655"/>
    <w:rsid w:val="00C817FC"/>
    <w:rsid w:val="00C81D39"/>
    <w:rsid w:val="00C822C0"/>
    <w:rsid w:val="00C8486F"/>
    <w:rsid w:val="00C8588B"/>
    <w:rsid w:val="00C85AD4"/>
    <w:rsid w:val="00C86EF2"/>
    <w:rsid w:val="00C87658"/>
    <w:rsid w:val="00C87903"/>
    <w:rsid w:val="00C90022"/>
    <w:rsid w:val="00C90189"/>
    <w:rsid w:val="00C90575"/>
    <w:rsid w:val="00C90912"/>
    <w:rsid w:val="00C91356"/>
    <w:rsid w:val="00C9173A"/>
    <w:rsid w:val="00C929DC"/>
    <w:rsid w:val="00C93742"/>
    <w:rsid w:val="00C94243"/>
    <w:rsid w:val="00C9561B"/>
    <w:rsid w:val="00CA05A7"/>
    <w:rsid w:val="00CA0847"/>
    <w:rsid w:val="00CA0970"/>
    <w:rsid w:val="00CA0A42"/>
    <w:rsid w:val="00CA1471"/>
    <w:rsid w:val="00CA1B6C"/>
    <w:rsid w:val="00CA2075"/>
    <w:rsid w:val="00CA3483"/>
    <w:rsid w:val="00CA3C89"/>
    <w:rsid w:val="00CA4389"/>
    <w:rsid w:val="00CA4A4B"/>
    <w:rsid w:val="00CA4CCD"/>
    <w:rsid w:val="00CA4D64"/>
    <w:rsid w:val="00CA5160"/>
    <w:rsid w:val="00CA577F"/>
    <w:rsid w:val="00CA6448"/>
    <w:rsid w:val="00CA73D9"/>
    <w:rsid w:val="00CB029C"/>
    <w:rsid w:val="00CB1F83"/>
    <w:rsid w:val="00CB21CA"/>
    <w:rsid w:val="00CB332D"/>
    <w:rsid w:val="00CB4129"/>
    <w:rsid w:val="00CB4606"/>
    <w:rsid w:val="00CB57B9"/>
    <w:rsid w:val="00CB5C28"/>
    <w:rsid w:val="00CB644A"/>
    <w:rsid w:val="00CB6E81"/>
    <w:rsid w:val="00CB7C10"/>
    <w:rsid w:val="00CC02BA"/>
    <w:rsid w:val="00CC032D"/>
    <w:rsid w:val="00CC105B"/>
    <w:rsid w:val="00CC12FA"/>
    <w:rsid w:val="00CC2650"/>
    <w:rsid w:val="00CC40F2"/>
    <w:rsid w:val="00CC42BF"/>
    <w:rsid w:val="00CC4A86"/>
    <w:rsid w:val="00CC4DED"/>
    <w:rsid w:val="00CC5B61"/>
    <w:rsid w:val="00CC5C2A"/>
    <w:rsid w:val="00CC5E94"/>
    <w:rsid w:val="00CC6EC2"/>
    <w:rsid w:val="00CC7827"/>
    <w:rsid w:val="00CD03A5"/>
    <w:rsid w:val="00CD0A3C"/>
    <w:rsid w:val="00CD0BC2"/>
    <w:rsid w:val="00CD0CC4"/>
    <w:rsid w:val="00CD0F61"/>
    <w:rsid w:val="00CD18A7"/>
    <w:rsid w:val="00CD1C14"/>
    <w:rsid w:val="00CD1ED5"/>
    <w:rsid w:val="00CD1FBD"/>
    <w:rsid w:val="00CD25B8"/>
    <w:rsid w:val="00CD37B0"/>
    <w:rsid w:val="00CD3A4B"/>
    <w:rsid w:val="00CD3CB9"/>
    <w:rsid w:val="00CD4678"/>
    <w:rsid w:val="00CD5138"/>
    <w:rsid w:val="00CD5C98"/>
    <w:rsid w:val="00CD6A2E"/>
    <w:rsid w:val="00CD76FA"/>
    <w:rsid w:val="00CD7FF6"/>
    <w:rsid w:val="00CE0346"/>
    <w:rsid w:val="00CE11F7"/>
    <w:rsid w:val="00CE174C"/>
    <w:rsid w:val="00CE1F87"/>
    <w:rsid w:val="00CE2150"/>
    <w:rsid w:val="00CE2B71"/>
    <w:rsid w:val="00CE2CB6"/>
    <w:rsid w:val="00CE3034"/>
    <w:rsid w:val="00CE366D"/>
    <w:rsid w:val="00CE3D47"/>
    <w:rsid w:val="00CE3D66"/>
    <w:rsid w:val="00CE4F11"/>
    <w:rsid w:val="00CE5DF0"/>
    <w:rsid w:val="00CE687C"/>
    <w:rsid w:val="00CE68CD"/>
    <w:rsid w:val="00CE6B11"/>
    <w:rsid w:val="00CE6D40"/>
    <w:rsid w:val="00CE7324"/>
    <w:rsid w:val="00CE7D9A"/>
    <w:rsid w:val="00CE7DED"/>
    <w:rsid w:val="00CF013B"/>
    <w:rsid w:val="00CF0296"/>
    <w:rsid w:val="00CF0A5F"/>
    <w:rsid w:val="00CF3336"/>
    <w:rsid w:val="00CF33E1"/>
    <w:rsid w:val="00CF3B14"/>
    <w:rsid w:val="00CF3D5B"/>
    <w:rsid w:val="00CF4861"/>
    <w:rsid w:val="00CF5777"/>
    <w:rsid w:val="00CF5CD6"/>
    <w:rsid w:val="00CF63A3"/>
    <w:rsid w:val="00CF7767"/>
    <w:rsid w:val="00CF7AFB"/>
    <w:rsid w:val="00CF7CB1"/>
    <w:rsid w:val="00D0010D"/>
    <w:rsid w:val="00D012CD"/>
    <w:rsid w:val="00D01B41"/>
    <w:rsid w:val="00D02F14"/>
    <w:rsid w:val="00D037AE"/>
    <w:rsid w:val="00D03975"/>
    <w:rsid w:val="00D04376"/>
    <w:rsid w:val="00D04F20"/>
    <w:rsid w:val="00D04FD2"/>
    <w:rsid w:val="00D050E0"/>
    <w:rsid w:val="00D062B7"/>
    <w:rsid w:val="00D1016C"/>
    <w:rsid w:val="00D103C1"/>
    <w:rsid w:val="00D10607"/>
    <w:rsid w:val="00D1061B"/>
    <w:rsid w:val="00D108E2"/>
    <w:rsid w:val="00D1140A"/>
    <w:rsid w:val="00D125F3"/>
    <w:rsid w:val="00D14180"/>
    <w:rsid w:val="00D14436"/>
    <w:rsid w:val="00D146ED"/>
    <w:rsid w:val="00D1638B"/>
    <w:rsid w:val="00D16BFB"/>
    <w:rsid w:val="00D16EB0"/>
    <w:rsid w:val="00D21D9B"/>
    <w:rsid w:val="00D23C0D"/>
    <w:rsid w:val="00D23DB5"/>
    <w:rsid w:val="00D2536A"/>
    <w:rsid w:val="00D25427"/>
    <w:rsid w:val="00D25702"/>
    <w:rsid w:val="00D258C9"/>
    <w:rsid w:val="00D26297"/>
    <w:rsid w:val="00D30024"/>
    <w:rsid w:val="00D3002F"/>
    <w:rsid w:val="00D30E7D"/>
    <w:rsid w:val="00D319E9"/>
    <w:rsid w:val="00D31FF6"/>
    <w:rsid w:val="00D322F2"/>
    <w:rsid w:val="00D324D2"/>
    <w:rsid w:val="00D33045"/>
    <w:rsid w:val="00D332CD"/>
    <w:rsid w:val="00D3384B"/>
    <w:rsid w:val="00D34B02"/>
    <w:rsid w:val="00D3564F"/>
    <w:rsid w:val="00D362D2"/>
    <w:rsid w:val="00D3669C"/>
    <w:rsid w:val="00D36CF7"/>
    <w:rsid w:val="00D37230"/>
    <w:rsid w:val="00D376CC"/>
    <w:rsid w:val="00D379F8"/>
    <w:rsid w:val="00D37D30"/>
    <w:rsid w:val="00D40A8C"/>
    <w:rsid w:val="00D41D90"/>
    <w:rsid w:val="00D41E01"/>
    <w:rsid w:val="00D43006"/>
    <w:rsid w:val="00D43431"/>
    <w:rsid w:val="00D43A6B"/>
    <w:rsid w:val="00D43C71"/>
    <w:rsid w:val="00D43CB6"/>
    <w:rsid w:val="00D43D43"/>
    <w:rsid w:val="00D44237"/>
    <w:rsid w:val="00D46992"/>
    <w:rsid w:val="00D46F26"/>
    <w:rsid w:val="00D47EE6"/>
    <w:rsid w:val="00D50402"/>
    <w:rsid w:val="00D5047B"/>
    <w:rsid w:val="00D505DA"/>
    <w:rsid w:val="00D50D2D"/>
    <w:rsid w:val="00D510F8"/>
    <w:rsid w:val="00D51599"/>
    <w:rsid w:val="00D5207C"/>
    <w:rsid w:val="00D525C9"/>
    <w:rsid w:val="00D53441"/>
    <w:rsid w:val="00D534D1"/>
    <w:rsid w:val="00D55E01"/>
    <w:rsid w:val="00D56490"/>
    <w:rsid w:val="00D56E17"/>
    <w:rsid w:val="00D56EEF"/>
    <w:rsid w:val="00D57544"/>
    <w:rsid w:val="00D6020F"/>
    <w:rsid w:val="00D605FC"/>
    <w:rsid w:val="00D61BD2"/>
    <w:rsid w:val="00D637BD"/>
    <w:rsid w:val="00D63CFF"/>
    <w:rsid w:val="00D6415B"/>
    <w:rsid w:val="00D645BD"/>
    <w:rsid w:val="00D64867"/>
    <w:rsid w:val="00D652D9"/>
    <w:rsid w:val="00D65517"/>
    <w:rsid w:val="00D65B09"/>
    <w:rsid w:val="00D6637C"/>
    <w:rsid w:val="00D66D5E"/>
    <w:rsid w:val="00D67A86"/>
    <w:rsid w:val="00D67D6D"/>
    <w:rsid w:val="00D70715"/>
    <w:rsid w:val="00D718D1"/>
    <w:rsid w:val="00D723B1"/>
    <w:rsid w:val="00D73863"/>
    <w:rsid w:val="00D73CEA"/>
    <w:rsid w:val="00D74204"/>
    <w:rsid w:val="00D75660"/>
    <w:rsid w:val="00D75DC8"/>
    <w:rsid w:val="00D7628F"/>
    <w:rsid w:val="00D762DD"/>
    <w:rsid w:val="00D76CA0"/>
    <w:rsid w:val="00D76CB5"/>
    <w:rsid w:val="00D7765A"/>
    <w:rsid w:val="00D77A67"/>
    <w:rsid w:val="00D77DF0"/>
    <w:rsid w:val="00D819FB"/>
    <w:rsid w:val="00D8256F"/>
    <w:rsid w:val="00D82677"/>
    <w:rsid w:val="00D82B5E"/>
    <w:rsid w:val="00D83141"/>
    <w:rsid w:val="00D831F9"/>
    <w:rsid w:val="00D84101"/>
    <w:rsid w:val="00D84488"/>
    <w:rsid w:val="00D84E06"/>
    <w:rsid w:val="00D851BC"/>
    <w:rsid w:val="00D85B8B"/>
    <w:rsid w:val="00D86D89"/>
    <w:rsid w:val="00D8786A"/>
    <w:rsid w:val="00D87A1E"/>
    <w:rsid w:val="00D87B88"/>
    <w:rsid w:val="00D902F6"/>
    <w:rsid w:val="00D9105D"/>
    <w:rsid w:val="00D915AD"/>
    <w:rsid w:val="00D918BC"/>
    <w:rsid w:val="00D928C3"/>
    <w:rsid w:val="00D9324F"/>
    <w:rsid w:val="00D939D1"/>
    <w:rsid w:val="00D93A5D"/>
    <w:rsid w:val="00D95511"/>
    <w:rsid w:val="00D95D60"/>
    <w:rsid w:val="00D96079"/>
    <w:rsid w:val="00D969E4"/>
    <w:rsid w:val="00D969EB"/>
    <w:rsid w:val="00D97105"/>
    <w:rsid w:val="00DA1880"/>
    <w:rsid w:val="00DA18AA"/>
    <w:rsid w:val="00DA1CDE"/>
    <w:rsid w:val="00DA2088"/>
    <w:rsid w:val="00DA2704"/>
    <w:rsid w:val="00DA2FBF"/>
    <w:rsid w:val="00DA3276"/>
    <w:rsid w:val="00DA338B"/>
    <w:rsid w:val="00DA5537"/>
    <w:rsid w:val="00DA5DBB"/>
    <w:rsid w:val="00DA639D"/>
    <w:rsid w:val="00DA6564"/>
    <w:rsid w:val="00DA71EF"/>
    <w:rsid w:val="00DB0271"/>
    <w:rsid w:val="00DB1F2D"/>
    <w:rsid w:val="00DB3334"/>
    <w:rsid w:val="00DB39BF"/>
    <w:rsid w:val="00DB46EA"/>
    <w:rsid w:val="00DB46F0"/>
    <w:rsid w:val="00DB513C"/>
    <w:rsid w:val="00DB53B4"/>
    <w:rsid w:val="00DB5898"/>
    <w:rsid w:val="00DB624D"/>
    <w:rsid w:val="00DB6396"/>
    <w:rsid w:val="00DB6408"/>
    <w:rsid w:val="00DB7036"/>
    <w:rsid w:val="00DB74AD"/>
    <w:rsid w:val="00DB777D"/>
    <w:rsid w:val="00DC1436"/>
    <w:rsid w:val="00DC1536"/>
    <w:rsid w:val="00DC1576"/>
    <w:rsid w:val="00DC1900"/>
    <w:rsid w:val="00DC1AC4"/>
    <w:rsid w:val="00DC2A46"/>
    <w:rsid w:val="00DC330F"/>
    <w:rsid w:val="00DC34C9"/>
    <w:rsid w:val="00DC4B8C"/>
    <w:rsid w:val="00DC5676"/>
    <w:rsid w:val="00DC5FCB"/>
    <w:rsid w:val="00DC7048"/>
    <w:rsid w:val="00DC72F8"/>
    <w:rsid w:val="00DD052B"/>
    <w:rsid w:val="00DD0546"/>
    <w:rsid w:val="00DD2205"/>
    <w:rsid w:val="00DD3368"/>
    <w:rsid w:val="00DD38F8"/>
    <w:rsid w:val="00DD3FEF"/>
    <w:rsid w:val="00DD492B"/>
    <w:rsid w:val="00DD4AE2"/>
    <w:rsid w:val="00DD5104"/>
    <w:rsid w:val="00DD5671"/>
    <w:rsid w:val="00DD5A2E"/>
    <w:rsid w:val="00DD5F49"/>
    <w:rsid w:val="00DE09F4"/>
    <w:rsid w:val="00DE28E2"/>
    <w:rsid w:val="00DE2AE4"/>
    <w:rsid w:val="00DE2D83"/>
    <w:rsid w:val="00DE30B1"/>
    <w:rsid w:val="00DE3339"/>
    <w:rsid w:val="00DE34AD"/>
    <w:rsid w:val="00DE3ED5"/>
    <w:rsid w:val="00DE4B5F"/>
    <w:rsid w:val="00DE4DB8"/>
    <w:rsid w:val="00DE5608"/>
    <w:rsid w:val="00DE5D93"/>
    <w:rsid w:val="00DE63F8"/>
    <w:rsid w:val="00DE66E2"/>
    <w:rsid w:val="00DE69A2"/>
    <w:rsid w:val="00DE7588"/>
    <w:rsid w:val="00DF0878"/>
    <w:rsid w:val="00DF254E"/>
    <w:rsid w:val="00DF3CB4"/>
    <w:rsid w:val="00DF4BBC"/>
    <w:rsid w:val="00DF4D3F"/>
    <w:rsid w:val="00DF4E80"/>
    <w:rsid w:val="00DF4F96"/>
    <w:rsid w:val="00DF54FF"/>
    <w:rsid w:val="00DF65A1"/>
    <w:rsid w:val="00DF72AC"/>
    <w:rsid w:val="00DF7423"/>
    <w:rsid w:val="00DF787C"/>
    <w:rsid w:val="00DF78A1"/>
    <w:rsid w:val="00DF7E3E"/>
    <w:rsid w:val="00DF7EBC"/>
    <w:rsid w:val="00E002B6"/>
    <w:rsid w:val="00E00D36"/>
    <w:rsid w:val="00E01155"/>
    <w:rsid w:val="00E01B4B"/>
    <w:rsid w:val="00E02D29"/>
    <w:rsid w:val="00E05089"/>
    <w:rsid w:val="00E05097"/>
    <w:rsid w:val="00E05319"/>
    <w:rsid w:val="00E05D44"/>
    <w:rsid w:val="00E06617"/>
    <w:rsid w:val="00E07A55"/>
    <w:rsid w:val="00E07A75"/>
    <w:rsid w:val="00E1064F"/>
    <w:rsid w:val="00E10698"/>
    <w:rsid w:val="00E116FE"/>
    <w:rsid w:val="00E12DF6"/>
    <w:rsid w:val="00E13831"/>
    <w:rsid w:val="00E13D36"/>
    <w:rsid w:val="00E14812"/>
    <w:rsid w:val="00E14E8D"/>
    <w:rsid w:val="00E15273"/>
    <w:rsid w:val="00E15B52"/>
    <w:rsid w:val="00E15DE8"/>
    <w:rsid w:val="00E16047"/>
    <w:rsid w:val="00E173DE"/>
    <w:rsid w:val="00E174B8"/>
    <w:rsid w:val="00E17AFF"/>
    <w:rsid w:val="00E17DB7"/>
    <w:rsid w:val="00E209B0"/>
    <w:rsid w:val="00E20B3E"/>
    <w:rsid w:val="00E20FBC"/>
    <w:rsid w:val="00E21F98"/>
    <w:rsid w:val="00E224E4"/>
    <w:rsid w:val="00E22AA5"/>
    <w:rsid w:val="00E2325A"/>
    <w:rsid w:val="00E2550F"/>
    <w:rsid w:val="00E259CA"/>
    <w:rsid w:val="00E25EB4"/>
    <w:rsid w:val="00E27462"/>
    <w:rsid w:val="00E27607"/>
    <w:rsid w:val="00E30460"/>
    <w:rsid w:val="00E30B87"/>
    <w:rsid w:val="00E30E40"/>
    <w:rsid w:val="00E322A0"/>
    <w:rsid w:val="00E32D91"/>
    <w:rsid w:val="00E33951"/>
    <w:rsid w:val="00E3791F"/>
    <w:rsid w:val="00E404D1"/>
    <w:rsid w:val="00E405D6"/>
    <w:rsid w:val="00E41409"/>
    <w:rsid w:val="00E42D96"/>
    <w:rsid w:val="00E437F7"/>
    <w:rsid w:val="00E4472B"/>
    <w:rsid w:val="00E4474D"/>
    <w:rsid w:val="00E44D75"/>
    <w:rsid w:val="00E44E45"/>
    <w:rsid w:val="00E44FD4"/>
    <w:rsid w:val="00E4525C"/>
    <w:rsid w:val="00E45AED"/>
    <w:rsid w:val="00E50121"/>
    <w:rsid w:val="00E502BB"/>
    <w:rsid w:val="00E509D2"/>
    <w:rsid w:val="00E5136B"/>
    <w:rsid w:val="00E51BA0"/>
    <w:rsid w:val="00E52B81"/>
    <w:rsid w:val="00E53BBB"/>
    <w:rsid w:val="00E53CD7"/>
    <w:rsid w:val="00E54282"/>
    <w:rsid w:val="00E5438D"/>
    <w:rsid w:val="00E54B42"/>
    <w:rsid w:val="00E55C01"/>
    <w:rsid w:val="00E55C0B"/>
    <w:rsid w:val="00E56018"/>
    <w:rsid w:val="00E56133"/>
    <w:rsid w:val="00E56202"/>
    <w:rsid w:val="00E568CD"/>
    <w:rsid w:val="00E56953"/>
    <w:rsid w:val="00E57FD1"/>
    <w:rsid w:val="00E60073"/>
    <w:rsid w:val="00E61F84"/>
    <w:rsid w:val="00E62577"/>
    <w:rsid w:val="00E63066"/>
    <w:rsid w:val="00E63190"/>
    <w:rsid w:val="00E639E3"/>
    <w:rsid w:val="00E63F0F"/>
    <w:rsid w:val="00E65045"/>
    <w:rsid w:val="00E65053"/>
    <w:rsid w:val="00E6684F"/>
    <w:rsid w:val="00E66882"/>
    <w:rsid w:val="00E66BFF"/>
    <w:rsid w:val="00E66D40"/>
    <w:rsid w:val="00E66FEF"/>
    <w:rsid w:val="00E67000"/>
    <w:rsid w:val="00E67030"/>
    <w:rsid w:val="00E67977"/>
    <w:rsid w:val="00E7011E"/>
    <w:rsid w:val="00E70CDB"/>
    <w:rsid w:val="00E71C76"/>
    <w:rsid w:val="00E7242C"/>
    <w:rsid w:val="00E72E93"/>
    <w:rsid w:val="00E737C9"/>
    <w:rsid w:val="00E741DD"/>
    <w:rsid w:val="00E74ABE"/>
    <w:rsid w:val="00E74E15"/>
    <w:rsid w:val="00E75190"/>
    <w:rsid w:val="00E75246"/>
    <w:rsid w:val="00E75925"/>
    <w:rsid w:val="00E75B52"/>
    <w:rsid w:val="00E762DC"/>
    <w:rsid w:val="00E76725"/>
    <w:rsid w:val="00E769FA"/>
    <w:rsid w:val="00E8033E"/>
    <w:rsid w:val="00E80433"/>
    <w:rsid w:val="00E80EB6"/>
    <w:rsid w:val="00E832DB"/>
    <w:rsid w:val="00E844F1"/>
    <w:rsid w:val="00E84D03"/>
    <w:rsid w:val="00E8504A"/>
    <w:rsid w:val="00E865D1"/>
    <w:rsid w:val="00E866F9"/>
    <w:rsid w:val="00E86CD0"/>
    <w:rsid w:val="00E87E79"/>
    <w:rsid w:val="00E9029D"/>
    <w:rsid w:val="00E90A19"/>
    <w:rsid w:val="00E9320C"/>
    <w:rsid w:val="00E93FB0"/>
    <w:rsid w:val="00E95619"/>
    <w:rsid w:val="00E95939"/>
    <w:rsid w:val="00E95982"/>
    <w:rsid w:val="00E95C7B"/>
    <w:rsid w:val="00E97664"/>
    <w:rsid w:val="00E97CE5"/>
    <w:rsid w:val="00E97DA9"/>
    <w:rsid w:val="00EA0B4D"/>
    <w:rsid w:val="00EA1484"/>
    <w:rsid w:val="00EA2181"/>
    <w:rsid w:val="00EA22EF"/>
    <w:rsid w:val="00EA2EFC"/>
    <w:rsid w:val="00EA38A8"/>
    <w:rsid w:val="00EA3BF3"/>
    <w:rsid w:val="00EA4F17"/>
    <w:rsid w:val="00EA5568"/>
    <w:rsid w:val="00EA5E53"/>
    <w:rsid w:val="00EA6344"/>
    <w:rsid w:val="00EA66F5"/>
    <w:rsid w:val="00EA6DEC"/>
    <w:rsid w:val="00EA7538"/>
    <w:rsid w:val="00EA7731"/>
    <w:rsid w:val="00EB1223"/>
    <w:rsid w:val="00EB1DA7"/>
    <w:rsid w:val="00EB41ED"/>
    <w:rsid w:val="00EB4911"/>
    <w:rsid w:val="00EB4EAC"/>
    <w:rsid w:val="00EB508A"/>
    <w:rsid w:val="00EB554F"/>
    <w:rsid w:val="00EB664B"/>
    <w:rsid w:val="00EB6900"/>
    <w:rsid w:val="00EB7204"/>
    <w:rsid w:val="00EC14F5"/>
    <w:rsid w:val="00EC1546"/>
    <w:rsid w:val="00EC1724"/>
    <w:rsid w:val="00EC1B05"/>
    <w:rsid w:val="00EC1DB2"/>
    <w:rsid w:val="00EC2901"/>
    <w:rsid w:val="00EC3507"/>
    <w:rsid w:val="00EC4545"/>
    <w:rsid w:val="00EC4951"/>
    <w:rsid w:val="00EC542F"/>
    <w:rsid w:val="00EC5487"/>
    <w:rsid w:val="00EC5BB1"/>
    <w:rsid w:val="00EC652D"/>
    <w:rsid w:val="00EC6A66"/>
    <w:rsid w:val="00EC7A1D"/>
    <w:rsid w:val="00EC7ABB"/>
    <w:rsid w:val="00ED0214"/>
    <w:rsid w:val="00ED0547"/>
    <w:rsid w:val="00ED08C9"/>
    <w:rsid w:val="00ED1CFF"/>
    <w:rsid w:val="00ED228A"/>
    <w:rsid w:val="00ED2D01"/>
    <w:rsid w:val="00ED6283"/>
    <w:rsid w:val="00ED6B43"/>
    <w:rsid w:val="00ED711C"/>
    <w:rsid w:val="00ED76DD"/>
    <w:rsid w:val="00EE2D1E"/>
    <w:rsid w:val="00EE2E18"/>
    <w:rsid w:val="00EE32AC"/>
    <w:rsid w:val="00EE3E64"/>
    <w:rsid w:val="00EE47F9"/>
    <w:rsid w:val="00EE4B80"/>
    <w:rsid w:val="00EE4EE9"/>
    <w:rsid w:val="00EE5BAE"/>
    <w:rsid w:val="00EE6F81"/>
    <w:rsid w:val="00EE786A"/>
    <w:rsid w:val="00EF0A1E"/>
    <w:rsid w:val="00EF17A5"/>
    <w:rsid w:val="00EF17FD"/>
    <w:rsid w:val="00EF1C6F"/>
    <w:rsid w:val="00EF1EAA"/>
    <w:rsid w:val="00EF2540"/>
    <w:rsid w:val="00EF28ED"/>
    <w:rsid w:val="00EF304A"/>
    <w:rsid w:val="00EF3407"/>
    <w:rsid w:val="00EF404E"/>
    <w:rsid w:val="00EF5D0F"/>
    <w:rsid w:val="00EF5F47"/>
    <w:rsid w:val="00EF658B"/>
    <w:rsid w:val="00EF70A5"/>
    <w:rsid w:val="00F01A91"/>
    <w:rsid w:val="00F01FB1"/>
    <w:rsid w:val="00F02BE4"/>
    <w:rsid w:val="00F040CF"/>
    <w:rsid w:val="00F04882"/>
    <w:rsid w:val="00F049C7"/>
    <w:rsid w:val="00F0536C"/>
    <w:rsid w:val="00F05B35"/>
    <w:rsid w:val="00F060C3"/>
    <w:rsid w:val="00F07306"/>
    <w:rsid w:val="00F079F6"/>
    <w:rsid w:val="00F11022"/>
    <w:rsid w:val="00F112F4"/>
    <w:rsid w:val="00F12A34"/>
    <w:rsid w:val="00F12A44"/>
    <w:rsid w:val="00F1325B"/>
    <w:rsid w:val="00F13958"/>
    <w:rsid w:val="00F13AE3"/>
    <w:rsid w:val="00F13D67"/>
    <w:rsid w:val="00F13DC6"/>
    <w:rsid w:val="00F1455F"/>
    <w:rsid w:val="00F147AD"/>
    <w:rsid w:val="00F14BE8"/>
    <w:rsid w:val="00F1563C"/>
    <w:rsid w:val="00F163FD"/>
    <w:rsid w:val="00F1705B"/>
    <w:rsid w:val="00F17932"/>
    <w:rsid w:val="00F17CD2"/>
    <w:rsid w:val="00F20F9A"/>
    <w:rsid w:val="00F231A6"/>
    <w:rsid w:val="00F23807"/>
    <w:rsid w:val="00F242A0"/>
    <w:rsid w:val="00F24DDB"/>
    <w:rsid w:val="00F25BDD"/>
    <w:rsid w:val="00F275A8"/>
    <w:rsid w:val="00F27AD7"/>
    <w:rsid w:val="00F27C82"/>
    <w:rsid w:val="00F27DAD"/>
    <w:rsid w:val="00F30553"/>
    <w:rsid w:val="00F32218"/>
    <w:rsid w:val="00F32956"/>
    <w:rsid w:val="00F32F22"/>
    <w:rsid w:val="00F33075"/>
    <w:rsid w:val="00F33B1E"/>
    <w:rsid w:val="00F346BF"/>
    <w:rsid w:val="00F348E6"/>
    <w:rsid w:val="00F34C61"/>
    <w:rsid w:val="00F34CFC"/>
    <w:rsid w:val="00F3529D"/>
    <w:rsid w:val="00F353E8"/>
    <w:rsid w:val="00F35979"/>
    <w:rsid w:val="00F359B2"/>
    <w:rsid w:val="00F35EB9"/>
    <w:rsid w:val="00F36113"/>
    <w:rsid w:val="00F36AAA"/>
    <w:rsid w:val="00F37417"/>
    <w:rsid w:val="00F378BC"/>
    <w:rsid w:val="00F37B58"/>
    <w:rsid w:val="00F40EE1"/>
    <w:rsid w:val="00F40F8B"/>
    <w:rsid w:val="00F41813"/>
    <w:rsid w:val="00F41C79"/>
    <w:rsid w:val="00F42622"/>
    <w:rsid w:val="00F4348C"/>
    <w:rsid w:val="00F43A0D"/>
    <w:rsid w:val="00F43F65"/>
    <w:rsid w:val="00F44158"/>
    <w:rsid w:val="00F4478F"/>
    <w:rsid w:val="00F44BAE"/>
    <w:rsid w:val="00F46075"/>
    <w:rsid w:val="00F463E7"/>
    <w:rsid w:val="00F46A93"/>
    <w:rsid w:val="00F47047"/>
    <w:rsid w:val="00F477C0"/>
    <w:rsid w:val="00F47D8D"/>
    <w:rsid w:val="00F5031C"/>
    <w:rsid w:val="00F51CDB"/>
    <w:rsid w:val="00F52B19"/>
    <w:rsid w:val="00F53687"/>
    <w:rsid w:val="00F53829"/>
    <w:rsid w:val="00F53C11"/>
    <w:rsid w:val="00F54A68"/>
    <w:rsid w:val="00F553ED"/>
    <w:rsid w:val="00F5546B"/>
    <w:rsid w:val="00F55572"/>
    <w:rsid w:val="00F55C03"/>
    <w:rsid w:val="00F55D86"/>
    <w:rsid w:val="00F561C2"/>
    <w:rsid w:val="00F57B04"/>
    <w:rsid w:val="00F6038C"/>
    <w:rsid w:val="00F613B1"/>
    <w:rsid w:val="00F627E7"/>
    <w:rsid w:val="00F632DF"/>
    <w:rsid w:val="00F63BFE"/>
    <w:rsid w:val="00F63FEE"/>
    <w:rsid w:val="00F64DE2"/>
    <w:rsid w:val="00F64FC5"/>
    <w:rsid w:val="00F65BDC"/>
    <w:rsid w:val="00F66699"/>
    <w:rsid w:val="00F668D3"/>
    <w:rsid w:val="00F66BED"/>
    <w:rsid w:val="00F7013E"/>
    <w:rsid w:val="00F714DA"/>
    <w:rsid w:val="00F71CBD"/>
    <w:rsid w:val="00F71DE5"/>
    <w:rsid w:val="00F72229"/>
    <w:rsid w:val="00F72461"/>
    <w:rsid w:val="00F72650"/>
    <w:rsid w:val="00F7291C"/>
    <w:rsid w:val="00F7352A"/>
    <w:rsid w:val="00F736EA"/>
    <w:rsid w:val="00F73890"/>
    <w:rsid w:val="00F75760"/>
    <w:rsid w:val="00F7683E"/>
    <w:rsid w:val="00F77DDD"/>
    <w:rsid w:val="00F807A1"/>
    <w:rsid w:val="00F80966"/>
    <w:rsid w:val="00F80E02"/>
    <w:rsid w:val="00F810A6"/>
    <w:rsid w:val="00F81AC2"/>
    <w:rsid w:val="00F83CF2"/>
    <w:rsid w:val="00F8485D"/>
    <w:rsid w:val="00F84C56"/>
    <w:rsid w:val="00F84E3D"/>
    <w:rsid w:val="00F85290"/>
    <w:rsid w:val="00F854B7"/>
    <w:rsid w:val="00F858CF"/>
    <w:rsid w:val="00F86492"/>
    <w:rsid w:val="00F8663F"/>
    <w:rsid w:val="00F90D14"/>
    <w:rsid w:val="00F91482"/>
    <w:rsid w:val="00F91E2A"/>
    <w:rsid w:val="00F91FBE"/>
    <w:rsid w:val="00F9268D"/>
    <w:rsid w:val="00F931CA"/>
    <w:rsid w:val="00F938DA"/>
    <w:rsid w:val="00F94F6C"/>
    <w:rsid w:val="00F96952"/>
    <w:rsid w:val="00F96DE2"/>
    <w:rsid w:val="00F96EEE"/>
    <w:rsid w:val="00F97127"/>
    <w:rsid w:val="00F97259"/>
    <w:rsid w:val="00F979BA"/>
    <w:rsid w:val="00F97A57"/>
    <w:rsid w:val="00FA1C7E"/>
    <w:rsid w:val="00FA24BA"/>
    <w:rsid w:val="00FA252C"/>
    <w:rsid w:val="00FA2F19"/>
    <w:rsid w:val="00FA2F84"/>
    <w:rsid w:val="00FA3F9E"/>
    <w:rsid w:val="00FA4B92"/>
    <w:rsid w:val="00FA4FA5"/>
    <w:rsid w:val="00FA523F"/>
    <w:rsid w:val="00FA5833"/>
    <w:rsid w:val="00FA5EA4"/>
    <w:rsid w:val="00FA6B59"/>
    <w:rsid w:val="00FA7383"/>
    <w:rsid w:val="00FA788F"/>
    <w:rsid w:val="00FB158E"/>
    <w:rsid w:val="00FB1B1D"/>
    <w:rsid w:val="00FB24AC"/>
    <w:rsid w:val="00FB24F3"/>
    <w:rsid w:val="00FB2ED2"/>
    <w:rsid w:val="00FB346E"/>
    <w:rsid w:val="00FB357C"/>
    <w:rsid w:val="00FB5378"/>
    <w:rsid w:val="00FB53E6"/>
    <w:rsid w:val="00FB5407"/>
    <w:rsid w:val="00FB55B8"/>
    <w:rsid w:val="00FB5E38"/>
    <w:rsid w:val="00FB61C8"/>
    <w:rsid w:val="00FB68C0"/>
    <w:rsid w:val="00FC1095"/>
    <w:rsid w:val="00FC1176"/>
    <w:rsid w:val="00FC1A2B"/>
    <w:rsid w:val="00FC235A"/>
    <w:rsid w:val="00FC2911"/>
    <w:rsid w:val="00FC323D"/>
    <w:rsid w:val="00FC345B"/>
    <w:rsid w:val="00FC48DA"/>
    <w:rsid w:val="00FC4E15"/>
    <w:rsid w:val="00FC508A"/>
    <w:rsid w:val="00FC538B"/>
    <w:rsid w:val="00FC6E58"/>
    <w:rsid w:val="00FC73C6"/>
    <w:rsid w:val="00FC7E0F"/>
    <w:rsid w:val="00FD0FB8"/>
    <w:rsid w:val="00FD1751"/>
    <w:rsid w:val="00FD2327"/>
    <w:rsid w:val="00FD260D"/>
    <w:rsid w:val="00FD2AB7"/>
    <w:rsid w:val="00FD2F49"/>
    <w:rsid w:val="00FD3E21"/>
    <w:rsid w:val="00FD5049"/>
    <w:rsid w:val="00FD62D1"/>
    <w:rsid w:val="00FD6408"/>
    <w:rsid w:val="00FD64FB"/>
    <w:rsid w:val="00FD691E"/>
    <w:rsid w:val="00FD69BD"/>
    <w:rsid w:val="00FD718A"/>
    <w:rsid w:val="00FE0806"/>
    <w:rsid w:val="00FE2DF8"/>
    <w:rsid w:val="00FE40F2"/>
    <w:rsid w:val="00FE4D33"/>
    <w:rsid w:val="00FE6336"/>
    <w:rsid w:val="00FE6C39"/>
    <w:rsid w:val="00FF255C"/>
    <w:rsid w:val="00FF2770"/>
    <w:rsid w:val="00FF2FF5"/>
    <w:rsid w:val="00FF35E7"/>
    <w:rsid w:val="00FF45D9"/>
    <w:rsid w:val="00FF4EB1"/>
    <w:rsid w:val="00FF4F5E"/>
    <w:rsid w:val="00FF5A2F"/>
    <w:rsid w:val="00FF5D96"/>
    <w:rsid w:val="00FF6734"/>
    <w:rsid w:val="00FF7371"/>
    <w:rsid w:val="00FF76A0"/>
    <w:rsid w:val="00FF77B0"/>
    <w:rsid w:val="00FF7C9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40C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2C36CE"/>
    <w:pPr>
      <w:tabs>
        <w:tab w:val="left" w:pos="567"/>
        <w:tab w:val="left" w:pos="1134"/>
      </w:tabs>
      <w:spacing w:line="480" w:lineRule="auto"/>
    </w:pPr>
    <w:rPr>
      <w:sz w:val="24"/>
      <w:szCs w:val="24"/>
    </w:rPr>
  </w:style>
  <w:style w:type="paragraph" w:styleId="Heading1">
    <w:name w:val="heading 1"/>
    <w:basedOn w:val="Normal"/>
    <w:next w:val="Normal"/>
    <w:link w:val="Heading1Char"/>
    <w:qFormat/>
    <w:rsid w:val="00EB664B"/>
    <w:pPr>
      <w:keepNext/>
      <w:jc w:val="center"/>
      <w:outlineLvl w:val="0"/>
    </w:pPr>
    <w:rPr>
      <w:b/>
      <w:bCs/>
      <w:kern w:val="32"/>
      <w:sz w:val="32"/>
      <w:szCs w:val="32"/>
    </w:rPr>
  </w:style>
  <w:style w:type="paragraph" w:styleId="Heading2">
    <w:name w:val="heading 2"/>
    <w:basedOn w:val="Normal"/>
    <w:next w:val="Normal"/>
    <w:link w:val="Heading2Char"/>
    <w:unhideWhenUsed/>
    <w:qFormat/>
    <w:rsid w:val="00245EF1"/>
    <w:pPr>
      <w:keepNext/>
      <w:keepLines/>
      <w:jc w:val="center"/>
      <w:outlineLvl w:val="1"/>
    </w:pPr>
    <w:rPr>
      <w:rFonts w:eastAsiaTheme="majorEastAsia" w:cstheme="majorBidi"/>
      <w:bCs/>
      <w:i/>
      <w:szCs w:val="26"/>
    </w:rPr>
  </w:style>
  <w:style w:type="paragraph" w:styleId="Heading3">
    <w:name w:val="heading 3"/>
    <w:basedOn w:val="Normal"/>
    <w:next w:val="Normal"/>
    <w:link w:val="Heading3Char"/>
    <w:unhideWhenUsed/>
    <w:qFormat/>
    <w:rsid w:val="000A4401"/>
    <w:pPr>
      <w:keepNext/>
      <w:keepLines/>
      <w:jc w:val="center"/>
      <w:outlineLvl w:val="2"/>
    </w:pPr>
    <w:rPr>
      <w:rFonts w:eastAsiaTheme="majorEastAsia" w:cstheme="majorBidi"/>
      <w:b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664B"/>
    <w:rPr>
      <w:b/>
      <w:bCs/>
      <w:kern w:val="32"/>
      <w:sz w:val="32"/>
      <w:szCs w:val="32"/>
    </w:rPr>
  </w:style>
  <w:style w:type="paragraph" w:styleId="EndnoteText">
    <w:name w:val="endnote text"/>
    <w:basedOn w:val="Normal"/>
    <w:link w:val="EndnoteTextChar"/>
    <w:rsid w:val="001A4B78"/>
    <w:rPr>
      <w:szCs w:val="20"/>
    </w:rPr>
  </w:style>
  <w:style w:type="character" w:customStyle="1" w:styleId="EndnoteTextChar">
    <w:name w:val="Endnote Text Char"/>
    <w:basedOn w:val="DefaultParagraphFont"/>
    <w:link w:val="EndnoteText"/>
    <w:rsid w:val="001A4B78"/>
    <w:rPr>
      <w:sz w:val="24"/>
    </w:rPr>
  </w:style>
  <w:style w:type="character" w:styleId="EndnoteReference">
    <w:name w:val="endnote reference"/>
    <w:basedOn w:val="DefaultParagraphFont"/>
    <w:rsid w:val="00FE0806"/>
    <w:rPr>
      <w:vertAlign w:val="superscript"/>
    </w:rPr>
  </w:style>
  <w:style w:type="paragraph" w:styleId="Footer">
    <w:name w:val="footer"/>
    <w:basedOn w:val="Normal"/>
    <w:link w:val="FooterChar"/>
    <w:uiPriority w:val="99"/>
    <w:rsid w:val="00735D07"/>
    <w:pPr>
      <w:tabs>
        <w:tab w:val="center" w:pos="4513"/>
        <w:tab w:val="right" w:pos="9026"/>
      </w:tabs>
    </w:pPr>
  </w:style>
  <w:style w:type="character" w:customStyle="1" w:styleId="FooterChar">
    <w:name w:val="Footer Char"/>
    <w:basedOn w:val="DefaultParagraphFont"/>
    <w:link w:val="Footer"/>
    <w:uiPriority w:val="99"/>
    <w:rsid w:val="00735D07"/>
    <w:rPr>
      <w:sz w:val="24"/>
      <w:szCs w:val="24"/>
    </w:rPr>
  </w:style>
  <w:style w:type="paragraph" w:styleId="Quote">
    <w:name w:val="Quote"/>
    <w:basedOn w:val="Normal"/>
    <w:next w:val="Normal"/>
    <w:link w:val="QuoteChar"/>
    <w:uiPriority w:val="29"/>
    <w:qFormat/>
    <w:rsid w:val="00382D8D"/>
    <w:pPr>
      <w:spacing w:after="240" w:line="240" w:lineRule="auto"/>
      <w:ind w:left="1134"/>
    </w:pPr>
    <w:rPr>
      <w:iCs/>
      <w:color w:val="000000"/>
    </w:rPr>
  </w:style>
  <w:style w:type="character" w:customStyle="1" w:styleId="QuoteChar">
    <w:name w:val="Quote Char"/>
    <w:basedOn w:val="DefaultParagraphFont"/>
    <w:link w:val="Quote"/>
    <w:uiPriority w:val="29"/>
    <w:rsid w:val="00382D8D"/>
    <w:rPr>
      <w:iCs/>
      <w:color w:val="000000"/>
      <w:sz w:val="24"/>
      <w:szCs w:val="24"/>
    </w:rPr>
  </w:style>
  <w:style w:type="paragraph" w:customStyle="1" w:styleId="Quote1">
    <w:name w:val="Quote1"/>
    <w:basedOn w:val="Normal"/>
    <w:next w:val="Normal"/>
    <w:rsid w:val="007F03A1"/>
    <w:pPr>
      <w:tabs>
        <w:tab w:val="clear" w:pos="567"/>
        <w:tab w:val="clear" w:pos="1134"/>
      </w:tabs>
      <w:spacing w:after="240" w:line="240" w:lineRule="auto"/>
      <w:ind w:left="1134"/>
    </w:pPr>
    <w:rPr>
      <w:szCs w:val="20"/>
    </w:rPr>
  </w:style>
  <w:style w:type="paragraph" w:styleId="Header">
    <w:name w:val="header"/>
    <w:basedOn w:val="Normal"/>
    <w:link w:val="HeaderChar"/>
    <w:uiPriority w:val="99"/>
    <w:rsid w:val="00FE2DF8"/>
    <w:pPr>
      <w:tabs>
        <w:tab w:val="clear" w:pos="567"/>
        <w:tab w:val="clear" w:pos="1134"/>
        <w:tab w:val="center" w:pos="4513"/>
        <w:tab w:val="right" w:pos="9026"/>
      </w:tabs>
    </w:pPr>
  </w:style>
  <w:style w:type="character" w:customStyle="1" w:styleId="HeaderChar">
    <w:name w:val="Header Char"/>
    <w:basedOn w:val="DefaultParagraphFont"/>
    <w:link w:val="Header"/>
    <w:uiPriority w:val="99"/>
    <w:rsid w:val="00FE2DF8"/>
    <w:rPr>
      <w:sz w:val="24"/>
      <w:szCs w:val="24"/>
    </w:rPr>
  </w:style>
  <w:style w:type="paragraph" w:styleId="BalloonText">
    <w:name w:val="Balloon Text"/>
    <w:basedOn w:val="Normal"/>
    <w:link w:val="BalloonTextChar"/>
    <w:rsid w:val="00BB082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BB0820"/>
    <w:rPr>
      <w:rFonts w:ascii="Tahoma" w:hAnsi="Tahoma" w:cs="Tahoma"/>
      <w:sz w:val="16"/>
      <w:szCs w:val="16"/>
    </w:rPr>
  </w:style>
  <w:style w:type="paragraph" w:styleId="Title">
    <w:name w:val="Title"/>
    <w:basedOn w:val="Normal"/>
    <w:next w:val="Normal"/>
    <w:link w:val="TitleChar"/>
    <w:rsid w:val="00C86EF2"/>
    <w:pPr>
      <w:jc w:val="center"/>
      <w:outlineLvl w:val="0"/>
    </w:pPr>
    <w:rPr>
      <w:b/>
      <w:bCs/>
      <w:kern w:val="28"/>
      <w:sz w:val="32"/>
      <w:szCs w:val="32"/>
    </w:rPr>
  </w:style>
  <w:style w:type="character" w:customStyle="1" w:styleId="TitleChar">
    <w:name w:val="Title Char"/>
    <w:basedOn w:val="DefaultParagraphFont"/>
    <w:link w:val="Title"/>
    <w:rsid w:val="00C86EF2"/>
    <w:rPr>
      <w:b/>
      <w:bCs/>
      <w:kern w:val="28"/>
      <w:sz w:val="32"/>
      <w:szCs w:val="32"/>
    </w:rPr>
  </w:style>
  <w:style w:type="character" w:styleId="Hyperlink">
    <w:name w:val="Hyperlink"/>
    <w:basedOn w:val="DefaultParagraphFont"/>
    <w:rsid w:val="00D30024"/>
    <w:rPr>
      <w:color w:val="0000FF"/>
      <w:u w:val="single"/>
    </w:rPr>
  </w:style>
  <w:style w:type="character" w:customStyle="1" w:styleId="Heading2Char">
    <w:name w:val="Heading 2 Char"/>
    <w:basedOn w:val="DefaultParagraphFont"/>
    <w:link w:val="Heading2"/>
    <w:rsid w:val="00245EF1"/>
    <w:rPr>
      <w:rFonts w:eastAsiaTheme="majorEastAsia" w:cstheme="majorBidi"/>
      <w:bCs/>
      <w:i/>
      <w:sz w:val="24"/>
      <w:szCs w:val="26"/>
    </w:rPr>
  </w:style>
  <w:style w:type="character" w:customStyle="1" w:styleId="Heading3Char">
    <w:name w:val="Heading 3 Char"/>
    <w:basedOn w:val="DefaultParagraphFont"/>
    <w:link w:val="Heading3"/>
    <w:rsid w:val="000A4401"/>
    <w:rPr>
      <w:rFonts w:eastAsiaTheme="majorEastAsia" w:cstheme="majorBidi"/>
      <w:bCs/>
      <w:caps/>
      <w:sz w:val="24"/>
      <w:szCs w:val="24"/>
    </w:rPr>
  </w:style>
  <w:style w:type="paragraph" w:styleId="FootnoteText">
    <w:name w:val="footnote text"/>
    <w:basedOn w:val="Normal"/>
    <w:link w:val="FootnoteTextChar"/>
    <w:uiPriority w:val="99"/>
    <w:unhideWhenUsed/>
    <w:qFormat/>
    <w:rsid w:val="009C44E3"/>
    <w:pPr>
      <w:tabs>
        <w:tab w:val="clear" w:pos="1134"/>
      </w:tabs>
      <w:spacing w:line="240" w:lineRule="auto"/>
    </w:pPr>
    <w:rPr>
      <w:rFonts w:eastAsiaTheme="minorHAnsi" w:cstheme="minorBidi"/>
      <w:sz w:val="20"/>
      <w:lang w:val="en-US" w:eastAsia="en-US"/>
    </w:rPr>
  </w:style>
  <w:style w:type="character" w:customStyle="1" w:styleId="FootnoteTextChar">
    <w:name w:val="Footnote Text Char"/>
    <w:basedOn w:val="DefaultParagraphFont"/>
    <w:link w:val="FootnoteText"/>
    <w:uiPriority w:val="99"/>
    <w:rsid w:val="009C44E3"/>
    <w:rPr>
      <w:rFonts w:eastAsiaTheme="minorHAnsi" w:cstheme="minorBidi"/>
      <w:szCs w:val="24"/>
      <w:lang w:val="en-US" w:eastAsia="en-US"/>
    </w:rPr>
  </w:style>
  <w:style w:type="character" w:styleId="FootnoteReference">
    <w:name w:val="footnote reference"/>
    <w:basedOn w:val="DefaultParagraphFont"/>
    <w:uiPriority w:val="99"/>
    <w:unhideWhenUsed/>
    <w:rsid w:val="009C44E3"/>
    <w:rPr>
      <w:vertAlign w:val="superscript"/>
    </w:rPr>
  </w:style>
  <w:style w:type="character" w:styleId="PlaceholderText">
    <w:name w:val="Placeholder Text"/>
    <w:basedOn w:val="DefaultParagraphFont"/>
    <w:uiPriority w:val="99"/>
    <w:semiHidden/>
    <w:rsid w:val="00496D4D"/>
    <w:rPr>
      <w:color w:val="808080"/>
    </w:rPr>
  </w:style>
  <w:style w:type="character" w:styleId="FollowedHyperlink">
    <w:name w:val="FollowedHyperlink"/>
    <w:basedOn w:val="DefaultParagraphFont"/>
    <w:rsid w:val="0070747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2C36CE"/>
    <w:pPr>
      <w:tabs>
        <w:tab w:val="left" w:pos="567"/>
        <w:tab w:val="left" w:pos="1134"/>
      </w:tabs>
      <w:spacing w:line="480" w:lineRule="auto"/>
    </w:pPr>
    <w:rPr>
      <w:sz w:val="24"/>
      <w:szCs w:val="24"/>
    </w:rPr>
  </w:style>
  <w:style w:type="paragraph" w:styleId="Heading1">
    <w:name w:val="heading 1"/>
    <w:basedOn w:val="Normal"/>
    <w:next w:val="Normal"/>
    <w:link w:val="Heading1Char"/>
    <w:qFormat/>
    <w:rsid w:val="00EB664B"/>
    <w:pPr>
      <w:keepNext/>
      <w:jc w:val="center"/>
      <w:outlineLvl w:val="0"/>
    </w:pPr>
    <w:rPr>
      <w:b/>
      <w:bCs/>
      <w:kern w:val="32"/>
      <w:sz w:val="32"/>
      <w:szCs w:val="32"/>
    </w:rPr>
  </w:style>
  <w:style w:type="paragraph" w:styleId="Heading2">
    <w:name w:val="heading 2"/>
    <w:basedOn w:val="Normal"/>
    <w:next w:val="Normal"/>
    <w:link w:val="Heading2Char"/>
    <w:unhideWhenUsed/>
    <w:qFormat/>
    <w:rsid w:val="00245EF1"/>
    <w:pPr>
      <w:keepNext/>
      <w:keepLines/>
      <w:jc w:val="center"/>
      <w:outlineLvl w:val="1"/>
    </w:pPr>
    <w:rPr>
      <w:rFonts w:eastAsiaTheme="majorEastAsia" w:cstheme="majorBidi"/>
      <w:bCs/>
      <w:i/>
      <w:szCs w:val="26"/>
    </w:rPr>
  </w:style>
  <w:style w:type="paragraph" w:styleId="Heading3">
    <w:name w:val="heading 3"/>
    <w:basedOn w:val="Normal"/>
    <w:next w:val="Normal"/>
    <w:link w:val="Heading3Char"/>
    <w:unhideWhenUsed/>
    <w:qFormat/>
    <w:rsid w:val="000A4401"/>
    <w:pPr>
      <w:keepNext/>
      <w:keepLines/>
      <w:jc w:val="center"/>
      <w:outlineLvl w:val="2"/>
    </w:pPr>
    <w:rPr>
      <w:rFonts w:eastAsiaTheme="majorEastAsia" w:cstheme="majorBidi"/>
      <w:b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664B"/>
    <w:rPr>
      <w:b/>
      <w:bCs/>
      <w:kern w:val="32"/>
      <w:sz w:val="32"/>
      <w:szCs w:val="32"/>
    </w:rPr>
  </w:style>
  <w:style w:type="paragraph" w:styleId="EndnoteText">
    <w:name w:val="endnote text"/>
    <w:basedOn w:val="Normal"/>
    <w:link w:val="EndnoteTextChar"/>
    <w:rsid w:val="001A4B78"/>
    <w:rPr>
      <w:szCs w:val="20"/>
    </w:rPr>
  </w:style>
  <w:style w:type="character" w:customStyle="1" w:styleId="EndnoteTextChar">
    <w:name w:val="Endnote Text Char"/>
    <w:basedOn w:val="DefaultParagraphFont"/>
    <w:link w:val="EndnoteText"/>
    <w:rsid w:val="001A4B78"/>
    <w:rPr>
      <w:sz w:val="24"/>
    </w:rPr>
  </w:style>
  <w:style w:type="character" w:styleId="EndnoteReference">
    <w:name w:val="endnote reference"/>
    <w:basedOn w:val="DefaultParagraphFont"/>
    <w:rsid w:val="00FE0806"/>
    <w:rPr>
      <w:vertAlign w:val="superscript"/>
    </w:rPr>
  </w:style>
  <w:style w:type="paragraph" w:styleId="Footer">
    <w:name w:val="footer"/>
    <w:basedOn w:val="Normal"/>
    <w:link w:val="FooterChar"/>
    <w:uiPriority w:val="99"/>
    <w:rsid w:val="00735D07"/>
    <w:pPr>
      <w:tabs>
        <w:tab w:val="center" w:pos="4513"/>
        <w:tab w:val="right" w:pos="9026"/>
      </w:tabs>
    </w:pPr>
  </w:style>
  <w:style w:type="character" w:customStyle="1" w:styleId="FooterChar">
    <w:name w:val="Footer Char"/>
    <w:basedOn w:val="DefaultParagraphFont"/>
    <w:link w:val="Footer"/>
    <w:uiPriority w:val="99"/>
    <w:rsid w:val="00735D07"/>
    <w:rPr>
      <w:sz w:val="24"/>
      <w:szCs w:val="24"/>
    </w:rPr>
  </w:style>
  <w:style w:type="paragraph" w:styleId="Quote">
    <w:name w:val="Quote"/>
    <w:basedOn w:val="Normal"/>
    <w:next w:val="Normal"/>
    <w:link w:val="QuoteChar"/>
    <w:uiPriority w:val="29"/>
    <w:qFormat/>
    <w:rsid w:val="00382D8D"/>
    <w:pPr>
      <w:spacing w:after="240" w:line="240" w:lineRule="auto"/>
      <w:ind w:left="1134"/>
    </w:pPr>
    <w:rPr>
      <w:iCs/>
      <w:color w:val="000000"/>
    </w:rPr>
  </w:style>
  <w:style w:type="character" w:customStyle="1" w:styleId="QuoteChar">
    <w:name w:val="Quote Char"/>
    <w:basedOn w:val="DefaultParagraphFont"/>
    <w:link w:val="Quote"/>
    <w:uiPriority w:val="29"/>
    <w:rsid w:val="00382D8D"/>
    <w:rPr>
      <w:iCs/>
      <w:color w:val="000000"/>
      <w:sz w:val="24"/>
      <w:szCs w:val="24"/>
    </w:rPr>
  </w:style>
  <w:style w:type="paragraph" w:customStyle="1" w:styleId="Quote1">
    <w:name w:val="Quote1"/>
    <w:basedOn w:val="Normal"/>
    <w:next w:val="Normal"/>
    <w:rsid w:val="007F03A1"/>
    <w:pPr>
      <w:tabs>
        <w:tab w:val="clear" w:pos="567"/>
        <w:tab w:val="clear" w:pos="1134"/>
      </w:tabs>
      <w:spacing w:after="240" w:line="240" w:lineRule="auto"/>
      <w:ind w:left="1134"/>
    </w:pPr>
    <w:rPr>
      <w:szCs w:val="20"/>
    </w:rPr>
  </w:style>
  <w:style w:type="paragraph" w:styleId="Header">
    <w:name w:val="header"/>
    <w:basedOn w:val="Normal"/>
    <w:link w:val="HeaderChar"/>
    <w:uiPriority w:val="99"/>
    <w:rsid w:val="00FE2DF8"/>
    <w:pPr>
      <w:tabs>
        <w:tab w:val="clear" w:pos="567"/>
        <w:tab w:val="clear" w:pos="1134"/>
        <w:tab w:val="center" w:pos="4513"/>
        <w:tab w:val="right" w:pos="9026"/>
      </w:tabs>
    </w:pPr>
  </w:style>
  <w:style w:type="character" w:customStyle="1" w:styleId="HeaderChar">
    <w:name w:val="Header Char"/>
    <w:basedOn w:val="DefaultParagraphFont"/>
    <w:link w:val="Header"/>
    <w:uiPriority w:val="99"/>
    <w:rsid w:val="00FE2DF8"/>
    <w:rPr>
      <w:sz w:val="24"/>
      <w:szCs w:val="24"/>
    </w:rPr>
  </w:style>
  <w:style w:type="paragraph" w:styleId="BalloonText">
    <w:name w:val="Balloon Text"/>
    <w:basedOn w:val="Normal"/>
    <w:link w:val="BalloonTextChar"/>
    <w:rsid w:val="00BB082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BB0820"/>
    <w:rPr>
      <w:rFonts w:ascii="Tahoma" w:hAnsi="Tahoma" w:cs="Tahoma"/>
      <w:sz w:val="16"/>
      <w:szCs w:val="16"/>
    </w:rPr>
  </w:style>
  <w:style w:type="paragraph" w:styleId="Title">
    <w:name w:val="Title"/>
    <w:basedOn w:val="Normal"/>
    <w:next w:val="Normal"/>
    <w:link w:val="TitleChar"/>
    <w:rsid w:val="00C86EF2"/>
    <w:pPr>
      <w:jc w:val="center"/>
      <w:outlineLvl w:val="0"/>
    </w:pPr>
    <w:rPr>
      <w:b/>
      <w:bCs/>
      <w:kern w:val="28"/>
      <w:sz w:val="32"/>
      <w:szCs w:val="32"/>
    </w:rPr>
  </w:style>
  <w:style w:type="character" w:customStyle="1" w:styleId="TitleChar">
    <w:name w:val="Title Char"/>
    <w:basedOn w:val="DefaultParagraphFont"/>
    <w:link w:val="Title"/>
    <w:rsid w:val="00C86EF2"/>
    <w:rPr>
      <w:b/>
      <w:bCs/>
      <w:kern w:val="28"/>
      <w:sz w:val="32"/>
      <w:szCs w:val="32"/>
    </w:rPr>
  </w:style>
  <w:style w:type="character" w:styleId="Hyperlink">
    <w:name w:val="Hyperlink"/>
    <w:basedOn w:val="DefaultParagraphFont"/>
    <w:rsid w:val="00D30024"/>
    <w:rPr>
      <w:color w:val="0000FF"/>
      <w:u w:val="single"/>
    </w:rPr>
  </w:style>
  <w:style w:type="character" w:customStyle="1" w:styleId="Heading2Char">
    <w:name w:val="Heading 2 Char"/>
    <w:basedOn w:val="DefaultParagraphFont"/>
    <w:link w:val="Heading2"/>
    <w:rsid w:val="00245EF1"/>
    <w:rPr>
      <w:rFonts w:eastAsiaTheme="majorEastAsia" w:cstheme="majorBidi"/>
      <w:bCs/>
      <w:i/>
      <w:sz w:val="24"/>
      <w:szCs w:val="26"/>
    </w:rPr>
  </w:style>
  <w:style w:type="character" w:customStyle="1" w:styleId="Heading3Char">
    <w:name w:val="Heading 3 Char"/>
    <w:basedOn w:val="DefaultParagraphFont"/>
    <w:link w:val="Heading3"/>
    <w:rsid w:val="000A4401"/>
    <w:rPr>
      <w:rFonts w:eastAsiaTheme="majorEastAsia" w:cstheme="majorBidi"/>
      <w:bCs/>
      <w:caps/>
      <w:sz w:val="24"/>
      <w:szCs w:val="24"/>
    </w:rPr>
  </w:style>
  <w:style w:type="paragraph" w:styleId="FootnoteText">
    <w:name w:val="footnote text"/>
    <w:basedOn w:val="Normal"/>
    <w:link w:val="FootnoteTextChar"/>
    <w:uiPriority w:val="99"/>
    <w:unhideWhenUsed/>
    <w:qFormat/>
    <w:rsid w:val="009C44E3"/>
    <w:pPr>
      <w:tabs>
        <w:tab w:val="clear" w:pos="1134"/>
      </w:tabs>
      <w:spacing w:line="240" w:lineRule="auto"/>
    </w:pPr>
    <w:rPr>
      <w:rFonts w:eastAsiaTheme="minorHAnsi" w:cstheme="minorBidi"/>
      <w:sz w:val="20"/>
      <w:lang w:val="en-US" w:eastAsia="en-US"/>
    </w:rPr>
  </w:style>
  <w:style w:type="character" w:customStyle="1" w:styleId="FootnoteTextChar">
    <w:name w:val="Footnote Text Char"/>
    <w:basedOn w:val="DefaultParagraphFont"/>
    <w:link w:val="FootnoteText"/>
    <w:uiPriority w:val="99"/>
    <w:rsid w:val="009C44E3"/>
    <w:rPr>
      <w:rFonts w:eastAsiaTheme="minorHAnsi" w:cstheme="minorBidi"/>
      <w:szCs w:val="24"/>
      <w:lang w:val="en-US" w:eastAsia="en-US"/>
    </w:rPr>
  </w:style>
  <w:style w:type="character" w:styleId="FootnoteReference">
    <w:name w:val="footnote reference"/>
    <w:basedOn w:val="DefaultParagraphFont"/>
    <w:uiPriority w:val="99"/>
    <w:unhideWhenUsed/>
    <w:rsid w:val="009C44E3"/>
    <w:rPr>
      <w:vertAlign w:val="superscript"/>
    </w:rPr>
  </w:style>
  <w:style w:type="character" w:styleId="PlaceholderText">
    <w:name w:val="Placeholder Text"/>
    <w:basedOn w:val="DefaultParagraphFont"/>
    <w:uiPriority w:val="99"/>
    <w:semiHidden/>
    <w:rsid w:val="00496D4D"/>
    <w:rPr>
      <w:color w:val="808080"/>
    </w:rPr>
  </w:style>
  <w:style w:type="character" w:styleId="FollowedHyperlink">
    <w:name w:val="FollowedHyperlink"/>
    <w:basedOn w:val="DefaultParagraphFont"/>
    <w:rsid w:val="0070747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599172">
      <w:bodyDiv w:val="1"/>
      <w:marLeft w:val="0"/>
      <w:marRight w:val="0"/>
      <w:marTop w:val="0"/>
      <w:marBottom w:val="0"/>
      <w:divBdr>
        <w:top w:val="none" w:sz="0" w:space="0" w:color="auto"/>
        <w:left w:val="none" w:sz="0" w:space="0" w:color="auto"/>
        <w:bottom w:val="none" w:sz="0" w:space="0" w:color="auto"/>
        <w:right w:val="none" w:sz="0" w:space="0" w:color="auto"/>
      </w:divBdr>
    </w:div>
    <w:div w:id="1260413426">
      <w:bodyDiv w:val="1"/>
      <w:marLeft w:val="0"/>
      <w:marRight w:val="0"/>
      <w:marTop w:val="0"/>
      <w:marBottom w:val="0"/>
      <w:divBdr>
        <w:top w:val="none" w:sz="0" w:space="0" w:color="auto"/>
        <w:left w:val="none" w:sz="0" w:space="0" w:color="auto"/>
        <w:bottom w:val="none" w:sz="0" w:space="0" w:color="auto"/>
        <w:right w:val="none" w:sz="0" w:space="0" w:color="auto"/>
      </w:divBdr>
    </w:div>
    <w:div w:id="1580283224">
      <w:bodyDiv w:val="1"/>
      <w:marLeft w:val="10"/>
      <w:marRight w:val="10"/>
      <w:marTop w:val="10"/>
      <w:marBottom w:val="10"/>
      <w:divBdr>
        <w:top w:val="none" w:sz="0" w:space="0" w:color="auto"/>
        <w:left w:val="none" w:sz="0" w:space="0" w:color="auto"/>
        <w:bottom w:val="none" w:sz="0" w:space="0" w:color="auto"/>
        <w:right w:val="none" w:sz="0" w:space="0" w:color="auto"/>
      </w:divBdr>
    </w:div>
    <w:div w:id="1669360824">
      <w:bodyDiv w:val="1"/>
      <w:marLeft w:val="10"/>
      <w:marRight w:val="10"/>
      <w:marTop w:val="10"/>
      <w:marBottom w:val="1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DA6FB5-31F8-4B1B-A596-B9E3436ED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41</Pages>
  <Words>7686</Words>
  <Characters>43814</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David Campbell</vt:lpstr>
    </vt:vector>
  </TitlesOfParts>
  <Company>University of Durham</Company>
  <LinksUpToDate>false</LinksUpToDate>
  <CharactersWithSpaces>51398</CharactersWithSpaces>
  <SharedDoc>false</SharedDoc>
  <HLinks>
    <vt:vector size="6" baseType="variant">
      <vt:variant>
        <vt:i4>5439567</vt:i4>
      </vt:variant>
      <vt:variant>
        <vt:i4>18</vt:i4>
      </vt:variant>
      <vt:variant>
        <vt:i4>0</vt:i4>
      </vt:variant>
      <vt:variant>
        <vt:i4>5</vt:i4>
      </vt:variant>
      <vt:variant>
        <vt:lpwstr>http://law.bepress.com/cgi/viewcontent.cgi?article=1014&amp;context=alea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David Campbell</dc:title>
  <dc:creator>dla0dc</dc:creator>
  <cp:lastModifiedBy>David Campbell</cp:lastModifiedBy>
  <cp:revision>8</cp:revision>
  <cp:lastPrinted>2014-12-03T19:57:00Z</cp:lastPrinted>
  <dcterms:created xsi:type="dcterms:W3CDTF">2014-12-03T15:07:00Z</dcterms:created>
  <dcterms:modified xsi:type="dcterms:W3CDTF">2014-12-03T22:05:00Z</dcterms:modified>
</cp:coreProperties>
</file>