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39EB9F" w14:textId="0D3BBC22" w:rsidR="003C20E8" w:rsidRPr="00F5600D" w:rsidRDefault="00D456A0" w:rsidP="00F5600D">
      <w:pPr>
        <w:tabs>
          <w:tab w:val="left" w:pos="284"/>
        </w:tabs>
        <w:spacing w:after="0" w:line="240" w:lineRule="auto"/>
        <w:jc w:val="center"/>
        <w:rPr>
          <w:b/>
          <w:sz w:val="24"/>
          <w:szCs w:val="24"/>
        </w:rPr>
      </w:pPr>
      <w:bookmarkStart w:id="0" w:name="_GoBack"/>
      <w:bookmarkEnd w:id="0"/>
      <w:r>
        <w:rPr>
          <w:b/>
          <w:sz w:val="24"/>
          <w:szCs w:val="24"/>
        </w:rPr>
        <w:t>Divergent Evolution in the Law of Torts: Jurisdictional Isolation</w:t>
      </w:r>
      <w:r w:rsidR="00955FA7">
        <w:rPr>
          <w:b/>
          <w:sz w:val="24"/>
          <w:szCs w:val="24"/>
        </w:rPr>
        <w:t>,</w:t>
      </w:r>
      <w:r>
        <w:rPr>
          <w:b/>
          <w:sz w:val="24"/>
          <w:szCs w:val="24"/>
        </w:rPr>
        <w:t xml:space="preserve"> Jurisprudential Divergence </w:t>
      </w:r>
      <w:r w:rsidR="00955FA7">
        <w:rPr>
          <w:b/>
          <w:sz w:val="24"/>
          <w:szCs w:val="24"/>
        </w:rPr>
        <w:t xml:space="preserve">and </w:t>
      </w:r>
      <w:r>
        <w:rPr>
          <w:b/>
          <w:sz w:val="24"/>
          <w:szCs w:val="24"/>
        </w:rPr>
        <w:t xml:space="preserve">Explanatory </w:t>
      </w:r>
      <w:r w:rsidR="00955FA7">
        <w:rPr>
          <w:b/>
          <w:sz w:val="24"/>
          <w:szCs w:val="24"/>
        </w:rPr>
        <w:t xml:space="preserve">Theories </w:t>
      </w:r>
    </w:p>
    <w:p w14:paraId="7C1101BC" w14:textId="77777777" w:rsidR="003C20E8" w:rsidRPr="00F5600D" w:rsidRDefault="003C20E8" w:rsidP="00F5600D">
      <w:pPr>
        <w:tabs>
          <w:tab w:val="left" w:pos="284"/>
        </w:tabs>
        <w:spacing w:after="0" w:line="240" w:lineRule="auto"/>
        <w:jc w:val="center"/>
        <w:rPr>
          <w:sz w:val="24"/>
          <w:szCs w:val="24"/>
        </w:rPr>
      </w:pPr>
    </w:p>
    <w:p w14:paraId="337C745F" w14:textId="77777777" w:rsidR="003C20E8" w:rsidRPr="00F5600D" w:rsidRDefault="003C20E8" w:rsidP="00F5600D">
      <w:pPr>
        <w:tabs>
          <w:tab w:val="left" w:pos="284"/>
        </w:tabs>
        <w:spacing w:after="0" w:line="240" w:lineRule="auto"/>
        <w:jc w:val="center"/>
        <w:rPr>
          <w:sz w:val="24"/>
          <w:szCs w:val="24"/>
        </w:rPr>
      </w:pPr>
      <w:r w:rsidRPr="00F5600D">
        <w:rPr>
          <w:sz w:val="24"/>
          <w:szCs w:val="24"/>
        </w:rPr>
        <w:t>James Goudkamp</w:t>
      </w:r>
      <w:r w:rsidR="00EF64E7" w:rsidRPr="00F5600D">
        <w:rPr>
          <w:rStyle w:val="FootnoteReference"/>
          <w:sz w:val="24"/>
          <w:szCs w:val="24"/>
        </w:rPr>
        <w:footnoteReference w:customMarkFollows="1" w:id="1"/>
        <w:t>*</w:t>
      </w:r>
      <w:r w:rsidRPr="00F5600D">
        <w:rPr>
          <w:sz w:val="24"/>
          <w:szCs w:val="24"/>
        </w:rPr>
        <w:t xml:space="preserve"> and John Murphy</w:t>
      </w:r>
      <w:r w:rsidR="00EF64E7" w:rsidRPr="00F5600D">
        <w:rPr>
          <w:rStyle w:val="FootnoteReference"/>
          <w:sz w:val="24"/>
          <w:szCs w:val="24"/>
        </w:rPr>
        <w:footnoteReference w:customMarkFollows="1" w:id="2"/>
        <w:t>**</w:t>
      </w:r>
    </w:p>
    <w:p w14:paraId="488929B7" w14:textId="77777777" w:rsidR="00AC76B8" w:rsidRPr="00F5600D" w:rsidRDefault="00AC76B8" w:rsidP="00F5600D">
      <w:pPr>
        <w:tabs>
          <w:tab w:val="left" w:pos="284"/>
        </w:tabs>
        <w:spacing w:after="0" w:line="240" w:lineRule="auto"/>
        <w:jc w:val="both"/>
        <w:rPr>
          <w:sz w:val="24"/>
          <w:szCs w:val="24"/>
        </w:rPr>
      </w:pPr>
    </w:p>
    <w:p w14:paraId="51123D14" w14:textId="77777777" w:rsidR="003C20E8" w:rsidRPr="00F5600D" w:rsidRDefault="003C20E8" w:rsidP="00F5600D">
      <w:pPr>
        <w:pStyle w:val="Heading1"/>
      </w:pPr>
      <w:r w:rsidRPr="00F5600D">
        <w:t>1.</w:t>
      </w:r>
      <w:r w:rsidRPr="00F5600D">
        <w:tab/>
        <w:t>Introduction</w:t>
      </w:r>
    </w:p>
    <w:p w14:paraId="43BDFBD0" w14:textId="77777777" w:rsidR="003C20E8" w:rsidRPr="00F5600D" w:rsidRDefault="003C20E8" w:rsidP="00F5600D">
      <w:pPr>
        <w:tabs>
          <w:tab w:val="left" w:pos="284"/>
        </w:tabs>
        <w:spacing w:after="0" w:line="240" w:lineRule="auto"/>
        <w:jc w:val="both"/>
        <w:rPr>
          <w:sz w:val="24"/>
          <w:szCs w:val="24"/>
        </w:rPr>
      </w:pPr>
    </w:p>
    <w:p w14:paraId="6A722257" w14:textId="100438BA" w:rsidR="00EE3776" w:rsidRDefault="003C20E8" w:rsidP="00F5600D">
      <w:pPr>
        <w:tabs>
          <w:tab w:val="left" w:pos="284"/>
        </w:tabs>
        <w:spacing w:after="0" w:line="240" w:lineRule="auto"/>
        <w:jc w:val="both"/>
        <w:rPr>
          <w:sz w:val="24"/>
          <w:szCs w:val="24"/>
        </w:rPr>
      </w:pPr>
      <w:r w:rsidRPr="00F5600D">
        <w:rPr>
          <w:sz w:val="24"/>
          <w:szCs w:val="24"/>
        </w:rPr>
        <w:t>Since the first wave of law-and-economics scholarship in the United States</w:t>
      </w:r>
      <w:r w:rsidR="00767919">
        <w:rPr>
          <w:sz w:val="24"/>
          <w:szCs w:val="24"/>
        </w:rPr>
        <w:t xml:space="preserve"> in the early 1970s</w:t>
      </w:r>
      <w:r w:rsidRPr="00F5600D">
        <w:rPr>
          <w:sz w:val="24"/>
          <w:szCs w:val="24"/>
        </w:rPr>
        <w:t xml:space="preserve">, </w:t>
      </w:r>
      <w:r w:rsidR="00AC76B8" w:rsidRPr="00F5600D">
        <w:rPr>
          <w:sz w:val="24"/>
          <w:szCs w:val="24"/>
        </w:rPr>
        <w:t xml:space="preserve">scholars have spent a tremendous amount of time </w:t>
      </w:r>
      <w:r w:rsidR="00CE2B4F">
        <w:rPr>
          <w:sz w:val="24"/>
          <w:szCs w:val="24"/>
        </w:rPr>
        <w:t xml:space="preserve">trying </w:t>
      </w:r>
      <w:r w:rsidR="00AC76B8" w:rsidRPr="00F5600D">
        <w:rPr>
          <w:sz w:val="24"/>
          <w:szCs w:val="24"/>
        </w:rPr>
        <w:t>to come to grips with tort law from a theoretical perspective</w:t>
      </w:r>
      <w:r w:rsidRPr="00F5600D">
        <w:rPr>
          <w:sz w:val="24"/>
          <w:szCs w:val="24"/>
        </w:rPr>
        <w:t xml:space="preserve">. Richard Posner was on the crest of </w:t>
      </w:r>
      <w:r w:rsidR="008245DA">
        <w:rPr>
          <w:sz w:val="24"/>
          <w:szCs w:val="24"/>
        </w:rPr>
        <w:t xml:space="preserve">that </w:t>
      </w:r>
      <w:r w:rsidRPr="00F5600D">
        <w:rPr>
          <w:sz w:val="24"/>
          <w:szCs w:val="24"/>
        </w:rPr>
        <w:t xml:space="preserve">wave, and his </w:t>
      </w:r>
      <w:r w:rsidR="003C3D93" w:rsidRPr="00F5600D">
        <w:rPr>
          <w:sz w:val="24"/>
          <w:szCs w:val="24"/>
        </w:rPr>
        <w:t xml:space="preserve">voluminous </w:t>
      </w:r>
      <w:r w:rsidRPr="00F5600D">
        <w:rPr>
          <w:sz w:val="24"/>
          <w:szCs w:val="24"/>
        </w:rPr>
        <w:t>writings</w:t>
      </w:r>
      <w:bookmarkStart w:id="1" w:name="_Ref401991544"/>
      <w:r w:rsidRPr="00F5600D">
        <w:rPr>
          <w:rStyle w:val="FootnoteReference"/>
          <w:sz w:val="24"/>
          <w:szCs w:val="24"/>
        </w:rPr>
        <w:footnoteReference w:id="3"/>
      </w:r>
      <w:bookmarkEnd w:id="1"/>
      <w:r w:rsidRPr="00F5600D">
        <w:rPr>
          <w:sz w:val="24"/>
          <w:szCs w:val="24"/>
        </w:rPr>
        <w:t xml:space="preserve"> </w:t>
      </w:r>
      <w:r w:rsidR="008245DA">
        <w:rPr>
          <w:sz w:val="24"/>
          <w:szCs w:val="24"/>
        </w:rPr>
        <w:t xml:space="preserve">revolutionised </w:t>
      </w:r>
      <w:r w:rsidR="00D42AE6">
        <w:rPr>
          <w:sz w:val="24"/>
          <w:szCs w:val="24"/>
        </w:rPr>
        <w:t xml:space="preserve">the </w:t>
      </w:r>
      <w:r w:rsidRPr="00F5600D">
        <w:rPr>
          <w:sz w:val="24"/>
          <w:szCs w:val="24"/>
        </w:rPr>
        <w:t xml:space="preserve">understanding of tort law. </w:t>
      </w:r>
      <w:r w:rsidR="00C62F34">
        <w:rPr>
          <w:sz w:val="24"/>
          <w:szCs w:val="24"/>
        </w:rPr>
        <w:t xml:space="preserve">He contended that tort law </w:t>
      </w:r>
      <w:r w:rsidR="00955FA7">
        <w:rPr>
          <w:sz w:val="24"/>
          <w:szCs w:val="24"/>
        </w:rPr>
        <w:t>(a</w:t>
      </w:r>
      <w:r w:rsidR="00CD654F">
        <w:rPr>
          <w:sz w:val="24"/>
          <w:szCs w:val="24"/>
        </w:rPr>
        <w:t xml:space="preserve">s well as </w:t>
      </w:r>
      <w:r w:rsidR="00955FA7">
        <w:rPr>
          <w:sz w:val="24"/>
          <w:szCs w:val="24"/>
        </w:rPr>
        <w:t xml:space="preserve">the law generally) is </w:t>
      </w:r>
      <w:r w:rsidR="00C62F34">
        <w:rPr>
          <w:sz w:val="24"/>
          <w:szCs w:val="24"/>
        </w:rPr>
        <w:t>best explained</w:t>
      </w:r>
      <w:r w:rsidR="00524171">
        <w:rPr>
          <w:sz w:val="24"/>
          <w:szCs w:val="24"/>
        </w:rPr>
        <w:t xml:space="preserve"> on the ground that it maximises</w:t>
      </w:r>
      <w:r w:rsidR="00C62F34">
        <w:rPr>
          <w:sz w:val="24"/>
          <w:szCs w:val="24"/>
        </w:rPr>
        <w:t xml:space="preserve"> societal wealth. </w:t>
      </w:r>
      <w:r w:rsidR="00524171">
        <w:rPr>
          <w:sz w:val="24"/>
          <w:szCs w:val="24"/>
        </w:rPr>
        <w:t>Posner, writing together with William Landes, assert</w:t>
      </w:r>
      <w:r w:rsidR="00CD654F">
        <w:rPr>
          <w:sz w:val="24"/>
          <w:szCs w:val="24"/>
        </w:rPr>
        <w:t xml:space="preserve">ed </w:t>
      </w:r>
      <w:r w:rsidR="00524171">
        <w:rPr>
          <w:sz w:val="24"/>
          <w:szCs w:val="24"/>
        </w:rPr>
        <w:t xml:space="preserve">that </w:t>
      </w:r>
      <w:r w:rsidR="00C62F34">
        <w:rPr>
          <w:sz w:val="24"/>
          <w:szCs w:val="24"/>
        </w:rPr>
        <w:t>‘the common law of torts is best explained as if the judges who created the law through decisions operating as precedents in later cases were trying to promote efficient resource allocation’.</w:t>
      </w:r>
      <w:bookmarkStart w:id="2" w:name="_Ref392884538"/>
      <w:r w:rsidR="005E0DD2" w:rsidRPr="00F94B64">
        <w:rPr>
          <w:rStyle w:val="FootnoteReference"/>
          <w:sz w:val="24"/>
          <w:szCs w:val="24"/>
        </w:rPr>
        <w:footnoteReference w:id="4"/>
      </w:r>
      <w:bookmarkEnd w:id="2"/>
      <w:r w:rsidR="00EE3776">
        <w:rPr>
          <w:sz w:val="24"/>
          <w:szCs w:val="24"/>
        </w:rPr>
        <w:t xml:space="preserve"> </w:t>
      </w:r>
      <w:r w:rsidR="00996527" w:rsidRPr="00F5600D">
        <w:rPr>
          <w:sz w:val="24"/>
          <w:szCs w:val="24"/>
        </w:rPr>
        <w:t>Many scholars</w:t>
      </w:r>
      <w:r w:rsidR="00EE3776">
        <w:rPr>
          <w:sz w:val="24"/>
          <w:szCs w:val="24"/>
        </w:rPr>
        <w:t>, especially</w:t>
      </w:r>
      <w:r w:rsidR="00996527" w:rsidRPr="00F5600D">
        <w:rPr>
          <w:sz w:val="24"/>
          <w:szCs w:val="24"/>
        </w:rPr>
        <w:t xml:space="preserve"> </w:t>
      </w:r>
      <w:r w:rsidR="00EE3776">
        <w:rPr>
          <w:sz w:val="24"/>
          <w:szCs w:val="24"/>
        </w:rPr>
        <w:t>in the United States</w:t>
      </w:r>
      <w:r w:rsidR="00AC76B8" w:rsidRPr="00F5600D">
        <w:rPr>
          <w:sz w:val="24"/>
          <w:szCs w:val="24"/>
        </w:rPr>
        <w:t xml:space="preserve">, </w:t>
      </w:r>
      <w:r w:rsidR="00996527" w:rsidRPr="00F5600D">
        <w:rPr>
          <w:sz w:val="24"/>
          <w:szCs w:val="24"/>
        </w:rPr>
        <w:t xml:space="preserve">remain in the thrall of </w:t>
      </w:r>
      <w:r w:rsidR="008245DA">
        <w:rPr>
          <w:sz w:val="24"/>
          <w:szCs w:val="24"/>
        </w:rPr>
        <w:t xml:space="preserve">Posner’s economic </w:t>
      </w:r>
      <w:r w:rsidR="00996527" w:rsidRPr="00F5600D">
        <w:rPr>
          <w:sz w:val="24"/>
          <w:szCs w:val="24"/>
        </w:rPr>
        <w:t>model.</w:t>
      </w:r>
    </w:p>
    <w:p w14:paraId="379C6442" w14:textId="286FB593" w:rsidR="00996527" w:rsidRPr="00F5600D" w:rsidRDefault="00EE3776" w:rsidP="00F5600D">
      <w:pPr>
        <w:tabs>
          <w:tab w:val="left" w:pos="284"/>
        </w:tabs>
        <w:spacing w:after="0" w:line="240" w:lineRule="auto"/>
        <w:jc w:val="both"/>
        <w:rPr>
          <w:sz w:val="24"/>
          <w:szCs w:val="24"/>
        </w:rPr>
      </w:pPr>
      <w:r>
        <w:rPr>
          <w:sz w:val="24"/>
          <w:szCs w:val="24"/>
        </w:rPr>
        <w:tab/>
      </w:r>
      <w:r w:rsidR="003C20E8" w:rsidRPr="00F5600D">
        <w:rPr>
          <w:sz w:val="24"/>
          <w:szCs w:val="24"/>
        </w:rPr>
        <w:t xml:space="preserve">The </w:t>
      </w:r>
      <w:r w:rsidR="00A459BF" w:rsidRPr="00F5600D">
        <w:rPr>
          <w:sz w:val="24"/>
          <w:szCs w:val="24"/>
        </w:rPr>
        <w:t xml:space="preserve">main </w:t>
      </w:r>
      <w:r w:rsidR="003C20E8" w:rsidRPr="00F5600D">
        <w:rPr>
          <w:sz w:val="24"/>
          <w:szCs w:val="24"/>
        </w:rPr>
        <w:t xml:space="preserve">reaction to </w:t>
      </w:r>
      <w:r>
        <w:rPr>
          <w:sz w:val="24"/>
          <w:szCs w:val="24"/>
        </w:rPr>
        <w:t xml:space="preserve">Posner’s </w:t>
      </w:r>
      <w:r w:rsidR="00A459BF" w:rsidRPr="00F5600D">
        <w:rPr>
          <w:sz w:val="24"/>
          <w:szCs w:val="24"/>
        </w:rPr>
        <w:t xml:space="preserve">account </w:t>
      </w:r>
      <w:r w:rsidR="003C20E8" w:rsidRPr="00F5600D">
        <w:rPr>
          <w:sz w:val="24"/>
          <w:szCs w:val="24"/>
        </w:rPr>
        <w:t xml:space="preserve">of tort law </w:t>
      </w:r>
      <w:r w:rsidR="00A459BF" w:rsidRPr="00F5600D">
        <w:rPr>
          <w:sz w:val="24"/>
          <w:szCs w:val="24"/>
        </w:rPr>
        <w:t xml:space="preserve">began in </w:t>
      </w:r>
      <w:r w:rsidR="003C20E8" w:rsidRPr="00F5600D">
        <w:rPr>
          <w:sz w:val="24"/>
          <w:szCs w:val="24"/>
        </w:rPr>
        <w:t>the 1990s</w:t>
      </w:r>
      <w:r>
        <w:rPr>
          <w:sz w:val="24"/>
          <w:szCs w:val="24"/>
        </w:rPr>
        <w:t>. A</w:t>
      </w:r>
      <w:r w:rsidR="003D5268" w:rsidRPr="00F5600D">
        <w:rPr>
          <w:sz w:val="24"/>
          <w:szCs w:val="24"/>
        </w:rPr>
        <w:t xml:space="preserve">t the forefront of this reaction was </w:t>
      </w:r>
      <w:r w:rsidR="003C20E8" w:rsidRPr="00F5600D">
        <w:rPr>
          <w:sz w:val="24"/>
          <w:szCs w:val="24"/>
        </w:rPr>
        <w:t xml:space="preserve">Ernest Weinrib, who in 1995 published his ground-breaking </w:t>
      </w:r>
      <w:r w:rsidR="003C20E8" w:rsidRPr="00F5600D">
        <w:rPr>
          <w:i/>
          <w:sz w:val="24"/>
          <w:szCs w:val="24"/>
        </w:rPr>
        <w:t>The Idea of Private Law</w:t>
      </w:r>
      <w:bookmarkStart w:id="3" w:name="_Ref401991555"/>
      <w:r w:rsidR="00F2183A">
        <w:rPr>
          <w:sz w:val="24"/>
          <w:szCs w:val="24"/>
        </w:rPr>
        <w:t>.</w:t>
      </w:r>
      <w:r w:rsidR="003C20E8" w:rsidRPr="00F5600D">
        <w:rPr>
          <w:rStyle w:val="FootnoteReference"/>
          <w:sz w:val="24"/>
          <w:szCs w:val="24"/>
        </w:rPr>
        <w:footnoteReference w:id="5"/>
      </w:r>
      <w:bookmarkEnd w:id="3"/>
      <w:r w:rsidR="003C20E8" w:rsidRPr="00F5600D">
        <w:rPr>
          <w:sz w:val="24"/>
          <w:szCs w:val="24"/>
        </w:rPr>
        <w:t xml:space="preserve"> </w:t>
      </w:r>
      <w:r w:rsidR="00F2183A">
        <w:rPr>
          <w:sz w:val="24"/>
          <w:szCs w:val="24"/>
        </w:rPr>
        <w:t xml:space="preserve">In this book Weinrib </w:t>
      </w:r>
      <w:r w:rsidR="003C20E8" w:rsidRPr="00F5600D">
        <w:rPr>
          <w:sz w:val="24"/>
          <w:szCs w:val="24"/>
        </w:rPr>
        <w:t xml:space="preserve">attacked functionalist theories of </w:t>
      </w:r>
      <w:r w:rsidR="00576B58">
        <w:rPr>
          <w:sz w:val="24"/>
          <w:szCs w:val="24"/>
        </w:rPr>
        <w:t xml:space="preserve">private law, and of </w:t>
      </w:r>
      <w:r w:rsidR="003C20E8" w:rsidRPr="00F5600D">
        <w:rPr>
          <w:sz w:val="24"/>
          <w:szCs w:val="24"/>
        </w:rPr>
        <w:t>tort law</w:t>
      </w:r>
      <w:r w:rsidR="00576B58">
        <w:rPr>
          <w:sz w:val="24"/>
          <w:szCs w:val="24"/>
        </w:rPr>
        <w:t xml:space="preserve"> in particular</w:t>
      </w:r>
      <w:r w:rsidR="003C20E8" w:rsidRPr="00F5600D">
        <w:rPr>
          <w:sz w:val="24"/>
          <w:szCs w:val="24"/>
        </w:rPr>
        <w:t xml:space="preserve">. </w:t>
      </w:r>
      <w:r w:rsidR="00996527" w:rsidRPr="00F5600D">
        <w:rPr>
          <w:sz w:val="24"/>
          <w:szCs w:val="24"/>
        </w:rPr>
        <w:t xml:space="preserve">Posner’s economic theory was Weinrib’s principal target. </w:t>
      </w:r>
      <w:r w:rsidR="00576B58">
        <w:rPr>
          <w:sz w:val="24"/>
          <w:szCs w:val="24"/>
        </w:rPr>
        <w:t xml:space="preserve">Following the assault on Posner’s account, Weinrib proposed a non-functionalist explanation of tort law based on the idea of corrective justice. </w:t>
      </w:r>
      <w:r w:rsidR="003C20E8" w:rsidRPr="00F5600D">
        <w:rPr>
          <w:sz w:val="24"/>
          <w:szCs w:val="24"/>
        </w:rPr>
        <w:t>Many other writers have joined this attack</w:t>
      </w:r>
      <w:r w:rsidR="00AC76B8" w:rsidRPr="00F5600D">
        <w:rPr>
          <w:sz w:val="24"/>
          <w:szCs w:val="24"/>
        </w:rPr>
        <w:t xml:space="preserve"> on Posner’s treatment of tort law</w:t>
      </w:r>
      <w:r w:rsidR="003C20E8" w:rsidRPr="00F5600D">
        <w:rPr>
          <w:sz w:val="24"/>
          <w:szCs w:val="24"/>
        </w:rPr>
        <w:t xml:space="preserve">, </w:t>
      </w:r>
      <w:r w:rsidR="00A459BF" w:rsidRPr="00F5600D">
        <w:rPr>
          <w:sz w:val="24"/>
          <w:szCs w:val="24"/>
        </w:rPr>
        <w:t>although the attacks have not all come from the same direction as Weinrib’s</w:t>
      </w:r>
      <w:r w:rsidR="003C20E8" w:rsidRPr="00F5600D">
        <w:rPr>
          <w:sz w:val="24"/>
          <w:szCs w:val="24"/>
        </w:rPr>
        <w:t>. These writers include Robert Stevens</w:t>
      </w:r>
      <w:bookmarkStart w:id="4" w:name="_Ref401991563"/>
      <w:r w:rsidR="003C20E8" w:rsidRPr="00F5600D">
        <w:rPr>
          <w:rStyle w:val="FootnoteReference"/>
          <w:sz w:val="24"/>
          <w:szCs w:val="24"/>
        </w:rPr>
        <w:footnoteReference w:id="6"/>
      </w:r>
      <w:bookmarkEnd w:id="4"/>
      <w:r w:rsidR="003C20E8" w:rsidRPr="00F5600D">
        <w:rPr>
          <w:sz w:val="24"/>
          <w:szCs w:val="24"/>
        </w:rPr>
        <w:t xml:space="preserve"> and John Goldberg and Ben</w:t>
      </w:r>
      <w:r w:rsidR="00175662">
        <w:rPr>
          <w:sz w:val="24"/>
          <w:szCs w:val="24"/>
        </w:rPr>
        <w:t>jamin</w:t>
      </w:r>
      <w:r w:rsidR="003C20E8" w:rsidRPr="00F5600D">
        <w:rPr>
          <w:sz w:val="24"/>
          <w:szCs w:val="24"/>
        </w:rPr>
        <w:t xml:space="preserve"> Zipursky.</w:t>
      </w:r>
      <w:r w:rsidR="00996527" w:rsidRPr="00F5600D">
        <w:rPr>
          <w:rStyle w:val="FootnoteReference"/>
          <w:sz w:val="24"/>
          <w:szCs w:val="24"/>
        </w:rPr>
        <w:footnoteReference w:id="7"/>
      </w:r>
      <w:r w:rsidR="003C20E8" w:rsidRPr="00F5600D">
        <w:rPr>
          <w:sz w:val="24"/>
          <w:szCs w:val="24"/>
        </w:rPr>
        <w:t xml:space="preserve"> </w:t>
      </w:r>
      <w:r>
        <w:rPr>
          <w:sz w:val="24"/>
          <w:szCs w:val="24"/>
        </w:rPr>
        <w:t xml:space="preserve">As is the case with Weinrib, these other scholars are in large part concerned to demonstrate that Posner’s explanation of tort law is unable to account for large swathes of tort law and is hence unconvincing. </w:t>
      </w:r>
      <w:r w:rsidR="00576B58">
        <w:rPr>
          <w:sz w:val="24"/>
          <w:szCs w:val="24"/>
        </w:rPr>
        <w:t>Like Weinrib, they also propose non-fun</w:t>
      </w:r>
      <w:r w:rsidR="00C132D0">
        <w:rPr>
          <w:sz w:val="24"/>
          <w:szCs w:val="24"/>
        </w:rPr>
        <w:t>ctionalist accounts of tort law, although their accounts are phrased in terms of rights rather than corrective justice.</w:t>
      </w:r>
      <w:r w:rsidR="00705785">
        <w:rPr>
          <w:sz w:val="24"/>
          <w:szCs w:val="24"/>
        </w:rPr>
        <w:t xml:space="preserve"> </w:t>
      </w:r>
    </w:p>
    <w:p w14:paraId="05BF0D19" w14:textId="4AB40989" w:rsidR="00081494" w:rsidRPr="00F5600D" w:rsidRDefault="00996527" w:rsidP="00F5600D">
      <w:pPr>
        <w:tabs>
          <w:tab w:val="left" w:pos="284"/>
        </w:tabs>
        <w:spacing w:after="0" w:line="240" w:lineRule="auto"/>
        <w:jc w:val="both"/>
        <w:rPr>
          <w:sz w:val="24"/>
          <w:szCs w:val="24"/>
        </w:rPr>
      </w:pPr>
      <w:r w:rsidRPr="00F5600D">
        <w:rPr>
          <w:sz w:val="24"/>
          <w:szCs w:val="24"/>
        </w:rPr>
        <w:tab/>
        <w:t xml:space="preserve">There are obviously </w:t>
      </w:r>
      <w:r w:rsidR="00B50AEB" w:rsidRPr="00F5600D">
        <w:rPr>
          <w:sz w:val="24"/>
          <w:szCs w:val="24"/>
        </w:rPr>
        <w:t>deep</w:t>
      </w:r>
      <w:r w:rsidR="008C7DAA" w:rsidRPr="00F5600D">
        <w:rPr>
          <w:sz w:val="24"/>
          <w:szCs w:val="24"/>
        </w:rPr>
        <w:t>-</w:t>
      </w:r>
      <w:r w:rsidR="003C20E8" w:rsidRPr="00F5600D">
        <w:rPr>
          <w:sz w:val="24"/>
          <w:szCs w:val="24"/>
        </w:rPr>
        <w:t>seated disagreements between</w:t>
      </w:r>
      <w:r w:rsidR="008C7DAA" w:rsidRPr="00F5600D">
        <w:rPr>
          <w:sz w:val="24"/>
          <w:szCs w:val="24"/>
        </w:rPr>
        <w:t xml:space="preserve">, Posner, </w:t>
      </w:r>
      <w:r w:rsidR="004A2640" w:rsidRPr="00F5600D">
        <w:rPr>
          <w:sz w:val="24"/>
          <w:szCs w:val="24"/>
        </w:rPr>
        <w:t xml:space="preserve">on the one hand, </w:t>
      </w:r>
      <w:r w:rsidR="008C7DAA" w:rsidRPr="00F5600D">
        <w:rPr>
          <w:sz w:val="24"/>
          <w:szCs w:val="24"/>
        </w:rPr>
        <w:t xml:space="preserve">and Weinrib, Stevens and Goldberg and Zipursky, </w:t>
      </w:r>
      <w:r w:rsidR="00264D83" w:rsidRPr="00F5600D">
        <w:rPr>
          <w:sz w:val="24"/>
          <w:szCs w:val="24"/>
        </w:rPr>
        <w:t>on the other</w:t>
      </w:r>
      <w:r w:rsidR="00576B58">
        <w:rPr>
          <w:sz w:val="24"/>
          <w:szCs w:val="24"/>
        </w:rPr>
        <w:t xml:space="preserve"> hand</w:t>
      </w:r>
      <w:r w:rsidR="00175662">
        <w:rPr>
          <w:sz w:val="24"/>
          <w:szCs w:val="24"/>
        </w:rPr>
        <w:t>,</w:t>
      </w:r>
      <w:r w:rsidR="00F2183A">
        <w:rPr>
          <w:sz w:val="24"/>
          <w:szCs w:val="24"/>
        </w:rPr>
        <w:t xml:space="preserve"> as to how tort law should be understood.</w:t>
      </w:r>
      <w:r w:rsidR="008C7DAA" w:rsidRPr="00F5600D">
        <w:rPr>
          <w:sz w:val="24"/>
          <w:szCs w:val="24"/>
        </w:rPr>
        <w:t xml:space="preserve"> </w:t>
      </w:r>
      <w:r w:rsidR="00264D83" w:rsidRPr="00F5600D">
        <w:rPr>
          <w:sz w:val="24"/>
          <w:szCs w:val="24"/>
        </w:rPr>
        <w:t>Yet t</w:t>
      </w:r>
      <w:r w:rsidR="008C7DAA" w:rsidRPr="00F5600D">
        <w:rPr>
          <w:sz w:val="24"/>
          <w:szCs w:val="24"/>
        </w:rPr>
        <w:t xml:space="preserve">here are also significant disputes between Weinrib, Stevens and Goldberg and Zipursky. These disputes </w:t>
      </w:r>
      <w:r w:rsidR="00264D83" w:rsidRPr="00F5600D">
        <w:rPr>
          <w:sz w:val="24"/>
          <w:szCs w:val="24"/>
        </w:rPr>
        <w:t xml:space="preserve">even include the question of </w:t>
      </w:r>
      <w:r w:rsidR="008C7DAA" w:rsidRPr="00F5600D">
        <w:rPr>
          <w:sz w:val="24"/>
          <w:szCs w:val="24"/>
        </w:rPr>
        <w:t xml:space="preserve">whether their </w:t>
      </w:r>
      <w:r w:rsidR="00264D83" w:rsidRPr="00F5600D">
        <w:rPr>
          <w:sz w:val="24"/>
          <w:szCs w:val="24"/>
        </w:rPr>
        <w:t xml:space="preserve">respective </w:t>
      </w:r>
      <w:r w:rsidR="008C7DAA" w:rsidRPr="00F5600D">
        <w:rPr>
          <w:sz w:val="24"/>
          <w:szCs w:val="24"/>
        </w:rPr>
        <w:t xml:space="preserve">theories are </w:t>
      </w:r>
      <w:r w:rsidR="009208C3">
        <w:rPr>
          <w:sz w:val="24"/>
          <w:szCs w:val="24"/>
        </w:rPr>
        <w:t xml:space="preserve">materially </w:t>
      </w:r>
      <w:bookmarkStart w:id="5" w:name="_Ref401991675"/>
      <w:r w:rsidR="00276284">
        <w:rPr>
          <w:sz w:val="24"/>
          <w:szCs w:val="24"/>
        </w:rPr>
        <w:t>different from each other, and if they are different, the respects in which they are different.</w:t>
      </w:r>
      <w:r w:rsidR="008C7DAA" w:rsidRPr="00F5600D">
        <w:rPr>
          <w:rStyle w:val="FootnoteReference"/>
          <w:sz w:val="24"/>
          <w:szCs w:val="24"/>
        </w:rPr>
        <w:footnoteReference w:id="8"/>
      </w:r>
      <w:bookmarkEnd w:id="5"/>
      <w:r w:rsidR="008C7DAA" w:rsidRPr="00F5600D">
        <w:rPr>
          <w:sz w:val="24"/>
          <w:szCs w:val="24"/>
        </w:rPr>
        <w:t xml:space="preserve"> </w:t>
      </w:r>
      <w:r w:rsidRPr="00F5600D">
        <w:rPr>
          <w:sz w:val="24"/>
          <w:szCs w:val="24"/>
        </w:rPr>
        <w:t xml:space="preserve">However, there are also several things that </w:t>
      </w:r>
      <w:r w:rsidR="008C7DAA" w:rsidRPr="00F5600D">
        <w:rPr>
          <w:sz w:val="24"/>
          <w:szCs w:val="24"/>
        </w:rPr>
        <w:t xml:space="preserve">all </w:t>
      </w:r>
      <w:r w:rsidR="00A459BF" w:rsidRPr="00F5600D">
        <w:rPr>
          <w:sz w:val="24"/>
          <w:szCs w:val="24"/>
        </w:rPr>
        <w:t xml:space="preserve">five of </w:t>
      </w:r>
      <w:r w:rsidR="008C7DAA" w:rsidRPr="00F5600D">
        <w:rPr>
          <w:sz w:val="24"/>
          <w:szCs w:val="24"/>
        </w:rPr>
        <w:t xml:space="preserve">these theorists have in </w:t>
      </w:r>
      <w:r w:rsidRPr="00F5600D">
        <w:rPr>
          <w:sz w:val="24"/>
          <w:szCs w:val="24"/>
        </w:rPr>
        <w:t xml:space="preserve">common. </w:t>
      </w:r>
      <w:r w:rsidR="003C20E8" w:rsidRPr="00F5600D">
        <w:rPr>
          <w:sz w:val="24"/>
          <w:szCs w:val="24"/>
        </w:rPr>
        <w:t xml:space="preserve">First, they are all offering </w:t>
      </w:r>
      <w:r w:rsidR="003C20E8" w:rsidRPr="00F5600D">
        <w:rPr>
          <w:i/>
          <w:sz w:val="24"/>
          <w:szCs w:val="24"/>
        </w:rPr>
        <w:t xml:space="preserve">explanatory </w:t>
      </w:r>
      <w:r w:rsidRPr="00F5600D">
        <w:rPr>
          <w:sz w:val="24"/>
          <w:szCs w:val="24"/>
        </w:rPr>
        <w:t>theories of tort law</w:t>
      </w:r>
      <w:r w:rsidR="003C20E8" w:rsidRPr="00F5600D">
        <w:rPr>
          <w:sz w:val="24"/>
          <w:szCs w:val="24"/>
        </w:rPr>
        <w:t xml:space="preserve">. They are all, in other words, offering a model of tort law that they </w:t>
      </w:r>
      <w:r w:rsidR="008C7DAA" w:rsidRPr="00F5600D">
        <w:rPr>
          <w:sz w:val="24"/>
          <w:szCs w:val="24"/>
        </w:rPr>
        <w:t xml:space="preserve">claim </w:t>
      </w:r>
      <w:r w:rsidR="003C20E8" w:rsidRPr="00F5600D">
        <w:rPr>
          <w:sz w:val="24"/>
          <w:szCs w:val="24"/>
        </w:rPr>
        <w:t xml:space="preserve">enables it to be understood as it presently </w:t>
      </w:r>
      <w:r w:rsidR="003C20E8" w:rsidRPr="00F5600D">
        <w:rPr>
          <w:sz w:val="24"/>
          <w:szCs w:val="24"/>
        </w:rPr>
        <w:lastRenderedPageBreak/>
        <w:t>exists.</w:t>
      </w:r>
      <w:bookmarkStart w:id="6" w:name="_Ref409271053"/>
      <w:r w:rsidR="00D77114" w:rsidRPr="00F5600D">
        <w:rPr>
          <w:rStyle w:val="FootnoteReference"/>
          <w:sz w:val="24"/>
          <w:szCs w:val="24"/>
        </w:rPr>
        <w:footnoteReference w:id="9"/>
      </w:r>
      <w:bookmarkEnd w:id="6"/>
      <w:r w:rsidR="003C20E8" w:rsidRPr="00F5600D">
        <w:rPr>
          <w:sz w:val="24"/>
          <w:szCs w:val="24"/>
        </w:rPr>
        <w:t xml:space="preserve"> It is true that these scholars, most notably Posner,</w:t>
      </w:r>
      <w:r w:rsidR="008752F8">
        <w:rPr>
          <w:rStyle w:val="FootnoteReference"/>
          <w:sz w:val="24"/>
          <w:szCs w:val="24"/>
        </w:rPr>
        <w:footnoteReference w:id="10"/>
      </w:r>
      <w:r w:rsidR="003C20E8" w:rsidRPr="00F5600D">
        <w:rPr>
          <w:sz w:val="24"/>
          <w:szCs w:val="24"/>
        </w:rPr>
        <w:t xml:space="preserve"> also offer </w:t>
      </w:r>
      <w:r w:rsidR="00D77114">
        <w:rPr>
          <w:sz w:val="24"/>
          <w:szCs w:val="24"/>
        </w:rPr>
        <w:t>blueprints for the law of torts that they believe we should have</w:t>
      </w:r>
      <w:r w:rsidRPr="00F5600D">
        <w:rPr>
          <w:sz w:val="24"/>
          <w:szCs w:val="24"/>
        </w:rPr>
        <w:t>.</w:t>
      </w:r>
      <w:r w:rsidR="003C20E8" w:rsidRPr="00F5600D">
        <w:rPr>
          <w:sz w:val="24"/>
          <w:szCs w:val="24"/>
        </w:rPr>
        <w:t xml:space="preserve"> </w:t>
      </w:r>
      <w:r w:rsidRPr="00F5600D">
        <w:rPr>
          <w:sz w:val="24"/>
          <w:szCs w:val="24"/>
        </w:rPr>
        <w:t>B</w:t>
      </w:r>
      <w:r w:rsidR="003C20E8" w:rsidRPr="00F5600D">
        <w:rPr>
          <w:sz w:val="24"/>
          <w:szCs w:val="24"/>
        </w:rPr>
        <w:t xml:space="preserve">ut </w:t>
      </w:r>
      <w:r w:rsidR="00A459BF" w:rsidRPr="00F5600D">
        <w:rPr>
          <w:sz w:val="24"/>
          <w:szCs w:val="24"/>
        </w:rPr>
        <w:t xml:space="preserve">the fact that they all make prescriptive claims does not mean that </w:t>
      </w:r>
      <w:r w:rsidR="00D77114">
        <w:rPr>
          <w:sz w:val="24"/>
          <w:szCs w:val="24"/>
        </w:rPr>
        <w:t xml:space="preserve">they are not endeavouring to </w:t>
      </w:r>
      <w:r w:rsidR="009208C3">
        <w:rPr>
          <w:sz w:val="24"/>
          <w:szCs w:val="24"/>
        </w:rPr>
        <w:t>explain the law that we currently have</w:t>
      </w:r>
      <w:r w:rsidR="003C20E8" w:rsidRPr="00F5600D">
        <w:rPr>
          <w:sz w:val="24"/>
          <w:szCs w:val="24"/>
        </w:rPr>
        <w:t xml:space="preserve">. </w:t>
      </w:r>
      <w:r w:rsidR="009208C3">
        <w:rPr>
          <w:sz w:val="24"/>
          <w:szCs w:val="24"/>
        </w:rPr>
        <w:t xml:space="preserve">In at least the cases of </w:t>
      </w:r>
      <w:r w:rsidR="008C7DAA" w:rsidRPr="00F5600D">
        <w:rPr>
          <w:sz w:val="24"/>
          <w:szCs w:val="24"/>
        </w:rPr>
        <w:t xml:space="preserve">Weinrib, Stevens and Goldberg and Zipursky, the explanatory </w:t>
      </w:r>
      <w:r w:rsidR="00B50AEB" w:rsidRPr="00F5600D">
        <w:rPr>
          <w:sz w:val="24"/>
          <w:szCs w:val="24"/>
        </w:rPr>
        <w:t xml:space="preserve">part </w:t>
      </w:r>
      <w:r w:rsidR="008C7DAA" w:rsidRPr="00F5600D">
        <w:rPr>
          <w:sz w:val="24"/>
          <w:szCs w:val="24"/>
        </w:rPr>
        <w:t>to their work is clearly the dominant one</w:t>
      </w:r>
      <w:r w:rsidR="00D77114">
        <w:rPr>
          <w:sz w:val="24"/>
          <w:szCs w:val="24"/>
        </w:rPr>
        <w:t>, and they may even be reluctant to admit to making prescriptive claims</w:t>
      </w:r>
      <w:r w:rsidR="008C7DAA" w:rsidRPr="00F5600D">
        <w:rPr>
          <w:sz w:val="24"/>
          <w:szCs w:val="24"/>
        </w:rPr>
        <w:t xml:space="preserve">. </w:t>
      </w:r>
      <w:r w:rsidR="005C35A2" w:rsidRPr="00F5600D">
        <w:rPr>
          <w:sz w:val="24"/>
          <w:szCs w:val="24"/>
        </w:rPr>
        <w:t xml:space="preserve">A </w:t>
      </w:r>
      <w:r w:rsidR="003C20E8" w:rsidRPr="008752F8">
        <w:rPr>
          <w:sz w:val="24"/>
          <w:szCs w:val="24"/>
        </w:rPr>
        <w:t xml:space="preserve">second thing that </w:t>
      </w:r>
      <w:r w:rsidR="00A459BF" w:rsidRPr="008752F8">
        <w:rPr>
          <w:sz w:val="24"/>
          <w:szCs w:val="24"/>
        </w:rPr>
        <w:t xml:space="preserve">all five of </w:t>
      </w:r>
      <w:r w:rsidR="003C20E8" w:rsidRPr="008752F8">
        <w:rPr>
          <w:sz w:val="24"/>
          <w:szCs w:val="24"/>
        </w:rPr>
        <w:t xml:space="preserve">these theorists have in common is </w:t>
      </w:r>
      <w:r w:rsidR="009208C3" w:rsidRPr="008752F8">
        <w:rPr>
          <w:sz w:val="24"/>
          <w:szCs w:val="24"/>
        </w:rPr>
        <w:t xml:space="preserve">the fact </w:t>
      </w:r>
      <w:r w:rsidR="003C20E8" w:rsidRPr="008752F8">
        <w:rPr>
          <w:sz w:val="24"/>
          <w:szCs w:val="24"/>
        </w:rPr>
        <w:t xml:space="preserve">that they are all seeking to explain </w:t>
      </w:r>
      <w:r w:rsidR="003C20E8" w:rsidRPr="008752F8">
        <w:rPr>
          <w:i/>
          <w:sz w:val="24"/>
          <w:szCs w:val="24"/>
        </w:rPr>
        <w:t>the whole</w:t>
      </w:r>
      <w:r w:rsidR="003C20E8" w:rsidRPr="008752F8">
        <w:rPr>
          <w:sz w:val="24"/>
          <w:szCs w:val="24"/>
        </w:rPr>
        <w:t xml:space="preserve"> of tort law</w:t>
      </w:r>
      <w:r w:rsidR="008C7DAA" w:rsidRPr="008752F8">
        <w:rPr>
          <w:sz w:val="24"/>
          <w:szCs w:val="24"/>
        </w:rPr>
        <w:t xml:space="preserve"> as opposed to just one or </w:t>
      </w:r>
      <w:r w:rsidR="00557013" w:rsidRPr="008752F8">
        <w:rPr>
          <w:sz w:val="24"/>
          <w:szCs w:val="24"/>
        </w:rPr>
        <w:t xml:space="preserve">a </w:t>
      </w:r>
      <w:r w:rsidR="008C7DAA" w:rsidRPr="008752F8">
        <w:rPr>
          <w:sz w:val="24"/>
          <w:szCs w:val="24"/>
        </w:rPr>
        <w:t xml:space="preserve">few </w:t>
      </w:r>
      <w:r w:rsidR="00276284">
        <w:rPr>
          <w:sz w:val="24"/>
          <w:szCs w:val="24"/>
        </w:rPr>
        <w:t xml:space="preserve">parts </w:t>
      </w:r>
      <w:r w:rsidR="008C7DAA" w:rsidRPr="008752F8">
        <w:rPr>
          <w:sz w:val="24"/>
          <w:szCs w:val="24"/>
        </w:rPr>
        <w:t>of it</w:t>
      </w:r>
      <w:r w:rsidR="003C20E8" w:rsidRPr="008752F8">
        <w:rPr>
          <w:sz w:val="24"/>
          <w:szCs w:val="24"/>
        </w:rPr>
        <w:t>.</w:t>
      </w:r>
      <w:r w:rsidR="008752F8" w:rsidRPr="00F5600D">
        <w:rPr>
          <w:rStyle w:val="FootnoteReference"/>
          <w:sz w:val="24"/>
          <w:szCs w:val="24"/>
        </w:rPr>
        <w:footnoteReference w:id="11"/>
      </w:r>
      <w:r w:rsidR="003C20E8" w:rsidRPr="008752F8">
        <w:rPr>
          <w:sz w:val="24"/>
          <w:szCs w:val="24"/>
        </w:rPr>
        <w:t xml:space="preserve"> None of th</w:t>
      </w:r>
      <w:r w:rsidR="00432742" w:rsidRPr="008752F8">
        <w:rPr>
          <w:sz w:val="24"/>
          <w:szCs w:val="24"/>
        </w:rPr>
        <w:t>ese w</w:t>
      </w:r>
      <w:r w:rsidR="00432742" w:rsidRPr="00F5600D">
        <w:rPr>
          <w:sz w:val="24"/>
          <w:szCs w:val="24"/>
        </w:rPr>
        <w:t>riters</w:t>
      </w:r>
      <w:r w:rsidR="003C20E8" w:rsidRPr="00F5600D">
        <w:rPr>
          <w:sz w:val="24"/>
          <w:szCs w:val="24"/>
        </w:rPr>
        <w:t xml:space="preserve"> is </w:t>
      </w:r>
      <w:r w:rsidR="00A459BF" w:rsidRPr="00F5600D">
        <w:rPr>
          <w:sz w:val="24"/>
          <w:szCs w:val="24"/>
        </w:rPr>
        <w:t xml:space="preserve">concerned </w:t>
      </w:r>
      <w:r w:rsidR="003C20E8" w:rsidRPr="00F5600D">
        <w:rPr>
          <w:sz w:val="24"/>
          <w:szCs w:val="24"/>
        </w:rPr>
        <w:t xml:space="preserve">just to explain, for example, the tort </w:t>
      </w:r>
      <w:r w:rsidR="00432742" w:rsidRPr="00F5600D">
        <w:rPr>
          <w:sz w:val="24"/>
          <w:szCs w:val="24"/>
        </w:rPr>
        <w:t>of</w:t>
      </w:r>
      <w:r w:rsidR="003C20E8" w:rsidRPr="00F5600D">
        <w:rPr>
          <w:sz w:val="24"/>
          <w:szCs w:val="24"/>
        </w:rPr>
        <w:t xml:space="preserve"> negligence, strict liability torts or torts that are actionable per se. Thirdly, </w:t>
      </w:r>
      <w:r w:rsidR="00D77114">
        <w:rPr>
          <w:sz w:val="24"/>
          <w:szCs w:val="24"/>
        </w:rPr>
        <w:t xml:space="preserve">all of </w:t>
      </w:r>
      <w:r w:rsidR="003C20E8" w:rsidRPr="00F5600D">
        <w:rPr>
          <w:sz w:val="24"/>
          <w:szCs w:val="24"/>
        </w:rPr>
        <w:t>the</w:t>
      </w:r>
      <w:r w:rsidR="00432742" w:rsidRPr="00F5600D">
        <w:rPr>
          <w:sz w:val="24"/>
          <w:szCs w:val="24"/>
        </w:rPr>
        <w:t>se</w:t>
      </w:r>
      <w:r w:rsidR="003C20E8" w:rsidRPr="00F5600D">
        <w:rPr>
          <w:sz w:val="24"/>
          <w:szCs w:val="24"/>
        </w:rPr>
        <w:t xml:space="preserve"> theorists are concerned to explain tort law not just in one </w:t>
      </w:r>
      <w:r w:rsidR="00026384" w:rsidRPr="00F5600D">
        <w:rPr>
          <w:sz w:val="24"/>
          <w:szCs w:val="24"/>
        </w:rPr>
        <w:t>jurisdiction</w:t>
      </w:r>
      <w:r w:rsidRPr="00F5600D">
        <w:rPr>
          <w:sz w:val="24"/>
          <w:szCs w:val="24"/>
        </w:rPr>
        <w:t xml:space="preserve"> but in at least </w:t>
      </w:r>
      <w:r w:rsidR="0015221B">
        <w:rPr>
          <w:sz w:val="24"/>
          <w:szCs w:val="24"/>
        </w:rPr>
        <w:t xml:space="preserve">all of </w:t>
      </w:r>
      <w:r w:rsidRPr="00F5600D">
        <w:rPr>
          <w:sz w:val="24"/>
          <w:szCs w:val="24"/>
        </w:rPr>
        <w:t>the major common law jurisdictions</w:t>
      </w:r>
      <w:r w:rsidR="00026384" w:rsidRPr="00F5600D">
        <w:rPr>
          <w:sz w:val="24"/>
          <w:szCs w:val="24"/>
        </w:rPr>
        <w:t xml:space="preserve">. </w:t>
      </w:r>
      <w:r w:rsidR="00D77114">
        <w:rPr>
          <w:sz w:val="24"/>
          <w:szCs w:val="24"/>
        </w:rPr>
        <w:t>T</w:t>
      </w:r>
      <w:r w:rsidR="00A459BF" w:rsidRPr="00F5600D">
        <w:rPr>
          <w:sz w:val="24"/>
          <w:szCs w:val="24"/>
        </w:rPr>
        <w:t xml:space="preserve">hey intend their </w:t>
      </w:r>
      <w:r w:rsidR="00026384" w:rsidRPr="00F5600D">
        <w:rPr>
          <w:sz w:val="24"/>
          <w:szCs w:val="24"/>
        </w:rPr>
        <w:t xml:space="preserve">theories to be relevant across jurisdictional boundaries. </w:t>
      </w:r>
      <w:r w:rsidR="00081494" w:rsidRPr="00F5600D">
        <w:rPr>
          <w:sz w:val="24"/>
          <w:szCs w:val="24"/>
        </w:rPr>
        <w:t xml:space="preserve">Sometimes this is said expressly. Stevens, for example, contends that </w:t>
      </w:r>
      <w:r w:rsidR="005C35A2" w:rsidRPr="00F5600D">
        <w:rPr>
          <w:sz w:val="24"/>
          <w:szCs w:val="24"/>
        </w:rPr>
        <w:t xml:space="preserve">his </w:t>
      </w:r>
      <w:r w:rsidR="00175662">
        <w:rPr>
          <w:sz w:val="24"/>
          <w:szCs w:val="24"/>
        </w:rPr>
        <w:t xml:space="preserve">book </w:t>
      </w:r>
      <w:r w:rsidR="005C35A2" w:rsidRPr="00F5600D">
        <w:rPr>
          <w:i/>
          <w:sz w:val="24"/>
          <w:szCs w:val="24"/>
        </w:rPr>
        <w:t xml:space="preserve">Torts and Rights </w:t>
      </w:r>
      <w:r w:rsidR="00081494" w:rsidRPr="00F5600D">
        <w:rPr>
          <w:sz w:val="24"/>
          <w:szCs w:val="24"/>
        </w:rPr>
        <w:t xml:space="preserve">‘would </w:t>
      </w:r>
      <w:r w:rsidR="005C35A2" w:rsidRPr="00F5600D">
        <w:rPr>
          <w:sz w:val="24"/>
          <w:szCs w:val="24"/>
        </w:rPr>
        <w:t xml:space="preserve">[have] </w:t>
      </w:r>
      <w:r w:rsidR="00081494" w:rsidRPr="00F5600D">
        <w:rPr>
          <w:color w:val="000000"/>
          <w:sz w:val="24"/>
          <w:szCs w:val="24"/>
          <w:shd w:val="clear" w:color="auto" w:fill="FFFFFF"/>
        </w:rPr>
        <w:t>look</w:t>
      </w:r>
      <w:r w:rsidR="005C35A2" w:rsidRPr="00F5600D">
        <w:rPr>
          <w:color w:val="000000"/>
          <w:sz w:val="24"/>
          <w:szCs w:val="24"/>
          <w:shd w:val="clear" w:color="auto" w:fill="FFFFFF"/>
        </w:rPr>
        <w:t>[ed]</w:t>
      </w:r>
      <w:r w:rsidR="00081494" w:rsidRPr="00F5600D">
        <w:rPr>
          <w:color w:val="000000"/>
          <w:sz w:val="24"/>
          <w:szCs w:val="24"/>
          <w:shd w:val="clear" w:color="auto" w:fill="FFFFFF"/>
        </w:rPr>
        <w:t xml:space="preserve"> much the same if </w:t>
      </w:r>
      <w:r w:rsidR="005C35A2" w:rsidRPr="00F5600D">
        <w:rPr>
          <w:color w:val="000000"/>
          <w:sz w:val="24"/>
          <w:szCs w:val="24"/>
          <w:shd w:val="clear" w:color="auto" w:fill="FFFFFF"/>
        </w:rPr>
        <w:t xml:space="preserve">[he] </w:t>
      </w:r>
      <w:r w:rsidR="00081494" w:rsidRPr="00F5600D">
        <w:rPr>
          <w:color w:val="000000"/>
          <w:sz w:val="24"/>
          <w:szCs w:val="24"/>
          <w:shd w:val="clear" w:color="auto" w:fill="FFFFFF"/>
        </w:rPr>
        <w:t>had … used the case law of any … common law jurisdiction.</w:t>
      </w:r>
      <w:r w:rsidR="00A459BF" w:rsidRPr="00F5600D">
        <w:rPr>
          <w:color w:val="000000"/>
          <w:sz w:val="24"/>
          <w:szCs w:val="24"/>
          <w:shd w:val="clear" w:color="auto" w:fill="FFFFFF"/>
        </w:rPr>
        <w:t>’</w:t>
      </w:r>
      <w:r w:rsidR="00081494" w:rsidRPr="00F5600D">
        <w:rPr>
          <w:rStyle w:val="FootnoteReference"/>
          <w:color w:val="000000"/>
          <w:sz w:val="24"/>
          <w:szCs w:val="24"/>
          <w:shd w:val="clear" w:color="auto" w:fill="FFFFFF"/>
        </w:rPr>
        <w:footnoteReference w:id="12"/>
      </w:r>
      <w:r w:rsidR="00081494" w:rsidRPr="00F5600D">
        <w:rPr>
          <w:color w:val="000000"/>
          <w:sz w:val="24"/>
          <w:szCs w:val="24"/>
          <w:shd w:val="clear" w:color="auto" w:fill="FFFFFF"/>
        </w:rPr>
        <w:t xml:space="preserve"> </w:t>
      </w:r>
      <w:r w:rsidR="00D77114">
        <w:rPr>
          <w:color w:val="000000"/>
          <w:sz w:val="24"/>
          <w:szCs w:val="24"/>
          <w:shd w:val="clear" w:color="auto" w:fill="FFFFFF"/>
        </w:rPr>
        <w:t>Usually</w:t>
      </w:r>
      <w:r w:rsidR="00081494" w:rsidRPr="00F5600D">
        <w:rPr>
          <w:color w:val="000000"/>
          <w:sz w:val="24"/>
          <w:szCs w:val="24"/>
          <w:shd w:val="clear" w:color="auto" w:fill="FFFFFF"/>
        </w:rPr>
        <w:t xml:space="preserve">, however, the inter-jurisdictional </w:t>
      </w:r>
      <w:r w:rsidR="00B14954" w:rsidRPr="00F5600D">
        <w:rPr>
          <w:color w:val="000000"/>
          <w:sz w:val="24"/>
          <w:szCs w:val="24"/>
          <w:shd w:val="clear" w:color="auto" w:fill="FFFFFF"/>
        </w:rPr>
        <w:t xml:space="preserve">scope </w:t>
      </w:r>
      <w:r w:rsidR="00432742" w:rsidRPr="00F5600D">
        <w:rPr>
          <w:color w:val="000000"/>
          <w:sz w:val="24"/>
          <w:szCs w:val="24"/>
          <w:shd w:val="clear" w:color="auto" w:fill="FFFFFF"/>
        </w:rPr>
        <w:t xml:space="preserve">of the theorists’ claims </w:t>
      </w:r>
      <w:r w:rsidR="00081494" w:rsidRPr="00F5600D">
        <w:rPr>
          <w:color w:val="000000"/>
          <w:sz w:val="24"/>
          <w:szCs w:val="24"/>
          <w:shd w:val="clear" w:color="auto" w:fill="FFFFFF"/>
        </w:rPr>
        <w:t xml:space="preserve">is </w:t>
      </w:r>
      <w:r w:rsidR="00A459BF" w:rsidRPr="00F5600D">
        <w:rPr>
          <w:color w:val="000000"/>
          <w:sz w:val="24"/>
          <w:szCs w:val="24"/>
          <w:shd w:val="clear" w:color="auto" w:fill="FFFFFF"/>
        </w:rPr>
        <w:t xml:space="preserve">implicit, </w:t>
      </w:r>
      <w:r w:rsidR="00175662">
        <w:rPr>
          <w:color w:val="000000"/>
          <w:sz w:val="24"/>
          <w:szCs w:val="24"/>
          <w:shd w:val="clear" w:color="auto" w:fill="FFFFFF"/>
        </w:rPr>
        <w:t xml:space="preserve">for example, </w:t>
      </w:r>
      <w:r w:rsidR="00A459BF" w:rsidRPr="00F5600D">
        <w:rPr>
          <w:color w:val="000000"/>
          <w:sz w:val="24"/>
          <w:szCs w:val="24"/>
          <w:shd w:val="clear" w:color="auto" w:fill="FFFFFF"/>
        </w:rPr>
        <w:t xml:space="preserve">from </w:t>
      </w:r>
      <w:r w:rsidR="00081494" w:rsidRPr="00F5600D">
        <w:rPr>
          <w:color w:val="000000"/>
          <w:sz w:val="24"/>
          <w:szCs w:val="24"/>
          <w:shd w:val="clear" w:color="auto" w:fill="FFFFFF"/>
        </w:rPr>
        <w:t xml:space="preserve">the fact that they cite as evidence in support of their </w:t>
      </w:r>
      <w:r w:rsidR="00A459BF" w:rsidRPr="00F5600D">
        <w:rPr>
          <w:color w:val="000000"/>
          <w:sz w:val="24"/>
          <w:szCs w:val="24"/>
          <w:shd w:val="clear" w:color="auto" w:fill="FFFFFF"/>
        </w:rPr>
        <w:t xml:space="preserve">accounts </w:t>
      </w:r>
      <w:r w:rsidR="00081494" w:rsidRPr="00F5600D">
        <w:rPr>
          <w:color w:val="000000"/>
          <w:sz w:val="24"/>
          <w:szCs w:val="24"/>
          <w:shd w:val="clear" w:color="auto" w:fill="FFFFFF"/>
        </w:rPr>
        <w:t xml:space="preserve">cases from </w:t>
      </w:r>
      <w:r w:rsidR="00BC57E3">
        <w:rPr>
          <w:color w:val="000000"/>
          <w:sz w:val="24"/>
          <w:szCs w:val="24"/>
          <w:shd w:val="clear" w:color="auto" w:fill="FFFFFF"/>
        </w:rPr>
        <w:t xml:space="preserve">several </w:t>
      </w:r>
      <w:r w:rsidR="00081494" w:rsidRPr="00F5600D">
        <w:rPr>
          <w:color w:val="000000"/>
          <w:sz w:val="24"/>
          <w:szCs w:val="24"/>
          <w:shd w:val="clear" w:color="auto" w:fill="FFFFFF"/>
        </w:rPr>
        <w:t>jurisdictions.</w:t>
      </w:r>
      <w:r w:rsidR="00EF64E7" w:rsidRPr="00F5600D">
        <w:rPr>
          <w:rStyle w:val="FootnoteReference"/>
          <w:color w:val="000000"/>
          <w:sz w:val="24"/>
          <w:szCs w:val="24"/>
          <w:shd w:val="clear" w:color="auto" w:fill="FFFFFF"/>
        </w:rPr>
        <w:footnoteReference w:id="13"/>
      </w:r>
      <w:r w:rsidR="00081494" w:rsidRPr="00F5600D">
        <w:rPr>
          <w:color w:val="000000"/>
          <w:sz w:val="24"/>
          <w:szCs w:val="24"/>
          <w:shd w:val="clear" w:color="auto" w:fill="FFFFFF"/>
        </w:rPr>
        <w:t xml:space="preserve"> Regardless of the precise form in which the evidence comes, it is </w:t>
      </w:r>
      <w:r w:rsidR="0015221B">
        <w:rPr>
          <w:color w:val="000000"/>
          <w:sz w:val="24"/>
          <w:szCs w:val="24"/>
          <w:shd w:val="clear" w:color="auto" w:fill="FFFFFF"/>
        </w:rPr>
        <w:t xml:space="preserve">clear </w:t>
      </w:r>
      <w:r w:rsidR="00081494" w:rsidRPr="00F5600D">
        <w:rPr>
          <w:color w:val="000000"/>
          <w:sz w:val="24"/>
          <w:szCs w:val="24"/>
          <w:shd w:val="clear" w:color="auto" w:fill="FFFFFF"/>
        </w:rPr>
        <w:t xml:space="preserve">that the accounts of the theorists in question are all </w:t>
      </w:r>
      <w:r w:rsidR="00081494" w:rsidRPr="00F5600D">
        <w:rPr>
          <w:i/>
          <w:color w:val="000000"/>
          <w:sz w:val="24"/>
          <w:szCs w:val="24"/>
          <w:shd w:val="clear" w:color="auto" w:fill="FFFFFF"/>
        </w:rPr>
        <w:t>universal theories</w:t>
      </w:r>
      <w:r w:rsidR="003A6C97">
        <w:rPr>
          <w:i/>
          <w:color w:val="000000"/>
          <w:sz w:val="24"/>
          <w:szCs w:val="24"/>
          <w:shd w:val="clear" w:color="auto" w:fill="FFFFFF"/>
        </w:rPr>
        <w:t xml:space="preserve"> </w:t>
      </w:r>
      <w:r w:rsidR="00BC57E3">
        <w:rPr>
          <w:color w:val="000000"/>
          <w:sz w:val="24"/>
          <w:szCs w:val="24"/>
          <w:shd w:val="clear" w:color="auto" w:fill="FFFFFF"/>
        </w:rPr>
        <w:t xml:space="preserve">of </w:t>
      </w:r>
      <w:r w:rsidR="00081494" w:rsidRPr="00F5600D">
        <w:rPr>
          <w:color w:val="000000"/>
          <w:sz w:val="24"/>
          <w:szCs w:val="24"/>
          <w:shd w:val="clear" w:color="auto" w:fill="FFFFFF"/>
        </w:rPr>
        <w:t xml:space="preserve">tort law. </w:t>
      </w:r>
    </w:p>
    <w:p w14:paraId="0D6638C0" w14:textId="3D80A395" w:rsidR="00ED0D4B" w:rsidRPr="00F5600D" w:rsidRDefault="00996527" w:rsidP="00F5600D">
      <w:pPr>
        <w:tabs>
          <w:tab w:val="left" w:pos="284"/>
        </w:tabs>
        <w:spacing w:after="0" w:line="240" w:lineRule="auto"/>
        <w:jc w:val="both"/>
        <w:rPr>
          <w:sz w:val="24"/>
          <w:szCs w:val="24"/>
        </w:rPr>
      </w:pPr>
      <w:r w:rsidRPr="00F5600D">
        <w:rPr>
          <w:sz w:val="24"/>
          <w:szCs w:val="24"/>
        </w:rPr>
        <w:tab/>
      </w:r>
      <w:r w:rsidR="00A459BF" w:rsidRPr="00F5600D">
        <w:rPr>
          <w:sz w:val="24"/>
          <w:szCs w:val="24"/>
        </w:rPr>
        <w:t>Elsewhere</w:t>
      </w:r>
      <w:r w:rsidR="00026384" w:rsidRPr="00F5600D">
        <w:rPr>
          <w:sz w:val="24"/>
          <w:szCs w:val="24"/>
        </w:rPr>
        <w:t xml:space="preserve">, we have shown </w:t>
      </w:r>
      <w:r w:rsidR="00B14954" w:rsidRPr="00F5600D">
        <w:rPr>
          <w:sz w:val="24"/>
          <w:szCs w:val="24"/>
        </w:rPr>
        <w:t xml:space="preserve">in much more detail </w:t>
      </w:r>
      <w:r w:rsidR="00026384" w:rsidRPr="00F5600D">
        <w:rPr>
          <w:sz w:val="24"/>
          <w:szCs w:val="24"/>
        </w:rPr>
        <w:t xml:space="preserve">why it is appropriate to understand </w:t>
      </w:r>
      <w:r w:rsidR="006C7D6A" w:rsidRPr="00F5600D">
        <w:rPr>
          <w:sz w:val="24"/>
          <w:szCs w:val="24"/>
        </w:rPr>
        <w:t xml:space="preserve">the theories of </w:t>
      </w:r>
      <w:r w:rsidR="00026384" w:rsidRPr="00F5600D">
        <w:rPr>
          <w:sz w:val="24"/>
          <w:szCs w:val="24"/>
        </w:rPr>
        <w:t xml:space="preserve">Posner, </w:t>
      </w:r>
      <w:r w:rsidR="00FB50B0" w:rsidRPr="00F5600D">
        <w:rPr>
          <w:sz w:val="24"/>
          <w:szCs w:val="24"/>
        </w:rPr>
        <w:t xml:space="preserve">Weinrib, </w:t>
      </w:r>
      <w:r w:rsidR="00026384" w:rsidRPr="00F5600D">
        <w:rPr>
          <w:sz w:val="24"/>
          <w:szCs w:val="24"/>
        </w:rPr>
        <w:t>Stevens</w:t>
      </w:r>
      <w:r w:rsidR="006C7D6A" w:rsidRPr="00F5600D">
        <w:rPr>
          <w:sz w:val="24"/>
          <w:szCs w:val="24"/>
        </w:rPr>
        <w:t xml:space="preserve"> and</w:t>
      </w:r>
      <w:r w:rsidR="00026384" w:rsidRPr="00F5600D">
        <w:rPr>
          <w:sz w:val="24"/>
          <w:szCs w:val="24"/>
        </w:rPr>
        <w:t xml:space="preserve"> </w:t>
      </w:r>
      <w:r w:rsidR="00FB50B0" w:rsidRPr="00F5600D">
        <w:rPr>
          <w:sz w:val="24"/>
          <w:szCs w:val="24"/>
        </w:rPr>
        <w:t xml:space="preserve">Goldberg and Zipursky </w:t>
      </w:r>
      <w:r w:rsidR="006C7D6A" w:rsidRPr="00F5600D">
        <w:rPr>
          <w:sz w:val="24"/>
          <w:szCs w:val="24"/>
        </w:rPr>
        <w:t>as we have just described them</w:t>
      </w:r>
      <w:r w:rsidR="00DD49DB">
        <w:rPr>
          <w:sz w:val="24"/>
          <w:szCs w:val="24"/>
        </w:rPr>
        <w:t>, namely, as universal explanatory theories of the whole of the law of torts.</w:t>
      </w:r>
      <w:bookmarkStart w:id="7" w:name="_Ref403210304"/>
      <w:r w:rsidR="00081494" w:rsidRPr="00F5600D">
        <w:rPr>
          <w:rStyle w:val="FootnoteReference"/>
          <w:sz w:val="24"/>
          <w:szCs w:val="24"/>
        </w:rPr>
        <w:footnoteReference w:id="14"/>
      </w:r>
      <w:bookmarkEnd w:id="7"/>
      <w:r w:rsidR="00026384" w:rsidRPr="00F5600D">
        <w:rPr>
          <w:sz w:val="24"/>
          <w:szCs w:val="24"/>
        </w:rPr>
        <w:t xml:space="preserve"> </w:t>
      </w:r>
      <w:r w:rsidR="00081494" w:rsidRPr="00F5600D">
        <w:rPr>
          <w:sz w:val="24"/>
          <w:szCs w:val="24"/>
        </w:rPr>
        <w:t>In that work w</w:t>
      </w:r>
      <w:r w:rsidR="00026384" w:rsidRPr="00F5600D">
        <w:rPr>
          <w:sz w:val="24"/>
          <w:szCs w:val="24"/>
        </w:rPr>
        <w:t xml:space="preserve">e have also </w:t>
      </w:r>
      <w:r w:rsidR="00D51EEB" w:rsidRPr="00F5600D">
        <w:rPr>
          <w:sz w:val="24"/>
          <w:szCs w:val="24"/>
        </w:rPr>
        <w:t xml:space="preserve">argued </w:t>
      </w:r>
      <w:r w:rsidR="0015221B">
        <w:rPr>
          <w:sz w:val="24"/>
          <w:szCs w:val="24"/>
        </w:rPr>
        <w:t xml:space="preserve">at length </w:t>
      </w:r>
      <w:r w:rsidR="00026384" w:rsidRPr="00F5600D">
        <w:rPr>
          <w:sz w:val="24"/>
          <w:szCs w:val="24"/>
        </w:rPr>
        <w:t xml:space="preserve">why their exceptionally ambitious claims are overstated. </w:t>
      </w:r>
      <w:r w:rsidR="00CA5AF7">
        <w:rPr>
          <w:sz w:val="24"/>
          <w:szCs w:val="24"/>
        </w:rPr>
        <w:t xml:space="preserve">We incorporate that analysis by reference. Very briefly, however, we </w:t>
      </w:r>
      <w:r w:rsidR="0015221B">
        <w:rPr>
          <w:sz w:val="24"/>
          <w:szCs w:val="24"/>
        </w:rPr>
        <w:t xml:space="preserve">note that the </w:t>
      </w:r>
      <w:r w:rsidR="00081494" w:rsidRPr="00F5600D">
        <w:rPr>
          <w:sz w:val="24"/>
          <w:szCs w:val="24"/>
        </w:rPr>
        <w:t xml:space="preserve">essential reason why </w:t>
      </w:r>
      <w:r w:rsidR="00CA5AF7">
        <w:rPr>
          <w:sz w:val="24"/>
          <w:szCs w:val="24"/>
        </w:rPr>
        <w:t xml:space="preserve">we believe that </w:t>
      </w:r>
      <w:r w:rsidR="00081494" w:rsidRPr="00F5600D">
        <w:rPr>
          <w:sz w:val="24"/>
          <w:szCs w:val="24"/>
        </w:rPr>
        <w:t xml:space="preserve">they are unconvincing is that there </w:t>
      </w:r>
      <w:r w:rsidR="001132C5" w:rsidRPr="00F5600D">
        <w:rPr>
          <w:sz w:val="24"/>
          <w:szCs w:val="24"/>
        </w:rPr>
        <w:t xml:space="preserve">are </w:t>
      </w:r>
      <w:r w:rsidR="006C7D6A" w:rsidRPr="00F5600D">
        <w:rPr>
          <w:sz w:val="24"/>
          <w:szCs w:val="24"/>
        </w:rPr>
        <w:t xml:space="preserve">many important </w:t>
      </w:r>
      <w:r w:rsidRPr="00F5600D">
        <w:rPr>
          <w:sz w:val="24"/>
          <w:szCs w:val="24"/>
        </w:rPr>
        <w:t xml:space="preserve">aspects of tort law </w:t>
      </w:r>
      <w:r w:rsidR="006C7D6A" w:rsidRPr="00F5600D">
        <w:rPr>
          <w:sz w:val="24"/>
          <w:szCs w:val="24"/>
        </w:rPr>
        <w:t xml:space="preserve">that these theories cannot explain within </w:t>
      </w:r>
      <w:r w:rsidR="006C7D6A" w:rsidRPr="00565DA8">
        <w:rPr>
          <w:sz w:val="24"/>
          <w:szCs w:val="24"/>
        </w:rPr>
        <w:t>any given jurisdiction</w:t>
      </w:r>
      <w:r w:rsidR="00034793" w:rsidRPr="00565DA8">
        <w:rPr>
          <w:sz w:val="24"/>
          <w:szCs w:val="24"/>
        </w:rPr>
        <w:t xml:space="preserve">. </w:t>
      </w:r>
      <w:r w:rsidR="00CA5AF7">
        <w:rPr>
          <w:sz w:val="24"/>
          <w:szCs w:val="24"/>
        </w:rPr>
        <w:t xml:space="preserve">The gaps between the law and the theoretical account are significant, both in their number and their size. </w:t>
      </w:r>
      <w:r w:rsidR="00FF0CF4" w:rsidRPr="00565DA8">
        <w:rPr>
          <w:sz w:val="24"/>
          <w:szCs w:val="24"/>
        </w:rPr>
        <w:t xml:space="preserve">This difficulty for the </w:t>
      </w:r>
      <w:r w:rsidR="006C7D6A" w:rsidRPr="00565DA8">
        <w:rPr>
          <w:sz w:val="24"/>
          <w:szCs w:val="24"/>
        </w:rPr>
        <w:t xml:space="preserve">theories </w:t>
      </w:r>
      <w:r w:rsidR="00FF0CF4" w:rsidRPr="00565DA8">
        <w:rPr>
          <w:sz w:val="24"/>
          <w:szCs w:val="24"/>
        </w:rPr>
        <w:t xml:space="preserve">is magnified </w:t>
      </w:r>
      <w:r w:rsidR="006C7D6A" w:rsidRPr="00565DA8">
        <w:rPr>
          <w:sz w:val="24"/>
          <w:szCs w:val="24"/>
        </w:rPr>
        <w:t xml:space="preserve">when </w:t>
      </w:r>
      <w:r w:rsidR="00081494" w:rsidRPr="00565DA8">
        <w:rPr>
          <w:sz w:val="24"/>
          <w:szCs w:val="24"/>
        </w:rPr>
        <w:t xml:space="preserve">one </w:t>
      </w:r>
      <w:r w:rsidR="00BC57E3">
        <w:rPr>
          <w:sz w:val="24"/>
          <w:szCs w:val="24"/>
        </w:rPr>
        <w:t>tries to apply them in more than one jurisdiction</w:t>
      </w:r>
      <w:r w:rsidR="006C7D6A" w:rsidRPr="00565DA8">
        <w:rPr>
          <w:sz w:val="24"/>
          <w:szCs w:val="24"/>
        </w:rPr>
        <w:t>.</w:t>
      </w:r>
      <w:r w:rsidR="00122569" w:rsidRPr="00565DA8">
        <w:rPr>
          <w:rStyle w:val="FootnoteReference"/>
          <w:sz w:val="24"/>
          <w:szCs w:val="24"/>
        </w:rPr>
        <w:footnoteReference w:id="15"/>
      </w:r>
      <w:r w:rsidR="006C7D6A" w:rsidRPr="00565DA8">
        <w:rPr>
          <w:sz w:val="24"/>
          <w:szCs w:val="24"/>
        </w:rPr>
        <w:t xml:space="preserve"> We do </w:t>
      </w:r>
      <w:r w:rsidR="006C7D6A" w:rsidRPr="00565DA8">
        <w:rPr>
          <w:sz w:val="24"/>
          <w:szCs w:val="24"/>
        </w:rPr>
        <w:lastRenderedPageBreak/>
        <w:t xml:space="preserve">not </w:t>
      </w:r>
      <w:r w:rsidR="00EF64E7" w:rsidRPr="00565DA8">
        <w:rPr>
          <w:sz w:val="24"/>
          <w:szCs w:val="24"/>
        </w:rPr>
        <w:t xml:space="preserve">re-tread </w:t>
      </w:r>
      <w:r w:rsidR="006C7D6A" w:rsidRPr="00565DA8">
        <w:rPr>
          <w:sz w:val="24"/>
          <w:szCs w:val="24"/>
        </w:rPr>
        <w:t xml:space="preserve">this ground in this chapter. Rather, </w:t>
      </w:r>
      <w:r w:rsidR="00757245" w:rsidRPr="00565DA8">
        <w:rPr>
          <w:sz w:val="24"/>
          <w:szCs w:val="24"/>
        </w:rPr>
        <w:t xml:space="preserve">our </w:t>
      </w:r>
      <w:r w:rsidR="00432506" w:rsidRPr="00565DA8">
        <w:rPr>
          <w:sz w:val="24"/>
          <w:szCs w:val="24"/>
        </w:rPr>
        <w:t xml:space="preserve">aim </w:t>
      </w:r>
      <w:r w:rsidR="0015221B" w:rsidRPr="00565DA8">
        <w:rPr>
          <w:sz w:val="24"/>
          <w:szCs w:val="24"/>
        </w:rPr>
        <w:t xml:space="preserve">here </w:t>
      </w:r>
      <w:r w:rsidR="006C7D6A" w:rsidRPr="00565DA8">
        <w:rPr>
          <w:sz w:val="24"/>
          <w:szCs w:val="24"/>
        </w:rPr>
        <w:t xml:space="preserve">is to </w:t>
      </w:r>
      <w:r w:rsidR="00DD49DB">
        <w:rPr>
          <w:sz w:val="24"/>
          <w:szCs w:val="24"/>
        </w:rPr>
        <w:t xml:space="preserve">demonstrate that </w:t>
      </w:r>
      <w:r w:rsidR="006C7D6A" w:rsidRPr="00565DA8">
        <w:rPr>
          <w:sz w:val="24"/>
          <w:szCs w:val="24"/>
        </w:rPr>
        <w:t xml:space="preserve">it is highly improbable that a satisfactory </w:t>
      </w:r>
      <w:r w:rsidR="00ED0D4B" w:rsidRPr="00565DA8">
        <w:rPr>
          <w:sz w:val="24"/>
          <w:szCs w:val="24"/>
        </w:rPr>
        <w:t xml:space="preserve">universal </w:t>
      </w:r>
      <w:r w:rsidR="00DD49DB">
        <w:rPr>
          <w:sz w:val="24"/>
          <w:szCs w:val="24"/>
        </w:rPr>
        <w:t xml:space="preserve">explanatory </w:t>
      </w:r>
      <w:r w:rsidR="006C7D6A" w:rsidRPr="00565DA8">
        <w:rPr>
          <w:sz w:val="24"/>
          <w:szCs w:val="24"/>
        </w:rPr>
        <w:t xml:space="preserve">account of </w:t>
      </w:r>
      <w:r w:rsidR="00BC57E3">
        <w:rPr>
          <w:sz w:val="24"/>
          <w:szCs w:val="24"/>
        </w:rPr>
        <w:t xml:space="preserve">the whole of </w:t>
      </w:r>
      <w:r w:rsidR="006C7D6A" w:rsidRPr="00565DA8">
        <w:rPr>
          <w:sz w:val="24"/>
          <w:szCs w:val="24"/>
        </w:rPr>
        <w:t>tort law could be developed. We cannot, of course, prove a negative. We cannot</w:t>
      </w:r>
      <w:r w:rsidR="00081494" w:rsidRPr="00565DA8">
        <w:rPr>
          <w:sz w:val="24"/>
          <w:szCs w:val="24"/>
        </w:rPr>
        <w:t>, in other words,</w:t>
      </w:r>
      <w:r w:rsidR="006C7D6A" w:rsidRPr="00565DA8">
        <w:rPr>
          <w:sz w:val="24"/>
          <w:szCs w:val="24"/>
        </w:rPr>
        <w:t xml:space="preserve"> show that a satisfactory universal </w:t>
      </w:r>
      <w:r w:rsidR="00DD49DB">
        <w:rPr>
          <w:sz w:val="24"/>
          <w:szCs w:val="24"/>
        </w:rPr>
        <w:t xml:space="preserve">explanatory </w:t>
      </w:r>
      <w:r w:rsidR="006C7D6A" w:rsidRPr="00565DA8">
        <w:rPr>
          <w:sz w:val="24"/>
          <w:szCs w:val="24"/>
        </w:rPr>
        <w:t>theory</w:t>
      </w:r>
      <w:r w:rsidR="00081494" w:rsidRPr="00565DA8">
        <w:rPr>
          <w:sz w:val="24"/>
          <w:szCs w:val="24"/>
        </w:rPr>
        <w:t xml:space="preserve"> of </w:t>
      </w:r>
      <w:r w:rsidR="00DD49DB">
        <w:rPr>
          <w:sz w:val="24"/>
          <w:szCs w:val="24"/>
        </w:rPr>
        <w:t xml:space="preserve">the whole of </w:t>
      </w:r>
      <w:r w:rsidR="00081494" w:rsidRPr="00565DA8">
        <w:rPr>
          <w:sz w:val="24"/>
          <w:szCs w:val="24"/>
        </w:rPr>
        <w:t>tort</w:t>
      </w:r>
      <w:r w:rsidR="00081494" w:rsidRPr="00F5600D">
        <w:rPr>
          <w:sz w:val="24"/>
          <w:szCs w:val="24"/>
        </w:rPr>
        <w:t xml:space="preserve"> law</w:t>
      </w:r>
      <w:r w:rsidR="00ED0D4B" w:rsidRPr="00F5600D">
        <w:rPr>
          <w:sz w:val="24"/>
          <w:szCs w:val="24"/>
        </w:rPr>
        <w:t xml:space="preserve"> could never be devised</w:t>
      </w:r>
      <w:r w:rsidR="006C7D6A" w:rsidRPr="00F5600D">
        <w:rPr>
          <w:sz w:val="24"/>
          <w:szCs w:val="24"/>
        </w:rPr>
        <w:t xml:space="preserve">. </w:t>
      </w:r>
      <w:r w:rsidR="00ED0D4B" w:rsidRPr="00F5600D">
        <w:rPr>
          <w:sz w:val="24"/>
          <w:szCs w:val="24"/>
        </w:rPr>
        <w:t xml:space="preserve">But we consider the probability that such a theory could be developed to be so </w:t>
      </w:r>
      <w:r w:rsidR="009A15CB" w:rsidRPr="00F5600D">
        <w:rPr>
          <w:sz w:val="24"/>
          <w:szCs w:val="24"/>
        </w:rPr>
        <w:t>remote</w:t>
      </w:r>
      <w:r w:rsidR="00ED0D4B" w:rsidRPr="00F5600D">
        <w:rPr>
          <w:sz w:val="24"/>
          <w:szCs w:val="24"/>
        </w:rPr>
        <w:t xml:space="preserve"> </w:t>
      </w:r>
      <w:r w:rsidR="006C7D6A" w:rsidRPr="00F5600D">
        <w:rPr>
          <w:sz w:val="24"/>
          <w:szCs w:val="24"/>
        </w:rPr>
        <w:t xml:space="preserve">that </w:t>
      </w:r>
      <w:r w:rsidR="00081494" w:rsidRPr="00F5600D">
        <w:rPr>
          <w:sz w:val="24"/>
          <w:szCs w:val="24"/>
        </w:rPr>
        <w:t xml:space="preserve">the </w:t>
      </w:r>
      <w:r w:rsidR="006C7D6A" w:rsidRPr="00F5600D">
        <w:rPr>
          <w:sz w:val="24"/>
          <w:szCs w:val="24"/>
        </w:rPr>
        <w:t>search for one</w:t>
      </w:r>
      <w:r w:rsidR="00BC57E3">
        <w:rPr>
          <w:sz w:val="24"/>
          <w:szCs w:val="24"/>
        </w:rPr>
        <w:t>,</w:t>
      </w:r>
      <w:r w:rsidR="00081494" w:rsidRPr="00F5600D">
        <w:rPr>
          <w:sz w:val="24"/>
          <w:szCs w:val="24"/>
        </w:rPr>
        <w:t xml:space="preserve"> which has now lasted for at least four decades</w:t>
      </w:r>
      <w:r w:rsidR="00BC57E3">
        <w:rPr>
          <w:sz w:val="24"/>
          <w:szCs w:val="24"/>
        </w:rPr>
        <w:t>,</w:t>
      </w:r>
      <w:r w:rsidR="00081494" w:rsidRPr="00F5600D">
        <w:rPr>
          <w:sz w:val="24"/>
          <w:szCs w:val="24"/>
        </w:rPr>
        <w:t xml:space="preserve"> </w:t>
      </w:r>
      <w:r w:rsidR="00E10F20">
        <w:rPr>
          <w:sz w:val="24"/>
          <w:szCs w:val="24"/>
        </w:rPr>
        <w:t>will almost certainly be in vain</w:t>
      </w:r>
      <w:r w:rsidR="006C7D6A" w:rsidRPr="00F5600D">
        <w:rPr>
          <w:sz w:val="24"/>
          <w:szCs w:val="24"/>
        </w:rPr>
        <w:t xml:space="preserve">. </w:t>
      </w:r>
      <w:r w:rsidR="00BC57E3">
        <w:rPr>
          <w:sz w:val="24"/>
          <w:szCs w:val="24"/>
        </w:rPr>
        <w:t xml:space="preserve">Tort law </w:t>
      </w:r>
      <w:r w:rsidR="00181AFD">
        <w:rPr>
          <w:sz w:val="24"/>
          <w:szCs w:val="24"/>
        </w:rPr>
        <w:t>cannot be reduced to a single idea given</w:t>
      </w:r>
      <w:r w:rsidR="00C132D0">
        <w:rPr>
          <w:sz w:val="24"/>
          <w:szCs w:val="24"/>
        </w:rPr>
        <w:t>, among other things,</w:t>
      </w:r>
      <w:r w:rsidR="00181AFD">
        <w:rPr>
          <w:sz w:val="24"/>
          <w:szCs w:val="24"/>
        </w:rPr>
        <w:t xml:space="preserve"> its immense complexity and the fact that it is </w:t>
      </w:r>
      <w:r w:rsidR="00BC57E3">
        <w:rPr>
          <w:sz w:val="24"/>
          <w:szCs w:val="24"/>
        </w:rPr>
        <w:t xml:space="preserve">the </w:t>
      </w:r>
      <w:r w:rsidR="00E8258A">
        <w:rPr>
          <w:sz w:val="24"/>
          <w:szCs w:val="24"/>
        </w:rPr>
        <w:t xml:space="preserve">product </w:t>
      </w:r>
      <w:r w:rsidR="00BC57E3">
        <w:rPr>
          <w:sz w:val="24"/>
          <w:szCs w:val="24"/>
        </w:rPr>
        <w:t xml:space="preserve">of so many different influences, and the significant differences in tort law between jurisdictions render </w:t>
      </w:r>
      <w:r w:rsidR="005174CE">
        <w:rPr>
          <w:sz w:val="24"/>
          <w:szCs w:val="24"/>
        </w:rPr>
        <w:t xml:space="preserve">fanciful </w:t>
      </w:r>
      <w:r w:rsidR="00BC57E3">
        <w:rPr>
          <w:sz w:val="24"/>
          <w:szCs w:val="24"/>
        </w:rPr>
        <w:t xml:space="preserve">the suggestion that any single account is capable of providing a compelling explanation of tort law </w:t>
      </w:r>
      <w:r w:rsidR="00654903">
        <w:rPr>
          <w:sz w:val="24"/>
          <w:szCs w:val="24"/>
        </w:rPr>
        <w:t xml:space="preserve">in its entirety </w:t>
      </w:r>
      <w:r w:rsidR="00BC57E3">
        <w:rPr>
          <w:sz w:val="24"/>
          <w:szCs w:val="24"/>
        </w:rPr>
        <w:t xml:space="preserve">across the common law world. Indeed, we think that the already </w:t>
      </w:r>
      <w:r w:rsidR="00654903">
        <w:rPr>
          <w:sz w:val="24"/>
          <w:szCs w:val="24"/>
        </w:rPr>
        <w:t xml:space="preserve">remote </w:t>
      </w:r>
      <w:r w:rsidR="00BC57E3">
        <w:rPr>
          <w:sz w:val="24"/>
          <w:szCs w:val="24"/>
        </w:rPr>
        <w:t xml:space="preserve">probability that a satisfactory universal </w:t>
      </w:r>
      <w:r w:rsidR="00C132D0">
        <w:rPr>
          <w:sz w:val="24"/>
          <w:szCs w:val="24"/>
        </w:rPr>
        <w:t xml:space="preserve">explanatory </w:t>
      </w:r>
      <w:r w:rsidR="00BC57E3">
        <w:rPr>
          <w:sz w:val="24"/>
          <w:szCs w:val="24"/>
        </w:rPr>
        <w:t xml:space="preserve">theory of the </w:t>
      </w:r>
      <w:r w:rsidR="005174CE">
        <w:rPr>
          <w:sz w:val="24"/>
          <w:szCs w:val="24"/>
        </w:rPr>
        <w:t xml:space="preserve">full range of </w:t>
      </w:r>
      <w:r w:rsidR="00BC57E3">
        <w:rPr>
          <w:sz w:val="24"/>
          <w:szCs w:val="24"/>
        </w:rPr>
        <w:t xml:space="preserve">tort law could be devised will dwindle over time. </w:t>
      </w:r>
      <w:r w:rsidR="00BC5628">
        <w:rPr>
          <w:sz w:val="24"/>
          <w:szCs w:val="24"/>
        </w:rPr>
        <w:t xml:space="preserve">We hold this view because we believe </w:t>
      </w:r>
      <w:r w:rsidR="00FB50B0" w:rsidRPr="00F5600D">
        <w:rPr>
          <w:sz w:val="24"/>
          <w:szCs w:val="24"/>
        </w:rPr>
        <w:t xml:space="preserve">that the </w:t>
      </w:r>
      <w:r w:rsidR="00D3791C" w:rsidRPr="00F5600D">
        <w:rPr>
          <w:sz w:val="24"/>
          <w:szCs w:val="24"/>
        </w:rPr>
        <w:t xml:space="preserve">scene </w:t>
      </w:r>
      <w:r w:rsidR="00ED0D4B" w:rsidRPr="00F5600D">
        <w:rPr>
          <w:sz w:val="24"/>
          <w:szCs w:val="24"/>
        </w:rPr>
        <w:t xml:space="preserve">is </w:t>
      </w:r>
      <w:r w:rsidR="00D3791C" w:rsidRPr="00F5600D">
        <w:rPr>
          <w:sz w:val="24"/>
          <w:szCs w:val="24"/>
        </w:rPr>
        <w:t xml:space="preserve">set for </w:t>
      </w:r>
      <w:r w:rsidR="00FB50B0" w:rsidRPr="00F5600D">
        <w:rPr>
          <w:sz w:val="24"/>
          <w:szCs w:val="24"/>
        </w:rPr>
        <w:t xml:space="preserve">the </w:t>
      </w:r>
      <w:r w:rsidR="00ED0D4B" w:rsidRPr="00F5600D">
        <w:rPr>
          <w:sz w:val="24"/>
          <w:szCs w:val="24"/>
        </w:rPr>
        <w:t xml:space="preserve">already significant </w:t>
      </w:r>
      <w:r w:rsidR="00D51EEB" w:rsidRPr="00F5600D">
        <w:rPr>
          <w:sz w:val="24"/>
          <w:szCs w:val="24"/>
        </w:rPr>
        <w:t xml:space="preserve">inter-jurisdictional </w:t>
      </w:r>
      <w:r w:rsidR="00ED0D4B" w:rsidRPr="00F5600D">
        <w:rPr>
          <w:sz w:val="24"/>
          <w:szCs w:val="24"/>
        </w:rPr>
        <w:t xml:space="preserve">differences </w:t>
      </w:r>
      <w:r w:rsidR="00307FB4" w:rsidRPr="00F5600D">
        <w:rPr>
          <w:sz w:val="24"/>
          <w:szCs w:val="24"/>
        </w:rPr>
        <w:t>between</w:t>
      </w:r>
      <w:r w:rsidR="00ED0D4B" w:rsidRPr="00F5600D">
        <w:rPr>
          <w:sz w:val="24"/>
          <w:szCs w:val="24"/>
        </w:rPr>
        <w:t xml:space="preserve"> </w:t>
      </w:r>
      <w:r w:rsidR="00757245" w:rsidRPr="00F5600D">
        <w:rPr>
          <w:sz w:val="24"/>
          <w:szCs w:val="24"/>
        </w:rPr>
        <w:t xml:space="preserve">the systems of tort law </w:t>
      </w:r>
      <w:r w:rsidR="00D3791C" w:rsidRPr="00F5600D">
        <w:rPr>
          <w:sz w:val="24"/>
          <w:szCs w:val="24"/>
        </w:rPr>
        <w:t xml:space="preserve">in common law jurisdictions </w:t>
      </w:r>
      <w:r w:rsidR="00ED0D4B" w:rsidRPr="00F5600D">
        <w:rPr>
          <w:sz w:val="24"/>
          <w:szCs w:val="24"/>
        </w:rPr>
        <w:t>to increase</w:t>
      </w:r>
      <w:r w:rsidR="002575EA">
        <w:rPr>
          <w:sz w:val="24"/>
          <w:szCs w:val="24"/>
        </w:rPr>
        <w:t>.</w:t>
      </w:r>
      <w:r w:rsidR="00797C08">
        <w:rPr>
          <w:sz w:val="24"/>
          <w:szCs w:val="24"/>
        </w:rPr>
        <w:t xml:space="preserve"> </w:t>
      </w:r>
    </w:p>
    <w:p w14:paraId="259BC7DD" w14:textId="77777777" w:rsidR="00ED0D4B" w:rsidRPr="00F5600D" w:rsidRDefault="00ED0D4B" w:rsidP="00F5600D">
      <w:pPr>
        <w:tabs>
          <w:tab w:val="left" w:pos="284"/>
        </w:tabs>
        <w:spacing w:after="0" w:line="240" w:lineRule="auto"/>
        <w:jc w:val="both"/>
        <w:rPr>
          <w:sz w:val="24"/>
          <w:szCs w:val="24"/>
        </w:rPr>
      </w:pPr>
    </w:p>
    <w:p w14:paraId="644F1FE8" w14:textId="77777777" w:rsidR="005833C2" w:rsidRPr="00F5600D" w:rsidRDefault="003C20E8" w:rsidP="00F5600D">
      <w:pPr>
        <w:pStyle w:val="Heading1"/>
        <w:keepNext/>
      </w:pPr>
      <w:r w:rsidRPr="00F5600D">
        <w:t>2.</w:t>
      </w:r>
      <w:r w:rsidR="005833C2" w:rsidRPr="00F5600D">
        <w:t xml:space="preserve"> Divergent </w:t>
      </w:r>
      <w:r w:rsidR="00060D77" w:rsidRPr="00F5600D">
        <w:t>E</w:t>
      </w:r>
      <w:r w:rsidR="005833C2" w:rsidRPr="00F5600D">
        <w:t xml:space="preserve">volution in the Law of Torts </w:t>
      </w:r>
    </w:p>
    <w:p w14:paraId="4A87F114" w14:textId="77777777" w:rsidR="005833C2" w:rsidRPr="00F5600D" w:rsidRDefault="005833C2" w:rsidP="00F5600D">
      <w:pPr>
        <w:keepNext/>
        <w:tabs>
          <w:tab w:val="left" w:pos="284"/>
        </w:tabs>
        <w:spacing w:after="0" w:line="240" w:lineRule="auto"/>
        <w:rPr>
          <w:sz w:val="24"/>
          <w:szCs w:val="24"/>
          <w:u w:val="single"/>
        </w:rPr>
      </w:pPr>
    </w:p>
    <w:p w14:paraId="5C387863" w14:textId="5536E791" w:rsidR="005833C2" w:rsidRPr="00F5600D" w:rsidRDefault="005833C2" w:rsidP="00F5600D">
      <w:pPr>
        <w:tabs>
          <w:tab w:val="left" w:pos="284"/>
        </w:tabs>
        <w:spacing w:after="0" w:line="240" w:lineRule="auto"/>
        <w:jc w:val="both"/>
        <w:rPr>
          <w:sz w:val="24"/>
          <w:szCs w:val="24"/>
        </w:rPr>
      </w:pPr>
      <w:r w:rsidRPr="00F5600D">
        <w:rPr>
          <w:sz w:val="24"/>
          <w:szCs w:val="24"/>
        </w:rPr>
        <w:t xml:space="preserve">Divergent evolution is a familiar concept in biology. It refers to the process by which </w:t>
      </w:r>
      <w:r w:rsidR="00D3791C" w:rsidRPr="00F5600D">
        <w:rPr>
          <w:sz w:val="24"/>
          <w:szCs w:val="24"/>
        </w:rPr>
        <w:t xml:space="preserve">a single </w:t>
      </w:r>
      <w:r w:rsidRPr="00F5600D">
        <w:rPr>
          <w:sz w:val="24"/>
          <w:szCs w:val="24"/>
        </w:rPr>
        <w:t xml:space="preserve">species can develop into two species </w:t>
      </w:r>
      <w:r w:rsidR="00757245" w:rsidRPr="00F5600D">
        <w:rPr>
          <w:sz w:val="24"/>
          <w:szCs w:val="24"/>
        </w:rPr>
        <w:t>due to</w:t>
      </w:r>
      <w:r w:rsidRPr="00F5600D">
        <w:rPr>
          <w:sz w:val="24"/>
          <w:szCs w:val="24"/>
        </w:rPr>
        <w:t xml:space="preserve"> the gradual accumulation of differences between groups </w:t>
      </w:r>
      <w:r w:rsidR="00060D77" w:rsidRPr="00F5600D">
        <w:rPr>
          <w:sz w:val="24"/>
          <w:szCs w:val="24"/>
        </w:rPr>
        <w:t xml:space="preserve">of </w:t>
      </w:r>
      <w:r w:rsidRPr="00F5600D">
        <w:rPr>
          <w:sz w:val="24"/>
          <w:szCs w:val="24"/>
        </w:rPr>
        <w:t>the original species. This process occ</w:t>
      </w:r>
      <w:r w:rsidR="00CA7339" w:rsidRPr="00F5600D">
        <w:rPr>
          <w:sz w:val="24"/>
          <w:szCs w:val="24"/>
        </w:rPr>
        <w:t xml:space="preserve">urs when </w:t>
      </w:r>
      <w:r w:rsidRPr="00F5600D">
        <w:rPr>
          <w:sz w:val="24"/>
          <w:szCs w:val="24"/>
        </w:rPr>
        <w:t xml:space="preserve">(1) two groups </w:t>
      </w:r>
      <w:r w:rsidR="00060D77" w:rsidRPr="00F5600D">
        <w:rPr>
          <w:sz w:val="24"/>
          <w:szCs w:val="24"/>
        </w:rPr>
        <w:t xml:space="preserve">of </w:t>
      </w:r>
      <w:r w:rsidRPr="00F5600D">
        <w:rPr>
          <w:sz w:val="24"/>
          <w:szCs w:val="24"/>
        </w:rPr>
        <w:t xml:space="preserve">the original species are separated from each other (for example, by </w:t>
      </w:r>
      <w:r w:rsidR="00654903">
        <w:rPr>
          <w:sz w:val="24"/>
          <w:szCs w:val="24"/>
        </w:rPr>
        <w:t>an ocean</w:t>
      </w:r>
      <w:r w:rsidRPr="00F5600D">
        <w:rPr>
          <w:sz w:val="24"/>
          <w:szCs w:val="24"/>
        </w:rPr>
        <w:t>) so that interbreeding is impossible</w:t>
      </w:r>
      <w:r w:rsidR="00F21247" w:rsidRPr="00F5600D">
        <w:rPr>
          <w:sz w:val="24"/>
          <w:szCs w:val="24"/>
        </w:rPr>
        <w:t>,</w:t>
      </w:r>
      <w:r w:rsidRPr="00F5600D">
        <w:rPr>
          <w:sz w:val="24"/>
          <w:szCs w:val="24"/>
        </w:rPr>
        <w:t xml:space="preserve"> and (2) certain characteristics are favoured in one environment while </w:t>
      </w:r>
      <w:r w:rsidR="00F21247" w:rsidRPr="00F5600D">
        <w:rPr>
          <w:sz w:val="24"/>
          <w:szCs w:val="24"/>
        </w:rPr>
        <w:t xml:space="preserve">different </w:t>
      </w:r>
      <w:r w:rsidRPr="00F5600D">
        <w:rPr>
          <w:sz w:val="24"/>
          <w:szCs w:val="24"/>
        </w:rPr>
        <w:t xml:space="preserve">characteristics confer advantages </w:t>
      </w:r>
      <w:r w:rsidR="00CA7339" w:rsidRPr="00F5600D">
        <w:rPr>
          <w:sz w:val="24"/>
          <w:szCs w:val="24"/>
        </w:rPr>
        <w:t xml:space="preserve">on the species </w:t>
      </w:r>
      <w:r w:rsidRPr="00F5600D">
        <w:rPr>
          <w:sz w:val="24"/>
          <w:szCs w:val="24"/>
        </w:rPr>
        <w:t xml:space="preserve">in the other environment. Animals with </w:t>
      </w:r>
      <w:r w:rsidR="00060D77" w:rsidRPr="00F5600D">
        <w:rPr>
          <w:sz w:val="24"/>
          <w:szCs w:val="24"/>
        </w:rPr>
        <w:t xml:space="preserve">advantageous </w:t>
      </w:r>
      <w:r w:rsidRPr="00F5600D">
        <w:rPr>
          <w:sz w:val="24"/>
          <w:szCs w:val="24"/>
        </w:rPr>
        <w:t xml:space="preserve">characteristics </w:t>
      </w:r>
      <w:r w:rsidR="00060D77" w:rsidRPr="00F5600D">
        <w:rPr>
          <w:sz w:val="24"/>
          <w:szCs w:val="24"/>
        </w:rPr>
        <w:t xml:space="preserve">are </w:t>
      </w:r>
      <w:r w:rsidRPr="00F5600D">
        <w:rPr>
          <w:sz w:val="24"/>
          <w:szCs w:val="24"/>
        </w:rPr>
        <w:t xml:space="preserve">more likely to </w:t>
      </w:r>
      <w:r w:rsidR="00442475">
        <w:rPr>
          <w:sz w:val="24"/>
          <w:szCs w:val="24"/>
        </w:rPr>
        <w:t xml:space="preserve">have offspring and </w:t>
      </w:r>
      <w:r w:rsidR="001312B0">
        <w:rPr>
          <w:sz w:val="24"/>
          <w:szCs w:val="24"/>
        </w:rPr>
        <w:t xml:space="preserve">hence </w:t>
      </w:r>
      <w:r w:rsidR="00442475">
        <w:rPr>
          <w:sz w:val="24"/>
          <w:szCs w:val="24"/>
        </w:rPr>
        <w:t xml:space="preserve">to </w:t>
      </w:r>
      <w:r w:rsidRPr="00F5600D">
        <w:rPr>
          <w:sz w:val="24"/>
          <w:szCs w:val="24"/>
        </w:rPr>
        <w:t xml:space="preserve">pass on their genetic material with the result that animals bearing those characteristics </w:t>
      </w:r>
      <w:r w:rsidR="00442475">
        <w:rPr>
          <w:sz w:val="24"/>
          <w:szCs w:val="24"/>
        </w:rPr>
        <w:t xml:space="preserve">will </w:t>
      </w:r>
      <w:r w:rsidRPr="00F5600D">
        <w:rPr>
          <w:sz w:val="24"/>
          <w:szCs w:val="24"/>
        </w:rPr>
        <w:t xml:space="preserve">become more numerous. </w:t>
      </w:r>
      <w:r w:rsidR="00F21247" w:rsidRPr="00F5600D">
        <w:rPr>
          <w:sz w:val="24"/>
          <w:szCs w:val="24"/>
        </w:rPr>
        <w:t>The process continues and, o</w:t>
      </w:r>
      <w:r w:rsidRPr="00F5600D">
        <w:rPr>
          <w:sz w:val="24"/>
          <w:szCs w:val="24"/>
        </w:rPr>
        <w:t xml:space="preserve">ver a long enough period of time, the two groups of animals </w:t>
      </w:r>
      <w:r w:rsidR="00F21247" w:rsidRPr="00F5600D">
        <w:rPr>
          <w:sz w:val="24"/>
          <w:szCs w:val="24"/>
        </w:rPr>
        <w:t xml:space="preserve">eventually </w:t>
      </w:r>
      <w:r w:rsidRPr="00F5600D">
        <w:rPr>
          <w:sz w:val="24"/>
          <w:szCs w:val="24"/>
        </w:rPr>
        <w:t xml:space="preserve">become </w:t>
      </w:r>
      <w:r w:rsidR="00F21247" w:rsidRPr="00F5600D">
        <w:rPr>
          <w:sz w:val="24"/>
          <w:szCs w:val="24"/>
        </w:rPr>
        <w:t>sufficient</w:t>
      </w:r>
      <w:r w:rsidR="00B42C42" w:rsidRPr="00F5600D">
        <w:rPr>
          <w:sz w:val="24"/>
          <w:szCs w:val="24"/>
        </w:rPr>
        <w:t>ly</w:t>
      </w:r>
      <w:r w:rsidR="00F21247" w:rsidRPr="00F5600D">
        <w:rPr>
          <w:sz w:val="24"/>
          <w:szCs w:val="24"/>
        </w:rPr>
        <w:t xml:space="preserve"> different </w:t>
      </w:r>
      <w:r w:rsidR="00BF3A39" w:rsidRPr="00F5600D">
        <w:rPr>
          <w:sz w:val="24"/>
          <w:szCs w:val="24"/>
        </w:rPr>
        <w:t xml:space="preserve">that they </w:t>
      </w:r>
      <w:r w:rsidR="00757245" w:rsidRPr="00F5600D">
        <w:rPr>
          <w:sz w:val="24"/>
          <w:szCs w:val="24"/>
        </w:rPr>
        <w:t xml:space="preserve">constitute separate </w:t>
      </w:r>
      <w:r w:rsidR="00F21247" w:rsidRPr="00F5600D">
        <w:rPr>
          <w:sz w:val="24"/>
          <w:szCs w:val="24"/>
        </w:rPr>
        <w:t xml:space="preserve">species. </w:t>
      </w:r>
    </w:p>
    <w:p w14:paraId="7D6F4BEC" w14:textId="77777777" w:rsidR="005833C2" w:rsidRPr="00F5600D" w:rsidRDefault="00D3791C" w:rsidP="00F5600D">
      <w:pPr>
        <w:tabs>
          <w:tab w:val="left" w:pos="284"/>
        </w:tabs>
        <w:spacing w:after="0" w:line="240" w:lineRule="auto"/>
        <w:ind w:firstLine="284"/>
        <w:jc w:val="both"/>
        <w:rPr>
          <w:sz w:val="24"/>
          <w:szCs w:val="24"/>
        </w:rPr>
      </w:pPr>
      <w:r w:rsidRPr="00F5600D">
        <w:rPr>
          <w:sz w:val="24"/>
          <w:szCs w:val="24"/>
        </w:rPr>
        <w:t>A</w:t>
      </w:r>
      <w:r w:rsidR="005833C2" w:rsidRPr="00F5600D">
        <w:rPr>
          <w:sz w:val="24"/>
          <w:szCs w:val="24"/>
        </w:rPr>
        <w:t xml:space="preserve">n analogy can be drawn between divergent evolution in biology and </w:t>
      </w:r>
      <w:r w:rsidR="00EE0A88" w:rsidRPr="00F5600D">
        <w:rPr>
          <w:sz w:val="24"/>
          <w:szCs w:val="24"/>
        </w:rPr>
        <w:t xml:space="preserve">inter-jurisdictional differences in the law of torts. </w:t>
      </w:r>
      <w:r w:rsidR="004A4A24" w:rsidRPr="00F5600D">
        <w:rPr>
          <w:sz w:val="24"/>
          <w:szCs w:val="24"/>
        </w:rPr>
        <w:t xml:space="preserve">We believe that common law </w:t>
      </w:r>
      <w:r w:rsidR="005833C2" w:rsidRPr="00F5600D">
        <w:rPr>
          <w:sz w:val="24"/>
          <w:szCs w:val="24"/>
        </w:rPr>
        <w:t xml:space="preserve">systems have become increasingly isolated from each other with the result that local factors have been able to operate independently on tort law in these systems so as to yield distinct tort </w:t>
      </w:r>
      <w:r w:rsidR="00F92293" w:rsidRPr="00F5600D">
        <w:rPr>
          <w:sz w:val="24"/>
          <w:szCs w:val="24"/>
        </w:rPr>
        <w:t xml:space="preserve">law </w:t>
      </w:r>
      <w:r w:rsidR="004A4A24" w:rsidRPr="00F5600D">
        <w:rPr>
          <w:sz w:val="24"/>
          <w:szCs w:val="24"/>
        </w:rPr>
        <w:t>regimes and, moreover, regimes that are likely</w:t>
      </w:r>
      <w:r w:rsidR="00EE0A88" w:rsidRPr="00F5600D">
        <w:rPr>
          <w:sz w:val="24"/>
          <w:szCs w:val="24"/>
        </w:rPr>
        <w:t>, because of the isolation,</w:t>
      </w:r>
      <w:r w:rsidR="004A4A24" w:rsidRPr="00F5600D">
        <w:rPr>
          <w:sz w:val="24"/>
          <w:szCs w:val="24"/>
        </w:rPr>
        <w:t xml:space="preserve"> to continue to grow </w:t>
      </w:r>
      <w:r w:rsidR="00DD20F9">
        <w:rPr>
          <w:sz w:val="24"/>
          <w:szCs w:val="24"/>
        </w:rPr>
        <w:t xml:space="preserve">further </w:t>
      </w:r>
      <w:r w:rsidR="004A4A24" w:rsidRPr="00F5600D">
        <w:rPr>
          <w:sz w:val="24"/>
          <w:szCs w:val="24"/>
        </w:rPr>
        <w:t xml:space="preserve">apart. </w:t>
      </w:r>
      <w:r w:rsidR="00F21247" w:rsidRPr="00F5600D">
        <w:rPr>
          <w:sz w:val="24"/>
          <w:szCs w:val="24"/>
        </w:rPr>
        <w:t>The suggestion that there are distinct system</w:t>
      </w:r>
      <w:r w:rsidR="00F92293" w:rsidRPr="00F5600D">
        <w:rPr>
          <w:sz w:val="24"/>
          <w:szCs w:val="24"/>
        </w:rPr>
        <w:t>s</w:t>
      </w:r>
      <w:r w:rsidR="00F21247" w:rsidRPr="00F5600D">
        <w:rPr>
          <w:sz w:val="24"/>
          <w:szCs w:val="24"/>
        </w:rPr>
        <w:t xml:space="preserve"> of tort law throughout the common law world </w:t>
      </w:r>
      <w:r w:rsidR="00F92293" w:rsidRPr="00F5600D">
        <w:rPr>
          <w:sz w:val="24"/>
          <w:szCs w:val="24"/>
        </w:rPr>
        <w:t xml:space="preserve">(as opposed to a law of tort that is </w:t>
      </w:r>
      <w:r w:rsidR="00B42C42" w:rsidRPr="00F5600D">
        <w:rPr>
          <w:sz w:val="24"/>
          <w:szCs w:val="24"/>
        </w:rPr>
        <w:t xml:space="preserve">shared by all </w:t>
      </w:r>
      <w:r w:rsidR="00F92293" w:rsidRPr="00F5600D">
        <w:rPr>
          <w:sz w:val="24"/>
          <w:szCs w:val="24"/>
        </w:rPr>
        <w:t xml:space="preserve">common </w:t>
      </w:r>
      <w:r w:rsidR="00B42C42" w:rsidRPr="00F5600D">
        <w:rPr>
          <w:sz w:val="24"/>
          <w:szCs w:val="24"/>
        </w:rPr>
        <w:t xml:space="preserve">law </w:t>
      </w:r>
      <w:r w:rsidR="00F92293" w:rsidRPr="00F5600D">
        <w:rPr>
          <w:sz w:val="24"/>
          <w:szCs w:val="24"/>
        </w:rPr>
        <w:t xml:space="preserve">jurisdictions) </w:t>
      </w:r>
      <w:r w:rsidR="00F21247" w:rsidRPr="00F5600D">
        <w:rPr>
          <w:sz w:val="24"/>
          <w:szCs w:val="24"/>
        </w:rPr>
        <w:t xml:space="preserve">is </w:t>
      </w:r>
      <w:r w:rsidR="005833C2" w:rsidRPr="00F5600D">
        <w:rPr>
          <w:sz w:val="24"/>
          <w:szCs w:val="24"/>
        </w:rPr>
        <w:t>not</w:t>
      </w:r>
      <w:r w:rsidR="00442475">
        <w:rPr>
          <w:sz w:val="24"/>
          <w:szCs w:val="24"/>
        </w:rPr>
        <w:t xml:space="preserve"> </w:t>
      </w:r>
      <w:r w:rsidR="005833C2" w:rsidRPr="00F5600D">
        <w:rPr>
          <w:sz w:val="24"/>
          <w:szCs w:val="24"/>
        </w:rPr>
        <w:t xml:space="preserve">novel. Other writers have </w:t>
      </w:r>
      <w:r w:rsidR="00F21247" w:rsidRPr="00F5600D">
        <w:rPr>
          <w:sz w:val="24"/>
          <w:szCs w:val="24"/>
        </w:rPr>
        <w:t>made similar claims</w:t>
      </w:r>
      <w:r w:rsidR="005833C2" w:rsidRPr="00F5600D">
        <w:rPr>
          <w:sz w:val="24"/>
          <w:szCs w:val="24"/>
        </w:rPr>
        <w:t xml:space="preserve">. For example, Kit Barker, Peter Cane, Mark Lunney and Francis Trindade wrote in the fifth and </w:t>
      </w:r>
      <w:r w:rsidRPr="00F5600D">
        <w:rPr>
          <w:sz w:val="24"/>
          <w:szCs w:val="24"/>
        </w:rPr>
        <w:t xml:space="preserve">latest </w:t>
      </w:r>
      <w:r w:rsidR="005833C2" w:rsidRPr="00F5600D">
        <w:rPr>
          <w:sz w:val="24"/>
          <w:szCs w:val="24"/>
        </w:rPr>
        <w:t xml:space="preserve">edition of </w:t>
      </w:r>
      <w:r w:rsidR="005833C2" w:rsidRPr="00F5600D">
        <w:rPr>
          <w:i/>
          <w:sz w:val="24"/>
          <w:szCs w:val="24"/>
        </w:rPr>
        <w:t>The Law of Torts of Australia</w:t>
      </w:r>
      <w:r w:rsidR="005833C2" w:rsidRPr="00F5600D">
        <w:rPr>
          <w:sz w:val="24"/>
          <w:szCs w:val="24"/>
        </w:rPr>
        <w:t>, published in 2012:</w:t>
      </w:r>
      <w:r w:rsidR="005833C2" w:rsidRPr="00F5600D">
        <w:rPr>
          <w:rStyle w:val="FootnoteReference"/>
          <w:sz w:val="24"/>
          <w:szCs w:val="24"/>
        </w:rPr>
        <w:footnoteReference w:id="16"/>
      </w:r>
    </w:p>
    <w:p w14:paraId="31C09465" w14:textId="77777777" w:rsidR="005833C2" w:rsidRPr="00F5600D" w:rsidRDefault="005833C2" w:rsidP="00F5600D">
      <w:pPr>
        <w:tabs>
          <w:tab w:val="left" w:pos="284"/>
        </w:tabs>
        <w:spacing w:after="0" w:line="240" w:lineRule="auto"/>
        <w:ind w:firstLine="284"/>
        <w:jc w:val="both"/>
        <w:rPr>
          <w:sz w:val="24"/>
          <w:szCs w:val="24"/>
        </w:rPr>
      </w:pPr>
    </w:p>
    <w:p w14:paraId="4409C3AD" w14:textId="77777777" w:rsidR="005833C2" w:rsidRPr="00DD20F9" w:rsidRDefault="005833C2" w:rsidP="00F5600D">
      <w:pPr>
        <w:tabs>
          <w:tab w:val="left" w:pos="284"/>
        </w:tabs>
        <w:spacing w:after="0" w:line="240" w:lineRule="auto"/>
        <w:ind w:left="284"/>
        <w:jc w:val="both"/>
        <w:rPr>
          <w:sz w:val="22"/>
          <w:szCs w:val="22"/>
        </w:rPr>
      </w:pPr>
      <w:r w:rsidRPr="00DD20F9">
        <w:rPr>
          <w:sz w:val="22"/>
          <w:szCs w:val="22"/>
        </w:rPr>
        <w:t>Since the first edition of this book was written [in 1985], Australian common law in general and Australian tort law in particular have become much more independent of foreign influence, and Antipodean tort law has, in important respects, diverged from its English roots. This trend has continued since the fourth edition was prepared. Importantly, too</w:t>
      </w:r>
      <w:r w:rsidR="00BF3A39" w:rsidRPr="00DD20F9">
        <w:rPr>
          <w:sz w:val="22"/>
          <w:szCs w:val="22"/>
        </w:rPr>
        <w:t>,</w:t>
      </w:r>
      <w:r w:rsidRPr="00DD20F9">
        <w:rPr>
          <w:sz w:val="22"/>
          <w:szCs w:val="22"/>
        </w:rPr>
        <w:t xml:space="preserve"> English tort law is increasingly influenced by human rights law and European Union law, and resulting changes in the law seem to be creating new divergences between English and Australian tort law.</w:t>
      </w:r>
    </w:p>
    <w:p w14:paraId="45A4ADA5" w14:textId="77777777" w:rsidR="005833C2" w:rsidRPr="00F5600D" w:rsidRDefault="005833C2" w:rsidP="00F5600D">
      <w:pPr>
        <w:tabs>
          <w:tab w:val="left" w:pos="284"/>
        </w:tabs>
        <w:spacing w:after="0" w:line="240" w:lineRule="auto"/>
        <w:ind w:left="720" w:hanging="436"/>
        <w:jc w:val="both"/>
        <w:rPr>
          <w:sz w:val="24"/>
          <w:szCs w:val="24"/>
        </w:rPr>
      </w:pPr>
    </w:p>
    <w:p w14:paraId="59A67F10" w14:textId="72494325" w:rsidR="005833C2" w:rsidRPr="00F5600D" w:rsidRDefault="005833C2" w:rsidP="00F5600D">
      <w:pPr>
        <w:tabs>
          <w:tab w:val="left" w:pos="284"/>
        </w:tabs>
        <w:spacing w:after="0" w:line="240" w:lineRule="auto"/>
        <w:jc w:val="both"/>
        <w:rPr>
          <w:sz w:val="24"/>
          <w:szCs w:val="24"/>
        </w:rPr>
      </w:pPr>
      <w:r w:rsidRPr="00F5600D">
        <w:rPr>
          <w:sz w:val="24"/>
          <w:szCs w:val="24"/>
        </w:rPr>
        <w:t xml:space="preserve">It is clear from this passage that these authors are conscious of </w:t>
      </w:r>
      <w:r w:rsidR="00D3791C" w:rsidRPr="00F5600D">
        <w:rPr>
          <w:sz w:val="24"/>
          <w:szCs w:val="24"/>
        </w:rPr>
        <w:t xml:space="preserve">both </w:t>
      </w:r>
      <w:r w:rsidRPr="00F5600D">
        <w:rPr>
          <w:sz w:val="24"/>
          <w:szCs w:val="24"/>
        </w:rPr>
        <w:t xml:space="preserve">the phenomenon of </w:t>
      </w:r>
      <w:r w:rsidR="004A4A24" w:rsidRPr="00F5600D">
        <w:rPr>
          <w:sz w:val="24"/>
          <w:szCs w:val="24"/>
        </w:rPr>
        <w:t xml:space="preserve">jurisdictional </w:t>
      </w:r>
      <w:r w:rsidRPr="00F5600D">
        <w:rPr>
          <w:sz w:val="24"/>
          <w:szCs w:val="24"/>
        </w:rPr>
        <w:t>isolation and the capacity of tort law to adapt to local pressures</w:t>
      </w:r>
      <w:r w:rsidR="00442475">
        <w:rPr>
          <w:sz w:val="24"/>
          <w:szCs w:val="24"/>
        </w:rPr>
        <w:t>, leading to jurisprudential divergence</w:t>
      </w:r>
      <w:r w:rsidRPr="00F5600D">
        <w:rPr>
          <w:sz w:val="24"/>
          <w:szCs w:val="24"/>
        </w:rPr>
        <w:t xml:space="preserve">. </w:t>
      </w:r>
      <w:r w:rsidR="00EE0A88" w:rsidRPr="00F5600D">
        <w:rPr>
          <w:sz w:val="24"/>
          <w:szCs w:val="24"/>
        </w:rPr>
        <w:t xml:space="preserve">In this chapter, we </w:t>
      </w:r>
      <w:r w:rsidR="00BF3A39" w:rsidRPr="00F5600D">
        <w:rPr>
          <w:sz w:val="24"/>
          <w:szCs w:val="24"/>
        </w:rPr>
        <w:t xml:space="preserve">describe </w:t>
      </w:r>
      <w:r w:rsidRPr="00F5600D">
        <w:rPr>
          <w:sz w:val="24"/>
          <w:szCs w:val="24"/>
        </w:rPr>
        <w:t>the process of isolation</w:t>
      </w:r>
      <w:r w:rsidR="00BF3A39" w:rsidRPr="00F5600D">
        <w:rPr>
          <w:sz w:val="24"/>
          <w:szCs w:val="24"/>
        </w:rPr>
        <w:t xml:space="preserve"> and</w:t>
      </w:r>
      <w:r w:rsidR="00EE0A88" w:rsidRPr="00F5600D">
        <w:rPr>
          <w:sz w:val="24"/>
          <w:szCs w:val="24"/>
        </w:rPr>
        <w:t xml:space="preserve"> identify </w:t>
      </w:r>
      <w:r w:rsidR="00F92293" w:rsidRPr="00F5600D">
        <w:rPr>
          <w:sz w:val="24"/>
          <w:szCs w:val="24"/>
        </w:rPr>
        <w:t xml:space="preserve">several </w:t>
      </w:r>
      <w:r w:rsidRPr="00F5600D">
        <w:rPr>
          <w:sz w:val="24"/>
          <w:szCs w:val="24"/>
        </w:rPr>
        <w:t xml:space="preserve">local factors that have </w:t>
      </w:r>
      <w:r w:rsidR="00F92293" w:rsidRPr="00F5600D">
        <w:rPr>
          <w:sz w:val="24"/>
          <w:szCs w:val="24"/>
        </w:rPr>
        <w:t>resulted in the divergent development of tort law in different j</w:t>
      </w:r>
      <w:r w:rsidR="00EE0A88" w:rsidRPr="00F5600D">
        <w:rPr>
          <w:sz w:val="24"/>
          <w:szCs w:val="24"/>
        </w:rPr>
        <w:t>urisdictions</w:t>
      </w:r>
      <w:r w:rsidR="00BF3A39" w:rsidRPr="00F5600D">
        <w:rPr>
          <w:sz w:val="24"/>
          <w:szCs w:val="24"/>
        </w:rPr>
        <w:t>.</w:t>
      </w:r>
      <w:r w:rsidR="00F92293" w:rsidRPr="00F5600D">
        <w:rPr>
          <w:sz w:val="24"/>
          <w:szCs w:val="24"/>
        </w:rPr>
        <w:t xml:space="preserve"> </w:t>
      </w:r>
    </w:p>
    <w:p w14:paraId="636566C5" w14:textId="315F8E7E" w:rsidR="00F92293" w:rsidRPr="00F5600D" w:rsidRDefault="00F92293" w:rsidP="00F5600D">
      <w:pPr>
        <w:tabs>
          <w:tab w:val="left" w:pos="284"/>
        </w:tabs>
        <w:spacing w:after="0" w:line="240" w:lineRule="auto"/>
        <w:jc w:val="both"/>
        <w:rPr>
          <w:sz w:val="24"/>
          <w:szCs w:val="24"/>
        </w:rPr>
      </w:pPr>
      <w:r w:rsidRPr="00F5600D">
        <w:rPr>
          <w:sz w:val="24"/>
          <w:szCs w:val="24"/>
        </w:rPr>
        <w:tab/>
      </w:r>
      <w:r w:rsidR="00EE0A88" w:rsidRPr="00F5600D">
        <w:rPr>
          <w:sz w:val="24"/>
          <w:szCs w:val="24"/>
        </w:rPr>
        <w:t xml:space="preserve">It might be queried whether the analogy to divergent evolution </w:t>
      </w:r>
      <w:r w:rsidR="00DD20F9">
        <w:rPr>
          <w:sz w:val="24"/>
          <w:szCs w:val="24"/>
        </w:rPr>
        <w:t xml:space="preserve">in biology </w:t>
      </w:r>
      <w:r w:rsidR="00757245" w:rsidRPr="00F5600D">
        <w:rPr>
          <w:sz w:val="24"/>
          <w:szCs w:val="24"/>
        </w:rPr>
        <w:t xml:space="preserve">that we have drawn </w:t>
      </w:r>
      <w:r w:rsidR="00EE0A88" w:rsidRPr="00F5600D">
        <w:rPr>
          <w:sz w:val="24"/>
          <w:szCs w:val="24"/>
        </w:rPr>
        <w:t xml:space="preserve">is apt. </w:t>
      </w:r>
      <w:r w:rsidR="00DD3FCF" w:rsidRPr="00F5600D">
        <w:rPr>
          <w:sz w:val="24"/>
          <w:szCs w:val="24"/>
        </w:rPr>
        <w:t>W</w:t>
      </w:r>
      <w:r w:rsidRPr="00F5600D">
        <w:rPr>
          <w:sz w:val="24"/>
          <w:szCs w:val="24"/>
        </w:rPr>
        <w:t xml:space="preserve">e think that the analogy is illuminating, but do not want to push it too far. There are obvious </w:t>
      </w:r>
      <w:r w:rsidR="00EE0A88" w:rsidRPr="00F5600D">
        <w:rPr>
          <w:sz w:val="24"/>
          <w:szCs w:val="24"/>
        </w:rPr>
        <w:t xml:space="preserve">and significant </w:t>
      </w:r>
      <w:r w:rsidRPr="00F5600D">
        <w:rPr>
          <w:sz w:val="24"/>
          <w:szCs w:val="24"/>
        </w:rPr>
        <w:t xml:space="preserve">differences between </w:t>
      </w:r>
      <w:r w:rsidR="00E53606" w:rsidRPr="00F5600D">
        <w:rPr>
          <w:sz w:val="24"/>
          <w:szCs w:val="24"/>
        </w:rPr>
        <w:t xml:space="preserve">the evolution of species and the way in which the law of torts has been developed in common law jurisdictions. </w:t>
      </w:r>
      <w:r w:rsidR="00DD3FCF" w:rsidRPr="00F5600D">
        <w:rPr>
          <w:sz w:val="24"/>
          <w:szCs w:val="24"/>
        </w:rPr>
        <w:t xml:space="preserve">One such difference concerns the relevant timeframe. The evolution of species is </w:t>
      </w:r>
      <w:r w:rsidR="00442475">
        <w:rPr>
          <w:sz w:val="24"/>
          <w:szCs w:val="24"/>
        </w:rPr>
        <w:t xml:space="preserve">generally </w:t>
      </w:r>
      <w:r w:rsidR="00DD3FCF" w:rsidRPr="00F5600D">
        <w:rPr>
          <w:sz w:val="24"/>
          <w:szCs w:val="24"/>
        </w:rPr>
        <w:t xml:space="preserve">measured on a geological timescale whereas the law can be changed essentially overnight. Another </w:t>
      </w:r>
      <w:r w:rsidR="00757245" w:rsidRPr="00F5600D">
        <w:rPr>
          <w:sz w:val="24"/>
          <w:szCs w:val="24"/>
        </w:rPr>
        <w:t xml:space="preserve">major </w:t>
      </w:r>
      <w:r w:rsidR="00DD3FCF" w:rsidRPr="00F5600D">
        <w:rPr>
          <w:sz w:val="24"/>
          <w:szCs w:val="24"/>
        </w:rPr>
        <w:t xml:space="preserve">difference is that the evolution of species involves the gradual accumulation of imperceptible changes whereas a single change in the law </w:t>
      </w:r>
      <w:r w:rsidR="00E62FBC" w:rsidRPr="00F5600D">
        <w:rPr>
          <w:sz w:val="24"/>
          <w:szCs w:val="24"/>
        </w:rPr>
        <w:t xml:space="preserve">in </w:t>
      </w:r>
      <w:r w:rsidR="00DD3FCF" w:rsidRPr="00F5600D">
        <w:rPr>
          <w:sz w:val="24"/>
          <w:szCs w:val="24"/>
        </w:rPr>
        <w:t xml:space="preserve">a given jurisdiction can result in the law in that jurisdiction diverging </w:t>
      </w:r>
      <w:r w:rsidR="00BF3A39" w:rsidRPr="00F5600D">
        <w:rPr>
          <w:sz w:val="24"/>
          <w:szCs w:val="24"/>
        </w:rPr>
        <w:t xml:space="preserve">dramatically </w:t>
      </w:r>
      <w:r w:rsidR="00DD3FCF" w:rsidRPr="00F5600D">
        <w:rPr>
          <w:sz w:val="24"/>
          <w:szCs w:val="24"/>
        </w:rPr>
        <w:t xml:space="preserve">from the law elsewhere. A final </w:t>
      </w:r>
      <w:r w:rsidR="00757245" w:rsidRPr="00F5600D">
        <w:rPr>
          <w:sz w:val="24"/>
          <w:szCs w:val="24"/>
        </w:rPr>
        <w:t xml:space="preserve">important </w:t>
      </w:r>
      <w:r w:rsidR="00DD3FCF" w:rsidRPr="00F5600D">
        <w:rPr>
          <w:sz w:val="24"/>
          <w:szCs w:val="24"/>
        </w:rPr>
        <w:t xml:space="preserve">difference is that the evolution of species is always a result of environmental pressures whereas this is not the case </w:t>
      </w:r>
      <w:r w:rsidR="00757245" w:rsidRPr="00F5600D">
        <w:rPr>
          <w:sz w:val="24"/>
          <w:szCs w:val="24"/>
        </w:rPr>
        <w:t xml:space="preserve">in relation to </w:t>
      </w:r>
      <w:r w:rsidR="00DD3FCF" w:rsidRPr="00F5600D">
        <w:rPr>
          <w:sz w:val="24"/>
          <w:szCs w:val="24"/>
        </w:rPr>
        <w:t>change</w:t>
      </w:r>
      <w:r w:rsidR="00620C0E">
        <w:rPr>
          <w:sz w:val="24"/>
          <w:szCs w:val="24"/>
        </w:rPr>
        <w:t>s</w:t>
      </w:r>
      <w:r w:rsidR="00DD3FCF" w:rsidRPr="00F5600D">
        <w:rPr>
          <w:sz w:val="24"/>
          <w:szCs w:val="24"/>
        </w:rPr>
        <w:t xml:space="preserve"> in the law. For example, judges in a given jurisdiction might change a given rule based simply on their </w:t>
      </w:r>
      <w:r w:rsidR="00C132D0">
        <w:rPr>
          <w:sz w:val="24"/>
          <w:szCs w:val="24"/>
        </w:rPr>
        <w:t xml:space="preserve">ideological preferences </w:t>
      </w:r>
      <w:r w:rsidR="00DD3FCF" w:rsidRPr="00F5600D">
        <w:rPr>
          <w:sz w:val="24"/>
          <w:szCs w:val="24"/>
        </w:rPr>
        <w:t xml:space="preserve">as opposed to any differences in the environment in that jurisdiction compared with the environment in other jurisdictions. </w:t>
      </w:r>
    </w:p>
    <w:p w14:paraId="44248B3A" w14:textId="77777777" w:rsidR="005833C2" w:rsidRPr="00F5600D" w:rsidRDefault="005833C2" w:rsidP="00F5600D">
      <w:pPr>
        <w:tabs>
          <w:tab w:val="left" w:pos="284"/>
        </w:tabs>
        <w:spacing w:after="0" w:line="240" w:lineRule="auto"/>
        <w:rPr>
          <w:sz w:val="24"/>
          <w:szCs w:val="24"/>
        </w:rPr>
      </w:pPr>
    </w:p>
    <w:p w14:paraId="48FE0CFB" w14:textId="77777777" w:rsidR="005833C2" w:rsidRPr="00F5600D" w:rsidRDefault="004A4A24" w:rsidP="00F5600D">
      <w:pPr>
        <w:pStyle w:val="Heading1"/>
        <w:keepNext/>
      </w:pPr>
      <w:r w:rsidRPr="00F5600D">
        <w:t>3.</w:t>
      </w:r>
      <w:r w:rsidR="005833C2" w:rsidRPr="00F5600D">
        <w:t xml:space="preserve"> Jurisdictional </w:t>
      </w:r>
      <w:r w:rsidRPr="00F5600D">
        <w:t>I</w:t>
      </w:r>
      <w:r w:rsidR="005833C2" w:rsidRPr="00F5600D">
        <w:t>solation</w:t>
      </w:r>
    </w:p>
    <w:p w14:paraId="5544DC03" w14:textId="77777777" w:rsidR="005833C2" w:rsidRPr="00F5600D" w:rsidRDefault="005833C2" w:rsidP="00F5600D">
      <w:pPr>
        <w:keepNext/>
        <w:tabs>
          <w:tab w:val="left" w:pos="284"/>
        </w:tabs>
        <w:spacing w:after="0" w:line="240" w:lineRule="auto"/>
        <w:rPr>
          <w:sz w:val="24"/>
          <w:szCs w:val="24"/>
        </w:rPr>
      </w:pPr>
    </w:p>
    <w:p w14:paraId="4DB94F55" w14:textId="28FD8072" w:rsidR="00D00CCF" w:rsidRDefault="00663F35" w:rsidP="00F5600D">
      <w:pPr>
        <w:tabs>
          <w:tab w:val="left" w:pos="284"/>
        </w:tabs>
        <w:spacing w:after="0" w:line="240" w:lineRule="auto"/>
        <w:jc w:val="both"/>
        <w:rPr>
          <w:sz w:val="24"/>
          <w:szCs w:val="24"/>
        </w:rPr>
      </w:pPr>
      <w:r w:rsidRPr="00F5600D">
        <w:rPr>
          <w:sz w:val="24"/>
          <w:szCs w:val="24"/>
        </w:rPr>
        <w:t>In this part of the chapter, we contend</w:t>
      </w:r>
      <w:r w:rsidR="004633C5" w:rsidRPr="00F5600D">
        <w:rPr>
          <w:sz w:val="24"/>
          <w:szCs w:val="24"/>
        </w:rPr>
        <w:t xml:space="preserve"> that,</w:t>
      </w:r>
      <w:r w:rsidRPr="00F5600D">
        <w:rPr>
          <w:sz w:val="24"/>
          <w:szCs w:val="24"/>
        </w:rPr>
        <w:t xml:space="preserve"> </w:t>
      </w:r>
      <w:r w:rsidR="004633C5" w:rsidRPr="00F5600D">
        <w:rPr>
          <w:sz w:val="24"/>
          <w:szCs w:val="24"/>
        </w:rPr>
        <w:t xml:space="preserve">whereas in the past common law jurisdictions were </w:t>
      </w:r>
      <w:r w:rsidR="00D92C56" w:rsidRPr="00F5600D">
        <w:rPr>
          <w:sz w:val="24"/>
          <w:szCs w:val="24"/>
        </w:rPr>
        <w:t xml:space="preserve">very </w:t>
      </w:r>
      <w:r w:rsidR="004633C5" w:rsidRPr="00F5600D">
        <w:rPr>
          <w:sz w:val="24"/>
          <w:szCs w:val="24"/>
        </w:rPr>
        <w:t xml:space="preserve">closely connected to each other, they </w:t>
      </w:r>
      <w:r w:rsidR="00C132D0">
        <w:rPr>
          <w:sz w:val="24"/>
          <w:szCs w:val="24"/>
        </w:rPr>
        <w:t>are now quite isolated</w:t>
      </w:r>
      <w:r w:rsidR="004633C5" w:rsidRPr="00F5600D">
        <w:rPr>
          <w:sz w:val="24"/>
          <w:szCs w:val="24"/>
        </w:rPr>
        <w:t xml:space="preserve"> from each other</w:t>
      </w:r>
      <w:r w:rsidR="00D00CCF">
        <w:rPr>
          <w:sz w:val="24"/>
          <w:szCs w:val="24"/>
        </w:rPr>
        <w:t>, and that t</w:t>
      </w:r>
      <w:r w:rsidR="00BD40B8" w:rsidRPr="00F5600D">
        <w:rPr>
          <w:sz w:val="24"/>
          <w:szCs w:val="24"/>
        </w:rPr>
        <w:t xml:space="preserve">his isolation is now entrenched. </w:t>
      </w:r>
      <w:r w:rsidRPr="00F5600D">
        <w:rPr>
          <w:sz w:val="24"/>
          <w:szCs w:val="24"/>
        </w:rPr>
        <w:t xml:space="preserve">We should explain precisely what we mean by </w:t>
      </w:r>
      <w:r w:rsidR="004633C5" w:rsidRPr="00F5600D">
        <w:rPr>
          <w:sz w:val="24"/>
          <w:szCs w:val="24"/>
        </w:rPr>
        <w:t>‘</w:t>
      </w:r>
      <w:r w:rsidRPr="00F5600D">
        <w:rPr>
          <w:sz w:val="24"/>
          <w:szCs w:val="24"/>
        </w:rPr>
        <w:t>isolation</w:t>
      </w:r>
      <w:r w:rsidR="004633C5" w:rsidRPr="00F5600D">
        <w:rPr>
          <w:sz w:val="24"/>
          <w:szCs w:val="24"/>
        </w:rPr>
        <w:t>’</w:t>
      </w:r>
      <w:r w:rsidRPr="00F5600D">
        <w:rPr>
          <w:sz w:val="24"/>
          <w:szCs w:val="24"/>
        </w:rPr>
        <w:t xml:space="preserve">. When we say that one jurisdiction has been isolated from another, we mean to say that they do not share the same sources of law. By </w:t>
      </w:r>
      <w:r w:rsidR="00C55A23" w:rsidRPr="00F5600D">
        <w:rPr>
          <w:sz w:val="24"/>
          <w:szCs w:val="24"/>
        </w:rPr>
        <w:t>‘</w:t>
      </w:r>
      <w:r w:rsidRPr="00F5600D">
        <w:rPr>
          <w:sz w:val="24"/>
          <w:szCs w:val="24"/>
        </w:rPr>
        <w:t>sources of law</w:t>
      </w:r>
      <w:r w:rsidR="00C55A23" w:rsidRPr="00F5600D">
        <w:rPr>
          <w:sz w:val="24"/>
          <w:szCs w:val="24"/>
        </w:rPr>
        <w:t>’</w:t>
      </w:r>
      <w:r w:rsidRPr="00F5600D">
        <w:rPr>
          <w:sz w:val="24"/>
          <w:szCs w:val="24"/>
        </w:rPr>
        <w:t xml:space="preserve">, we do not </w:t>
      </w:r>
      <w:r w:rsidR="009935B9" w:rsidRPr="00F5600D">
        <w:rPr>
          <w:sz w:val="24"/>
          <w:szCs w:val="24"/>
        </w:rPr>
        <w:t xml:space="preserve">intend </w:t>
      </w:r>
      <w:r w:rsidR="004633C5" w:rsidRPr="00F5600D">
        <w:rPr>
          <w:sz w:val="24"/>
          <w:szCs w:val="24"/>
        </w:rPr>
        <w:t xml:space="preserve">to refer to the </w:t>
      </w:r>
      <w:r w:rsidR="004633C5" w:rsidRPr="00F5600D">
        <w:rPr>
          <w:i/>
          <w:sz w:val="24"/>
          <w:szCs w:val="24"/>
        </w:rPr>
        <w:t>types</w:t>
      </w:r>
      <w:r w:rsidR="004633C5" w:rsidRPr="00F5600D">
        <w:rPr>
          <w:sz w:val="24"/>
          <w:szCs w:val="24"/>
        </w:rPr>
        <w:t xml:space="preserve"> of material that </w:t>
      </w:r>
      <w:r w:rsidR="009935B9" w:rsidRPr="00F5600D">
        <w:rPr>
          <w:sz w:val="24"/>
          <w:szCs w:val="24"/>
        </w:rPr>
        <w:t xml:space="preserve">are </w:t>
      </w:r>
      <w:r w:rsidR="004633C5" w:rsidRPr="00F5600D">
        <w:rPr>
          <w:sz w:val="24"/>
          <w:szCs w:val="24"/>
        </w:rPr>
        <w:t xml:space="preserve">authoritative </w:t>
      </w:r>
      <w:r w:rsidR="00B50A67" w:rsidRPr="00F5600D">
        <w:rPr>
          <w:sz w:val="24"/>
          <w:szCs w:val="24"/>
        </w:rPr>
        <w:t xml:space="preserve">as to </w:t>
      </w:r>
      <w:r w:rsidR="004869DE" w:rsidRPr="00F5600D">
        <w:rPr>
          <w:sz w:val="24"/>
          <w:szCs w:val="24"/>
        </w:rPr>
        <w:t xml:space="preserve">what </w:t>
      </w:r>
      <w:r w:rsidR="004633C5" w:rsidRPr="00F5600D">
        <w:rPr>
          <w:sz w:val="24"/>
          <w:szCs w:val="24"/>
        </w:rPr>
        <w:t>the law</w:t>
      </w:r>
      <w:r w:rsidR="004869DE" w:rsidRPr="00F5600D">
        <w:rPr>
          <w:sz w:val="24"/>
          <w:szCs w:val="24"/>
        </w:rPr>
        <w:t xml:space="preserve"> is</w:t>
      </w:r>
      <w:r w:rsidR="004633C5" w:rsidRPr="00F5600D">
        <w:rPr>
          <w:sz w:val="24"/>
          <w:szCs w:val="24"/>
        </w:rPr>
        <w:t xml:space="preserve">, such as legislation and cases. </w:t>
      </w:r>
      <w:r w:rsidR="00C55A23" w:rsidRPr="00F5600D">
        <w:rPr>
          <w:sz w:val="24"/>
          <w:szCs w:val="24"/>
        </w:rPr>
        <w:t xml:space="preserve">(Obviously, all common law jurisdictions sing from </w:t>
      </w:r>
      <w:r w:rsidR="007940A4" w:rsidRPr="00F5600D">
        <w:rPr>
          <w:sz w:val="24"/>
          <w:szCs w:val="24"/>
        </w:rPr>
        <w:t xml:space="preserve">essentially </w:t>
      </w:r>
      <w:r w:rsidR="00C55A23" w:rsidRPr="00F5600D">
        <w:rPr>
          <w:sz w:val="24"/>
          <w:szCs w:val="24"/>
        </w:rPr>
        <w:t>the same hymn sheet in terms of the types of materials that they regard as being authoritative.) Rather, by sources of law</w:t>
      </w:r>
      <w:r w:rsidR="00B50A67" w:rsidRPr="00F5600D">
        <w:rPr>
          <w:sz w:val="24"/>
          <w:szCs w:val="24"/>
        </w:rPr>
        <w:t>,</w:t>
      </w:r>
      <w:r w:rsidR="00C55A23" w:rsidRPr="00F5600D">
        <w:rPr>
          <w:sz w:val="24"/>
          <w:szCs w:val="24"/>
        </w:rPr>
        <w:t xml:space="preserve"> we mean to refer to the </w:t>
      </w:r>
      <w:r w:rsidR="00C55A23" w:rsidRPr="0099075F">
        <w:rPr>
          <w:i/>
          <w:sz w:val="24"/>
          <w:szCs w:val="24"/>
        </w:rPr>
        <w:t>specific manifestations</w:t>
      </w:r>
      <w:r w:rsidR="00C55A23" w:rsidRPr="00F5600D">
        <w:rPr>
          <w:sz w:val="24"/>
          <w:szCs w:val="24"/>
        </w:rPr>
        <w:t xml:space="preserve"> of the authority to declare the law, such as a particular case. Our claim is that common law jurisdictions today are </w:t>
      </w:r>
      <w:r w:rsidR="00BD40B8" w:rsidRPr="00F5600D">
        <w:rPr>
          <w:sz w:val="24"/>
          <w:szCs w:val="24"/>
        </w:rPr>
        <w:t xml:space="preserve">to a large degree </w:t>
      </w:r>
      <w:r w:rsidR="00C55A23" w:rsidRPr="00F5600D">
        <w:rPr>
          <w:sz w:val="24"/>
          <w:szCs w:val="24"/>
        </w:rPr>
        <w:t xml:space="preserve">isolated from each other in the sense that (to continue the example of cases), judgments delivered in one jurisdiction lay down the law only in the jurisdiction in which they were delivered. </w:t>
      </w:r>
      <w:r w:rsidR="002A11AB">
        <w:rPr>
          <w:sz w:val="24"/>
          <w:szCs w:val="24"/>
        </w:rPr>
        <w:t xml:space="preserve">This is not a bold claim. However, it is essential for us to establish it as it is a crucial step in our argument that jurisprudential divergence in the law of torts is likely to increase, which in turn has ramifications for the probability that a compelling universal </w:t>
      </w:r>
      <w:r w:rsidR="00C132D0">
        <w:rPr>
          <w:sz w:val="24"/>
          <w:szCs w:val="24"/>
        </w:rPr>
        <w:t xml:space="preserve">explanatory </w:t>
      </w:r>
      <w:r w:rsidR="002A11AB">
        <w:rPr>
          <w:sz w:val="24"/>
          <w:szCs w:val="24"/>
        </w:rPr>
        <w:t xml:space="preserve">theory of the whole of tort law can be developed. </w:t>
      </w:r>
      <w:r w:rsidR="0083691D">
        <w:rPr>
          <w:sz w:val="24"/>
          <w:szCs w:val="24"/>
        </w:rPr>
        <w:t xml:space="preserve">We also feel that the </w:t>
      </w:r>
      <w:r w:rsidR="0022069A">
        <w:rPr>
          <w:sz w:val="24"/>
          <w:szCs w:val="24"/>
        </w:rPr>
        <w:t xml:space="preserve">range of ways in which jurisdictions have become isolated </w:t>
      </w:r>
      <w:r w:rsidR="001312B0">
        <w:rPr>
          <w:sz w:val="24"/>
          <w:szCs w:val="24"/>
        </w:rPr>
        <w:t xml:space="preserve">has </w:t>
      </w:r>
      <w:r w:rsidR="0022069A">
        <w:rPr>
          <w:sz w:val="24"/>
          <w:szCs w:val="24"/>
        </w:rPr>
        <w:t>not been properly appreciated</w:t>
      </w:r>
      <w:r w:rsidR="0083691D">
        <w:rPr>
          <w:sz w:val="24"/>
          <w:szCs w:val="24"/>
        </w:rPr>
        <w:t xml:space="preserve">, </w:t>
      </w:r>
      <w:r w:rsidR="0022069A">
        <w:rPr>
          <w:sz w:val="24"/>
          <w:szCs w:val="24"/>
        </w:rPr>
        <w:t xml:space="preserve">and so we see a need to elaborate upon the process of isolation. </w:t>
      </w:r>
    </w:p>
    <w:p w14:paraId="59254D77" w14:textId="47938AE7" w:rsidR="005833C2" w:rsidRDefault="00D00CCF" w:rsidP="00F5600D">
      <w:pPr>
        <w:tabs>
          <w:tab w:val="left" w:pos="284"/>
        </w:tabs>
        <w:spacing w:after="0" w:line="240" w:lineRule="auto"/>
        <w:jc w:val="both"/>
        <w:rPr>
          <w:sz w:val="24"/>
          <w:szCs w:val="24"/>
        </w:rPr>
      </w:pPr>
      <w:r>
        <w:rPr>
          <w:sz w:val="24"/>
          <w:szCs w:val="24"/>
        </w:rPr>
        <w:tab/>
      </w:r>
      <w:r w:rsidR="007940A4" w:rsidRPr="00F5600D">
        <w:rPr>
          <w:sz w:val="24"/>
          <w:szCs w:val="24"/>
        </w:rPr>
        <w:t xml:space="preserve">A great many factors have brought about the transition </w:t>
      </w:r>
      <w:r>
        <w:rPr>
          <w:sz w:val="24"/>
          <w:szCs w:val="24"/>
        </w:rPr>
        <w:t xml:space="preserve">that has occurred </w:t>
      </w:r>
      <w:r w:rsidR="007940A4" w:rsidRPr="00F5600D">
        <w:rPr>
          <w:sz w:val="24"/>
          <w:szCs w:val="24"/>
        </w:rPr>
        <w:t>throughout the common law world from interdependenc</w:t>
      </w:r>
      <w:r w:rsidR="00493E85" w:rsidRPr="00F5600D">
        <w:rPr>
          <w:sz w:val="24"/>
          <w:szCs w:val="24"/>
        </w:rPr>
        <w:t>e</w:t>
      </w:r>
      <w:r w:rsidR="007940A4" w:rsidRPr="00F5600D">
        <w:rPr>
          <w:sz w:val="24"/>
          <w:szCs w:val="24"/>
        </w:rPr>
        <w:t xml:space="preserve"> to independence. We discuss some of the more interesting and significant </w:t>
      </w:r>
      <w:r w:rsidR="004D52A5">
        <w:rPr>
          <w:sz w:val="24"/>
          <w:szCs w:val="24"/>
        </w:rPr>
        <w:t xml:space="preserve">of those </w:t>
      </w:r>
      <w:r w:rsidR="007940A4" w:rsidRPr="00F5600D">
        <w:rPr>
          <w:sz w:val="24"/>
          <w:szCs w:val="24"/>
        </w:rPr>
        <w:t xml:space="preserve">factors. To be clear, we are not </w:t>
      </w:r>
      <w:r w:rsidR="002A11AB">
        <w:rPr>
          <w:sz w:val="24"/>
          <w:szCs w:val="24"/>
        </w:rPr>
        <w:t xml:space="preserve">concerned </w:t>
      </w:r>
      <w:r w:rsidR="00B14C9C" w:rsidRPr="00F5600D">
        <w:rPr>
          <w:sz w:val="24"/>
          <w:szCs w:val="24"/>
        </w:rPr>
        <w:t xml:space="preserve">in this chapter </w:t>
      </w:r>
      <w:r w:rsidR="00C132D0">
        <w:rPr>
          <w:sz w:val="24"/>
          <w:szCs w:val="24"/>
        </w:rPr>
        <w:t xml:space="preserve">with </w:t>
      </w:r>
      <w:r w:rsidR="007940A4" w:rsidRPr="00F5600D">
        <w:rPr>
          <w:sz w:val="24"/>
          <w:szCs w:val="24"/>
        </w:rPr>
        <w:t xml:space="preserve">the underlying political reasons that led to the </w:t>
      </w:r>
      <w:r w:rsidR="00B14C9C" w:rsidRPr="00F5600D">
        <w:rPr>
          <w:sz w:val="24"/>
          <w:szCs w:val="24"/>
        </w:rPr>
        <w:t xml:space="preserve">current </w:t>
      </w:r>
      <w:r w:rsidR="007940A4" w:rsidRPr="00F5600D">
        <w:rPr>
          <w:sz w:val="24"/>
          <w:szCs w:val="24"/>
        </w:rPr>
        <w:t>situation of jurisdictional isolation</w:t>
      </w:r>
      <w:r w:rsidR="00984A75" w:rsidRPr="00F5600D">
        <w:rPr>
          <w:sz w:val="24"/>
          <w:szCs w:val="24"/>
        </w:rPr>
        <w:t xml:space="preserve"> (such as, for example, a perception that it </w:t>
      </w:r>
      <w:r w:rsidR="00C132D0">
        <w:rPr>
          <w:sz w:val="24"/>
          <w:szCs w:val="24"/>
        </w:rPr>
        <w:t xml:space="preserve">is </w:t>
      </w:r>
      <w:r w:rsidR="00984A75" w:rsidRPr="00F5600D">
        <w:rPr>
          <w:sz w:val="24"/>
          <w:szCs w:val="24"/>
        </w:rPr>
        <w:t xml:space="preserve">inconsistent with </w:t>
      </w:r>
      <w:r w:rsidR="00B14C9C" w:rsidRPr="00F5600D">
        <w:rPr>
          <w:sz w:val="24"/>
          <w:szCs w:val="24"/>
        </w:rPr>
        <w:t xml:space="preserve">the concept of </w:t>
      </w:r>
      <w:r w:rsidR="00984A75" w:rsidRPr="00F5600D">
        <w:rPr>
          <w:sz w:val="24"/>
          <w:szCs w:val="24"/>
        </w:rPr>
        <w:t xml:space="preserve">nationhood </w:t>
      </w:r>
      <w:r w:rsidR="00493E85" w:rsidRPr="00F5600D">
        <w:rPr>
          <w:sz w:val="24"/>
          <w:szCs w:val="24"/>
        </w:rPr>
        <w:t xml:space="preserve">for a legal system </w:t>
      </w:r>
      <w:r w:rsidR="00984A75" w:rsidRPr="00F5600D">
        <w:rPr>
          <w:sz w:val="24"/>
          <w:szCs w:val="24"/>
        </w:rPr>
        <w:t xml:space="preserve">to be dependent on </w:t>
      </w:r>
      <w:r w:rsidR="00B14C9C" w:rsidRPr="00F5600D">
        <w:rPr>
          <w:sz w:val="24"/>
          <w:szCs w:val="24"/>
        </w:rPr>
        <w:t>the sources of law of another jurisdiction</w:t>
      </w:r>
      <w:r w:rsidR="00BD40B8" w:rsidRPr="00F5600D">
        <w:rPr>
          <w:sz w:val="24"/>
          <w:szCs w:val="24"/>
        </w:rPr>
        <w:t>, a rejection of colonialism, and so on</w:t>
      </w:r>
      <w:r w:rsidR="00B14C9C" w:rsidRPr="00F5600D">
        <w:rPr>
          <w:sz w:val="24"/>
          <w:szCs w:val="24"/>
        </w:rPr>
        <w:t>)</w:t>
      </w:r>
      <w:r w:rsidR="007940A4" w:rsidRPr="00F5600D">
        <w:rPr>
          <w:sz w:val="24"/>
          <w:szCs w:val="24"/>
        </w:rPr>
        <w:t xml:space="preserve">. Rather, we are </w:t>
      </w:r>
      <w:r w:rsidR="002A11AB">
        <w:rPr>
          <w:sz w:val="24"/>
          <w:szCs w:val="24"/>
        </w:rPr>
        <w:t xml:space="preserve">interested in </w:t>
      </w:r>
      <w:r w:rsidR="007940A4" w:rsidRPr="00F5600D">
        <w:rPr>
          <w:sz w:val="24"/>
          <w:szCs w:val="24"/>
        </w:rPr>
        <w:t xml:space="preserve">the specific legal changes that took place </w:t>
      </w:r>
      <w:r w:rsidR="00C132D0">
        <w:rPr>
          <w:sz w:val="24"/>
          <w:szCs w:val="24"/>
        </w:rPr>
        <w:t xml:space="preserve">that </w:t>
      </w:r>
      <w:r w:rsidR="007940A4" w:rsidRPr="00F5600D">
        <w:rPr>
          <w:sz w:val="24"/>
          <w:szCs w:val="24"/>
        </w:rPr>
        <w:t xml:space="preserve">led to jurisdictions lacking unity in terms of their sources of law. </w:t>
      </w:r>
      <w:r w:rsidR="00AB326A">
        <w:rPr>
          <w:sz w:val="24"/>
          <w:szCs w:val="24"/>
        </w:rPr>
        <w:t xml:space="preserve">We explore (1) the </w:t>
      </w:r>
      <w:r w:rsidR="00761D45">
        <w:rPr>
          <w:sz w:val="24"/>
          <w:szCs w:val="24"/>
        </w:rPr>
        <w:t xml:space="preserve">shrinking </w:t>
      </w:r>
      <w:r w:rsidR="00AB326A">
        <w:rPr>
          <w:sz w:val="24"/>
          <w:szCs w:val="24"/>
        </w:rPr>
        <w:t xml:space="preserve">jurisdiction of the Privy Council, (2) the </w:t>
      </w:r>
      <w:r w:rsidR="00C132D0">
        <w:rPr>
          <w:sz w:val="24"/>
          <w:szCs w:val="24"/>
        </w:rPr>
        <w:t xml:space="preserve">reduced </w:t>
      </w:r>
      <w:r w:rsidR="00AB326A">
        <w:rPr>
          <w:sz w:val="24"/>
          <w:szCs w:val="24"/>
        </w:rPr>
        <w:t xml:space="preserve">precedential force of British </w:t>
      </w:r>
      <w:r w:rsidR="00AB326A">
        <w:rPr>
          <w:sz w:val="24"/>
          <w:szCs w:val="24"/>
        </w:rPr>
        <w:lastRenderedPageBreak/>
        <w:t xml:space="preserve">authority; (3) the reduced deference to British authority; (4) a tendency towards judicial parochialism in some jurisdictions; and (5) the </w:t>
      </w:r>
      <w:r w:rsidR="00761D45">
        <w:rPr>
          <w:sz w:val="24"/>
          <w:szCs w:val="24"/>
        </w:rPr>
        <w:t xml:space="preserve">growth </w:t>
      </w:r>
      <w:r w:rsidR="00AB326A">
        <w:rPr>
          <w:sz w:val="24"/>
          <w:szCs w:val="24"/>
        </w:rPr>
        <w:t xml:space="preserve">of legislation in the tort law context. </w:t>
      </w:r>
    </w:p>
    <w:p w14:paraId="0719A30E" w14:textId="77777777" w:rsidR="00797C08" w:rsidRPr="00F5600D" w:rsidRDefault="00797C08" w:rsidP="00F5600D">
      <w:pPr>
        <w:tabs>
          <w:tab w:val="left" w:pos="284"/>
        </w:tabs>
        <w:spacing w:after="0" w:line="240" w:lineRule="auto"/>
        <w:jc w:val="both"/>
        <w:rPr>
          <w:sz w:val="24"/>
          <w:szCs w:val="24"/>
        </w:rPr>
      </w:pPr>
    </w:p>
    <w:p w14:paraId="7D90F4DF" w14:textId="77777777" w:rsidR="005833C2" w:rsidRPr="00F5600D" w:rsidRDefault="005833C2" w:rsidP="00F5600D">
      <w:pPr>
        <w:pStyle w:val="Heading2"/>
        <w:keepNext/>
      </w:pPr>
      <w:r w:rsidRPr="00F5600D">
        <w:t xml:space="preserve">(i) </w:t>
      </w:r>
      <w:r w:rsidR="001816DC">
        <w:t xml:space="preserve">The Shrinking Overseas Jurisdictions of </w:t>
      </w:r>
      <w:r w:rsidRPr="00F5600D">
        <w:t>the Privy Council</w:t>
      </w:r>
    </w:p>
    <w:p w14:paraId="3D0F1655" w14:textId="77777777" w:rsidR="005833C2" w:rsidRPr="00F5600D" w:rsidRDefault="005833C2" w:rsidP="00F5600D">
      <w:pPr>
        <w:keepNext/>
        <w:tabs>
          <w:tab w:val="left" w:pos="284"/>
        </w:tabs>
        <w:spacing w:after="0" w:line="240" w:lineRule="auto"/>
        <w:jc w:val="both"/>
        <w:rPr>
          <w:sz w:val="24"/>
          <w:szCs w:val="24"/>
        </w:rPr>
      </w:pPr>
    </w:p>
    <w:p w14:paraId="06D89685" w14:textId="01E4B398" w:rsidR="003D76ED" w:rsidRPr="00F5600D" w:rsidRDefault="005833C2" w:rsidP="00F5600D">
      <w:pPr>
        <w:tabs>
          <w:tab w:val="left" w:pos="284"/>
        </w:tabs>
        <w:spacing w:after="0" w:line="240" w:lineRule="auto"/>
        <w:jc w:val="both"/>
        <w:rPr>
          <w:sz w:val="24"/>
          <w:szCs w:val="24"/>
        </w:rPr>
      </w:pPr>
      <w:r w:rsidRPr="00F5600D">
        <w:rPr>
          <w:sz w:val="24"/>
          <w:szCs w:val="24"/>
        </w:rPr>
        <w:t xml:space="preserve">In earlier times, the Privy Council was the final court of appeal for </w:t>
      </w:r>
      <w:r w:rsidR="00E150D6" w:rsidRPr="00F5600D">
        <w:rPr>
          <w:sz w:val="24"/>
          <w:szCs w:val="24"/>
        </w:rPr>
        <w:t xml:space="preserve">many </w:t>
      </w:r>
      <w:r w:rsidR="00F71B37" w:rsidRPr="00F5600D">
        <w:rPr>
          <w:sz w:val="24"/>
          <w:szCs w:val="24"/>
        </w:rPr>
        <w:t xml:space="preserve">jurisdictions. </w:t>
      </w:r>
      <w:r w:rsidR="000824B0" w:rsidRPr="00F5600D">
        <w:rPr>
          <w:sz w:val="24"/>
          <w:szCs w:val="24"/>
        </w:rPr>
        <w:t xml:space="preserve">Indeed, by almost any conceivable measure of the </w:t>
      </w:r>
      <w:r w:rsidR="00FA41D8" w:rsidRPr="00F5600D">
        <w:rPr>
          <w:sz w:val="24"/>
          <w:szCs w:val="24"/>
        </w:rPr>
        <w:t>extent</w:t>
      </w:r>
      <w:r w:rsidR="000824B0" w:rsidRPr="00F5600D">
        <w:rPr>
          <w:sz w:val="24"/>
          <w:szCs w:val="24"/>
        </w:rPr>
        <w:t xml:space="preserve"> of a court’s jurisdiction </w:t>
      </w:r>
      <w:r w:rsidR="00E91AD1">
        <w:rPr>
          <w:sz w:val="24"/>
          <w:szCs w:val="24"/>
        </w:rPr>
        <w:t xml:space="preserve">(eg, </w:t>
      </w:r>
      <w:r w:rsidR="00A472BF">
        <w:rPr>
          <w:sz w:val="24"/>
          <w:szCs w:val="24"/>
        </w:rPr>
        <w:t xml:space="preserve">the </w:t>
      </w:r>
      <w:r w:rsidR="00761D45">
        <w:rPr>
          <w:sz w:val="24"/>
          <w:szCs w:val="24"/>
        </w:rPr>
        <w:t xml:space="preserve">number of people </w:t>
      </w:r>
      <w:r w:rsidR="00FA41D8" w:rsidRPr="00F5600D">
        <w:rPr>
          <w:sz w:val="24"/>
          <w:szCs w:val="24"/>
        </w:rPr>
        <w:t>subject to its authority</w:t>
      </w:r>
      <w:r w:rsidR="000824B0" w:rsidRPr="00F5600D">
        <w:rPr>
          <w:sz w:val="24"/>
          <w:szCs w:val="24"/>
        </w:rPr>
        <w:t xml:space="preserve">, </w:t>
      </w:r>
      <w:r w:rsidR="00761D45">
        <w:rPr>
          <w:sz w:val="24"/>
          <w:szCs w:val="24"/>
        </w:rPr>
        <w:t xml:space="preserve">the size of the </w:t>
      </w:r>
      <w:r w:rsidR="00FA41D8" w:rsidRPr="00F5600D">
        <w:rPr>
          <w:sz w:val="24"/>
          <w:szCs w:val="24"/>
        </w:rPr>
        <w:t>geographical area</w:t>
      </w:r>
      <w:r w:rsidR="00A472BF">
        <w:rPr>
          <w:sz w:val="24"/>
          <w:szCs w:val="24"/>
        </w:rPr>
        <w:t xml:space="preserve"> </w:t>
      </w:r>
      <w:r w:rsidR="00E91AD1">
        <w:rPr>
          <w:sz w:val="24"/>
          <w:szCs w:val="24"/>
        </w:rPr>
        <w:t>in which its decisions apply</w:t>
      </w:r>
      <w:r w:rsidR="000824B0" w:rsidRPr="00F5600D">
        <w:rPr>
          <w:sz w:val="24"/>
          <w:szCs w:val="24"/>
        </w:rPr>
        <w:t>, and so on</w:t>
      </w:r>
      <w:r w:rsidR="00E91AD1">
        <w:rPr>
          <w:sz w:val="24"/>
          <w:szCs w:val="24"/>
        </w:rPr>
        <w:t>)</w:t>
      </w:r>
      <w:r w:rsidR="000824B0" w:rsidRPr="00F5600D">
        <w:rPr>
          <w:sz w:val="24"/>
          <w:szCs w:val="24"/>
        </w:rPr>
        <w:t xml:space="preserve">, the Privy Council had a </w:t>
      </w:r>
      <w:r w:rsidR="00FA41D8" w:rsidRPr="00F5600D">
        <w:rPr>
          <w:sz w:val="24"/>
          <w:szCs w:val="24"/>
        </w:rPr>
        <w:t xml:space="preserve">larger </w:t>
      </w:r>
      <w:r w:rsidR="000824B0" w:rsidRPr="00F5600D">
        <w:rPr>
          <w:sz w:val="24"/>
          <w:szCs w:val="24"/>
        </w:rPr>
        <w:t xml:space="preserve">jurisdiction than any other court that has ever existed. </w:t>
      </w:r>
      <w:r w:rsidRPr="00F5600D">
        <w:rPr>
          <w:sz w:val="24"/>
          <w:szCs w:val="24"/>
        </w:rPr>
        <w:t xml:space="preserve">Its position at the apex of </w:t>
      </w:r>
      <w:r w:rsidR="00A472BF">
        <w:rPr>
          <w:sz w:val="24"/>
          <w:szCs w:val="24"/>
        </w:rPr>
        <w:t xml:space="preserve">numerous </w:t>
      </w:r>
      <w:r w:rsidRPr="00F5600D">
        <w:rPr>
          <w:sz w:val="24"/>
          <w:szCs w:val="24"/>
        </w:rPr>
        <w:t xml:space="preserve">court hierarchies made a significant contribution to uniformity in the law </w:t>
      </w:r>
      <w:r w:rsidR="00DA6C6D" w:rsidRPr="00F5600D">
        <w:rPr>
          <w:sz w:val="24"/>
          <w:szCs w:val="24"/>
        </w:rPr>
        <w:t>across the common law world</w:t>
      </w:r>
      <w:r w:rsidRPr="00F5600D">
        <w:rPr>
          <w:sz w:val="24"/>
          <w:szCs w:val="24"/>
        </w:rPr>
        <w:t xml:space="preserve">. Indeed, </w:t>
      </w:r>
      <w:r w:rsidR="00434A43" w:rsidRPr="00F5600D">
        <w:rPr>
          <w:sz w:val="24"/>
          <w:szCs w:val="24"/>
        </w:rPr>
        <w:t xml:space="preserve">it was thought in the past that the Privy Council enjoyed a judicial function </w:t>
      </w:r>
      <w:r w:rsidR="00A472BF">
        <w:rPr>
          <w:sz w:val="24"/>
          <w:szCs w:val="24"/>
        </w:rPr>
        <w:t xml:space="preserve">not just </w:t>
      </w:r>
      <w:r w:rsidR="00253972">
        <w:rPr>
          <w:sz w:val="24"/>
          <w:szCs w:val="24"/>
        </w:rPr>
        <w:t>out of a ‘desire to govern’ the ‘countless millions … all over the world’</w:t>
      </w:r>
      <w:bookmarkStart w:id="8" w:name="_Ref405039609"/>
      <w:r w:rsidR="00253972">
        <w:rPr>
          <w:rStyle w:val="FootnoteReference"/>
          <w:sz w:val="24"/>
          <w:szCs w:val="24"/>
        </w:rPr>
        <w:footnoteReference w:id="17"/>
      </w:r>
      <w:bookmarkEnd w:id="8"/>
      <w:r w:rsidR="00253972">
        <w:rPr>
          <w:sz w:val="24"/>
          <w:szCs w:val="24"/>
        </w:rPr>
        <w:t xml:space="preserve"> </w:t>
      </w:r>
      <w:r w:rsidR="001816DC">
        <w:rPr>
          <w:sz w:val="24"/>
          <w:szCs w:val="24"/>
        </w:rPr>
        <w:t xml:space="preserve">but also </w:t>
      </w:r>
      <w:r w:rsidR="00A472BF">
        <w:rPr>
          <w:sz w:val="24"/>
          <w:szCs w:val="24"/>
        </w:rPr>
        <w:t xml:space="preserve">as a result of a commitment to the view </w:t>
      </w:r>
      <w:r w:rsidR="00434A43" w:rsidRPr="00F5600D">
        <w:rPr>
          <w:sz w:val="24"/>
          <w:szCs w:val="24"/>
        </w:rPr>
        <w:t xml:space="preserve">that there was </w:t>
      </w:r>
      <w:r w:rsidR="00A472BF">
        <w:rPr>
          <w:sz w:val="24"/>
          <w:szCs w:val="24"/>
        </w:rPr>
        <w:t xml:space="preserve">and should be </w:t>
      </w:r>
      <w:r w:rsidR="00434A43" w:rsidRPr="00F5600D">
        <w:rPr>
          <w:sz w:val="24"/>
          <w:szCs w:val="24"/>
        </w:rPr>
        <w:t>a single common law</w:t>
      </w:r>
      <w:r w:rsidR="00E150D6" w:rsidRPr="00F5600D">
        <w:rPr>
          <w:sz w:val="24"/>
          <w:szCs w:val="24"/>
        </w:rPr>
        <w:t xml:space="preserve"> throughout the world</w:t>
      </w:r>
      <w:r w:rsidR="00434A43" w:rsidRPr="00F5600D">
        <w:rPr>
          <w:sz w:val="24"/>
          <w:szCs w:val="24"/>
        </w:rPr>
        <w:t>.</w:t>
      </w:r>
      <w:r w:rsidR="009B0D2E">
        <w:rPr>
          <w:rStyle w:val="FootnoteReference"/>
          <w:sz w:val="24"/>
          <w:szCs w:val="24"/>
        </w:rPr>
        <w:footnoteReference w:id="18"/>
      </w:r>
      <w:r w:rsidR="00434A43" w:rsidRPr="00F5600D">
        <w:rPr>
          <w:sz w:val="24"/>
          <w:szCs w:val="24"/>
        </w:rPr>
        <w:t xml:space="preserve"> </w:t>
      </w:r>
      <w:r w:rsidRPr="00F5600D">
        <w:rPr>
          <w:sz w:val="24"/>
          <w:szCs w:val="24"/>
        </w:rPr>
        <w:t xml:space="preserve">The possibility that there could be as many systems of common law as there were common law jurisdictions was regarded as </w:t>
      </w:r>
      <w:r w:rsidR="0084736E">
        <w:rPr>
          <w:sz w:val="24"/>
          <w:szCs w:val="24"/>
        </w:rPr>
        <w:t xml:space="preserve">deeply </w:t>
      </w:r>
      <w:r w:rsidRPr="00F5600D">
        <w:rPr>
          <w:sz w:val="24"/>
          <w:szCs w:val="24"/>
        </w:rPr>
        <w:t xml:space="preserve">repugnant. </w:t>
      </w:r>
      <w:r w:rsidR="007940A4" w:rsidRPr="00F5600D">
        <w:rPr>
          <w:sz w:val="24"/>
          <w:szCs w:val="24"/>
        </w:rPr>
        <w:t xml:space="preserve">For example, in </w:t>
      </w:r>
      <w:r w:rsidR="007940A4" w:rsidRPr="00F5600D">
        <w:rPr>
          <w:i/>
          <w:sz w:val="24"/>
          <w:szCs w:val="24"/>
        </w:rPr>
        <w:t xml:space="preserve">Trimble v Hill </w:t>
      </w:r>
      <w:r w:rsidR="007940A4" w:rsidRPr="00F5600D">
        <w:rPr>
          <w:sz w:val="24"/>
          <w:szCs w:val="24"/>
        </w:rPr>
        <w:t>the Privy Council said that ‘it is of the utmost importance that in all parts of the Empire where English law prevails, the interpretation of that law by the Courts should be as nearly as possible the same’.</w:t>
      </w:r>
      <w:r w:rsidR="007940A4" w:rsidRPr="00F5600D">
        <w:rPr>
          <w:rStyle w:val="FootnoteReference"/>
          <w:sz w:val="24"/>
          <w:szCs w:val="24"/>
        </w:rPr>
        <w:footnoteReference w:id="19"/>
      </w:r>
      <w:r w:rsidR="007940A4" w:rsidRPr="00F5600D">
        <w:rPr>
          <w:sz w:val="24"/>
          <w:szCs w:val="24"/>
        </w:rPr>
        <w:t xml:space="preserve"> As late as 1972</w:t>
      </w:r>
      <w:r w:rsidR="00DA6C6D" w:rsidRPr="00F5600D">
        <w:rPr>
          <w:sz w:val="24"/>
          <w:szCs w:val="24"/>
        </w:rPr>
        <w:t>,</w:t>
      </w:r>
      <w:r w:rsidR="007940A4" w:rsidRPr="00F5600D">
        <w:rPr>
          <w:sz w:val="24"/>
          <w:szCs w:val="24"/>
        </w:rPr>
        <w:t xml:space="preserve"> Lord Hailsham</w:t>
      </w:r>
      <w:r w:rsidR="00E7343B" w:rsidRPr="00F5600D">
        <w:rPr>
          <w:sz w:val="24"/>
          <w:szCs w:val="24"/>
        </w:rPr>
        <w:t> </w:t>
      </w:r>
      <w:r w:rsidR="007940A4" w:rsidRPr="00F5600D">
        <w:rPr>
          <w:sz w:val="24"/>
          <w:szCs w:val="24"/>
        </w:rPr>
        <w:t xml:space="preserve">LC </w:t>
      </w:r>
      <w:r w:rsidR="00DA6C6D" w:rsidRPr="00F5600D">
        <w:rPr>
          <w:sz w:val="24"/>
          <w:szCs w:val="24"/>
        </w:rPr>
        <w:t xml:space="preserve">remarked in </w:t>
      </w:r>
      <w:r w:rsidR="00984A75" w:rsidRPr="00F5600D">
        <w:rPr>
          <w:i/>
          <w:sz w:val="24"/>
          <w:szCs w:val="24"/>
        </w:rPr>
        <w:t>Cassell &amp; Co Ltd v Broome</w:t>
      </w:r>
      <w:r w:rsidR="00984A75" w:rsidRPr="00F5600D">
        <w:rPr>
          <w:sz w:val="24"/>
          <w:szCs w:val="24"/>
        </w:rPr>
        <w:t>, a decision of the House of Lords:</w:t>
      </w:r>
      <w:r w:rsidR="007940A4" w:rsidRPr="00F5600D">
        <w:rPr>
          <w:sz w:val="24"/>
          <w:szCs w:val="24"/>
        </w:rPr>
        <w:t xml:space="preserve"> ‘I view with dismay the doctrine that the common law should differ in different parts of the Commonwealth’.</w:t>
      </w:r>
      <w:r w:rsidR="007940A4" w:rsidRPr="00F5600D">
        <w:rPr>
          <w:rStyle w:val="FootnoteReference"/>
          <w:sz w:val="24"/>
          <w:szCs w:val="24"/>
        </w:rPr>
        <w:footnoteReference w:id="20"/>
      </w:r>
      <w:r w:rsidR="007940A4" w:rsidRPr="00F5600D">
        <w:rPr>
          <w:sz w:val="24"/>
          <w:szCs w:val="24"/>
        </w:rPr>
        <w:t xml:space="preserve"> </w:t>
      </w:r>
    </w:p>
    <w:p w14:paraId="3E13256A" w14:textId="01A41483" w:rsidR="00D10FFC" w:rsidRPr="00F5600D" w:rsidRDefault="003D76ED" w:rsidP="00F5600D">
      <w:pPr>
        <w:tabs>
          <w:tab w:val="left" w:pos="284"/>
        </w:tabs>
        <w:spacing w:after="0" w:line="240" w:lineRule="auto"/>
        <w:ind w:firstLine="284"/>
        <w:jc w:val="both"/>
        <w:rPr>
          <w:sz w:val="24"/>
          <w:szCs w:val="24"/>
        </w:rPr>
      </w:pPr>
      <w:r w:rsidRPr="00F5600D">
        <w:rPr>
          <w:sz w:val="24"/>
          <w:szCs w:val="24"/>
        </w:rPr>
        <w:t>It is worth observing that t</w:t>
      </w:r>
      <w:r w:rsidR="005833C2" w:rsidRPr="00F5600D">
        <w:rPr>
          <w:sz w:val="24"/>
          <w:szCs w:val="24"/>
        </w:rPr>
        <w:t xml:space="preserve">his understanding </w:t>
      </w:r>
      <w:r w:rsidRPr="00F5600D">
        <w:rPr>
          <w:sz w:val="24"/>
          <w:szCs w:val="24"/>
        </w:rPr>
        <w:t xml:space="preserve">– that there was </w:t>
      </w:r>
      <w:r w:rsidR="00434A43" w:rsidRPr="00F5600D">
        <w:rPr>
          <w:sz w:val="24"/>
          <w:szCs w:val="24"/>
        </w:rPr>
        <w:t xml:space="preserve">(and should be) </w:t>
      </w:r>
      <w:r w:rsidRPr="00F5600D">
        <w:rPr>
          <w:sz w:val="24"/>
          <w:szCs w:val="24"/>
        </w:rPr>
        <w:t xml:space="preserve">a single common law </w:t>
      </w:r>
      <w:r w:rsidR="00115188" w:rsidRPr="00F5600D">
        <w:rPr>
          <w:sz w:val="24"/>
          <w:szCs w:val="24"/>
        </w:rPr>
        <w:t xml:space="preserve">throughout the world </w:t>
      </w:r>
      <w:r w:rsidRPr="00F5600D">
        <w:rPr>
          <w:sz w:val="24"/>
          <w:szCs w:val="24"/>
        </w:rPr>
        <w:t xml:space="preserve">– </w:t>
      </w:r>
      <w:r w:rsidR="005833C2" w:rsidRPr="00F5600D">
        <w:rPr>
          <w:sz w:val="24"/>
          <w:szCs w:val="24"/>
        </w:rPr>
        <w:t xml:space="preserve">was closely associated with the declaratory theory of the common law. According to this theory, which held a firm grip on the minds of jurists </w:t>
      </w:r>
      <w:r w:rsidR="00984A75" w:rsidRPr="00F5600D">
        <w:rPr>
          <w:sz w:val="24"/>
          <w:szCs w:val="24"/>
        </w:rPr>
        <w:t>in earlier times</w:t>
      </w:r>
      <w:r w:rsidR="005833C2" w:rsidRPr="00F5600D">
        <w:rPr>
          <w:sz w:val="24"/>
          <w:szCs w:val="24"/>
        </w:rPr>
        <w:t>, the common law had existed since time immemorial and the role of judges was simply to declare its content. The common law</w:t>
      </w:r>
      <w:r w:rsidR="00984A75" w:rsidRPr="00F5600D">
        <w:rPr>
          <w:sz w:val="24"/>
          <w:szCs w:val="24"/>
        </w:rPr>
        <w:t xml:space="preserve">, on this </w:t>
      </w:r>
      <w:r w:rsidR="00115188" w:rsidRPr="00F5600D">
        <w:rPr>
          <w:sz w:val="24"/>
          <w:szCs w:val="24"/>
        </w:rPr>
        <w:t>account</w:t>
      </w:r>
      <w:r w:rsidR="00984A75" w:rsidRPr="00F5600D">
        <w:rPr>
          <w:sz w:val="24"/>
          <w:szCs w:val="24"/>
        </w:rPr>
        <w:t>,</w:t>
      </w:r>
      <w:r w:rsidR="005833C2" w:rsidRPr="00F5600D">
        <w:rPr>
          <w:sz w:val="24"/>
          <w:szCs w:val="24"/>
        </w:rPr>
        <w:t xml:space="preserve"> did not change</w:t>
      </w:r>
      <w:r w:rsidR="00984A75" w:rsidRPr="00F5600D">
        <w:rPr>
          <w:sz w:val="24"/>
          <w:szCs w:val="24"/>
        </w:rPr>
        <w:t xml:space="preserve">, and judges certainly did not make </w:t>
      </w:r>
      <w:r w:rsidRPr="00F5600D">
        <w:rPr>
          <w:sz w:val="24"/>
          <w:szCs w:val="24"/>
        </w:rPr>
        <w:t>the common law</w:t>
      </w:r>
      <w:r w:rsidR="00984A75" w:rsidRPr="00F5600D">
        <w:rPr>
          <w:sz w:val="24"/>
          <w:szCs w:val="24"/>
        </w:rPr>
        <w:t>. W</w:t>
      </w:r>
      <w:r w:rsidR="005833C2" w:rsidRPr="00F5600D">
        <w:rPr>
          <w:sz w:val="24"/>
          <w:szCs w:val="24"/>
        </w:rPr>
        <w:t xml:space="preserve">hen the courts departed from previous authority, </w:t>
      </w:r>
      <w:r w:rsidR="00984A75" w:rsidRPr="00F5600D">
        <w:rPr>
          <w:sz w:val="24"/>
          <w:szCs w:val="24"/>
        </w:rPr>
        <w:t xml:space="preserve">the common law </w:t>
      </w:r>
      <w:r w:rsidR="005833C2" w:rsidRPr="00F5600D">
        <w:rPr>
          <w:sz w:val="24"/>
          <w:szCs w:val="24"/>
        </w:rPr>
        <w:t xml:space="preserve">was simply being correctly re-expressed. Of course, there are few judges or </w:t>
      </w:r>
      <w:r w:rsidR="00984A75" w:rsidRPr="00F5600D">
        <w:rPr>
          <w:sz w:val="24"/>
          <w:szCs w:val="24"/>
        </w:rPr>
        <w:t xml:space="preserve">scholars </w:t>
      </w:r>
      <w:r w:rsidR="005833C2" w:rsidRPr="00F5600D">
        <w:rPr>
          <w:sz w:val="24"/>
          <w:szCs w:val="24"/>
        </w:rPr>
        <w:t>who these days place any faith in this theory</w:t>
      </w:r>
      <w:r w:rsidR="00984A75" w:rsidRPr="00F5600D">
        <w:rPr>
          <w:sz w:val="24"/>
          <w:szCs w:val="24"/>
        </w:rPr>
        <w:t>.</w:t>
      </w:r>
      <w:bookmarkStart w:id="9" w:name="_Ref403464631"/>
      <w:r w:rsidR="001501B6" w:rsidRPr="00F5600D">
        <w:rPr>
          <w:rStyle w:val="FootnoteReference"/>
          <w:sz w:val="24"/>
          <w:szCs w:val="24"/>
        </w:rPr>
        <w:footnoteReference w:id="21"/>
      </w:r>
      <w:bookmarkEnd w:id="9"/>
      <w:r w:rsidR="005833C2" w:rsidRPr="00F5600D">
        <w:rPr>
          <w:sz w:val="24"/>
          <w:szCs w:val="24"/>
        </w:rPr>
        <w:t xml:space="preserve"> </w:t>
      </w:r>
      <w:r w:rsidRPr="00F5600D">
        <w:rPr>
          <w:sz w:val="24"/>
          <w:szCs w:val="24"/>
        </w:rPr>
        <w:t xml:space="preserve">The declaratory theory was famously dismissed by Lord Reid </w:t>
      </w:r>
      <w:r w:rsidR="00434A43" w:rsidRPr="00F5600D">
        <w:rPr>
          <w:sz w:val="24"/>
          <w:szCs w:val="24"/>
        </w:rPr>
        <w:t xml:space="preserve">in 1972 </w:t>
      </w:r>
      <w:r w:rsidRPr="00F5600D">
        <w:rPr>
          <w:sz w:val="24"/>
          <w:szCs w:val="24"/>
        </w:rPr>
        <w:t>as a ‘fairy tale’.</w:t>
      </w:r>
      <w:r w:rsidRPr="00F5600D">
        <w:rPr>
          <w:rStyle w:val="FootnoteReference"/>
          <w:sz w:val="24"/>
          <w:szCs w:val="24"/>
        </w:rPr>
        <w:footnoteReference w:id="22"/>
      </w:r>
      <w:r w:rsidRPr="00F5600D">
        <w:rPr>
          <w:sz w:val="24"/>
          <w:szCs w:val="24"/>
        </w:rPr>
        <w:t xml:space="preserve"> </w:t>
      </w:r>
      <w:r w:rsidR="00286206" w:rsidRPr="00F5600D">
        <w:rPr>
          <w:sz w:val="24"/>
          <w:szCs w:val="24"/>
        </w:rPr>
        <w:t xml:space="preserve">The view that there was but a single common law </w:t>
      </w:r>
      <w:r w:rsidR="00115188" w:rsidRPr="00F5600D">
        <w:rPr>
          <w:sz w:val="24"/>
          <w:szCs w:val="24"/>
        </w:rPr>
        <w:t xml:space="preserve">throughout the world </w:t>
      </w:r>
      <w:r w:rsidR="00286206" w:rsidRPr="00F5600D">
        <w:rPr>
          <w:sz w:val="24"/>
          <w:szCs w:val="24"/>
        </w:rPr>
        <w:t xml:space="preserve">was </w:t>
      </w:r>
      <w:r w:rsidR="00D10FFC" w:rsidRPr="00F5600D">
        <w:rPr>
          <w:sz w:val="24"/>
          <w:szCs w:val="24"/>
        </w:rPr>
        <w:t>connected with the declaratory theory</w:t>
      </w:r>
      <w:r w:rsidR="0084736E">
        <w:rPr>
          <w:sz w:val="24"/>
          <w:szCs w:val="24"/>
        </w:rPr>
        <w:t>. T</w:t>
      </w:r>
      <w:r w:rsidR="00D10FFC" w:rsidRPr="00F5600D">
        <w:rPr>
          <w:sz w:val="24"/>
          <w:szCs w:val="24"/>
        </w:rPr>
        <w:t xml:space="preserve">he possibility that the common law might be different in different jurisdictions would have sat </w:t>
      </w:r>
      <w:r w:rsidR="0084736E">
        <w:rPr>
          <w:sz w:val="24"/>
          <w:szCs w:val="24"/>
        </w:rPr>
        <w:t xml:space="preserve">most </w:t>
      </w:r>
      <w:r w:rsidR="00D10FFC" w:rsidRPr="00F5600D">
        <w:rPr>
          <w:sz w:val="24"/>
          <w:szCs w:val="24"/>
        </w:rPr>
        <w:t xml:space="preserve">uncomfortably with that theory. </w:t>
      </w:r>
    </w:p>
    <w:p w14:paraId="7F8F16B7" w14:textId="6CF6946E" w:rsidR="00F03162" w:rsidRPr="00F5600D" w:rsidRDefault="007648DC" w:rsidP="00F5600D">
      <w:pPr>
        <w:tabs>
          <w:tab w:val="left" w:pos="284"/>
        </w:tabs>
        <w:spacing w:after="0" w:line="240" w:lineRule="auto"/>
        <w:ind w:firstLine="284"/>
        <w:jc w:val="both"/>
        <w:rPr>
          <w:sz w:val="24"/>
          <w:szCs w:val="24"/>
        </w:rPr>
      </w:pPr>
      <w:r w:rsidRPr="00F5600D">
        <w:rPr>
          <w:sz w:val="24"/>
          <w:szCs w:val="24"/>
        </w:rPr>
        <w:lastRenderedPageBreak/>
        <w:t xml:space="preserve">It is important to </w:t>
      </w:r>
      <w:r w:rsidR="00984A75" w:rsidRPr="00F5600D">
        <w:rPr>
          <w:sz w:val="24"/>
          <w:szCs w:val="24"/>
        </w:rPr>
        <w:t xml:space="preserve">understand </w:t>
      </w:r>
      <w:r w:rsidRPr="00F5600D">
        <w:rPr>
          <w:sz w:val="24"/>
          <w:szCs w:val="24"/>
        </w:rPr>
        <w:t xml:space="preserve">exactly how the fact that the Privy Council was the ultimate appellate court for </w:t>
      </w:r>
      <w:r w:rsidR="00984A75" w:rsidRPr="00F5600D">
        <w:rPr>
          <w:sz w:val="24"/>
          <w:szCs w:val="24"/>
        </w:rPr>
        <w:t xml:space="preserve">several </w:t>
      </w:r>
      <w:r w:rsidRPr="00F5600D">
        <w:rPr>
          <w:sz w:val="24"/>
          <w:szCs w:val="24"/>
        </w:rPr>
        <w:t xml:space="preserve">jurisdictions had a </w:t>
      </w:r>
      <w:r w:rsidR="0084736E">
        <w:rPr>
          <w:sz w:val="24"/>
          <w:szCs w:val="24"/>
        </w:rPr>
        <w:t xml:space="preserve">powerful </w:t>
      </w:r>
      <w:r w:rsidRPr="00F5600D">
        <w:rPr>
          <w:sz w:val="24"/>
          <w:szCs w:val="24"/>
        </w:rPr>
        <w:t>unifying effect</w:t>
      </w:r>
      <w:r w:rsidR="00984A75" w:rsidRPr="00F5600D">
        <w:rPr>
          <w:sz w:val="24"/>
          <w:szCs w:val="24"/>
        </w:rPr>
        <w:t xml:space="preserve"> on the law throughout the common law world</w:t>
      </w:r>
      <w:r w:rsidRPr="00F5600D">
        <w:rPr>
          <w:sz w:val="24"/>
          <w:szCs w:val="24"/>
        </w:rPr>
        <w:t xml:space="preserve">. </w:t>
      </w:r>
      <w:r w:rsidR="00F03162" w:rsidRPr="00F5600D">
        <w:rPr>
          <w:sz w:val="24"/>
          <w:szCs w:val="24"/>
        </w:rPr>
        <w:t xml:space="preserve">The dominant view regarding </w:t>
      </w:r>
      <w:r w:rsidR="00E91AD1">
        <w:rPr>
          <w:sz w:val="24"/>
          <w:szCs w:val="24"/>
        </w:rPr>
        <w:t xml:space="preserve">the precedential status of the </w:t>
      </w:r>
      <w:r w:rsidR="00F03162" w:rsidRPr="00F5600D">
        <w:rPr>
          <w:sz w:val="24"/>
          <w:szCs w:val="24"/>
        </w:rPr>
        <w:t xml:space="preserve">Privy Council’s decisions </w:t>
      </w:r>
      <w:r w:rsidR="00A472BF">
        <w:rPr>
          <w:sz w:val="24"/>
          <w:szCs w:val="24"/>
        </w:rPr>
        <w:t xml:space="preserve">is that they have binding force </w:t>
      </w:r>
      <w:r w:rsidR="00F03162" w:rsidRPr="00F5600D">
        <w:rPr>
          <w:sz w:val="24"/>
          <w:szCs w:val="24"/>
        </w:rPr>
        <w:t>not only in the jurisdiction from which a given appeal c</w:t>
      </w:r>
      <w:r w:rsidR="004106B9">
        <w:rPr>
          <w:sz w:val="24"/>
          <w:szCs w:val="24"/>
        </w:rPr>
        <w:t>omes</w:t>
      </w:r>
      <w:r w:rsidR="00F03162" w:rsidRPr="00F5600D">
        <w:rPr>
          <w:sz w:val="24"/>
          <w:szCs w:val="24"/>
        </w:rPr>
        <w:t xml:space="preserve">, but </w:t>
      </w:r>
      <w:r w:rsidR="007076AC" w:rsidRPr="00F5600D">
        <w:rPr>
          <w:sz w:val="24"/>
          <w:szCs w:val="24"/>
        </w:rPr>
        <w:t xml:space="preserve">in </w:t>
      </w:r>
      <w:r w:rsidR="00F03162" w:rsidRPr="00F5600D">
        <w:rPr>
          <w:sz w:val="24"/>
          <w:szCs w:val="24"/>
        </w:rPr>
        <w:t>all jurisdictions from which the Privy Council hears appeals.</w:t>
      </w:r>
      <w:r w:rsidR="00F03162" w:rsidRPr="00F5600D">
        <w:rPr>
          <w:rStyle w:val="FootnoteReference"/>
          <w:sz w:val="24"/>
          <w:szCs w:val="24"/>
        </w:rPr>
        <w:footnoteReference w:id="23"/>
      </w:r>
      <w:r w:rsidR="00F03162" w:rsidRPr="00F5600D">
        <w:rPr>
          <w:sz w:val="24"/>
          <w:szCs w:val="24"/>
        </w:rPr>
        <w:t xml:space="preserve"> So, if the Privy Council settles the law as being X on an appeal from jurisdiction Y, X is the law not only in jurisdiction Y but in all jurisdictions from which an appeal to the Privy Council lies. The Privy Council, while it</w:t>
      </w:r>
      <w:r w:rsidR="002779FB" w:rsidRPr="00F5600D">
        <w:rPr>
          <w:sz w:val="24"/>
          <w:szCs w:val="24"/>
        </w:rPr>
        <w:t>s</w:t>
      </w:r>
      <w:r w:rsidR="00F03162" w:rsidRPr="00F5600D">
        <w:rPr>
          <w:sz w:val="24"/>
          <w:szCs w:val="24"/>
        </w:rPr>
        <w:t xml:space="preserve"> overseas jurisdiction was at its zenith, </w:t>
      </w:r>
      <w:r w:rsidR="007076AC" w:rsidRPr="00F5600D">
        <w:rPr>
          <w:sz w:val="24"/>
          <w:szCs w:val="24"/>
        </w:rPr>
        <w:t xml:space="preserve">thus </w:t>
      </w:r>
      <w:r w:rsidR="0084736E">
        <w:rPr>
          <w:sz w:val="24"/>
          <w:szCs w:val="24"/>
        </w:rPr>
        <w:t xml:space="preserve">contributed greatly to uniformity in the law </w:t>
      </w:r>
      <w:r w:rsidR="00A07EC3" w:rsidRPr="00F5600D">
        <w:rPr>
          <w:sz w:val="24"/>
          <w:szCs w:val="24"/>
        </w:rPr>
        <w:t xml:space="preserve">throughout the common law </w:t>
      </w:r>
      <w:r w:rsidR="004106B9">
        <w:rPr>
          <w:sz w:val="24"/>
          <w:szCs w:val="24"/>
        </w:rPr>
        <w:t>world</w:t>
      </w:r>
      <w:r w:rsidR="00F03162" w:rsidRPr="00F5600D">
        <w:rPr>
          <w:sz w:val="24"/>
          <w:szCs w:val="24"/>
        </w:rPr>
        <w:t xml:space="preserve">. </w:t>
      </w:r>
      <w:r w:rsidR="00D80739" w:rsidRPr="00F5600D">
        <w:rPr>
          <w:sz w:val="24"/>
          <w:szCs w:val="24"/>
        </w:rPr>
        <w:t xml:space="preserve">By </w:t>
      </w:r>
      <w:r w:rsidR="00797C08">
        <w:rPr>
          <w:sz w:val="24"/>
          <w:szCs w:val="24"/>
        </w:rPr>
        <w:t xml:space="preserve">a </w:t>
      </w:r>
      <w:r w:rsidR="00A07EC3" w:rsidRPr="00F5600D">
        <w:rPr>
          <w:sz w:val="24"/>
          <w:szCs w:val="24"/>
        </w:rPr>
        <w:t>single decision</w:t>
      </w:r>
      <w:r w:rsidR="004106B9">
        <w:rPr>
          <w:sz w:val="24"/>
          <w:szCs w:val="24"/>
        </w:rPr>
        <w:t>,</w:t>
      </w:r>
      <w:r w:rsidR="00A07EC3" w:rsidRPr="00F5600D">
        <w:rPr>
          <w:sz w:val="24"/>
          <w:szCs w:val="24"/>
        </w:rPr>
        <w:t xml:space="preserve"> </w:t>
      </w:r>
      <w:r w:rsidR="00D80739" w:rsidRPr="00F5600D">
        <w:rPr>
          <w:sz w:val="24"/>
          <w:szCs w:val="24"/>
        </w:rPr>
        <w:t xml:space="preserve">the Privy Council </w:t>
      </w:r>
      <w:r w:rsidR="00A07EC3" w:rsidRPr="00F5600D">
        <w:rPr>
          <w:sz w:val="24"/>
          <w:szCs w:val="24"/>
        </w:rPr>
        <w:t>would lay down the law for a great many jurisdiction</w:t>
      </w:r>
      <w:r w:rsidR="00797C08">
        <w:rPr>
          <w:sz w:val="24"/>
          <w:szCs w:val="24"/>
        </w:rPr>
        <w:t>s, including, arguably, Britain</w:t>
      </w:r>
      <w:r w:rsidR="00A07EC3" w:rsidRPr="00F5600D">
        <w:rPr>
          <w:sz w:val="24"/>
          <w:szCs w:val="24"/>
        </w:rPr>
        <w:t>.</w:t>
      </w:r>
      <w:bookmarkStart w:id="10" w:name="_Ref403415195"/>
      <w:r w:rsidR="00A07EC3" w:rsidRPr="00F5600D">
        <w:rPr>
          <w:rStyle w:val="FootnoteReference"/>
          <w:sz w:val="24"/>
          <w:szCs w:val="24"/>
        </w:rPr>
        <w:footnoteReference w:id="24"/>
      </w:r>
      <w:bookmarkEnd w:id="10"/>
      <w:r w:rsidR="00A07EC3" w:rsidRPr="00F5600D">
        <w:rPr>
          <w:sz w:val="24"/>
          <w:szCs w:val="24"/>
        </w:rPr>
        <w:t xml:space="preserve"> </w:t>
      </w:r>
    </w:p>
    <w:p w14:paraId="2F676810" w14:textId="5865A552" w:rsidR="005833C2" w:rsidRPr="00F5600D" w:rsidRDefault="005833C2" w:rsidP="00F5600D">
      <w:pPr>
        <w:tabs>
          <w:tab w:val="left" w:pos="284"/>
        </w:tabs>
        <w:spacing w:after="0" w:line="240" w:lineRule="auto"/>
        <w:jc w:val="both"/>
        <w:rPr>
          <w:sz w:val="24"/>
          <w:szCs w:val="24"/>
        </w:rPr>
      </w:pPr>
      <w:r w:rsidRPr="00F5600D">
        <w:rPr>
          <w:sz w:val="24"/>
          <w:szCs w:val="24"/>
        </w:rPr>
        <w:tab/>
        <w:t xml:space="preserve">The dissolution of the British Empire and its replacement by the Commonwealth witnessed the removal of the Privy Council as the final court of appeal for many jurisdictions. </w:t>
      </w:r>
      <w:r w:rsidR="00986774" w:rsidRPr="00F5600D">
        <w:rPr>
          <w:sz w:val="24"/>
          <w:szCs w:val="24"/>
        </w:rPr>
        <w:t>The precise process by which this transition occurred</w:t>
      </w:r>
      <w:r w:rsidR="00D80739" w:rsidRPr="00F5600D">
        <w:rPr>
          <w:sz w:val="24"/>
          <w:szCs w:val="24"/>
        </w:rPr>
        <w:t xml:space="preserve">, which has </w:t>
      </w:r>
      <w:r w:rsidR="0084736E">
        <w:rPr>
          <w:sz w:val="24"/>
          <w:szCs w:val="24"/>
        </w:rPr>
        <w:t>a long history</w:t>
      </w:r>
      <w:r w:rsidR="00D80739" w:rsidRPr="00F5600D">
        <w:rPr>
          <w:sz w:val="24"/>
          <w:szCs w:val="24"/>
        </w:rPr>
        <w:t>,</w:t>
      </w:r>
      <w:r w:rsidR="00D80739" w:rsidRPr="00F5600D">
        <w:rPr>
          <w:rStyle w:val="FootnoteReference"/>
          <w:sz w:val="24"/>
          <w:szCs w:val="24"/>
        </w:rPr>
        <w:footnoteReference w:id="25"/>
      </w:r>
      <w:r w:rsidR="00986774" w:rsidRPr="00F5600D">
        <w:rPr>
          <w:sz w:val="24"/>
          <w:szCs w:val="24"/>
        </w:rPr>
        <w:t xml:space="preserve"> differ</w:t>
      </w:r>
      <w:r w:rsidR="006F65C3" w:rsidRPr="00F5600D">
        <w:rPr>
          <w:sz w:val="24"/>
          <w:szCs w:val="24"/>
        </w:rPr>
        <w:t>ed</w:t>
      </w:r>
      <w:r w:rsidR="00986774" w:rsidRPr="00F5600D">
        <w:rPr>
          <w:sz w:val="24"/>
          <w:szCs w:val="24"/>
        </w:rPr>
        <w:t xml:space="preserve"> from jurisdiction to jurisdiction. The details are complex, and </w:t>
      </w:r>
      <w:r w:rsidR="00F03162" w:rsidRPr="00F5600D">
        <w:rPr>
          <w:sz w:val="24"/>
          <w:szCs w:val="24"/>
        </w:rPr>
        <w:t xml:space="preserve">not terribly </w:t>
      </w:r>
      <w:r w:rsidR="00986774" w:rsidRPr="00F5600D">
        <w:rPr>
          <w:sz w:val="24"/>
          <w:szCs w:val="24"/>
        </w:rPr>
        <w:t xml:space="preserve">relevant for present purposes. It will suffice to make some </w:t>
      </w:r>
      <w:r w:rsidR="00FD5D48" w:rsidRPr="00F5600D">
        <w:rPr>
          <w:sz w:val="24"/>
          <w:szCs w:val="24"/>
        </w:rPr>
        <w:t xml:space="preserve">very </w:t>
      </w:r>
      <w:r w:rsidR="00986774" w:rsidRPr="00F5600D">
        <w:rPr>
          <w:sz w:val="24"/>
          <w:szCs w:val="24"/>
        </w:rPr>
        <w:t xml:space="preserve">general remarks. In the case of Australia, the process of limiting appeals to the Privy Council was a </w:t>
      </w:r>
      <w:r w:rsidR="00F03162" w:rsidRPr="00F5600D">
        <w:rPr>
          <w:sz w:val="24"/>
          <w:szCs w:val="24"/>
        </w:rPr>
        <w:t xml:space="preserve">protracted </w:t>
      </w:r>
      <w:r w:rsidR="00A26B0C" w:rsidRPr="00F5600D">
        <w:rPr>
          <w:sz w:val="24"/>
          <w:szCs w:val="24"/>
        </w:rPr>
        <w:t>one lasting many decades.</w:t>
      </w:r>
      <w:r w:rsidR="006F5325" w:rsidRPr="00F5600D">
        <w:rPr>
          <w:rStyle w:val="FootnoteReference"/>
          <w:sz w:val="24"/>
          <w:szCs w:val="24"/>
        </w:rPr>
        <w:footnoteReference w:id="26"/>
      </w:r>
      <w:r w:rsidR="00986774" w:rsidRPr="00F5600D">
        <w:rPr>
          <w:sz w:val="24"/>
          <w:szCs w:val="24"/>
        </w:rPr>
        <w:t xml:space="preserve"> </w:t>
      </w:r>
      <w:r w:rsidR="006F5325" w:rsidRPr="00F5600D">
        <w:rPr>
          <w:sz w:val="24"/>
          <w:szCs w:val="24"/>
        </w:rPr>
        <w:t xml:space="preserve">It culminated with the enactment of the </w:t>
      </w:r>
      <w:r w:rsidR="006F5325" w:rsidRPr="00F5600D">
        <w:rPr>
          <w:i/>
          <w:sz w:val="24"/>
          <w:szCs w:val="24"/>
        </w:rPr>
        <w:t xml:space="preserve">Australia Act </w:t>
      </w:r>
      <w:r w:rsidR="006F5325" w:rsidRPr="00F5600D">
        <w:rPr>
          <w:sz w:val="24"/>
          <w:szCs w:val="24"/>
        </w:rPr>
        <w:t>1986 (</w:t>
      </w:r>
      <w:r w:rsidR="00FD5D48" w:rsidRPr="00F5600D">
        <w:rPr>
          <w:sz w:val="24"/>
          <w:szCs w:val="24"/>
        </w:rPr>
        <w:t>UK</w:t>
      </w:r>
      <w:r w:rsidR="006F5325" w:rsidRPr="00F5600D">
        <w:rPr>
          <w:sz w:val="24"/>
          <w:szCs w:val="24"/>
        </w:rPr>
        <w:t>)</w:t>
      </w:r>
      <w:r w:rsidR="00E518E8" w:rsidRPr="00F5600D">
        <w:rPr>
          <w:sz w:val="24"/>
          <w:szCs w:val="24"/>
        </w:rPr>
        <w:t xml:space="preserve"> and the </w:t>
      </w:r>
      <w:r w:rsidR="00E518E8" w:rsidRPr="00F5600D">
        <w:rPr>
          <w:i/>
          <w:sz w:val="24"/>
          <w:szCs w:val="24"/>
        </w:rPr>
        <w:t xml:space="preserve">Australia Act </w:t>
      </w:r>
      <w:r w:rsidR="00E518E8" w:rsidRPr="00F5600D">
        <w:rPr>
          <w:sz w:val="24"/>
          <w:szCs w:val="24"/>
        </w:rPr>
        <w:t>1986 (Cth)</w:t>
      </w:r>
      <w:r w:rsidR="006F5325" w:rsidRPr="00F5600D">
        <w:rPr>
          <w:sz w:val="24"/>
          <w:szCs w:val="24"/>
        </w:rPr>
        <w:t>,</w:t>
      </w:r>
      <w:r w:rsidR="006F06AA" w:rsidRPr="00F5600D">
        <w:rPr>
          <w:rStyle w:val="FootnoteReference"/>
          <w:sz w:val="24"/>
          <w:szCs w:val="24"/>
        </w:rPr>
        <w:footnoteReference w:id="27"/>
      </w:r>
      <w:r w:rsidR="006F5325" w:rsidRPr="00F5600D">
        <w:rPr>
          <w:sz w:val="24"/>
          <w:szCs w:val="24"/>
        </w:rPr>
        <w:t xml:space="preserve"> which, save for a merely theoretical possibility of appeals to the Privy Council on certain constitutional issues,</w:t>
      </w:r>
      <w:r w:rsidR="006F5325" w:rsidRPr="00F5600D">
        <w:rPr>
          <w:rStyle w:val="FootnoteReference"/>
          <w:sz w:val="24"/>
          <w:szCs w:val="24"/>
        </w:rPr>
        <w:footnoteReference w:id="28"/>
      </w:r>
      <w:r w:rsidR="006F5325" w:rsidRPr="00F5600D">
        <w:rPr>
          <w:sz w:val="24"/>
          <w:szCs w:val="24"/>
        </w:rPr>
        <w:t xml:space="preserve"> resulted in the complete termination of appeals from Australia. </w:t>
      </w:r>
      <w:r w:rsidR="00DB21CD" w:rsidRPr="00F5600D">
        <w:rPr>
          <w:sz w:val="24"/>
          <w:szCs w:val="24"/>
        </w:rPr>
        <w:t xml:space="preserve">The process in relation to Canada was </w:t>
      </w:r>
      <w:r w:rsidR="00FD5D48" w:rsidRPr="00F5600D">
        <w:rPr>
          <w:sz w:val="24"/>
          <w:szCs w:val="24"/>
        </w:rPr>
        <w:t xml:space="preserve">similarly </w:t>
      </w:r>
      <w:r w:rsidR="00DB21CD" w:rsidRPr="00F5600D">
        <w:rPr>
          <w:sz w:val="24"/>
          <w:szCs w:val="24"/>
        </w:rPr>
        <w:t>tortuous.</w:t>
      </w:r>
      <w:r w:rsidR="00DB21CD" w:rsidRPr="00F5600D">
        <w:rPr>
          <w:rStyle w:val="FootnoteReference"/>
          <w:sz w:val="24"/>
          <w:szCs w:val="24"/>
        </w:rPr>
        <w:footnoteReference w:id="29"/>
      </w:r>
      <w:r w:rsidR="00DB21CD" w:rsidRPr="00F5600D">
        <w:rPr>
          <w:sz w:val="24"/>
          <w:szCs w:val="24"/>
        </w:rPr>
        <w:t xml:space="preserve"> C</w:t>
      </w:r>
      <w:r w:rsidRPr="00F5600D">
        <w:rPr>
          <w:sz w:val="24"/>
          <w:szCs w:val="24"/>
        </w:rPr>
        <w:t xml:space="preserve">riminal appeals to the Privy Council were eliminated in 1933. Civil appeals to the Privy Council were ended in 1949, although appeals remained permissible in cases in which proceedings </w:t>
      </w:r>
      <w:r w:rsidR="00C801B0">
        <w:rPr>
          <w:sz w:val="24"/>
          <w:szCs w:val="24"/>
        </w:rPr>
        <w:t xml:space="preserve">were </w:t>
      </w:r>
      <w:r w:rsidRPr="00F5600D">
        <w:rPr>
          <w:sz w:val="24"/>
          <w:szCs w:val="24"/>
        </w:rPr>
        <w:t xml:space="preserve">commenced before this date. In 2003, the Supreme Court of New Zealand replaced the Privy Council as the ultimate appellate court for </w:t>
      </w:r>
      <w:r w:rsidR="00E91AD1">
        <w:rPr>
          <w:sz w:val="24"/>
          <w:szCs w:val="24"/>
        </w:rPr>
        <w:t>New Zealand</w:t>
      </w:r>
      <w:r w:rsidRPr="00F5600D">
        <w:rPr>
          <w:sz w:val="24"/>
          <w:szCs w:val="24"/>
        </w:rPr>
        <w:t>.</w:t>
      </w:r>
      <w:r w:rsidRPr="00F5600D">
        <w:rPr>
          <w:rStyle w:val="FootnoteReference"/>
          <w:sz w:val="24"/>
          <w:szCs w:val="24"/>
        </w:rPr>
        <w:footnoteReference w:id="30"/>
      </w:r>
      <w:r w:rsidRPr="00F5600D">
        <w:rPr>
          <w:sz w:val="24"/>
          <w:szCs w:val="24"/>
        </w:rPr>
        <w:t xml:space="preserve"> </w:t>
      </w:r>
      <w:r w:rsidR="00760A01" w:rsidRPr="00F5600D">
        <w:rPr>
          <w:sz w:val="24"/>
          <w:szCs w:val="24"/>
        </w:rPr>
        <w:t xml:space="preserve">A great many other jurisdictions have </w:t>
      </w:r>
      <w:r w:rsidR="006F65C3" w:rsidRPr="00F5600D">
        <w:rPr>
          <w:sz w:val="24"/>
          <w:szCs w:val="24"/>
        </w:rPr>
        <w:t xml:space="preserve">now also </w:t>
      </w:r>
      <w:r w:rsidR="00760A01" w:rsidRPr="00F5600D">
        <w:rPr>
          <w:sz w:val="24"/>
          <w:szCs w:val="24"/>
        </w:rPr>
        <w:t xml:space="preserve">abolished the right to appeal to the Privy Council. </w:t>
      </w:r>
      <w:r w:rsidR="00660D2D">
        <w:rPr>
          <w:sz w:val="24"/>
          <w:szCs w:val="24"/>
        </w:rPr>
        <w:t xml:space="preserve">As to the </w:t>
      </w:r>
      <w:r w:rsidR="0021270D" w:rsidRPr="00F5600D">
        <w:rPr>
          <w:sz w:val="24"/>
          <w:szCs w:val="24"/>
        </w:rPr>
        <w:t>scale of the decline in the Privy Council’s jurisdiction</w:t>
      </w:r>
      <w:r w:rsidR="00660D2D">
        <w:rPr>
          <w:sz w:val="24"/>
          <w:szCs w:val="24"/>
        </w:rPr>
        <w:t xml:space="preserve">, one </w:t>
      </w:r>
      <w:r w:rsidR="0021270D" w:rsidRPr="00F5600D">
        <w:rPr>
          <w:sz w:val="24"/>
          <w:szCs w:val="24"/>
        </w:rPr>
        <w:t xml:space="preserve">recent study </w:t>
      </w:r>
      <w:r w:rsidR="00011097">
        <w:rPr>
          <w:sz w:val="24"/>
          <w:szCs w:val="24"/>
        </w:rPr>
        <w:t xml:space="preserve">observes </w:t>
      </w:r>
      <w:r w:rsidR="0021270D" w:rsidRPr="00F5600D">
        <w:rPr>
          <w:sz w:val="24"/>
          <w:szCs w:val="24"/>
        </w:rPr>
        <w:t xml:space="preserve">that at the </w:t>
      </w:r>
      <w:r w:rsidR="00011097">
        <w:rPr>
          <w:sz w:val="24"/>
          <w:szCs w:val="24"/>
        </w:rPr>
        <w:t>start</w:t>
      </w:r>
      <w:r w:rsidR="00011097" w:rsidRPr="00F5600D">
        <w:rPr>
          <w:sz w:val="24"/>
          <w:szCs w:val="24"/>
        </w:rPr>
        <w:t xml:space="preserve"> </w:t>
      </w:r>
      <w:r w:rsidR="0021270D" w:rsidRPr="00F5600D">
        <w:rPr>
          <w:sz w:val="24"/>
          <w:szCs w:val="24"/>
        </w:rPr>
        <w:t>of the 20</w:t>
      </w:r>
      <w:r w:rsidR="0021270D" w:rsidRPr="00F5600D">
        <w:rPr>
          <w:sz w:val="24"/>
          <w:szCs w:val="24"/>
          <w:vertAlign w:val="superscript"/>
        </w:rPr>
        <w:t>th</w:t>
      </w:r>
      <w:r w:rsidR="0021270D" w:rsidRPr="00F5600D">
        <w:rPr>
          <w:sz w:val="24"/>
          <w:szCs w:val="24"/>
        </w:rPr>
        <w:t xml:space="preserve"> century 25% of the world’s population was subject to the Privy Council’s jurisdiction while today that </w:t>
      </w:r>
      <w:r w:rsidR="0021270D" w:rsidRPr="00F5600D">
        <w:rPr>
          <w:sz w:val="24"/>
          <w:szCs w:val="24"/>
        </w:rPr>
        <w:lastRenderedPageBreak/>
        <w:t>figure ha</w:t>
      </w:r>
      <w:r w:rsidR="00660D2D">
        <w:rPr>
          <w:sz w:val="24"/>
          <w:szCs w:val="24"/>
        </w:rPr>
        <w:t>s</w:t>
      </w:r>
      <w:r w:rsidR="0021270D" w:rsidRPr="00F5600D">
        <w:rPr>
          <w:sz w:val="24"/>
          <w:szCs w:val="24"/>
        </w:rPr>
        <w:t xml:space="preserve"> dwindled to just 0.1%.</w:t>
      </w:r>
      <w:r w:rsidR="0021270D" w:rsidRPr="00F5600D">
        <w:rPr>
          <w:rStyle w:val="FootnoteReference"/>
          <w:sz w:val="24"/>
          <w:szCs w:val="24"/>
        </w:rPr>
        <w:footnoteReference w:id="31"/>
      </w:r>
      <w:r w:rsidR="0021270D" w:rsidRPr="00F5600D">
        <w:rPr>
          <w:sz w:val="24"/>
          <w:szCs w:val="24"/>
        </w:rPr>
        <w:t xml:space="preserve"> </w:t>
      </w:r>
      <w:r w:rsidR="00011097">
        <w:rPr>
          <w:sz w:val="24"/>
          <w:szCs w:val="24"/>
        </w:rPr>
        <w:t xml:space="preserve">The Privy Council’s </w:t>
      </w:r>
      <w:r w:rsidR="003208D3">
        <w:rPr>
          <w:sz w:val="24"/>
          <w:szCs w:val="24"/>
        </w:rPr>
        <w:t>jurisdiction ‘has been reduced to a shadow of its earlier self’.</w:t>
      </w:r>
      <w:r w:rsidR="003208D3">
        <w:rPr>
          <w:rStyle w:val="FootnoteReference"/>
          <w:sz w:val="24"/>
          <w:szCs w:val="24"/>
        </w:rPr>
        <w:footnoteReference w:id="32"/>
      </w:r>
      <w:r w:rsidR="003208D3">
        <w:rPr>
          <w:sz w:val="24"/>
          <w:szCs w:val="24"/>
        </w:rPr>
        <w:t xml:space="preserve"> </w:t>
      </w:r>
    </w:p>
    <w:p w14:paraId="2D0FF1C6" w14:textId="7C40E767" w:rsidR="005833C2" w:rsidRPr="00F5600D" w:rsidRDefault="00DC536E" w:rsidP="00F5600D">
      <w:pPr>
        <w:tabs>
          <w:tab w:val="left" w:pos="284"/>
        </w:tabs>
        <w:spacing w:after="0" w:line="240" w:lineRule="auto"/>
        <w:jc w:val="both"/>
        <w:rPr>
          <w:sz w:val="24"/>
          <w:szCs w:val="24"/>
        </w:rPr>
      </w:pPr>
      <w:r w:rsidRPr="00F5600D">
        <w:rPr>
          <w:sz w:val="24"/>
          <w:szCs w:val="24"/>
        </w:rPr>
        <w:tab/>
      </w:r>
      <w:r w:rsidR="00800D43">
        <w:rPr>
          <w:sz w:val="24"/>
          <w:szCs w:val="24"/>
        </w:rPr>
        <w:t xml:space="preserve">Where the Privy Council has been replaced by </w:t>
      </w:r>
      <w:r w:rsidRPr="00F5600D">
        <w:rPr>
          <w:sz w:val="24"/>
          <w:szCs w:val="24"/>
        </w:rPr>
        <w:t>a</w:t>
      </w:r>
      <w:r w:rsidR="00800D43">
        <w:rPr>
          <w:sz w:val="24"/>
          <w:szCs w:val="24"/>
        </w:rPr>
        <w:t xml:space="preserve"> </w:t>
      </w:r>
      <w:r w:rsidRPr="00F5600D">
        <w:rPr>
          <w:sz w:val="24"/>
          <w:szCs w:val="24"/>
        </w:rPr>
        <w:t>national court of final appeal</w:t>
      </w:r>
      <w:r w:rsidR="00800D43">
        <w:rPr>
          <w:sz w:val="24"/>
          <w:szCs w:val="24"/>
        </w:rPr>
        <w:t>,</w:t>
      </w:r>
      <w:r w:rsidRPr="00F5600D">
        <w:rPr>
          <w:sz w:val="24"/>
          <w:szCs w:val="24"/>
        </w:rPr>
        <w:t xml:space="preserve"> </w:t>
      </w:r>
      <w:r w:rsidR="00800D43">
        <w:rPr>
          <w:sz w:val="24"/>
          <w:szCs w:val="24"/>
        </w:rPr>
        <w:t xml:space="preserve">that </w:t>
      </w:r>
      <w:r w:rsidRPr="00F5600D">
        <w:rPr>
          <w:sz w:val="24"/>
          <w:szCs w:val="24"/>
        </w:rPr>
        <w:t>national court of appeal</w:t>
      </w:r>
      <w:r w:rsidR="0099075F">
        <w:rPr>
          <w:sz w:val="24"/>
          <w:szCs w:val="24"/>
        </w:rPr>
        <w:t xml:space="preserve"> </w:t>
      </w:r>
      <w:r w:rsidR="00800D43">
        <w:rPr>
          <w:sz w:val="24"/>
          <w:szCs w:val="24"/>
        </w:rPr>
        <w:t xml:space="preserve">has ultimate </w:t>
      </w:r>
      <w:r w:rsidR="00FD5D48" w:rsidRPr="00F5600D">
        <w:rPr>
          <w:sz w:val="24"/>
          <w:szCs w:val="24"/>
        </w:rPr>
        <w:t xml:space="preserve">responsibility </w:t>
      </w:r>
      <w:r w:rsidRPr="00F5600D">
        <w:rPr>
          <w:sz w:val="24"/>
          <w:szCs w:val="24"/>
        </w:rPr>
        <w:t>for the development of the law in the jurisdiction in question</w:t>
      </w:r>
      <w:r w:rsidR="00800D43">
        <w:rPr>
          <w:sz w:val="24"/>
          <w:szCs w:val="24"/>
        </w:rPr>
        <w:t xml:space="preserve">. Final national courts are not bound </w:t>
      </w:r>
      <w:r w:rsidRPr="00F5600D">
        <w:rPr>
          <w:sz w:val="24"/>
          <w:szCs w:val="24"/>
        </w:rPr>
        <w:t>by either prior or subsequent decisions of the Privy Council.</w:t>
      </w:r>
      <w:r w:rsidRPr="00F5600D">
        <w:rPr>
          <w:rStyle w:val="FootnoteReference"/>
          <w:sz w:val="24"/>
          <w:szCs w:val="24"/>
        </w:rPr>
        <w:footnoteReference w:id="33"/>
      </w:r>
      <w:r w:rsidR="00D45BB4" w:rsidRPr="00F5600D">
        <w:rPr>
          <w:sz w:val="24"/>
          <w:szCs w:val="24"/>
        </w:rPr>
        <w:t xml:space="preserve"> </w:t>
      </w:r>
      <w:r w:rsidR="00800D43">
        <w:rPr>
          <w:sz w:val="24"/>
          <w:szCs w:val="24"/>
        </w:rPr>
        <w:t xml:space="preserve">This is because </w:t>
      </w:r>
      <w:r w:rsidR="000A54E9">
        <w:rPr>
          <w:sz w:val="24"/>
          <w:szCs w:val="24"/>
        </w:rPr>
        <w:t xml:space="preserve">it is thought that </w:t>
      </w:r>
      <w:r w:rsidR="001F1B04" w:rsidRPr="00F5600D">
        <w:rPr>
          <w:sz w:val="24"/>
          <w:szCs w:val="24"/>
        </w:rPr>
        <w:t xml:space="preserve">it would be inappropriate for </w:t>
      </w:r>
      <w:r w:rsidR="00800D43">
        <w:rPr>
          <w:sz w:val="24"/>
          <w:szCs w:val="24"/>
        </w:rPr>
        <w:t xml:space="preserve">such a court </w:t>
      </w:r>
      <w:r w:rsidR="001F1B04" w:rsidRPr="00F5600D">
        <w:rPr>
          <w:sz w:val="24"/>
          <w:szCs w:val="24"/>
        </w:rPr>
        <w:t xml:space="preserve">to observe the decisions of </w:t>
      </w:r>
      <w:r w:rsidR="00FD5D48" w:rsidRPr="00F5600D">
        <w:rPr>
          <w:sz w:val="24"/>
          <w:szCs w:val="24"/>
        </w:rPr>
        <w:t xml:space="preserve">the Privy Council </w:t>
      </w:r>
      <w:r w:rsidR="000A54E9">
        <w:rPr>
          <w:sz w:val="24"/>
          <w:szCs w:val="24"/>
        </w:rPr>
        <w:t xml:space="preserve">given </w:t>
      </w:r>
      <w:r w:rsidR="00D827A4" w:rsidRPr="00F5600D">
        <w:rPr>
          <w:sz w:val="24"/>
          <w:szCs w:val="24"/>
        </w:rPr>
        <w:t xml:space="preserve">that </w:t>
      </w:r>
      <w:r w:rsidR="001F1B04" w:rsidRPr="00F5600D">
        <w:rPr>
          <w:sz w:val="24"/>
          <w:szCs w:val="24"/>
        </w:rPr>
        <w:t xml:space="preserve">the </w:t>
      </w:r>
      <w:r w:rsidR="00FD5D48" w:rsidRPr="00F5600D">
        <w:rPr>
          <w:sz w:val="24"/>
          <w:szCs w:val="24"/>
        </w:rPr>
        <w:t xml:space="preserve">Privy Council </w:t>
      </w:r>
      <w:r w:rsidR="001F1B04" w:rsidRPr="00F5600D">
        <w:rPr>
          <w:sz w:val="24"/>
          <w:szCs w:val="24"/>
        </w:rPr>
        <w:t xml:space="preserve">could no </w:t>
      </w:r>
      <w:r w:rsidR="00171B4D">
        <w:rPr>
          <w:sz w:val="24"/>
          <w:szCs w:val="24"/>
        </w:rPr>
        <w:t xml:space="preserve">able to </w:t>
      </w:r>
      <w:r w:rsidR="001672F0">
        <w:rPr>
          <w:sz w:val="24"/>
          <w:szCs w:val="24"/>
        </w:rPr>
        <w:t xml:space="preserve">longer </w:t>
      </w:r>
      <w:r w:rsidR="001F1B04" w:rsidRPr="00F5600D">
        <w:rPr>
          <w:sz w:val="24"/>
          <w:szCs w:val="24"/>
        </w:rPr>
        <w:t xml:space="preserve">correct </w:t>
      </w:r>
      <w:r w:rsidR="00D827A4" w:rsidRPr="00F5600D">
        <w:rPr>
          <w:sz w:val="24"/>
          <w:szCs w:val="24"/>
        </w:rPr>
        <w:t xml:space="preserve">what might be thought to be </w:t>
      </w:r>
      <w:r w:rsidR="00FD5D48" w:rsidRPr="00F5600D">
        <w:rPr>
          <w:sz w:val="24"/>
          <w:szCs w:val="24"/>
        </w:rPr>
        <w:t xml:space="preserve">an </w:t>
      </w:r>
      <w:r w:rsidR="00D827A4" w:rsidRPr="00F5600D">
        <w:rPr>
          <w:sz w:val="24"/>
          <w:szCs w:val="24"/>
        </w:rPr>
        <w:t xml:space="preserve">incorrect </w:t>
      </w:r>
      <w:r w:rsidR="00FD5D48" w:rsidRPr="00F5600D">
        <w:rPr>
          <w:sz w:val="24"/>
          <w:szCs w:val="24"/>
        </w:rPr>
        <w:t>decision</w:t>
      </w:r>
      <w:r w:rsidR="001F1B04" w:rsidRPr="00F5600D">
        <w:rPr>
          <w:sz w:val="24"/>
          <w:szCs w:val="24"/>
        </w:rPr>
        <w:t xml:space="preserve"> of the national court. </w:t>
      </w:r>
      <w:r w:rsidR="005833C2" w:rsidRPr="00F5600D">
        <w:rPr>
          <w:sz w:val="24"/>
          <w:szCs w:val="24"/>
        </w:rPr>
        <w:t xml:space="preserve">The freeing of </w:t>
      </w:r>
      <w:r w:rsidR="00011097">
        <w:rPr>
          <w:sz w:val="24"/>
          <w:szCs w:val="24"/>
        </w:rPr>
        <w:t>many</w:t>
      </w:r>
      <w:r w:rsidR="00011097" w:rsidRPr="00F5600D">
        <w:rPr>
          <w:sz w:val="24"/>
          <w:szCs w:val="24"/>
        </w:rPr>
        <w:t xml:space="preserve"> </w:t>
      </w:r>
      <w:r w:rsidR="001672F0">
        <w:rPr>
          <w:sz w:val="24"/>
          <w:szCs w:val="24"/>
        </w:rPr>
        <w:t xml:space="preserve">jurisdictions </w:t>
      </w:r>
      <w:r w:rsidR="005833C2" w:rsidRPr="00F5600D">
        <w:rPr>
          <w:sz w:val="24"/>
          <w:szCs w:val="24"/>
        </w:rPr>
        <w:t xml:space="preserve">from the yoke of the Privy Council afforded </w:t>
      </w:r>
      <w:r w:rsidR="001672F0">
        <w:rPr>
          <w:sz w:val="24"/>
          <w:szCs w:val="24"/>
        </w:rPr>
        <w:t xml:space="preserve">their courts </w:t>
      </w:r>
      <w:r w:rsidR="005833C2" w:rsidRPr="00F5600D">
        <w:rPr>
          <w:sz w:val="24"/>
          <w:szCs w:val="24"/>
        </w:rPr>
        <w:t xml:space="preserve">increased freedom to develop the common law in the direction that they saw fit. </w:t>
      </w:r>
      <w:r w:rsidR="00D45BB4" w:rsidRPr="00F5600D">
        <w:rPr>
          <w:sz w:val="24"/>
          <w:szCs w:val="24"/>
        </w:rPr>
        <w:t xml:space="preserve">This development was a critical step in </w:t>
      </w:r>
      <w:r w:rsidR="00A26B0C" w:rsidRPr="00F5600D">
        <w:rPr>
          <w:sz w:val="24"/>
          <w:szCs w:val="24"/>
        </w:rPr>
        <w:t xml:space="preserve">process of </w:t>
      </w:r>
      <w:r w:rsidR="003E38C4">
        <w:rPr>
          <w:sz w:val="24"/>
          <w:szCs w:val="24"/>
        </w:rPr>
        <w:t>jurisdictional isolation</w:t>
      </w:r>
      <w:r w:rsidR="00D45BB4" w:rsidRPr="00F5600D">
        <w:rPr>
          <w:sz w:val="24"/>
          <w:szCs w:val="24"/>
        </w:rPr>
        <w:t xml:space="preserve">. </w:t>
      </w:r>
    </w:p>
    <w:p w14:paraId="57BB091A" w14:textId="77777777" w:rsidR="005833C2" w:rsidRPr="00F5600D" w:rsidRDefault="005833C2" w:rsidP="00F5600D">
      <w:pPr>
        <w:tabs>
          <w:tab w:val="left" w:pos="284"/>
        </w:tabs>
        <w:spacing w:after="0" w:line="240" w:lineRule="auto"/>
        <w:jc w:val="both"/>
        <w:rPr>
          <w:sz w:val="24"/>
          <w:szCs w:val="24"/>
        </w:rPr>
      </w:pPr>
    </w:p>
    <w:p w14:paraId="3D5911EC" w14:textId="77777777" w:rsidR="005833C2" w:rsidRPr="00F5600D" w:rsidRDefault="009B599D" w:rsidP="00F5600D">
      <w:pPr>
        <w:pStyle w:val="Heading2"/>
      </w:pPr>
      <w:r w:rsidRPr="00F5600D">
        <w:t>(ii) Reduced Precedential F</w:t>
      </w:r>
      <w:r w:rsidR="005833C2" w:rsidRPr="00F5600D">
        <w:t>o</w:t>
      </w:r>
      <w:r w:rsidR="005833C2" w:rsidRPr="00F5600D">
        <w:rPr>
          <w:rStyle w:val="Heading4Char"/>
          <w:b w:val="0"/>
        </w:rPr>
        <w:t>r</w:t>
      </w:r>
      <w:r w:rsidR="005833C2" w:rsidRPr="00F5600D">
        <w:t xml:space="preserve">ce of </w:t>
      </w:r>
      <w:r w:rsidR="002D29A3" w:rsidRPr="00F5600D">
        <w:t xml:space="preserve">British </w:t>
      </w:r>
      <w:r w:rsidR="005833C2" w:rsidRPr="00F5600D">
        <w:t>Authority</w:t>
      </w:r>
      <w:r w:rsidR="005833C2" w:rsidRPr="00F5600D">
        <w:tab/>
      </w:r>
    </w:p>
    <w:p w14:paraId="1D115EA8" w14:textId="77777777" w:rsidR="005833C2" w:rsidRPr="00F5600D" w:rsidRDefault="005833C2" w:rsidP="00F5600D">
      <w:pPr>
        <w:tabs>
          <w:tab w:val="left" w:pos="284"/>
        </w:tabs>
        <w:spacing w:after="0" w:line="240" w:lineRule="auto"/>
        <w:jc w:val="both"/>
        <w:rPr>
          <w:sz w:val="24"/>
          <w:szCs w:val="24"/>
        </w:rPr>
      </w:pPr>
    </w:p>
    <w:p w14:paraId="3E69174B" w14:textId="6E603EE6" w:rsidR="004E3F63" w:rsidRPr="00F5600D" w:rsidRDefault="005833C2" w:rsidP="00F5600D">
      <w:pPr>
        <w:tabs>
          <w:tab w:val="left" w:pos="284"/>
        </w:tabs>
        <w:spacing w:after="0" w:line="240" w:lineRule="auto"/>
        <w:jc w:val="both"/>
        <w:rPr>
          <w:sz w:val="24"/>
          <w:szCs w:val="24"/>
        </w:rPr>
      </w:pPr>
      <w:r w:rsidRPr="00F5600D">
        <w:rPr>
          <w:sz w:val="24"/>
          <w:szCs w:val="24"/>
        </w:rPr>
        <w:t xml:space="preserve">Intimately related to the </w:t>
      </w:r>
      <w:r w:rsidR="00434FB8" w:rsidRPr="00F5600D">
        <w:rPr>
          <w:sz w:val="24"/>
          <w:szCs w:val="24"/>
        </w:rPr>
        <w:t xml:space="preserve">termination of appeals </w:t>
      </w:r>
      <w:r w:rsidR="00ED1B9D" w:rsidRPr="00F5600D">
        <w:rPr>
          <w:sz w:val="24"/>
          <w:szCs w:val="24"/>
        </w:rPr>
        <w:t xml:space="preserve">from many </w:t>
      </w:r>
      <w:r w:rsidR="00011097">
        <w:rPr>
          <w:sz w:val="24"/>
          <w:szCs w:val="24"/>
        </w:rPr>
        <w:t xml:space="preserve">jurisdictions </w:t>
      </w:r>
      <w:r w:rsidR="00434FB8" w:rsidRPr="00F5600D">
        <w:rPr>
          <w:sz w:val="24"/>
          <w:szCs w:val="24"/>
        </w:rPr>
        <w:t xml:space="preserve">to the </w:t>
      </w:r>
      <w:r w:rsidRPr="00F5600D">
        <w:rPr>
          <w:sz w:val="24"/>
          <w:szCs w:val="24"/>
        </w:rPr>
        <w:t xml:space="preserve">Privy Council is the marked weakening in </w:t>
      </w:r>
      <w:r w:rsidR="002D29A3" w:rsidRPr="00F5600D">
        <w:rPr>
          <w:sz w:val="24"/>
          <w:szCs w:val="24"/>
        </w:rPr>
        <w:t xml:space="preserve">the </w:t>
      </w:r>
      <w:r w:rsidRPr="00F5600D">
        <w:rPr>
          <w:sz w:val="24"/>
          <w:szCs w:val="24"/>
        </w:rPr>
        <w:t xml:space="preserve">precedential force of </w:t>
      </w:r>
      <w:r w:rsidR="00A57573" w:rsidRPr="00F5600D">
        <w:rPr>
          <w:sz w:val="24"/>
          <w:szCs w:val="24"/>
        </w:rPr>
        <w:t xml:space="preserve">domestic </w:t>
      </w:r>
      <w:r w:rsidR="002D29A3" w:rsidRPr="00F5600D">
        <w:rPr>
          <w:sz w:val="24"/>
          <w:szCs w:val="24"/>
        </w:rPr>
        <w:t xml:space="preserve">British </w:t>
      </w:r>
      <w:r w:rsidRPr="00F5600D">
        <w:rPr>
          <w:sz w:val="24"/>
          <w:szCs w:val="24"/>
        </w:rPr>
        <w:t>authority</w:t>
      </w:r>
      <w:r w:rsidR="002D29A3" w:rsidRPr="00F5600D">
        <w:rPr>
          <w:sz w:val="24"/>
          <w:szCs w:val="24"/>
        </w:rPr>
        <w:t xml:space="preserve"> as a source of law </w:t>
      </w:r>
      <w:r w:rsidR="00011097">
        <w:rPr>
          <w:sz w:val="24"/>
          <w:szCs w:val="24"/>
        </w:rPr>
        <w:t xml:space="preserve">outside of </w:t>
      </w:r>
      <w:r w:rsidR="0005351C">
        <w:rPr>
          <w:sz w:val="24"/>
          <w:szCs w:val="24"/>
        </w:rPr>
        <w:t>the United Kingdom</w:t>
      </w:r>
      <w:r w:rsidRPr="00F5600D">
        <w:rPr>
          <w:sz w:val="24"/>
          <w:szCs w:val="24"/>
        </w:rPr>
        <w:t xml:space="preserve">. When the overseas jurisdiction of the Privy Council was in its heyday, </w:t>
      </w:r>
      <w:r w:rsidR="00434FB8" w:rsidRPr="00F5600D">
        <w:rPr>
          <w:sz w:val="24"/>
          <w:szCs w:val="24"/>
        </w:rPr>
        <w:t xml:space="preserve">the </w:t>
      </w:r>
      <w:r w:rsidR="005A57F6" w:rsidRPr="00F5600D">
        <w:rPr>
          <w:sz w:val="24"/>
          <w:szCs w:val="24"/>
        </w:rPr>
        <w:t xml:space="preserve">prevailing view was </w:t>
      </w:r>
      <w:r w:rsidR="00434FB8" w:rsidRPr="00F5600D">
        <w:rPr>
          <w:sz w:val="24"/>
          <w:szCs w:val="24"/>
        </w:rPr>
        <w:t xml:space="preserve">that the decisions </w:t>
      </w:r>
      <w:r w:rsidR="005A57F6" w:rsidRPr="00F5600D">
        <w:rPr>
          <w:sz w:val="24"/>
          <w:szCs w:val="24"/>
        </w:rPr>
        <w:t xml:space="preserve">of the House of Lords </w:t>
      </w:r>
      <w:r w:rsidR="00434FB8" w:rsidRPr="00F5600D">
        <w:rPr>
          <w:sz w:val="24"/>
          <w:szCs w:val="24"/>
        </w:rPr>
        <w:t xml:space="preserve">were </w:t>
      </w:r>
      <w:r w:rsidR="002D1643" w:rsidRPr="00F5600D">
        <w:rPr>
          <w:sz w:val="24"/>
          <w:szCs w:val="24"/>
        </w:rPr>
        <w:t xml:space="preserve">effectively </w:t>
      </w:r>
      <w:r w:rsidR="00434FB8" w:rsidRPr="00F5600D">
        <w:rPr>
          <w:sz w:val="24"/>
          <w:szCs w:val="24"/>
        </w:rPr>
        <w:t xml:space="preserve">binding </w:t>
      </w:r>
      <w:r w:rsidR="009B599D" w:rsidRPr="00F5600D">
        <w:rPr>
          <w:sz w:val="24"/>
          <w:szCs w:val="24"/>
        </w:rPr>
        <w:t xml:space="preserve">on </w:t>
      </w:r>
      <w:r w:rsidR="00B57843" w:rsidRPr="00F5600D">
        <w:rPr>
          <w:sz w:val="24"/>
          <w:szCs w:val="24"/>
        </w:rPr>
        <w:t xml:space="preserve">the </w:t>
      </w:r>
      <w:r w:rsidR="009B599D" w:rsidRPr="00F5600D">
        <w:rPr>
          <w:sz w:val="24"/>
          <w:szCs w:val="24"/>
        </w:rPr>
        <w:t xml:space="preserve">courts </w:t>
      </w:r>
      <w:r w:rsidR="00434FB8" w:rsidRPr="00F5600D">
        <w:rPr>
          <w:sz w:val="24"/>
          <w:szCs w:val="24"/>
        </w:rPr>
        <w:t>overseas</w:t>
      </w:r>
      <w:r w:rsidR="002D29A3" w:rsidRPr="00F5600D">
        <w:rPr>
          <w:sz w:val="24"/>
          <w:szCs w:val="24"/>
        </w:rPr>
        <w:t>.</w:t>
      </w:r>
      <w:r w:rsidR="006B19FE" w:rsidRPr="00F5600D">
        <w:rPr>
          <w:rStyle w:val="FootnoteReference"/>
          <w:sz w:val="24"/>
          <w:szCs w:val="24"/>
        </w:rPr>
        <w:footnoteReference w:id="34"/>
      </w:r>
      <w:r w:rsidR="002D29A3" w:rsidRPr="00F5600D">
        <w:rPr>
          <w:sz w:val="24"/>
          <w:szCs w:val="24"/>
        </w:rPr>
        <w:t xml:space="preserve"> </w:t>
      </w:r>
      <w:r w:rsidR="002D1643" w:rsidRPr="00F5600D">
        <w:rPr>
          <w:sz w:val="24"/>
          <w:szCs w:val="24"/>
        </w:rPr>
        <w:t xml:space="preserve">The qualifier ‘effectively’ appears in the previous sentence in recognition of the fact that </w:t>
      </w:r>
      <w:r w:rsidR="000D0626" w:rsidRPr="00F5600D">
        <w:rPr>
          <w:sz w:val="24"/>
          <w:szCs w:val="24"/>
        </w:rPr>
        <w:t xml:space="preserve">because the House of Lords was part of the judicial system of the </w:t>
      </w:r>
      <w:r w:rsidR="00B17227" w:rsidRPr="00F5600D">
        <w:rPr>
          <w:sz w:val="24"/>
          <w:szCs w:val="24"/>
        </w:rPr>
        <w:t>United</w:t>
      </w:r>
      <w:r w:rsidR="000D0626" w:rsidRPr="00F5600D">
        <w:rPr>
          <w:sz w:val="24"/>
          <w:szCs w:val="24"/>
        </w:rPr>
        <w:t xml:space="preserve"> Kingdom only</w:t>
      </w:r>
      <w:r w:rsidR="002D1643" w:rsidRPr="00F5600D">
        <w:rPr>
          <w:sz w:val="24"/>
          <w:szCs w:val="24"/>
        </w:rPr>
        <w:t xml:space="preserve">, its decisions were not strictly speaking binding on courts </w:t>
      </w:r>
      <w:r w:rsidR="001672F0">
        <w:rPr>
          <w:sz w:val="24"/>
          <w:szCs w:val="24"/>
        </w:rPr>
        <w:t xml:space="preserve">other than those </w:t>
      </w:r>
      <w:r w:rsidR="002D1643" w:rsidRPr="00F5600D">
        <w:rPr>
          <w:sz w:val="24"/>
          <w:szCs w:val="24"/>
        </w:rPr>
        <w:t>in the United Kingdom.</w:t>
      </w:r>
      <w:r w:rsidR="002D1643" w:rsidRPr="00F5600D">
        <w:rPr>
          <w:rStyle w:val="FootnoteReference"/>
          <w:sz w:val="24"/>
          <w:szCs w:val="24"/>
        </w:rPr>
        <w:footnoteReference w:id="35"/>
      </w:r>
      <w:r w:rsidR="002D1643" w:rsidRPr="00F5600D">
        <w:rPr>
          <w:sz w:val="24"/>
          <w:szCs w:val="24"/>
        </w:rPr>
        <w:t xml:space="preserve"> However, for all intents and purposes, </w:t>
      </w:r>
      <w:r w:rsidR="002D29A3" w:rsidRPr="00F5600D">
        <w:rPr>
          <w:sz w:val="24"/>
          <w:szCs w:val="24"/>
        </w:rPr>
        <w:t xml:space="preserve">in earlier times the position was that decisions of both the Privy Council </w:t>
      </w:r>
      <w:r w:rsidR="002D29A3" w:rsidRPr="00F5600D">
        <w:rPr>
          <w:i/>
          <w:sz w:val="24"/>
          <w:szCs w:val="24"/>
        </w:rPr>
        <w:t xml:space="preserve">and </w:t>
      </w:r>
      <w:r w:rsidR="002D29A3" w:rsidRPr="00F5600D">
        <w:rPr>
          <w:sz w:val="24"/>
          <w:szCs w:val="24"/>
        </w:rPr>
        <w:t>the House of Lords were binding</w:t>
      </w:r>
      <w:r w:rsidR="00A57573" w:rsidRPr="00F5600D">
        <w:rPr>
          <w:sz w:val="24"/>
          <w:szCs w:val="24"/>
        </w:rPr>
        <w:t xml:space="preserve"> in jurisdictions </w:t>
      </w:r>
      <w:r w:rsidR="00785F33" w:rsidRPr="00F5600D">
        <w:rPr>
          <w:sz w:val="24"/>
          <w:szCs w:val="24"/>
        </w:rPr>
        <w:t xml:space="preserve">that were </w:t>
      </w:r>
      <w:r w:rsidR="00A57573" w:rsidRPr="00F5600D">
        <w:rPr>
          <w:sz w:val="24"/>
          <w:szCs w:val="24"/>
        </w:rPr>
        <w:t>subject to the Privy Council</w:t>
      </w:r>
      <w:r w:rsidR="00011097">
        <w:rPr>
          <w:sz w:val="24"/>
          <w:szCs w:val="24"/>
        </w:rPr>
        <w:t>’s authority</w:t>
      </w:r>
      <w:r w:rsidR="002D29A3" w:rsidRPr="00F5600D">
        <w:rPr>
          <w:sz w:val="24"/>
          <w:szCs w:val="24"/>
        </w:rPr>
        <w:t xml:space="preserve">. </w:t>
      </w:r>
      <w:r w:rsidR="004E3F63" w:rsidRPr="00F5600D">
        <w:rPr>
          <w:sz w:val="24"/>
          <w:szCs w:val="24"/>
        </w:rPr>
        <w:t xml:space="preserve">A clear statement to this effect can be found in </w:t>
      </w:r>
      <w:r w:rsidR="004E3F63" w:rsidRPr="00F5600D">
        <w:rPr>
          <w:i/>
          <w:sz w:val="24"/>
          <w:szCs w:val="24"/>
        </w:rPr>
        <w:t>Piro v W Foster &amp; Co Ltd</w:t>
      </w:r>
      <w:r w:rsidR="004E3F63" w:rsidRPr="00F5600D">
        <w:rPr>
          <w:sz w:val="24"/>
          <w:szCs w:val="24"/>
        </w:rPr>
        <w:t>.</w:t>
      </w:r>
      <w:r w:rsidR="004E3F63" w:rsidRPr="00F5600D">
        <w:rPr>
          <w:rStyle w:val="FootnoteReference"/>
          <w:sz w:val="24"/>
          <w:szCs w:val="24"/>
        </w:rPr>
        <w:footnoteReference w:id="36"/>
      </w:r>
      <w:r w:rsidR="004E3F63" w:rsidRPr="00F5600D">
        <w:rPr>
          <w:sz w:val="24"/>
          <w:szCs w:val="24"/>
        </w:rPr>
        <w:t xml:space="preserve"> In this case, Latham CJ said</w:t>
      </w:r>
      <w:r w:rsidR="006B19FE" w:rsidRPr="00F5600D">
        <w:rPr>
          <w:sz w:val="24"/>
          <w:szCs w:val="24"/>
        </w:rPr>
        <w:t xml:space="preserve"> that although the High Court </w:t>
      </w:r>
      <w:r w:rsidR="00AB5677" w:rsidRPr="00F5600D">
        <w:rPr>
          <w:sz w:val="24"/>
          <w:szCs w:val="24"/>
        </w:rPr>
        <w:t xml:space="preserve">of Australia </w:t>
      </w:r>
      <w:r w:rsidR="006B19FE" w:rsidRPr="00F5600D">
        <w:rPr>
          <w:sz w:val="24"/>
          <w:szCs w:val="24"/>
        </w:rPr>
        <w:t>is not ‘technically bound by a decision of the House of Lords’, it:</w:t>
      </w:r>
      <w:r w:rsidR="004E3F63" w:rsidRPr="00F5600D">
        <w:rPr>
          <w:rStyle w:val="FootnoteReference"/>
          <w:sz w:val="24"/>
          <w:szCs w:val="24"/>
        </w:rPr>
        <w:footnoteReference w:id="37"/>
      </w:r>
    </w:p>
    <w:p w14:paraId="60AF5DEE" w14:textId="77777777" w:rsidR="004E3F63" w:rsidRPr="00F5600D" w:rsidRDefault="004E3F63" w:rsidP="00F5600D">
      <w:pPr>
        <w:tabs>
          <w:tab w:val="left" w:pos="284"/>
        </w:tabs>
        <w:spacing w:after="0" w:line="240" w:lineRule="auto"/>
        <w:jc w:val="both"/>
        <w:rPr>
          <w:sz w:val="24"/>
          <w:szCs w:val="24"/>
        </w:rPr>
      </w:pPr>
      <w:r w:rsidRPr="00F5600D">
        <w:rPr>
          <w:sz w:val="24"/>
          <w:szCs w:val="24"/>
        </w:rPr>
        <w:tab/>
      </w:r>
      <w:r w:rsidRPr="00F5600D">
        <w:rPr>
          <w:sz w:val="24"/>
          <w:szCs w:val="24"/>
        </w:rPr>
        <w:tab/>
      </w:r>
    </w:p>
    <w:p w14:paraId="42B34A74" w14:textId="77777777" w:rsidR="004E3F63" w:rsidRPr="00E603B7" w:rsidRDefault="006B19FE" w:rsidP="00F5600D">
      <w:pPr>
        <w:tabs>
          <w:tab w:val="left" w:pos="284"/>
        </w:tabs>
        <w:spacing w:after="0" w:line="240" w:lineRule="auto"/>
        <w:ind w:left="284" w:hanging="284"/>
        <w:jc w:val="both"/>
        <w:rPr>
          <w:sz w:val="22"/>
          <w:szCs w:val="22"/>
        </w:rPr>
      </w:pPr>
      <w:r w:rsidRPr="00F5600D">
        <w:rPr>
          <w:sz w:val="24"/>
          <w:szCs w:val="24"/>
        </w:rPr>
        <w:tab/>
      </w:r>
      <w:r w:rsidR="004E3F63" w:rsidRPr="00E603B7">
        <w:rPr>
          <w:sz w:val="22"/>
          <w:szCs w:val="22"/>
        </w:rPr>
        <w:t>and other courts in Australia should as a general rule follow decisions of the House of Lords. The House of Lords is the final authority for declaring English law, and where a case involves only principles of English law which admittedly are part of the law of Australia, and there are no relevant differentiating local circumstances, the House of Lords should be regarded as finally declaring the law. … In my opinion it should now be formally decided that it will be a wise general rule of practice that in cases of clear conflict between a decision of the House of Lords and of the High Court, this Court, and other courts in Australia, should follow a decision of the House of Lords upon matters of general legal principle.</w:t>
      </w:r>
    </w:p>
    <w:p w14:paraId="733C198E" w14:textId="77777777" w:rsidR="004E3F63" w:rsidRPr="00F5600D" w:rsidRDefault="004E3F63" w:rsidP="00F5600D">
      <w:pPr>
        <w:tabs>
          <w:tab w:val="left" w:pos="284"/>
        </w:tabs>
        <w:spacing w:after="0" w:line="240" w:lineRule="auto"/>
        <w:jc w:val="both"/>
        <w:rPr>
          <w:sz w:val="24"/>
          <w:szCs w:val="24"/>
        </w:rPr>
      </w:pPr>
    </w:p>
    <w:p w14:paraId="63AD5F7C" w14:textId="77777777" w:rsidR="00AB5677" w:rsidRPr="00F5600D" w:rsidRDefault="00AB5677" w:rsidP="00F5600D">
      <w:pPr>
        <w:tabs>
          <w:tab w:val="left" w:pos="284"/>
        </w:tabs>
        <w:spacing w:after="0" w:line="240" w:lineRule="auto"/>
        <w:jc w:val="both"/>
        <w:rPr>
          <w:sz w:val="24"/>
          <w:szCs w:val="24"/>
        </w:rPr>
      </w:pPr>
      <w:r w:rsidRPr="00F5600D">
        <w:rPr>
          <w:sz w:val="24"/>
          <w:szCs w:val="24"/>
        </w:rPr>
        <w:t>Another well-known statement along the same lines is that of Viscount Dunedin</w:t>
      </w:r>
      <w:r w:rsidR="00785F33" w:rsidRPr="00F5600D">
        <w:rPr>
          <w:sz w:val="24"/>
          <w:szCs w:val="24"/>
        </w:rPr>
        <w:t xml:space="preserve"> in </w:t>
      </w:r>
      <w:r w:rsidRPr="00F5600D">
        <w:rPr>
          <w:i/>
          <w:sz w:val="24"/>
          <w:szCs w:val="24"/>
        </w:rPr>
        <w:t>Robins v National Trust Co Ltd</w:t>
      </w:r>
      <w:r w:rsidRPr="00F5600D">
        <w:rPr>
          <w:sz w:val="24"/>
          <w:szCs w:val="24"/>
        </w:rPr>
        <w:t>.</w:t>
      </w:r>
      <w:r w:rsidRPr="00F5600D">
        <w:rPr>
          <w:rStyle w:val="FootnoteReference"/>
          <w:sz w:val="24"/>
          <w:szCs w:val="24"/>
        </w:rPr>
        <w:footnoteReference w:id="38"/>
      </w:r>
      <w:r w:rsidR="00785F33" w:rsidRPr="00F5600D">
        <w:rPr>
          <w:sz w:val="24"/>
          <w:szCs w:val="24"/>
        </w:rPr>
        <w:t xml:space="preserve"> Lord </w:t>
      </w:r>
      <w:r w:rsidRPr="00F5600D">
        <w:rPr>
          <w:sz w:val="24"/>
          <w:szCs w:val="24"/>
        </w:rPr>
        <w:t>Dunedin stated:</w:t>
      </w:r>
      <w:r w:rsidRPr="00F5600D">
        <w:rPr>
          <w:rStyle w:val="FootnoteReference"/>
          <w:sz w:val="24"/>
          <w:szCs w:val="24"/>
        </w:rPr>
        <w:footnoteReference w:id="39"/>
      </w:r>
    </w:p>
    <w:p w14:paraId="0D34FE7A" w14:textId="77777777" w:rsidR="00AB5677" w:rsidRPr="00F5600D" w:rsidRDefault="00AB5677" w:rsidP="00F5600D">
      <w:pPr>
        <w:tabs>
          <w:tab w:val="left" w:pos="284"/>
        </w:tabs>
        <w:spacing w:after="0" w:line="240" w:lineRule="auto"/>
        <w:jc w:val="both"/>
        <w:rPr>
          <w:sz w:val="24"/>
          <w:szCs w:val="24"/>
        </w:rPr>
      </w:pPr>
    </w:p>
    <w:p w14:paraId="45134D69" w14:textId="77777777" w:rsidR="00AB5677" w:rsidRPr="00E603B7" w:rsidRDefault="00AB5677" w:rsidP="00F5600D">
      <w:pPr>
        <w:tabs>
          <w:tab w:val="left" w:pos="284"/>
        </w:tabs>
        <w:spacing w:after="0" w:line="240" w:lineRule="auto"/>
        <w:ind w:left="284" w:hanging="284"/>
        <w:jc w:val="both"/>
        <w:rPr>
          <w:sz w:val="22"/>
          <w:szCs w:val="22"/>
        </w:rPr>
      </w:pPr>
      <w:r w:rsidRPr="00F5600D">
        <w:rPr>
          <w:sz w:val="24"/>
          <w:szCs w:val="24"/>
        </w:rPr>
        <w:tab/>
      </w:r>
      <w:r w:rsidRPr="00E603B7">
        <w:rPr>
          <w:sz w:val="22"/>
          <w:szCs w:val="22"/>
        </w:rPr>
        <w:t>when an appellate Court in a colony which is regulated by English law differs from an appellate Court in England, it is not right to assume that the Colonial Court is wrong. It is otherwise if the authority in England is that of the House of Lords. That is the supreme tribunal to settle English law, and that being settled, the Colonial Court, which is bound by English law, is bound to follow it.</w:t>
      </w:r>
    </w:p>
    <w:p w14:paraId="108D8CBD" w14:textId="77777777" w:rsidR="00AB5677" w:rsidRPr="00F5600D" w:rsidRDefault="00AB5677" w:rsidP="00F5600D">
      <w:pPr>
        <w:tabs>
          <w:tab w:val="left" w:pos="284"/>
        </w:tabs>
        <w:spacing w:after="0" w:line="240" w:lineRule="auto"/>
        <w:jc w:val="both"/>
        <w:rPr>
          <w:sz w:val="24"/>
          <w:szCs w:val="24"/>
        </w:rPr>
      </w:pPr>
    </w:p>
    <w:p w14:paraId="215CEF1A" w14:textId="7B2FCD14" w:rsidR="00CB5512" w:rsidRPr="00F5600D" w:rsidRDefault="002D29A3" w:rsidP="00F5600D">
      <w:pPr>
        <w:tabs>
          <w:tab w:val="left" w:pos="284"/>
        </w:tabs>
        <w:spacing w:after="0" w:line="240" w:lineRule="auto"/>
        <w:jc w:val="both"/>
        <w:rPr>
          <w:sz w:val="24"/>
          <w:szCs w:val="24"/>
        </w:rPr>
      </w:pPr>
      <w:r w:rsidRPr="00F5600D">
        <w:rPr>
          <w:sz w:val="24"/>
          <w:szCs w:val="24"/>
        </w:rPr>
        <w:t xml:space="preserve">The fact that decisions of not only the Privy Council but </w:t>
      </w:r>
      <w:r w:rsidR="00E603B7">
        <w:rPr>
          <w:sz w:val="24"/>
          <w:szCs w:val="24"/>
        </w:rPr>
        <w:t xml:space="preserve">also </w:t>
      </w:r>
      <w:r w:rsidR="00011097" w:rsidRPr="00F5600D">
        <w:rPr>
          <w:sz w:val="24"/>
          <w:szCs w:val="24"/>
        </w:rPr>
        <w:t xml:space="preserve">(if not de jure then certainly de facto) </w:t>
      </w:r>
      <w:r w:rsidRPr="00F5600D">
        <w:rPr>
          <w:sz w:val="24"/>
          <w:szCs w:val="24"/>
        </w:rPr>
        <w:t xml:space="preserve">the House of Lords had precedential force </w:t>
      </w:r>
      <w:r w:rsidR="007415DE" w:rsidRPr="00F5600D">
        <w:rPr>
          <w:sz w:val="24"/>
          <w:szCs w:val="24"/>
        </w:rPr>
        <w:t xml:space="preserve">tended to </w:t>
      </w:r>
      <w:r w:rsidR="00CB5512" w:rsidRPr="00F5600D">
        <w:rPr>
          <w:sz w:val="24"/>
          <w:szCs w:val="24"/>
        </w:rPr>
        <w:t xml:space="preserve">add to the uniformity </w:t>
      </w:r>
      <w:r w:rsidR="00A57573" w:rsidRPr="00F5600D">
        <w:rPr>
          <w:sz w:val="24"/>
          <w:szCs w:val="24"/>
        </w:rPr>
        <w:t xml:space="preserve">in </w:t>
      </w:r>
      <w:r w:rsidR="007415DE" w:rsidRPr="00F5600D">
        <w:rPr>
          <w:sz w:val="24"/>
          <w:szCs w:val="24"/>
        </w:rPr>
        <w:t xml:space="preserve">the common law </w:t>
      </w:r>
      <w:r w:rsidR="00CB5512" w:rsidRPr="00F5600D">
        <w:rPr>
          <w:sz w:val="24"/>
          <w:szCs w:val="24"/>
        </w:rPr>
        <w:t xml:space="preserve">that was achieved by virtue of the Privy Council’s overseas jurisdiction. </w:t>
      </w:r>
    </w:p>
    <w:p w14:paraId="054D7404" w14:textId="7D59F463" w:rsidR="008E636B" w:rsidRPr="00F5600D" w:rsidRDefault="002D29A3" w:rsidP="00F5600D">
      <w:pPr>
        <w:tabs>
          <w:tab w:val="left" w:pos="284"/>
        </w:tabs>
        <w:spacing w:after="0" w:line="240" w:lineRule="auto"/>
        <w:jc w:val="both"/>
        <w:rPr>
          <w:sz w:val="24"/>
          <w:szCs w:val="24"/>
        </w:rPr>
      </w:pPr>
      <w:r w:rsidRPr="00F5600D">
        <w:rPr>
          <w:sz w:val="24"/>
          <w:szCs w:val="24"/>
        </w:rPr>
        <w:tab/>
        <w:t xml:space="preserve">Decisions of the Privy Council were of course binding because that court formed part of the judicial hierarchy of </w:t>
      </w:r>
      <w:r w:rsidR="00CB5512" w:rsidRPr="00F5600D">
        <w:rPr>
          <w:sz w:val="24"/>
          <w:szCs w:val="24"/>
        </w:rPr>
        <w:t xml:space="preserve">overseas </w:t>
      </w:r>
      <w:r w:rsidRPr="00F5600D">
        <w:rPr>
          <w:sz w:val="24"/>
          <w:szCs w:val="24"/>
        </w:rPr>
        <w:t xml:space="preserve">jurisdictions. Decisions of the House of Lords were regarded as binding </w:t>
      </w:r>
      <w:r w:rsidR="00CB5512" w:rsidRPr="00F5600D">
        <w:rPr>
          <w:sz w:val="24"/>
          <w:szCs w:val="24"/>
        </w:rPr>
        <w:t xml:space="preserve">for a different reason, namely, </w:t>
      </w:r>
      <w:r w:rsidR="0004404B">
        <w:rPr>
          <w:sz w:val="24"/>
          <w:szCs w:val="24"/>
        </w:rPr>
        <w:t xml:space="preserve">the fact that </w:t>
      </w:r>
      <w:r w:rsidRPr="00F5600D">
        <w:rPr>
          <w:sz w:val="24"/>
          <w:szCs w:val="24"/>
        </w:rPr>
        <w:t>the</w:t>
      </w:r>
      <w:r w:rsidR="005A57F6" w:rsidRPr="00F5600D">
        <w:rPr>
          <w:sz w:val="24"/>
          <w:szCs w:val="24"/>
        </w:rPr>
        <w:t xml:space="preserve"> composition of </w:t>
      </w:r>
      <w:r w:rsidR="00CB5512" w:rsidRPr="00F5600D">
        <w:rPr>
          <w:sz w:val="24"/>
          <w:szCs w:val="24"/>
        </w:rPr>
        <w:t xml:space="preserve">the Appellate Committee of the House of Lords and </w:t>
      </w:r>
      <w:r w:rsidR="00A57573" w:rsidRPr="00F5600D">
        <w:rPr>
          <w:sz w:val="24"/>
          <w:szCs w:val="24"/>
        </w:rPr>
        <w:t xml:space="preserve">of </w:t>
      </w:r>
      <w:r w:rsidR="00CB5512" w:rsidRPr="00F5600D">
        <w:rPr>
          <w:sz w:val="24"/>
          <w:szCs w:val="24"/>
        </w:rPr>
        <w:t xml:space="preserve">the Judicial Committee of the Privy Council </w:t>
      </w:r>
      <w:r w:rsidRPr="00F5600D">
        <w:rPr>
          <w:sz w:val="24"/>
          <w:szCs w:val="24"/>
        </w:rPr>
        <w:t xml:space="preserve">were </w:t>
      </w:r>
      <w:r w:rsidR="005A57F6" w:rsidRPr="00F5600D">
        <w:rPr>
          <w:sz w:val="24"/>
          <w:szCs w:val="24"/>
        </w:rPr>
        <w:t>substantially the same</w:t>
      </w:r>
      <w:r w:rsidRPr="00F5600D">
        <w:rPr>
          <w:sz w:val="24"/>
          <w:szCs w:val="24"/>
        </w:rPr>
        <w:t>.</w:t>
      </w:r>
      <w:r w:rsidR="00811E79" w:rsidRPr="00F5600D">
        <w:rPr>
          <w:rStyle w:val="FootnoteReference"/>
          <w:sz w:val="24"/>
          <w:szCs w:val="24"/>
        </w:rPr>
        <w:footnoteReference w:id="40"/>
      </w:r>
      <w:r w:rsidRPr="00F5600D">
        <w:rPr>
          <w:sz w:val="24"/>
          <w:szCs w:val="24"/>
        </w:rPr>
        <w:t xml:space="preserve"> As a result of the common membership of the two courts, </w:t>
      </w:r>
      <w:r w:rsidR="008E636B" w:rsidRPr="00F5600D">
        <w:rPr>
          <w:sz w:val="24"/>
          <w:szCs w:val="24"/>
        </w:rPr>
        <w:t xml:space="preserve">the law </w:t>
      </w:r>
      <w:r w:rsidR="0004404B">
        <w:rPr>
          <w:sz w:val="24"/>
          <w:szCs w:val="24"/>
        </w:rPr>
        <w:t>enunciated</w:t>
      </w:r>
      <w:r w:rsidR="0099075F">
        <w:rPr>
          <w:sz w:val="24"/>
          <w:szCs w:val="24"/>
        </w:rPr>
        <w:t xml:space="preserve"> </w:t>
      </w:r>
      <w:r w:rsidR="008E636B" w:rsidRPr="00F5600D">
        <w:rPr>
          <w:sz w:val="24"/>
          <w:szCs w:val="24"/>
        </w:rPr>
        <w:t>by the Privy Council tend</w:t>
      </w:r>
      <w:r w:rsidR="0004404B">
        <w:rPr>
          <w:sz w:val="24"/>
          <w:szCs w:val="24"/>
        </w:rPr>
        <w:t>ed</w:t>
      </w:r>
      <w:r w:rsidR="008E636B" w:rsidRPr="00F5600D">
        <w:rPr>
          <w:sz w:val="24"/>
          <w:szCs w:val="24"/>
        </w:rPr>
        <w:t xml:space="preserve"> to be the same as </w:t>
      </w:r>
      <w:r w:rsidR="0004404B">
        <w:rPr>
          <w:sz w:val="24"/>
          <w:szCs w:val="24"/>
        </w:rPr>
        <w:t xml:space="preserve">that </w:t>
      </w:r>
      <w:r w:rsidR="00CB5512" w:rsidRPr="00F5600D">
        <w:rPr>
          <w:sz w:val="24"/>
          <w:szCs w:val="24"/>
        </w:rPr>
        <w:t xml:space="preserve">adumbrated </w:t>
      </w:r>
      <w:r w:rsidR="008E636B" w:rsidRPr="00F5600D">
        <w:rPr>
          <w:sz w:val="24"/>
          <w:szCs w:val="24"/>
        </w:rPr>
        <w:t xml:space="preserve">by the House of Lords. </w:t>
      </w:r>
      <w:r w:rsidR="00BE1368" w:rsidRPr="00F5600D">
        <w:rPr>
          <w:sz w:val="24"/>
          <w:szCs w:val="24"/>
        </w:rPr>
        <w:t xml:space="preserve">So courts in </w:t>
      </w:r>
      <w:r w:rsidRPr="00F5600D">
        <w:rPr>
          <w:sz w:val="24"/>
          <w:szCs w:val="24"/>
        </w:rPr>
        <w:t xml:space="preserve">jurisdictions that were subject to the authority of the Privy Council </w:t>
      </w:r>
      <w:r w:rsidR="00BE1368" w:rsidRPr="00F5600D">
        <w:rPr>
          <w:sz w:val="24"/>
          <w:szCs w:val="24"/>
        </w:rPr>
        <w:t xml:space="preserve">could be reasonably </w:t>
      </w:r>
      <w:r w:rsidR="0004404B">
        <w:rPr>
          <w:sz w:val="24"/>
          <w:szCs w:val="24"/>
        </w:rPr>
        <w:t xml:space="preserve">confident </w:t>
      </w:r>
      <w:r w:rsidR="00BE1368" w:rsidRPr="00F5600D">
        <w:rPr>
          <w:sz w:val="24"/>
          <w:szCs w:val="24"/>
        </w:rPr>
        <w:t>that a pronouncement of the House of Lords would be followed by the Privy Council</w:t>
      </w:r>
      <w:r w:rsidR="00C801B0">
        <w:rPr>
          <w:sz w:val="24"/>
          <w:szCs w:val="24"/>
        </w:rPr>
        <w:t>.</w:t>
      </w:r>
      <w:r w:rsidR="00BD63C1">
        <w:rPr>
          <w:sz w:val="24"/>
          <w:szCs w:val="24"/>
        </w:rPr>
        <w:t xml:space="preserve"> It was </w:t>
      </w:r>
      <w:r w:rsidR="0004404B">
        <w:rPr>
          <w:sz w:val="24"/>
          <w:szCs w:val="24"/>
        </w:rPr>
        <w:t xml:space="preserve">thus </w:t>
      </w:r>
      <w:r w:rsidR="00BD63C1">
        <w:rPr>
          <w:sz w:val="24"/>
          <w:szCs w:val="24"/>
        </w:rPr>
        <w:t xml:space="preserve">necessary for them to them to </w:t>
      </w:r>
      <w:r w:rsidR="0004404B">
        <w:rPr>
          <w:sz w:val="24"/>
          <w:szCs w:val="24"/>
        </w:rPr>
        <w:t xml:space="preserve">proceed </w:t>
      </w:r>
      <w:r w:rsidR="00BD63C1">
        <w:rPr>
          <w:sz w:val="24"/>
          <w:szCs w:val="24"/>
        </w:rPr>
        <w:t>‘with one eye on the prevailing English case law on the subject.’</w:t>
      </w:r>
      <w:r w:rsidR="00BD63C1">
        <w:rPr>
          <w:rStyle w:val="FootnoteReference"/>
          <w:sz w:val="24"/>
          <w:szCs w:val="24"/>
        </w:rPr>
        <w:footnoteReference w:id="41"/>
      </w:r>
    </w:p>
    <w:p w14:paraId="07688071" w14:textId="447EA540" w:rsidR="00434FB8" w:rsidRPr="00F5600D" w:rsidRDefault="00CB5512" w:rsidP="00F5600D">
      <w:pPr>
        <w:tabs>
          <w:tab w:val="left" w:pos="284"/>
        </w:tabs>
        <w:spacing w:after="0" w:line="240" w:lineRule="auto"/>
        <w:jc w:val="both"/>
        <w:rPr>
          <w:sz w:val="24"/>
          <w:szCs w:val="24"/>
        </w:rPr>
      </w:pPr>
      <w:r w:rsidRPr="00F5600D">
        <w:rPr>
          <w:sz w:val="24"/>
          <w:szCs w:val="24"/>
        </w:rPr>
        <w:tab/>
        <w:t xml:space="preserve">The status in </w:t>
      </w:r>
      <w:r w:rsidR="0004404B">
        <w:rPr>
          <w:sz w:val="24"/>
          <w:szCs w:val="24"/>
        </w:rPr>
        <w:t xml:space="preserve">many </w:t>
      </w:r>
      <w:r w:rsidR="00D40C01">
        <w:rPr>
          <w:sz w:val="24"/>
          <w:szCs w:val="24"/>
        </w:rPr>
        <w:t xml:space="preserve">parts of the Commonwealth, and certainly in those parts that had terminated appeals to the Privy Council, </w:t>
      </w:r>
      <w:r w:rsidRPr="00F5600D">
        <w:rPr>
          <w:sz w:val="24"/>
          <w:szCs w:val="24"/>
        </w:rPr>
        <w:t xml:space="preserve">of decisions of the House of Lords </w:t>
      </w:r>
      <w:r w:rsidR="009B599D" w:rsidRPr="00F5600D">
        <w:rPr>
          <w:sz w:val="24"/>
          <w:szCs w:val="24"/>
        </w:rPr>
        <w:t xml:space="preserve">changed </w:t>
      </w:r>
      <w:r w:rsidR="00B57843" w:rsidRPr="00F5600D">
        <w:rPr>
          <w:sz w:val="24"/>
          <w:szCs w:val="24"/>
        </w:rPr>
        <w:t xml:space="preserve">significantly </w:t>
      </w:r>
      <w:r w:rsidR="007028A1">
        <w:rPr>
          <w:sz w:val="24"/>
          <w:szCs w:val="24"/>
        </w:rPr>
        <w:t xml:space="preserve">around </w:t>
      </w:r>
      <w:r w:rsidR="009B599D" w:rsidRPr="00F5600D">
        <w:rPr>
          <w:sz w:val="24"/>
          <w:szCs w:val="24"/>
        </w:rPr>
        <w:t>the middle of the twentieth century</w:t>
      </w:r>
      <w:r w:rsidR="00004440" w:rsidRPr="00F5600D">
        <w:rPr>
          <w:sz w:val="24"/>
          <w:szCs w:val="24"/>
        </w:rPr>
        <w:t xml:space="preserve">. The </w:t>
      </w:r>
      <w:r w:rsidR="0004404B">
        <w:rPr>
          <w:sz w:val="24"/>
          <w:szCs w:val="24"/>
        </w:rPr>
        <w:t xml:space="preserve">general </w:t>
      </w:r>
      <w:r w:rsidR="00B57843" w:rsidRPr="00F5600D">
        <w:rPr>
          <w:sz w:val="24"/>
          <w:szCs w:val="24"/>
        </w:rPr>
        <w:t xml:space="preserve">view </w:t>
      </w:r>
      <w:r w:rsidR="00004440" w:rsidRPr="00F5600D">
        <w:rPr>
          <w:sz w:val="24"/>
          <w:szCs w:val="24"/>
        </w:rPr>
        <w:t xml:space="preserve">that </w:t>
      </w:r>
      <w:r w:rsidR="00B57843" w:rsidRPr="00F5600D">
        <w:rPr>
          <w:sz w:val="24"/>
          <w:szCs w:val="24"/>
        </w:rPr>
        <w:t xml:space="preserve">emerged </w:t>
      </w:r>
      <w:r w:rsidR="00004440" w:rsidRPr="00F5600D">
        <w:rPr>
          <w:sz w:val="24"/>
          <w:szCs w:val="24"/>
        </w:rPr>
        <w:t xml:space="preserve">was </w:t>
      </w:r>
      <w:r w:rsidR="00B57843" w:rsidRPr="00F5600D">
        <w:rPr>
          <w:sz w:val="24"/>
          <w:szCs w:val="24"/>
        </w:rPr>
        <w:t xml:space="preserve">that </w:t>
      </w:r>
      <w:r w:rsidRPr="00F5600D">
        <w:rPr>
          <w:sz w:val="24"/>
          <w:szCs w:val="24"/>
        </w:rPr>
        <w:t xml:space="preserve">its decisions </w:t>
      </w:r>
      <w:r w:rsidR="00B57843" w:rsidRPr="00F5600D">
        <w:rPr>
          <w:sz w:val="24"/>
          <w:szCs w:val="24"/>
        </w:rPr>
        <w:t>were no longer binding</w:t>
      </w:r>
      <w:r w:rsidR="00A57573" w:rsidRPr="00F5600D">
        <w:rPr>
          <w:sz w:val="24"/>
          <w:szCs w:val="24"/>
        </w:rPr>
        <w:t>, at least not on final national court</w:t>
      </w:r>
      <w:r w:rsidR="00D40C01">
        <w:rPr>
          <w:sz w:val="24"/>
          <w:szCs w:val="24"/>
        </w:rPr>
        <w:t>s</w:t>
      </w:r>
      <w:r w:rsidR="00A57573" w:rsidRPr="00F5600D">
        <w:rPr>
          <w:sz w:val="24"/>
          <w:szCs w:val="24"/>
        </w:rPr>
        <w:t xml:space="preserve"> of appeal.</w:t>
      </w:r>
      <w:r w:rsidR="009B599D" w:rsidRPr="00F5600D">
        <w:rPr>
          <w:sz w:val="24"/>
          <w:szCs w:val="24"/>
        </w:rPr>
        <w:t xml:space="preserve"> </w:t>
      </w:r>
      <w:r w:rsidR="00B57843" w:rsidRPr="00F5600D">
        <w:rPr>
          <w:sz w:val="24"/>
          <w:szCs w:val="24"/>
        </w:rPr>
        <w:t xml:space="preserve">A notable </w:t>
      </w:r>
      <w:r w:rsidR="00DD3103">
        <w:rPr>
          <w:sz w:val="24"/>
          <w:szCs w:val="24"/>
        </w:rPr>
        <w:t xml:space="preserve">decision </w:t>
      </w:r>
      <w:r w:rsidR="00B57843" w:rsidRPr="00F5600D">
        <w:rPr>
          <w:sz w:val="24"/>
          <w:szCs w:val="24"/>
        </w:rPr>
        <w:t xml:space="preserve">in this sea change </w:t>
      </w:r>
      <w:r w:rsidR="009B599D" w:rsidRPr="00F5600D">
        <w:rPr>
          <w:sz w:val="24"/>
          <w:szCs w:val="24"/>
        </w:rPr>
        <w:t xml:space="preserve">is </w:t>
      </w:r>
      <w:r w:rsidR="009B599D" w:rsidRPr="00F5600D">
        <w:rPr>
          <w:i/>
          <w:sz w:val="24"/>
          <w:szCs w:val="24"/>
        </w:rPr>
        <w:t>Parker v The Queen</w:t>
      </w:r>
      <w:r w:rsidR="009B599D" w:rsidRPr="00F5600D">
        <w:rPr>
          <w:sz w:val="24"/>
          <w:szCs w:val="24"/>
        </w:rPr>
        <w:t>.</w:t>
      </w:r>
      <w:r w:rsidR="009B599D" w:rsidRPr="00F5600D">
        <w:rPr>
          <w:rStyle w:val="FootnoteReference"/>
          <w:sz w:val="24"/>
          <w:szCs w:val="24"/>
        </w:rPr>
        <w:footnoteReference w:id="42"/>
      </w:r>
      <w:r w:rsidR="009B599D" w:rsidRPr="00F5600D">
        <w:rPr>
          <w:sz w:val="24"/>
          <w:szCs w:val="24"/>
        </w:rPr>
        <w:t xml:space="preserve"> In</w:t>
      </w:r>
      <w:r w:rsidR="009B599D" w:rsidRPr="00F5600D">
        <w:rPr>
          <w:i/>
          <w:sz w:val="24"/>
          <w:szCs w:val="24"/>
        </w:rPr>
        <w:t xml:space="preserve"> </w:t>
      </w:r>
      <w:r w:rsidR="009B599D" w:rsidRPr="00F5600D">
        <w:rPr>
          <w:sz w:val="24"/>
          <w:szCs w:val="24"/>
        </w:rPr>
        <w:t>this case</w:t>
      </w:r>
      <w:r w:rsidR="00B57843" w:rsidRPr="00F5600D">
        <w:rPr>
          <w:sz w:val="24"/>
          <w:szCs w:val="24"/>
        </w:rPr>
        <w:t>, decided in 19</w:t>
      </w:r>
      <w:r w:rsidR="00E518E8" w:rsidRPr="00F5600D">
        <w:rPr>
          <w:sz w:val="24"/>
          <w:szCs w:val="24"/>
        </w:rPr>
        <w:t>63</w:t>
      </w:r>
      <w:r w:rsidR="00B57843" w:rsidRPr="00F5600D">
        <w:rPr>
          <w:sz w:val="24"/>
          <w:szCs w:val="24"/>
        </w:rPr>
        <w:t>,</w:t>
      </w:r>
      <w:r w:rsidR="009B599D" w:rsidRPr="00F5600D">
        <w:rPr>
          <w:sz w:val="24"/>
          <w:szCs w:val="24"/>
        </w:rPr>
        <w:t xml:space="preserve"> the High Court of Australia refused to follow </w:t>
      </w:r>
      <w:r w:rsidR="00DD3103">
        <w:rPr>
          <w:sz w:val="24"/>
          <w:szCs w:val="24"/>
        </w:rPr>
        <w:t xml:space="preserve">the </w:t>
      </w:r>
      <w:r w:rsidR="009B599D" w:rsidRPr="00F5600D">
        <w:rPr>
          <w:sz w:val="24"/>
          <w:szCs w:val="24"/>
        </w:rPr>
        <w:t>decision of the House of Lords</w:t>
      </w:r>
      <w:r w:rsidR="00DD3103">
        <w:rPr>
          <w:sz w:val="24"/>
          <w:szCs w:val="24"/>
        </w:rPr>
        <w:t xml:space="preserve"> in </w:t>
      </w:r>
      <w:r w:rsidR="009B599D" w:rsidRPr="00F5600D">
        <w:rPr>
          <w:i/>
          <w:sz w:val="24"/>
          <w:szCs w:val="24"/>
        </w:rPr>
        <w:t>DPP v Smith</w:t>
      </w:r>
      <w:r w:rsidR="0099075F">
        <w:rPr>
          <w:sz w:val="24"/>
          <w:szCs w:val="24"/>
        </w:rPr>
        <w:t>.</w:t>
      </w:r>
      <w:r w:rsidR="009B599D" w:rsidRPr="00F5600D">
        <w:rPr>
          <w:rStyle w:val="FootnoteReference"/>
          <w:sz w:val="24"/>
          <w:szCs w:val="24"/>
        </w:rPr>
        <w:footnoteReference w:id="43"/>
      </w:r>
      <w:r w:rsidR="00004440" w:rsidRPr="00F5600D">
        <w:rPr>
          <w:sz w:val="24"/>
          <w:szCs w:val="24"/>
        </w:rPr>
        <w:t xml:space="preserve"> </w:t>
      </w:r>
      <w:r w:rsidR="00B57843" w:rsidRPr="00F5600D">
        <w:rPr>
          <w:sz w:val="24"/>
          <w:szCs w:val="24"/>
        </w:rPr>
        <w:t>Dixon </w:t>
      </w:r>
      <w:r w:rsidR="009B599D" w:rsidRPr="00F5600D">
        <w:rPr>
          <w:sz w:val="24"/>
          <w:szCs w:val="24"/>
        </w:rPr>
        <w:t>CJ, speaking for the court on this point</w:t>
      </w:r>
      <w:r w:rsidR="0099075F">
        <w:rPr>
          <w:sz w:val="24"/>
          <w:szCs w:val="24"/>
        </w:rPr>
        <w:t>,</w:t>
      </w:r>
      <w:r w:rsidR="009B599D" w:rsidRPr="00F5600D">
        <w:rPr>
          <w:sz w:val="24"/>
          <w:szCs w:val="24"/>
        </w:rPr>
        <w:t xml:space="preserve"> said:</w:t>
      </w:r>
      <w:r w:rsidR="009B599D" w:rsidRPr="00F5600D">
        <w:rPr>
          <w:rStyle w:val="FootnoteReference"/>
          <w:sz w:val="24"/>
          <w:szCs w:val="24"/>
        </w:rPr>
        <w:footnoteReference w:id="44"/>
      </w:r>
    </w:p>
    <w:p w14:paraId="4F14315D" w14:textId="77777777" w:rsidR="009B599D" w:rsidRPr="00F5600D" w:rsidRDefault="009B599D" w:rsidP="00F5600D">
      <w:pPr>
        <w:tabs>
          <w:tab w:val="left" w:pos="284"/>
        </w:tabs>
        <w:spacing w:after="0" w:line="240" w:lineRule="auto"/>
        <w:jc w:val="both"/>
        <w:rPr>
          <w:sz w:val="24"/>
          <w:szCs w:val="24"/>
        </w:rPr>
      </w:pPr>
    </w:p>
    <w:p w14:paraId="54B68D1B" w14:textId="77777777" w:rsidR="009B599D" w:rsidRPr="00556F28" w:rsidRDefault="009B599D" w:rsidP="00F5600D">
      <w:pPr>
        <w:tabs>
          <w:tab w:val="left" w:pos="284"/>
        </w:tabs>
        <w:spacing w:after="0" w:line="240" w:lineRule="auto"/>
        <w:ind w:left="284" w:hanging="284"/>
        <w:jc w:val="both"/>
        <w:rPr>
          <w:sz w:val="22"/>
          <w:szCs w:val="22"/>
        </w:rPr>
      </w:pPr>
      <w:r w:rsidRPr="00F5600D">
        <w:rPr>
          <w:sz w:val="24"/>
          <w:szCs w:val="24"/>
        </w:rPr>
        <w:tab/>
      </w:r>
      <w:r w:rsidRPr="00556F28">
        <w:rPr>
          <w:sz w:val="22"/>
          <w:szCs w:val="22"/>
        </w:rPr>
        <w:t xml:space="preserve">Hitherto I have thought that we ought to follow decisions of the House of Lords, at the expense of our own opinions and cases decided here, but having carefully studied </w:t>
      </w:r>
      <w:r w:rsidRPr="00556F28">
        <w:rPr>
          <w:i/>
          <w:sz w:val="22"/>
          <w:szCs w:val="22"/>
        </w:rPr>
        <w:t xml:space="preserve">Smith’s </w:t>
      </w:r>
      <w:r w:rsidRPr="00556F28">
        <w:rPr>
          <w:sz w:val="22"/>
          <w:szCs w:val="22"/>
        </w:rPr>
        <w:t xml:space="preserve">case I think that we cannot adhere to that view or policy. There are propositions laid down in the judgment … which I could never bring myself to accept … I think </w:t>
      </w:r>
      <w:r w:rsidRPr="00556F28">
        <w:rPr>
          <w:i/>
          <w:sz w:val="22"/>
          <w:szCs w:val="22"/>
        </w:rPr>
        <w:t xml:space="preserve">Smith’s </w:t>
      </w:r>
      <w:r w:rsidRPr="00556F28">
        <w:rPr>
          <w:sz w:val="22"/>
          <w:szCs w:val="22"/>
        </w:rPr>
        <w:t>case should not be used as authority in Australia at all.</w:t>
      </w:r>
    </w:p>
    <w:p w14:paraId="7A503A38" w14:textId="77777777" w:rsidR="00434FB8" w:rsidRPr="00F5600D" w:rsidRDefault="00434FB8" w:rsidP="00F5600D">
      <w:pPr>
        <w:tabs>
          <w:tab w:val="left" w:pos="284"/>
        </w:tabs>
        <w:spacing w:after="0" w:line="240" w:lineRule="auto"/>
        <w:jc w:val="both"/>
        <w:rPr>
          <w:sz w:val="24"/>
          <w:szCs w:val="24"/>
        </w:rPr>
      </w:pPr>
    </w:p>
    <w:p w14:paraId="72D66862" w14:textId="0B6591D2" w:rsidR="009C198B" w:rsidRPr="00F5600D" w:rsidRDefault="00B57843" w:rsidP="00F5600D">
      <w:pPr>
        <w:tabs>
          <w:tab w:val="left" w:pos="284"/>
        </w:tabs>
        <w:spacing w:after="0" w:line="240" w:lineRule="auto"/>
        <w:jc w:val="both"/>
        <w:rPr>
          <w:sz w:val="24"/>
          <w:szCs w:val="24"/>
        </w:rPr>
      </w:pPr>
      <w:r w:rsidRPr="00F5600D">
        <w:rPr>
          <w:sz w:val="24"/>
          <w:szCs w:val="24"/>
        </w:rPr>
        <w:t xml:space="preserve">This </w:t>
      </w:r>
      <w:r w:rsidR="00DE1F71" w:rsidRPr="00F5600D">
        <w:rPr>
          <w:sz w:val="24"/>
          <w:szCs w:val="24"/>
        </w:rPr>
        <w:t xml:space="preserve">retreat from </w:t>
      </w:r>
      <w:r w:rsidR="00E20DCE" w:rsidRPr="00F5600D">
        <w:rPr>
          <w:sz w:val="24"/>
          <w:szCs w:val="24"/>
        </w:rPr>
        <w:t xml:space="preserve">the view that </w:t>
      </w:r>
      <w:r w:rsidR="001B74E8" w:rsidRPr="00F5600D">
        <w:rPr>
          <w:sz w:val="24"/>
          <w:szCs w:val="24"/>
        </w:rPr>
        <w:t xml:space="preserve">British </w:t>
      </w:r>
      <w:r w:rsidR="00DE1F71" w:rsidRPr="00F5600D">
        <w:rPr>
          <w:sz w:val="24"/>
          <w:szCs w:val="24"/>
        </w:rPr>
        <w:t>authority</w:t>
      </w:r>
      <w:r w:rsidRPr="00F5600D">
        <w:rPr>
          <w:sz w:val="24"/>
          <w:szCs w:val="24"/>
        </w:rPr>
        <w:t xml:space="preserve"> </w:t>
      </w:r>
      <w:r w:rsidR="00E20DCE" w:rsidRPr="00F5600D">
        <w:rPr>
          <w:sz w:val="24"/>
          <w:szCs w:val="24"/>
        </w:rPr>
        <w:t xml:space="preserve">had precedential force in Australia </w:t>
      </w:r>
      <w:r w:rsidRPr="00F5600D">
        <w:rPr>
          <w:sz w:val="24"/>
          <w:szCs w:val="24"/>
        </w:rPr>
        <w:t xml:space="preserve">continued in </w:t>
      </w:r>
      <w:r w:rsidRPr="00F5600D">
        <w:rPr>
          <w:i/>
          <w:sz w:val="24"/>
          <w:szCs w:val="24"/>
        </w:rPr>
        <w:t>Uren v John Fairfax &amp; Son Pty Ltd</w:t>
      </w:r>
      <w:r w:rsidRPr="00F5600D">
        <w:rPr>
          <w:sz w:val="24"/>
          <w:szCs w:val="24"/>
        </w:rPr>
        <w:t>.</w:t>
      </w:r>
      <w:r w:rsidR="00950305" w:rsidRPr="00F5600D">
        <w:rPr>
          <w:rStyle w:val="FootnoteReference"/>
          <w:sz w:val="24"/>
          <w:szCs w:val="24"/>
        </w:rPr>
        <w:footnoteReference w:id="45"/>
      </w:r>
      <w:r w:rsidRPr="00F5600D">
        <w:rPr>
          <w:sz w:val="24"/>
          <w:szCs w:val="24"/>
        </w:rPr>
        <w:t xml:space="preserve"> In th</w:t>
      </w:r>
      <w:r w:rsidR="00CB5512" w:rsidRPr="00F5600D">
        <w:rPr>
          <w:sz w:val="24"/>
          <w:szCs w:val="24"/>
        </w:rPr>
        <w:t>at</w:t>
      </w:r>
      <w:r w:rsidRPr="00F5600D">
        <w:rPr>
          <w:sz w:val="24"/>
          <w:szCs w:val="24"/>
        </w:rPr>
        <w:t xml:space="preserve"> case</w:t>
      </w:r>
      <w:r w:rsidR="00191BC2" w:rsidRPr="00F5600D">
        <w:rPr>
          <w:sz w:val="24"/>
          <w:szCs w:val="24"/>
        </w:rPr>
        <w:t>,</w:t>
      </w:r>
      <w:r w:rsidRPr="00F5600D">
        <w:rPr>
          <w:sz w:val="24"/>
          <w:szCs w:val="24"/>
        </w:rPr>
        <w:t xml:space="preserve"> the </w:t>
      </w:r>
      <w:r w:rsidR="00ED1B9D" w:rsidRPr="00F5600D">
        <w:rPr>
          <w:sz w:val="24"/>
          <w:szCs w:val="24"/>
        </w:rPr>
        <w:t xml:space="preserve">Australian </w:t>
      </w:r>
      <w:r w:rsidRPr="00F5600D">
        <w:rPr>
          <w:sz w:val="24"/>
          <w:szCs w:val="24"/>
        </w:rPr>
        <w:t xml:space="preserve">High Court </w:t>
      </w:r>
      <w:r w:rsidR="004F4E65" w:rsidRPr="00F5600D">
        <w:rPr>
          <w:sz w:val="24"/>
          <w:szCs w:val="24"/>
        </w:rPr>
        <w:t xml:space="preserve">unanimously </w:t>
      </w:r>
      <w:r w:rsidRPr="00F5600D">
        <w:rPr>
          <w:sz w:val="24"/>
          <w:szCs w:val="24"/>
        </w:rPr>
        <w:t xml:space="preserve">refused to follow the decision of the House of Lords in </w:t>
      </w:r>
      <w:r w:rsidRPr="00F5600D">
        <w:rPr>
          <w:i/>
          <w:sz w:val="24"/>
          <w:szCs w:val="24"/>
        </w:rPr>
        <w:t>Rookes v Barnard</w:t>
      </w:r>
      <w:r w:rsidR="00191BC2" w:rsidRPr="00F5600D">
        <w:rPr>
          <w:sz w:val="24"/>
          <w:szCs w:val="24"/>
        </w:rPr>
        <w:t xml:space="preserve">, in which the House </w:t>
      </w:r>
      <w:r w:rsidR="00191BC2" w:rsidRPr="00F5600D">
        <w:rPr>
          <w:sz w:val="24"/>
          <w:szCs w:val="24"/>
        </w:rPr>
        <w:lastRenderedPageBreak/>
        <w:t xml:space="preserve">had </w:t>
      </w:r>
      <w:r w:rsidR="006075A9">
        <w:rPr>
          <w:sz w:val="24"/>
          <w:szCs w:val="24"/>
        </w:rPr>
        <w:t xml:space="preserve">famously </w:t>
      </w:r>
      <w:r w:rsidR="00191BC2" w:rsidRPr="00F5600D">
        <w:rPr>
          <w:sz w:val="24"/>
          <w:szCs w:val="24"/>
        </w:rPr>
        <w:t>severely restricted the availability of exemplary damages.</w:t>
      </w:r>
      <w:r w:rsidR="00950305" w:rsidRPr="00F5600D">
        <w:rPr>
          <w:rStyle w:val="FootnoteReference"/>
          <w:sz w:val="24"/>
          <w:szCs w:val="24"/>
        </w:rPr>
        <w:footnoteReference w:id="46"/>
      </w:r>
      <w:r w:rsidRPr="00F5600D">
        <w:rPr>
          <w:sz w:val="24"/>
          <w:szCs w:val="24"/>
        </w:rPr>
        <w:t xml:space="preserve"> </w:t>
      </w:r>
      <w:r w:rsidR="004F4E65" w:rsidRPr="00F5600D">
        <w:rPr>
          <w:sz w:val="24"/>
          <w:szCs w:val="24"/>
        </w:rPr>
        <w:t>McTiernan J remarked: ‘A decision of the House of Lords is not as a matter of law binding on this Court.’</w:t>
      </w:r>
      <w:r w:rsidR="004F4E65" w:rsidRPr="00F5600D">
        <w:rPr>
          <w:rStyle w:val="FootnoteReference"/>
          <w:sz w:val="24"/>
          <w:szCs w:val="24"/>
        </w:rPr>
        <w:footnoteReference w:id="47"/>
      </w:r>
      <w:r w:rsidR="004F4E65" w:rsidRPr="00F5600D">
        <w:rPr>
          <w:sz w:val="24"/>
          <w:szCs w:val="24"/>
        </w:rPr>
        <w:t xml:space="preserve"> </w:t>
      </w:r>
      <w:r w:rsidR="009C198B" w:rsidRPr="00F5600D">
        <w:rPr>
          <w:sz w:val="24"/>
          <w:szCs w:val="24"/>
        </w:rPr>
        <w:t xml:space="preserve">Owen J, expanding on comments that he had made in an earlier </w:t>
      </w:r>
      <w:r w:rsidR="00CB5512" w:rsidRPr="00F5600D">
        <w:rPr>
          <w:sz w:val="24"/>
          <w:szCs w:val="24"/>
        </w:rPr>
        <w:t>matter</w:t>
      </w:r>
      <w:r w:rsidR="009C198B" w:rsidRPr="00F5600D">
        <w:rPr>
          <w:sz w:val="24"/>
          <w:szCs w:val="24"/>
        </w:rPr>
        <w:t>,</w:t>
      </w:r>
      <w:r w:rsidR="009C198B" w:rsidRPr="00F5600D">
        <w:rPr>
          <w:rStyle w:val="FootnoteReference"/>
          <w:sz w:val="24"/>
          <w:szCs w:val="24"/>
        </w:rPr>
        <w:footnoteReference w:id="48"/>
      </w:r>
      <w:r w:rsidR="009C198B" w:rsidRPr="00F5600D">
        <w:rPr>
          <w:sz w:val="24"/>
          <w:szCs w:val="24"/>
        </w:rPr>
        <w:t xml:space="preserve"> opined:</w:t>
      </w:r>
      <w:r w:rsidR="009C198B" w:rsidRPr="00F5600D">
        <w:rPr>
          <w:rStyle w:val="FootnoteReference"/>
          <w:sz w:val="24"/>
          <w:szCs w:val="24"/>
        </w:rPr>
        <w:footnoteReference w:id="49"/>
      </w:r>
    </w:p>
    <w:p w14:paraId="266F6320" w14:textId="77777777" w:rsidR="009C198B" w:rsidRPr="00F5600D" w:rsidRDefault="009C198B" w:rsidP="00F5600D">
      <w:pPr>
        <w:tabs>
          <w:tab w:val="left" w:pos="284"/>
        </w:tabs>
        <w:spacing w:after="0" w:line="240" w:lineRule="auto"/>
        <w:jc w:val="both"/>
        <w:rPr>
          <w:sz w:val="24"/>
          <w:szCs w:val="24"/>
        </w:rPr>
      </w:pPr>
    </w:p>
    <w:p w14:paraId="1A3A8F47" w14:textId="77777777" w:rsidR="009C198B" w:rsidRPr="00556F28" w:rsidRDefault="009C198B" w:rsidP="00F5600D">
      <w:pPr>
        <w:tabs>
          <w:tab w:val="left" w:pos="284"/>
        </w:tabs>
        <w:spacing w:after="0" w:line="240" w:lineRule="auto"/>
        <w:ind w:left="284" w:hanging="284"/>
        <w:jc w:val="both"/>
        <w:rPr>
          <w:sz w:val="22"/>
          <w:szCs w:val="22"/>
        </w:rPr>
      </w:pPr>
      <w:r w:rsidRPr="00F5600D">
        <w:rPr>
          <w:sz w:val="24"/>
          <w:szCs w:val="24"/>
        </w:rPr>
        <w:tab/>
      </w:r>
      <w:r w:rsidRPr="00556F28">
        <w:rPr>
          <w:sz w:val="22"/>
          <w:szCs w:val="22"/>
        </w:rPr>
        <w:t>if the High Court comes to a firm conclusion that a decision of the House of Lords is wrong it should act in accordance with its own view ...; and … where a conflict exists between a decision of the High Court and one of the House of Lords I am of opinion that other Australian courts should follow the decision of this court.</w:t>
      </w:r>
    </w:p>
    <w:p w14:paraId="539769AA" w14:textId="77777777" w:rsidR="009C198B" w:rsidRPr="00F5600D" w:rsidRDefault="009C198B" w:rsidP="00F5600D">
      <w:pPr>
        <w:tabs>
          <w:tab w:val="left" w:pos="284"/>
        </w:tabs>
        <w:spacing w:after="0" w:line="240" w:lineRule="auto"/>
        <w:jc w:val="both"/>
        <w:rPr>
          <w:sz w:val="24"/>
          <w:szCs w:val="24"/>
        </w:rPr>
      </w:pPr>
    </w:p>
    <w:p w14:paraId="72BD748C" w14:textId="21EED998" w:rsidR="00790C03" w:rsidRPr="00F5600D" w:rsidRDefault="00DD3103" w:rsidP="00F5600D">
      <w:pPr>
        <w:tabs>
          <w:tab w:val="left" w:pos="284"/>
        </w:tabs>
        <w:spacing w:after="0" w:line="240" w:lineRule="auto"/>
        <w:jc w:val="both"/>
        <w:rPr>
          <w:sz w:val="24"/>
          <w:szCs w:val="24"/>
        </w:rPr>
      </w:pPr>
      <w:r>
        <w:rPr>
          <w:sz w:val="24"/>
          <w:szCs w:val="24"/>
        </w:rPr>
        <w:t>I</w:t>
      </w:r>
      <w:r w:rsidRPr="00F5600D">
        <w:rPr>
          <w:sz w:val="24"/>
          <w:szCs w:val="24"/>
        </w:rPr>
        <w:t xml:space="preserve">n </w:t>
      </w:r>
      <w:r w:rsidRPr="00F5600D">
        <w:rPr>
          <w:i/>
          <w:sz w:val="24"/>
          <w:szCs w:val="24"/>
        </w:rPr>
        <w:t>Australian Consolidated Press v Uren</w:t>
      </w:r>
      <w:r w:rsidR="002921E9">
        <w:rPr>
          <w:sz w:val="24"/>
          <w:szCs w:val="24"/>
        </w:rPr>
        <w:t>,</w:t>
      </w:r>
      <w:r w:rsidRPr="00F5600D">
        <w:rPr>
          <w:rStyle w:val="FootnoteReference"/>
          <w:sz w:val="24"/>
          <w:szCs w:val="24"/>
        </w:rPr>
        <w:footnoteReference w:id="50"/>
      </w:r>
      <w:r>
        <w:rPr>
          <w:i/>
          <w:sz w:val="24"/>
          <w:szCs w:val="24"/>
        </w:rPr>
        <w:t xml:space="preserve"> </w:t>
      </w:r>
      <w:r>
        <w:rPr>
          <w:sz w:val="24"/>
          <w:szCs w:val="24"/>
        </w:rPr>
        <w:t>t</w:t>
      </w:r>
      <w:r w:rsidR="00B57843" w:rsidRPr="00F5600D">
        <w:rPr>
          <w:sz w:val="24"/>
          <w:szCs w:val="24"/>
        </w:rPr>
        <w:t xml:space="preserve">he </w:t>
      </w:r>
      <w:r w:rsidR="004059A7" w:rsidRPr="00F5600D">
        <w:rPr>
          <w:sz w:val="24"/>
          <w:szCs w:val="24"/>
        </w:rPr>
        <w:t xml:space="preserve">High </w:t>
      </w:r>
      <w:r w:rsidR="00B57843" w:rsidRPr="00F5600D">
        <w:rPr>
          <w:sz w:val="24"/>
          <w:szCs w:val="24"/>
        </w:rPr>
        <w:t xml:space="preserve">Court affirmed </w:t>
      </w:r>
      <w:r w:rsidRPr="00F5600D">
        <w:rPr>
          <w:sz w:val="24"/>
          <w:szCs w:val="24"/>
        </w:rPr>
        <w:t xml:space="preserve">the departure from </w:t>
      </w:r>
      <w:r w:rsidRPr="00F5600D">
        <w:rPr>
          <w:i/>
          <w:sz w:val="24"/>
          <w:szCs w:val="24"/>
        </w:rPr>
        <w:t>Rookes v Barnard</w:t>
      </w:r>
      <w:r w:rsidR="00B57843" w:rsidRPr="00F5600D">
        <w:rPr>
          <w:sz w:val="24"/>
          <w:szCs w:val="24"/>
        </w:rPr>
        <w:t xml:space="preserve">. On appeal to the Privy Council, their Lordships said that the High Court was entitled not to follow </w:t>
      </w:r>
      <w:r w:rsidR="00790C03" w:rsidRPr="00F5600D">
        <w:rPr>
          <w:i/>
          <w:sz w:val="24"/>
          <w:szCs w:val="24"/>
        </w:rPr>
        <w:t>Rookes v Barnard</w:t>
      </w:r>
      <w:r w:rsidR="00B57843" w:rsidRPr="00F5600D">
        <w:rPr>
          <w:sz w:val="24"/>
          <w:szCs w:val="24"/>
        </w:rPr>
        <w:t>.</w:t>
      </w:r>
      <w:r w:rsidR="00950305" w:rsidRPr="00F5600D">
        <w:rPr>
          <w:rStyle w:val="FootnoteReference"/>
          <w:sz w:val="24"/>
          <w:szCs w:val="24"/>
        </w:rPr>
        <w:footnoteReference w:id="51"/>
      </w:r>
      <w:r w:rsidR="00B57843" w:rsidRPr="00F5600D">
        <w:rPr>
          <w:sz w:val="24"/>
          <w:szCs w:val="24"/>
        </w:rPr>
        <w:t xml:space="preserve"> </w:t>
      </w:r>
      <w:r w:rsidR="00790C03" w:rsidRPr="00F5600D">
        <w:rPr>
          <w:sz w:val="24"/>
          <w:szCs w:val="24"/>
        </w:rPr>
        <w:t xml:space="preserve">Significantly, their Lordships </w:t>
      </w:r>
      <w:r w:rsidR="00C2384E" w:rsidRPr="00F5600D">
        <w:rPr>
          <w:sz w:val="24"/>
          <w:szCs w:val="24"/>
        </w:rPr>
        <w:t xml:space="preserve">appeared to suggest </w:t>
      </w:r>
      <w:r w:rsidR="00790C03" w:rsidRPr="00F5600D">
        <w:rPr>
          <w:sz w:val="24"/>
          <w:szCs w:val="24"/>
        </w:rPr>
        <w:t>that local judges, in at least certain legal contexts, are best positioned to decide the legal destiny of their respective jurisdictions.</w:t>
      </w:r>
      <w:r w:rsidR="00D03B23">
        <w:rPr>
          <w:rStyle w:val="FootnoteReference"/>
          <w:sz w:val="24"/>
          <w:szCs w:val="24"/>
        </w:rPr>
        <w:footnoteReference w:id="52"/>
      </w:r>
      <w:r w:rsidR="00790C03" w:rsidRPr="00F5600D">
        <w:rPr>
          <w:sz w:val="24"/>
          <w:szCs w:val="24"/>
        </w:rPr>
        <w:t xml:space="preserve"> </w:t>
      </w:r>
    </w:p>
    <w:p w14:paraId="692D1E3C" w14:textId="60931B34" w:rsidR="00B57843" w:rsidRPr="00F5600D" w:rsidRDefault="00790C03" w:rsidP="00F5600D">
      <w:pPr>
        <w:tabs>
          <w:tab w:val="left" w:pos="284"/>
        </w:tabs>
        <w:spacing w:after="0" w:line="240" w:lineRule="auto"/>
        <w:jc w:val="both"/>
        <w:rPr>
          <w:sz w:val="24"/>
          <w:szCs w:val="24"/>
        </w:rPr>
      </w:pPr>
      <w:r w:rsidRPr="00F5600D">
        <w:rPr>
          <w:sz w:val="24"/>
          <w:szCs w:val="24"/>
        </w:rPr>
        <w:tab/>
      </w:r>
      <w:r w:rsidR="00B57843" w:rsidRPr="00F5600D">
        <w:rPr>
          <w:sz w:val="24"/>
          <w:szCs w:val="24"/>
        </w:rPr>
        <w:t xml:space="preserve">This </w:t>
      </w:r>
      <w:r w:rsidR="00C2384E" w:rsidRPr="00F5600D">
        <w:rPr>
          <w:sz w:val="24"/>
          <w:szCs w:val="24"/>
        </w:rPr>
        <w:t xml:space="preserve">reduction in </w:t>
      </w:r>
      <w:r w:rsidR="000824B0" w:rsidRPr="00F5600D">
        <w:rPr>
          <w:sz w:val="24"/>
          <w:szCs w:val="24"/>
        </w:rPr>
        <w:t xml:space="preserve">the </w:t>
      </w:r>
      <w:r w:rsidRPr="00F5600D">
        <w:rPr>
          <w:sz w:val="24"/>
          <w:szCs w:val="24"/>
        </w:rPr>
        <w:t xml:space="preserve">precedential force of </w:t>
      </w:r>
      <w:r w:rsidR="000824B0" w:rsidRPr="00F5600D">
        <w:rPr>
          <w:sz w:val="24"/>
          <w:szCs w:val="24"/>
        </w:rPr>
        <w:t xml:space="preserve">decisions of the </w:t>
      </w:r>
      <w:r w:rsidRPr="00F5600D">
        <w:rPr>
          <w:sz w:val="24"/>
          <w:szCs w:val="24"/>
        </w:rPr>
        <w:t xml:space="preserve">House of Lords </w:t>
      </w:r>
      <w:r w:rsidR="00B57843" w:rsidRPr="00F5600D">
        <w:rPr>
          <w:sz w:val="24"/>
          <w:szCs w:val="24"/>
        </w:rPr>
        <w:t xml:space="preserve">in relation to Australia </w:t>
      </w:r>
      <w:r w:rsidR="00C2384E" w:rsidRPr="00F5600D">
        <w:rPr>
          <w:sz w:val="24"/>
          <w:szCs w:val="24"/>
        </w:rPr>
        <w:t xml:space="preserve">has occurred in many other common law jurisdictions. </w:t>
      </w:r>
      <w:r w:rsidR="00D10902" w:rsidRPr="00F5600D">
        <w:rPr>
          <w:sz w:val="24"/>
          <w:szCs w:val="24"/>
        </w:rPr>
        <w:t>The details are given elsewhere.</w:t>
      </w:r>
      <w:bookmarkStart w:id="11" w:name="_Ref405127038"/>
      <w:r w:rsidR="00D10902" w:rsidRPr="00F5600D">
        <w:rPr>
          <w:rStyle w:val="FootnoteReference"/>
          <w:sz w:val="24"/>
          <w:szCs w:val="24"/>
        </w:rPr>
        <w:footnoteReference w:id="53"/>
      </w:r>
      <w:bookmarkEnd w:id="11"/>
      <w:r w:rsidR="00D10902" w:rsidRPr="00F5600D">
        <w:rPr>
          <w:sz w:val="24"/>
          <w:szCs w:val="24"/>
        </w:rPr>
        <w:t xml:space="preserve"> It is unnecessary to delve into them</w:t>
      </w:r>
      <w:r w:rsidR="00C11BA4">
        <w:rPr>
          <w:sz w:val="24"/>
          <w:szCs w:val="24"/>
        </w:rPr>
        <w:t xml:space="preserve"> here</w:t>
      </w:r>
      <w:r w:rsidR="00D10902" w:rsidRPr="00F5600D">
        <w:rPr>
          <w:sz w:val="24"/>
          <w:szCs w:val="24"/>
        </w:rPr>
        <w:t xml:space="preserve">, for the critical point </w:t>
      </w:r>
      <w:r w:rsidR="00C2384E" w:rsidRPr="00F5600D">
        <w:rPr>
          <w:sz w:val="24"/>
          <w:szCs w:val="24"/>
        </w:rPr>
        <w:t xml:space="preserve">to grasp </w:t>
      </w:r>
      <w:r w:rsidR="00C11BA4">
        <w:rPr>
          <w:sz w:val="24"/>
          <w:szCs w:val="24"/>
        </w:rPr>
        <w:t xml:space="preserve">for present purposes </w:t>
      </w:r>
      <w:r w:rsidR="00D10902" w:rsidRPr="00F5600D">
        <w:rPr>
          <w:sz w:val="24"/>
          <w:szCs w:val="24"/>
        </w:rPr>
        <w:t xml:space="preserve">is that the fact </w:t>
      </w:r>
      <w:r w:rsidR="006F4FA5" w:rsidRPr="00F5600D">
        <w:rPr>
          <w:sz w:val="24"/>
          <w:szCs w:val="24"/>
        </w:rPr>
        <w:t xml:space="preserve">that </w:t>
      </w:r>
      <w:r w:rsidRPr="00F5600D">
        <w:rPr>
          <w:sz w:val="24"/>
          <w:szCs w:val="24"/>
        </w:rPr>
        <w:t xml:space="preserve">decisions of the House of Lords </w:t>
      </w:r>
      <w:r w:rsidR="00D10902" w:rsidRPr="00F5600D">
        <w:rPr>
          <w:sz w:val="24"/>
          <w:szCs w:val="24"/>
        </w:rPr>
        <w:t xml:space="preserve">are </w:t>
      </w:r>
      <w:r w:rsidRPr="00F5600D">
        <w:rPr>
          <w:sz w:val="24"/>
          <w:szCs w:val="24"/>
        </w:rPr>
        <w:t xml:space="preserve">no longer </w:t>
      </w:r>
      <w:r w:rsidR="00D10902" w:rsidRPr="00F5600D">
        <w:rPr>
          <w:sz w:val="24"/>
          <w:szCs w:val="24"/>
        </w:rPr>
        <w:t>binding</w:t>
      </w:r>
      <w:r w:rsidR="00455893">
        <w:rPr>
          <w:sz w:val="24"/>
          <w:szCs w:val="24"/>
        </w:rPr>
        <w:t>,</w:t>
      </w:r>
      <w:r w:rsidR="00556F28">
        <w:rPr>
          <w:sz w:val="24"/>
          <w:szCs w:val="24"/>
        </w:rPr>
        <w:t xml:space="preserve"> at least in</w:t>
      </w:r>
      <w:r w:rsidR="00797C08">
        <w:rPr>
          <w:sz w:val="24"/>
          <w:szCs w:val="24"/>
        </w:rPr>
        <w:t xml:space="preserve"> </w:t>
      </w:r>
      <w:r w:rsidRPr="00F5600D">
        <w:rPr>
          <w:sz w:val="24"/>
          <w:szCs w:val="24"/>
        </w:rPr>
        <w:t>those jurisdictions that have terminated appeals to the Privy Council</w:t>
      </w:r>
      <w:r w:rsidR="00455893">
        <w:rPr>
          <w:sz w:val="24"/>
          <w:szCs w:val="24"/>
        </w:rPr>
        <w:t>,</w:t>
      </w:r>
      <w:r w:rsidR="00556F28">
        <w:rPr>
          <w:sz w:val="24"/>
          <w:szCs w:val="24"/>
        </w:rPr>
        <w:t xml:space="preserve"> </w:t>
      </w:r>
      <w:r w:rsidR="000824B0" w:rsidRPr="00F5600D">
        <w:rPr>
          <w:sz w:val="24"/>
          <w:szCs w:val="24"/>
        </w:rPr>
        <w:t xml:space="preserve">has </w:t>
      </w:r>
      <w:r w:rsidRPr="00F5600D">
        <w:rPr>
          <w:sz w:val="24"/>
          <w:szCs w:val="24"/>
        </w:rPr>
        <w:t xml:space="preserve">played </w:t>
      </w:r>
      <w:r w:rsidR="007E0EA6">
        <w:rPr>
          <w:sz w:val="24"/>
          <w:szCs w:val="24"/>
        </w:rPr>
        <w:t xml:space="preserve">an important </w:t>
      </w:r>
      <w:r w:rsidRPr="00F5600D">
        <w:rPr>
          <w:sz w:val="24"/>
          <w:szCs w:val="24"/>
        </w:rPr>
        <w:t xml:space="preserve">role in </w:t>
      </w:r>
      <w:r w:rsidR="006F4FA5" w:rsidRPr="00F5600D">
        <w:rPr>
          <w:sz w:val="24"/>
          <w:szCs w:val="24"/>
        </w:rPr>
        <w:t xml:space="preserve">facilitating </w:t>
      </w:r>
      <w:r w:rsidR="00D10902" w:rsidRPr="00F5600D">
        <w:rPr>
          <w:sz w:val="24"/>
          <w:szCs w:val="24"/>
        </w:rPr>
        <w:t xml:space="preserve">jurisdictional isolation. </w:t>
      </w:r>
    </w:p>
    <w:p w14:paraId="02EDDBE9" w14:textId="77777777" w:rsidR="005833C2" w:rsidRPr="00F5600D" w:rsidRDefault="005833C2" w:rsidP="00F5600D">
      <w:pPr>
        <w:tabs>
          <w:tab w:val="left" w:pos="284"/>
        </w:tabs>
        <w:spacing w:after="0" w:line="240" w:lineRule="auto"/>
        <w:jc w:val="both"/>
        <w:rPr>
          <w:sz w:val="24"/>
          <w:szCs w:val="24"/>
        </w:rPr>
      </w:pPr>
    </w:p>
    <w:p w14:paraId="7A1A33A3" w14:textId="77777777" w:rsidR="005833C2" w:rsidRPr="00F5600D" w:rsidRDefault="005833C2" w:rsidP="00F5600D">
      <w:pPr>
        <w:pStyle w:val="Heading2"/>
        <w:keepNext/>
      </w:pPr>
      <w:r w:rsidRPr="00F5600D">
        <w:t>(iii) R</w:t>
      </w:r>
      <w:r w:rsidR="007E5118" w:rsidRPr="00F5600D">
        <w:t>educed D</w:t>
      </w:r>
      <w:r w:rsidRPr="00F5600D">
        <w:t xml:space="preserve">eference to </w:t>
      </w:r>
      <w:r w:rsidR="007E5118" w:rsidRPr="00F5600D">
        <w:t>British Authority</w:t>
      </w:r>
    </w:p>
    <w:p w14:paraId="5A3BE4AF" w14:textId="77777777" w:rsidR="005833C2" w:rsidRPr="00F5600D" w:rsidRDefault="005833C2" w:rsidP="00F5600D">
      <w:pPr>
        <w:keepNext/>
        <w:tabs>
          <w:tab w:val="left" w:pos="284"/>
        </w:tabs>
        <w:spacing w:after="0" w:line="240" w:lineRule="auto"/>
        <w:jc w:val="both"/>
        <w:rPr>
          <w:sz w:val="24"/>
          <w:szCs w:val="24"/>
        </w:rPr>
      </w:pPr>
    </w:p>
    <w:p w14:paraId="167E274C" w14:textId="6B993938" w:rsidR="00D94507" w:rsidRPr="00F5600D" w:rsidRDefault="005833C2" w:rsidP="00F5600D">
      <w:pPr>
        <w:tabs>
          <w:tab w:val="left" w:pos="284"/>
        </w:tabs>
        <w:spacing w:after="0" w:line="240" w:lineRule="auto"/>
        <w:jc w:val="both"/>
        <w:rPr>
          <w:sz w:val="24"/>
          <w:szCs w:val="24"/>
        </w:rPr>
      </w:pPr>
      <w:r w:rsidRPr="00F5600D">
        <w:rPr>
          <w:sz w:val="24"/>
          <w:szCs w:val="24"/>
        </w:rPr>
        <w:t>Another</w:t>
      </w:r>
      <w:r w:rsidR="00111BE8" w:rsidRPr="00F5600D">
        <w:rPr>
          <w:sz w:val="24"/>
          <w:szCs w:val="24"/>
        </w:rPr>
        <w:t>, related</w:t>
      </w:r>
      <w:r w:rsidRPr="00F5600D">
        <w:rPr>
          <w:sz w:val="24"/>
          <w:szCs w:val="24"/>
        </w:rPr>
        <w:t xml:space="preserve"> factor that has </w:t>
      </w:r>
      <w:r w:rsidR="00B57843" w:rsidRPr="00F5600D">
        <w:rPr>
          <w:sz w:val="24"/>
          <w:szCs w:val="24"/>
        </w:rPr>
        <w:t xml:space="preserve">led to </w:t>
      </w:r>
      <w:r w:rsidRPr="00F5600D">
        <w:rPr>
          <w:sz w:val="24"/>
          <w:szCs w:val="24"/>
        </w:rPr>
        <w:t xml:space="preserve">jurisdictional isolation is </w:t>
      </w:r>
      <w:r w:rsidR="00111BE8" w:rsidRPr="00F5600D">
        <w:rPr>
          <w:sz w:val="24"/>
          <w:szCs w:val="24"/>
        </w:rPr>
        <w:t xml:space="preserve">that of </w:t>
      </w:r>
      <w:r w:rsidRPr="00F5600D">
        <w:rPr>
          <w:sz w:val="24"/>
          <w:szCs w:val="24"/>
        </w:rPr>
        <w:t xml:space="preserve">reduced deference to </w:t>
      </w:r>
      <w:r w:rsidR="007E5118" w:rsidRPr="00F5600D">
        <w:rPr>
          <w:sz w:val="24"/>
          <w:szCs w:val="24"/>
        </w:rPr>
        <w:t xml:space="preserve">British </w:t>
      </w:r>
      <w:r w:rsidRPr="00F5600D">
        <w:rPr>
          <w:sz w:val="24"/>
          <w:szCs w:val="24"/>
        </w:rPr>
        <w:t>authority.</w:t>
      </w:r>
      <w:r w:rsidR="00B57843" w:rsidRPr="00F5600D">
        <w:rPr>
          <w:sz w:val="24"/>
          <w:szCs w:val="24"/>
        </w:rPr>
        <w:t xml:space="preserve"> </w:t>
      </w:r>
      <w:r w:rsidR="000138A7">
        <w:rPr>
          <w:sz w:val="24"/>
          <w:szCs w:val="24"/>
        </w:rPr>
        <w:t>Historically, j</w:t>
      </w:r>
      <w:r w:rsidR="001B5A05" w:rsidRPr="00F5600D">
        <w:rPr>
          <w:sz w:val="24"/>
          <w:szCs w:val="24"/>
        </w:rPr>
        <w:t xml:space="preserve">udges in many </w:t>
      </w:r>
      <w:r w:rsidR="0094486D">
        <w:rPr>
          <w:sz w:val="24"/>
          <w:szCs w:val="24"/>
        </w:rPr>
        <w:t>Commonwealth</w:t>
      </w:r>
      <w:r w:rsidR="001B5A05" w:rsidRPr="00F5600D">
        <w:rPr>
          <w:sz w:val="24"/>
          <w:szCs w:val="24"/>
        </w:rPr>
        <w:t xml:space="preserve"> jurisdictions place</w:t>
      </w:r>
      <w:r w:rsidR="000138A7">
        <w:rPr>
          <w:sz w:val="24"/>
          <w:szCs w:val="24"/>
        </w:rPr>
        <w:t>d</w:t>
      </w:r>
      <w:r w:rsidR="001B5A05" w:rsidRPr="00F5600D">
        <w:rPr>
          <w:sz w:val="24"/>
          <w:szCs w:val="24"/>
        </w:rPr>
        <w:t xml:space="preserve"> special </w:t>
      </w:r>
      <w:r w:rsidR="00486CE5">
        <w:rPr>
          <w:sz w:val="24"/>
          <w:szCs w:val="24"/>
        </w:rPr>
        <w:t xml:space="preserve">emphasis </w:t>
      </w:r>
      <w:r w:rsidR="001B5A05" w:rsidRPr="00F5600D">
        <w:rPr>
          <w:sz w:val="24"/>
          <w:szCs w:val="24"/>
        </w:rPr>
        <w:t>on British authority</w:t>
      </w:r>
      <w:r w:rsidR="00BE3425" w:rsidRPr="00F5600D">
        <w:rPr>
          <w:sz w:val="24"/>
          <w:szCs w:val="24"/>
        </w:rPr>
        <w:t xml:space="preserve"> </w:t>
      </w:r>
      <w:r w:rsidR="00D40C01">
        <w:rPr>
          <w:sz w:val="24"/>
          <w:szCs w:val="24"/>
        </w:rPr>
        <w:t xml:space="preserve">even when they were not </w:t>
      </w:r>
      <w:r w:rsidR="00BE3425" w:rsidRPr="00F5600D">
        <w:rPr>
          <w:sz w:val="24"/>
          <w:szCs w:val="24"/>
        </w:rPr>
        <w:t>formally bound by it</w:t>
      </w:r>
      <w:r w:rsidR="001B5A05" w:rsidRPr="00F5600D">
        <w:rPr>
          <w:sz w:val="24"/>
          <w:szCs w:val="24"/>
        </w:rPr>
        <w:t xml:space="preserve">. </w:t>
      </w:r>
      <w:r w:rsidR="00A94596" w:rsidRPr="00F5600D">
        <w:rPr>
          <w:sz w:val="24"/>
          <w:szCs w:val="24"/>
        </w:rPr>
        <w:t>For exam</w:t>
      </w:r>
      <w:r w:rsidR="00BE3425" w:rsidRPr="00F5600D">
        <w:rPr>
          <w:sz w:val="24"/>
          <w:szCs w:val="24"/>
        </w:rPr>
        <w:t>ple, Kitto </w:t>
      </w:r>
      <w:r w:rsidR="00A94596" w:rsidRPr="00F5600D">
        <w:rPr>
          <w:sz w:val="24"/>
          <w:szCs w:val="24"/>
        </w:rPr>
        <w:t xml:space="preserve">J in </w:t>
      </w:r>
      <w:r w:rsidR="00A94596" w:rsidRPr="00F5600D">
        <w:rPr>
          <w:i/>
          <w:sz w:val="24"/>
          <w:szCs w:val="24"/>
        </w:rPr>
        <w:t>Skelton v Collins</w:t>
      </w:r>
      <w:r w:rsidR="001B5A05" w:rsidRPr="00F5600D">
        <w:rPr>
          <w:sz w:val="24"/>
          <w:szCs w:val="24"/>
        </w:rPr>
        <w:t xml:space="preserve">, </w:t>
      </w:r>
      <w:r w:rsidR="00BE3425" w:rsidRPr="00F5600D">
        <w:rPr>
          <w:sz w:val="24"/>
          <w:szCs w:val="24"/>
        </w:rPr>
        <w:t xml:space="preserve">after arguing that the High Court </w:t>
      </w:r>
      <w:r w:rsidR="000A1CA6">
        <w:rPr>
          <w:sz w:val="24"/>
          <w:szCs w:val="24"/>
        </w:rPr>
        <w:t xml:space="preserve">of Australia </w:t>
      </w:r>
      <w:r w:rsidR="00BE3425" w:rsidRPr="008A0250">
        <w:rPr>
          <w:sz w:val="24"/>
          <w:szCs w:val="24"/>
        </w:rPr>
        <w:t>was not bound by decisions of the House of Lords</w:t>
      </w:r>
      <w:r w:rsidR="001B5A05" w:rsidRPr="008A0250">
        <w:rPr>
          <w:sz w:val="24"/>
          <w:szCs w:val="24"/>
        </w:rPr>
        <w:t xml:space="preserve">, </w:t>
      </w:r>
      <w:r w:rsidR="0094486D" w:rsidRPr="008A0250">
        <w:rPr>
          <w:sz w:val="24"/>
          <w:szCs w:val="24"/>
        </w:rPr>
        <w:t xml:space="preserve">nonetheless </w:t>
      </w:r>
      <w:r w:rsidR="001B5A05" w:rsidRPr="008A0250">
        <w:rPr>
          <w:sz w:val="24"/>
          <w:szCs w:val="24"/>
        </w:rPr>
        <w:t>wrote that the High Court</w:t>
      </w:r>
      <w:r w:rsidR="007E5118" w:rsidRPr="008A0250">
        <w:rPr>
          <w:sz w:val="24"/>
          <w:szCs w:val="24"/>
        </w:rPr>
        <w:t>:</w:t>
      </w:r>
      <w:r w:rsidR="007E5118" w:rsidRPr="008A0250">
        <w:rPr>
          <w:rStyle w:val="FootnoteReference"/>
          <w:sz w:val="24"/>
          <w:szCs w:val="24"/>
        </w:rPr>
        <w:footnoteReference w:id="54"/>
      </w:r>
      <w:r w:rsidR="009135AA" w:rsidRPr="008A0250">
        <w:rPr>
          <w:sz w:val="24"/>
          <w:szCs w:val="24"/>
        </w:rPr>
        <w:t xml:space="preserve"> ‘</w:t>
      </w:r>
      <w:r w:rsidR="00A94596" w:rsidRPr="008A0250">
        <w:rPr>
          <w:sz w:val="24"/>
          <w:szCs w:val="24"/>
        </w:rPr>
        <w:t>has always recognised [the] particularly high persuasive value [of decisions of the House of Lords].</w:t>
      </w:r>
      <w:r w:rsidR="009135AA" w:rsidRPr="008A0250">
        <w:rPr>
          <w:sz w:val="24"/>
          <w:szCs w:val="24"/>
        </w:rPr>
        <w:t>’</w:t>
      </w:r>
      <w:r w:rsidR="00A94596" w:rsidRPr="008A0250">
        <w:rPr>
          <w:sz w:val="24"/>
          <w:szCs w:val="24"/>
        </w:rPr>
        <w:t xml:space="preserve"> </w:t>
      </w:r>
      <w:r w:rsidR="009135AA" w:rsidRPr="008A0250">
        <w:rPr>
          <w:sz w:val="24"/>
          <w:szCs w:val="24"/>
        </w:rPr>
        <w:t xml:space="preserve">This approach </w:t>
      </w:r>
      <w:r w:rsidR="00BE3425" w:rsidRPr="008A0250">
        <w:rPr>
          <w:sz w:val="24"/>
          <w:szCs w:val="24"/>
        </w:rPr>
        <w:t xml:space="preserve">had a certain unifying effect on the law throughout the common law world. </w:t>
      </w:r>
      <w:r w:rsidR="009135AA" w:rsidRPr="008A0250">
        <w:rPr>
          <w:sz w:val="24"/>
          <w:szCs w:val="24"/>
        </w:rPr>
        <w:t xml:space="preserve">However, </w:t>
      </w:r>
      <w:r w:rsidR="00486CE5">
        <w:rPr>
          <w:sz w:val="24"/>
          <w:szCs w:val="24"/>
        </w:rPr>
        <w:t>t</w:t>
      </w:r>
      <w:r w:rsidR="00BE3425" w:rsidRPr="008A0250">
        <w:rPr>
          <w:sz w:val="24"/>
          <w:szCs w:val="24"/>
        </w:rPr>
        <w:t xml:space="preserve">his deferential attitude waned over time. </w:t>
      </w:r>
      <w:r w:rsidR="009135AA">
        <w:rPr>
          <w:sz w:val="24"/>
          <w:szCs w:val="24"/>
        </w:rPr>
        <w:t xml:space="preserve">It is generally true to say that, today, </w:t>
      </w:r>
      <w:r w:rsidR="002F0BA4" w:rsidRPr="00F5600D">
        <w:rPr>
          <w:sz w:val="24"/>
          <w:szCs w:val="24"/>
        </w:rPr>
        <w:t>the persuasiveness of the reasoning of a particular decisio</w:t>
      </w:r>
      <w:r w:rsidR="000138A7">
        <w:rPr>
          <w:sz w:val="24"/>
          <w:szCs w:val="24"/>
        </w:rPr>
        <w:t>n, rather than the jurisdiction</w:t>
      </w:r>
      <w:r w:rsidR="002F0BA4" w:rsidRPr="00F5600D">
        <w:rPr>
          <w:sz w:val="24"/>
          <w:szCs w:val="24"/>
        </w:rPr>
        <w:t xml:space="preserve"> from which it emanated, determine</w:t>
      </w:r>
      <w:r w:rsidR="009135AA">
        <w:rPr>
          <w:sz w:val="24"/>
          <w:szCs w:val="24"/>
        </w:rPr>
        <w:t>s</w:t>
      </w:r>
      <w:r w:rsidR="002F0BA4" w:rsidRPr="00F5600D">
        <w:rPr>
          <w:sz w:val="24"/>
          <w:szCs w:val="24"/>
        </w:rPr>
        <w:t xml:space="preserve"> the extent to which courts </w:t>
      </w:r>
      <w:r w:rsidR="000A1CA6">
        <w:rPr>
          <w:sz w:val="24"/>
          <w:szCs w:val="24"/>
        </w:rPr>
        <w:t>will have recourse to it</w:t>
      </w:r>
      <w:r w:rsidR="002F0BA4" w:rsidRPr="00F5600D">
        <w:rPr>
          <w:sz w:val="24"/>
          <w:szCs w:val="24"/>
        </w:rPr>
        <w:t>.</w:t>
      </w:r>
      <w:r w:rsidR="000A1CA6">
        <w:rPr>
          <w:rStyle w:val="FootnoteReference"/>
          <w:sz w:val="24"/>
          <w:szCs w:val="24"/>
        </w:rPr>
        <w:footnoteReference w:id="55"/>
      </w:r>
      <w:r w:rsidR="002F0BA4" w:rsidRPr="00F5600D">
        <w:rPr>
          <w:sz w:val="24"/>
          <w:szCs w:val="24"/>
        </w:rPr>
        <w:t xml:space="preserve"> </w:t>
      </w:r>
      <w:r w:rsidR="009135AA">
        <w:rPr>
          <w:sz w:val="24"/>
          <w:szCs w:val="24"/>
        </w:rPr>
        <w:t xml:space="preserve">This </w:t>
      </w:r>
      <w:r w:rsidR="009135AA">
        <w:rPr>
          <w:sz w:val="24"/>
          <w:szCs w:val="24"/>
        </w:rPr>
        <w:lastRenderedPageBreak/>
        <w:t xml:space="preserve">attitude is visible in, for example, the following remark made by </w:t>
      </w:r>
      <w:r w:rsidR="00D94507" w:rsidRPr="00F5600D">
        <w:rPr>
          <w:sz w:val="24"/>
          <w:szCs w:val="24"/>
        </w:rPr>
        <w:t>Sir Anthony Mason</w:t>
      </w:r>
      <w:r w:rsidR="009135AA">
        <w:rPr>
          <w:sz w:val="24"/>
          <w:szCs w:val="24"/>
        </w:rPr>
        <w:t>, then the Chief Justice of Australia,</w:t>
      </w:r>
      <w:r w:rsidR="00705785">
        <w:rPr>
          <w:sz w:val="24"/>
          <w:szCs w:val="24"/>
        </w:rPr>
        <w:t xml:space="preserve"> </w:t>
      </w:r>
      <w:r w:rsidR="00D94507" w:rsidRPr="00F5600D">
        <w:rPr>
          <w:sz w:val="24"/>
          <w:szCs w:val="24"/>
        </w:rPr>
        <w:t>in 1987:</w:t>
      </w:r>
      <w:r w:rsidR="00D94507" w:rsidRPr="00F5600D">
        <w:rPr>
          <w:rStyle w:val="FootnoteReference"/>
          <w:sz w:val="24"/>
          <w:szCs w:val="24"/>
        </w:rPr>
        <w:footnoteReference w:id="56"/>
      </w:r>
    </w:p>
    <w:p w14:paraId="00B65173" w14:textId="77777777" w:rsidR="00D94507" w:rsidRPr="00F5600D" w:rsidRDefault="00D94507" w:rsidP="00F5600D">
      <w:pPr>
        <w:tabs>
          <w:tab w:val="left" w:pos="284"/>
        </w:tabs>
        <w:spacing w:after="0" w:line="240" w:lineRule="auto"/>
        <w:jc w:val="both"/>
        <w:rPr>
          <w:sz w:val="24"/>
          <w:szCs w:val="24"/>
        </w:rPr>
      </w:pPr>
    </w:p>
    <w:p w14:paraId="6D5F5D26" w14:textId="77777777" w:rsidR="00D94507" w:rsidRPr="001B7236" w:rsidRDefault="00D94507" w:rsidP="00F5600D">
      <w:pPr>
        <w:tabs>
          <w:tab w:val="left" w:pos="284"/>
        </w:tabs>
        <w:spacing w:after="0" w:line="240" w:lineRule="auto"/>
        <w:ind w:left="284" w:hanging="284"/>
        <w:jc w:val="both"/>
        <w:rPr>
          <w:sz w:val="22"/>
          <w:szCs w:val="22"/>
        </w:rPr>
      </w:pPr>
      <w:r w:rsidRPr="001B7236">
        <w:rPr>
          <w:sz w:val="22"/>
          <w:szCs w:val="22"/>
        </w:rPr>
        <w:tab/>
        <w:t>There is … every reason why we should fashion a common law for Australia that is best suited to our conditions and circumstances. In deciding what is law in Australia we should derive such assistance as we can from English authorities. But this does not mean that we should account for every English judicial decision as if it were a decision of an Australian court. The value of English judgments, like Canadian, New Zealand and for that matter United States judgments depends on the persuasive force of their reasoning.</w:t>
      </w:r>
    </w:p>
    <w:p w14:paraId="7E8579BB" w14:textId="77777777" w:rsidR="00D94507" w:rsidRDefault="00D94507" w:rsidP="00F5600D">
      <w:pPr>
        <w:tabs>
          <w:tab w:val="left" w:pos="284"/>
        </w:tabs>
        <w:spacing w:after="0" w:line="240" w:lineRule="auto"/>
        <w:jc w:val="both"/>
        <w:rPr>
          <w:sz w:val="24"/>
          <w:szCs w:val="24"/>
        </w:rPr>
      </w:pPr>
    </w:p>
    <w:p w14:paraId="619BFB22" w14:textId="70B4D269" w:rsidR="000138A7" w:rsidRDefault="008A0250" w:rsidP="00F5600D">
      <w:pPr>
        <w:tabs>
          <w:tab w:val="left" w:pos="284"/>
        </w:tabs>
        <w:spacing w:after="0" w:line="240" w:lineRule="auto"/>
        <w:jc w:val="both"/>
        <w:rPr>
          <w:sz w:val="24"/>
          <w:szCs w:val="24"/>
        </w:rPr>
      </w:pPr>
      <w:r>
        <w:rPr>
          <w:sz w:val="24"/>
          <w:szCs w:val="24"/>
        </w:rPr>
        <w:t>A s</w:t>
      </w:r>
      <w:r w:rsidR="000138A7">
        <w:rPr>
          <w:sz w:val="24"/>
          <w:szCs w:val="24"/>
        </w:rPr>
        <w:t xml:space="preserve">imilar </w:t>
      </w:r>
      <w:r w:rsidR="009135AA">
        <w:rPr>
          <w:sz w:val="24"/>
          <w:szCs w:val="24"/>
        </w:rPr>
        <w:t xml:space="preserve">statement </w:t>
      </w:r>
      <w:r w:rsidR="0069652E">
        <w:rPr>
          <w:sz w:val="24"/>
          <w:szCs w:val="24"/>
        </w:rPr>
        <w:t>ha</w:t>
      </w:r>
      <w:r>
        <w:rPr>
          <w:sz w:val="24"/>
          <w:szCs w:val="24"/>
        </w:rPr>
        <w:t>s</w:t>
      </w:r>
      <w:r w:rsidR="0069652E">
        <w:rPr>
          <w:sz w:val="24"/>
          <w:szCs w:val="24"/>
        </w:rPr>
        <w:t xml:space="preserve"> been made by </w:t>
      </w:r>
      <w:r w:rsidR="000138A7">
        <w:rPr>
          <w:sz w:val="24"/>
          <w:szCs w:val="24"/>
        </w:rPr>
        <w:t>Justice Robert Sharpe</w:t>
      </w:r>
      <w:r w:rsidR="0069652E">
        <w:rPr>
          <w:sz w:val="24"/>
          <w:szCs w:val="24"/>
        </w:rPr>
        <w:t xml:space="preserve"> in relation to Canada</w:t>
      </w:r>
      <w:r w:rsidR="000138A7">
        <w:rPr>
          <w:sz w:val="24"/>
          <w:szCs w:val="24"/>
        </w:rPr>
        <w:t xml:space="preserve">. </w:t>
      </w:r>
      <w:r w:rsidR="0069652E">
        <w:rPr>
          <w:sz w:val="24"/>
          <w:szCs w:val="24"/>
        </w:rPr>
        <w:t>Justice </w:t>
      </w:r>
      <w:r w:rsidR="000138A7">
        <w:rPr>
          <w:sz w:val="24"/>
          <w:szCs w:val="24"/>
        </w:rPr>
        <w:t>Sharpe wrote:</w:t>
      </w:r>
      <w:r w:rsidR="000138A7">
        <w:rPr>
          <w:rStyle w:val="FootnoteReference"/>
          <w:sz w:val="24"/>
          <w:szCs w:val="24"/>
        </w:rPr>
        <w:footnoteReference w:id="57"/>
      </w:r>
    </w:p>
    <w:p w14:paraId="37FE3F76" w14:textId="77777777" w:rsidR="000138A7" w:rsidRDefault="000138A7" w:rsidP="00F5600D">
      <w:pPr>
        <w:tabs>
          <w:tab w:val="left" w:pos="284"/>
        </w:tabs>
        <w:spacing w:after="0" w:line="240" w:lineRule="auto"/>
        <w:jc w:val="both"/>
        <w:rPr>
          <w:sz w:val="24"/>
          <w:szCs w:val="24"/>
        </w:rPr>
      </w:pPr>
    </w:p>
    <w:p w14:paraId="2FD5723A" w14:textId="5C415A84" w:rsidR="000138A7" w:rsidRPr="000138A7" w:rsidRDefault="000138A7" w:rsidP="000138A7">
      <w:pPr>
        <w:tabs>
          <w:tab w:val="left" w:pos="284"/>
        </w:tabs>
        <w:spacing w:after="0" w:line="240" w:lineRule="auto"/>
        <w:ind w:left="284" w:hanging="284"/>
        <w:jc w:val="both"/>
        <w:rPr>
          <w:sz w:val="22"/>
          <w:szCs w:val="22"/>
        </w:rPr>
      </w:pPr>
      <w:r>
        <w:rPr>
          <w:sz w:val="24"/>
          <w:szCs w:val="24"/>
        </w:rPr>
        <w:tab/>
      </w:r>
      <w:r w:rsidRPr="000138A7">
        <w:rPr>
          <w:sz w:val="22"/>
          <w:szCs w:val="22"/>
        </w:rPr>
        <w:t>Canadian courts continue to look to the House of Lords for authoritative statements of common law principle, but have adopted</w:t>
      </w:r>
      <w:r w:rsidR="00486CE5">
        <w:rPr>
          <w:sz w:val="22"/>
          <w:szCs w:val="22"/>
        </w:rPr>
        <w:t xml:space="preserve"> a more</w:t>
      </w:r>
      <w:r w:rsidRPr="000138A7">
        <w:rPr>
          <w:sz w:val="22"/>
          <w:szCs w:val="22"/>
        </w:rPr>
        <w:t xml:space="preserve"> eclectic approach [than in the past], often citing the decisions of other non-Canadian courts … English jurisprudence is no longer accorded automatic precedence, and its acceptance rests entirely upon its persuasiveness.</w:t>
      </w:r>
    </w:p>
    <w:p w14:paraId="2A8BE52D" w14:textId="77777777" w:rsidR="000138A7" w:rsidRPr="00F5600D" w:rsidRDefault="000138A7" w:rsidP="00F5600D">
      <w:pPr>
        <w:tabs>
          <w:tab w:val="left" w:pos="284"/>
        </w:tabs>
        <w:spacing w:after="0" w:line="240" w:lineRule="auto"/>
        <w:jc w:val="both"/>
        <w:rPr>
          <w:sz w:val="24"/>
          <w:szCs w:val="24"/>
        </w:rPr>
      </w:pPr>
    </w:p>
    <w:p w14:paraId="53E3BB79" w14:textId="67A68B42" w:rsidR="00F926C6" w:rsidRPr="00F5600D" w:rsidRDefault="00F926C6" w:rsidP="00AD7466">
      <w:pPr>
        <w:tabs>
          <w:tab w:val="left" w:pos="284"/>
        </w:tabs>
        <w:spacing w:after="0" w:line="240" w:lineRule="auto"/>
        <w:jc w:val="both"/>
        <w:rPr>
          <w:sz w:val="24"/>
          <w:szCs w:val="24"/>
        </w:rPr>
      </w:pPr>
      <w:r w:rsidRPr="00F5600D">
        <w:rPr>
          <w:sz w:val="24"/>
          <w:szCs w:val="24"/>
        </w:rPr>
        <w:t xml:space="preserve">The increased willingness of Commonwealth courts to look </w:t>
      </w:r>
      <w:r w:rsidR="000A1CA6">
        <w:rPr>
          <w:sz w:val="24"/>
          <w:szCs w:val="24"/>
        </w:rPr>
        <w:t xml:space="preserve">other than to the jurisprudence of British courts </w:t>
      </w:r>
      <w:r w:rsidRPr="00F5600D">
        <w:rPr>
          <w:sz w:val="24"/>
          <w:szCs w:val="24"/>
        </w:rPr>
        <w:t xml:space="preserve">for inspiration </w:t>
      </w:r>
      <w:r w:rsidR="00AD7466">
        <w:rPr>
          <w:sz w:val="24"/>
          <w:szCs w:val="24"/>
        </w:rPr>
        <w:t xml:space="preserve">has diminished the unifying effect on the law to which the previous deferential approach contributed. </w:t>
      </w:r>
    </w:p>
    <w:p w14:paraId="629BFFC6" w14:textId="77777777" w:rsidR="00F926C6" w:rsidRPr="00F5600D" w:rsidRDefault="00F926C6" w:rsidP="00F5600D">
      <w:pPr>
        <w:tabs>
          <w:tab w:val="left" w:pos="284"/>
        </w:tabs>
        <w:spacing w:after="0" w:line="240" w:lineRule="auto"/>
        <w:jc w:val="both"/>
        <w:rPr>
          <w:sz w:val="24"/>
          <w:szCs w:val="24"/>
        </w:rPr>
      </w:pPr>
    </w:p>
    <w:p w14:paraId="15B04193" w14:textId="77777777" w:rsidR="005833C2" w:rsidRPr="00F5600D" w:rsidRDefault="005833C2" w:rsidP="00F5600D">
      <w:pPr>
        <w:pStyle w:val="Heading2"/>
        <w:keepNext/>
      </w:pPr>
      <w:r w:rsidRPr="00F5600D">
        <w:t>(iv) Judicial Parochialism</w:t>
      </w:r>
    </w:p>
    <w:p w14:paraId="25D0546F" w14:textId="77777777" w:rsidR="005833C2" w:rsidRPr="00F5600D" w:rsidRDefault="005833C2" w:rsidP="00F5600D">
      <w:pPr>
        <w:keepNext/>
        <w:tabs>
          <w:tab w:val="left" w:pos="284"/>
        </w:tabs>
        <w:spacing w:after="0" w:line="240" w:lineRule="auto"/>
        <w:jc w:val="both"/>
        <w:rPr>
          <w:sz w:val="24"/>
          <w:szCs w:val="24"/>
        </w:rPr>
      </w:pPr>
    </w:p>
    <w:p w14:paraId="4443EA5C" w14:textId="3ED21984" w:rsidR="000D1CF7" w:rsidRDefault="000D1CF7" w:rsidP="00146EA7">
      <w:pPr>
        <w:tabs>
          <w:tab w:val="left" w:pos="284"/>
        </w:tabs>
        <w:spacing w:after="0" w:line="240" w:lineRule="auto"/>
        <w:jc w:val="both"/>
        <w:rPr>
          <w:sz w:val="24"/>
          <w:szCs w:val="24"/>
        </w:rPr>
      </w:pPr>
      <w:r w:rsidRPr="00F5600D">
        <w:rPr>
          <w:sz w:val="24"/>
          <w:szCs w:val="24"/>
        </w:rPr>
        <w:t xml:space="preserve">In some jurisdictions, </w:t>
      </w:r>
      <w:r w:rsidR="00BD46B8">
        <w:rPr>
          <w:sz w:val="24"/>
          <w:szCs w:val="24"/>
        </w:rPr>
        <w:t xml:space="preserve">judges have tended towards </w:t>
      </w:r>
      <w:r w:rsidRPr="00F5600D">
        <w:rPr>
          <w:sz w:val="24"/>
          <w:szCs w:val="24"/>
        </w:rPr>
        <w:t xml:space="preserve">parochialism. The result of this </w:t>
      </w:r>
      <w:r w:rsidR="007E5118" w:rsidRPr="00F5600D">
        <w:rPr>
          <w:sz w:val="24"/>
          <w:szCs w:val="24"/>
        </w:rPr>
        <w:t xml:space="preserve">tendency </w:t>
      </w:r>
      <w:r w:rsidRPr="00F5600D">
        <w:rPr>
          <w:sz w:val="24"/>
          <w:szCs w:val="24"/>
        </w:rPr>
        <w:t>has been to cut</w:t>
      </w:r>
      <w:r w:rsidR="00486CE5">
        <w:rPr>
          <w:sz w:val="24"/>
          <w:szCs w:val="24"/>
        </w:rPr>
        <w:t>, at least to some degree,</w:t>
      </w:r>
      <w:r w:rsidRPr="00F5600D">
        <w:rPr>
          <w:sz w:val="24"/>
          <w:szCs w:val="24"/>
        </w:rPr>
        <w:t xml:space="preserve"> the jurisdiction in question off from </w:t>
      </w:r>
      <w:r w:rsidR="00561011">
        <w:rPr>
          <w:sz w:val="24"/>
          <w:szCs w:val="24"/>
        </w:rPr>
        <w:t>the rest of the legal universe</w:t>
      </w:r>
      <w:r w:rsidR="0005675D">
        <w:rPr>
          <w:sz w:val="24"/>
          <w:szCs w:val="24"/>
        </w:rPr>
        <w:t xml:space="preserve">. </w:t>
      </w:r>
      <w:r w:rsidRPr="00F5600D">
        <w:rPr>
          <w:sz w:val="24"/>
          <w:szCs w:val="24"/>
        </w:rPr>
        <w:t xml:space="preserve">By far the most striking illustration of this phenomenon concerns the United States. As is well known, American judges refer </w:t>
      </w:r>
      <w:r w:rsidR="007E5118" w:rsidRPr="00F5600D">
        <w:rPr>
          <w:sz w:val="24"/>
          <w:szCs w:val="24"/>
        </w:rPr>
        <w:t xml:space="preserve">almost </w:t>
      </w:r>
      <w:r w:rsidRPr="00F5600D">
        <w:rPr>
          <w:sz w:val="24"/>
          <w:szCs w:val="24"/>
        </w:rPr>
        <w:t>exclusive</w:t>
      </w:r>
      <w:r w:rsidR="006E0A3F">
        <w:rPr>
          <w:sz w:val="24"/>
          <w:szCs w:val="24"/>
        </w:rPr>
        <w:t>ly</w:t>
      </w:r>
      <w:r w:rsidR="0005675D">
        <w:rPr>
          <w:sz w:val="24"/>
          <w:szCs w:val="24"/>
        </w:rPr>
        <w:t xml:space="preserve"> to domestic legal sources, with the result that the United States is an exporter of law and not an importer.</w:t>
      </w:r>
      <w:r w:rsidR="0005675D">
        <w:rPr>
          <w:rStyle w:val="FootnoteReference"/>
          <w:sz w:val="24"/>
          <w:szCs w:val="24"/>
        </w:rPr>
        <w:footnoteReference w:id="58"/>
      </w:r>
      <w:r w:rsidR="0005675D">
        <w:rPr>
          <w:sz w:val="24"/>
          <w:szCs w:val="24"/>
        </w:rPr>
        <w:t xml:space="preserve"> </w:t>
      </w:r>
      <w:r w:rsidRPr="00F5600D">
        <w:rPr>
          <w:sz w:val="24"/>
          <w:szCs w:val="24"/>
        </w:rPr>
        <w:t xml:space="preserve">There is a </w:t>
      </w:r>
      <w:r w:rsidR="007E5118" w:rsidRPr="00F5600D">
        <w:rPr>
          <w:sz w:val="24"/>
          <w:szCs w:val="24"/>
        </w:rPr>
        <w:t xml:space="preserve">fairly widely-held </w:t>
      </w:r>
      <w:r w:rsidRPr="00F5600D">
        <w:rPr>
          <w:sz w:val="24"/>
          <w:szCs w:val="24"/>
        </w:rPr>
        <w:t xml:space="preserve">belief </w:t>
      </w:r>
      <w:r w:rsidR="00561011">
        <w:rPr>
          <w:sz w:val="24"/>
          <w:szCs w:val="24"/>
        </w:rPr>
        <w:t xml:space="preserve">among </w:t>
      </w:r>
      <w:r w:rsidR="007E5118" w:rsidRPr="00F5600D">
        <w:rPr>
          <w:sz w:val="24"/>
          <w:szCs w:val="24"/>
        </w:rPr>
        <w:t xml:space="preserve">the </w:t>
      </w:r>
      <w:r w:rsidR="0005675D">
        <w:rPr>
          <w:sz w:val="24"/>
          <w:szCs w:val="24"/>
        </w:rPr>
        <w:t xml:space="preserve">judiciary in the </w:t>
      </w:r>
      <w:r w:rsidR="007E5118" w:rsidRPr="00F5600D">
        <w:rPr>
          <w:sz w:val="24"/>
          <w:szCs w:val="24"/>
        </w:rPr>
        <w:t xml:space="preserve">United States </w:t>
      </w:r>
      <w:r w:rsidRPr="00F5600D">
        <w:rPr>
          <w:sz w:val="24"/>
          <w:szCs w:val="24"/>
        </w:rPr>
        <w:t>that it is</w:t>
      </w:r>
      <w:r w:rsidR="0005675D">
        <w:rPr>
          <w:sz w:val="24"/>
          <w:szCs w:val="24"/>
        </w:rPr>
        <w:t xml:space="preserve"> </w:t>
      </w:r>
      <w:r w:rsidRPr="00F5600D">
        <w:rPr>
          <w:sz w:val="24"/>
          <w:szCs w:val="24"/>
        </w:rPr>
        <w:t>inappropriate to take cognisance of materials from other jurisdictions</w:t>
      </w:r>
      <w:r w:rsidR="00B56E5C">
        <w:rPr>
          <w:sz w:val="24"/>
          <w:szCs w:val="24"/>
        </w:rPr>
        <w:t xml:space="preserve">, especially in certain contexts, </w:t>
      </w:r>
      <w:r w:rsidR="001E2B25">
        <w:rPr>
          <w:sz w:val="24"/>
          <w:szCs w:val="24"/>
        </w:rPr>
        <w:t xml:space="preserve">such as </w:t>
      </w:r>
      <w:r w:rsidR="000A1CA6">
        <w:rPr>
          <w:sz w:val="24"/>
          <w:szCs w:val="24"/>
        </w:rPr>
        <w:t xml:space="preserve">that of </w:t>
      </w:r>
      <w:r w:rsidR="00B56E5C">
        <w:rPr>
          <w:sz w:val="24"/>
          <w:szCs w:val="24"/>
        </w:rPr>
        <w:t>constitutional interpretation</w:t>
      </w:r>
      <w:r w:rsidRPr="00F5600D">
        <w:rPr>
          <w:sz w:val="24"/>
          <w:szCs w:val="24"/>
        </w:rPr>
        <w:t>.</w:t>
      </w:r>
      <w:r w:rsidR="004F1A5A">
        <w:rPr>
          <w:rStyle w:val="FootnoteReference"/>
          <w:sz w:val="24"/>
          <w:szCs w:val="24"/>
        </w:rPr>
        <w:footnoteReference w:id="59"/>
      </w:r>
      <w:r w:rsidRPr="00F5600D">
        <w:rPr>
          <w:sz w:val="24"/>
          <w:szCs w:val="24"/>
        </w:rPr>
        <w:t xml:space="preserve"> </w:t>
      </w:r>
      <w:r w:rsidR="007E5118" w:rsidRPr="00F5600D">
        <w:rPr>
          <w:sz w:val="24"/>
          <w:szCs w:val="24"/>
        </w:rPr>
        <w:t>A</w:t>
      </w:r>
      <w:r w:rsidRPr="00F5600D">
        <w:rPr>
          <w:sz w:val="24"/>
          <w:szCs w:val="24"/>
        </w:rPr>
        <w:t xml:space="preserve"> </w:t>
      </w:r>
      <w:r w:rsidR="001E2B25">
        <w:rPr>
          <w:sz w:val="24"/>
          <w:szCs w:val="24"/>
        </w:rPr>
        <w:t xml:space="preserve">key </w:t>
      </w:r>
      <w:r w:rsidRPr="00F5600D">
        <w:rPr>
          <w:sz w:val="24"/>
          <w:szCs w:val="24"/>
        </w:rPr>
        <w:t xml:space="preserve">reason why </w:t>
      </w:r>
      <w:r w:rsidR="00486CE5">
        <w:rPr>
          <w:sz w:val="24"/>
          <w:szCs w:val="24"/>
        </w:rPr>
        <w:t xml:space="preserve">many </w:t>
      </w:r>
      <w:r w:rsidRPr="00F5600D">
        <w:rPr>
          <w:sz w:val="24"/>
          <w:szCs w:val="24"/>
        </w:rPr>
        <w:t xml:space="preserve">judges in the United States tend </w:t>
      </w:r>
      <w:r w:rsidR="006E0A3F">
        <w:rPr>
          <w:sz w:val="24"/>
          <w:szCs w:val="24"/>
        </w:rPr>
        <w:t xml:space="preserve">to </w:t>
      </w:r>
      <w:r w:rsidR="008A32E1">
        <w:rPr>
          <w:sz w:val="24"/>
          <w:szCs w:val="24"/>
        </w:rPr>
        <w:t xml:space="preserve">focus </w:t>
      </w:r>
      <w:r w:rsidRPr="00F5600D">
        <w:rPr>
          <w:sz w:val="24"/>
          <w:szCs w:val="24"/>
        </w:rPr>
        <w:t xml:space="preserve">nearly exclusively on domestic sources has to do with the sheer scale on which judicial authority is produced in that country. </w:t>
      </w:r>
      <w:r w:rsidR="000A1CA6">
        <w:rPr>
          <w:sz w:val="24"/>
          <w:szCs w:val="24"/>
        </w:rPr>
        <w:t xml:space="preserve">It is difficult enough for judges to master the domestic authorities given their number, and they are hence </w:t>
      </w:r>
      <w:r w:rsidR="00146EA7">
        <w:rPr>
          <w:sz w:val="24"/>
          <w:szCs w:val="24"/>
        </w:rPr>
        <w:t xml:space="preserve">understandably reluctant to add to their workload </w:t>
      </w:r>
      <w:r w:rsidR="00486CE5">
        <w:rPr>
          <w:sz w:val="24"/>
          <w:szCs w:val="24"/>
        </w:rPr>
        <w:t xml:space="preserve">by making frequent recourse </w:t>
      </w:r>
      <w:r w:rsidR="00146EA7">
        <w:rPr>
          <w:sz w:val="24"/>
          <w:szCs w:val="24"/>
        </w:rPr>
        <w:t xml:space="preserve">to foreign sources. </w:t>
      </w:r>
      <w:r w:rsidRPr="00F5600D">
        <w:rPr>
          <w:sz w:val="24"/>
          <w:szCs w:val="24"/>
        </w:rPr>
        <w:t xml:space="preserve">Another reason </w:t>
      </w:r>
      <w:r w:rsidR="001E2B25">
        <w:rPr>
          <w:sz w:val="24"/>
          <w:szCs w:val="24"/>
        </w:rPr>
        <w:t xml:space="preserve">for the </w:t>
      </w:r>
      <w:r w:rsidR="00693955">
        <w:rPr>
          <w:sz w:val="24"/>
          <w:szCs w:val="24"/>
        </w:rPr>
        <w:t xml:space="preserve">insular </w:t>
      </w:r>
      <w:r w:rsidR="001E2B25">
        <w:rPr>
          <w:sz w:val="24"/>
          <w:szCs w:val="24"/>
        </w:rPr>
        <w:t xml:space="preserve">attitude that exists in the United States is that comparative insights are readily available from jurisdictions that are internal to the United States. </w:t>
      </w:r>
      <w:r w:rsidR="000A1CA6">
        <w:rPr>
          <w:sz w:val="24"/>
          <w:szCs w:val="24"/>
        </w:rPr>
        <w:t xml:space="preserve">A judge sitting in, say, New York, is able to look to how his or her brethren are proceeding in, say, California. </w:t>
      </w:r>
      <w:r w:rsidRPr="00F5600D">
        <w:rPr>
          <w:sz w:val="24"/>
          <w:szCs w:val="24"/>
        </w:rPr>
        <w:t>As one commentator has put it, ‘judges from other American state jurisdictions have often provided such an abundance of authority on common law issues … that reference to non-American authority has been unnecessary.’</w:t>
      </w:r>
      <w:r w:rsidRPr="00F5600D">
        <w:rPr>
          <w:rStyle w:val="FootnoteReference"/>
          <w:sz w:val="24"/>
          <w:szCs w:val="24"/>
        </w:rPr>
        <w:footnoteReference w:id="60"/>
      </w:r>
      <w:r w:rsidR="00E17694">
        <w:rPr>
          <w:sz w:val="24"/>
          <w:szCs w:val="24"/>
        </w:rPr>
        <w:t xml:space="preserve"> </w:t>
      </w:r>
      <w:r w:rsidR="0005675D">
        <w:rPr>
          <w:sz w:val="24"/>
          <w:szCs w:val="24"/>
        </w:rPr>
        <w:t xml:space="preserve">However, the motivations of the American judiciary for putting itself into </w:t>
      </w:r>
      <w:r w:rsidR="00E17694">
        <w:rPr>
          <w:sz w:val="24"/>
          <w:szCs w:val="24"/>
        </w:rPr>
        <w:t>self-imposed exile</w:t>
      </w:r>
      <w:r w:rsidR="0005675D">
        <w:rPr>
          <w:sz w:val="24"/>
          <w:szCs w:val="24"/>
        </w:rPr>
        <w:t xml:space="preserve"> are </w:t>
      </w:r>
      <w:r w:rsidR="001E2B25">
        <w:rPr>
          <w:sz w:val="24"/>
          <w:szCs w:val="24"/>
        </w:rPr>
        <w:t>un</w:t>
      </w:r>
      <w:r w:rsidR="0005675D">
        <w:rPr>
          <w:sz w:val="24"/>
          <w:szCs w:val="24"/>
        </w:rPr>
        <w:t xml:space="preserve">important for present purposes. What matters is </w:t>
      </w:r>
      <w:r w:rsidR="001E2B25">
        <w:rPr>
          <w:sz w:val="24"/>
          <w:szCs w:val="24"/>
        </w:rPr>
        <w:t xml:space="preserve">the fact that the </w:t>
      </w:r>
      <w:r w:rsidR="001E2B25">
        <w:rPr>
          <w:sz w:val="24"/>
          <w:szCs w:val="24"/>
        </w:rPr>
        <w:lastRenderedPageBreak/>
        <w:t xml:space="preserve">judiciary in that country </w:t>
      </w:r>
      <w:r w:rsidR="0005675D">
        <w:rPr>
          <w:sz w:val="24"/>
          <w:szCs w:val="24"/>
        </w:rPr>
        <w:t>has substantially isolated itself from the rest of the common law world</w:t>
      </w:r>
      <w:r w:rsidR="00E17694">
        <w:rPr>
          <w:sz w:val="24"/>
          <w:szCs w:val="24"/>
        </w:rPr>
        <w:t xml:space="preserve">. </w:t>
      </w:r>
    </w:p>
    <w:p w14:paraId="3DC415DB" w14:textId="1FD252BC" w:rsidR="00693955" w:rsidRDefault="00DE4360" w:rsidP="00F5600D">
      <w:pPr>
        <w:keepNext/>
        <w:tabs>
          <w:tab w:val="left" w:pos="284"/>
        </w:tabs>
        <w:spacing w:after="0" w:line="240" w:lineRule="auto"/>
        <w:jc w:val="both"/>
        <w:rPr>
          <w:sz w:val="24"/>
          <w:szCs w:val="24"/>
        </w:rPr>
      </w:pPr>
      <w:r>
        <w:rPr>
          <w:sz w:val="24"/>
          <w:szCs w:val="24"/>
        </w:rPr>
        <w:tab/>
      </w:r>
      <w:r w:rsidR="00024197">
        <w:rPr>
          <w:sz w:val="24"/>
          <w:szCs w:val="24"/>
        </w:rPr>
        <w:t>Judges in o</w:t>
      </w:r>
      <w:r w:rsidR="004F1A5A">
        <w:rPr>
          <w:sz w:val="24"/>
          <w:szCs w:val="24"/>
        </w:rPr>
        <w:t xml:space="preserve">ther major common law </w:t>
      </w:r>
      <w:r w:rsidR="00D6776B">
        <w:rPr>
          <w:sz w:val="24"/>
          <w:szCs w:val="24"/>
        </w:rPr>
        <w:t>jurisdictions freely and frequently have recourse to foreign sources. It might be thought</w:t>
      </w:r>
      <w:r w:rsidR="00A27C9F">
        <w:rPr>
          <w:sz w:val="24"/>
          <w:szCs w:val="24"/>
        </w:rPr>
        <w:t>, therefore,</w:t>
      </w:r>
      <w:r w:rsidR="00D6776B">
        <w:rPr>
          <w:sz w:val="24"/>
          <w:szCs w:val="24"/>
        </w:rPr>
        <w:t xml:space="preserve"> that parochialism has extended only to the United States. </w:t>
      </w:r>
      <w:r w:rsidR="00024197">
        <w:rPr>
          <w:sz w:val="24"/>
          <w:szCs w:val="24"/>
        </w:rPr>
        <w:t>It is impossible justifiably to reach any firm conclusions in this connection</w:t>
      </w:r>
      <w:r w:rsidR="00A27C9F">
        <w:rPr>
          <w:sz w:val="24"/>
          <w:szCs w:val="24"/>
        </w:rPr>
        <w:t>, at least without engaging in a further research project</w:t>
      </w:r>
      <w:r w:rsidR="00024197">
        <w:rPr>
          <w:sz w:val="24"/>
          <w:szCs w:val="24"/>
        </w:rPr>
        <w:t xml:space="preserve">. </w:t>
      </w:r>
      <w:r w:rsidR="00A27C9F">
        <w:rPr>
          <w:sz w:val="24"/>
          <w:szCs w:val="24"/>
        </w:rPr>
        <w:t>For what it is worth, however, o</w:t>
      </w:r>
      <w:r w:rsidR="00024197">
        <w:rPr>
          <w:sz w:val="24"/>
          <w:szCs w:val="24"/>
        </w:rPr>
        <w:t xml:space="preserve">ur feeling is that foreign sources are </w:t>
      </w:r>
      <w:r w:rsidR="00693955">
        <w:rPr>
          <w:sz w:val="24"/>
          <w:szCs w:val="24"/>
        </w:rPr>
        <w:t xml:space="preserve">much </w:t>
      </w:r>
      <w:r w:rsidR="00024197">
        <w:rPr>
          <w:sz w:val="24"/>
          <w:szCs w:val="24"/>
        </w:rPr>
        <w:t xml:space="preserve">less influential in many jurisdictions than is commonly thought. It is undeniable that judges in many parts of the common law world regularly cite foreign sources. But this </w:t>
      </w:r>
      <w:r w:rsidR="00A27C9F">
        <w:rPr>
          <w:sz w:val="24"/>
          <w:szCs w:val="24"/>
        </w:rPr>
        <w:t xml:space="preserve">fact </w:t>
      </w:r>
      <w:r w:rsidR="00024197">
        <w:rPr>
          <w:sz w:val="24"/>
          <w:szCs w:val="24"/>
        </w:rPr>
        <w:t xml:space="preserve">does not mean that these sources have a significant </w:t>
      </w:r>
      <w:r w:rsidR="00693955">
        <w:rPr>
          <w:sz w:val="24"/>
          <w:szCs w:val="24"/>
        </w:rPr>
        <w:t xml:space="preserve">or, indeed, any </w:t>
      </w:r>
      <w:r w:rsidR="00024197">
        <w:rPr>
          <w:sz w:val="24"/>
          <w:szCs w:val="24"/>
        </w:rPr>
        <w:t xml:space="preserve">influence. Arguably, citations of foreign legal materials are to a large degree ornamental. On this view, judges canvass sources of law in other jurisdictions </w:t>
      </w:r>
      <w:r w:rsidR="00693955">
        <w:rPr>
          <w:sz w:val="24"/>
          <w:szCs w:val="24"/>
        </w:rPr>
        <w:t xml:space="preserve">merely or mainly, for example, </w:t>
      </w:r>
      <w:r w:rsidR="00024197">
        <w:rPr>
          <w:sz w:val="24"/>
          <w:szCs w:val="24"/>
        </w:rPr>
        <w:t>out of concern f</w:t>
      </w:r>
      <w:r w:rsidR="00693955">
        <w:rPr>
          <w:sz w:val="24"/>
          <w:szCs w:val="24"/>
        </w:rPr>
        <w:t>or judicial comity or</w:t>
      </w:r>
      <w:r w:rsidR="00024197">
        <w:rPr>
          <w:sz w:val="24"/>
          <w:szCs w:val="24"/>
        </w:rPr>
        <w:t xml:space="preserve"> to create the impression that the main angles to a given legal problem </w:t>
      </w:r>
      <w:r w:rsidR="00693955">
        <w:rPr>
          <w:sz w:val="24"/>
          <w:szCs w:val="24"/>
        </w:rPr>
        <w:t>have been considered.</w:t>
      </w:r>
      <w:r w:rsidR="00A27C9F">
        <w:rPr>
          <w:sz w:val="24"/>
          <w:szCs w:val="24"/>
        </w:rPr>
        <w:t xml:space="preserve"> If this is correct, judicial parochialism might be more widespread than is commonly thought, with important implications for jurisdictional isolation. </w:t>
      </w:r>
    </w:p>
    <w:p w14:paraId="16B2094D" w14:textId="2ED87EBF" w:rsidR="00024197" w:rsidRDefault="00693955" w:rsidP="00F5600D">
      <w:pPr>
        <w:keepNext/>
        <w:tabs>
          <w:tab w:val="left" w:pos="284"/>
        </w:tabs>
        <w:spacing w:after="0" w:line="240" w:lineRule="auto"/>
        <w:jc w:val="both"/>
        <w:rPr>
          <w:sz w:val="24"/>
          <w:szCs w:val="24"/>
        </w:rPr>
      </w:pPr>
      <w:r>
        <w:rPr>
          <w:sz w:val="24"/>
          <w:szCs w:val="24"/>
        </w:rPr>
        <w:tab/>
      </w:r>
      <w:r w:rsidR="00024197">
        <w:rPr>
          <w:sz w:val="24"/>
          <w:szCs w:val="24"/>
        </w:rPr>
        <w:t xml:space="preserve"> </w:t>
      </w:r>
    </w:p>
    <w:p w14:paraId="1ED10A8B" w14:textId="133E8B2E" w:rsidR="00693955" w:rsidRPr="00F5600D" w:rsidRDefault="00693955" w:rsidP="00693955">
      <w:pPr>
        <w:pStyle w:val="Heading2"/>
        <w:keepNext/>
      </w:pPr>
      <w:r>
        <w:t>(</w:t>
      </w:r>
      <w:r w:rsidRPr="00F5600D">
        <w:t xml:space="preserve">v) </w:t>
      </w:r>
      <w:r w:rsidR="00F82650">
        <w:t xml:space="preserve">Harmonisation with Legal </w:t>
      </w:r>
      <w:r w:rsidR="00A27C9F">
        <w:t xml:space="preserve">Systems </w:t>
      </w:r>
      <w:r w:rsidR="00F82650">
        <w:t>with Different Legal Traditions</w:t>
      </w:r>
    </w:p>
    <w:p w14:paraId="2F48633D" w14:textId="77777777" w:rsidR="00693955" w:rsidRDefault="00693955" w:rsidP="00F5600D">
      <w:pPr>
        <w:keepNext/>
        <w:tabs>
          <w:tab w:val="left" w:pos="284"/>
        </w:tabs>
        <w:spacing w:after="0" w:line="240" w:lineRule="auto"/>
        <w:jc w:val="both"/>
        <w:rPr>
          <w:sz w:val="24"/>
          <w:szCs w:val="24"/>
        </w:rPr>
      </w:pPr>
    </w:p>
    <w:p w14:paraId="7C82A28F" w14:textId="616E2413" w:rsidR="00DE4360" w:rsidRPr="00F5600D" w:rsidRDefault="00693955" w:rsidP="002A6C40">
      <w:pPr>
        <w:keepNext/>
        <w:tabs>
          <w:tab w:val="left" w:pos="284"/>
        </w:tabs>
        <w:spacing w:after="0" w:line="240" w:lineRule="auto"/>
        <w:jc w:val="both"/>
        <w:rPr>
          <w:sz w:val="24"/>
          <w:szCs w:val="24"/>
        </w:rPr>
      </w:pPr>
      <w:r>
        <w:rPr>
          <w:sz w:val="24"/>
          <w:szCs w:val="24"/>
        </w:rPr>
        <w:t xml:space="preserve">The previous section dealt with insular attitudes on the part of judges, which can contribute to the isolation of a jurisdiction. Paradoxically, a willingness of judges to look beyond the confines of their jurisdiction for inspiration can also contribute to isolation. A good illustration of this concerns the United Kingdom. It is probably fair to say that judges in the United Kingdom are referring to a greater degree </w:t>
      </w:r>
      <w:r w:rsidR="00D165CF">
        <w:rPr>
          <w:sz w:val="24"/>
          <w:szCs w:val="24"/>
        </w:rPr>
        <w:t xml:space="preserve">today </w:t>
      </w:r>
      <w:r>
        <w:rPr>
          <w:sz w:val="24"/>
          <w:szCs w:val="24"/>
        </w:rPr>
        <w:t>than in the past to European Union law.</w:t>
      </w:r>
      <w:r w:rsidR="002A6C40">
        <w:rPr>
          <w:rStyle w:val="FootnoteReference"/>
          <w:sz w:val="24"/>
          <w:szCs w:val="24"/>
        </w:rPr>
        <w:footnoteReference w:id="61"/>
      </w:r>
      <w:r>
        <w:rPr>
          <w:sz w:val="24"/>
          <w:szCs w:val="24"/>
        </w:rPr>
        <w:t xml:space="preserve"> This tendency is due </w:t>
      </w:r>
      <w:r w:rsidR="00D165CF">
        <w:rPr>
          <w:sz w:val="24"/>
          <w:szCs w:val="24"/>
        </w:rPr>
        <w:t xml:space="preserve">at least partly </w:t>
      </w:r>
      <w:r>
        <w:rPr>
          <w:sz w:val="24"/>
          <w:szCs w:val="24"/>
        </w:rPr>
        <w:t>to the significant efforts that have been made to harmonise the law throughout the European Union.</w:t>
      </w:r>
      <w:bookmarkStart w:id="12" w:name="_Ref409287256"/>
      <w:r w:rsidR="002A6C40">
        <w:rPr>
          <w:rStyle w:val="FootnoteReference"/>
          <w:sz w:val="24"/>
          <w:szCs w:val="24"/>
        </w:rPr>
        <w:footnoteReference w:id="62"/>
      </w:r>
      <w:bookmarkEnd w:id="12"/>
      <w:r>
        <w:rPr>
          <w:sz w:val="24"/>
          <w:szCs w:val="24"/>
        </w:rPr>
        <w:t xml:space="preserve"> It is arguable that the increased use by the British judiciary of European Union law has tended to make their decisions less relevant to other common law jurisdictions than might have otherwise be the case. So while the United Kingdom might be less isolated from continental jurisdictions than was previously the case, the influence of </w:t>
      </w:r>
      <w:r w:rsidR="00F82650">
        <w:rPr>
          <w:sz w:val="24"/>
          <w:szCs w:val="24"/>
        </w:rPr>
        <w:t xml:space="preserve">efforts to harmonise the law across the European Union has tended to isolate the United Kingdom from </w:t>
      </w:r>
      <w:r w:rsidR="00A27C9F">
        <w:rPr>
          <w:sz w:val="24"/>
          <w:szCs w:val="24"/>
        </w:rPr>
        <w:t xml:space="preserve">other </w:t>
      </w:r>
      <w:r w:rsidR="00F82650">
        <w:rPr>
          <w:sz w:val="24"/>
          <w:szCs w:val="24"/>
        </w:rPr>
        <w:t>common law jurisdictions.</w:t>
      </w:r>
      <w:r w:rsidR="008B3773">
        <w:rPr>
          <w:sz w:val="24"/>
          <w:szCs w:val="24"/>
        </w:rPr>
        <w:t xml:space="preserve"> </w:t>
      </w:r>
    </w:p>
    <w:p w14:paraId="3AA351AB" w14:textId="77777777" w:rsidR="000D1CF7" w:rsidRPr="00F5600D" w:rsidRDefault="000D1CF7" w:rsidP="00F5600D">
      <w:pPr>
        <w:keepNext/>
        <w:tabs>
          <w:tab w:val="left" w:pos="284"/>
        </w:tabs>
        <w:spacing w:after="0" w:line="240" w:lineRule="auto"/>
        <w:jc w:val="both"/>
        <w:rPr>
          <w:sz w:val="24"/>
          <w:szCs w:val="24"/>
        </w:rPr>
      </w:pPr>
    </w:p>
    <w:p w14:paraId="2680E191" w14:textId="25016B8C" w:rsidR="00493683" w:rsidRPr="00F5600D" w:rsidRDefault="00493683" w:rsidP="00F5600D">
      <w:pPr>
        <w:pStyle w:val="Heading2"/>
      </w:pPr>
      <w:r w:rsidRPr="00F5600D">
        <w:t>(v</w:t>
      </w:r>
      <w:r w:rsidR="002A6C40">
        <w:t>i</w:t>
      </w:r>
      <w:r w:rsidRPr="00F5600D">
        <w:t>) The Growth of Legislation</w:t>
      </w:r>
    </w:p>
    <w:p w14:paraId="395A465A" w14:textId="77777777" w:rsidR="00E02D95" w:rsidRDefault="00E02D95" w:rsidP="00F5600D">
      <w:pPr>
        <w:tabs>
          <w:tab w:val="left" w:pos="284"/>
        </w:tabs>
        <w:spacing w:after="0" w:line="240" w:lineRule="auto"/>
        <w:rPr>
          <w:sz w:val="24"/>
          <w:szCs w:val="24"/>
        </w:rPr>
      </w:pPr>
    </w:p>
    <w:p w14:paraId="4453258E" w14:textId="3327D7F6" w:rsidR="00F00528" w:rsidRDefault="00EF3D93" w:rsidP="000D5A2D">
      <w:pPr>
        <w:tabs>
          <w:tab w:val="left" w:pos="284"/>
        </w:tabs>
        <w:spacing w:after="0" w:line="240" w:lineRule="auto"/>
        <w:jc w:val="both"/>
        <w:rPr>
          <w:sz w:val="24"/>
          <w:szCs w:val="24"/>
        </w:rPr>
      </w:pPr>
      <w:r>
        <w:rPr>
          <w:sz w:val="24"/>
          <w:szCs w:val="24"/>
        </w:rPr>
        <w:t xml:space="preserve">There are two central points that are worth making about legislation and isolationism. The first is that there has been a lack of source unity in terms of legislation from a relatively early stage. The reign of the </w:t>
      </w:r>
      <w:r w:rsidR="00A27C9F">
        <w:rPr>
          <w:sz w:val="24"/>
          <w:szCs w:val="24"/>
        </w:rPr>
        <w:t xml:space="preserve">British </w:t>
      </w:r>
      <w:r>
        <w:rPr>
          <w:sz w:val="24"/>
          <w:szCs w:val="24"/>
        </w:rPr>
        <w:t xml:space="preserve">Imperial Parliament </w:t>
      </w:r>
      <w:r w:rsidR="002A60A2">
        <w:rPr>
          <w:sz w:val="24"/>
          <w:szCs w:val="24"/>
        </w:rPr>
        <w:t xml:space="preserve">has </w:t>
      </w:r>
      <w:r>
        <w:rPr>
          <w:sz w:val="24"/>
          <w:szCs w:val="24"/>
        </w:rPr>
        <w:t xml:space="preserve">long since </w:t>
      </w:r>
      <w:r w:rsidR="002A60A2">
        <w:rPr>
          <w:sz w:val="24"/>
          <w:szCs w:val="24"/>
        </w:rPr>
        <w:t xml:space="preserve">come </w:t>
      </w:r>
      <w:r>
        <w:rPr>
          <w:sz w:val="24"/>
          <w:szCs w:val="24"/>
        </w:rPr>
        <w:t xml:space="preserve">to an end, and </w:t>
      </w:r>
      <w:r w:rsidR="002A60A2">
        <w:rPr>
          <w:sz w:val="24"/>
          <w:szCs w:val="24"/>
        </w:rPr>
        <w:t xml:space="preserve">legislatures in common law jurisdictions are now free to specify what the law is within </w:t>
      </w:r>
      <w:r w:rsidR="00790F28">
        <w:rPr>
          <w:sz w:val="24"/>
          <w:szCs w:val="24"/>
        </w:rPr>
        <w:t xml:space="preserve">their respective </w:t>
      </w:r>
      <w:r w:rsidR="002A60A2">
        <w:rPr>
          <w:sz w:val="24"/>
          <w:szCs w:val="24"/>
        </w:rPr>
        <w:t xml:space="preserve">domains, subject to local constitutional constraints. The second and more significant point is the rise of legislation as a source of law. </w:t>
      </w:r>
      <w:r w:rsidR="00442761" w:rsidRPr="002A11AB">
        <w:rPr>
          <w:sz w:val="24"/>
          <w:szCs w:val="24"/>
        </w:rPr>
        <w:t>As</w:t>
      </w:r>
      <w:r w:rsidR="00E02D95" w:rsidRPr="002A11AB">
        <w:rPr>
          <w:sz w:val="24"/>
          <w:szCs w:val="24"/>
        </w:rPr>
        <w:t xml:space="preserve"> is well known, the way in which law is made has changed dramatically </w:t>
      </w:r>
      <w:r w:rsidR="00BF636B" w:rsidRPr="002A11AB">
        <w:rPr>
          <w:sz w:val="24"/>
          <w:szCs w:val="24"/>
        </w:rPr>
        <w:t>in the last 150 </w:t>
      </w:r>
      <w:r w:rsidR="00743B8E" w:rsidRPr="002A11AB">
        <w:rPr>
          <w:sz w:val="24"/>
          <w:szCs w:val="24"/>
        </w:rPr>
        <w:t>years or so throughout the common law world</w:t>
      </w:r>
      <w:r w:rsidR="00E02D95" w:rsidRPr="002A11AB">
        <w:rPr>
          <w:sz w:val="24"/>
          <w:szCs w:val="24"/>
        </w:rPr>
        <w:t xml:space="preserve">. Historically, the courts assumed </w:t>
      </w:r>
      <w:r w:rsidR="002A60A2">
        <w:rPr>
          <w:sz w:val="24"/>
          <w:szCs w:val="24"/>
        </w:rPr>
        <w:t xml:space="preserve">the main responsible for </w:t>
      </w:r>
      <w:r w:rsidR="00E02D95" w:rsidRPr="002A11AB">
        <w:rPr>
          <w:sz w:val="24"/>
          <w:szCs w:val="24"/>
        </w:rPr>
        <w:t xml:space="preserve">ensuring that lacunae in the law were filled and that the law served the needs of the day. </w:t>
      </w:r>
      <w:r w:rsidR="002A60A2">
        <w:rPr>
          <w:sz w:val="24"/>
          <w:szCs w:val="24"/>
        </w:rPr>
        <w:t xml:space="preserve">The bulk </w:t>
      </w:r>
      <w:r w:rsidR="00E02D95" w:rsidRPr="002A11AB">
        <w:rPr>
          <w:sz w:val="24"/>
          <w:szCs w:val="24"/>
        </w:rPr>
        <w:t>of the law was</w:t>
      </w:r>
      <w:r w:rsidR="00F74D80" w:rsidRPr="002A11AB">
        <w:rPr>
          <w:sz w:val="24"/>
          <w:szCs w:val="24"/>
        </w:rPr>
        <w:t>, in other words,</w:t>
      </w:r>
      <w:r w:rsidR="00E02D95" w:rsidRPr="002A11AB">
        <w:rPr>
          <w:sz w:val="24"/>
          <w:szCs w:val="24"/>
        </w:rPr>
        <w:t xml:space="preserve"> judge-made</w:t>
      </w:r>
      <w:r w:rsidR="00F00528">
        <w:rPr>
          <w:sz w:val="24"/>
          <w:szCs w:val="24"/>
        </w:rPr>
        <w:t>,</w:t>
      </w:r>
      <w:r w:rsidR="00E02D95" w:rsidRPr="002A11AB">
        <w:rPr>
          <w:sz w:val="24"/>
          <w:szCs w:val="24"/>
        </w:rPr>
        <w:t xml:space="preserve"> and the legislature was the lesser partner in t</w:t>
      </w:r>
      <w:r w:rsidR="00F74D80" w:rsidRPr="002A11AB">
        <w:rPr>
          <w:sz w:val="24"/>
          <w:szCs w:val="24"/>
        </w:rPr>
        <w:t>he law-</w:t>
      </w:r>
      <w:r w:rsidR="00E02D95" w:rsidRPr="002A11AB">
        <w:rPr>
          <w:sz w:val="24"/>
          <w:szCs w:val="24"/>
        </w:rPr>
        <w:t>making enterprise. This state of affairs has been reversed. The legislature</w:t>
      </w:r>
      <w:r w:rsidR="00743B8E" w:rsidRPr="002A11AB">
        <w:rPr>
          <w:sz w:val="24"/>
          <w:szCs w:val="24"/>
        </w:rPr>
        <w:t>s</w:t>
      </w:r>
      <w:r w:rsidR="00E02D95" w:rsidRPr="002A11AB">
        <w:rPr>
          <w:sz w:val="24"/>
          <w:szCs w:val="24"/>
        </w:rPr>
        <w:t xml:space="preserve"> </w:t>
      </w:r>
      <w:r w:rsidR="00743B8E" w:rsidRPr="002A11AB">
        <w:rPr>
          <w:sz w:val="24"/>
          <w:szCs w:val="24"/>
        </w:rPr>
        <w:t>in</w:t>
      </w:r>
      <w:r w:rsidR="00BF636B" w:rsidRPr="002A11AB">
        <w:rPr>
          <w:sz w:val="24"/>
          <w:szCs w:val="24"/>
        </w:rPr>
        <w:t xml:space="preserve"> at least</w:t>
      </w:r>
      <w:r w:rsidR="00743B8E" w:rsidRPr="002A11AB">
        <w:rPr>
          <w:sz w:val="24"/>
          <w:szCs w:val="24"/>
        </w:rPr>
        <w:t xml:space="preserve"> all </w:t>
      </w:r>
      <w:r w:rsidR="00BF636B" w:rsidRPr="002A11AB">
        <w:rPr>
          <w:sz w:val="24"/>
          <w:szCs w:val="24"/>
        </w:rPr>
        <w:t xml:space="preserve">major </w:t>
      </w:r>
      <w:r w:rsidR="00743B8E" w:rsidRPr="002A11AB">
        <w:rPr>
          <w:sz w:val="24"/>
          <w:szCs w:val="24"/>
        </w:rPr>
        <w:t xml:space="preserve">common law jurisdictions </w:t>
      </w:r>
      <w:r w:rsidR="00E02D95" w:rsidRPr="002A11AB">
        <w:rPr>
          <w:sz w:val="24"/>
          <w:szCs w:val="24"/>
        </w:rPr>
        <w:t xml:space="preserve">are now </w:t>
      </w:r>
      <w:r w:rsidR="00743B8E" w:rsidRPr="002A11AB">
        <w:rPr>
          <w:sz w:val="24"/>
          <w:szCs w:val="24"/>
        </w:rPr>
        <w:t xml:space="preserve">by far </w:t>
      </w:r>
      <w:r w:rsidR="00E02D95" w:rsidRPr="002A11AB">
        <w:rPr>
          <w:sz w:val="24"/>
          <w:szCs w:val="24"/>
        </w:rPr>
        <w:t xml:space="preserve">the dominant producers of law. </w:t>
      </w:r>
      <w:r w:rsidR="0093216A" w:rsidRPr="002A11AB">
        <w:rPr>
          <w:sz w:val="24"/>
          <w:szCs w:val="24"/>
        </w:rPr>
        <w:t xml:space="preserve">Guido Calabresi encapsulated the transition from a world of primarily judge-made law to </w:t>
      </w:r>
      <w:r w:rsidR="0093216A">
        <w:rPr>
          <w:sz w:val="24"/>
          <w:szCs w:val="24"/>
        </w:rPr>
        <w:t xml:space="preserve">a world of </w:t>
      </w:r>
      <w:r w:rsidR="0093216A" w:rsidRPr="002A11AB">
        <w:rPr>
          <w:sz w:val="24"/>
          <w:szCs w:val="24"/>
        </w:rPr>
        <w:t xml:space="preserve">statutory </w:t>
      </w:r>
      <w:r w:rsidR="0093216A" w:rsidRPr="002A11AB">
        <w:rPr>
          <w:sz w:val="24"/>
          <w:szCs w:val="24"/>
        </w:rPr>
        <w:lastRenderedPageBreak/>
        <w:t>law in his now well-worn remark that we live ‘in the age of statutes.’</w:t>
      </w:r>
      <w:r w:rsidR="0093216A" w:rsidRPr="00AB3BDB">
        <w:rPr>
          <w:rStyle w:val="FootnoteReference"/>
          <w:sz w:val="24"/>
          <w:szCs w:val="24"/>
        </w:rPr>
        <w:footnoteReference w:id="63"/>
      </w:r>
      <w:r w:rsidR="0093216A" w:rsidRPr="002A11AB">
        <w:rPr>
          <w:sz w:val="24"/>
          <w:szCs w:val="24"/>
        </w:rPr>
        <w:t xml:space="preserve"> The rise of legislation as a source of law has profoundly affected, of course, the law of torts,</w:t>
      </w:r>
      <w:r w:rsidR="0093216A" w:rsidRPr="00AB3BDB">
        <w:rPr>
          <w:rStyle w:val="FootnoteReference"/>
          <w:sz w:val="24"/>
          <w:szCs w:val="24"/>
        </w:rPr>
        <w:footnoteReference w:id="64"/>
      </w:r>
      <w:r w:rsidR="0093216A" w:rsidRPr="002A11AB">
        <w:rPr>
          <w:sz w:val="24"/>
          <w:szCs w:val="24"/>
        </w:rPr>
        <w:t xml:space="preserve"> a fact that that has not been properly recognised by many tort scholars.</w:t>
      </w:r>
      <w:r w:rsidR="0093216A" w:rsidRPr="002A11AB">
        <w:rPr>
          <w:rStyle w:val="FootnoteReference"/>
          <w:sz w:val="24"/>
          <w:szCs w:val="24"/>
        </w:rPr>
        <w:footnoteReference w:id="65"/>
      </w:r>
      <w:r w:rsidR="0093216A">
        <w:rPr>
          <w:sz w:val="24"/>
          <w:szCs w:val="24"/>
        </w:rPr>
        <w:t xml:space="preserve"> This is because the rise of legislation has made a powerful contribution to isolationism. </w:t>
      </w:r>
      <w:r w:rsidR="00F74D80" w:rsidRPr="002A11AB">
        <w:rPr>
          <w:sz w:val="24"/>
          <w:szCs w:val="24"/>
        </w:rPr>
        <w:t>The reasons for this</w:t>
      </w:r>
      <w:r w:rsidR="0026569A">
        <w:rPr>
          <w:sz w:val="24"/>
          <w:szCs w:val="24"/>
        </w:rPr>
        <w:t xml:space="preserve"> role</w:t>
      </w:r>
      <w:r w:rsidR="00F74D80" w:rsidRPr="002A11AB">
        <w:rPr>
          <w:sz w:val="24"/>
          <w:szCs w:val="24"/>
        </w:rPr>
        <w:t xml:space="preserve"> reversal are irrelevant for present purposes. What matters </w:t>
      </w:r>
      <w:r w:rsidR="0093216A">
        <w:rPr>
          <w:sz w:val="24"/>
          <w:szCs w:val="24"/>
        </w:rPr>
        <w:t xml:space="preserve">for present purposes </w:t>
      </w:r>
      <w:r w:rsidR="00F74D80" w:rsidRPr="002A11AB">
        <w:rPr>
          <w:sz w:val="24"/>
          <w:szCs w:val="24"/>
        </w:rPr>
        <w:t xml:space="preserve">is the fact that </w:t>
      </w:r>
      <w:r w:rsidR="0026569A">
        <w:rPr>
          <w:sz w:val="24"/>
          <w:szCs w:val="24"/>
        </w:rPr>
        <w:t xml:space="preserve">it </w:t>
      </w:r>
      <w:r w:rsidR="00F74D80" w:rsidRPr="002A11AB">
        <w:rPr>
          <w:sz w:val="24"/>
          <w:szCs w:val="24"/>
        </w:rPr>
        <w:t xml:space="preserve">has occurred. </w:t>
      </w:r>
      <w:r w:rsidR="0093216A">
        <w:rPr>
          <w:sz w:val="24"/>
          <w:szCs w:val="24"/>
        </w:rPr>
        <w:t>It is a significant development because n</w:t>
      </w:r>
      <w:r w:rsidR="0026569A">
        <w:rPr>
          <w:sz w:val="24"/>
          <w:szCs w:val="24"/>
        </w:rPr>
        <w:t xml:space="preserve">owadays, many decisions are set against a </w:t>
      </w:r>
      <w:r w:rsidR="0093216A">
        <w:rPr>
          <w:sz w:val="24"/>
          <w:szCs w:val="24"/>
        </w:rPr>
        <w:t xml:space="preserve">distinctive </w:t>
      </w:r>
      <w:r w:rsidR="0026569A">
        <w:rPr>
          <w:sz w:val="24"/>
          <w:szCs w:val="24"/>
        </w:rPr>
        <w:t xml:space="preserve">statutory backdrop, with the result that they are </w:t>
      </w:r>
      <w:r w:rsidR="0093216A">
        <w:rPr>
          <w:sz w:val="24"/>
          <w:szCs w:val="24"/>
        </w:rPr>
        <w:t xml:space="preserve">less relevant </w:t>
      </w:r>
      <w:r w:rsidR="0026569A">
        <w:rPr>
          <w:sz w:val="24"/>
          <w:szCs w:val="24"/>
        </w:rPr>
        <w:t>to judges in other jurisdiction</w:t>
      </w:r>
      <w:r w:rsidR="0093216A">
        <w:rPr>
          <w:sz w:val="24"/>
          <w:szCs w:val="24"/>
        </w:rPr>
        <w:t>s</w:t>
      </w:r>
      <w:r w:rsidR="0026569A">
        <w:rPr>
          <w:sz w:val="24"/>
          <w:szCs w:val="24"/>
        </w:rPr>
        <w:t xml:space="preserve"> than might have otherwise been the case. </w:t>
      </w:r>
      <w:r w:rsidR="0093216A">
        <w:rPr>
          <w:sz w:val="24"/>
          <w:szCs w:val="24"/>
        </w:rPr>
        <w:t xml:space="preserve">This contributes, of course, to isolationism. </w:t>
      </w:r>
    </w:p>
    <w:p w14:paraId="3D2DE760" w14:textId="77777777" w:rsidR="00F00528" w:rsidRDefault="00F00528" w:rsidP="000D5A2D">
      <w:pPr>
        <w:tabs>
          <w:tab w:val="left" w:pos="284"/>
        </w:tabs>
        <w:spacing w:after="0" w:line="240" w:lineRule="auto"/>
        <w:jc w:val="both"/>
        <w:rPr>
          <w:sz w:val="24"/>
          <w:szCs w:val="24"/>
        </w:rPr>
      </w:pPr>
    </w:p>
    <w:p w14:paraId="29630401" w14:textId="77777777" w:rsidR="005833C2" w:rsidRPr="00F5600D" w:rsidRDefault="004A4A24" w:rsidP="00F5600D">
      <w:pPr>
        <w:pStyle w:val="Heading1"/>
        <w:keepNext/>
      </w:pPr>
      <w:r w:rsidRPr="00F5600D">
        <w:t>4.</w:t>
      </w:r>
      <w:r w:rsidR="005833C2" w:rsidRPr="00F5600D">
        <w:t xml:space="preserve"> </w:t>
      </w:r>
      <w:r w:rsidR="001C78A6">
        <w:t xml:space="preserve">Jurisprudential Divergence </w:t>
      </w:r>
    </w:p>
    <w:p w14:paraId="569D6DD5" w14:textId="77777777" w:rsidR="005833C2" w:rsidRPr="00F5600D" w:rsidRDefault="005833C2" w:rsidP="00F5600D">
      <w:pPr>
        <w:keepNext/>
        <w:tabs>
          <w:tab w:val="left" w:pos="284"/>
        </w:tabs>
        <w:spacing w:after="0" w:line="240" w:lineRule="auto"/>
        <w:rPr>
          <w:sz w:val="24"/>
          <w:szCs w:val="24"/>
        </w:rPr>
      </w:pPr>
    </w:p>
    <w:p w14:paraId="708B6B8D" w14:textId="3E687881" w:rsidR="001C78A6" w:rsidRDefault="00662097" w:rsidP="00F5600D">
      <w:pPr>
        <w:tabs>
          <w:tab w:val="left" w:pos="284"/>
        </w:tabs>
        <w:spacing w:after="0" w:line="240" w:lineRule="auto"/>
        <w:jc w:val="both"/>
        <w:rPr>
          <w:sz w:val="24"/>
          <w:szCs w:val="24"/>
        </w:rPr>
      </w:pPr>
      <w:r>
        <w:rPr>
          <w:sz w:val="24"/>
          <w:szCs w:val="24"/>
        </w:rPr>
        <w:t xml:space="preserve">The previous section described how the major common law jurisdictions have become </w:t>
      </w:r>
      <w:r w:rsidR="00B6647E">
        <w:rPr>
          <w:sz w:val="24"/>
          <w:szCs w:val="24"/>
        </w:rPr>
        <w:t xml:space="preserve">increasingly </w:t>
      </w:r>
      <w:r>
        <w:rPr>
          <w:sz w:val="24"/>
          <w:szCs w:val="24"/>
        </w:rPr>
        <w:t>isolated from each other. L</w:t>
      </w:r>
      <w:r w:rsidR="005833C2" w:rsidRPr="00F5600D">
        <w:rPr>
          <w:sz w:val="24"/>
          <w:szCs w:val="24"/>
        </w:rPr>
        <w:t>awmakers (including judges) in the</w:t>
      </w:r>
      <w:r w:rsidR="00B6647E">
        <w:rPr>
          <w:sz w:val="24"/>
          <w:szCs w:val="24"/>
        </w:rPr>
        <w:t xml:space="preserve">se </w:t>
      </w:r>
      <w:r w:rsidR="005833C2" w:rsidRPr="00F5600D">
        <w:rPr>
          <w:sz w:val="24"/>
          <w:szCs w:val="24"/>
        </w:rPr>
        <w:t xml:space="preserve">jurisdictions </w:t>
      </w:r>
      <w:r>
        <w:rPr>
          <w:sz w:val="24"/>
          <w:szCs w:val="24"/>
        </w:rPr>
        <w:t xml:space="preserve">are </w:t>
      </w:r>
      <w:r w:rsidR="00250A35">
        <w:rPr>
          <w:sz w:val="24"/>
          <w:szCs w:val="24"/>
        </w:rPr>
        <w:t xml:space="preserve">now </w:t>
      </w:r>
      <w:r w:rsidR="005833C2" w:rsidRPr="00F5600D">
        <w:rPr>
          <w:sz w:val="24"/>
          <w:szCs w:val="24"/>
        </w:rPr>
        <w:t>maste</w:t>
      </w:r>
      <w:r w:rsidR="00B6647E">
        <w:rPr>
          <w:sz w:val="24"/>
          <w:szCs w:val="24"/>
        </w:rPr>
        <w:t xml:space="preserve">rs of their own legal destinies, subject to constitutional constraints. </w:t>
      </w:r>
      <w:r w:rsidR="005833C2" w:rsidRPr="00F5600D">
        <w:rPr>
          <w:sz w:val="24"/>
          <w:szCs w:val="24"/>
        </w:rPr>
        <w:t xml:space="preserve">We now show that the </w:t>
      </w:r>
      <w:r w:rsidR="007C25D5">
        <w:rPr>
          <w:sz w:val="24"/>
          <w:szCs w:val="24"/>
        </w:rPr>
        <w:t xml:space="preserve">ability </w:t>
      </w:r>
      <w:r w:rsidR="005833C2" w:rsidRPr="00F5600D">
        <w:rPr>
          <w:sz w:val="24"/>
          <w:szCs w:val="24"/>
        </w:rPr>
        <w:t xml:space="preserve">of lawmakers to determine their own legal fate has </w:t>
      </w:r>
      <w:r w:rsidR="00437129" w:rsidRPr="00F5600D">
        <w:rPr>
          <w:sz w:val="24"/>
          <w:szCs w:val="24"/>
        </w:rPr>
        <w:t xml:space="preserve">enabled them to </w:t>
      </w:r>
      <w:r w:rsidR="00617479">
        <w:rPr>
          <w:sz w:val="24"/>
          <w:szCs w:val="24"/>
        </w:rPr>
        <w:t xml:space="preserve">adapt </w:t>
      </w:r>
      <w:r w:rsidR="005833C2" w:rsidRPr="00F5600D">
        <w:rPr>
          <w:sz w:val="24"/>
          <w:szCs w:val="24"/>
        </w:rPr>
        <w:t xml:space="preserve">tort law </w:t>
      </w:r>
      <w:r w:rsidR="001C78A6">
        <w:rPr>
          <w:sz w:val="24"/>
          <w:szCs w:val="24"/>
        </w:rPr>
        <w:t xml:space="preserve">in response to </w:t>
      </w:r>
      <w:r w:rsidR="005833C2" w:rsidRPr="00F5600D">
        <w:rPr>
          <w:sz w:val="24"/>
          <w:szCs w:val="24"/>
        </w:rPr>
        <w:t xml:space="preserve">local pressures. </w:t>
      </w:r>
      <w:r w:rsidR="001C78A6">
        <w:rPr>
          <w:sz w:val="24"/>
          <w:szCs w:val="24"/>
        </w:rPr>
        <w:t xml:space="preserve">We consider a selection of </w:t>
      </w:r>
      <w:r w:rsidR="007C25D5">
        <w:rPr>
          <w:sz w:val="24"/>
          <w:szCs w:val="24"/>
        </w:rPr>
        <w:t xml:space="preserve">such pressures </w:t>
      </w:r>
      <w:r w:rsidR="001C78A6">
        <w:rPr>
          <w:sz w:val="24"/>
          <w:szCs w:val="24"/>
        </w:rPr>
        <w:t xml:space="preserve">here and the impact that they have had. The purpose of this analysis is not </w:t>
      </w:r>
      <w:r w:rsidR="00B6647E">
        <w:rPr>
          <w:sz w:val="24"/>
          <w:szCs w:val="24"/>
        </w:rPr>
        <w:t xml:space="preserve">so much </w:t>
      </w:r>
      <w:r w:rsidR="001C78A6">
        <w:rPr>
          <w:sz w:val="24"/>
          <w:szCs w:val="24"/>
        </w:rPr>
        <w:t xml:space="preserve">to show that </w:t>
      </w:r>
      <w:r w:rsidR="00ED4636">
        <w:rPr>
          <w:sz w:val="24"/>
          <w:szCs w:val="24"/>
        </w:rPr>
        <w:t xml:space="preserve">the systems of </w:t>
      </w:r>
      <w:r w:rsidR="001C78A6">
        <w:rPr>
          <w:sz w:val="24"/>
          <w:szCs w:val="24"/>
        </w:rPr>
        <w:t>tort law in common law jurisdictions has drifted apart from each other. Everyone knows that there is significant divergence. Rather, the aim is to continue the story that has been told to this point</w:t>
      </w:r>
      <w:r w:rsidR="001C0BC1">
        <w:rPr>
          <w:sz w:val="24"/>
          <w:szCs w:val="24"/>
        </w:rPr>
        <w:t xml:space="preserve">, </w:t>
      </w:r>
      <w:r w:rsidR="001C78A6">
        <w:rPr>
          <w:sz w:val="24"/>
          <w:szCs w:val="24"/>
        </w:rPr>
        <w:t xml:space="preserve">namely, that </w:t>
      </w:r>
      <w:r w:rsidR="00E24267">
        <w:rPr>
          <w:sz w:val="24"/>
          <w:szCs w:val="24"/>
        </w:rPr>
        <w:t xml:space="preserve">jurisdictional isolation </w:t>
      </w:r>
      <w:r w:rsidR="001C78A6">
        <w:rPr>
          <w:sz w:val="24"/>
          <w:szCs w:val="24"/>
        </w:rPr>
        <w:t xml:space="preserve">has permitted jurisprudential divergence in the law of torts. </w:t>
      </w:r>
    </w:p>
    <w:p w14:paraId="4A9ED634" w14:textId="77777777" w:rsidR="00787E7C" w:rsidRPr="00F5600D" w:rsidRDefault="00787E7C" w:rsidP="00F5600D">
      <w:pPr>
        <w:tabs>
          <w:tab w:val="left" w:pos="284"/>
        </w:tabs>
        <w:spacing w:after="0" w:line="240" w:lineRule="auto"/>
        <w:jc w:val="both"/>
        <w:rPr>
          <w:sz w:val="24"/>
          <w:szCs w:val="24"/>
        </w:rPr>
      </w:pPr>
    </w:p>
    <w:p w14:paraId="4A8C695C" w14:textId="77777777" w:rsidR="00787E7C" w:rsidRPr="00F5600D" w:rsidRDefault="00787E7C" w:rsidP="00F5600D">
      <w:pPr>
        <w:pStyle w:val="Heading2"/>
      </w:pPr>
      <w:r w:rsidRPr="00F5600D">
        <w:t xml:space="preserve">(i) Constitutional </w:t>
      </w:r>
      <w:r w:rsidR="00D21C3F" w:rsidRPr="00F5600D">
        <w:t>A</w:t>
      </w:r>
      <w:r w:rsidRPr="00F5600D">
        <w:t xml:space="preserve">rrangements and </w:t>
      </w:r>
      <w:r w:rsidR="00DE35D7">
        <w:t xml:space="preserve">International </w:t>
      </w:r>
      <w:r w:rsidR="00D21C3F" w:rsidRPr="00F5600D">
        <w:t>H</w:t>
      </w:r>
      <w:r w:rsidRPr="00F5600D">
        <w:t xml:space="preserve">uman </w:t>
      </w:r>
      <w:r w:rsidR="00D21C3F" w:rsidRPr="00F5600D">
        <w:t>R</w:t>
      </w:r>
      <w:r w:rsidRPr="00F5600D">
        <w:t xml:space="preserve">ights </w:t>
      </w:r>
      <w:r w:rsidR="00D21C3F" w:rsidRPr="00F5600D">
        <w:t>C</w:t>
      </w:r>
      <w:r w:rsidRPr="00F5600D">
        <w:t xml:space="preserve">ommitments </w:t>
      </w:r>
    </w:p>
    <w:p w14:paraId="07B2D620" w14:textId="77777777" w:rsidR="00787E7C" w:rsidRPr="00F5600D" w:rsidRDefault="00787E7C" w:rsidP="00F5600D">
      <w:pPr>
        <w:tabs>
          <w:tab w:val="left" w:pos="284"/>
        </w:tabs>
        <w:spacing w:after="0" w:line="240" w:lineRule="auto"/>
        <w:jc w:val="both"/>
        <w:rPr>
          <w:i/>
          <w:sz w:val="24"/>
          <w:szCs w:val="24"/>
        </w:rPr>
      </w:pPr>
    </w:p>
    <w:p w14:paraId="72CD4C15" w14:textId="1674B3A2" w:rsidR="00787E7C" w:rsidRDefault="00787E7C" w:rsidP="00C46926">
      <w:pPr>
        <w:spacing w:after="0" w:line="240" w:lineRule="auto"/>
        <w:jc w:val="both"/>
        <w:rPr>
          <w:sz w:val="24"/>
          <w:szCs w:val="24"/>
        </w:rPr>
      </w:pPr>
      <w:r w:rsidRPr="00F5600D">
        <w:rPr>
          <w:sz w:val="24"/>
          <w:szCs w:val="24"/>
        </w:rPr>
        <w:t xml:space="preserve">A </w:t>
      </w:r>
      <w:r w:rsidR="00ED4636">
        <w:rPr>
          <w:sz w:val="24"/>
          <w:szCs w:val="24"/>
        </w:rPr>
        <w:t xml:space="preserve">jurisdiction’s </w:t>
      </w:r>
      <w:r w:rsidR="00C46926">
        <w:rPr>
          <w:sz w:val="24"/>
          <w:szCs w:val="24"/>
        </w:rPr>
        <w:t xml:space="preserve">particular </w:t>
      </w:r>
      <w:r w:rsidRPr="00F5600D">
        <w:rPr>
          <w:sz w:val="24"/>
          <w:szCs w:val="24"/>
        </w:rPr>
        <w:t>constitutional arrangements and</w:t>
      </w:r>
      <w:r w:rsidR="00DE35D7">
        <w:rPr>
          <w:sz w:val="24"/>
          <w:szCs w:val="24"/>
        </w:rPr>
        <w:t xml:space="preserve"> human rights obligations </w:t>
      </w:r>
      <w:r w:rsidR="00E3274A">
        <w:rPr>
          <w:sz w:val="24"/>
          <w:szCs w:val="24"/>
        </w:rPr>
        <w:t xml:space="preserve">can </w:t>
      </w:r>
      <w:r w:rsidR="00F5191E">
        <w:rPr>
          <w:sz w:val="24"/>
          <w:szCs w:val="24"/>
        </w:rPr>
        <w:t xml:space="preserve">influence the </w:t>
      </w:r>
      <w:r w:rsidR="00B02809">
        <w:rPr>
          <w:sz w:val="24"/>
          <w:szCs w:val="24"/>
        </w:rPr>
        <w:t xml:space="preserve">trajectory </w:t>
      </w:r>
      <w:r w:rsidRPr="00F5600D">
        <w:rPr>
          <w:sz w:val="24"/>
          <w:szCs w:val="24"/>
        </w:rPr>
        <w:t xml:space="preserve">of </w:t>
      </w:r>
      <w:r w:rsidR="00A71FF0">
        <w:rPr>
          <w:sz w:val="24"/>
          <w:szCs w:val="24"/>
        </w:rPr>
        <w:t xml:space="preserve">tort law </w:t>
      </w:r>
      <w:r w:rsidR="00F5191E">
        <w:rPr>
          <w:sz w:val="24"/>
          <w:szCs w:val="24"/>
        </w:rPr>
        <w:t>with</w:t>
      </w:r>
      <w:r w:rsidRPr="00F5600D">
        <w:rPr>
          <w:sz w:val="24"/>
          <w:szCs w:val="24"/>
        </w:rPr>
        <w:t xml:space="preserve">in </w:t>
      </w:r>
      <w:r w:rsidR="00F5191E">
        <w:rPr>
          <w:sz w:val="24"/>
          <w:szCs w:val="24"/>
        </w:rPr>
        <w:t>that jurisdiction</w:t>
      </w:r>
      <w:r w:rsidR="00E3274A">
        <w:rPr>
          <w:sz w:val="24"/>
          <w:szCs w:val="24"/>
        </w:rPr>
        <w:t xml:space="preserve"> and cause it </w:t>
      </w:r>
      <w:r w:rsidR="00F5191E">
        <w:rPr>
          <w:sz w:val="24"/>
          <w:szCs w:val="24"/>
        </w:rPr>
        <w:t xml:space="preserve">to </w:t>
      </w:r>
      <w:r w:rsidR="00A71FF0">
        <w:rPr>
          <w:sz w:val="24"/>
          <w:szCs w:val="24"/>
        </w:rPr>
        <w:t xml:space="preserve">diverge </w:t>
      </w:r>
      <w:r w:rsidR="00E3274A">
        <w:rPr>
          <w:sz w:val="24"/>
          <w:szCs w:val="24"/>
        </w:rPr>
        <w:t>significantly from that elsewhere</w:t>
      </w:r>
      <w:r w:rsidRPr="00F5600D">
        <w:rPr>
          <w:sz w:val="24"/>
          <w:szCs w:val="24"/>
        </w:rPr>
        <w:t xml:space="preserve">. Several areas of tort law seem </w:t>
      </w:r>
      <w:r w:rsidR="00A71FF0">
        <w:rPr>
          <w:sz w:val="24"/>
          <w:szCs w:val="24"/>
        </w:rPr>
        <w:t xml:space="preserve">to be </w:t>
      </w:r>
      <w:r w:rsidRPr="00F5600D">
        <w:rPr>
          <w:sz w:val="24"/>
          <w:szCs w:val="24"/>
        </w:rPr>
        <w:t>especially susceptible to such influence</w:t>
      </w:r>
      <w:r w:rsidR="00A71FF0">
        <w:rPr>
          <w:sz w:val="24"/>
          <w:szCs w:val="24"/>
        </w:rPr>
        <w:t>s</w:t>
      </w:r>
      <w:r w:rsidRPr="00F5600D">
        <w:rPr>
          <w:sz w:val="24"/>
          <w:szCs w:val="24"/>
        </w:rPr>
        <w:t xml:space="preserve">. </w:t>
      </w:r>
      <w:r w:rsidR="00A71FF0">
        <w:rPr>
          <w:sz w:val="24"/>
          <w:szCs w:val="24"/>
        </w:rPr>
        <w:t xml:space="preserve">We consider </w:t>
      </w:r>
      <w:r w:rsidR="007C25D5">
        <w:rPr>
          <w:sz w:val="24"/>
          <w:szCs w:val="24"/>
        </w:rPr>
        <w:t xml:space="preserve">some </w:t>
      </w:r>
      <w:r w:rsidR="00A71FF0">
        <w:rPr>
          <w:sz w:val="24"/>
          <w:szCs w:val="24"/>
        </w:rPr>
        <w:t>of these below</w:t>
      </w:r>
      <w:r w:rsidRPr="00F5600D">
        <w:rPr>
          <w:sz w:val="24"/>
          <w:szCs w:val="24"/>
        </w:rPr>
        <w:t>.</w:t>
      </w:r>
    </w:p>
    <w:p w14:paraId="15F27CE2" w14:textId="77777777" w:rsidR="00DB32BF" w:rsidRPr="00F5600D" w:rsidRDefault="00DB32BF" w:rsidP="00F5600D">
      <w:pPr>
        <w:tabs>
          <w:tab w:val="left" w:pos="284"/>
        </w:tabs>
        <w:spacing w:after="0" w:line="240" w:lineRule="auto"/>
        <w:jc w:val="both"/>
        <w:rPr>
          <w:sz w:val="24"/>
          <w:szCs w:val="24"/>
        </w:rPr>
      </w:pPr>
    </w:p>
    <w:p w14:paraId="3E7E7292" w14:textId="5AB1E974" w:rsidR="00787E7C" w:rsidRPr="00F5600D" w:rsidRDefault="005E5756" w:rsidP="005E5756">
      <w:pPr>
        <w:pStyle w:val="Heading4"/>
        <w:tabs>
          <w:tab w:val="left" w:pos="567"/>
        </w:tabs>
      </w:pPr>
      <w:r>
        <w:t xml:space="preserve">(a) </w:t>
      </w:r>
      <w:r>
        <w:tab/>
      </w:r>
      <w:r w:rsidR="00787E7C" w:rsidRPr="00F5600D">
        <w:t xml:space="preserve">Defamation </w:t>
      </w:r>
    </w:p>
    <w:p w14:paraId="13FE2568" w14:textId="77777777" w:rsidR="00787E7C" w:rsidRPr="00F5600D" w:rsidRDefault="00787E7C" w:rsidP="00F5600D">
      <w:pPr>
        <w:tabs>
          <w:tab w:val="left" w:pos="284"/>
        </w:tabs>
        <w:spacing w:after="0" w:line="240" w:lineRule="auto"/>
        <w:jc w:val="both"/>
        <w:rPr>
          <w:sz w:val="24"/>
          <w:szCs w:val="24"/>
        </w:rPr>
      </w:pPr>
    </w:p>
    <w:p w14:paraId="17EDBC82" w14:textId="5DDFAA32" w:rsidR="00787E7C" w:rsidRPr="00F5600D" w:rsidRDefault="007C25D5" w:rsidP="00F5600D">
      <w:pPr>
        <w:tabs>
          <w:tab w:val="left" w:pos="284"/>
        </w:tabs>
        <w:spacing w:after="0" w:line="240" w:lineRule="auto"/>
        <w:jc w:val="both"/>
        <w:rPr>
          <w:sz w:val="24"/>
          <w:szCs w:val="24"/>
        </w:rPr>
      </w:pPr>
      <w:r>
        <w:rPr>
          <w:sz w:val="24"/>
          <w:szCs w:val="24"/>
        </w:rPr>
        <w:t xml:space="preserve">A </w:t>
      </w:r>
      <w:r w:rsidR="00787E7C" w:rsidRPr="00F5600D">
        <w:rPr>
          <w:sz w:val="24"/>
          <w:szCs w:val="24"/>
        </w:rPr>
        <w:t xml:space="preserve">clear example </w:t>
      </w:r>
      <w:r w:rsidR="00E3274A">
        <w:rPr>
          <w:sz w:val="24"/>
          <w:szCs w:val="24"/>
        </w:rPr>
        <w:t xml:space="preserve">of </w:t>
      </w:r>
      <w:r w:rsidR="00787E7C" w:rsidRPr="00F5600D">
        <w:rPr>
          <w:sz w:val="24"/>
          <w:szCs w:val="24"/>
        </w:rPr>
        <w:t xml:space="preserve">constitutional arrangements </w:t>
      </w:r>
      <w:r w:rsidR="00E24267">
        <w:rPr>
          <w:sz w:val="24"/>
          <w:szCs w:val="24"/>
        </w:rPr>
        <w:t xml:space="preserve">influencing </w:t>
      </w:r>
      <w:r w:rsidR="00787E7C" w:rsidRPr="00F5600D">
        <w:rPr>
          <w:sz w:val="24"/>
          <w:szCs w:val="24"/>
        </w:rPr>
        <w:t xml:space="preserve">the development of </w:t>
      </w:r>
      <w:r>
        <w:rPr>
          <w:sz w:val="24"/>
          <w:szCs w:val="24"/>
        </w:rPr>
        <w:t xml:space="preserve">tort law </w:t>
      </w:r>
      <w:r w:rsidR="00B02809">
        <w:rPr>
          <w:sz w:val="24"/>
          <w:szCs w:val="24"/>
        </w:rPr>
        <w:t xml:space="preserve">concerns </w:t>
      </w:r>
      <w:r w:rsidR="00787E7C" w:rsidRPr="00F5600D">
        <w:rPr>
          <w:sz w:val="24"/>
          <w:szCs w:val="24"/>
        </w:rPr>
        <w:t xml:space="preserve">the First Amendment </w:t>
      </w:r>
      <w:r w:rsidR="00C5470E">
        <w:rPr>
          <w:sz w:val="24"/>
          <w:szCs w:val="24"/>
        </w:rPr>
        <w:t xml:space="preserve">to the United States </w:t>
      </w:r>
      <w:r>
        <w:rPr>
          <w:sz w:val="24"/>
          <w:szCs w:val="24"/>
        </w:rPr>
        <w:t>Constitution</w:t>
      </w:r>
      <w:r w:rsidR="00C5470E">
        <w:rPr>
          <w:sz w:val="24"/>
          <w:szCs w:val="24"/>
        </w:rPr>
        <w:t xml:space="preserve"> and the law of defamation.</w:t>
      </w:r>
      <w:bookmarkStart w:id="13" w:name="_Ref409302547"/>
      <w:r w:rsidR="00AC3352">
        <w:rPr>
          <w:rStyle w:val="FootnoteReference"/>
          <w:sz w:val="24"/>
          <w:szCs w:val="24"/>
        </w:rPr>
        <w:footnoteReference w:id="66"/>
      </w:r>
      <w:bookmarkEnd w:id="13"/>
      <w:r w:rsidR="00C5470E">
        <w:rPr>
          <w:sz w:val="24"/>
          <w:szCs w:val="24"/>
        </w:rPr>
        <w:t xml:space="preserve"> I</w:t>
      </w:r>
      <w:r w:rsidR="00787E7C" w:rsidRPr="00F5600D">
        <w:rPr>
          <w:sz w:val="24"/>
          <w:szCs w:val="24"/>
        </w:rPr>
        <w:t xml:space="preserve">n </w:t>
      </w:r>
      <w:r w:rsidR="00787E7C" w:rsidRPr="00F5600D">
        <w:rPr>
          <w:i/>
          <w:sz w:val="24"/>
          <w:szCs w:val="24"/>
        </w:rPr>
        <w:t>New York Times v Sullivan</w:t>
      </w:r>
      <w:r w:rsidR="00787E7C" w:rsidRPr="00F5600D">
        <w:rPr>
          <w:rStyle w:val="FootnoteReference"/>
          <w:sz w:val="24"/>
          <w:szCs w:val="24"/>
        </w:rPr>
        <w:footnoteReference w:id="67"/>
      </w:r>
      <w:r w:rsidR="00797C08">
        <w:rPr>
          <w:sz w:val="24"/>
          <w:szCs w:val="24"/>
        </w:rPr>
        <w:t xml:space="preserve"> </w:t>
      </w:r>
      <w:r w:rsidR="00787E7C" w:rsidRPr="00F5600D">
        <w:rPr>
          <w:sz w:val="24"/>
          <w:szCs w:val="24"/>
        </w:rPr>
        <w:t xml:space="preserve">the </w:t>
      </w:r>
      <w:r w:rsidR="00ED4636">
        <w:rPr>
          <w:sz w:val="24"/>
          <w:szCs w:val="24"/>
        </w:rPr>
        <w:t xml:space="preserve">United States </w:t>
      </w:r>
      <w:r w:rsidR="00C5470E">
        <w:rPr>
          <w:sz w:val="24"/>
          <w:szCs w:val="24"/>
        </w:rPr>
        <w:t xml:space="preserve">Supreme </w:t>
      </w:r>
      <w:r w:rsidR="00787E7C" w:rsidRPr="00F5600D">
        <w:rPr>
          <w:sz w:val="24"/>
          <w:szCs w:val="24"/>
        </w:rPr>
        <w:t xml:space="preserve">Court </w:t>
      </w:r>
      <w:r w:rsidR="00C5470E">
        <w:rPr>
          <w:sz w:val="24"/>
          <w:szCs w:val="24"/>
        </w:rPr>
        <w:t xml:space="preserve">decided </w:t>
      </w:r>
      <w:r w:rsidR="00787E7C" w:rsidRPr="00F5600D">
        <w:rPr>
          <w:sz w:val="24"/>
          <w:szCs w:val="24"/>
        </w:rPr>
        <w:t xml:space="preserve">that the existing defences </w:t>
      </w:r>
      <w:r w:rsidR="00E24267">
        <w:rPr>
          <w:sz w:val="24"/>
          <w:szCs w:val="24"/>
        </w:rPr>
        <w:t xml:space="preserve">to liability in defamation </w:t>
      </w:r>
      <w:r w:rsidR="00787E7C" w:rsidRPr="00F5600D">
        <w:rPr>
          <w:sz w:val="24"/>
          <w:szCs w:val="24"/>
        </w:rPr>
        <w:t xml:space="preserve">did not adequately secure the constitutional </w:t>
      </w:r>
      <w:r>
        <w:rPr>
          <w:sz w:val="24"/>
          <w:szCs w:val="24"/>
        </w:rPr>
        <w:t xml:space="preserve">free-speech </w:t>
      </w:r>
      <w:r w:rsidR="00787E7C" w:rsidRPr="00F5600D">
        <w:rPr>
          <w:sz w:val="24"/>
          <w:szCs w:val="24"/>
        </w:rPr>
        <w:t xml:space="preserve">guarantee. Accordingly, it crafted new </w:t>
      </w:r>
      <w:r w:rsidR="00ED4636">
        <w:rPr>
          <w:sz w:val="24"/>
          <w:szCs w:val="24"/>
        </w:rPr>
        <w:t xml:space="preserve">exclusionary </w:t>
      </w:r>
      <w:r w:rsidR="00787E7C" w:rsidRPr="00F5600D">
        <w:rPr>
          <w:sz w:val="24"/>
          <w:szCs w:val="24"/>
        </w:rPr>
        <w:t xml:space="preserve">rules applicable </w:t>
      </w:r>
      <w:r>
        <w:rPr>
          <w:sz w:val="24"/>
          <w:szCs w:val="24"/>
        </w:rPr>
        <w:t xml:space="preserve">where the person defamed is a public official. The main change </w:t>
      </w:r>
      <w:r w:rsidR="00ED4636">
        <w:rPr>
          <w:sz w:val="24"/>
          <w:szCs w:val="24"/>
        </w:rPr>
        <w:t xml:space="preserve">made was to prevent </w:t>
      </w:r>
      <w:r>
        <w:rPr>
          <w:sz w:val="24"/>
          <w:szCs w:val="24"/>
        </w:rPr>
        <w:t xml:space="preserve">public officials </w:t>
      </w:r>
      <w:r w:rsidR="00ED4636">
        <w:rPr>
          <w:sz w:val="24"/>
          <w:szCs w:val="24"/>
        </w:rPr>
        <w:t xml:space="preserve">to </w:t>
      </w:r>
      <w:r>
        <w:rPr>
          <w:sz w:val="24"/>
          <w:szCs w:val="24"/>
        </w:rPr>
        <w:t>recover ‘</w:t>
      </w:r>
      <w:r w:rsidR="00787E7C" w:rsidRPr="00F5600D">
        <w:rPr>
          <w:sz w:val="24"/>
          <w:szCs w:val="24"/>
        </w:rPr>
        <w:t xml:space="preserve">damages for a defamatory </w:t>
      </w:r>
      <w:r w:rsidR="00913BF8">
        <w:rPr>
          <w:sz w:val="24"/>
          <w:szCs w:val="24"/>
        </w:rPr>
        <w:t xml:space="preserve">statement </w:t>
      </w:r>
      <w:r w:rsidR="00787E7C" w:rsidRPr="00F5600D">
        <w:rPr>
          <w:sz w:val="24"/>
          <w:szCs w:val="24"/>
        </w:rPr>
        <w:t xml:space="preserve">unless </w:t>
      </w:r>
      <w:r w:rsidR="00ED4636">
        <w:rPr>
          <w:sz w:val="24"/>
          <w:szCs w:val="24"/>
        </w:rPr>
        <w:t xml:space="preserve">[the public official concerned proved] </w:t>
      </w:r>
      <w:r w:rsidR="00787E7C" w:rsidRPr="00F5600D">
        <w:rPr>
          <w:sz w:val="24"/>
          <w:szCs w:val="24"/>
        </w:rPr>
        <w:t xml:space="preserve">that </w:t>
      </w:r>
      <w:r w:rsidR="00913BF8">
        <w:rPr>
          <w:sz w:val="24"/>
          <w:szCs w:val="24"/>
        </w:rPr>
        <w:t xml:space="preserve">it </w:t>
      </w:r>
      <w:r w:rsidR="00787E7C" w:rsidRPr="00F5600D">
        <w:rPr>
          <w:sz w:val="24"/>
          <w:szCs w:val="24"/>
        </w:rPr>
        <w:t>was made with “actual malice” – that is, with knowledge that it was false or with reckless disregard of whether it was false or not’.</w:t>
      </w:r>
      <w:r w:rsidR="00787E7C" w:rsidRPr="00F5600D">
        <w:rPr>
          <w:rStyle w:val="FootnoteReference"/>
          <w:sz w:val="24"/>
          <w:szCs w:val="24"/>
        </w:rPr>
        <w:footnoteReference w:id="68"/>
      </w:r>
      <w:r w:rsidR="00787E7C" w:rsidRPr="00F5600D">
        <w:rPr>
          <w:sz w:val="24"/>
          <w:szCs w:val="24"/>
        </w:rPr>
        <w:t xml:space="preserve"> Crucially for present purposes, the Supreme Court made it clear that </w:t>
      </w:r>
      <w:r w:rsidR="00C5470E">
        <w:rPr>
          <w:sz w:val="24"/>
          <w:szCs w:val="24"/>
        </w:rPr>
        <w:t xml:space="preserve">it was changing </w:t>
      </w:r>
      <w:r w:rsidR="00787E7C" w:rsidRPr="00F5600D">
        <w:rPr>
          <w:sz w:val="24"/>
          <w:szCs w:val="24"/>
        </w:rPr>
        <w:t xml:space="preserve">the law </w:t>
      </w:r>
      <w:r w:rsidR="00787E7C" w:rsidRPr="002F7A18">
        <w:rPr>
          <w:sz w:val="24"/>
          <w:szCs w:val="24"/>
        </w:rPr>
        <w:t>because</w:t>
      </w:r>
      <w:r w:rsidR="00787E7C" w:rsidRPr="00F5600D">
        <w:rPr>
          <w:i/>
          <w:sz w:val="24"/>
          <w:szCs w:val="24"/>
        </w:rPr>
        <w:t xml:space="preserve"> </w:t>
      </w:r>
      <w:r w:rsidR="00787E7C" w:rsidRPr="007C25D5">
        <w:rPr>
          <w:sz w:val="24"/>
          <w:szCs w:val="24"/>
        </w:rPr>
        <w:t>of</w:t>
      </w:r>
      <w:r w:rsidR="00787E7C" w:rsidRPr="00F5600D">
        <w:rPr>
          <w:sz w:val="24"/>
          <w:szCs w:val="24"/>
        </w:rPr>
        <w:t xml:space="preserve"> the First Amendment, a unique local </w:t>
      </w:r>
      <w:r w:rsidR="00787E7C" w:rsidRPr="00F5600D">
        <w:rPr>
          <w:sz w:val="24"/>
          <w:szCs w:val="24"/>
        </w:rPr>
        <w:lastRenderedPageBreak/>
        <w:t xml:space="preserve">factor. The </w:t>
      </w:r>
      <w:r w:rsidR="00C5470E">
        <w:rPr>
          <w:sz w:val="24"/>
          <w:szCs w:val="24"/>
        </w:rPr>
        <w:t>C</w:t>
      </w:r>
      <w:r w:rsidR="00787E7C" w:rsidRPr="00F5600D">
        <w:rPr>
          <w:sz w:val="24"/>
          <w:szCs w:val="24"/>
        </w:rPr>
        <w:t xml:space="preserve">ourt </w:t>
      </w:r>
      <w:r>
        <w:rPr>
          <w:sz w:val="24"/>
          <w:szCs w:val="24"/>
        </w:rPr>
        <w:t xml:space="preserve">stressed </w:t>
      </w:r>
      <w:r w:rsidR="00787E7C" w:rsidRPr="00F5600D">
        <w:rPr>
          <w:sz w:val="24"/>
          <w:szCs w:val="24"/>
        </w:rPr>
        <w:t>its ‘commitment to the principle that debate on public issues should be uninhibited’</w:t>
      </w:r>
      <w:r w:rsidR="00787E7C" w:rsidRPr="00F5600D">
        <w:rPr>
          <w:rStyle w:val="FootnoteReference"/>
          <w:sz w:val="24"/>
          <w:szCs w:val="24"/>
        </w:rPr>
        <w:footnoteReference w:id="69"/>
      </w:r>
      <w:r w:rsidR="00787E7C" w:rsidRPr="00F5600D">
        <w:rPr>
          <w:sz w:val="24"/>
          <w:szCs w:val="24"/>
        </w:rPr>
        <w:t xml:space="preserve"> </w:t>
      </w:r>
      <w:r>
        <w:rPr>
          <w:sz w:val="24"/>
          <w:szCs w:val="24"/>
        </w:rPr>
        <w:t xml:space="preserve">on the ground that it was </w:t>
      </w:r>
      <w:r w:rsidR="00787E7C" w:rsidRPr="00F5600D">
        <w:rPr>
          <w:sz w:val="24"/>
          <w:szCs w:val="24"/>
        </w:rPr>
        <w:t>vital to the achievement of democratic accountability</w:t>
      </w:r>
      <w:r w:rsidR="000977A2">
        <w:rPr>
          <w:sz w:val="24"/>
          <w:szCs w:val="24"/>
        </w:rPr>
        <w:t>, a central constitutional value</w:t>
      </w:r>
      <w:r w:rsidR="002F7A18">
        <w:rPr>
          <w:sz w:val="24"/>
          <w:szCs w:val="24"/>
        </w:rPr>
        <w:t xml:space="preserve"> in the </w:t>
      </w:r>
      <w:r>
        <w:rPr>
          <w:sz w:val="24"/>
          <w:szCs w:val="24"/>
        </w:rPr>
        <w:t>United States</w:t>
      </w:r>
      <w:r w:rsidR="00787E7C" w:rsidRPr="00F5600D">
        <w:rPr>
          <w:sz w:val="24"/>
          <w:szCs w:val="24"/>
        </w:rPr>
        <w:t>.</w:t>
      </w:r>
      <w:r w:rsidR="00797C08">
        <w:rPr>
          <w:sz w:val="24"/>
          <w:szCs w:val="24"/>
        </w:rPr>
        <w:t xml:space="preserve"> </w:t>
      </w:r>
      <w:r w:rsidR="00931615">
        <w:rPr>
          <w:sz w:val="24"/>
          <w:szCs w:val="24"/>
        </w:rPr>
        <w:t xml:space="preserve">Our point here, we stress, is not that the First Amendment somehow dictated that precisely this rule had to be developed – plainly it made no such demand – but, rather, that the Supreme Court developed the law of defamation on account of the First Amendment. </w:t>
      </w:r>
    </w:p>
    <w:p w14:paraId="7191C9E3" w14:textId="60A17246" w:rsidR="00747D32" w:rsidRPr="00336642" w:rsidRDefault="00787E7C" w:rsidP="00F5600D">
      <w:pPr>
        <w:tabs>
          <w:tab w:val="left" w:pos="284"/>
        </w:tabs>
        <w:spacing w:after="0" w:line="240" w:lineRule="auto"/>
        <w:jc w:val="both"/>
        <w:rPr>
          <w:i/>
          <w:sz w:val="24"/>
          <w:szCs w:val="24"/>
        </w:rPr>
      </w:pPr>
      <w:r w:rsidRPr="00F5600D">
        <w:rPr>
          <w:sz w:val="24"/>
          <w:szCs w:val="24"/>
        </w:rPr>
        <w:tab/>
        <w:t>In the U</w:t>
      </w:r>
      <w:r w:rsidR="00E24267">
        <w:rPr>
          <w:sz w:val="24"/>
          <w:szCs w:val="24"/>
        </w:rPr>
        <w:t xml:space="preserve">nited </w:t>
      </w:r>
      <w:r w:rsidRPr="00F5600D">
        <w:rPr>
          <w:sz w:val="24"/>
          <w:szCs w:val="24"/>
        </w:rPr>
        <w:t>K</w:t>
      </w:r>
      <w:r w:rsidR="00E24267">
        <w:rPr>
          <w:sz w:val="24"/>
          <w:szCs w:val="24"/>
        </w:rPr>
        <w:t>ingdom</w:t>
      </w:r>
      <w:r w:rsidRPr="00F5600D">
        <w:rPr>
          <w:sz w:val="24"/>
          <w:szCs w:val="24"/>
        </w:rPr>
        <w:t>, against the background of the European Convention on Human Rights</w:t>
      </w:r>
      <w:r w:rsidR="00A678C0">
        <w:rPr>
          <w:sz w:val="24"/>
          <w:szCs w:val="24"/>
        </w:rPr>
        <w:t xml:space="preserve"> (ECHR)</w:t>
      </w:r>
      <w:r w:rsidRPr="00F5600D">
        <w:rPr>
          <w:sz w:val="24"/>
          <w:szCs w:val="24"/>
        </w:rPr>
        <w:t>, and in anticipation of the introduction of Human Rights Act 1998</w:t>
      </w:r>
      <w:r w:rsidR="00A678C0">
        <w:rPr>
          <w:sz w:val="24"/>
          <w:szCs w:val="24"/>
        </w:rPr>
        <w:t xml:space="preserve"> (UK)</w:t>
      </w:r>
      <w:r w:rsidRPr="00F5600D">
        <w:rPr>
          <w:sz w:val="24"/>
          <w:szCs w:val="24"/>
        </w:rPr>
        <w:t xml:space="preserve">, the House of Lords in </w:t>
      </w:r>
      <w:r w:rsidRPr="00F5600D">
        <w:rPr>
          <w:i/>
          <w:sz w:val="24"/>
          <w:szCs w:val="24"/>
        </w:rPr>
        <w:t>Reynolds v Times Newspapers Ltd</w:t>
      </w:r>
      <w:r w:rsidR="00875EB8" w:rsidRPr="00875EB8">
        <w:rPr>
          <w:rStyle w:val="FootnoteReference"/>
          <w:sz w:val="24"/>
          <w:szCs w:val="24"/>
        </w:rPr>
        <w:footnoteReference w:id="70"/>
      </w:r>
      <w:r w:rsidRPr="00F5600D">
        <w:rPr>
          <w:i/>
          <w:sz w:val="24"/>
          <w:szCs w:val="24"/>
        </w:rPr>
        <w:t xml:space="preserve"> </w:t>
      </w:r>
      <w:r w:rsidRPr="00F5600D">
        <w:rPr>
          <w:sz w:val="24"/>
          <w:szCs w:val="24"/>
        </w:rPr>
        <w:t xml:space="preserve">crafted a </w:t>
      </w:r>
      <w:r w:rsidR="00747D32">
        <w:rPr>
          <w:sz w:val="24"/>
          <w:szCs w:val="24"/>
        </w:rPr>
        <w:t>defence – which subsequently became known as the ‘</w:t>
      </w:r>
      <w:r w:rsidR="00747D32">
        <w:rPr>
          <w:i/>
          <w:sz w:val="24"/>
          <w:szCs w:val="24"/>
        </w:rPr>
        <w:t xml:space="preserve">Reynolds </w:t>
      </w:r>
      <w:r w:rsidR="00747D32">
        <w:rPr>
          <w:sz w:val="24"/>
          <w:szCs w:val="24"/>
        </w:rPr>
        <w:t xml:space="preserve">defence’ – </w:t>
      </w:r>
      <w:r w:rsidRPr="00F5600D">
        <w:rPr>
          <w:sz w:val="24"/>
          <w:szCs w:val="24"/>
        </w:rPr>
        <w:t xml:space="preserve">that would be available in respect of </w:t>
      </w:r>
      <w:r w:rsidR="007805E6">
        <w:rPr>
          <w:sz w:val="24"/>
          <w:szCs w:val="24"/>
        </w:rPr>
        <w:t>statement</w:t>
      </w:r>
      <w:r w:rsidR="00A678C0">
        <w:rPr>
          <w:sz w:val="24"/>
          <w:szCs w:val="24"/>
        </w:rPr>
        <w:t>s</w:t>
      </w:r>
      <w:r w:rsidR="007805E6">
        <w:rPr>
          <w:sz w:val="24"/>
          <w:szCs w:val="24"/>
        </w:rPr>
        <w:t xml:space="preserve"> </w:t>
      </w:r>
      <w:r w:rsidRPr="00F5600D">
        <w:rPr>
          <w:sz w:val="24"/>
          <w:szCs w:val="24"/>
        </w:rPr>
        <w:t xml:space="preserve">on matters of public interest so long as those </w:t>
      </w:r>
      <w:r w:rsidR="007805E6">
        <w:rPr>
          <w:sz w:val="24"/>
          <w:szCs w:val="24"/>
        </w:rPr>
        <w:t xml:space="preserve">statements </w:t>
      </w:r>
      <w:r w:rsidRPr="00F5600D">
        <w:rPr>
          <w:sz w:val="24"/>
          <w:szCs w:val="24"/>
        </w:rPr>
        <w:t>met the standard of responsible journalism.</w:t>
      </w:r>
      <w:r w:rsidR="00CD4CBE" w:rsidRPr="00F5600D">
        <w:rPr>
          <w:rStyle w:val="FootnoteReference"/>
          <w:sz w:val="24"/>
          <w:szCs w:val="24"/>
        </w:rPr>
        <w:footnoteReference w:id="71"/>
      </w:r>
      <w:r w:rsidRPr="00F5600D">
        <w:rPr>
          <w:sz w:val="24"/>
          <w:szCs w:val="24"/>
        </w:rPr>
        <w:t xml:space="preserve"> </w:t>
      </w:r>
      <w:r w:rsidR="0080266F">
        <w:rPr>
          <w:sz w:val="24"/>
          <w:szCs w:val="24"/>
        </w:rPr>
        <w:t xml:space="preserve">The </w:t>
      </w:r>
      <w:r w:rsidR="0080266F" w:rsidRPr="0080266F">
        <w:rPr>
          <w:i/>
          <w:sz w:val="24"/>
          <w:szCs w:val="24"/>
        </w:rPr>
        <w:t>Reynolds</w:t>
      </w:r>
      <w:r w:rsidR="0080266F">
        <w:rPr>
          <w:sz w:val="24"/>
          <w:szCs w:val="24"/>
        </w:rPr>
        <w:t xml:space="preserve"> defence was created </w:t>
      </w:r>
      <w:r w:rsidR="00ED4636">
        <w:rPr>
          <w:sz w:val="24"/>
          <w:szCs w:val="24"/>
        </w:rPr>
        <w:t xml:space="preserve">in order </w:t>
      </w:r>
      <w:r w:rsidRPr="00F5600D">
        <w:rPr>
          <w:sz w:val="24"/>
          <w:szCs w:val="24"/>
        </w:rPr>
        <w:t xml:space="preserve">to give greater weight </w:t>
      </w:r>
      <w:r w:rsidR="007805E6" w:rsidRPr="00F5600D">
        <w:rPr>
          <w:sz w:val="24"/>
          <w:szCs w:val="24"/>
        </w:rPr>
        <w:t xml:space="preserve">in English defamation law </w:t>
      </w:r>
      <w:r w:rsidRPr="00F5600D">
        <w:rPr>
          <w:sz w:val="24"/>
          <w:szCs w:val="24"/>
        </w:rPr>
        <w:t>to the right to freedom of expression</w:t>
      </w:r>
      <w:r w:rsidR="00747D32">
        <w:rPr>
          <w:sz w:val="24"/>
          <w:szCs w:val="24"/>
        </w:rPr>
        <w:t xml:space="preserve"> </w:t>
      </w:r>
      <w:r w:rsidR="0080266F">
        <w:rPr>
          <w:sz w:val="24"/>
          <w:szCs w:val="24"/>
        </w:rPr>
        <w:t xml:space="preserve">enshrined </w:t>
      </w:r>
      <w:r w:rsidR="00747D32">
        <w:rPr>
          <w:sz w:val="24"/>
          <w:szCs w:val="24"/>
        </w:rPr>
        <w:t>in article 10 of the ECHR</w:t>
      </w:r>
      <w:r w:rsidR="00E20A32">
        <w:rPr>
          <w:sz w:val="24"/>
          <w:szCs w:val="24"/>
        </w:rPr>
        <w:t xml:space="preserve">. </w:t>
      </w:r>
      <w:r w:rsidR="00747D32">
        <w:rPr>
          <w:sz w:val="24"/>
          <w:szCs w:val="24"/>
        </w:rPr>
        <w:t>J</w:t>
      </w:r>
      <w:r w:rsidR="00E20A32">
        <w:rPr>
          <w:sz w:val="24"/>
          <w:szCs w:val="24"/>
        </w:rPr>
        <w:t>udicial</w:t>
      </w:r>
      <w:r w:rsidRPr="00F5600D">
        <w:rPr>
          <w:sz w:val="24"/>
          <w:szCs w:val="24"/>
        </w:rPr>
        <w:t xml:space="preserve"> acknowledgement of the impact of </w:t>
      </w:r>
      <w:r w:rsidR="00A331AF">
        <w:rPr>
          <w:sz w:val="24"/>
          <w:szCs w:val="24"/>
        </w:rPr>
        <w:t xml:space="preserve">the ECHR </w:t>
      </w:r>
      <w:r w:rsidRPr="00F5600D">
        <w:rPr>
          <w:sz w:val="24"/>
          <w:szCs w:val="24"/>
        </w:rPr>
        <w:t xml:space="preserve">in this regard was supplied by Lord Phillips </w:t>
      </w:r>
      <w:r w:rsidR="0057298C">
        <w:rPr>
          <w:sz w:val="24"/>
          <w:szCs w:val="24"/>
        </w:rPr>
        <w:t xml:space="preserve">P </w:t>
      </w:r>
      <w:r w:rsidRPr="00F5600D">
        <w:rPr>
          <w:sz w:val="24"/>
          <w:szCs w:val="24"/>
        </w:rPr>
        <w:t xml:space="preserve">in </w:t>
      </w:r>
      <w:r w:rsidRPr="00F5600D">
        <w:rPr>
          <w:i/>
          <w:sz w:val="24"/>
          <w:szCs w:val="24"/>
        </w:rPr>
        <w:t xml:space="preserve">Flood v Times Newspapers </w:t>
      </w:r>
      <w:r w:rsidR="00A331AF">
        <w:rPr>
          <w:i/>
          <w:sz w:val="24"/>
          <w:szCs w:val="24"/>
        </w:rPr>
        <w:t>Ltd</w:t>
      </w:r>
      <w:r w:rsidR="00747D32">
        <w:rPr>
          <w:sz w:val="24"/>
          <w:szCs w:val="24"/>
        </w:rPr>
        <w:t>. His Lordship</w:t>
      </w:r>
      <w:r w:rsidR="00A331AF">
        <w:rPr>
          <w:i/>
          <w:sz w:val="24"/>
          <w:szCs w:val="24"/>
        </w:rPr>
        <w:t xml:space="preserve"> </w:t>
      </w:r>
      <w:r w:rsidR="007805E6">
        <w:rPr>
          <w:sz w:val="24"/>
          <w:szCs w:val="24"/>
        </w:rPr>
        <w:t xml:space="preserve">stated </w:t>
      </w:r>
      <w:r w:rsidRPr="00F5600D">
        <w:rPr>
          <w:sz w:val="24"/>
          <w:szCs w:val="24"/>
        </w:rPr>
        <w:t xml:space="preserve">that ‘British courts </w:t>
      </w:r>
      <w:r w:rsidR="00ED4636">
        <w:rPr>
          <w:sz w:val="24"/>
          <w:szCs w:val="24"/>
        </w:rPr>
        <w:t xml:space="preserve">… </w:t>
      </w:r>
      <w:r w:rsidRPr="00F5600D">
        <w:rPr>
          <w:sz w:val="24"/>
          <w:szCs w:val="24"/>
        </w:rPr>
        <w:t>developed the defence of public interest privilege under the influence of principles laid down in the European Court of Human Rights’.</w:t>
      </w:r>
      <w:r w:rsidR="00551651" w:rsidRPr="00F5600D">
        <w:rPr>
          <w:rStyle w:val="FootnoteReference"/>
          <w:sz w:val="24"/>
          <w:szCs w:val="24"/>
        </w:rPr>
        <w:footnoteReference w:id="72"/>
      </w:r>
      <w:r w:rsidR="00E57993">
        <w:rPr>
          <w:sz w:val="24"/>
          <w:szCs w:val="24"/>
        </w:rPr>
        <w:t xml:space="preserve"> </w:t>
      </w:r>
      <w:r w:rsidR="00AC33F5">
        <w:rPr>
          <w:sz w:val="24"/>
          <w:szCs w:val="24"/>
        </w:rPr>
        <w:t xml:space="preserve">It is important to note that the House of Lords in </w:t>
      </w:r>
      <w:r w:rsidR="00AC33F5">
        <w:rPr>
          <w:i/>
          <w:sz w:val="24"/>
          <w:szCs w:val="24"/>
        </w:rPr>
        <w:t xml:space="preserve">Reynolds </w:t>
      </w:r>
      <w:r w:rsidR="00AC33F5">
        <w:rPr>
          <w:sz w:val="24"/>
          <w:szCs w:val="24"/>
        </w:rPr>
        <w:t>developed English law different</w:t>
      </w:r>
      <w:r w:rsidR="00A27591">
        <w:rPr>
          <w:sz w:val="24"/>
          <w:szCs w:val="24"/>
        </w:rPr>
        <w:t>ly</w:t>
      </w:r>
      <w:r w:rsidR="00AC33F5">
        <w:rPr>
          <w:sz w:val="24"/>
          <w:szCs w:val="24"/>
        </w:rPr>
        <w:t xml:space="preserve"> from the way in which the Supreme Court in </w:t>
      </w:r>
      <w:r w:rsidR="00AC33F5">
        <w:rPr>
          <w:i/>
          <w:sz w:val="24"/>
          <w:szCs w:val="24"/>
        </w:rPr>
        <w:t xml:space="preserve">Sullivan </w:t>
      </w:r>
      <w:r w:rsidR="00AC33F5">
        <w:rPr>
          <w:sz w:val="24"/>
          <w:szCs w:val="24"/>
        </w:rPr>
        <w:t xml:space="preserve">changed the law of defamation in </w:t>
      </w:r>
      <w:r w:rsidR="00A27591">
        <w:rPr>
          <w:sz w:val="24"/>
          <w:szCs w:val="24"/>
        </w:rPr>
        <w:t xml:space="preserve">the United States. The difference in the legal solutions adopted </w:t>
      </w:r>
      <w:r w:rsidR="00A27591" w:rsidRPr="00F5600D">
        <w:rPr>
          <w:sz w:val="24"/>
          <w:szCs w:val="24"/>
        </w:rPr>
        <w:t xml:space="preserve">is </w:t>
      </w:r>
      <w:r w:rsidR="00A27591">
        <w:rPr>
          <w:sz w:val="24"/>
          <w:szCs w:val="24"/>
        </w:rPr>
        <w:t xml:space="preserve">partly attributable to </w:t>
      </w:r>
      <w:r w:rsidR="00A27591" w:rsidRPr="00F5600D">
        <w:rPr>
          <w:sz w:val="24"/>
          <w:szCs w:val="24"/>
        </w:rPr>
        <w:t xml:space="preserve">the fact that </w:t>
      </w:r>
      <w:r w:rsidR="00A27591">
        <w:rPr>
          <w:sz w:val="24"/>
          <w:szCs w:val="24"/>
        </w:rPr>
        <w:t>a</w:t>
      </w:r>
      <w:r w:rsidR="00A27591" w:rsidRPr="00F5600D">
        <w:rPr>
          <w:sz w:val="24"/>
          <w:szCs w:val="24"/>
        </w:rPr>
        <w:t xml:space="preserve">rticle 10 of the </w:t>
      </w:r>
      <w:r w:rsidR="00A27591">
        <w:rPr>
          <w:sz w:val="24"/>
          <w:szCs w:val="24"/>
        </w:rPr>
        <w:t xml:space="preserve">ECHR grants a much </w:t>
      </w:r>
      <w:r w:rsidR="00A27591" w:rsidRPr="00ED4636">
        <w:rPr>
          <w:sz w:val="24"/>
          <w:szCs w:val="24"/>
        </w:rPr>
        <w:t>more qualified right to freedom of expression than exists in the United States.</w:t>
      </w:r>
      <w:bookmarkStart w:id="14" w:name="_Ref409285938"/>
      <w:r w:rsidR="00A27591" w:rsidRPr="00ED4636">
        <w:rPr>
          <w:rStyle w:val="FootnoteReference"/>
          <w:sz w:val="24"/>
          <w:szCs w:val="24"/>
        </w:rPr>
        <w:footnoteReference w:id="73"/>
      </w:r>
      <w:bookmarkEnd w:id="14"/>
      <w:r w:rsidR="00336642" w:rsidRPr="00ED4636">
        <w:rPr>
          <w:sz w:val="24"/>
          <w:szCs w:val="24"/>
        </w:rPr>
        <w:t xml:space="preserve"> Sedley LJ captured the difference in this way:</w:t>
      </w:r>
      <w:r w:rsidR="00ED4636" w:rsidRPr="00ED4636">
        <w:rPr>
          <w:sz w:val="24"/>
          <w:szCs w:val="24"/>
        </w:rPr>
        <w:t xml:space="preserve"> ‘</w:t>
      </w:r>
      <w:r w:rsidR="00336642" w:rsidRPr="00ED4636">
        <w:rPr>
          <w:sz w:val="24"/>
          <w:szCs w:val="24"/>
        </w:rPr>
        <w:t xml:space="preserve">Where rights to reputation and privacy have wilted somewhat in the bright light of First Amendment jurisprudence, the English common law, now reinforced by the </w:t>
      </w:r>
      <w:r w:rsidR="00ED4636" w:rsidRPr="00ED4636">
        <w:rPr>
          <w:sz w:val="24"/>
          <w:szCs w:val="24"/>
        </w:rPr>
        <w:t>[ECHR]</w:t>
      </w:r>
      <w:r w:rsidR="00336642" w:rsidRPr="00ED4636">
        <w:rPr>
          <w:sz w:val="24"/>
          <w:szCs w:val="24"/>
        </w:rPr>
        <w:t>, seeks to hold the two in a sometimes difficult balance, calibrated by the concept of responsible journalism.</w:t>
      </w:r>
      <w:r w:rsidR="00ED4636" w:rsidRPr="00ED4636">
        <w:rPr>
          <w:sz w:val="24"/>
          <w:szCs w:val="24"/>
        </w:rPr>
        <w:t>’</w:t>
      </w:r>
      <w:r w:rsidR="00ED4636" w:rsidRPr="00ED4636">
        <w:rPr>
          <w:rStyle w:val="FootnoteReference"/>
          <w:sz w:val="24"/>
          <w:szCs w:val="24"/>
        </w:rPr>
        <w:footnoteReference w:id="74"/>
      </w:r>
      <w:r w:rsidR="00ED4636">
        <w:rPr>
          <w:sz w:val="24"/>
          <w:szCs w:val="24"/>
        </w:rPr>
        <w:t xml:space="preserve"> It is important to note that s</w:t>
      </w:r>
      <w:r w:rsidR="00336642">
        <w:rPr>
          <w:sz w:val="24"/>
          <w:szCs w:val="24"/>
        </w:rPr>
        <w:t xml:space="preserve">ection 4 of the Defamation Act 2013 (UK) abolished the </w:t>
      </w:r>
      <w:r w:rsidR="00336642">
        <w:rPr>
          <w:i/>
          <w:sz w:val="24"/>
          <w:szCs w:val="24"/>
        </w:rPr>
        <w:t xml:space="preserve">Reynolds </w:t>
      </w:r>
      <w:r w:rsidR="00336642">
        <w:rPr>
          <w:sz w:val="24"/>
          <w:szCs w:val="24"/>
        </w:rPr>
        <w:t xml:space="preserve">defence and installed a new ‘public interest’ defence in its place. However, this new defence seems to be identical to the </w:t>
      </w:r>
      <w:r w:rsidR="00336642" w:rsidRPr="00336642">
        <w:rPr>
          <w:i/>
          <w:sz w:val="24"/>
          <w:szCs w:val="24"/>
        </w:rPr>
        <w:t>Reynolds</w:t>
      </w:r>
      <w:r w:rsidR="00336642">
        <w:rPr>
          <w:sz w:val="24"/>
          <w:szCs w:val="24"/>
        </w:rPr>
        <w:t xml:space="preserve"> </w:t>
      </w:r>
      <w:r w:rsidR="00336642" w:rsidRPr="00336642">
        <w:rPr>
          <w:sz w:val="24"/>
          <w:szCs w:val="24"/>
        </w:rPr>
        <w:t>defe</w:t>
      </w:r>
      <w:r w:rsidR="00336642">
        <w:rPr>
          <w:sz w:val="24"/>
          <w:szCs w:val="24"/>
        </w:rPr>
        <w:t xml:space="preserve">nce. The Explanatory Notes to the Act stated that the public interest defence </w:t>
      </w:r>
      <w:r w:rsidRPr="00F5600D">
        <w:rPr>
          <w:sz w:val="24"/>
          <w:szCs w:val="24"/>
        </w:rPr>
        <w:t xml:space="preserve">is ‘based on the existing common law defence established in </w:t>
      </w:r>
      <w:r w:rsidRPr="00F5600D">
        <w:rPr>
          <w:i/>
          <w:sz w:val="24"/>
          <w:szCs w:val="24"/>
        </w:rPr>
        <w:t>Reynolds</w:t>
      </w:r>
      <w:r w:rsidRPr="00F5600D">
        <w:rPr>
          <w:sz w:val="24"/>
          <w:szCs w:val="24"/>
        </w:rPr>
        <w:t>’.</w:t>
      </w:r>
      <w:r w:rsidR="008D16CE" w:rsidRPr="00F5600D">
        <w:rPr>
          <w:rStyle w:val="FootnoteReference"/>
          <w:sz w:val="24"/>
          <w:szCs w:val="24"/>
        </w:rPr>
        <w:footnoteReference w:id="75"/>
      </w:r>
      <w:r w:rsidR="008D16CE">
        <w:rPr>
          <w:sz w:val="24"/>
          <w:szCs w:val="24"/>
        </w:rPr>
        <w:t xml:space="preserve"> </w:t>
      </w:r>
      <w:r w:rsidR="00336642">
        <w:rPr>
          <w:sz w:val="24"/>
          <w:szCs w:val="24"/>
        </w:rPr>
        <w:t xml:space="preserve">This understanding is reinforced by an examination of the </w:t>
      </w:r>
      <w:r w:rsidR="008D16CE">
        <w:rPr>
          <w:sz w:val="24"/>
          <w:szCs w:val="24"/>
        </w:rPr>
        <w:t>Parliamentary debates</w:t>
      </w:r>
      <w:r w:rsidR="00ED4636">
        <w:rPr>
          <w:sz w:val="24"/>
          <w:szCs w:val="24"/>
        </w:rPr>
        <w:t>.</w:t>
      </w:r>
      <w:r w:rsidR="008D16CE" w:rsidRPr="00F5600D">
        <w:rPr>
          <w:rStyle w:val="FootnoteReference"/>
          <w:sz w:val="24"/>
          <w:szCs w:val="24"/>
        </w:rPr>
        <w:footnoteReference w:id="76"/>
      </w:r>
      <w:r w:rsidR="00336642">
        <w:rPr>
          <w:sz w:val="24"/>
          <w:szCs w:val="24"/>
        </w:rPr>
        <w:t xml:space="preserve"> </w:t>
      </w:r>
      <w:r w:rsidR="00ED4636">
        <w:rPr>
          <w:sz w:val="24"/>
          <w:szCs w:val="24"/>
        </w:rPr>
        <w:t xml:space="preserve">It is also </w:t>
      </w:r>
      <w:r w:rsidR="00336642">
        <w:rPr>
          <w:sz w:val="24"/>
          <w:szCs w:val="24"/>
        </w:rPr>
        <w:t>shared by other writers.</w:t>
      </w:r>
      <w:r w:rsidR="00336642">
        <w:rPr>
          <w:rStyle w:val="FootnoteReference"/>
          <w:sz w:val="24"/>
          <w:szCs w:val="24"/>
        </w:rPr>
        <w:footnoteReference w:id="77"/>
      </w:r>
    </w:p>
    <w:p w14:paraId="2BC11697" w14:textId="52A9E93E" w:rsidR="00787E7C" w:rsidRPr="00155CBA" w:rsidRDefault="00D64E60" w:rsidP="008C36F7">
      <w:pPr>
        <w:tabs>
          <w:tab w:val="left" w:pos="284"/>
        </w:tabs>
        <w:spacing w:after="0" w:line="240" w:lineRule="auto"/>
        <w:jc w:val="both"/>
        <w:rPr>
          <w:i/>
          <w:sz w:val="24"/>
          <w:szCs w:val="24"/>
          <w:u w:val="single"/>
        </w:rPr>
      </w:pPr>
      <w:r>
        <w:rPr>
          <w:sz w:val="24"/>
          <w:szCs w:val="24"/>
        </w:rPr>
        <w:tab/>
      </w:r>
      <w:r w:rsidR="00787E7C" w:rsidRPr="00F5600D">
        <w:rPr>
          <w:sz w:val="24"/>
          <w:szCs w:val="24"/>
        </w:rPr>
        <w:t xml:space="preserve">The law of defamation </w:t>
      </w:r>
      <w:r w:rsidR="00AC2FAA">
        <w:rPr>
          <w:sz w:val="24"/>
          <w:szCs w:val="24"/>
        </w:rPr>
        <w:t xml:space="preserve">elsewhere </w:t>
      </w:r>
      <w:r w:rsidR="00787E7C" w:rsidRPr="00F5600D">
        <w:rPr>
          <w:sz w:val="24"/>
          <w:szCs w:val="24"/>
        </w:rPr>
        <w:t xml:space="preserve">has </w:t>
      </w:r>
      <w:r w:rsidR="001D250C">
        <w:rPr>
          <w:sz w:val="24"/>
          <w:szCs w:val="24"/>
        </w:rPr>
        <w:t xml:space="preserve">also </w:t>
      </w:r>
      <w:r w:rsidR="00A27591">
        <w:rPr>
          <w:sz w:val="24"/>
          <w:szCs w:val="24"/>
        </w:rPr>
        <w:t xml:space="preserve">been developed in unique ways </w:t>
      </w:r>
      <w:r>
        <w:rPr>
          <w:sz w:val="24"/>
          <w:szCs w:val="24"/>
        </w:rPr>
        <w:t xml:space="preserve">due to </w:t>
      </w:r>
      <w:r w:rsidR="007C1AC0">
        <w:rPr>
          <w:sz w:val="24"/>
          <w:szCs w:val="24"/>
        </w:rPr>
        <w:t xml:space="preserve">constitutional </w:t>
      </w:r>
      <w:r w:rsidR="00787E7C" w:rsidRPr="00F5600D">
        <w:rPr>
          <w:sz w:val="24"/>
          <w:szCs w:val="24"/>
        </w:rPr>
        <w:t>influences.</w:t>
      </w:r>
      <w:r w:rsidR="00797C08">
        <w:rPr>
          <w:sz w:val="24"/>
          <w:szCs w:val="24"/>
        </w:rPr>
        <w:t xml:space="preserve"> </w:t>
      </w:r>
      <w:r>
        <w:rPr>
          <w:sz w:val="24"/>
          <w:szCs w:val="24"/>
        </w:rPr>
        <w:t>T</w:t>
      </w:r>
      <w:r w:rsidR="00787E7C" w:rsidRPr="00F5600D">
        <w:rPr>
          <w:sz w:val="24"/>
          <w:szCs w:val="24"/>
        </w:rPr>
        <w:t xml:space="preserve">he </w:t>
      </w:r>
      <w:r w:rsidR="00A27591">
        <w:rPr>
          <w:sz w:val="24"/>
          <w:szCs w:val="24"/>
        </w:rPr>
        <w:t xml:space="preserve">High Court </w:t>
      </w:r>
      <w:r>
        <w:rPr>
          <w:sz w:val="24"/>
          <w:szCs w:val="24"/>
        </w:rPr>
        <w:t xml:space="preserve">of Australia </w:t>
      </w:r>
      <w:r w:rsidR="00A27591" w:rsidRPr="00F5600D">
        <w:rPr>
          <w:sz w:val="24"/>
          <w:szCs w:val="24"/>
        </w:rPr>
        <w:t xml:space="preserve">in </w:t>
      </w:r>
      <w:r w:rsidR="00A27591" w:rsidRPr="00F5600D">
        <w:rPr>
          <w:i/>
          <w:sz w:val="24"/>
          <w:szCs w:val="24"/>
        </w:rPr>
        <w:t>Lange v Australian Broadcasting Corporation</w:t>
      </w:r>
      <w:r w:rsidR="00A27591" w:rsidRPr="00F5600D">
        <w:rPr>
          <w:rStyle w:val="FootnoteReference"/>
          <w:sz w:val="24"/>
          <w:szCs w:val="24"/>
        </w:rPr>
        <w:footnoteReference w:id="78"/>
      </w:r>
      <w:r w:rsidR="00A27591">
        <w:rPr>
          <w:i/>
          <w:sz w:val="24"/>
          <w:szCs w:val="24"/>
        </w:rPr>
        <w:t xml:space="preserve"> </w:t>
      </w:r>
      <w:r w:rsidR="00787E7C" w:rsidRPr="00F5600D">
        <w:rPr>
          <w:sz w:val="24"/>
          <w:szCs w:val="24"/>
        </w:rPr>
        <w:t xml:space="preserve">recognised an implied </w:t>
      </w:r>
      <w:r w:rsidR="007C1AC0">
        <w:rPr>
          <w:sz w:val="24"/>
          <w:szCs w:val="24"/>
        </w:rPr>
        <w:t xml:space="preserve">freedom </w:t>
      </w:r>
      <w:r w:rsidR="00787E7C" w:rsidRPr="00F5600D">
        <w:rPr>
          <w:sz w:val="24"/>
          <w:szCs w:val="24"/>
        </w:rPr>
        <w:t xml:space="preserve">of political communication derived from aspects of the </w:t>
      </w:r>
      <w:r w:rsidR="003E5CF4">
        <w:rPr>
          <w:sz w:val="24"/>
          <w:szCs w:val="24"/>
        </w:rPr>
        <w:t xml:space="preserve">Federal </w:t>
      </w:r>
      <w:r w:rsidR="00787E7C" w:rsidRPr="00F5600D">
        <w:rPr>
          <w:sz w:val="24"/>
          <w:szCs w:val="24"/>
        </w:rPr>
        <w:t>Constitution providing for a system of representative democracy. According to the High Court</w:t>
      </w:r>
      <w:r w:rsidR="00B575D7">
        <w:rPr>
          <w:sz w:val="24"/>
          <w:szCs w:val="24"/>
        </w:rPr>
        <w:t>,</w:t>
      </w:r>
      <w:r w:rsidR="00787E7C" w:rsidRPr="00F5600D">
        <w:rPr>
          <w:sz w:val="24"/>
          <w:szCs w:val="24"/>
        </w:rPr>
        <w:t xml:space="preserve"> this implied </w:t>
      </w:r>
      <w:r w:rsidR="00E36536">
        <w:rPr>
          <w:sz w:val="24"/>
          <w:szCs w:val="24"/>
        </w:rPr>
        <w:t xml:space="preserve">freedom </w:t>
      </w:r>
      <w:r w:rsidR="00787E7C" w:rsidRPr="00F5600D">
        <w:rPr>
          <w:sz w:val="24"/>
          <w:szCs w:val="24"/>
        </w:rPr>
        <w:t xml:space="preserve">required </w:t>
      </w:r>
      <w:r w:rsidR="00155CBA">
        <w:rPr>
          <w:sz w:val="24"/>
          <w:szCs w:val="24"/>
        </w:rPr>
        <w:t xml:space="preserve">the defence of qualified privilege </w:t>
      </w:r>
      <w:r w:rsidR="00155CBA">
        <w:rPr>
          <w:sz w:val="24"/>
          <w:szCs w:val="24"/>
        </w:rPr>
        <w:lastRenderedPageBreak/>
        <w:t xml:space="preserve">to be extended to cover defamatory statements concerning ‘government and political matters’. The extended privilege – the </w:t>
      </w:r>
      <w:r w:rsidR="00155CBA">
        <w:rPr>
          <w:i/>
          <w:sz w:val="24"/>
          <w:szCs w:val="24"/>
        </w:rPr>
        <w:t xml:space="preserve">Lange </w:t>
      </w:r>
      <w:r w:rsidR="00155CBA">
        <w:rPr>
          <w:sz w:val="24"/>
          <w:szCs w:val="24"/>
        </w:rPr>
        <w:t xml:space="preserve">privilege – is conditional upon the publisher of the statement having acted reasonably in publishing the statement.   </w:t>
      </w:r>
      <w:r w:rsidR="00ED4636">
        <w:rPr>
          <w:sz w:val="24"/>
          <w:szCs w:val="24"/>
        </w:rPr>
        <w:t xml:space="preserve">The key difference between the </w:t>
      </w:r>
      <w:r w:rsidR="00ED4636">
        <w:rPr>
          <w:i/>
          <w:sz w:val="24"/>
          <w:szCs w:val="24"/>
        </w:rPr>
        <w:t xml:space="preserve">Lange </w:t>
      </w:r>
      <w:r w:rsidR="00ED4636">
        <w:rPr>
          <w:sz w:val="24"/>
          <w:szCs w:val="24"/>
        </w:rPr>
        <w:t xml:space="preserve">privilege and the </w:t>
      </w:r>
      <w:r w:rsidR="00ED4636">
        <w:rPr>
          <w:i/>
          <w:sz w:val="24"/>
          <w:szCs w:val="24"/>
        </w:rPr>
        <w:t xml:space="preserve">Reynolds </w:t>
      </w:r>
      <w:r w:rsidR="00ED4636">
        <w:rPr>
          <w:sz w:val="24"/>
          <w:szCs w:val="24"/>
        </w:rPr>
        <w:t xml:space="preserve">defence is that the former is limited </w:t>
      </w:r>
      <w:r w:rsidR="00155CBA">
        <w:rPr>
          <w:sz w:val="24"/>
          <w:szCs w:val="24"/>
        </w:rPr>
        <w:t xml:space="preserve">to political statements whereas the latter is not. </w:t>
      </w:r>
      <w:r w:rsidR="00282B79">
        <w:rPr>
          <w:sz w:val="24"/>
          <w:szCs w:val="24"/>
        </w:rPr>
        <w:t xml:space="preserve">This difference </w:t>
      </w:r>
      <w:r w:rsidR="00787E7C" w:rsidRPr="00F5600D">
        <w:rPr>
          <w:sz w:val="24"/>
          <w:szCs w:val="24"/>
        </w:rPr>
        <w:t xml:space="preserve">can be explained </w:t>
      </w:r>
      <w:r w:rsidR="00AA778D">
        <w:rPr>
          <w:sz w:val="24"/>
          <w:szCs w:val="24"/>
        </w:rPr>
        <w:t xml:space="preserve">in part </w:t>
      </w:r>
      <w:r w:rsidR="00787E7C" w:rsidRPr="00F5600D">
        <w:rPr>
          <w:sz w:val="24"/>
          <w:szCs w:val="24"/>
        </w:rPr>
        <w:t xml:space="preserve">by reference to different influences at play in each jurisdiction. Freedom of political communication is an implied </w:t>
      </w:r>
      <w:r w:rsidR="008935E3">
        <w:rPr>
          <w:sz w:val="24"/>
          <w:szCs w:val="24"/>
        </w:rPr>
        <w:t xml:space="preserve">constitutional </w:t>
      </w:r>
      <w:r w:rsidR="00787E7C" w:rsidRPr="00F5600D">
        <w:rPr>
          <w:sz w:val="24"/>
          <w:szCs w:val="24"/>
        </w:rPr>
        <w:t xml:space="preserve">right </w:t>
      </w:r>
      <w:r w:rsidR="008935E3">
        <w:rPr>
          <w:sz w:val="24"/>
          <w:szCs w:val="24"/>
        </w:rPr>
        <w:t>in Australia</w:t>
      </w:r>
      <w:r w:rsidR="00787E7C" w:rsidRPr="00F5600D">
        <w:rPr>
          <w:sz w:val="24"/>
          <w:szCs w:val="24"/>
        </w:rPr>
        <w:t xml:space="preserve">. There is no equivalent to </w:t>
      </w:r>
      <w:r w:rsidR="00B575D7">
        <w:rPr>
          <w:sz w:val="24"/>
          <w:szCs w:val="24"/>
        </w:rPr>
        <w:t>article </w:t>
      </w:r>
      <w:r w:rsidR="00787E7C" w:rsidRPr="00F5600D">
        <w:rPr>
          <w:sz w:val="24"/>
          <w:szCs w:val="24"/>
        </w:rPr>
        <w:t xml:space="preserve">10 </w:t>
      </w:r>
      <w:r w:rsidR="008935E3">
        <w:rPr>
          <w:sz w:val="24"/>
          <w:szCs w:val="24"/>
        </w:rPr>
        <w:t xml:space="preserve">of the </w:t>
      </w:r>
      <w:r w:rsidR="00787E7C" w:rsidRPr="00F5600D">
        <w:rPr>
          <w:sz w:val="24"/>
          <w:szCs w:val="24"/>
        </w:rPr>
        <w:t>ECHR (</w:t>
      </w:r>
      <w:r w:rsidR="00B575D7">
        <w:rPr>
          <w:sz w:val="24"/>
          <w:szCs w:val="24"/>
        </w:rPr>
        <w:t xml:space="preserve">recognising </w:t>
      </w:r>
      <w:r w:rsidR="00787E7C" w:rsidRPr="00F5600D">
        <w:rPr>
          <w:sz w:val="24"/>
          <w:szCs w:val="24"/>
        </w:rPr>
        <w:t xml:space="preserve">a more general right to freedom of speech) which, as noted earlier, underscores the </w:t>
      </w:r>
      <w:r w:rsidR="008C36F7">
        <w:rPr>
          <w:i/>
          <w:sz w:val="24"/>
          <w:szCs w:val="24"/>
        </w:rPr>
        <w:t xml:space="preserve">Reynolds </w:t>
      </w:r>
      <w:r w:rsidR="008C36F7">
        <w:rPr>
          <w:sz w:val="24"/>
          <w:szCs w:val="24"/>
        </w:rPr>
        <w:t>defence.</w:t>
      </w:r>
      <w:r w:rsidR="00787E7C" w:rsidRPr="00F5600D">
        <w:rPr>
          <w:sz w:val="24"/>
          <w:szCs w:val="24"/>
        </w:rPr>
        <w:t xml:space="preserve"> </w:t>
      </w:r>
    </w:p>
    <w:p w14:paraId="298C65D0" w14:textId="596516C6" w:rsidR="00787E7C" w:rsidRPr="00F5600D" w:rsidRDefault="00787E7C" w:rsidP="00F5600D">
      <w:pPr>
        <w:tabs>
          <w:tab w:val="left" w:pos="284"/>
        </w:tabs>
        <w:spacing w:after="0" w:line="240" w:lineRule="auto"/>
        <w:jc w:val="both"/>
        <w:rPr>
          <w:sz w:val="24"/>
          <w:szCs w:val="24"/>
        </w:rPr>
      </w:pPr>
      <w:r w:rsidRPr="00F5600D">
        <w:rPr>
          <w:sz w:val="24"/>
          <w:szCs w:val="24"/>
        </w:rPr>
        <w:tab/>
        <w:t xml:space="preserve">Different, again, </w:t>
      </w:r>
      <w:r w:rsidR="008935E3">
        <w:rPr>
          <w:sz w:val="24"/>
          <w:szCs w:val="24"/>
        </w:rPr>
        <w:t xml:space="preserve">are the relevant developments in </w:t>
      </w:r>
      <w:r w:rsidRPr="00F5600D">
        <w:rPr>
          <w:sz w:val="24"/>
          <w:szCs w:val="24"/>
        </w:rPr>
        <w:t xml:space="preserve">New Zealand. In the leading case of </w:t>
      </w:r>
      <w:r w:rsidRPr="00F5600D">
        <w:rPr>
          <w:i/>
          <w:sz w:val="24"/>
          <w:szCs w:val="24"/>
        </w:rPr>
        <w:t>Lange v Atkinson</w:t>
      </w:r>
      <w:r w:rsidRPr="00F5600D">
        <w:rPr>
          <w:sz w:val="24"/>
          <w:szCs w:val="24"/>
        </w:rPr>
        <w:t xml:space="preserve"> the New Zealand Court of Appeal crafted a narrow defence confined to ‘statements which directly</w:t>
      </w:r>
      <w:r w:rsidR="001B6193">
        <w:rPr>
          <w:sz w:val="24"/>
          <w:szCs w:val="24"/>
        </w:rPr>
        <w:t xml:space="preserve"> concern </w:t>
      </w:r>
      <w:r w:rsidRPr="00F5600D">
        <w:rPr>
          <w:sz w:val="24"/>
          <w:szCs w:val="24"/>
        </w:rPr>
        <w:t>the functioning of representative and responsible government’.</w:t>
      </w:r>
      <w:r w:rsidRPr="00F5600D">
        <w:rPr>
          <w:rStyle w:val="FootnoteReference"/>
          <w:sz w:val="24"/>
          <w:szCs w:val="24"/>
        </w:rPr>
        <w:footnoteReference w:id="79"/>
      </w:r>
      <w:r w:rsidRPr="00F5600D">
        <w:rPr>
          <w:sz w:val="24"/>
          <w:szCs w:val="24"/>
        </w:rPr>
        <w:t xml:space="preserve"> Ostensibly, </w:t>
      </w:r>
      <w:r w:rsidR="008935E3">
        <w:rPr>
          <w:sz w:val="24"/>
          <w:szCs w:val="24"/>
        </w:rPr>
        <w:t xml:space="preserve">this defence </w:t>
      </w:r>
      <w:r w:rsidRPr="00F5600D">
        <w:rPr>
          <w:sz w:val="24"/>
          <w:szCs w:val="24"/>
        </w:rPr>
        <w:t xml:space="preserve">bears some similarity to the </w:t>
      </w:r>
      <w:r w:rsidR="00773744">
        <w:rPr>
          <w:i/>
          <w:sz w:val="24"/>
          <w:szCs w:val="24"/>
        </w:rPr>
        <w:t xml:space="preserve">Lange </w:t>
      </w:r>
      <w:r w:rsidR="00773744">
        <w:rPr>
          <w:sz w:val="24"/>
          <w:szCs w:val="24"/>
        </w:rPr>
        <w:t xml:space="preserve">privilege </w:t>
      </w:r>
      <w:r w:rsidRPr="00F5600D">
        <w:rPr>
          <w:sz w:val="24"/>
          <w:szCs w:val="24"/>
        </w:rPr>
        <w:t>in Australia.</w:t>
      </w:r>
      <w:r w:rsidR="00797C08">
        <w:rPr>
          <w:sz w:val="24"/>
          <w:szCs w:val="24"/>
        </w:rPr>
        <w:t xml:space="preserve"> </w:t>
      </w:r>
      <w:r w:rsidRPr="00F5600D">
        <w:rPr>
          <w:sz w:val="24"/>
          <w:szCs w:val="24"/>
        </w:rPr>
        <w:t>However, there is an important difference between the two defences</w:t>
      </w:r>
      <w:r w:rsidR="00773744">
        <w:rPr>
          <w:sz w:val="24"/>
          <w:szCs w:val="24"/>
        </w:rPr>
        <w:t>,</w:t>
      </w:r>
      <w:r w:rsidRPr="00F5600D">
        <w:rPr>
          <w:sz w:val="24"/>
          <w:szCs w:val="24"/>
        </w:rPr>
        <w:t xml:space="preserve"> for New Zealand Court of Appeal declined to follow the Australian lead of qualifying the defence with a </w:t>
      </w:r>
      <w:r w:rsidR="00773744">
        <w:rPr>
          <w:sz w:val="24"/>
          <w:szCs w:val="24"/>
        </w:rPr>
        <w:t xml:space="preserve">reasonableness </w:t>
      </w:r>
      <w:r w:rsidRPr="00F5600D">
        <w:rPr>
          <w:sz w:val="24"/>
          <w:szCs w:val="24"/>
        </w:rPr>
        <w:t xml:space="preserve">requirement. </w:t>
      </w:r>
      <w:r w:rsidR="008935E3">
        <w:rPr>
          <w:sz w:val="24"/>
          <w:szCs w:val="24"/>
        </w:rPr>
        <w:t>The case went to the Privy Council</w:t>
      </w:r>
      <w:r w:rsidR="00282B79">
        <w:rPr>
          <w:sz w:val="24"/>
          <w:szCs w:val="24"/>
        </w:rPr>
        <w:t>.</w:t>
      </w:r>
      <w:r w:rsidR="00AC2FAA">
        <w:rPr>
          <w:rStyle w:val="FootnoteReference"/>
          <w:sz w:val="24"/>
          <w:szCs w:val="24"/>
        </w:rPr>
        <w:footnoteReference w:id="80"/>
      </w:r>
      <w:r w:rsidR="008935E3">
        <w:rPr>
          <w:sz w:val="24"/>
          <w:szCs w:val="24"/>
        </w:rPr>
        <w:t xml:space="preserve"> </w:t>
      </w:r>
      <w:r w:rsidR="00282B79">
        <w:rPr>
          <w:sz w:val="24"/>
          <w:szCs w:val="24"/>
        </w:rPr>
        <w:t>T</w:t>
      </w:r>
      <w:r w:rsidR="008935E3">
        <w:rPr>
          <w:sz w:val="24"/>
          <w:szCs w:val="24"/>
        </w:rPr>
        <w:t xml:space="preserve">he Judicial Committee </w:t>
      </w:r>
      <w:r w:rsidR="00282B79">
        <w:rPr>
          <w:sz w:val="24"/>
          <w:szCs w:val="24"/>
        </w:rPr>
        <w:t>remitted the matter to the Court of Appeal for a further hearing and invited the Court to reconsider it</w:t>
      </w:r>
      <w:r w:rsidR="00773744">
        <w:rPr>
          <w:sz w:val="24"/>
          <w:szCs w:val="24"/>
        </w:rPr>
        <w:t>s first decision</w:t>
      </w:r>
      <w:r w:rsidR="00282B79">
        <w:rPr>
          <w:sz w:val="24"/>
          <w:szCs w:val="24"/>
        </w:rPr>
        <w:t xml:space="preserve"> in light of </w:t>
      </w:r>
      <w:r w:rsidRPr="00F5600D">
        <w:rPr>
          <w:i/>
          <w:sz w:val="24"/>
          <w:szCs w:val="24"/>
        </w:rPr>
        <w:t xml:space="preserve">Reynolds. </w:t>
      </w:r>
      <w:r w:rsidR="00773744">
        <w:rPr>
          <w:sz w:val="24"/>
          <w:szCs w:val="24"/>
        </w:rPr>
        <w:t>However, t</w:t>
      </w:r>
      <w:r w:rsidR="00282B79">
        <w:rPr>
          <w:sz w:val="24"/>
          <w:szCs w:val="24"/>
        </w:rPr>
        <w:t>he Court declined to depart from its earlier statement of the law.</w:t>
      </w:r>
      <w:r w:rsidR="00282B79">
        <w:rPr>
          <w:rStyle w:val="FootnoteReference"/>
          <w:sz w:val="24"/>
          <w:szCs w:val="24"/>
        </w:rPr>
        <w:footnoteReference w:id="81"/>
      </w:r>
      <w:r w:rsidR="00282B79">
        <w:rPr>
          <w:sz w:val="24"/>
          <w:szCs w:val="24"/>
        </w:rPr>
        <w:t xml:space="preserve"> Anthony Lester described the second decision of the Court of Appeal as follows</w:t>
      </w:r>
      <w:r w:rsidR="008935E3">
        <w:rPr>
          <w:sz w:val="24"/>
          <w:szCs w:val="24"/>
        </w:rPr>
        <w:t>:</w:t>
      </w:r>
      <w:r w:rsidRPr="00F5600D">
        <w:rPr>
          <w:rStyle w:val="FootnoteReference"/>
          <w:sz w:val="24"/>
          <w:szCs w:val="24"/>
        </w:rPr>
        <w:footnoteReference w:id="82"/>
      </w:r>
    </w:p>
    <w:p w14:paraId="0A2AB6EE" w14:textId="77777777" w:rsidR="00787E7C" w:rsidRPr="00F5600D" w:rsidRDefault="00787E7C" w:rsidP="00F5600D">
      <w:pPr>
        <w:tabs>
          <w:tab w:val="left" w:pos="284"/>
        </w:tabs>
        <w:spacing w:after="0" w:line="240" w:lineRule="auto"/>
        <w:jc w:val="both"/>
        <w:rPr>
          <w:sz w:val="24"/>
          <w:szCs w:val="24"/>
        </w:rPr>
      </w:pPr>
    </w:p>
    <w:p w14:paraId="23B87E30" w14:textId="77777777" w:rsidR="00787E7C" w:rsidRPr="00C46926" w:rsidRDefault="00787E7C" w:rsidP="00F5600D">
      <w:pPr>
        <w:tabs>
          <w:tab w:val="left" w:pos="284"/>
        </w:tabs>
        <w:spacing w:after="0" w:line="240" w:lineRule="auto"/>
        <w:ind w:left="284"/>
        <w:jc w:val="both"/>
        <w:rPr>
          <w:sz w:val="22"/>
          <w:szCs w:val="22"/>
        </w:rPr>
      </w:pPr>
      <w:r w:rsidRPr="00C46926">
        <w:rPr>
          <w:sz w:val="22"/>
          <w:szCs w:val="22"/>
        </w:rPr>
        <w:t>[It] found the constitutional air of New Zealand too pure to be contaminated by uncertain English common law restrictions on political expression … When diplomatically explaining its reasons for departing from the English law, the Court of Appeal referred to differences between the New Zealand and the United Kingdom constitutional structures</w:t>
      </w:r>
      <w:r w:rsidRPr="00C46926">
        <w:rPr>
          <w:i/>
          <w:iCs/>
          <w:sz w:val="22"/>
          <w:szCs w:val="22"/>
        </w:rPr>
        <w:t>.</w:t>
      </w:r>
    </w:p>
    <w:p w14:paraId="77CDB3FA" w14:textId="77777777" w:rsidR="00787E7C" w:rsidRDefault="00787E7C" w:rsidP="00F5600D">
      <w:pPr>
        <w:tabs>
          <w:tab w:val="left" w:pos="284"/>
        </w:tabs>
        <w:spacing w:after="0" w:line="240" w:lineRule="auto"/>
        <w:jc w:val="both"/>
        <w:rPr>
          <w:sz w:val="24"/>
          <w:szCs w:val="24"/>
        </w:rPr>
      </w:pPr>
    </w:p>
    <w:p w14:paraId="123D01EE" w14:textId="3C58916C" w:rsidR="00347F4D" w:rsidRDefault="00B575D7" w:rsidP="00F5600D">
      <w:pPr>
        <w:tabs>
          <w:tab w:val="left" w:pos="284"/>
        </w:tabs>
        <w:spacing w:after="0" w:line="240" w:lineRule="auto"/>
        <w:jc w:val="both"/>
        <w:rPr>
          <w:sz w:val="24"/>
          <w:szCs w:val="24"/>
        </w:rPr>
      </w:pPr>
      <w:r w:rsidRPr="0036295E">
        <w:rPr>
          <w:sz w:val="24"/>
          <w:szCs w:val="24"/>
        </w:rPr>
        <w:tab/>
      </w:r>
      <w:r w:rsidR="0036295E" w:rsidRPr="0036295E">
        <w:rPr>
          <w:sz w:val="24"/>
          <w:szCs w:val="24"/>
        </w:rPr>
        <w:t xml:space="preserve">In Canada, a development along the lines of the decision in </w:t>
      </w:r>
      <w:r w:rsidR="0036295E" w:rsidRPr="0036295E">
        <w:rPr>
          <w:i/>
          <w:sz w:val="24"/>
          <w:szCs w:val="24"/>
        </w:rPr>
        <w:t xml:space="preserve">Sullivan </w:t>
      </w:r>
      <w:r w:rsidR="0036295E" w:rsidRPr="0036295E">
        <w:rPr>
          <w:sz w:val="24"/>
          <w:szCs w:val="24"/>
        </w:rPr>
        <w:t>was rejected, with the Supreme Court remarking that ‘[n]one of the factors which prompted the United States Supreme Court to re-write the law of defamation in America are present in the case at bar.’</w:t>
      </w:r>
      <w:r w:rsidR="0036295E">
        <w:rPr>
          <w:rStyle w:val="FootnoteReference"/>
          <w:sz w:val="24"/>
          <w:szCs w:val="24"/>
        </w:rPr>
        <w:footnoteReference w:id="83"/>
      </w:r>
      <w:r w:rsidR="0036295E">
        <w:rPr>
          <w:sz w:val="24"/>
          <w:szCs w:val="24"/>
        </w:rPr>
        <w:t xml:space="preserve"> Subsequently, i</w:t>
      </w:r>
      <w:r w:rsidR="000F294E">
        <w:rPr>
          <w:sz w:val="24"/>
          <w:szCs w:val="24"/>
        </w:rPr>
        <w:t xml:space="preserve">n </w:t>
      </w:r>
      <w:r w:rsidR="009D0A46" w:rsidRPr="009D0A46">
        <w:rPr>
          <w:i/>
          <w:sz w:val="24"/>
          <w:szCs w:val="24"/>
        </w:rPr>
        <w:t>Grant v Torstar Corp</w:t>
      </w:r>
      <w:r w:rsidR="002560C4" w:rsidRPr="00F5600D">
        <w:rPr>
          <w:rStyle w:val="FootnoteReference"/>
          <w:sz w:val="24"/>
          <w:szCs w:val="24"/>
        </w:rPr>
        <w:footnoteReference w:id="84"/>
      </w:r>
      <w:r w:rsidR="009D0A46">
        <w:rPr>
          <w:sz w:val="24"/>
          <w:szCs w:val="24"/>
        </w:rPr>
        <w:t xml:space="preserve"> the Supreme Court </w:t>
      </w:r>
      <w:r w:rsidR="00282B79">
        <w:rPr>
          <w:sz w:val="24"/>
          <w:szCs w:val="24"/>
        </w:rPr>
        <w:t xml:space="preserve">recognised </w:t>
      </w:r>
      <w:r w:rsidR="009D0A46">
        <w:rPr>
          <w:sz w:val="24"/>
          <w:szCs w:val="24"/>
        </w:rPr>
        <w:t xml:space="preserve">a defence of responsible communication on matters of public interest. </w:t>
      </w:r>
      <w:r w:rsidR="00282B79">
        <w:rPr>
          <w:sz w:val="24"/>
          <w:szCs w:val="24"/>
        </w:rPr>
        <w:t>I</w:t>
      </w:r>
      <w:r w:rsidR="009343E6">
        <w:rPr>
          <w:sz w:val="24"/>
          <w:szCs w:val="24"/>
        </w:rPr>
        <w:t xml:space="preserve">t is </w:t>
      </w:r>
      <w:r w:rsidR="00BC3ABF">
        <w:rPr>
          <w:sz w:val="24"/>
          <w:szCs w:val="24"/>
        </w:rPr>
        <w:t xml:space="preserve">somewhat </w:t>
      </w:r>
      <w:r w:rsidR="009343E6">
        <w:rPr>
          <w:sz w:val="24"/>
          <w:szCs w:val="24"/>
        </w:rPr>
        <w:t xml:space="preserve">similar to </w:t>
      </w:r>
      <w:r w:rsidR="00E416F8">
        <w:rPr>
          <w:sz w:val="24"/>
          <w:szCs w:val="24"/>
        </w:rPr>
        <w:t xml:space="preserve">the </w:t>
      </w:r>
      <w:r w:rsidR="009343E6">
        <w:rPr>
          <w:i/>
          <w:sz w:val="24"/>
          <w:szCs w:val="24"/>
        </w:rPr>
        <w:t xml:space="preserve">Reynolds </w:t>
      </w:r>
      <w:r w:rsidR="00282B79">
        <w:rPr>
          <w:sz w:val="24"/>
          <w:szCs w:val="24"/>
        </w:rPr>
        <w:t>defence</w:t>
      </w:r>
      <w:r w:rsidR="009343E6">
        <w:rPr>
          <w:sz w:val="24"/>
          <w:szCs w:val="24"/>
        </w:rPr>
        <w:t xml:space="preserve">. </w:t>
      </w:r>
      <w:r w:rsidR="00E416F8">
        <w:rPr>
          <w:sz w:val="24"/>
          <w:szCs w:val="24"/>
        </w:rPr>
        <w:t xml:space="preserve">Significantly, </w:t>
      </w:r>
      <w:r w:rsidR="001471C2">
        <w:rPr>
          <w:sz w:val="24"/>
          <w:szCs w:val="24"/>
        </w:rPr>
        <w:t xml:space="preserve">however, </w:t>
      </w:r>
      <w:r w:rsidR="00BC3ABF">
        <w:rPr>
          <w:sz w:val="24"/>
          <w:szCs w:val="24"/>
        </w:rPr>
        <w:t xml:space="preserve">it </w:t>
      </w:r>
      <w:r w:rsidR="009343E6">
        <w:rPr>
          <w:sz w:val="24"/>
          <w:szCs w:val="24"/>
        </w:rPr>
        <w:t xml:space="preserve">was crafted in order to </w:t>
      </w:r>
      <w:r w:rsidR="0036295E">
        <w:rPr>
          <w:sz w:val="24"/>
          <w:szCs w:val="24"/>
        </w:rPr>
        <w:t xml:space="preserve">render </w:t>
      </w:r>
      <w:r w:rsidR="009343E6">
        <w:rPr>
          <w:sz w:val="24"/>
          <w:szCs w:val="24"/>
        </w:rPr>
        <w:t xml:space="preserve">Canadian defamation </w:t>
      </w:r>
      <w:r w:rsidR="0036295E">
        <w:rPr>
          <w:sz w:val="24"/>
          <w:szCs w:val="24"/>
        </w:rPr>
        <w:t xml:space="preserve">law </w:t>
      </w:r>
      <w:r w:rsidR="009343E6">
        <w:rPr>
          <w:sz w:val="24"/>
          <w:szCs w:val="24"/>
        </w:rPr>
        <w:t xml:space="preserve">consistent with the </w:t>
      </w:r>
      <w:r w:rsidR="001471C2">
        <w:rPr>
          <w:sz w:val="24"/>
          <w:szCs w:val="24"/>
        </w:rPr>
        <w:t xml:space="preserve">particular </w:t>
      </w:r>
      <w:r w:rsidR="009343E6">
        <w:rPr>
          <w:sz w:val="24"/>
          <w:szCs w:val="24"/>
        </w:rPr>
        <w:t>values embodied in the Canadian Charter of Rights and F</w:t>
      </w:r>
      <w:r w:rsidR="001471C2">
        <w:rPr>
          <w:sz w:val="24"/>
          <w:szCs w:val="24"/>
        </w:rPr>
        <w:t>re</w:t>
      </w:r>
      <w:r w:rsidR="009343E6">
        <w:rPr>
          <w:sz w:val="24"/>
          <w:szCs w:val="24"/>
        </w:rPr>
        <w:t>edoms</w:t>
      </w:r>
      <w:r w:rsidR="001471C2">
        <w:rPr>
          <w:sz w:val="24"/>
          <w:szCs w:val="24"/>
        </w:rPr>
        <w:t xml:space="preserve"> rather than to keep step with developments </w:t>
      </w:r>
      <w:r w:rsidR="00282B79">
        <w:rPr>
          <w:sz w:val="24"/>
          <w:szCs w:val="24"/>
        </w:rPr>
        <w:t>in the United Kingdom or elsewhere</w:t>
      </w:r>
      <w:r w:rsidR="009343E6">
        <w:rPr>
          <w:sz w:val="24"/>
          <w:szCs w:val="24"/>
        </w:rPr>
        <w:t>. So</w:t>
      </w:r>
      <w:r w:rsidR="0036295E">
        <w:rPr>
          <w:sz w:val="24"/>
          <w:szCs w:val="24"/>
        </w:rPr>
        <w:t xml:space="preserve">, </w:t>
      </w:r>
      <w:r w:rsidR="009919E1">
        <w:rPr>
          <w:sz w:val="24"/>
          <w:szCs w:val="24"/>
        </w:rPr>
        <w:t xml:space="preserve">although in the instant case there was a significant trawl of the </w:t>
      </w:r>
      <w:r w:rsidR="00773744">
        <w:rPr>
          <w:sz w:val="24"/>
          <w:szCs w:val="24"/>
        </w:rPr>
        <w:t xml:space="preserve">case </w:t>
      </w:r>
      <w:r w:rsidR="009919E1">
        <w:rPr>
          <w:sz w:val="24"/>
          <w:szCs w:val="24"/>
        </w:rPr>
        <w:t xml:space="preserve">law </w:t>
      </w:r>
      <w:r w:rsidR="00282B79">
        <w:rPr>
          <w:sz w:val="24"/>
          <w:szCs w:val="24"/>
        </w:rPr>
        <w:t>throughout the Commonwealth</w:t>
      </w:r>
      <w:r w:rsidR="009919E1">
        <w:rPr>
          <w:sz w:val="24"/>
          <w:szCs w:val="24"/>
        </w:rPr>
        <w:t>,</w:t>
      </w:r>
      <w:r w:rsidR="001471C2">
        <w:rPr>
          <w:sz w:val="24"/>
          <w:szCs w:val="24"/>
        </w:rPr>
        <w:t xml:space="preserve"> </w:t>
      </w:r>
      <w:r w:rsidR="00773744">
        <w:rPr>
          <w:sz w:val="24"/>
          <w:szCs w:val="24"/>
        </w:rPr>
        <w:t xml:space="preserve">the Supreme Court </w:t>
      </w:r>
      <w:r w:rsidR="00BC3ABF">
        <w:rPr>
          <w:sz w:val="24"/>
          <w:szCs w:val="24"/>
        </w:rPr>
        <w:t>ultimately held that the most important impetus for change derived from the fact that</w:t>
      </w:r>
      <w:r w:rsidR="009343E6">
        <w:rPr>
          <w:sz w:val="24"/>
          <w:szCs w:val="24"/>
        </w:rPr>
        <w:t>,</w:t>
      </w:r>
      <w:r w:rsidR="004F4CDE">
        <w:rPr>
          <w:sz w:val="24"/>
          <w:szCs w:val="24"/>
        </w:rPr>
        <w:t xml:space="preserve"> as it presently stood, Canadian defamation law did not afford sufficient weight to the Charter value of freedom of expression.</w:t>
      </w:r>
      <w:r w:rsidR="001471C2">
        <w:rPr>
          <w:sz w:val="24"/>
          <w:szCs w:val="24"/>
        </w:rPr>
        <w:t xml:space="preserve"> McLachlin CJ (</w:t>
      </w:r>
      <w:r w:rsidR="00256AA5">
        <w:rPr>
          <w:sz w:val="24"/>
          <w:szCs w:val="24"/>
        </w:rPr>
        <w:t xml:space="preserve">speaking for the </w:t>
      </w:r>
      <w:r w:rsidR="00282B79">
        <w:rPr>
          <w:sz w:val="24"/>
          <w:szCs w:val="24"/>
        </w:rPr>
        <w:t>C</w:t>
      </w:r>
      <w:r w:rsidR="00256AA5">
        <w:rPr>
          <w:sz w:val="24"/>
          <w:szCs w:val="24"/>
        </w:rPr>
        <w:t>ourt</w:t>
      </w:r>
      <w:r w:rsidR="004F4CDE">
        <w:rPr>
          <w:sz w:val="24"/>
          <w:szCs w:val="24"/>
        </w:rPr>
        <w:t xml:space="preserve">) </w:t>
      </w:r>
      <w:r w:rsidR="00282B79">
        <w:rPr>
          <w:sz w:val="24"/>
          <w:szCs w:val="24"/>
        </w:rPr>
        <w:t>said</w:t>
      </w:r>
      <w:r w:rsidR="0036295E">
        <w:rPr>
          <w:sz w:val="24"/>
          <w:szCs w:val="24"/>
        </w:rPr>
        <w:t xml:space="preserve"> that the</w:t>
      </w:r>
      <w:r w:rsidR="001471C2">
        <w:rPr>
          <w:sz w:val="24"/>
          <w:szCs w:val="24"/>
        </w:rPr>
        <w:t xml:space="preserve"> ‘common law defence of qualified privilege should be expanded to comply with Charter values</w:t>
      </w:r>
      <w:r w:rsidR="0036295E">
        <w:rPr>
          <w:sz w:val="24"/>
          <w:szCs w:val="24"/>
        </w:rPr>
        <w:t>.</w:t>
      </w:r>
      <w:r w:rsidR="001471C2">
        <w:rPr>
          <w:sz w:val="24"/>
          <w:szCs w:val="24"/>
        </w:rPr>
        <w:t>’</w:t>
      </w:r>
      <w:r w:rsidR="001471C2" w:rsidRPr="00F5600D">
        <w:rPr>
          <w:rStyle w:val="FootnoteReference"/>
          <w:sz w:val="24"/>
          <w:szCs w:val="24"/>
        </w:rPr>
        <w:footnoteReference w:id="85"/>
      </w:r>
    </w:p>
    <w:p w14:paraId="428E33B0" w14:textId="24C813D6" w:rsidR="0021572D" w:rsidRDefault="00E57993" w:rsidP="00F5600D">
      <w:pPr>
        <w:tabs>
          <w:tab w:val="left" w:pos="284"/>
        </w:tabs>
        <w:spacing w:after="0" w:line="240" w:lineRule="auto"/>
        <w:jc w:val="both"/>
        <w:rPr>
          <w:sz w:val="24"/>
          <w:szCs w:val="24"/>
        </w:rPr>
      </w:pPr>
      <w:r>
        <w:rPr>
          <w:sz w:val="24"/>
          <w:szCs w:val="24"/>
        </w:rPr>
        <w:tab/>
        <w:t xml:space="preserve"> </w:t>
      </w:r>
    </w:p>
    <w:p w14:paraId="4D5556F0" w14:textId="7DB4909B" w:rsidR="00787E7C" w:rsidRPr="00F5600D" w:rsidRDefault="007C25D5" w:rsidP="007C25D5">
      <w:pPr>
        <w:pStyle w:val="Heading4"/>
        <w:keepNext/>
        <w:tabs>
          <w:tab w:val="left" w:pos="567"/>
        </w:tabs>
      </w:pPr>
      <w:r>
        <w:lastRenderedPageBreak/>
        <w:t>(b)</w:t>
      </w:r>
      <w:r w:rsidR="005E5756">
        <w:t xml:space="preserve"> </w:t>
      </w:r>
      <w:r>
        <w:tab/>
      </w:r>
      <w:r w:rsidR="00787E7C" w:rsidRPr="00F5600D">
        <w:t>Privacy</w:t>
      </w:r>
    </w:p>
    <w:p w14:paraId="5DF5131C" w14:textId="77777777" w:rsidR="00787E7C" w:rsidRPr="00F5600D" w:rsidRDefault="00787E7C" w:rsidP="00E17694">
      <w:pPr>
        <w:keepNext/>
        <w:tabs>
          <w:tab w:val="left" w:pos="284"/>
        </w:tabs>
        <w:spacing w:after="0" w:line="240" w:lineRule="auto"/>
        <w:jc w:val="both"/>
        <w:rPr>
          <w:sz w:val="24"/>
          <w:szCs w:val="24"/>
        </w:rPr>
      </w:pPr>
    </w:p>
    <w:p w14:paraId="14E3BD9A" w14:textId="1343B010" w:rsidR="00964CAF" w:rsidRPr="00F5600D" w:rsidRDefault="00C829E1" w:rsidP="0042552D">
      <w:pPr>
        <w:tabs>
          <w:tab w:val="left" w:pos="284"/>
          <w:tab w:val="left" w:pos="567"/>
        </w:tabs>
        <w:spacing w:after="0" w:line="240" w:lineRule="auto"/>
        <w:jc w:val="both"/>
        <w:rPr>
          <w:sz w:val="24"/>
          <w:szCs w:val="24"/>
        </w:rPr>
      </w:pPr>
      <w:r>
        <w:rPr>
          <w:sz w:val="24"/>
          <w:szCs w:val="24"/>
        </w:rPr>
        <w:t>Priv</w:t>
      </w:r>
      <w:r w:rsidR="00347F4D">
        <w:rPr>
          <w:sz w:val="24"/>
          <w:szCs w:val="24"/>
        </w:rPr>
        <w:t>acy</w:t>
      </w:r>
      <w:r>
        <w:rPr>
          <w:sz w:val="24"/>
          <w:szCs w:val="24"/>
        </w:rPr>
        <w:t xml:space="preserve"> </w:t>
      </w:r>
      <w:r w:rsidR="00787E7C" w:rsidRPr="00F5600D">
        <w:rPr>
          <w:sz w:val="24"/>
          <w:szCs w:val="24"/>
        </w:rPr>
        <w:t xml:space="preserve">is a </w:t>
      </w:r>
      <w:r w:rsidR="008E7284">
        <w:rPr>
          <w:sz w:val="24"/>
          <w:szCs w:val="24"/>
        </w:rPr>
        <w:t xml:space="preserve">second </w:t>
      </w:r>
      <w:r w:rsidR="00787E7C" w:rsidRPr="00F5600D">
        <w:rPr>
          <w:sz w:val="24"/>
          <w:szCs w:val="24"/>
        </w:rPr>
        <w:t xml:space="preserve">area in which constitutional guarantees and human rights commitments have </w:t>
      </w:r>
      <w:r w:rsidR="00950F5C">
        <w:rPr>
          <w:sz w:val="24"/>
          <w:szCs w:val="24"/>
        </w:rPr>
        <w:t xml:space="preserve">resulted in the differential development of </w:t>
      </w:r>
      <w:r w:rsidR="003559E2">
        <w:rPr>
          <w:sz w:val="24"/>
          <w:szCs w:val="24"/>
        </w:rPr>
        <w:t xml:space="preserve">tort law </w:t>
      </w:r>
      <w:r w:rsidR="00950F5C">
        <w:rPr>
          <w:sz w:val="24"/>
          <w:szCs w:val="24"/>
        </w:rPr>
        <w:t>in the major common law jurisdictions</w:t>
      </w:r>
      <w:r w:rsidR="00787E7C" w:rsidRPr="00F5600D">
        <w:rPr>
          <w:sz w:val="24"/>
          <w:szCs w:val="24"/>
        </w:rPr>
        <w:t>.</w:t>
      </w:r>
      <w:r w:rsidR="00797C08">
        <w:rPr>
          <w:sz w:val="24"/>
          <w:szCs w:val="24"/>
        </w:rPr>
        <w:t xml:space="preserve"> </w:t>
      </w:r>
      <w:r w:rsidR="00787E7C" w:rsidRPr="00F5600D">
        <w:rPr>
          <w:sz w:val="24"/>
          <w:szCs w:val="24"/>
        </w:rPr>
        <w:t xml:space="preserve">In the United Kingdom, </w:t>
      </w:r>
      <w:r w:rsidR="00E416B5">
        <w:rPr>
          <w:sz w:val="24"/>
          <w:szCs w:val="24"/>
        </w:rPr>
        <w:t>there is no general tort of invasion of privacy.</w:t>
      </w:r>
      <w:r w:rsidR="00E416B5">
        <w:rPr>
          <w:rStyle w:val="FootnoteReference"/>
          <w:sz w:val="24"/>
          <w:szCs w:val="24"/>
        </w:rPr>
        <w:footnoteReference w:id="86"/>
      </w:r>
      <w:r w:rsidR="00E416B5">
        <w:rPr>
          <w:sz w:val="24"/>
          <w:szCs w:val="24"/>
        </w:rPr>
        <w:t xml:space="preserve"> However, privacy nonetheless receives some direct protection in the form of the tort of </w:t>
      </w:r>
      <w:r w:rsidR="00787E7C" w:rsidRPr="00F5600D">
        <w:rPr>
          <w:sz w:val="24"/>
          <w:szCs w:val="24"/>
        </w:rPr>
        <w:t>misuse of private information.</w:t>
      </w:r>
      <w:r w:rsidR="00DD5879" w:rsidRPr="00F5600D">
        <w:rPr>
          <w:rStyle w:val="FootnoteReference"/>
          <w:sz w:val="24"/>
          <w:szCs w:val="24"/>
        </w:rPr>
        <w:footnoteReference w:id="87"/>
      </w:r>
      <w:r w:rsidR="00347F4D">
        <w:rPr>
          <w:sz w:val="24"/>
          <w:szCs w:val="24"/>
        </w:rPr>
        <w:t xml:space="preserve"> </w:t>
      </w:r>
      <w:r w:rsidR="00E416B5">
        <w:rPr>
          <w:sz w:val="24"/>
          <w:szCs w:val="24"/>
        </w:rPr>
        <w:t xml:space="preserve">This tort, which is an offshoot of the </w:t>
      </w:r>
      <w:r w:rsidR="004E11CB">
        <w:rPr>
          <w:sz w:val="24"/>
          <w:szCs w:val="24"/>
        </w:rPr>
        <w:t xml:space="preserve">equitable wrong of breach of confidence, was welcomed into English tort law by the seminal case </w:t>
      </w:r>
      <w:r w:rsidR="00E82B1F">
        <w:rPr>
          <w:sz w:val="24"/>
          <w:szCs w:val="24"/>
        </w:rPr>
        <w:t xml:space="preserve">of </w:t>
      </w:r>
      <w:r w:rsidR="004E11CB">
        <w:rPr>
          <w:i/>
          <w:sz w:val="24"/>
          <w:szCs w:val="24"/>
        </w:rPr>
        <w:t>Campbell v MGN Ltd</w:t>
      </w:r>
      <w:r w:rsidR="004E11CB">
        <w:rPr>
          <w:sz w:val="24"/>
          <w:szCs w:val="24"/>
        </w:rPr>
        <w:t>.</w:t>
      </w:r>
      <w:r w:rsidR="004E11CB">
        <w:rPr>
          <w:rStyle w:val="FootnoteReference"/>
          <w:sz w:val="24"/>
          <w:szCs w:val="24"/>
        </w:rPr>
        <w:footnoteReference w:id="88"/>
      </w:r>
      <w:r w:rsidR="004E11CB">
        <w:rPr>
          <w:sz w:val="24"/>
          <w:szCs w:val="24"/>
        </w:rPr>
        <w:t xml:space="preserve"> </w:t>
      </w:r>
      <w:r w:rsidR="00DA3D53">
        <w:rPr>
          <w:sz w:val="24"/>
          <w:szCs w:val="24"/>
        </w:rPr>
        <w:t>Its elements are (1) the information in question must have been of a private nature; (2) the information must have been disclosed in circumstances where the defendant knew or ought to have known that the claimant reasonably expected the information to remain private; and (3) it must not have been more important that the defendant be free to disclose the information than that it remain private.</w:t>
      </w:r>
      <w:r w:rsidR="00DA3D53" w:rsidRPr="00F5600D">
        <w:rPr>
          <w:rStyle w:val="FootnoteReference"/>
          <w:sz w:val="24"/>
          <w:szCs w:val="24"/>
        </w:rPr>
        <w:footnoteReference w:id="89"/>
      </w:r>
      <w:r w:rsidR="00DA3D53">
        <w:rPr>
          <w:sz w:val="24"/>
          <w:szCs w:val="24"/>
        </w:rPr>
        <w:t xml:space="preserve"> </w:t>
      </w:r>
      <w:r w:rsidR="00D100F7">
        <w:rPr>
          <w:sz w:val="24"/>
          <w:szCs w:val="24"/>
        </w:rPr>
        <w:t xml:space="preserve">Even the most cursory reading of </w:t>
      </w:r>
      <w:r w:rsidR="00DA3D53">
        <w:rPr>
          <w:sz w:val="24"/>
          <w:szCs w:val="24"/>
        </w:rPr>
        <w:t xml:space="preserve">the opinions in </w:t>
      </w:r>
      <w:r w:rsidR="00E82B1F">
        <w:rPr>
          <w:i/>
          <w:sz w:val="24"/>
          <w:szCs w:val="24"/>
        </w:rPr>
        <w:t xml:space="preserve">Campbell </w:t>
      </w:r>
      <w:r w:rsidR="00D100F7">
        <w:rPr>
          <w:sz w:val="24"/>
          <w:szCs w:val="24"/>
        </w:rPr>
        <w:t xml:space="preserve">reveals that the ECHR was </w:t>
      </w:r>
      <w:r w:rsidR="00E82B1F">
        <w:rPr>
          <w:sz w:val="24"/>
          <w:szCs w:val="24"/>
        </w:rPr>
        <w:t xml:space="preserve">at </w:t>
      </w:r>
      <w:r w:rsidR="00D100F7">
        <w:rPr>
          <w:sz w:val="24"/>
          <w:szCs w:val="24"/>
        </w:rPr>
        <w:t>the forefront of the law lords’ minds.</w:t>
      </w:r>
      <w:r w:rsidR="00D5759D" w:rsidRPr="00F5600D">
        <w:rPr>
          <w:rStyle w:val="FootnoteReference"/>
          <w:sz w:val="24"/>
          <w:szCs w:val="24"/>
        </w:rPr>
        <w:footnoteReference w:id="90"/>
      </w:r>
      <w:r w:rsidR="00787E7C" w:rsidRPr="00F5600D">
        <w:rPr>
          <w:sz w:val="24"/>
          <w:szCs w:val="24"/>
        </w:rPr>
        <w:t xml:space="preserve"> </w:t>
      </w:r>
      <w:bookmarkStart w:id="15" w:name="_Ref403372237"/>
      <w:r w:rsidR="00DA3D53">
        <w:rPr>
          <w:sz w:val="24"/>
          <w:szCs w:val="24"/>
        </w:rPr>
        <w:t>The elements of the tort</w:t>
      </w:r>
      <w:r w:rsidR="0042552D">
        <w:rPr>
          <w:sz w:val="24"/>
          <w:szCs w:val="24"/>
        </w:rPr>
        <w:t>, and the third element in particular,</w:t>
      </w:r>
      <w:r w:rsidR="00DA3D53">
        <w:rPr>
          <w:sz w:val="24"/>
          <w:szCs w:val="24"/>
        </w:rPr>
        <w:t xml:space="preserve"> </w:t>
      </w:r>
      <w:r w:rsidR="0042552D">
        <w:rPr>
          <w:sz w:val="24"/>
          <w:szCs w:val="24"/>
        </w:rPr>
        <w:t xml:space="preserve">strongly </w:t>
      </w:r>
      <w:r w:rsidR="00DA3D53">
        <w:rPr>
          <w:sz w:val="24"/>
          <w:szCs w:val="24"/>
        </w:rPr>
        <w:t xml:space="preserve">reflect the </w:t>
      </w:r>
      <w:bookmarkEnd w:id="15"/>
      <w:r w:rsidR="00787E7C" w:rsidRPr="00F5600D">
        <w:rPr>
          <w:sz w:val="24"/>
          <w:szCs w:val="24"/>
        </w:rPr>
        <w:t>influence article 8 (protecting the right to privacy)</w:t>
      </w:r>
      <w:r w:rsidR="00964CAF">
        <w:rPr>
          <w:sz w:val="24"/>
          <w:szCs w:val="24"/>
        </w:rPr>
        <w:t xml:space="preserve"> and article </w:t>
      </w:r>
      <w:r w:rsidR="00787E7C" w:rsidRPr="00F5600D">
        <w:rPr>
          <w:sz w:val="24"/>
          <w:szCs w:val="24"/>
        </w:rPr>
        <w:t>10 (prote</w:t>
      </w:r>
      <w:r w:rsidR="00964CAF">
        <w:rPr>
          <w:sz w:val="24"/>
          <w:szCs w:val="24"/>
        </w:rPr>
        <w:t>cting the right to free speech).</w:t>
      </w:r>
      <w:r w:rsidR="00787E7C" w:rsidRPr="00F5600D">
        <w:rPr>
          <w:sz w:val="24"/>
          <w:szCs w:val="24"/>
        </w:rPr>
        <w:t xml:space="preserve"> </w:t>
      </w:r>
    </w:p>
    <w:p w14:paraId="6751F6E4" w14:textId="26C61341" w:rsidR="00787E7C" w:rsidRPr="00F5600D" w:rsidRDefault="00B23FFA" w:rsidP="00F5600D">
      <w:pPr>
        <w:tabs>
          <w:tab w:val="left" w:pos="284"/>
        </w:tabs>
        <w:spacing w:after="0" w:line="240" w:lineRule="auto"/>
        <w:jc w:val="both"/>
        <w:rPr>
          <w:sz w:val="24"/>
          <w:szCs w:val="24"/>
        </w:rPr>
      </w:pPr>
      <w:r>
        <w:rPr>
          <w:sz w:val="24"/>
          <w:szCs w:val="24"/>
        </w:rPr>
        <w:tab/>
      </w:r>
      <w:r w:rsidR="00787E7C" w:rsidRPr="00F5600D">
        <w:rPr>
          <w:sz w:val="24"/>
          <w:szCs w:val="24"/>
        </w:rPr>
        <w:t>In Australia, there is no constitutional guarantee against invasions of privacy</w:t>
      </w:r>
      <w:r w:rsidR="00F86540">
        <w:rPr>
          <w:sz w:val="24"/>
          <w:szCs w:val="24"/>
        </w:rPr>
        <w:t xml:space="preserve"> or </w:t>
      </w:r>
      <w:r w:rsidR="00787E7C" w:rsidRPr="00F5600D">
        <w:rPr>
          <w:sz w:val="24"/>
          <w:szCs w:val="24"/>
        </w:rPr>
        <w:t xml:space="preserve">human rights instruments </w:t>
      </w:r>
      <w:r w:rsidR="00A15B70">
        <w:rPr>
          <w:sz w:val="24"/>
          <w:szCs w:val="24"/>
        </w:rPr>
        <w:t>comparable to the ECHR</w:t>
      </w:r>
      <w:r w:rsidR="00F86540">
        <w:rPr>
          <w:sz w:val="24"/>
          <w:szCs w:val="24"/>
        </w:rPr>
        <w:t xml:space="preserve">. It is unsurprising, therefore, that the protection that Australian tort law gives to privacy interests </w:t>
      </w:r>
      <w:r w:rsidR="00787E7C" w:rsidRPr="00F5600D">
        <w:rPr>
          <w:sz w:val="24"/>
          <w:szCs w:val="24"/>
        </w:rPr>
        <w:t xml:space="preserve">is essentially the same as </w:t>
      </w:r>
      <w:r w:rsidR="00F86540">
        <w:rPr>
          <w:sz w:val="24"/>
          <w:szCs w:val="24"/>
        </w:rPr>
        <w:t xml:space="preserve">the protection conferred by English tort law </w:t>
      </w:r>
      <w:r w:rsidR="00787E7C" w:rsidRPr="00F5600D">
        <w:rPr>
          <w:sz w:val="24"/>
          <w:szCs w:val="24"/>
        </w:rPr>
        <w:t xml:space="preserve">prior to the incorporation of the ECHR into domestic law. </w:t>
      </w:r>
      <w:r w:rsidR="00F86540">
        <w:rPr>
          <w:sz w:val="24"/>
          <w:szCs w:val="24"/>
        </w:rPr>
        <w:t xml:space="preserve">An unsuccessful attempt to augment tort law’s protection of privacy interests was made in </w:t>
      </w:r>
      <w:r w:rsidR="00787E7C" w:rsidRPr="00F5600D">
        <w:rPr>
          <w:i/>
          <w:sz w:val="24"/>
          <w:szCs w:val="24"/>
        </w:rPr>
        <w:t>Australian Broadcasting Corporation v Lenah Game Meats Pty Ltd</w:t>
      </w:r>
      <w:r w:rsidR="00BA0A61">
        <w:rPr>
          <w:sz w:val="24"/>
          <w:szCs w:val="24"/>
        </w:rPr>
        <w:t>.</w:t>
      </w:r>
      <w:r w:rsidR="00787E7C" w:rsidRPr="00F5600D">
        <w:rPr>
          <w:rStyle w:val="FootnoteReference"/>
          <w:sz w:val="24"/>
          <w:szCs w:val="24"/>
        </w:rPr>
        <w:footnoteReference w:id="91"/>
      </w:r>
      <w:r w:rsidR="00797C08">
        <w:rPr>
          <w:i/>
          <w:sz w:val="24"/>
          <w:szCs w:val="24"/>
        </w:rPr>
        <w:t xml:space="preserve"> </w:t>
      </w:r>
      <w:r w:rsidR="00F86540">
        <w:rPr>
          <w:sz w:val="24"/>
          <w:szCs w:val="24"/>
        </w:rPr>
        <w:t xml:space="preserve">In this case, </w:t>
      </w:r>
      <w:r w:rsidR="00787E7C" w:rsidRPr="00F5600D">
        <w:rPr>
          <w:sz w:val="24"/>
          <w:szCs w:val="24"/>
        </w:rPr>
        <w:t xml:space="preserve">the High Court of Australia strictly only ruled out the possibility of corporate entities relying on a privacy-based tort. But the general tenor of the decision was also against the development of a privacy-based tort for human claimants. Accordingly, in its </w:t>
      </w:r>
      <w:r w:rsidR="00E82B1F">
        <w:rPr>
          <w:sz w:val="24"/>
          <w:szCs w:val="24"/>
        </w:rPr>
        <w:t xml:space="preserve">recent </w:t>
      </w:r>
      <w:r w:rsidR="00787E7C" w:rsidRPr="00F5600D">
        <w:rPr>
          <w:sz w:val="24"/>
          <w:szCs w:val="24"/>
        </w:rPr>
        <w:t>summary of the present state of the law in Australia, the Australian Law Reform Commission concluded that ‘[a] common law tort for invasion of privacy has not yet developed in Australia’.</w:t>
      </w:r>
      <w:r w:rsidR="00787E7C" w:rsidRPr="00F5600D">
        <w:rPr>
          <w:rStyle w:val="FootnoteReference"/>
          <w:sz w:val="24"/>
          <w:szCs w:val="24"/>
        </w:rPr>
        <w:footnoteReference w:id="92"/>
      </w:r>
    </w:p>
    <w:p w14:paraId="324DA18B" w14:textId="258E8E31" w:rsidR="00A34A79" w:rsidRDefault="00787E7C" w:rsidP="00A34A79">
      <w:pPr>
        <w:tabs>
          <w:tab w:val="left" w:pos="284"/>
        </w:tabs>
        <w:spacing w:after="0" w:line="240" w:lineRule="auto"/>
        <w:ind w:firstLine="284"/>
        <w:jc w:val="both"/>
        <w:rPr>
          <w:rFonts w:eastAsia="Times New Roman"/>
          <w:color w:val="000000"/>
          <w:sz w:val="24"/>
          <w:szCs w:val="24"/>
          <w:lang w:eastAsia="en-GB"/>
        </w:rPr>
      </w:pPr>
      <w:r w:rsidRPr="00F5600D">
        <w:rPr>
          <w:sz w:val="24"/>
          <w:szCs w:val="24"/>
        </w:rPr>
        <w:t>The law in New Zealand is different again. In that country there is a ‘tort covering the invasion of personal privacy’.</w:t>
      </w:r>
      <w:r w:rsidRPr="00F5600D">
        <w:rPr>
          <w:rStyle w:val="FootnoteReference"/>
          <w:sz w:val="24"/>
          <w:szCs w:val="24"/>
        </w:rPr>
        <w:footnoteReference w:id="93"/>
      </w:r>
      <w:r w:rsidRPr="00F5600D">
        <w:rPr>
          <w:sz w:val="24"/>
          <w:szCs w:val="24"/>
        </w:rPr>
        <w:t xml:space="preserve"> </w:t>
      </w:r>
      <w:r w:rsidR="007929B8">
        <w:rPr>
          <w:sz w:val="24"/>
          <w:szCs w:val="24"/>
        </w:rPr>
        <w:t xml:space="preserve">The elements of this tort, according to the landmark decision in </w:t>
      </w:r>
      <w:r w:rsidR="007929B8">
        <w:rPr>
          <w:i/>
          <w:sz w:val="24"/>
          <w:szCs w:val="24"/>
        </w:rPr>
        <w:t>Hosking v Runting</w:t>
      </w:r>
      <w:r w:rsidR="00E82B1F">
        <w:rPr>
          <w:sz w:val="24"/>
          <w:szCs w:val="24"/>
        </w:rPr>
        <w:t>,</w:t>
      </w:r>
      <w:r w:rsidR="007929B8">
        <w:rPr>
          <w:i/>
          <w:sz w:val="24"/>
          <w:szCs w:val="24"/>
        </w:rPr>
        <w:t xml:space="preserve"> </w:t>
      </w:r>
      <w:r w:rsidR="007929B8">
        <w:rPr>
          <w:sz w:val="24"/>
          <w:szCs w:val="24"/>
        </w:rPr>
        <w:t xml:space="preserve">are (1) the existence of facts in respect of which there is a reasonable expectation of privacy; and (2) publicity given to those facts </w:t>
      </w:r>
      <w:r w:rsidR="00E82B1F">
        <w:rPr>
          <w:sz w:val="24"/>
          <w:szCs w:val="24"/>
        </w:rPr>
        <w:t xml:space="preserve">which is </w:t>
      </w:r>
      <w:r w:rsidR="007929B8">
        <w:rPr>
          <w:sz w:val="24"/>
          <w:szCs w:val="24"/>
        </w:rPr>
        <w:t>highly offensive according to an objective standard.</w:t>
      </w:r>
      <w:r w:rsidR="007929B8">
        <w:rPr>
          <w:rStyle w:val="FootnoteReference"/>
          <w:sz w:val="24"/>
          <w:szCs w:val="24"/>
        </w:rPr>
        <w:footnoteReference w:id="94"/>
      </w:r>
      <w:r w:rsidR="007929B8">
        <w:rPr>
          <w:sz w:val="24"/>
          <w:szCs w:val="24"/>
        </w:rPr>
        <w:t xml:space="preserve"> This is a more expansive action than its English counterpart, primarily because its elements may be satisfied where the defendant has acted reasonably. Gault P, who delivered the main opinion in </w:t>
      </w:r>
      <w:r w:rsidR="007929B8">
        <w:rPr>
          <w:i/>
          <w:sz w:val="24"/>
          <w:szCs w:val="24"/>
        </w:rPr>
        <w:t>Hosking</w:t>
      </w:r>
      <w:r w:rsidR="0042552D">
        <w:rPr>
          <w:sz w:val="24"/>
          <w:szCs w:val="24"/>
        </w:rPr>
        <w:t>,</w:t>
      </w:r>
      <w:r w:rsidR="007929B8" w:rsidRPr="007929B8">
        <w:rPr>
          <w:sz w:val="24"/>
          <w:szCs w:val="24"/>
        </w:rPr>
        <w:t xml:space="preserve"> </w:t>
      </w:r>
      <w:r w:rsidR="007929B8" w:rsidRPr="00F5600D">
        <w:rPr>
          <w:sz w:val="24"/>
          <w:szCs w:val="24"/>
        </w:rPr>
        <w:t>was mindful of New Zealand’s human rights commitments.</w:t>
      </w:r>
      <w:r w:rsidR="007929B8">
        <w:rPr>
          <w:sz w:val="24"/>
          <w:szCs w:val="24"/>
        </w:rPr>
        <w:t xml:space="preserve"> </w:t>
      </w:r>
      <w:r w:rsidR="007929B8" w:rsidRPr="00F5600D">
        <w:rPr>
          <w:sz w:val="24"/>
          <w:szCs w:val="24"/>
        </w:rPr>
        <w:t>After making the general point that ‘[t]</w:t>
      </w:r>
      <w:r w:rsidR="007929B8" w:rsidRPr="00F5600D">
        <w:rPr>
          <w:rFonts w:eastAsia="Times New Roman"/>
          <w:color w:val="000000"/>
          <w:sz w:val="24"/>
          <w:szCs w:val="24"/>
          <w:lang w:eastAsia="en-GB"/>
        </w:rPr>
        <w:t>he legislative landscape is important’</w:t>
      </w:r>
      <w:r w:rsidR="007929B8" w:rsidRPr="00F5600D">
        <w:rPr>
          <w:rStyle w:val="FootnoteReference"/>
          <w:sz w:val="24"/>
          <w:szCs w:val="24"/>
        </w:rPr>
        <w:footnoteReference w:id="95"/>
      </w:r>
      <w:r w:rsidR="007929B8" w:rsidRPr="00F5600D">
        <w:rPr>
          <w:rFonts w:eastAsia="Times New Roman"/>
          <w:color w:val="000000"/>
          <w:sz w:val="24"/>
          <w:szCs w:val="24"/>
          <w:lang w:eastAsia="en-GB"/>
        </w:rPr>
        <w:t xml:space="preserve"> he </w:t>
      </w:r>
      <w:r w:rsidR="007929B8">
        <w:rPr>
          <w:rFonts w:eastAsia="Times New Roman"/>
          <w:color w:val="000000"/>
          <w:sz w:val="24"/>
          <w:szCs w:val="24"/>
          <w:lang w:eastAsia="en-GB"/>
        </w:rPr>
        <w:t xml:space="preserve">wrote </w:t>
      </w:r>
      <w:r w:rsidR="007929B8" w:rsidRPr="00F5600D">
        <w:rPr>
          <w:rFonts w:eastAsia="Times New Roman"/>
          <w:color w:val="000000"/>
          <w:sz w:val="24"/>
          <w:szCs w:val="24"/>
          <w:lang w:eastAsia="en-GB"/>
        </w:rPr>
        <w:t>that, ‘when enacting the Bill of Rights Act to affirm New Zealand’s commitment to the International Covenant</w:t>
      </w:r>
      <w:r w:rsidR="007929B8">
        <w:rPr>
          <w:rFonts w:eastAsia="Times New Roman"/>
          <w:color w:val="000000"/>
          <w:sz w:val="24"/>
          <w:szCs w:val="24"/>
          <w:lang w:eastAsia="en-GB"/>
        </w:rPr>
        <w:t xml:space="preserve"> on Civil and Political Rights </w:t>
      </w:r>
      <w:r w:rsidR="007929B8" w:rsidRPr="00F5600D">
        <w:rPr>
          <w:rFonts w:eastAsia="Times New Roman"/>
          <w:color w:val="000000"/>
          <w:sz w:val="24"/>
          <w:szCs w:val="24"/>
          <w:lang w:eastAsia="en-GB"/>
        </w:rPr>
        <w:t xml:space="preserve">Parliament </w:t>
      </w:r>
      <w:r w:rsidR="007929B8" w:rsidRPr="00F5600D">
        <w:rPr>
          <w:rFonts w:eastAsia="Times New Roman"/>
          <w:color w:val="000000"/>
          <w:sz w:val="24"/>
          <w:szCs w:val="24"/>
          <w:lang w:eastAsia="en-GB"/>
        </w:rPr>
        <w:lastRenderedPageBreak/>
        <w:t>did not include among the provisions affirming specific rights and freedoms a provision corresponding to art</w:t>
      </w:r>
      <w:r w:rsidR="007929B8">
        <w:rPr>
          <w:rFonts w:eastAsia="Times New Roman"/>
          <w:color w:val="000000"/>
          <w:sz w:val="24"/>
          <w:szCs w:val="24"/>
          <w:lang w:eastAsia="en-GB"/>
        </w:rPr>
        <w:t>icle</w:t>
      </w:r>
      <w:r w:rsidR="007929B8" w:rsidRPr="00F5600D">
        <w:rPr>
          <w:rFonts w:eastAsia="Times New Roman"/>
          <w:color w:val="000000"/>
          <w:sz w:val="24"/>
          <w:szCs w:val="24"/>
          <w:lang w:eastAsia="en-GB"/>
        </w:rPr>
        <w:t xml:space="preserve"> 17 of the Covenant</w:t>
      </w:r>
      <w:r w:rsidR="007929B8">
        <w:rPr>
          <w:rFonts w:eastAsia="Times New Roman"/>
          <w:color w:val="000000"/>
          <w:sz w:val="24"/>
          <w:szCs w:val="24"/>
          <w:lang w:eastAsia="en-GB"/>
        </w:rPr>
        <w:t>.</w:t>
      </w:r>
      <w:r w:rsidR="007929B8" w:rsidRPr="00F5600D">
        <w:rPr>
          <w:rFonts w:eastAsia="Times New Roman"/>
          <w:color w:val="000000"/>
          <w:sz w:val="24"/>
          <w:szCs w:val="24"/>
          <w:lang w:eastAsia="en-GB"/>
        </w:rPr>
        <w:t>’</w:t>
      </w:r>
      <w:r w:rsidR="007929B8">
        <w:rPr>
          <w:rStyle w:val="FootnoteReference"/>
          <w:rFonts w:eastAsia="Times New Roman"/>
          <w:color w:val="000000"/>
          <w:sz w:val="24"/>
          <w:szCs w:val="24"/>
          <w:lang w:eastAsia="en-GB"/>
        </w:rPr>
        <w:footnoteReference w:id="96"/>
      </w:r>
      <w:r w:rsidR="007929B8" w:rsidRPr="00F5600D">
        <w:rPr>
          <w:rFonts w:eastAsia="Times New Roman"/>
          <w:color w:val="000000"/>
          <w:sz w:val="24"/>
          <w:szCs w:val="24"/>
          <w:lang w:eastAsia="en-GB"/>
        </w:rPr>
        <w:t xml:space="preserve"> In essence, that article contains a guarantee against arbitrary or unlawful interference with a person’s privacy. </w:t>
      </w:r>
      <w:r w:rsidR="007929B8">
        <w:rPr>
          <w:rFonts w:eastAsia="Times New Roman"/>
          <w:color w:val="000000"/>
          <w:sz w:val="24"/>
          <w:szCs w:val="24"/>
          <w:lang w:eastAsia="en-GB"/>
        </w:rPr>
        <w:t>B</w:t>
      </w:r>
      <w:r w:rsidR="007929B8" w:rsidRPr="00F5600D">
        <w:rPr>
          <w:rFonts w:eastAsia="Times New Roman"/>
          <w:color w:val="000000"/>
          <w:sz w:val="24"/>
          <w:szCs w:val="24"/>
          <w:lang w:eastAsia="en-GB"/>
        </w:rPr>
        <w:t xml:space="preserve">ecause the Bill of Rights Act </w:t>
      </w:r>
      <w:r w:rsidR="007929B8">
        <w:rPr>
          <w:rFonts w:eastAsia="Times New Roman"/>
          <w:color w:val="000000"/>
          <w:sz w:val="24"/>
          <w:szCs w:val="24"/>
          <w:lang w:eastAsia="en-GB"/>
        </w:rPr>
        <w:t xml:space="preserve">1990 (NZ) </w:t>
      </w:r>
      <w:r w:rsidR="007929B8" w:rsidRPr="00F5600D">
        <w:rPr>
          <w:rFonts w:eastAsia="Times New Roman"/>
          <w:color w:val="000000"/>
          <w:sz w:val="24"/>
          <w:szCs w:val="24"/>
          <w:lang w:eastAsia="en-GB"/>
        </w:rPr>
        <w:t xml:space="preserve">was silent on the right to privacy </w:t>
      </w:r>
      <w:r w:rsidR="007929B8">
        <w:rPr>
          <w:rFonts w:eastAsia="Times New Roman"/>
          <w:color w:val="000000"/>
          <w:sz w:val="24"/>
          <w:szCs w:val="24"/>
          <w:lang w:eastAsia="en-GB"/>
        </w:rPr>
        <w:t xml:space="preserve">in spite of </w:t>
      </w:r>
      <w:r w:rsidR="007929B8" w:rsidRPr="00F5600D">
        <w:rPr>
          <w:rFonts w:eastAsia="Times New Roman"/>
          <w:color w:val="000000"/>
          <w:sz w:val="24"/>
          <w:szCs w:val="24"/>
          <w:lang w:eastAsia="en-GB"/>
        </w:rPr>
        <w:t xml:space="preserve">New Zealand being party to </w:t>
      </w:r>
      <w:r w:rsidR="007929B8">
        <w:rPr>
          <w:rFonts w:eastAsia="Times New Roman"/>
          <w:color w:val="000000"/>
          <w:sz w:val="24"/>
          <w:szCs w:val="24"/>
          <w:lang w:eastAsia="en-GB"/>
        </w:rPr>
        <w:t xml:space="preserve">the </w:t>
      </w:r>
      <w:r w:rsidR="007929B8" w:rsidRPr="00F5600D">
        <w:rPr>
          <w:rFonts w:eastAsia="Times New Roman"/>
          <w:color w:val="000000"/>
          <w:sz w:val="24"/>
          <w:szCs w:val="24"/>
          <w:lang w:eastAsia="en-GB"/>
        </w:rPr>
        <w:t xml:space="preserve">International Covenant, Gault P thought it fell to the courts to develop the common law </w:t>
      </w:r>
      <w:r w:rsidR="007929B8">
        <w:rPr>
          <w:rFonts w:eastAsia="Times New Roman"/>
          <w:color w:val="000000"/>
          <w:sz w:val="24"/>
          <w:szCs w:val="24"/>
          <w:lang w:eastAsia="en-GB"/>
        </w:rPr>
        <w:t xml:space="preserve">so as to honour </w:t>
      </w:r>
      <w:r w:rsidR="007929B8" w:rsidRPr="00F5600D">
        <w:rPr>
          <w:rFonts w:eastAsia="Times New Roman"/>
          <w:color w:val="000000"/>
          <w:sz w:val="24"/>
          <w:szCs w:val="24"/>
          <w:lang w:eastAsia="en-GB"/>
        </w:rPr>
        <w:t>New Zealand’s commitment to art</w:t>
      </w:r>
      <w:r w:rsidR="007929B8">
        <w:rPr>
          <w:rFonts w:eastAsia="Times New Roman"/>
          <w:color w:val="000000"/>
          <w:sz w:val="24"/>
          <w:szCs w:val="24"/>
          <w:lang w:eastAsia="en-GB"/>
        </w:rPr>
        <w:t>icle</w:t>
      </w:r>
      <w:r w:rsidR="007929B8" w:rsidRPr="00F5600D">
        <w:rPr>
          <w:rFonts w:eastAsia="Times New Roman"/>
          <w:color w:val="000000"/>
          <w:sz w:val="24"/>
          <w:szCs w:val="24"/>
          <w:lang w:eastAsia="en-GB"/>
        </w:rPr>
        <w:t xml:space="preserve"> 17.</w:t>
      </w:r>
      <w:r w:rsidR="007929B8">
        <w:rPr>
          <w:rFonts w:eastAsia="Times New Roman"/>
          <w:color w:val="000000"/>
          <w:sz w:val="24"/>
          <w:szCs w:val="24"/>
          <w:lang w:eastAsia="en-GB"/>
        </w:rPr>
        <w:t xml:space="preserve"> </w:t>
      </w:r>
    </w:p>
    <w:p w14:paraId="5458C502" w14:textId="2CE95A88" w:rsidR="0042552D" w:rsidRPr="003929E6" w:rsidRDefault="007929B8" w:rsidP="002D212F">
      <w:pPr>
        <w:tabs>
          <w:tab w:val="left" w:pos="284"/>
        </w:tabs>
        <w:spacing w:after="0" w:line="240" w:lineRule="auto"/>
        <w:ind w:firstLine="284"/>
        <w:jc w:val="both"/>
        <w:rPr>
          <w:sz w:val="24"/>
          <w:szCs w:val="24"/>
        </w:rPr>
      </w:pPr>
      <w:r>
        <w:rPr>
          <w:rFonts w:eastAsia="Times New Roman"/>
          <w:color w:val="000000"/>
          <w:sz w:val="24"/>
          <w:szCs w:val="24"/>
          <w:lang w:eastAsia="en-GB"/>
        </w:rPr>
        <w:t xml:space="preserve">It is worth noting that, more recently, the New Zealand courts </w:t>
      </w:r>
      <w:r w:rsidR="00B6770C">
        <w:rPr>
          <w:rFonts w:eastAsia="Times New Roman"/>
          <w:color w:val="000000"/>
          <w:sz w:val="24"/>
          <w:szCs w:val="24"/>
          <w:lang w:eastAsia="en-GB"/>
        </w:rPr>
        <w:t xml:space="preserve">have </w:t>
      </w:r>
      <w:r w:rsidR="0042552D">
        <w:rPr>
          <w:rFonts w:eastAsia="Times New Roman"/>
          <w:color w:val="000000"/>
          <w:sz w:val="24"/>
          <w:szCs w:val="24"/>
          <w:lang w:eastAsia="en-GB"/>
        </w:rPr>
        <w:t xml:space="preserve">also </w:t>
      </w:r>
      <w:r w:rsidR="00B6770C">
        <w:rPr>
          <w:rFonts w:eastAsia="Times New Roman"/>
          <w:color w:val="000000"/>
          <w:sz w:val="24"/>
          <w:szCs w:val="24"/>
          <w:lang w:eastAsia="en-GB"/>
        </w:rPr>
        <w:t>recognised a tort of intrusion upon seclusion.</w:t>
      </w:r>
      <w:bookmarkStart w:id="16" w:name="_Ref401905248"/>
      <w:r w:rsidR="00787E7C" w:rsidRPr="00F5600D">
        <w:rPr>
          <w:rStyle w:val="FootnoteReference"/>
          <w:sz w:val="24"/>
          <w:szCs w:val="24"/>
        </w:rPr>
        <w:footnoteReference w:id="97"/>
      </w:r>
      <w:bookmarkEnd w:id="16"/>
      <w:r w:rsidR="00787E7C" w:rsidRPr="00F5600D">
        <w:rPr>
          <w:sz w:val="24"/>
          <w:szCs w:val="24"/>
        </w:rPr>
        <w:t xml:space="preserve"> </w:t>
      </w:r>
      <w:r w:rsidR="0042552D">
        <w:rPr>
          <w:sz w:val="24"/>
          <w:szCs w:val="24"/>
        </w:rPr>
        <w:t xml:space="preserve">The elements of this tort are (1) an intentional and unauthorised intrusion; (2) </w:t>
      </w:r>
      <w:r w:rsidR="002D212F">
        <w:rPr>
          <w:sz w:val="24"/>
          <w:szCs w:val="24"/>
        </w:rPr>
        <w:t xml:space="preserve">upon </w:t>
      </w:r>
      <w:r w:rsidR="0042552D">
        <w:rPr>
          <w:sz w:val="24"/>
          <w:szCs w:val="24"/>
        </w:rPr>
        <w:t>seclusion; (</w:t>
      </w:r>
      <w:r w:rsidR="002D212F">
        <w:rPr>
          <w:sz w:val="24"/>
          <w:szCs w:val="24"/>
        </w:rPr>
        <w:t>3</w:t>
      </w:r>
      <w:r w:rsidR="0042552D">
        <w:rPr>
          <w:sz w:val="24"/>
          <w:szCs w:val="24"/>
        </w:rPr>
        <w:t>) involving the infringement of a reasonable expectation o</w:t>
      </w:r>
      <w:r w:rsidR="002D212F">
        <w:rPr>
          <w:sz w:val="24"/>
          <w:szCs w:val="24"/>
        </w:rPr>
        <w:t xml:space="preserve">f privacy; and (4) the invasion would be </w:t>
      </w:r>
      <w:r w:rsidR="0042552D">
        <w:rPr>
          <w:sz w:val="24"/>
          <w:szCs w:val="24"/>
        </w:rPr>
        <w:t>highly offensive to a reasonable person.</w:t>
      </w:r>
      <w:r w:rsidR="0042552D">
        <w:rPr>
          <w:rStyle w:val="FootnoteReference"/>
          <w:sz w:val="24"/>
          <w:szCs w:val="24"/>
        </w:rPr>
        <w:footnoteReference w:id="98"/>
      </w:r>
      <w:r w:rsidR="0042552D">
        <w:rPr>
          <w:sz w:val="24"/>
          <w:szCs w:val="24"/>
        </w:rPr>
        <w:t xml:space="preserve"> </w:t>
      </w:r>
      <w:r w:rsidR="002D212F">
        <w:rPr>
          <w:sz w:val="24"/>
          <w:szCs w:val="24"/>
        </w:rPr>
        <w:t xml:space="preserve">In the foundational case, it was held that these elements were present where the defendant </w:t>
      </w:r>
      <w:r w:rsidR="003929E6">
        <w:rPr>
          <w:sz w:val="24"/>
          <w:szCs w:val="24"/>
        </w:rPr>
        <w:t xml:space="preserve">had spied on the claimant while she was showering. Again, this tort was developed on account of essentially the same local considerations that prompted the Court of Appeal in </w:t>
      </w:r>
      <w:r w:rsidR="003929E6">
        <w:rPr>
          <w:i/>
          <w:sz w:val="24"/>
          <w:szCs w:val="24"/>
        </w:rPr>
        <w:t xml:space="preserve">Hosking </w:t>
      </w:r>
      <w:r w:rsidR="003929E6">
        <w:rPr>
          <w:sz w:val="24"/>
          <w:szCs w:val="24"/>
        </w:rPr>
        <w:t>to recognise the tort of invasion of personal privacy.</w:t>
      </w:r>
      <w:r w:rsidR="003929E6">
        <w:rPr>
          <w:rStyle w:val="FootnoteReference"/>
          <w:sz w:val="24"/>
          <w:szCs w:val="24"/>
        </w:rPr>
        <w:footnoteReference w:id="99"/>
      </w:r>
      <w:r w:rsidR="003929E6">
        <w:rPr>
          <w:sz w:val="24"/>
          <w:szCs w:val="24"/>
        </w:rPr>
        <w:t xml:space="preserve"> </w:t>
      </w:r>
      <w:r w:rsidR="00565A42">
        <w:rPr>
          <w:sz w:val="24"/>
          <w:szCs w:val="24"/>
        </w:rPr>
        <w:t xml:space="preserve">It is clear that this tort offers protection that goes substantially beyond that which exists in the United Kingdom. </w:t>
      </w:r>
    </w:p>
    <w:p w14:paraId="45570A8D" w14:textId="522F460E" w:rsidR="00565A42" w:rsidRDefault="00A520D4" w:rsidP="0082251C">
      <w:pPr>
        <w:tabs>
          <w:tab w:val="left" w:pos="284"/>
        </w:tabs>
        <w:spacing w:after="0" w:line="240" w:lineRule="auto"/>
        <w:ind w:firstLine="284"/>
        <w:jc w:val="both"/>
        <w:rPr>
          <w:sz w:val="24"/>
          <w:szCs w:val="24"/>
        </w:rPr>
      </w:pPr>
      <w:r>
        <w:rPr>
          <w:sz w:val="24"/>
          <w:szCs w:val="24"/>
        </w:rPr>
        <w:t>T</w:t>
      </w:r>
      <w:r w:rsidR="00787E7C" w:rsidRPr="00F5600D">
        <w:rPr>
          <w:sz w:val="24"/>
          <w:szCs w:val="24"/>
        </w:rPr>
        <w:t xml:space="preserve">he protection of privacy under Canadian </w:t>
      </w:r>
      <w:r w:rsidR="00E416B5">
        <w:rPr>
          <w:sz w:val="24"/>
          <w:szCs w:val="24"/>
        </w:rPr>
        <w:t xml:space="preserve">tort law </w:t>
      </w:r>
      <w:r w:rsidR="00787E7C" w:rsidRPr="00F5600D">
        <w:rPr>
          <w:sz w:val="24"/>
          <w:szCs w:val="24"/>
        </w:rPr>
        <w:t xml:space="preserve">has </w:t>
      </w:r>
      <w:r>
        <w:rPr>
          <w:sz w:val="24"/>
          <w:szCs w:val="24"/>
        </w:rPr>
        <w:t xml:space="preserve">also </w:t>
      </w:r>
      <w:r w:rsidRPr="00F5600D">
        <w:rPr>
          <w:sz w:val="24"/>
          <w:szCs w:val="24"/>
        </w:rPr>
        <w:t xml:space="preserve">largely </w:t>
      </w:r>
      <w:r w:rsidR="00787E7C" w:rsidRPr="00F5600D">
        <w:rPr>
          <w:sz w:val="24"/>
          <w:szCs w:val="24"/>
        </w:rPr>
        <w:t>been driven by local human rights guarantees. In the recent</w:t>
      </w:r>
      <w:r w:rsidR="00726EDC">
        <w:rPr>
          <w:sz w:val="24"/>
          <w:szCs w:val="24"/>
        </w:rPr>
        <w:t xml:space="preserve"> and </w:t>
      </w:r>
      <w:r w:rsidR="00787E7C" w:rsidRPr="00F5600D">
        <w:rPr>
          <w:sz w:val="24"/>
          <w:szCs w:val="24"/>
        </w:rPr>
        <w:t xml:space="preserve">leading case of </w:t>
      </w:r>
      <w:r w:rsidR="00787E7C" w:rsidRPr="00F5600D">
        <w:rPr>
          <w:i/>
          <w:sz w:val="24"/>
          <w:szCs w:val="24"/>
        </w:rPr>
        <w:t>Tsige v Jones</w:t>
      </w:r>
      <w:r w:rsidR="009617A2">
        <w:rPr>
          <w:sz w:val="24"/>
          <w:szCs w:val="24"/>
        </w:rPr>
        <w:t>,</w:t>
      </w:r>
      <w:r w:rsidR="00787E7C" w:rsidRPr="00F5600D">
        <w:rPr>
          <w:sz w:val="24"/>
          <w:szCs w:val="24"/>
        </w:rPr>
        <w:t xml:space="preserve"> Sharpe JA </w:t>
      </w:r>
      <w:r w:rsidR="00C06886">
        <w:rPr>
          <w:sz w:val="24"/>
          <w:szCs w:val="24"/>
        </w:rPr>
        <w:t xml:space="preserve">(delivering the </w:t>
      </w:r>
      <w:r>
        <w:rPr>
          <w:sz w:val="24"/>
          <w:szCs w:val="24"/>
        </w:rPr>
        <w:t xml:space="preserve">reasons </w:t>
      </w:r>
      <w:r w:rsidR="00C06886">
        <w:rPr>
          <w:sz w:val="24"/>
          <w:szCs w:val="24"/>
        </w:rPr>
        <w:t xml:space="preserve">of the </w:t>
      </w:r>
      <w:r w:rsidR="006C40A6">
        <w:rPr>
          <w:sz w:val="24"/>
          <w:szCs w:val="24"/>
        </w:rPr>
        <w:t>Ontario Court of Appeal</w:t>
      </w:r>
      <w:r w:rsidR="00C06886">
        <w:rPr>
          <w:sz w:val="24"/>
          <w:szCs w:val="24"/>
        </w:rPr>
        <w:t xml:space="preserve">) </w:t>
      </w:r>
      <w:r w:rsidR="00787E7C" w:rsidRPr="00F5600D">
        <w:rPr>
          <w:sz w:val="24"/>
          <w:szCs w:val="24"/>
        </w:rPr>
        <w:t>noted</w:t>
      </w:r>
      <w:r w:rsidR="00071B42">
        <w:rPr>
          <w:sz w:val="24"/>
          <w:szCs w:val="24"/>
        </w:rPr>
        <w:t xml:space="preserve"> </w:t>
      </w:r>
      <w:r w:rsidR="00787E7C" w:rsidRPr="00F5600D">
        <w:rPr>
          <w:sz w:val="24"/>
          <w:szCs w:val="24"/>
        </w:rPr>
        <w:t>‘[t]he explicit recognition of a right to privacy as underlying specific Charter rights and freedoms’.</w:t>
      </w:r>
      <w:r w:rsidR="00787E7C" w:rsidRPr="00F5600D">
        <w:rPr>
          <w:rStyle w:val="FootnoteReference"/>
          <w:sz w:val="24"/>
          <w:szCs w:val="24"/>
        </w:rPr>
        <w:footnoteReference w:id="100"/>
      </w:r>
      <w:r w:rsidR="00787E7C" w:rsidRPr="00F5600D">
        <w:rPr>
          <w:sz w:val="24"/>
          <w:szCs w:val="24"/>
        </w:rPr>
        <w:t xml:space="preserve"> </w:t>
      </w:r>
      <w:r>
        <w:rPr>
          <w:sz w:val="24"/>
          <w:szCs w:val="24"/>
        </w:rPr>
        <w:t xml:space="preserve">His Honour </w:t>
      </w:r>
      <w:r w:rsidR="00787E7C" w:rsidRPr="00F5600D">
        <w:rPr>
          <w:sz w:val="24"/>
          <w:szCs w:val="24"/>
        </w:rPr>
        <w:t>then argued that ‘the principle that the common law should be developed in a manner consistent with Charter values supports the recognition of a civil action for damages for intrusion upon the plaintiff’s seclusion’.</w:t>
      </w:r>
      <w:r w:rsidR="00E531D3" w:rsidRPr="00F5600D">
        <w:rPr>
          <w:rStyle w:val="FootnoteReference"/>
          <w:sz w:val="24"/>
          <w:szCs w:val="24"/>
        </w:rPr>
        <w:footnoteReference w:id="101"/>
      </w:r>
      <w:r w:rsidR="00787E7C" w:rsidRPr="00F5600D">
        <w:rPr>
          <w:sz w:val="24"/>
          <w:szCs w:val="24"/>
        </w:rPr>
        <w:t xml:space="preserve"> Importantly, however, he also noted that the privacy right in the Charter should be </w:t>
      </w:r>
      <w:r w:rsidR="00423EA4">
        <w:rPr>
          <w:sz w:val="24"/>
          <w:szCs w:val="24"/>
        </w:rPr>
        <w:t xml:space="preserve">understood </w:t>
      </w:r>
      <w:r w:rsidR="00787E7C" w:rsidRPr="00F5600D">
        <w:rPr>
          <w:sz w:val="24"/>
          <w:szCs w:val="24"/>
        </w:rPr>
        <w:t xml:space="preserve">as including a right to seclusion that was rather different </w:t>
      </w:r>
      <w:r w:rsidR="006C40A6">
        <w:rPr>
          <w:sz w:val="24"/>
          <w:szCs w:val="24"/>
        </w:rPr>
        <w:t xml:space="preserve">from </w:t>
      </w:r>
      <w:r w:rsidR="00787E7C" w:rsidRPr="00F5600D">
        <w:rPr>
          <w:sz w:val="24"/>
          <w:szCs w:val="24"/>
        </w:rPr>
        <w:t xml:space="preserve">the one in New Zealand. What the case minted was a cause of action </w:t>
      </w:r>
      <w:r>
        <w:rPr>
          <w:sz w:val="24"/>
          <w:szCs w:val="24"/>
        </w:rPr>
        <w:t xml:space="preserve">that </w:t>
      </w:r>
      <w:r w:rsidR="00B779ED">
        <w:rPr>
          <w:sz w:val="24"/>
          <w:szCs w:val="24"/>
        </w:rPr>
        <w:t xml:space="preserve">lies </w:t>
      </w:r>
      <w:r>
        <w:rPr>
          <w:sz w:val="24"/>
          <w:szCs w:val="24"/>
        </w:rPr>
        <w:t xml:space="preserve">where a defendant </w:t>
      </w:r>
      <w:r w:rsidR="001B18B3">
        <w:rPr>
          <w:sz w:val="24"/>
          <w:szCs w:val="24"/>
        </w:rPr>
        <w:t>gain</w:t>
      </w:r>
      <w:r>
        <w:rPr>
          <w:sz w:val="24"/>
          <w:szCs w:val="24"/>
        </w:rPr>
        <w:t>s unauthoris</w:t>
      </w:r>
      <w:r w:rsidR="001B18B3">
        <w:rPr>
          <w:sz w:val="24"/>
          <w:szCs w:val="24"/>
        </w:rPr>
        <w:t xml:space="preserve">ed </w:t>
      </w:r>
      <w:r w:rsidR="00787E7C" w:rsidRPr="00F5600D">
        <w:rPr>
          <w:sz w:val="24"/>
          <w:szCs w:val="24"/>
        </w:rPr>
        <w:t xml:space="preserve">access </w:t>
      </w:r>
      <w:r>
        <w:rPr>
          <w:sz w:val="24"/>
          <w:szCs w:val="24"/>
        </w:rPr>
        <w:t xml:space="preserve">to a </w:t>
      </w:r>
      <w:r w:rsidR="00C06886">
        <w:rPr>
          <w:sz w:val="24"/>
          <w:szCs w:val="24"/>
        </w:rPr>
        <w:t xml:space="preserve">claimant’s </w:t>
      </w:r>
      <w:r w:rsidR="00787E7C" w:rsidRPr="00F5600D">
        <w:rPr>
          <w:sz w:val="24"/>
          <w:szCs w:val="24"/>
        </w:rPr>
        <w:t xml:space="preserve">private </w:t>
      </w:r>
      <w:r w:rsidR="00C06886">
        <w:rPr>
          <w:sz w:val="24"/>
          <w:szCs w:val="24"/>
        </w:rPr>
        <w:t>personal records (such as the bank account, in this case)</w:t>
      </w:r>
      <w:r w:rsidR="00787E7C" w:rsidRPr="00F5600D">
        <w:rPr>
          <w:sz w:val="24"/>
          <w:szCs w:val="24"/>
        </w:rPr>
        <w:t xml:space="preserve">. </w:t>
      </w:r>
      <w:r w:rsidR="00565A42">
        <w:rPr>
          <w:sz w:val="24"/>
          <w:szCs w:val="24"/>
        </w:rPr>
        <w:t xml:space="preserve">Obviously, this differs significantly from the New Zealand tort of intrusion upon seclusion. It also differs from both the New Zealand tort of invasion of personal </w:t>
      </w:r>
      <w:r w:rsidR="002D212F">
        <w:rPr>
          <w:sz w:val="24"/>
          <w:szCs w:val="24"/>
        </w:rPr>
        <w:t xml:space="preserve">privacy </w:t>
      </w:r>
      <w:r w:rsidR="00565A42">
        <w:rPr>
          <w:sz w:val="24"/>
          <w:szCs w:val="24"/>
        </w:rPr>
        <w:t>and the English tort of misuse of private information</w:t>
      </w:r>
      <w:r w:rsidR="002D212F">
        <w:rPr>
          <w:sz w:val="24"/>
          <w:szCs w:val="24"/>
        </w:rPr>
        <w:t>,</w:t>
      </w:r>
      <w:r w:rsidR="00565A42">
        <w:rPr>
          <w:sz w:val="24"/>
          <w:szCs w:val="24"/>
        </w:rPr>
        <w:t xml:space="preserve"> since </w:t>
      </w:r>
      <w:r w:rsidR="002D212F">
        <w:rPr>
          <w:sz w:val="24"/>
          <w:szCs w:val="24"/>
        </w:rPr>
        <w:t xml:space="preserve">both of </w:t>
      </w:r>
      <w:r w:rsidR="00565A42">
        <w:rPr>
          <w:sz w:val="24"/>
          <w:szCs w:val="24"/>
        </w:rPr>
        <w:t xml:space="preserve">those torts require the dissemination of private information. </w:t>
      </w:r>
    </w:p>
    <w:p w14:paraId="553AF014" w14:textId="4B6F0A3D" w:rsidR="00013C9A" w:rsidRDefault="00AD5770" w:rsidP="002710A4">
      <w:pPr>
        <w:tabs>
          <w:tab w:val="left" w:pos="284"/>
        </w:tabs>
        <w:spacing w:after="0" w:line="240" w:lineRule="auto"/>
        <w:ind w:firstLine="284"/>
        <w:jc w:val="both"/>
        <w:rPr>
          <w:sz w:val="24"/>
          <w:szCs w:val="24"/>
        </w:rPr>
      </w:pPr>
      <w:r>
        <w:rPr>
          <w:sz w:val="24"/>
          <w:szCs w:val="24"/>
        </w:rPr>
        <w:t xml:space="preserve">In the United States, the protection of privacy </w:t>
      </w:r>
      <w:r w:rsidR="00C90188">
        <w:rPr>
          <w:sz w:val="24"/>
          <w:szCs w:val="24"/>
        </w:rPr>
        <w:t>by tort law is of very considerable vintage.</w:t>
      </w:r>
      <w:r w:rsidR="00565A42">
        <w:rPr>
          <w:rStyle w:val="FootnoteReference"/>
          <w:sz w:val="24"/>
          <w:szCs w:val="24"/>
        </w:rPr>
        <w:footnoteReference w:id="102"/>
      </w:r>
      <w:r w:rsidR="00C90188">
        <w:rPr>
          <w:sz w:val="24"/>
          <w:szCs w:val="24"/>
        </w:rPr>
        <w:t xml:space="preserve"> </w:t>
      </w:r>
      <w:r w:rsidR="00B01A34">
        <w:rPr>
          <w:sz w:val="24"/>
          <w:szCs w:val="24"/>
        </w:rPr>
        <w:t xml:space="preserve">The Restatement (Second) of </w:t>
      </w:r>
      <w:r w:rsidR="00C20163">
        <w:rPr>
          <w:sz w:val="24"/>
          <w:szCs w:val="24"/>
        </w:rPr>
        <w:t xml:space="preserve">the Law of </w:t>
      </w:r>
      <w:r w:rsidR="00B01A34">
        <w:rPr>
          <w:sz w:val="24"/>
          <w:szCs w:val="24"/>
        </w:rPr>
        <w:t xml:space="preserve">Torts recognises four </w:t>
      </w:r>
      <w:r w:rsidR="002710A4">
        <w:rPr>
          <w:sz w:val="24"/>
          <w:szCs w:val="24"/>
        </w:rPr>
        <w:t>privacy torts: (1) unreasonable intrusion upon seclusion; (2) appropriation of another’s name or likeness; (3) unreasonable publicity given to another’s private life; and (4) publicity that unreasonably places another in a false light before the public.</w:t>
      </w:r>
      <w:r w:rsidR="002710A4">
        <w:rPr>
          <w:rStyle w:val="FootnoteReference"/>
          <w:sz w:val="24"/>
          <w:szCs w:val="24"/>
        </w:rPr>
        <w:footnoteReference w:id="103"/>
      </w:r>
      <w:r w:rsidR="002710A4">
        <w:rPr>
          <w:sz w:val="24"/>
          <w:szCs w:val="24"/>
        </w:rPr>
        <w:t xml:space="preserve"> This understanding </w:t>
      </w:r>
      <w:r w:rsidR="002D212F">
        <w:rPr>
          <w:sz w:val="24"/>
          <w:szCs w:val="24"/>
        </w:rPr>
        <w:t xml:space="preserve">of the law </w:t>
      </w:r>
      <w:r w:rsidR="002710A4">
        <w:rPr>
          <w:sz w:val="24"/>
          <w:szCs w:val="24"/>
        </w:rPr>
        <w:t xml:space="preserve">was endorsed by the </w:t>
      </w:r>
      <w:r w:rsidR="00D46BEA">
        <w:rPr>
          <w:sz w:val="24"/>
          <w:szCs w:val="24"/>
        </w:rPr>
        <w:t xml:space="preserve">Supreme Court in </w:t>
      </w:r>
      <w:r w:rsidR="004278E4" w:rsidRPr="00CA526F">
        <w:rPr>
          <w:i/>
          <w:sz w:val="24"/>
          <w:szCs w:val="24"/>
        </w:rPr>
        <w:t>Cox Broadcasting Corp v Cohn</w:t>
      </w:r>
      <w:r w:rsidR="00B12F03">
        <w:rPr>
          <w:sz w:val="24"/>
          <w:szCs w:val="24"/>
        </w:rPr>
        <w:t>,</w:t>
      </w:r>
      <w:r w:rsidR="00D46BEA" w:rsidRPr="00F5600D">
        <w:rPr>
          <w:rStyle w:val="FootnoteReference"/>
          <w:sz w:val="24"/>
          <w:szCs w:val="24"/>
        </w:rPr>
        <w:footnoteReference w:id="104"/>
      </w:r>
      <w:r w:rsidR="004278E4">
        <w:rPr>
          <w:sz w:val="24"/>
          <w:szCs w:val="24"/>
        </w:rPr>
        <w:t xml:space="preserve"> </w:t>
      </w:r>
      <w:r w:rsidR="00560835">
        <w:rPr>
          <w:sz w:val="24"/>
          <w:szCs w:val="24"/>
        </w:rPr>
        <w:t xml:space="preserve">and some of these </w:t>
      </w:r>
      <w:r w:rsidR="002710A4">
        <w:rPr>
          <w:sz w:val="24"/>
          <w:szCs w:val="24"/>
        </w:rPr>
        <w:t xml:space="preserve">torts have </w:t>
      </w:r>
      <w:r w:rsidR="004F0960">
        <w:rPr>
          <w:sz w:val="24"/>
          <w:szCs w:val="24"/>
        </w:rPr>
        <w:t xml:space="preserve">been shaped by the </w:t>
      </w:r>
      <w:r w:rsidR="00565A42">
        <w:rPr>
          <w:sz w:val="24"/>
          <w:szCs w:val="24"/>
        </w:rPr>
        <w:t xml:space="preserve">United States </w:t>
      </w:r>
      <w:r w:rsidR="004F0960">
        <w:rPr>
          <w:sz w:val="24"/>
          <w:szCs w:val="24"/>
        </w:rPr>
        <w:t>Constitution.</w:t>
      </w:r>
      <w:r w:rsidR="00705785">
        <w:rPr>
          <w:sz w:val="24"/>
          <w:szCs w:val="24"/>
        </w:rPr>
        <w:t xml:space="preserve"> </w:t>
      </w:r>
      <w:r w:rsidR="004F0960">
        <w:rPr>
          <w:sz w:val="24"/>
          <w:szCs w:val="24"/>
        </w:rPr>
        <w:t xml:space="preserve">In </w:t>
      </w:r>
      <w:r w:rsidR="004F0960" w:rsidRPr="004F0960">
        <w:rPr>
          <w:i/>
          <w:sz w:val="24"/>
          <w:szCs w:val="24"/>
        </w:rPr>
        <w:t>Cohn</w:t>
      </w:r>
      <w:r w:rsidR="004F0960">
        <w:rPr>
          <w:sz w:val="24"/>
          <w:szCs w:val="24"/>
        </w:rPr>
        <w:t xml:space="preserve"> itself, </w:t>
      </w:r>
      <w:r w:rsidR="009626A0">
        <w:rPr>
          <w:sz w:val="24"/>
          <w:szCs w:val="24"/>
        </w:rPr>
        <w:t xml:space="preserve">the third of these torts was in issue. </w:t>
      </w:r>
      <w:r w:rsidR="0068008B">
        <w:rPr>
          <w:sz w:val="24"/>
          <w:szCs w:val="24"/>
        </w:rPr>
        <w:t>A</w:t>
      </w:r>
      <w:r w:rsidR="00BE2B45">
        <w:rPr>
          <w:sz w:val="24"/>
          <w:szCs w:val="24"/>
        </w:rPr>
        <w:t xml:space="preserve"> </w:t>
      </w:r>
      <w:r w:rsidR="00E36536">
        <w:rPr>
          <w:sz w:val="24"/>
          <w:szCs w:val="24"/>
        </w:rPr>
        <w:t xml:space="preserve">television </w:t>
      </w:r>
      <w:r w:rsidR="004278E4">
        <w:rPr>
          <w:sz w:val="24"/>
          <w:szCs w:val="24"/>
        </w:rPr>
        <w:t>company (and a reporter employed by it) were sued by the father of a 17</w:t>
      </w:r>
      <w:r w:rsidR="00A520D4">
        <w:rPr>
          <w:sz w:val="24"/>
          <w:szCs w:val="24"/>
        </w:rPr>
        <w:t>-</w:t>
      </w:r>
      <w:r w:rsidR="004278E4">
        <w:rPr>
          <w:sz w:val="24"/>
          <w:szCs w:val="24"/>
        </w:rPr>
        <w:t>year</w:t>
      </w:r>
      <w:r w:rsidR="00A520D4">
        <w:rPr>
          <w:sz w:val="24"/>
          <w:szCs w:val="24"/>
        </w:rPr>
        <w:t>-</w:t>
      </w:r>
      <w:r w:rsidR="001B18B3">
        <w:rPr>
          <w:sz w:val="24"/>
          <w:szCs w:val="24"/>
        </w:rPr>
        <w:t xml:space="preserve">old </w:t>
      </w:r>
      <w:r w:rsidR="004278E4">
        <w:rPr>
          <w:sz w:val="24"/>
          <w:szCs w:val="24"/>
        </w:rPr>
        <w:t>rape victim</w:t>
      </w:r>
      <w:r w:rsidR="00B36F57">
        <w:rPr>
          <w:sz w:val="24"/>
          <w:szCs w:val="24"/>
        </w:rPr>
        <w:t xml:space="preserve"> </w:t>
      </w:r>
      <w:r w:rsidR="004278E4">
        <w:rPr>
          <w:sz w:val="24"/>
          <w:szCs w:val="24"/>
        </w:rPr>
        <w:t xml:space="preserve">for publishing his daughter’s name. </w:t>
      </w:r>
      <w:r w:rsidR="00D6792B">
        <w:rPr>
          <w:sz w:val="24"/>
          <w:szCs w:val="24"/>
        </w:rPr>
        <w:t xml:space="preserve">The reporter had </w:t>
      </w:r>
      <w:r w:rsidR="002D212F">
        <w:rPr>
          <w:sz w:val="24"/>
          <w:szCs w:val="24"/>
        </w:rPr>
        <w:t xml:space="preserve">obtained </w:t>
      </w:r>
      <w:r w:rsidR="00D6792B">
        <w:rPr>
          <w:sz w:val="24"/>
          <w:szCs w:val="24"/>
        </w:rPr>
        <w:t xml:space="preserve">the daughter’s name in open court. </w:t>
      </w:r>
      <w:r w:rsidR="004278E4">
        <w:rPr>
          <w:sz w:val="24"/>
          <w:szCs w:val="24"/>
        </w:rPr>
        <w:t>The father argued</w:t>
      </w:r>
      <w:r w:rsidR="00D86613">
        <w:rPr>
          <w:sz w:val="24"/>
          <w:szCs w:val="24"/>
        </w:rPr>
        <w:t>, relevantly, that in publishing his daughter’s name his right to privacy had been violated</w:t>
      </w:r>
      <w:r w:rsidR="009626A0">
        <w:rPr>
          <w:sz w:val="24"/>
          <w:szCs w:val="24"/>
        </w:rPr>
        <w:t xml:space="preserve">. </w:t>
      </w:r>
      <w:r w:rsidR="004278E4">
        <w:rPr>
          <w:sz w:val="24"/>
          <w:szCs w:val="24"/>
        </w:rPr>
        <w:t>By way of defence, the company</w:t>
      </w:r>
      <w:r w:rsidR="00AA43A1">
        <w:rPr>
          <w:sz w:val="24"/>
          <w:szCs w:val="24"/>
        </w:rPr>
        <w:t xml:space="preserve"> argued</w:t>
      </w:r>
      <w:r w:rsidR="00D6792B">
        <w:rPr>
          <w:sz w:val="24"/>
          <w:szCs w:val="24"/>
        </w:rPr>
        <w:t xml:space="preserve">, among </w:t>
      </w:r>
      <w:r w:rsidR="00D6792B">
        <w:rPr>
          <w:sz w:val="24"/>
          <w:szCs w:val="24"/>
        </w:rPr>
        <w:lastRenderedPageBreak/>
        <w:t>other things,</w:t>
      </w:r>
      <w:r w:rsidR="00AA43A1">
        <w:rPr>
          <w:sz w:val="24"/>
          <w:szCs w:val="24"/>
        </w:rPr>
        <w:t xml:space="preserve"> that </w:t>
      </w:r>
      <w:r w:rsidR="009626A0">
        <w:rPr>
          <w:sz w:val="24"/>
          <w:szCs w:val="24"/>
        </w:rPr>
        <w:t xml:space="preserve">granting </w:t>
      </w:r>
      <w:r w:rsidR="00AA43A1">
        <w:rPr>
          <w:sz w:val="24"/>
          <w:szCs w:val="24"/>
        </w:rPr>
        <w:t xml:space="preserve">the action </w:t>
      </w:r>
      <w:r w:rsidR="0084192E">
        <w:rPr>
          <w:sz w:val="24"/>
          <w:szCs w:val="24"/>
        </w:rPr>
        <w:t xml:space="preserve">would </w:t>
      </w:r>
      <w:r w:rsidR="002D212F">
        <w:rPr>
          <w:sz w:val="24"/>
          <w:szCs w:val="24"/>
        </w:rPr>
        <w:t xml:space="preserve">infringe </w:t>
      </w:r>
      <w:r w:rsidR="00D27ED0">
        <w:rPr>
          <w:sz w:val="24"/>
          <w:szCs w:val="24"/>
        </w:rPr>
        <w:t>the First Amendment</w:t>
      </w:r>
      <w:r w:rsidR="00C20163">
        <w:rPr>
          <w:sz w:val="24"/>
          <w:szCs w:val="24"/>
        </w:rPr>
        <w:t>.</w:t>
      </w:r>
      <w:r w:rsidR="009626A0">
        <w:rPr>
          <w:rStyle w:val="FootnoteReference"/>
          <w:sz w:val="24"/>
          <w:szCs w:val="24"/>
        </w:rPr>
        <w:footnoteReference w:id="105"/>
      </w:r>
      <w:r w:rsidR="00D27ED0">
        <w:rPr>
          <w:sz w:val="24"/>
          <w:szCs w:val="24"/>
        </w:rPr>
        <w:t xml:space="preserve"> </w:t>
      </w:r>
      <w:r w:rsidR="00C20163">
        <w:rPr>
          <w:sz w:val="24"/>
          <w:szCs w:val="24"/>
        </w:rPr>
        <w:t xml:space="preserve">This </w:t>
      </w:r>
      <w:r w:rsidR="00C20163" w:rsidRPr="00D6792B">
        <w:rPr>
          <w:sz w:val="24"/>
          <w:szCs w:val="24"/>
        </w:rPr>
        <w:t xml:space="preserve">argument was accepted by a majority of the Court. White J </w:t>
      </w:r>
      <w:r w:rsidR="00D6792B" w:rsidRPr="00D6792B">
        <w:rPr>
          <w:sz w:val="24"/>
          <w:szCs w:val="24"/>
        </w:rPr>
        <w:t>stated that it was constitutionally impermissible for a state to ‘</w:t>
      </w:r>
      <w:r w:rsidR="00C20163" w:rsidRPr="00D6792B">
        <w:rPr>
          <w:rStyle w:val="headertext"/>
          <w:sz w:val="24"/>
          <w:szCs w:val="24"/>
        </w:rPr>
        <w:t xml:space="preserve">impose sanctions on the accurate publication of the name of a rape victim obtained from public records </w:t>
      </w:r>
      <w:r w:rsidR="00D6792B" w:rsidRPr="00D6792B">
        <w:rPr>
          <w:rStyle w:val="headertext"/>
          <w:sz w:val="24"/>
          <w:szCs w:val="24"/>
        </w:rPr>
        <w:t>–</w:t>
      </w:r>
      <w:r w:rsidR="00C20163" w:rsidRPr="00D6792B">
        <w:rPr>
          <w:rStyle w:val="headertext"/>
          <w:sz w:val="24"/>
          <w:szCs w:val="24"/>
        </w:rPr>
        <w:t xml:space="preserve"> more specifically, from judicial records which are maintained in connection with a public prosecution and which themselves are open to public inspection.</w:t>
      </w:r>
      <w:r w:rsidR="00D6792B" w:rsidRPr="00D6792B">
        <w:rPr>
          <w:rStyle w:val="headertext"/>
          <w:sz w:val="24"/>
          <w:szCs w:val="24"/>
        </w:rPr>
        <w:t>’</w:t>
      </w:r>
      <w:r w:rsidR="00D6792B">
        <w:rPr>
          <w:rStyle w:val="FootnoteReference"/>
          <w:sz w:val="24"/>
          <w:szCs w:val="24"/>
        </w:rPr>
        <w:footnoteReference w:id="106"/>
      </w:r>
      <w:r w:rsidR="00D6792B" w:rsidRPr="00D6792B">
        <w:rPr>
          <w:rStyle w:val="headertext"/>
          <w:sz w:val="24"/>
          <w:szCs w:val="24"/>
        </w:rPr>
        <w:t xml:space="preserve"> </w:t>
      </w:r>
      <w:r w:rsidR="00D6792B">
        <w:rPr>
          <w:rStyle w:val="headertext"/>
          <w:sz w:val="24"/>
          <w:szCs w:val="24"/>
        </w:rPr>
        <w:t xml:space="preserve">The scope of the tort </w:t>
      </w:r>
      <w:r w:rsidR="002D212F">
        <w:rPr>
          <w:rStyle w:val="headertext"/>
          <w:sz w:val="24"/>
          <w:szCs w:val="24"/>
        </w:rPr>
        <w:t xml:space="preserve">of unreasonably giving publicity to another’s private life </w:t>
      </w:r>
      <w:r w:rsidR="00D6792B">
        <w:rPr>
          <w:rStyle w:val="headertext"/>
          <w:sz w:val="24"/>
          <w:szCs w:val="24"/>
        </w:rPr>
        <w:t xml:space="preserve">consequently had to be restricted. </w:t>
      </w:r>
      <w:r w:rsidR="004F0960">
        <w:rPr>
          <w:sz w:val="24"/>
          <w:szCs w:val="24"/>
        </w:rPr>
        <w:t xml:space="preserve">Leaving </w:t>
      </w:r>
      <w:r w:rsidR="004F0960">
        <w:rPr>
          <w:i/>
          <w:sz w:val="24"/>
          <w:szCs w:val="24"/>
        </w:rPr>
        <w:t xml:space="preserve">Cohn </w:t>
      </w:r>
      <w:r w:rsidR="004F0960">
        <w:rPr>
          <w:sz w:val="24"/>
          <w:szCs w:val="24"/>
        </w:rPr>
        <w:t xml:space="preserve">to one side, it is also notable that the </w:t>
      </w:r>
      <w:r w:rsidR="00D6792B">
        <w:rPr>
          <w:sz w:val="24"/>
          <w:szCs w:val="24"/>
        </w:rPr>
        <w:t xml:space="preserve">United States </w:t>
      </w:r>
      <w:r w:rsidR="004F0960">
        <w:rPr>
          <w:sz w:val="24"/>
          <w:szCs w:val="24"/>
        </w:rPr>
        <w:t>C</w:t>
      </w:r>
      <w:r w:rsidR="0068008B">
        <w:rPr>
          <w:sz w:val="24"/>
          <w:szCs w:val="24"/>
        </w:rPr>
        <w:t xml:space="preserve">onstitution has </w:t>
      </w:r>
      <w:r w:rsidR="0052524A">
        <w:rPr>
          <w:sz w:val="24"/>
          <w:szCs w:val="24"/>
        </w:rPr>
        <w:t xml:space="preserve">also </w:t>
      </w:r>
      <w:r w:rsidR="004F0960">
        <w:rPr>
          <w:sz w:val="24"/>
          <w:szCs w:val="24"/>
        </w:rPr>
        <w:t xml:space="preserve">influenced the </w:t>
      </w:r>
      <w:r w:rsidR="002D212F">
        <w:rPr>
          <w:sz w:val="24"/>
          <w:szCs w:val="24"/>
        </w:rPr>
        <w:t xml:space="preserve">first-mentioned </w:t>
      </w:r>
      <w:r w:rsidR="0052524A">
        <w:rPr>
          <w:sz w:val="24"/>
          <w:szCs w:val="24"/>
        </w:rPr>
        <w:t xml:space="preserve">privacy tort, which is concerned with the </w:t>
      </w:r>
      <w:r w:rsidR="004F0960">
        <w:rPr>
          <w:sz w:val="24"/>
          <w:szCs w:val="24"/>
        </w:rPr>
        <w:t>right to seclusion</w:t>
      </w:r>
      <w:r w:rsidR="0068008B">
        <w:rPr>
          <w:sz w:val="24"/>
          <w:szCs w:val="24"/>
        </w:rPr>
        <w:t>. In</w:t>
      </w:r>
      <w:r w:rsidR="004F0960">
        <w:rPr>
          <w:sz w:val="24"/>
          <w:szCs w:val="24"/>
        </w:rPr>
        <w:t xml:space="preserve"> </w:t>
      </w:r>
      <w:r w:rsidR="004F0960" w:rsidRPr="004F0960">
        <w:rPr>
          <w:i/>
          <w:sz w:val="24"/>
          <w:szCs w:val="24"/>
        </w:rPr>
        <w:t>Olmstead v US</w:t>
      </w:r>
      <w:r w:rsidR="004F0960">
        <w:rPr>
          <w:sz w:val="24"/>
          <w:szCs w:val="24"/>
        </w:rPr>
        <w:t xml:space="preserve"> Brandeis</w:t>
      </w:r>
      <w:r w:rsidR="0052524A">
        <w:rPr>
          <w:sz w:val="24"/>
          <w:szCs w:val="24"/>
        </w:rPr>
        <w:t xml:space="preserve"> J</w:t>
      </w:r>
      <w:r w:rsidR="004F0960">
        <w:rPr>
          <w:sz w:val="24"/>
          <w:szCs w:val="24"/>
        </w:rPr>
        <w:t>, having recognised ‘the right to be let alone’ stated that ‘every unjustifiable intrusion by the government upon the privacy of the individual, whatever the means employed, must be deemed a violation of the Fourth Amendment’.</w:t>
      </w:r>
      <w:r w:rsidR="004F0960" w:rsidRPr="00F5600D">
        <w:rPr>
          <w:rStyle w:val="FootnoteReference"/>
          <w:sz w:val="24"/>
          <w:szCs w:val="24"/>
        </w:rPr>
        <w:footnoteReference w:id="107"/>
      </w:r>
      <w:r w:rsidR="004F0960">
        <w:rPr>
          <w:sz w:val="24"/>
          <w:szCs w:val="24"/>
        </w:rPr>
        <w:t xml:space="preserve"> </w:t>
      </w:r>
      <w:r w:rsidR="002E0A33">
        <w:rPr>
          <w:sz w:val="24"/>
          <w:szCs w:val="24"/>
        </w:rPr>
        <w:t>We offer no comment on the merits of these developments</w:t>
      </w:r>
      <w:r w:rsidR="0052524A">
        <w:rPr>
          <w:sz w:val="24"/>
          <w:szCs w:val="24"/>
        </w:rPr>
        <w:t>, which are irrelevant for present purposes</w:t>
      </w:r>
      <w:r w:rsidR="002E0A33">
        <w:rPr>
          <w:sz w:val="24"/>
          <w:szCs w:val="24"/>
        </w:rPr>
        <w:t>.</w:t>
      </w:r>
      <w:r w:rsidR="00946367">
        <w:rPr>
          <w:sz w:val="24"/>
          <w:szCs w:val="24"/>
        </w:rPr>
        <w:t xml:space="preserve"> </w:t>
      </w:r>
      <w:r w:rsidR="002E0A33">
        <w:rPr>
          <w:sz w:val="24"/>
          <w:szCs w:val="24"/>
        </w:rPr>
        <w:t>We confine our</w:t>
      </w:r>
      <w:r w:rsidR="002071BC">
        <w:rPr>
          <w:sz w:val="24"/>
          <w:szCs w:val="24"/>
        </w:rPr>
        <w:t xml:space="preserve">selves to the observation that these constitutional concerns have influenced the law of privacy in </w:t>
      </w:r>
      <w:r w:rsidR="0052524A">
        <w:rPr>
          <w:sz w:val="24"/>
          <w:szCs w:val="24"/>
        </w:rPr>
        <w:t xml:space="preserve">the United States </w:t>
      </w:r>
      <w:r w:rsidR="002071BC">
        <w:rPr>
          <w:sz w:val="24"/>
          <w:szCs w:val="24"/>
        </w:rPr>
        <w:t>in a unique way.</w:t>
      </w:r>
    </w:p>
    <w:p w14:paraId="3A1018A1" w14:textId="77777777" w:rsidR="00013C9A" w:rsidRPr="00F5600D" w:rsidRDefault="00013C9A" w:rsidP="00F5600D">
      <w:pPr>
        <w:tabs>
          <w:tab w:val="left" w:pos="284"/>
        </w:tabs>
        <w:spacing w:after="0" w:line="240" w:lineRule="auto"/>
        <w:jc w:val="both"/>
        <w:rPr>
          <w:b/>
          <w:sz w:val="24"/>
          <w:szCs w:val="24"/>
        </w:rPr>
      </w:pPr>
    </w:p>
    <w:p w14:paraId="46DB02DA" w14:textId="63E5B098" w:rsidR="00787E7C" w:rsidRPr="00F5600D" w:rsidRDefault="00787E7C" w:rsidP="007C25D5">
      <w:pPr>
        <w:pStyle w:val="Heading4"/>
        <w:keepNext/>
        <w:tabs>
          <w:tab w:val="left" w:pos="567"/>
        </w:tabs>
      </w:pPr>
      <w:r w:rsidRPr="00F5600D">
        <w:t>(c)</w:t>
      </w:r>
      <w:r w:rsidR="005E5756">
        <w:t xml:space="preserve"> </w:t>
      </w:r>
      <w:r w:rsidR="005E5756">
        <w:tab/>
      </w:r>
      <w:r w:rsidRPr="00F5600D">
        <w:t>Caps on Compensatory Damages</w:t>
      </w:r>
    </w:p>
    <w:p w14:paraId="5B094E52" w14:textId="77777777" w:rsidR="00787E7C" w:rsidRPr="00F5600D" w:rsidRDefault="00787E7C" w:rsidP="00C46926">
      <w:pPr>
        <w:keepNext/>
        <w:tabs>
          <w:tab w:val="left" w:pos="284"/>
        </w:tabs>
        <w:spacing w:after="0" w:line="240" w:lineRule="auto"/>
        <w:jc w:val="both"/>
        <w:rPr>
          <w:sz w:val="24"/>
          <w:szCs w:val="24"/>
        </w:rPr>
      </w:pPr>
    </w:p>
    <w:p w14:paraId="31090352" w14:textId="70609C9E" w:rsidR="00787E7C" w:rsidRDefault="00787E7C" w:rsidP="00F82F89">
      <w:pPr>
        <w:tabs>
          <w:tab w:val="left" w:pos="284"/>
        </w:tabs>
        <w:spacing w:after="0" w:line="240" w:lineRule="auto"/>
        <w:jc w:val="both"/>
        <w:rPr>
          <w:sz w:val="24"/>
          <w:szCs w:val="24"/>
        </w:rPr>
      </w:pPr>
      <w:r w:rsidRPr="00F5600D">
        <w:rPr>
          <w:sz w:val="24"/>
          <w:szCs w:val="24"/>
        </w:rPr>
        <w:t>The i</w:t>
      </w:r>
      <w:r w:rsidR="00B95518">
        <w:rPr>
          <w:sz w:val="24"/>
          <w:szCs w:val="24"/>
        </w:rPr>
        <w:t xml:space="preserve">nfluence of the </w:t>
      </w:r>
      <w:r w:rsidR="001C63B6">
        <w:rPr>
          <w:sz w:val="24"/>
          <w:szCs w:val="24"/>
        </w:rPr>
        <w:t xml:space="preserve">constitutional arrangements on </w:t>
      </w:r>
      <w:r w:rsidRPr="00F5600D">
        <w:rPr>
          <w:sz w:val="24"/>
          <w:szCs w:val="24"/>
        </w:rPr>
        <w:t xml:space="preserve">American tort law </w:t>
      </w:r>
      <w:r w:rsidR="005B1286">
        <w:rPr>
          <w:sz w:val="24"/>
          <w:szCs w:val="24"/>
        </w:rPr>
        <w:t xml:space="preserve">has </w:t>
      </w:r>
      <w:r w:rsidR="00300102">
        <w:rPr>
          <w:sz w:val="24"/>
          <w:szCs w:val="24"/>
        </w:rPr>
        <w:t xml:space="preserve">not </w:t>
      </w:r>
      <w:r w:rsidR="005B1286">
        <w:rPr>
          <w:sz w:val="24"/>
          <w:szCs w:val="24"/>
        </w:rPr>
        <w:t xml:space="preserve">been </w:t>
      </w:r>
      <w:r w:rsidRPr="00F5600D">
        <w:rPr>
          <w:sz w:val="24"/>
          <w:szCs w:val="24"/>
        </w:rPr>
        <w:t xml:space="preserve">confined to </w:t>
      </w:r>
      <w:r w:rsidR="005B3911">
        <w:rPr>
          <w:sz w:val="24"/>
          <w:szCs w:val="24"/>
        </w:rPr>
        <w:t xml:space="preserve">the </w:t>
      </w:r>
      <w:r w:rsidR="009602ED">
        <w:rPr>
          <w:sz w:val="24"/>
          <w:szCs w:val="24"/>
        </w:rPr>
        <w:t xml:space="preserve">areas of </w:t>
      </w:r>
      <w:r w:rsidRPr="00F5600D">
        <w:rPr>
          <w:sz w:val="24"/>
          <w:szCs w:val="24"/>
        </w:rPr>
        <w:t>defamation</w:t>
      </w:r>
      <w:r w:rsidR="00B95518">
        <w:rPr>
          <w:sz w:val="24"/>
          <w:szCs w:val="24"/>
        </w:rPr>
        <w:t xml:space="preserve"> </w:t>
      </w:r>
      <w:r w:rsidR="005B1286">
        <w:rPr>
          <w:sz w:val="24"/>
          <w:szCs w:val="24"/>
        </w:rPr>
        <w:t>or privacy</w:t>
      </w:r>
      <w:r w:rsidRPr="00F5600D">
        <w:rPr>
          <w:sz w:val="24"/>
          <w:szCs w:val="24"/>
        </w:rPr>
        <w:t>. It</w:t>
      </w:r>
      <w:r w:rsidR="00B95518">
        <w:rPr>
          <w:sz w:val="24"/>
          <w:szCs w:val="24"/>
        </w:rPr>
        <w:t xml:space="preserve"> also </w:t>
      </w:r>
      <w:r w:rsidR="009602ED">
        <w:rPr>
          <w:sz w:val="24"/>
          <w:szCs w:val="24"/>
        </w:rPr>
        <w:t xml:space="preserve">constrains the freedom of state legislatures </w:t>
      </w:r>
      <w:r w:rsidR="00F82F89">
        <w:rPr>
          <w:sz w:val="24"/>
          <w:szCs w:val="24"/>
        </w:rPr>
        <w:t xml:space="preserve">to </w:t>
      </w:r>
      <w:r w:rsidRPr="00F5600D">
        <w:rPr>
          <w:sz w:val="24"/>
          <w:szCs w:val="24"/>
        </w:rPr>
        <w:t xml:space="preserve">cap compensatory damages. </w:t>
      </w:r>
      <w:r w:rsidR="00F56FA1">
        <w:rPr>
          <w:sz w:val="24"/>
          <w:szCs w:val="24"/>
        </w:rPr>
        <w:t xml:space="preserve">The relevant jurisprudence </w:t>
      </w:r>
      <w:r w:rsidR="00F82F89">
        <w:rPr>
          <w:sz w:val="24"/>
          <w:szCs w:val="24"/>
        </w:rPr>
        <w:t xml:space="preserve">is </w:t>
      </w:r>
      <w:r w:rsidR="00F56FA1">
        <w:rPr>
          <w:sz w:val="24"/>
          <w:szCs w:val="24"/>
        </w:rPr>
        <w:t xml:space="preserve">on a vast scale, and it is </w:t>
      </w:r>
      <w:r w:rsidR="00DB1968">
        <w:rPr>
          <w:sz w:val="24"/>
          <w:szCs w:val="24"/>
        </w:rPr>
        <w:t xml:space="preserve">both </w:t>
      </w:r>
      <w:r w:rsidR="00F56FA1">
        <w:rPr>
          <w:sz w:val="24"/>
          <w:szCs w:val="24"/>
        </w:rPr>
        <w:t xml:space="preserve">impossible and unnecessary to do more </w:t>
      </w:r>
      <w:r w:rsidR="00F82F89">
        <w:rPr>
          <w:sz w:val="24"/>
          <w:szCs w:val="24"/>
        </w:rPr>
        <w:t xml:space="preserve">here </w:t>
      </w:r>
      <w:r w:rsidR="00F56FA1">
        <w:rPr>
          <w:sz w:val="24"/>
          <w:szCs w:val="24"/>
        </w:rPr>
        <w:t>than make a few brief observations.</w:t>
      </w:r>
      <w:r w:rsidR="00B26141">
        <w:rPr>
          <w:rStyle w:val="FootnoteReference"/>
          <w:sz w:val="24"/>
          <w:szCs w:val="24"/>
        </w:rPr>
        <w:footnoteReference w:id="108"/>
      </w:r>
      <w:r w:rsidR="00F56FA1">
        <w:rPr>
          <w:sz w:val="24"/>
          <w:szCs w:val="24"/>
        </w:rPr>
        <w:t xml:space="preserve"> </w:t>
      </w:r>
      <w:r w:rsidR="001C63B6">
        <w:rPr>
          <w:sz w:val="24"/>
          <w:szCs w:val="24"/>
        </w:rPr>
        <w:t>Damages caps in the United States are widespread, and are emblematic of modern tort reform efforts in that country. Sometimes, particular heads of damages are capped, such as damages for non-economic loss</w:t>
      </w:r>
      <w:r w:rsidR="00F0137F">
        <w:rPr>
          <w:sz w:val="24"/>
          <w:szCs w:val="24"/>
        </w:rPr>
        <w:t xml:space="preserve"> (as </w:t>
      </w:r>
      <w:r w:rsidR="00F82F89">
        <w:rPr>
          <w:sz w:val="24"/>
          <w:szCs w:val="24"/>
        </w:rPr>
        <w:t xml:space="preserve">that </w:t>
      </w:r>
      <w:r w:rsidR="00F0137F">
        <w:rPr>
          <w:sz w:val="24"/>
          <w:szCs w:val="24"/>
        </w:rPr>
        <w:t>category of damages is usually called in the United States)</w:t>
      </w:r>
      <w:r w:rsidR="00850874">
        <w:rPr>
          <w:sz w:val="24"/>
          <w:szCs w:val="24"/>
        </w:rPr>
        <w:t>.</w:t>
      </w:r>
      <w:r w:rsidR="007E367C">
        <w:rPr>
          <w:rStyle w:val="FootnoteReference"/>
          <w:sz w:val="24"/>
          <w:szCs w:val="24"/>
        </w:rPr>
        <w:footnoteReference w:id="109"/>
      </w:r>
      <w:r w:rsidR="001C63B6">
        <w:rPr>
          <w:sz w:val="24"/>
          <w:szCs w:val="24"/>
        </w:rPr>
        <w:t xml:space="preserve"> On other occasions, caps exist on the total amount of damages</w:t>
      </w:r>
      <w:r w:rsidR="00850874">
        <w:rPr>
          <w:sz w:val="24"/>
          <w:szCs w:val="24"/>
        </w:rPr>
        <w:t>.</w:t>
      </w:r>
      <w:r w:rsidR="001C63B6">
        <w:rPr>
          <w:rStyle w:val="FootnoteReference"/>
          <w:sz w:val="24"/>
          <w:szCs w:val="24"/>
        </w:rPr>
        <w:footnoteReference w:id="110"/>
      </w:r>
      <w:r w:rsidR="001C63B6">
        <w:rPr>
          <w:sz w:val="24"/>
          <w:szCs w:val="24"/>
        </w:rPr>
        <w:t xml:space="preserve"> </w:t>
      </w:r>
      <w:r w:rsidR="00B05D63">
        <w:rPr>
          <w:sz w:val="24"/>
          <w:szCs w:val="24"/>
        </w:rPr>
        <w:t xml:space="preserve">Yet another variation </w:t>
      </w:r>
      <w:r w:rsidR="00F82F89">
        <w:rPr>
          <w:sz w:val="24"/>
          <w:szCs w:val="24"/>
        </w:rPr>
        <w:t xml:space="preserve">are </w:t>
      </w:r>
      <w:r w:rsidR="00B05D63">
        <w:rPr>
          <w:sz w:val="24"/>
          <w:szCs w:val="24"/>
        </w:rPr>
        <w:t>cap</w:t>
      </w:r>
      <w:r w:rsidR="00F82F89">
        <w:rPr>
          <w:sz w:val="24"/>
          <w:szCs w:val="24"/>
        </w:rPr>
        <w:t>s</w:t>
      </w:r>
      <w:r w:rsidR="00B05D63">
        <w:rPr>
          <w:sz w:val="24"/>
          <w:szCs w:val="24"/>
        </w:rPr>
        <w:t xml:space="preserve"> </w:t>
      </w:r>
      <w:r w:rsidR="00F82F89">
        <w:rPr>
          <w:sz w:val="24"/>
          <w:szCs w:val="24"/>
        </w:rPr>
        <w:t xml:space="preserve">on </w:t>
      </w:r>
      <w:r w:rsidR="00B05D63">
        <w:rPr>
          <w:sz w:val="24"/>
          <w:szCs w:val="24"/>
        </w:rPr>
        <w:t xml:space="preserve">awards </w:t>
      </w:r>
      <w:r w:rsidR="00F82F89">
        <w:rPr>
          <w:sz w:val="24"/>
          <w:szCs w:val="24"/>
        </w:rPr>
        <w:t>arising from a particular accident, irrespective of the number of claimants involved</w:t>
      </w:r>
      <w:r w:rsidR="00B05D63">
        <w:rPr>
          <w:sz w:val="24"/>
          <w:szCs w:val="24"/>
        </w:rPr>
        <w:t>.</w:t>
      </w:r>
      <w:r w:rsidR="00B05D63">
        <w:rPr>
          <w:rStyle w:val="FootnoteReference"/>
          <w:sz w:val="24"/>
          <w:szCs w:val="24"/>
        </w:rPr>
        <w:footnoteReference w:id="111"/>
      </w:r>
      <w:r w:rsidR="00B05D63">
        <w:rPr>
          <w:sz w:val="24"/>
          <w:szCs w:val="24"/>
        </w:rPr>
        <w:t xml:space="preserve"> </w:t>
      </w:r>
      <w:r w:rsidR="00274561">
        <w:rPr>
          <w:sz w:val="24"/>
          <w:szCs w:val="24"/>
        </w:rPr>
        <w:t>The constitutional validity o</w:t>
      </w:r>
      <w:r w:rsidR="00F0137F">
        <w:rPr>
          <w:sz w:val="24"/>
          <w:szCs w:val="24"/>
        </w:rPr>
        <w:t xml:space="preserve">f caps has been hotly contested and </w:t>
      </w:r>
      <w:r w:rsidR="00F82F89">
        <w:rPr>
          <w:sz w:val="24"/>
          <w:szCs w:val="24"/>
        </w:rPr>
        <w:t xml:space="preserve">some </w:t>
      </w:r>
      <w:r w:rsidR="00F0137F">
        <w:rPr>
          <w:sz w:val="24"/>
          <w:szCs w:val="24"/>
        </w:rPr>
        <w:t>caps have been struck down</w:t>
      </w:r>
      <w:r w:rsidR="00274561">
        <w:rPr>
          <w:sz w:val="24"/>
          <w:szCs w:val="24"/>
        </w:rPr>
        <w:t xml:space="preserve">. </w:t>
      </w:r>
      <w:r w:rsidR="00850874">
        <w:rPr>
          <w:sz w:val="24"/>
          <w:szCs w:val="24"/>
        </w:rPr>
        <w:t xml:space="preserve">For example, in </w:t>
      </w:r>
      <w:r w:rsidR="00850874">
        <w:rPr>
          <w:i/>
          <w:sz w:val="24"/>
          <w:szCs w:val="24"/>
        </w:rPr>
        <w:t>Ferdon v Wisconsin Patients Compensation Fund</w:t>
      </w:r>
      <w:r w:rsidR="00850874" w:rsidRPr="00850874">
        <w:rPr>
          <w:rStyle w:val="FootnoteReference"/>
          <w:sz w:val="24"/>
          <w:szCs w:val="24"/>
        </w:rPr>
        <w:footnoteReference w:id="112"/>
      </w:r>
      <w:r w:rsidR="00850874">
        <w:rPr>
          <w:i/>
          <w:sz w:val="24"/>
          <w:szCs w:val="24"/>
        </w:rPr>
        <w:t xml:space="preserve"> </w:t>
      </w:r>
      <w:r w:rsidR="00850874">
        <w:rPr>
          <w:sz w:val="24"/>
          <w:szCs w:val="24"/>
        </w:rPr>
        <w:t xml:space="preserve">the Supreme Court of Wisconsin held incompatible with equal protection guarantees in the Wisconsin Constitution a cap on non-economic damages in medical malpractice cases. Similarly, in </w:t>
      </w:r>
      <w:r w:rsidR="00850874">
        <w:rPr>
          <w:i/>
          <w:sz w:val="24"/>
          <w:szCs w:val="24"/>
        </w:rPr>
        <w:t>Estate of McCall v United States</w:t>
      </w:r>
      <w:r w:rsidR="00F0137F" w:rsidRPr="00F0137F">
        <w:rPr>
          <w:rStyle w:val="FootnoteReference"/>
          <w:sz w:val="24"/>
          <w:szCs w:val="24"/>
        </w:rPr>
        <w:footnoteReference w:id="113"/>
      </w:r>
      <w:r w:rsidR="00850874">
        <w:rPr>
          <w:i/>
          <w:sz w:val="24"/>
          <w:szCs w:val="24"/>
        </w:rPr>
        <w:t xml:space="preserve"> </w:t>
      </w:r>
      <w:r w:rsidR="00850874">
        <w:rPr>
          <w:sz w:val="24"/>
          <w:szCs w:val="24"/>
        </w:rPr>
        <w:t xml:space="preserve">the Florida Supreme Court found </w:t>
      </w:r>
      <w:r w:rsidR="00F82F89">
        <w:rPr>
          <w:sz w:val="24"/>
          <w:szCs w:val="24"/>
        </w:rPr>
        <w:t>un</w:t>
      </w:r>
      <w:r w:rsidR="00850874">
        <w:rPr>
          <w:sz w:val="24"/>
          <w:szCs w:val="24"/>
        </w:rPr>
        <w:t xml:space="preserve">constitutional a cap on wrongful death non-economic damages recoverable in a medical malpractice suit. The Court held that the cap violated the </w:t>
      </w:r>
      <w:r w:rsidR="00F0137F">
        <w:rPr>
          <w:sz w:val="24"/>
          <w:szCs w:val="24"/>
        </w:rPr>
        <w:t xml:space="preserve">equal protection right in Florida Constitution’s. </w:t>
      </w:r>
      <w:r w:rsidR="00F1645B">
        <w:rPr>
          <w:sz w:val="24"/>
          <w:szCs w:val="24"/>
        </w:rPr>
        <w:t xml:space="preserve">The </w:t>
      </w:r>
      <w:r w:rsidRPr="00F5600D">
        <w:rPr>
          <w:sz w:val="24"/>
          <w:szCs w:val="24"/>
        </w:rPr>
        <w:t xml:space="preserve">contrast </w:t>
      </w:r>
      <w:r w:rsidR="00F82F89">
        <w:rPr>
          <w:sz w:val="24"/>
          <w:szCs w:val="24"/>
        </w:rPr>
        <w:t xml:space="preserve">with </w:t>
      </w:r>
      <w:r w:rsidR="00F1645B">
        <w:rPr>
          <w:sz w:val="24"/>
          <w:szCs w:val="24"/>
        </w:rPr>
        <w:t xml:space="preserve">the experience in </w:t>
      </w:r>
      <w:r w:rsidRPr="00F5600D">
        <w:rPr>
          <w:sz w:val="24"/>
          <w:szCs w:val="24"/>
        </w:rPr>
        <w:t xml:space="preserve">other common law jurisdictions </w:t>
      </w:r>
      <w:r w:rsidR="00F1645B">
        <w:rPr>
          <w:sz w:val="24"/>
          <w:szCs w:val="24"/>
        </w:rPr>
        <w:t>is stark.</w:t>
      </w:r>
      <w:r w:rsidRPr="00F5600D">
        <w:rPr>
          <w:sz w:val="24"/>
          <w:szCs w:val="24"/>
        </w:rPr>
        <w:t xml:space="preserve"> </w:t>
      </w:r>
      <w:r w:rsidR="00F1645B">
        <w:rPr>
          <w:sz w:val="24"/>
          <w:szCs w:val="24"/>
        </w:rPr>
        <w:t>S</w:t>
      </w:r>
      <w:r w:rsidR="006B58FA">
        <w:rPr>
          <w:sz w:val="24"/>
          <w:szCs w:val="24"/>
        </w:rPr>
        <w:t xml:space="preserve">tatutory </w:t>
      </w:r>
      <w:r w:rsidRPr="00F5600D">
        <w:rPr>
          <w:sz w:val="24"/>
          <w:szCs w:val="24"/>
        </w:rPr>
        <w:t>caps on compensatory damages are commonplace in Australia, and have existed for decades</w:t>
      </w:r>
      <w:r w:rsidR="00F82F89">
        <w:rPr>
          <w:sz w:val="24"/>
          <w:szCs w:val="24"/>
        </w:rPr>
        <w:t>.</w:t>
      </w:r>
      <w:r w:rsidR="00D5396C" w:rsidRPr="00F5600D">
        <w:rPr>
          <w:rStyle w:val="FootnoteReference"/>
          <w:sz w:val="24"/>
          <w:szCs w:val="24"/>
        </w:rPr>
        <w:footnoteReference w:id="114"/>
      </w:r>
      <w:r w:rsidRPr="00F5600D">
        <w:rPr>
          <w:sz w:val="24"/>
          <w:szCs w:val="24"/>
        </w:rPr>
        <w:t xml:space="preserve"> </w:t>
      </w:r>
      <w:r w:rsidR="00F82F89">
        <w:rPr>
          <w:sz w:val="24"/>
          <w:szCs w:val="24"/>
        </w:rPr>
        <w:lastRenderedPageBreak/>
        <w:t>H</w:t>
      </w:r>
      <w:r w:rsidR="00F1645B">
        <w:rPr>
          <w:sz w:val="24"/>
          <w:szCs w:val="24"/>
        </w:rPr>
        <w:t>owever</w:t>
      </w:r>
      <w:r w:rsidR="00F82F89">
        <w:rPr>
          <w:sz w:val="24"/>
          <w:szCs w:val="24"/>
        </w:rPr>
        <w:t>,</w:t>
      </w:r>
      <w:r w:rsidR="00F1645B">
        <w:rPr>
          <w:sz w:val="24"/>
          <w:szCs w:val="24"/>
        </w:rPr>
        <w:t xml:space="preserve"> none has </w:t>
      </w:r>
      <w:r w:rsidRPr="00F5600D">
        <w:rPr>
          <w:sz w:val="24"/>
          <w:szCs w:val="24"/>
        </w:rPr>
        <w:t xml:space="preserve">ever been struck down on constitutional grounds. </w:t>
      </w:r>
      <w:r w:rsidR="006B58FA">
        <w:rPr>
          <w:sz w:val="24"/>
          <w:szCs w:val="24"/>
        </w:rPr>
        <w:t xml:space="preserve">Indeed, </w:t>
      </w:r>
      <w:r w:rsidR="00F0137F">
        <w:rPr>
          <w:sz w:val="24"/>
          <w:szCs w:val="24"/>
        </w:rPr>
        <w:t xml:space="preserve">to the best of our knowledge, no Australian court </w:t>
      </w:r>
      <w:r w:rsidR="006B58FA">
        <w:rPr>
          <w:sz w:val="24"/>
          <w:szCs w:val="24"/>
        </w:rPr>
        <w:t xml:space="preserve">even </w:t>
      </w:r>
      <w:r w:rsidR="00595143">
        <w:rPr>
          <w:sz w:val="24"/>
          <w:szCs w:val="24"/>
        </w:rPr>
        <w:t>been invited to declare any statutory cap on damages constitutional</w:t>
      </w:r>
      <w:r w:rsidR="00E9431A">
        <w:rPr>
          <w:sz w:val="24"/>
          <w:szCs w:val="24"/>
        </w:rPr>
        <w:t>ly</w:t>
      </w:r>
      <w:r w:rsidR="00595143">
        <w:rPr>
          <w:sz w:val="24"/>
          <w:szCs w:val="24"/>
        </w:rPr>
        <w:t xml:space="preserve"> invalid</w:t>
      </w:r>
      <w:r w:rsidR="00863FCB">
        <w:rPr>
          <w:sz w:val="24"/>
          <w:szCs w:val="24"/>
        </w:rPr>
        <w:t xml:space="preserve">. </w:t>
      </w:r>
      <w:r w:rsidR="00F0137F">
        <w:rPr>
          <w:sz w:val="24"/>
          <w:szCs w:val="24"/>
        </w:rPr>
        <w:t xml:space="preserve">So far as we are aware, the informal caps on general damages for pain and suffering established in the </w:t>
      </w:r>
      <w:r w:rsidR="002E1207">
        <w:rPr>
          <w:sz w:val="24"/>
          <w:szCs w:val="24"/>
        </w:rPr>
        <w:t xml:space="preserve">Judicial Studies Board’s </w:t>
      </w:r>
      <w:r w:rsidR="002E1207" w:rsidRPr="00876524">
        <w:rPr>
          <w:i/>
          <w:sz w:val="24"/>
          <w:szCs w:val="24"/>
        </w:rPr>
        <w:t>Guidelines</w:t>
      </w:r>
      <w:r w:rsidR="002E1207">
        <w:rPr>
          <w:sz w:val="24"/>
          <w:szCs w:val="24"/>
        </w:rPr>
        <w:t xml:space="preserve"> </w:t>
      </w:r>
      <w:r w:rsidR="00B24256" w:rsidRPr="00B24256">
        <w:rPr>
          <w:i/>
          <w:sz w:val="24"/>
          <w:szCs w:val="24"/>
        </w:rPr>
        <w:t>for the Assessment of General Damages in Personal Injury Case</w:t>
      </w:r>
      <w:r w:rsidR="00B24256">
        <w:rPr>
          <w:i/>
          <w:sz w:val="24"/>
          <w:szCs w:val="24"/>
        </w:rPr>
        <w:t>s</w:t>
      </w:r>
      <w:r w:rsidR="008E7284" w:rsidRPr="00F5600D">
        <w:rPr>
          <w:rStyle w:val="FootnoteReference"/>
          <w:sz w:val="24"/>
          <w:szCs w:val="24"/>
        </w:rPr>
        <w:footnoteReference w:id="115"/>
      </w:r>
      <w:r w:rsidR="002E1207">
        <w:rPr>
          <w:sz w:val="24"/>
          <w:szCs w:val="24"/>
        </w:rPr>
        <w:t xml:space="preserve"> </w:t>
      </w:r>
      <w:r w:rsidR="00F0137F">
        <w:rPr>
          <w:sz w:val="24"/>
          <w:szCs w:val="24"/>
        </w:rPr>
        <w:t>have ra</w:t>
      </w:r>
      <w:r w:rsidR="007F4887">
        <w:rPr>
          <w:sz w:val="24"/>
          <w:szCs w:val="24"/>
        </w:rPr>
        <w:t>ised no constitutional concerns</w:t>
      </w:r>
      <w:r w:rsidR="00F82F89">
        <w:rPr>
          <w:sz w:val="24"/>
          <w:szCs w:val="24"/>
        </w:rPr>
        <w:t xml:space="preserve"> in the United Kingdom either</w:t>
      </w:r>
      <w:r w:rsidR="007F4887">
        <w:rPr>
          <w:sz w:val="24"/>
          <w:szCs w:val="24"/>
        </w:rPr>
        <w:t>.</w:t>
      </w:r>
      <w:r w:rsidR="00F0137F">
        <w:rPr>
          <w:sz w:val="24"/>
          <w:szCs w:val="24"/>
        </w:rPr>
        <w:t xml:space="preserve"> </w:t>
      </w:r>
      <w:r w:rsidR="007F4887">
        <w:rPr>
          <w:sz w:val="24"/>
          <w:szCs w:val="24"/>
        </w:rPr>
        <w:t xml:space="preserve">The same is true, as we understand it, </w:t>
      </w:r>
      <w:r w:rsidR="00F0137F">
        <w:rPr>
          <w:sz w:val="24"/>
          <w:szCs w:val="24"/>
        </w:rPr>
        <w:t>of the judicially created caps on general damages that exist in Canada</w:t>
      </w:r>
      <w:r w:rsidR="002E1207">
        <w:rPr>
          <w:sz w:val="24"/>
          <w:szCs w:val="24"/>
        </w:rPr>
        <w:t>.</w:t>
      </w:r>
      <w:r w:rsidR="00D5396C" w:rsidRPr="00F5600D">
        <w:rPr>
          <w:rStyle w:val="FootnoteReference"/>
          <w:sz w:val="24"/>
          <w:szCs w:val="24"/>
        </w:rPr>
        <w:footnoteReference w:id="116"/>
      </w:r>
      <w:r w:rsidR="00705785">
        <w:rPr>
          <w:sz w:val="24"/>
          <w:szCs w:val="24"/>
        </w:rPr>
        <w:t xml:space="preserve"> </w:t>
      </w:r>
      <w:r w:rsidR="00F82F89">
        <w:rPr>
          <w:sz w:val="24"/>
          <w:szCs w:val="24"/>
        </w:rPr>
        <w:t xml:space="preserve">In short, the unique constitutional considerations at play in the United States have created a distinct jurisprudence in relation to damages caps. </w:t>
      </w:r>
    </w:p>
    <w:p w14:paraId="3F972562" w14:textId="77777777" w:rsidR="00705785" w:rsidRPr="00F5600D" w:rsidRDefault="00705785" w:rsidP="00F5600D">
      <w:pPr>
        <w:tabs>
          <w:tab w:val="left" w:pos="284"/>
        </w:tabs>
        <w:spacing w:after="0" w:line="240" w:lineRule="auto"/>
        <w:ind w:firstLine="284"/>
        <w:jc w:val="both"/>
        <w:rPr>
          <w:sz w:val="24"/>
          <w:szCs w:val="24"/>
        </w:rPr>
      </w:pPr>
    </w:p>
    <w:p w14:paraId="41D13D40" w14:textId="3E42C7B5" w:rsidR="00A12821" w:rsidRPr="00F5600D" w:rsidRDefault="00A12821" w:rsidP="005651AC">
      <w:pPr>
        <w:pStyle w:val="Heading2"/>
        <w:keepNext/>
      </w:pPr>
      <w:r w:rsidRPr="00F5600D">
        <w:t xml:space="preserve">(ii) </w:t>
      </w:r>
      <w:r w:rsidR="00676353">
        <w:t>Reforms Resulting from Highly Publicised Legal Concerns</w:t>
      </w:r>
    </w:p>
    <w:p w14:paraId="13279FA3" w14:textId="77777777" w:rsidR="00A12821" w:rsidRPr="00F5600D" w:rsidRDefault="00A12821" w:rsidP="005651AC">
      <w:pPr>
        <w:keepNext/>
        <w:tabs>
          <w:tab w:val="left" w:pos="284"/>
        </w:tabs>
        <w:spacing w:after="0" w:line="240" w:lineRule="auto"/>
        <w:jc w:val="both"/>
        <w:rPr>
          <w:sz w:val="24"/>
          <w:szCs w:val="24"/>
        </w:rPr>
      </w:pPr>
    </w:p>
    <w:p w14:paraId="67331FD7" w14:textId="0865300B" w:rsidR="00A12821" w:rsidRPr="007F4887" w:rsidRDefault="00A12821" w:rsidP="007C6571">
      <w:pPr>
        <w:autoSpaceDE w:val="0"/>
        <w:autoSpaceDN w:val="0"/>
        <w:adjustRightInd w:val="0"/>
        <w:spacing w:after="0" w:line="240" w:lineRule="auto"/>
        <w:jc w:val="both"/>
        <w:rPr>
          <w:iCs/>
          <w:sz w:val="24"/>
          <w:szCs w:val="24"/>
          <w:lang w:val="en-US"/>
        </w:rPr>
      </w:pPr>
      <w:r w:rsidRPr="00867E59">
        <w:rPr>
          <w:sz w:val="24"/>
          <w:szCs w:val="24"/>
        </w:rPr>
        <w:t xml:space="preserve">In </w:t>
      </w:r>
      <w:r w:rsidR="002E37CA">
        <w:rPr>
          <w:sz w:val="24"/>
          <w:szCs w:val="24"/>
        </w:rPr>
        <w:t xml:space="preserve">all of the major common law </w:t>
      </w:r>
      <w:r w:rsidRPr="00867E59">
        <w:rPr>
          <w:sz w:val="24"/>
          <w:szCs w:val="24"/>
        </w:rPr>
        <w:t xml:space="preserve">jurisdictions legislation </w:t>
      </w:r>
      <w:r w:rsidR="00705785">
        <w:rPr>
          <w:sz w:val="24"/>
          <w:szCs w:val="24"/>
        </w:rPr>
        <w:t xml:space="preserve">has been </w:t>
      </w:r>
      <w:r w:rsidRPr="00867E59">
        <w:rPr>
          <w:sz w:val="24"/>
          <w:szCs w:val="24"/>
        </w:rPr>
        <w:t>enacted</w:t>
      </w:r>
      <w:r w:rsidR="00D9327E">
        <w:rPr>
          <w:sz w:val="24"/>
          <w:szCs w:val="24"/>
        </w:rPr>
        <w:t xml:space="preserve"> in the tort law context</w:t>
      </w:r>
      <w:r w:rsidRPr="00867E59">
        <w:rPr>
          <w:sz w:val="24"/>
          <w:szCs w:val="24"/>
        </w:rPr>
        <w:t xml:space="preserve"> in response </w:t>
      </w:r>
      <w:r w:rsidR="002E37CA">
        <w:rPr>
          <w:sz w:val="24"/>
          <w:szCs w:val="24"/>
        </w:rPr>
        <w:t xml:space="preserve">to </w:t>
      </w:r>
      <w:r w:rsidRPr="00867E59">
        <w:rPr>
          <w:sz w:val="24"/>
          <w:szCs w:val="24"/>
        </w:rPr>
        <w:t xml:space="preserve">pressing </w:t>
      </w:r>
      <w:r w:rsidR="002E37CA">
        <w:rPr>
          <w:sz w:val="24"/>
          <w:szCs w:val="24"/>
        </w:rPr>
        <w:t xml:space="preserve">and highly-publicised </w:t>
      </w:r>
      <w:r w:rsidRPr="00867E59">
        <w:rPr>
          <w:sz w:val="24"/>
          <w:szCs w:val="24"/>
        </w:rPr>
        <w:t>local concern</w:t>
      </w:r>
      <w:r w:rsidR="00492613">
        <w:rPr>
          <w:sz w:val="24"/>
          <w:szCs w:val="24"/>
        </w:rPr>
        <w:t>s</w:t>
      </w:r>
      <w:r w:rsidRPr="00867E59">
        <w:rPr>
          <w:sz w:val="24"/>
          <w:szCs w:val="24"/>
        </w:rPr>
        <w:t xml:space="preserve">. </w:t>
      </w:r>
      <w:r>
        <w:rPr>
          <w:sz w:val="24"/>
          <w:szCs w:val="24"/>
        </w:rPr>
        <w:t>Such l</w:t>
      </w:r>
      <w:r w:rsidRPr="00867E59">
        <w:rPr>
          <w:sz w:val="24"/>
          <w:szCs w:val="24"/>
        </w:rPr>
        <w:t xml:space="preserve">egislation </w:t>
      </w:r>
      <w:r w:rsidR="007F4887">
        <w:rPr>
          <w:sz w:val="24"/>
          <w:szCs w:val="24"/>
        </w:rPr>
        <w:t xml:space="preserve">has often caused </w:t>
      </w:r>
      <w:r w:rsidR="002E37CA">
        <w:rPr>
          <w:sz w:val="24"/>
          <w:szCs w:val="24"/>
        </w:rPr>
        <w:t xml:space="preserve">tort law </w:t>
      </w:r>
      <w:r w:rsidR="007F4887">
        <w:rPr>
          <w:sz w:val="24"/>
          <w:szCs w:val="24"/>
        </w:rPr>
        <w:t xml:space="preserve">in the jurisdiction in question to diverge </w:t>
      </w:r>
      <w:r w:rsidR="007922C8">
        <w:rPr>
          <w:sz w:val="24"/>
          <w:szCs w:val="24"/>
        </w:rPr>
        <w:t xml:space="preserve">radically </w:t>
      </w:r>
      <w:r w:rsidR="007F4887">
        <w:rPr>
          <w:sz w:val="24"/>
          <w:szCs w:val="24"/>
        </w:rPr>
        <w:t xml:space="preserve">from that which exists elsewhere. </w:t>
      </w:r>
      <w:r w:rsidR="007922C8">
        <w:rPr>
          <w:sz w:val="24"/>
          <w:szCs w:val="24"/>
        </w:rPr>
        <w:t xml:space="preserve">The </w:t>
      </w:r>
      <w:r w:rsidR="00EC18A5">
        <w:rPr>
          <w:sz w:val="24"/>
          <w:szCs w:val="24"/>
        </w:rPr>
        <w:t xml:space="preserve">prime example of such legislation is the </w:t>
      </w:r>
      <w:r w:rsidRPr="00867E59">
        <w:rPr>
          <w:iCs/>
          <w:sz w:val="24"/>
          <w:szCs w:val="24"/>
          <w:lang w:val="en-US"/>
        </w:rPr>
        <w:t>Accident Compensation Act 1972</w:t>
      </w:r>
      <w:r w:rsidR="00EC18A5">
        <w:rPr>
          <w:iCs/>
          <w:sz w:val="24"/>
          <w:szCs w:val="24"/>
          <w:lang w:val="en-US"/>
        </w:rPr>
        <w:t xml:space="preserve"> (NZ)</w:t>
      </w:r>
      <w:r w:rsidR="007F4887">
        <w:rPr>
          <w:iCs/>
          <w:sz w:val="24"/>
          <w:szCs w:val="24"/>
          <w:lang w:val="en-US"/>
        </w:rPr>
        <w:t xml:space="preserve">. This Act effected </w:t>
      </w:r>
      <w:r w:rsidR="00EC18A5">
        <w:rPr>
          <w:iCs/>
          <w:sz w:val="24"/>
          <w:szCs w:val="24"/>
          <w:lang w:val="en-US"/>
        </w:rPr>
        <w:t xml:space="preserve">the </w:t>
      </w:r>
      <w:r>
        <w:rPr>
          <w:iCs/>
          <w:sz w:val="24"/>
          <w:szCs w:val="24"/>
          <w:lang w:val="en-US"/>
        </w:rPr>
        <w:t xml:space="preserve">most radical reform of the common law of torts ever to have been wrought by a single </w:t>
      </w:r>
      <w:r w:rsidR="007F4887">
        <w:rPr>
          <w:iCs/>
          <w:sz w:val="24"/>
          <w:szCs w:val="24"/>
          <w:lang w:val="en-US"/>
        </w:rPr>
        <w:t>statute</w:t>
      </w:r>
      <w:r w:rsidR="007922C8">
        <w:rPr>
          <w:iCs/>
          <w:sz w:val="24"/>
          <w:szCs w:val="24"/>
          <w:lang w:val="en-US"/>
        </w:rPr>
        <w:t xml:space="preserve"> anywhere in the world.</w:t>
      </w:r>
      <w:r w:rsidR="00997530">
        <w:rPr>
          <w:iCs/>
          <w:sz w:val="24"/>
          <w:szCs w:val="24"/>
          <w:lang w:val="en-US"/>
        </w:rPr>
        <w:t xml:space="preserve"> </w:t>
      </w:r>
      <w:r>
        <w:rPr>
          <w:iCs/>
          <w:sz w:val="24"/>
          <w:szCs w:val="24"/>
          <w:lang w:val="en-US"/>
        </w:rPr>
        <w:t xml:space="preserve">It </w:t>
      </w:r>
      <w:r w:rsidR="007F4887">
        <w:rPr>
          <w:iCs/>
          <w:sz w:val="24"/>
          <w:szCs w:val="24"/>
          <w:lang w:val="en-US"/>
        </w:rPr>
        <w:t xml:space="preserve">provided for a no-fault solution </w:t>
      </w:r>
      <w:r w:rsidR="002E37CA">
        <w:rPr>
          <w:iCs/>
          <w:sz w:val="24"/>
          <w:szCs w:val="24"/>
          <w:lang w:val="en-US"/>
        </w:rPr>
        <w:t xml:space="preserve">to </w:t>
      </w:r>
      <w:r w:rsidR="007F4887">
        <w:rPr>
          <w:iCs/>
          <w:sz w:val="24"/>
          <w:szCs w:val="24"/>
          <w:lang w:val="en-US"/>
        </w:rPr>
        <w:t>accidents and</w:t>
      </w:r>
      <w:r w:rsidR="002E37CA">
        <w:rPr>
          <w:iCs/>
          <w:sz w:val="24"/>
          <w:szCs w:val="24"/>
          <w:lang w:val="en-US"/>
        </w:rPr>
        <w:t>,</w:t>
      </w:r>
      <w:r w:rsidR="007F4887">
        <w:rPr>
          <w:iCs/>
          <w:sz w:val="24"/>
          <w:szCs w:val="24"/>
          <w:lang w:val="en-US"/>
        </w:rPr>
        <w:t xml:space="preserve"> in doing so</w:t>
      </w:r>
      <w:r w:rsidR="002E37CA">
        <w:rPr>
          <w:iCs/>
          <w:sz w:val="24"/>
          <w:szCs w:val="24"/>
          <w:lang w:val="en-US"/>
        </w:rPr>
        <w:t>,</w:t>
      </w:r>
      <w:r w:rsidR="007F4887">
        <w:rPr>
          <w:iCs/>
          <w:sz w:val="24"/>
          <w:szCs w:val="24"/>
          <w:lang w:val="en-US"/>
        </w:rPr>
        <w:t xml:space="preserve"> </w:t>
      </w:r>
      <w:r>
        <w:rPr>
          <w:iCs/>
          <w:sz w:val="24"/>
          <w:szCs w:val="24"/>
          <w:lang w:val="en-US"/>
        </w:rPr>
        <w:t xml:space="preserve">served to render </w:t>
      </w:r>
      <w:r w:rsidR="002E37CA">
        <w:rPr>
          <w:iCs/>
          <w:sz w:val="24"/>
          <w:szCs w:val="24"/>
          <w:lang w:val="en-US"/>
        </w:rPr>
        <w:t xml:space="preserve">tort law </w:t>
      </w:r>
      <w:r>
        <w:rPr>
          <w:iCs/>
          <w:sz w:val="24"/>
          <w:szCs w:val="24"/>
          <w:lang w:val="en-US"/>
        </w:rPr>
        <w:t xml:space="preserve">in New Zealand a </w:t>
      </w:r>
      <w:r w:rsidR="00EC18A5">
        <w:rPr>
          <w:iCs/>
          <w:sz w:val="24"/>
          <w:szCs w:val="24"/>
          <w:lang w:val="en-US"/>
        </w:rPr>
        <w:t>much less expansive beast than any counterpart system of tort law</w:t>
      </w:r>
      <w:r w:rsidR="00F44CF3">
        <w:rPr>
          <w:iCs/>
          <w:sz w:val="24"/>
          <w:szCs w:val="24"/>
          <w:lang w:val="en-US"/>
        </w:rPr>
        <w:t xml:space="preserve">. </w:t>
      </w:r>
      <w:r w:rsidR="007F4887">
        <w:rPr>
          <w:iCs/>
          <w:sz w:val="24"/>
          <w:szCs w:val="24"/>
          <w:lang w:val="en-US"/>
        </w:rPr>
        <w:t>I</w:t>
      </w:r>
      <w:r w:rsidR="00D9327E">
        <w:rPr>
          <w:iCs/>
          <w:sz w:val="24"/>
          <w:szCs w:val="24"/>
          <w:lang w:val="en-US"/>
        </w:rPr>
        <w:t xml:space="preserve">ts </w:t>
      </w:r>
      <w:r>
        <w:rPr>
          <w:iCs/>
          <w:sz w:val="24"/>
          <w:szCs w:val="24"/>
          <w:lang w:val="en-US"/>
        </w:rPr>
        <w:t xml:space="preserve">origins can be traced to a </w:t>
      </w:r>
      <w:r w:rsidR="00EC18A5">
        <w:rPr>
          <w:iCs/>
          <w:sz w:val="24"/>
          <w:szCs w:val="24"/>
          <w:lang w:val="en-US"/>
        </w:rPr>
        <w:t xml:space="preserve">particular </w:t>
      </w:r>
      <w:r>
        <w:rPr>
          <w:iCs/>
          <w:sz w:val="24"/>
          <w:szCs w:val="24"/>
          <w:lang w:val="en-US"/>
        </w:rPr>
        <w:t xml:space="preserve">local concern. In the 1960s there was </w:t>
      </w:r>
      <w:r w:rsidRPr="00867E59">
        <w:rPr>
          <w:sz w:val="24"/>
          <w:szCs w:val="24"/>
        </w:rPr>
        <w:t xml:space="preserve">widespread </w:t>
      </w:r>
      <w:r w:rsidRPr="00867E59">
        <w:rPr>
          <w:sz w:val="24"/>
          <w:szCs w:val="24"/>
          <w:lang w:val="en-US"/>
        </w:rPr>
        <w:t>dissatisfaction with the worker</w:t>
      </w:r>
      <w:r w:rsidR="00D14A32">
        <w:rPr>
          <w:sz w:val="24"/>
          <w:szCs w:val="24"/>
          <w:lang w:val="en-US"/>
        </w:rPr>
        <w:t>s’</w:t>
      </w:r>
      <w:r w:rsidRPr="00867E59">
        <w:rPr>
          <w:sz w:val="24"/>
          <w:szCs w:val="24"/>
          <w:lang w:val="en-US"/>
        </w:rPr>
        <w:t xml:space="preserve"> compensation system th</w:t>
      </w:r>
      <w:r>
        <w:rPr>
          <w:sz w:val="24"/>
          <w:szCs w:val="24"/>
          <w:lang w:val="en-US"/>
        </w:rPr>
        <w:t xml:space="preserve">en in place. </w:t>
      </w:r>
      <w:r w:rsidR="007F4887">
        <w:rPr>
          <w:sz w:val="24"/>
          <w:szCs w:val="24"/>
          <w:lang w:val="en-US"/>
        </w:rPr>
        <w:t xml:space="preserve">That </w:t>
      </w:r>
      <w:r>
        <w:rPr>
          <w:sz w:val="24"/>
          <w:szCs w:val="24"/>
          <w:lang w:val="en-US"/>
        </w:rPr>
        <w:t xml:space="preserve">dissatisfaction led to the </w:t>
      </w:r>
      <w:r w:rsidRPr="00867E59">
        <w:rPr>
          <w:sz w:val="24"/>
          <w:szCs w:val="24"/>
          <w:lang w:val="en-US"/>
        </w:rPr>
        <w:t>appointment of the Royal Commission</w:t>
      </w:r>
      <w:r w:rsidR="00EC18A5">
        <w:rPr>
          <w:sz w:val="24"/>
          <w:szCs w:val="24"/>
          <w:lang w:val="en-US"/>
        </w:rPr>
        <w:t xml:space="preserve">. The Commission </w:t>
      </w:r>
      <w:r w:rsidR="007F4887">
        <w:rPr>
          <w:sz w:val="24"/>
          <w:szCs w:val="24"/>
          <w:lang w:val="en-US"/>
        </w:rPr>
        <w:t xml:space="preserve">concluded </w:t>
      </w:r>
      <w:r w:rsidR="00EC18A5">
        <w:rPr>
          <w:sz w:val="24"/>
          <w:szCs w:val="24"/>
          <w:lang w:val="en-US"/>
        </w:rPr>
        <w:t xml:space="preserve">that </w:t>
      </w:r>
      <w:r w:rsidR="00D9327E">
        <w:rPr>
          <w:sz w:val="24"/>
          <w:szCs w:val="24"/>
          <w:lang w:val="en-US"/>
        </w:rPr>
        <w:t>‘</w:t>
      </w:r>
      <w:r>
        <w:rPr>
          <w:sz w:val="24"/>
          <w:szCs w:val="24"/>
          <w:lang w:val="en-US"/>
        </w:rPr>
        <w:t>the workers’ compensation legislation had been put forward on a wrong principle and had since been dominated by a wrong outlook</w:t>
      </w:r>
      <w:r w:rsidR="00D9327E">
        <w:rPr>
          <w:sz w:val="24"/>
          <w:szCs w:val="24"/>
          <w:lang w:val="en-US"/>
        </w:rPr>
        <w:t>’</w:t>
      </w:r>
      <w:r w:rsidR="002E37CA">
        <w:rPr>
          <w:sz w:val="24"/>
          <w:szCs w:val="24"/>
          <w:lang w:val="en-US"/>
        </w:rPr>
        <w:t>.</w:t>
      </w:r>
      <w:r>
        <w:rPr>
          <w:rStyle w:val="FootnoteReference"/>
          <w:sz w:val="24"/>
          <w:szCs w:val="24"/>
          <w:lang w:val="en-US"/>
        </w:rPr>
        <w:footnoteReference w:id="117"/>
      </w:r>
      <w:r w:rsidR="00EC18A5">
        <w:rPr>
          <w:sz w:val="24"/>
          <w:szCs w:val="24"/>
          <w:lang w:val="en-US"/>
        </w:rPr>
        <w:t xml:space="preserve"> </w:t>
      </w:r>
      <w:r w:rsidR="002E37CA">
        <w:rPr>
          <w:sz w:val="24"/>
          <w:szCs w:val="24"/>
          <w:lang w:val="en-US"/>
        </w:rPr>
        <w:t xml:space="preserve">Accordingly, the Commission </w:t>
      </w:r>
      <w:r w:rsidR="00EC18A5">
        <w:rPr>
          <w:sz w:val="24"/>
          <w:szCs w:val="24"/>
          <w:lang w:val="en-US"/>
        </w:rPr>
        <w:t>recommended major change</w:t>
      </w:r>
      <w:r w:rsidR="002E37CA">
        <w:rPr>
          <w:sz w:val="24"/>
          <w:szCs w:val="24"/>
          <w:lang w:val="en-US"/>
        </w:rPr>
        <w:t>s</w:t>
      </w:r>
      <w:r w:rsidR="00EC18A5">
        <w:rPr>
          <w:sz w:val="24"/>
          <w:szCs w:val="24"/>
          <w:lang w:val="en-US"/>
        </w:rPr>
        <w:t>.</w:t>
      </w:r>
      <w:r>
        <w:rPr>
          <w:sz w:val="24"/>
          <w:szCs w:val="24"/>
          <w:lang w:val="en-US"/>
        </w:rPr>
        <w:t xml:space="preserve"> </w:t>
      </w:r>
      <w:r w:rsidR="00EC18A5">
        <w:rPr>
          <w:sz w:val="24"/>
          <w:szCs w:val="24"/>
          <w:lang w:val="en-US"/>
        </w:rPr>
        <w:t xml:space="preserve">This recommendation, contained in the </w:t>
      </w:r>
      <w:r>
        <w:rPr>
          <w:sz w:val="24"/>
          <w:szCs w:val="24"/>
          <w:lang w:val="en-US"/>
        </w:rPr>
        <w:t>Commission’s final report</w:t>
      </w:r>
      <w:r w:rsidR="00EC18A5">
        <w:rPr>
          <w:sz w:val="24"/>
          <w:szCs w:val="24"/>
          <w:lang w:val="en-US"/>
        </w:rPr>
        <w:t xml:space="preserve"> </w:t>
      </w:r>
      <w:r w:rsidRPr="00867E59">
        <w:rPr>
          <w:sz w:val="24"/>
          <w:szCs w:val="24"/>
          <w:lang w:val="en-US"/>
        </w:rPr>
        <w:t xml:space="preserve">in 1967, </w:t>
      </w:r>
      <w:r>
        <w:rPr>
          <w:sz w:val="24"/>
          <w:szCs w:val="24"/>
          <w:lang w:val="en-US"/>
        </w:rPr>
        <w:t>provided the crucial impetus for the introduction of the 1972 Act</w:t>
      </w:r>
      <w:r w:rsidR="00D14A32">
        <w:rPr>
          <w:sz w:val="24"/>
          <w:szCs w:val="24"/>
          <w:lang w:val="en-US"/>
        </w:rPr>
        <w:t>. I</w:t>
      </w:r>
      <w:r w:rsidR="00EC18A5">
        <w:rPr>
          <w:sz w:val="24"/>
          <w:szCs w:val="24"/>
          <w:lang w:val="en-US"/>
        </w:rPr>
        <w:t xml:space="preserve">n short, it was </w:t>
      </w:r>
      <w:r w:rsidR="007B7715">
        <w:rPr>
          <w:sz w:val="24"/>
          <w:szCs w:val="24"/>
          <w:lang w:val="en-US"/>
        </w:rPr>
        <w:t xml:space="preserve">primarily </w:t>
      </w:r>
      <w:r w:rsidR="00EC18A5">
        <w:rPr>
          <w:sz w:val="24"/>
          <w:szCs w:val="24"/>
          <w:lang w:val="en-US"/>
        </w:rPr>
        <w:t xml:space="preserve">dissatisfaction with an existing </w:t>
      </w:r>
      <w:r w:rsidR="00D3132F">
        <w:rPr>
          <w:sz w:val="24"/>
          <w:szCs w:val="24"/>
          <w:lang w:val="en-US"/>
        </w:rPr>
        <w:t xml:space="preserve">local </w:t>
      </w:r>
      <w:r w:rsidR="00EC18A5">
        <w:rPr>
          <w:sz w:val="24"/>
          <w:szCs w:val="24"/>
          <w:lang w:val="en-US"/>
        </w:rPr>
        <w:t xml:space="preserve">regime </w:t>
      </w:r>
      <w:r w:rsidR="00D3132F">
        <w:rPr>
          <w:sz w:val="24"/>
          <w:szCs w:val="24"/>
          <w:lang w:val="en-US"/>
        </w:rPr>
        <w:t xml:space="preserve">governing </w:t>
      </w:r>
      <w:r w:rsidR="00EC18A5">
        <w:rPr>
          <w:sz w:val="24"/>
          <w:szCs w:val="24"/>
          <w:lang w:val="en-US"/>
        </w:rPr>
        <w:t xml:space="preserve">workers’ compensation that prompted the enactment of the </w:t>
      </w:r>
      <w:r w:rsidR="00D3132F">
        <w:rPr>
          <w:sz w:val="24"/>
          <w:szCs w:val="24"/>
          <w:lang w:val="en-US"/>
        </w:rPr>
        <w:t>1972 statute</w:t>
      </w:r>
      <w:r>
        <w:rPr>
          <w:sz w:val="24"/>
          <w:szCs w:val="24"/>
          <w:lang w:val="en-US"/>
        </w:rPr>
        <w:t>.</w:t>
      </w:r>
      <w:r w:rsidRPr="00867E59">
        <w:rPr>
          <w:sz w:val="24"/>
          <w:szCs w:val="24"/>
          <w:lang w:val="en-US"/>
        </w:rPr>
        <w:t xml:space="preserve"> </w:t>
      </w:r>
    </w:p>
    <w:p w14:paraId="2F596521" w14:textId="0E95EFC7" w:rsidR="00A12821" w:rsidRDefault="00A12821" w:rsidP="00A12821">
      <w:pPr>
        <w:autoSpaceDE w:val="0"/>
        <w:autoSpaceDN w:val="0"/>
        <w:adjustRightInd w:val="0"/>
        <w:spacing w:after="0" w:line="240" w:lineRule="auto"/>
        <w:ind w:firstLine="180"/>
        <w:jc w:val="both"/>
        <w:rPr>
          <w:sz w:val="24"/>
          <w:szCs w:val="24"/>
        </w:rPr>
      </w:pPr>
      <w:r>
        <w:rPr>
          <w:sz w:val="24"/>
          <w:szCs w:val="24"/>
        </w:rPr>
        <w:t xml:space="preserve">A similar story can be told of the </w:t>
      </w:r>
      <w:r w:rsidR="00D9327E">
        <w:rPr>
          <w:sz w:val="24"/>
          <w:szCs w:val="24"/>
        </w:rPr>
        <w:t xml:space="preserve">far-reaching </w:t>
      </w:r>
      <w:r w:rsidR="007922C8">
        <w:rPr>
          <w:sz w:val="24"/>
          <w:szCs w:val="24"/>
        </w:rPr>
        <w:t xml:space="preserve">statutory </w:t>
      </w:r>
      <w:r>
        <w:rPr>
          <w:sz w:val="24"/>
          <w:szCs w:val="24"/>
        </w:rPr>
        <w:t>reform</w:t>
      </w:r>
      <w:r w:rsidR="00443B3B">
        <w:rPr>
          <w:sz w:val="24"/>
          <w:szCs w:val="24"/>
        </w:rPr>
        <w:t>s</w:t>
      </w:r>
      <w:r>
        <w:rPr>
          <w:sz w:val="24"/>
          <w:szCs w:val="24"/>
        </w:rPr>
        <w:t xml:space="preserve"> of tort law that occurred in Australia </w:t>
      </w:r>
      <w:r w:rsidR="00C34BEA">
        <w:rPr>
          <w:sz w:val="24"/>
          <w:szCs w:val="24"/>
        </w:rPr>
        <w:t xml:space="preserve">at </w:t>
      </w:r>
      <w:r>
        <w:rPr>
          <w:sz w:val="24"/>
          <w:szCs w:val="24"/>
        </w:rPr>
        <w:t xml:space="preserve">the </w:t>
      </w:r>
      <w:r w:rsidR="00C34BEA">
        <w:rPr>
          <w:sz w:val="24"/>
          <w:szCs w:val="24"/>
        </w:rPr>
        <w:t xml:space="preserve">turn </w:t>
      </w:r>
      <w:r>
        <w:rPr>
          <w:sz w:val="24"/>
          <w:szCs w:val="24"/>
        </w:rPr>
        <w:t xml:space="preserve">of the </w:t>
      </w:r>
      <w:r w:rsidR="00D9327E">
        <w:rPr>
          <w:sz w:val="24"/>
          <w:szCs w:val="24"/>
        </w:rPr>
        <w:t>21st century</w:t>
      </w:r>
      <w:r>
        <w:rPr>
          <w:sz w:val="24"/>
          <w:szCs w:val="24"/>
        </w:rPr>
        <w:t xml:space="preserve">. </w:t>
      </w:r>
      <w:r w:rsidR="00D9327E">
        <w:rPr>
          <w:sz w:val="24"/>
          <w:szCs w:val="24"/>
        </w:rPr>
        <w:t>T</w:t>
      </w:r>
      <w:r>
        <w:rPr>
          <w:sz w:val="24"/>
          <w:szCs w:val="24"/>
        </w:rPr>
        <w:t>he particular l</w:t>
      </w:r>
      <w:r w:rsidRPr="00F5600D">
        <w:rPr>
          <w:sz w:val="24"/>
          <w:szCs w:val="24"/>
        </w:rPr>
        <w:t xml:space="preserve">ocal </w:t>
      </w:r>
      <w:r>
        <w:rPr>
          <w:sz w:val="24"/>
          <w:szCs w:val="24"/>
        </w:rPr>
        <w:t>concern</w:t>
      </w:r>
      <w:r w:rsidRPr="00F5600D">
        <w:rPr>
          <w:sz w:val="24"/>
          <w:szCs w:val="24"/>
        </w:rPr>
        <w:t xml:space="preserve"> that </w:t>
      </w:r>
      <w:r w:rsidR="00644887">
        <w:rPr>
          <w:sz w:val="24"/>
          <w:szCs w:val="24"/>
        </w:rPr>
        <w:t xml:space="preserve">these reforms </w:t>
      </w:r>
      <w:r w:rsidR="00C34BEA">
        <w:rPr>
          <w:sz w:val="24"/>
          <w:szCs w:val="24"/>
        </w:rPr>
        <w:t xml:space="preserve">addressed </w:t>
      </w:r>
      <w:r>
        <w:rPr>
          <w:sz w:val="24"/>
          <w:szCs w:val="24"/>
        </w:rPr>
        <w:t xml:space="preserve">was the </w:t>
      </w:r>
      <w:r w:rsidRPr="00F5600D">
        <w:rPr>
          <w:sz w:val="24"/>
          <w:szCs w:val="24"/>
        </w:rPr>
        <w:t xml:space="preserve">2001–2002 </w:t>
      </w:r>
      <w:r w:rsidR="00443B3B">
        <w:rPr>
          <w:sz w:val="24"/>
          <w:szCs w:val="24"/>
        </w:rPr>
        <w:t>‘</w:t>
      </w:r>
      <w:r w:rsidRPr="00F5600D">
        <w:rPr>
          <w:sz w:val="24"/>
          <w:szCs w:val="24"/>
        </w:rPr>
        <w:t>insurance crisis</w:t>
      </w:r>
      <w:r w:rsidR="00443B3B">
        <w:rPr>
          <w:sz w:val="24"/>
          <w:szCs w:val="24"/>
        </w:rPr>
        <w:t>’</w:t>
      </w:r>
      <w:r>
        <w:rPr>
          <w:sz w:val="24"/>
          <w:szCs w:val="24"/>
        </w:rPr>
        <w:t xml:space="preserve">. </w:t>
      </w:r>
      <w:r w:rsidR="00C34BEA">
        <w:rPr>
          <w:sz w:val="24"/>
          <w:szCs w:val="24"/>
        </w:rPr>
        <w:t xml:space="preserve">That </w:t>
      </w:r>
      <w:r>
        <w:rPr>
          <w:sz w:val="24"/>
          <w:szCs w:val="24"/>
        </w:rPr>
        <w:t xml:space="preserve">crisis </w:t>
      </w:r>
      <w:r w:rsidR="00C34BEA">
        <w:rPr>
          <w:sz w:val="24"/>
          <w:szCs w:val="24"/>
        </w:rPr>
        <w:t xml:space="preserve">involved </w:t>
      </w:r>
      <w:r w:rsidR="007922C8">
        <w:rPr>
          <w:sz w:val="24"/>
          <w:szCs w:val="24"/>
        </w:rPr>
        <w:t xml:space="preserve">an </w:t>
      </w:r>
      <w:r w:rsidRPr="00F5600D">
        <w:rPr>
          <w:sz w:val="24"/>
          <w:szCs w:val="24"/>
        </w:rPr>
        <w:t>exponential increase in premiums for liability insurance</w:t>
      </w:r>
      <w:r w:rsidR="00644887">
        <w:rPr>
          <w:sz w:val="24"/>
          <w:szCs w:val="24"/>
        </w:rPr>
        <w:t xml:space="preserve">. </w:t>
      </w:r>
      <w:r w:rsidR="00C34BEA">
        <w:rPr>
          <w:sz w:val="24"/>
          <w:szCs w:val="24"/>
        </w:rPr>
        <w:t xml:space="preserve">The public outcry was deafening, and the crisis was headline news at the time. </w:t>
      </w:r>
      <w:r w:rsidR="00644887">
        <w:rPr>
          <w:sz w:val="24"/>
          <w:szCs w:val="24"/>
        </w:rPr>
        <w:t>With remarkable speed</w:t>
      </w:r>
      <w:r w:rsidR="00C34BEA">
        <w:rPr>
          <w:sz w:val="24"/>
          <w:szCs w:val="24"/>
        </w:rPr>
        <w:t xml:space="preserve"> (some might say too much speed)</w:t>
      </w:r>
      <w:r w:rsidR="00644887">
        <w:rPr>
          <w:sz w:val="24"/>
          <w:szCs w:val="24"/>
        </w:rPr>
        <w:t xml:space="preserve">, </w:t>
      </w:r>
      <w:r w:rsidRPr="00F5600D">
        <w:rPr>
          <w:sz w:val="24"/>
          <w:szCs w:val="24"/>
        </w:rPr>
        <w:t xml:space="preserve">all Australian legislatures, operating on the assumption that tort law was largely or wholly </w:t>
      </w:r>
      <w:r w:rsidR="00D3132F">
        <w:rPr>
          <w:sz w:val="24"/>
          <w:szCs w:val="24"/>
        </w:rPr>
        <w:t>to blame for these hikes in premiums,</w:t>
      </w:r>
      <w:bookmarkStart w:id="17" w:name="_Ref409346167"/>
      <w:r w:rsidRPr="00F5600D">
        <w:rPr>
          <w:rStyle w:val="FootnoteReference"/>
          <w:sz w:val="24"/>
          <w:szCs w:val="24"/>
        </w:rPr>
        <w:footnoteReference w:id="118"/>
      </w:r>
      <w:bookmarkEnd w:id="17"/>
      <w:r w:rsidRPr="00F5600D">
        <w:rPr>
          <w:sz w:val="24"/>
          <w:szCs w:val="24"/>
        </w:rPr>
        <w:t xml:space="preserve"> legislated to curb </w:t>
      </w:r>
      <w:r w:rsidR="007922C8">
        <w:rPr>
          <w:sz w:val="24"/>
          <w:szCs w:val="24"/>
        </w:rPr>
        <w:t xml:space="preserve">fairly radically </w:t>
      </w:r>
      <w:r>
        <w:rPr>
          <w:sz w:val="24"/>
          <w:szCs w:val="24"/>
        </w:rPr>
        <w:t xml:space="preserve">both the scope of tortious </w:t>
      </w:r>
      <w:r w:rsidRPr="00F5600D">
        <w:rPr>
          <w:sz w:val="24"/>
          <w:szCs w:val="24"/>
        </w:rPr>
        <w:t>liability and the quantum of damages recoverable.</w:t>
      </w:r>
      <w:r w:rsidRPr="00F5600D">
        <w:rPr>
          <w:rStyle w:val="FootnoteReference"/>
          <w:sz w:val="24"/>
          <w:szCs w:val="24"/>
        </w:rPr>
        <w:footnoteReference w:id="119"/>
      </w:r>
      <w:r w:rsidRPr="00F5600D">
        <w:rPr>
          <w:sz w:val="24"/>
          <w:szCs w:val="24"/>
        </w:rPr>
        <w:t xml:space="preserve"> </w:t>
      </w:r>
      <w:r w:rsidR="00C34BEA">
        <w:rPr>
          <w:sz w:val="24"/>
          <w:szCs w:val="24"/>
        </w:rPr>
        <w:t xml:space="preserve">Largely as a </w:t>
      </w:r>
      <w:r w:rsidR="00D3132F">
        <w:rPr>
          <w:sz w:val="24"/>
          <w:szCs w:val="24"/>
        </w:rPr>
        <w:t xml:space="preserve">consequence of </w:t>
      </w:r>
      <w:r w:rsidR="00D3132F">
        <w:rPr>
          <w:sz w:val="24"/>
          <w:szCs w:val="24"/>
        </w:rPr>
        <w:lastRenderedPageBreak/>
        <w:t>the</w:t>
      </w:r>
      <w:r w:rsidR="00C34BEA">
        <w:rPr>
          <w:sz w:val="24"/>
          <w:szCs w:val="24"/>
        </w:rPr>
        <w:t>se reforms</w:t>
      </w:r>
      <w:r w:rsidR="00D3132F">
        <w:rPr>
          <w:sz w:val="24"/>
          <w:szCs w:val="24"/>
        </w:rPr>
        <w:t xml:space="preserve">, the </w:t>
      </w:r>
      <w:r w:rsidRPr="00F5600D">
        <w:rPr>
          <w:sz w:val="24"/>
          <w:szCs w:val="24"/>
        </w:rPr>
        <w:t xml:space="preserve">law of torts in Australia </w:t>
      </w:r>
      <w:r w:rsidR="00C34BEA">
        <w:rPr>
          <w:sz w:val="24"/>
          <w:szCs w:val="24"/>
        </w:rPr>
        <w:t xml:space="preserve">became, and remains, </w:t>
      </w:r>
      <w:r w:rsidRPr="00F5600D">
        <w:rPr>
          <w:sz w:val="24"/>
          <w:szCs w:val="24"/>
        </w:rPr>
        <w:t xml:space="preserve">quite different in </w:t>
      </w:r>
      <w:r w:rsidR="00C34BEA">
        <w:rPr>
          <w:sz w:val="24"/>
          <w:szCs w:val="24"/>
        </w:rPr>
        <w:t xml:space="preserve">very </w:t>
      </w:r>
      <w:r w:rsidRPr="00F5600D">
        <w:rPr>
          <w:sz w:val="24"/>
          <w:szCs w:val="24"/>
        </w:rPr>
        <w:t xml:space="preserve">important respects </w:t>
      </w:r>
      <w:r w:rsidR="00D3132F">
        <w:rPr>
          <w:sz w:val="24"/>
          <w:szCs w:val="24"/>
        </w:rPr>
        <w:t>from the law of torts in other common law jurisdictions</w:t>
      </w:r>
      <w:r>
        <w:rPr>
          <w:sz w:val="24"/>
          <w:szCs w:val="24"/>
        </w:rPr>
        <w:t>.</w:t>
      </w:r>
    </w:p>
    <w:p w14:paraId="79972B0F" w14:textId="1102D83A" w:rsidR="00E83EF5" w:rsidRDefault="007922C8" w:rsidP="00206ADA">
      <w:pPr>
        <w:autoSpaceDE w:val="0"/>
        <w:autoSpaceDN w:val="0"/>
        <w:adjustRightInd w:val="0"/>
        <w:spacing w:after="0" w:line="240" w:lineRule="auto"/>
        <w:ind w:firstLine="180"/>
        <w:jc w:val="both"/>
        <w:rPr>
          <w:sz w:val="24"/>
          <w:szCs w:val="24"/>
        </w:rPr>
      </w:pPr>
      <w:r>
        <w:rPr>
          <w:sz w:val="24"/>
          <w:szCs w:val="24"/>
        </w:rPr>
        <w:t xml:space="preserve">As a final example of </w:t>
      </w:r>
      <w:r w:rsidR="00FD36F6">
        <w:rPr>
          <w:sz w:val="24"/>
          <w:szCs w:val="24"/>
        </w:rPr>
        <w:t xml:space="preserve">distinctive </w:t>
      </w:r>
      <w:r>
        <w:rPr>
          <w:sz w:val="24"/>
          <w:szCs w:val="24"/>
        </w:rPr>
        <w:t xml:space="preserve">legislation prompted </w:t>
      </w:r>
      <w:r w:rsidR="00FD36F6">
        <w:rPr>
          <w:sz w:val="24"/>
          <w:szCs w:val="24"/>
        </w:rPr>
        <w:t>by h</w:t>
      </w:r>
      <w:r w:rsidR="00A12821">
        <w:rPr>
          <w:sz w:val="24"/>
          <w:szCs w:val="24"/>
        </w:rPr>
        <w:t xml:space="preserve">ighly publicised </w:t>
      </w:r>
      <w:r w:rsidR="00D3132F">
        <w:rPr>
          <w:sz w:val="24"/>
          <w:szCs w:val="24"/>
        </w:rPr>
        <w:t xml:space="preserve">local concerns </w:t>
      </w:r>
      <w:r w:rsidR="00FD36F6">
        <w:rPr>
          <w:sz w:val="24"/>
          <w:szCs w:val="24"/>
        </w:rPr>
        <w:t xml:space="preserve">consider </w:t>
      </w:r>
      <w:r w:rsidR="00A12821" w:rsidRPr="00346DAE">
        <w:rPr>
          <w:sz w:val="24"/>
          <w:szCs w:val="24"/>
          <w:lang w:val="en-US"/>
        </w:rPr>
        <w:t>the Congenital Disabilities (Civil Liability) Act 1976</w:t>
      </w:r>
      <w:r w:rsidR="00D3132F">
        <w:rPr>
          <w:sz w:val="24"/>
          <w:szCs w:val="24"/>
          <w:lang w:val="en-US"/>
        </w:rPr>
        <w:t xml:space="preserve"> (UK)</w:t>
      </w:r>
      <w:r w:rsidR="00FD36F6">
        <w:rPr>
          <w:sz w:val="24"/>
          <w:szCs w:val="24"/>
          <w:lang w:val="en-US"/>
        </w:rPr>
        <w:t>. This Act</w:t>
      </w:r>
      <w:r w:rsidR="00A12821" w:rsidRPr="00346DAE">
        <w:rPr>
          <w:sz w:val="24"/>
          <w:szCs w:val="24"/>
          <w:lang w:val="en-US"/>
        </w:rPr>
        <w:t xml:space="preserve"> </w:t>
      </w:r>
      <w:r w:rsidR="00644887">
        <w:rPr>
          <w:sz w:val="24"/>
          <w:szCs w:val="24"/>
          <w:lang w:val="en-US"/>
        </w:rPr>
        <w:t xml:space="preserve">changed </w:t>
      </w:r>
      <w:r w:rsidR="00A12821">
        <w:rPr>
          <w:sz w:val="24"/>
          <w:szCs w:val="24"/>
          <w:lang w:val="en-US"/>
        </w:rPr>
        <w:t xml:space="preserve">the law </w:t>
      </w:r>
      <w:r w:rsidR="00FD36F6">
        <w:rPr>
          <w:sz w:val="24"/>
          <w:szCs w:val="24"/>
          <w:lang w:val="en-US"/>
        </w:rPr>
        <w:t xml:space="preserve">in the United Kingdom </w:t>
      </w:r>
      <w:r w:rsidR="00644887">
        <w:rPr>
          <w:sz w:val="24"/>
          <w:szCs w:val="24"/>
          <w:lang w:val="en-US"/>
        </w:rPr>
        <w:t xml:space="preserve">in </w:t>
      </w:r>
      <w:r w:rsidR="00A12821" w:rsidRPr="00346DAE">
        <w:rPr>
          <w:sz w:val="24"/>
          <w:szCs w:val="24"/>
          <w:lang w:val="en-US"/>
        </w:rPr>
        <w:t xml:space="preserve">response to the </w:t>
      </w:r>
      <w:r w:rsidR="00D3132F">
        <w:rPr>
          <w:sz w:val="24"/>
          <w:szCs w:val="24"/>
          <w:lang w:val="en-US"/>
        </w:rPr>
        <w:t xml:space="preserve">prominently documented </w:t>
      </w:r>
      <w:r w:rsidR="00A12821" w:rsidRPr="00346DAE">
        <w:rPr>
          <w:sz w:val="24"/>
          <w:szCs w:val="24"/>
          <w:lang w:val="en-US"/>
        </w:rPr>
        <w:t xml:space="preserve">inability </w:t>
      </w:r>
      <w:r w:rsidR="00A12821">
        <w:rPr>
          <w:sz w:val="24"/>
          <w:szCs w:val="24"/>
          <w:lang w:val="en-US"/>
        </w:rPr>
        <w:t xml:space="preserve">of </w:t>
      </w:r>
      <w:r w:rsidR="00FD36F6">
        <w:rPr>
          <w:sz w:val="24"/>
          <w:szCs w:val="24"/>
          <w:lang w:val="en-US"/>
        </w:rPr>
        <w:t xml:space="preserve">the common law of torts </w:t>
      </w:r>
      <w:r w:rsidR="00A12821" w:rsidRPr="00346DAE">
        <w:rPr>
          <w:sz w:val="24"/>
          <w:szCs w:val="24"/>
          <w:lang w:val="en-US"/>
        </w:rPr>
        <w:t xml:space="preserve">to </w:t>
      </w:r>
      <w:r w:rsidR="00A12821">
        <w:rPr>
          <w:sz w:val="24"/>
          <w:szCs w:val="24"/>
          <w:lang w:val="en-US"/>
        </w:rPr>
        <w:t xml:space="preserve">provide adequately for </w:t>
      </w:r>
      <w:r w:rsidR="00A12821" w:rsidRPr="00346DAE">
        <w:rPr>
          <w:sz w:val="24"/>
          <w:szCs w:val="24"/>
          <w:lang w:val="en-US"/>
        </w:rPr>
        <w:t>victims of Thalidomide</w:t>
      </w:r>
      <w:r w:rsidR="00A12821">
        <w:rPr>
          <w:sz w:val="24"/>
          <w:szCs w:val="24"/>
          <w:lang w:val="en-US"/>
        </w:rPr>
        <w:t xml:space="preserve">. </w:t>
      </w:r>
      <w:r w:rsidR="00644887">
        <w:rPr>
          <w:sz w:val="24"/>
          <w:szCs w:val="24"/>
          <w:lang w:val="en-US"/>
        </w:rPr>
        <w:t>In particular</w:t>
      </w:r>
      <w:r w:rsidR="00D3132F">
        <w:rPr>
          <w:sz w:val="24"/>
          <w:szCs w:val="24"/>
          <w:lang w:val="en-US"/>
        </w:rPr>
        <w:t>, t</w:t>
      </w:r>
      <w:r w:rsidR="00A12821">
        <w:rPr>
          <w:sz w:val="24"/>
          <w:szCs w:val="24"/>
          <w:lang w:val="en-US"/>
        </w:rPr>
        <w:t xml:space="preserve">he </w:t>
      </w:r>
      <w:r w:rsidR="00A12821" w:rsidRPr="00346DAE">
        <w:rPr>
          <w:i/>
          <w:sz w:val="24"/>
          <w:szCs w:val="24"/>
          <w:lang w:val="en-US"/>
        </w:rPr>
        <w:t>Sunday Times</w:t>
      </w:r>
      <w:r w:rsidR="00A12821">
        <w:rPr>
          <w:sz w:val="24"/>
          <w:szCs w:val="24"/>
          <w:lang w:val="en-US"/>
        </w:rPr>
        <w:t xml:space="preserve"> campaigned vigorously for legislative reform</w:t>
      </w:r>
      <w:r w:rsidR="00D3132F">
        <w:rPr>
          <w:sz w:val="24"/>
          <w:szCs w:val="24"/>
          <w:lang w:val="en-US"/>
        </w:rPr>
        <w:t xml:space="preserve">, and the newspaper’s role was acknowledged in </w:t>
      </w:r>
      <w:r w:rsidR="00644887">
        <w:rPr>
          <w:sz w:val="24"/>
          <w:szCs w:val="24"/>
          <w:lang w:val="en-US"/>
        </w:rPr>
        <w:t xml:space="preserve">Parliamentary </w:t>
      </w:r>
      <w:r w:rsidR="00D3132F">
        <w:rPr>
          <w:sz w:val="24"/>
          <w:szCs w:val="24"/>
          <w:lang w:val="en-US"/>
        </w:rPr>
        <w:t>debates</w:t>
      </w:r>
      <w:r w:rsidR="00A12821">
        <w:rPr>
          <w:sz w:val="24"/>
          <w:szCs w:val="24"/>
          <w:lang w:val="en-US"/>
        </w:rPr>
        <w:t>.</w:t>
      </w:r>
      <w:r w:rsidR="007E1DCC">
        <w:rPr>
          <w:rStyle w:val="FootnoteReference"/>
          <w:sz w:val="24"/>
          <w:szCs w:val="24"/>
          <w:lang w:val="en-US"/>
        </w:rPr>
        <w:footnoteReference w:id="120"/>
      </w:r>
      <w:r w:rsidR="007E1DCC" w:rsidRPr="007E1DCC">
        <w:t xml:space="preserve"> </w:t>
      </w:r>
      <w:r w:rsidR="00544829">
        <w:rPr>
          <w:sz w:val="24"/>
          <w:szCs w:val="24"/>
        </w:rPr>
        <w:t xml:space="preserve">The resulting legislation – which </w:t>
      </w:r>
      <w:r w:rsidR="00644887">
        <w:rPr>
          <w:sz w:val="24"/>
          <w:szCs w:val="24"/>
        </w:rPr>
        <w:t>is unique to the United Kingdom</w:t>
      </w:r>
      <w:r w:rsidR="000B6708">
        <w:rPr>
          <w:rStyle w:val="FootnoteReference"/>
          <w:sz w:val="24"/>
          <w:szCs w:val="24"/>
        </w:rPr>
        <w:footnoteReference w:id="121"/>
      </w:r>
      <w:r w:rsidR="00A12821">
        <w:rPr>
          <w:sz w:val="24"/>
          <w:szCs w:val="24"/>
        </w:rPr>
        <w:t xml:space="preserve"> – created a novel cause of action on behalf </w:t>
      </w:r>
      <w:r w:rsidR="00544829">
        <w:rPr>
          <w:sz w:val="24"/>
          <w:szCs w:val="24"/>
        </w:rPr>
        <w:t>Thalidomide victims which is pa</w:t>
      </w:r>
      <w:r w:rsidR="00A12821">
        <w:rPr>
          <w:sz w:val="24"/>
          <w:szCs w:val="24"/>
        </w:rPr>
        <w:t xml:space="preserve">rasitic upon </w:t>
      </w:r>
      <w:r w:rsidR="00544829">
        <w:rPr>
          <w:sz w:val="24"/>
          <w:szCs w:val="24"/>
        </w:rPr>
        <w:t>a breach of duty owed to the child’s mother</w:t>
      </w:r>
      <w:r w:rsidR="00A12821">
        <w:rPr>
          <w:sz w:val="24"/>
          <w:szCs w:val="24"/>
        </w:rPr>
        <w:t xml:space="preserve">. </w:t>
      </w:r>
    </w:p>
    <w:p w14:paraId="5BBE4FBA" w14:textId="77777777" w:rsidR="00E83EF5" w:rsidRDefault="00E83EF5" w:rsidP="00206ADA">
      <w:pPr>
        <w:autoSpaceDE w:val="0"/>
        <w:autoSpaceDN w:val="0"/>
        <w:adjustRightInd w:val="0"/>
        <w:spacing w:after="0" w:line="240" w:lineRule="auto"/>
        <w:ind w:firstLine="180"/>
        <w:jc w:val="both"/>
        <w:rPr>
          <w:sz w:val="24"/>
          <w:szCs w:val="24"/>
        </w:rPr>
      </w:pPr>
    </w:p>
    <w:p w14:paraId="0C4A6C44" w14:textId="32D0A4E6" w:rsidR="00256FA7" w:rsidRPr="00F5600D" w:rsidRDefault="00256FA7" w:rsidP="007F4887">
      <w:pPr>
        <w:pStyle w:val="Heading1"/>
        <w:keepNext/>
      </w:pPr>
      <w:r w:rsidRPr="00F5600D">
        <w:t xml:space="preserve">5. </w:t>
      </w:r>
      <w:r w:rsidRPr="00F5600D">
        <w:tab/>
      </w:r>
      <w:r w:rsidR="005575E3">
        <w:t xml:space="preserve">The Future: </w:t>
      </w:r>
      <w:r w:rsidRPr="00F5600D">
        <w:t xml:space="preserve">A </w:t>
      </w:r>
      <w:r w:rsidR="005575E3">
        <w:t>S</w:t>
      </w:r>
      <w:r w:rsidRPr="00F5600D">
        <w:t>elf-</w:t>
      </w:r>
      <w:r w:rsidR="005575E3">
        <w:t>S</w:t>
      </w:r>
      <w:r w:rsidRPr="00F5600D">
        <w:t xml:space="preserve">ustaining </w:t>
      </w:r>
      <w:r w:rsidR="005575E3">
        <w:t>R</w:t>
      </w:r>
      <w:r w:rsidRPr="00F5600D">
        <w:t>eaction</w:t>
      </w:r>
      <w:r w:rsidR="005575E3">
        <w:t>?</w:t>
      </w:r>
      <w:r w:rsidRPr="00F5600D">
        <w:t xml:space="preserve"> </w:t>
      </w:r>
    </w:p>
    <w:p w14:paraId="1E2828A6" w14:textId="77777777" w:rsidR="00F5600D" w:rsidRPr="00F5600D" w:rsidRDefault="00F5600D" w:rsidP="007F4887">
      <w:pPr>
        <w:keepNext/>
        <w:tabs>
          <w:tab w:val="left" w:pos="284"/>
        </w:tabs>
        <w:spacing w:after="0" w:line="240" w:lineRule="auto"/>
        <w:rPr>
          <w:sz w:val="24"/>
          <w:szCs w:val="24"/>
        </w:rPr>
      </w:pPr>
    </w:p>
    <w:p w14:paraId="1B831378" w14:textId="427E0812" w:rsidR="005807A7" w:rsidRDefault="00F659BF" w:rsidP="001525F9">
      <w:pPr>
        <w:tabs>
          <w:tab w:val="left" w:pos="284"/>
        </w:tabs>
        <w:spacing w:after="0" w:line="240" w:lineRule="auto"/>
        <w:jc w:val="both"/>
        <w:rPr>
          <w:sz w:val="24"/>
          <w:szCs w:val="24"/>
        </w:rPr>
      </w:pPr>
      <w:r>
        <w:rPr>
          <w:sz w:val="24"/>
          <w:szCs w:val="24"/>
        </w:rPr>
        <w:t xml:space="preserve">Section 3 of this chapter explained how the major common law jurisdictions </w:t>
      </w:r>
      <w:r w:rsidR="00FD36F6">
        <w:rPr>
          <w:sz w:val="24"/>
          <w:szCs w:val="24"/>
        </w:rPr>
        <w:t xml:space="preserve">have become </w:t>
      </w:r>
      <w:r>
        <w:rPr>
          <w:sz w:val="24"/>
          <w:szCs w:val="24"/>
        </w:rPr>
        <w:t xml:space="preserve">effectively isolated from each other, and section 4 </w:t>
      </w:r>
      <w:r w:rsidR="00FD36F6">
        <w:rPr>
          <w:sz w:val="24"/>
          <w:szCs w:val="24"/>
        </w:rPr>
        <w:t xml:space="preserve">demonstrated </w:t>
      </w:r>
      <w:r>
        <w:rPr>
          <w:sz w:val="24"/>
          <w:szCs w:val="24"/>
        </w:rPr>
        <w:t xml:space="preserve">how this isolation has permitted local factors to influence the trajectory of tort law so that it has developed differently from jurisdiction to jurisdiction. </w:t>
      </w:r>
      <w:r w:rsidR="00FD36F6">
        <w:rPr>
          <w:sz w:val="24"/>
          <w:szCs w:val="24"/>
        </w:rPr>
        <w:t>Together, t</w:t>
      </w:r>
      <w:r>
        <w:rPr>
          <w:sz w:val="24"/>
          <w:szCs w:val="24"/>
        </w:rPr>
        <w:t>he</w:t>
      </w:r>
      <w:r w:rsidR="005807A7">
        <w:rPr>
          <w:sz w:val="24"/>
          <w:szCs w:val="24"/>
        </w:rPr>
        <w:t>se</w:t>
      </w:r>
      <w:r>
        <w:rPr>
          <w:sz w:val="24"/>
          <w:szCs w:val="24"/>
        </w:rPr>
        <w:t xml:space="preserve"> </w:t>
      </w:r>
      <w:r w:rsidR="00FD36F6">
        <w:rPr>
          <w:sz w:val="24"/>
          <w:szCs w:val="24"/>
        </w:rPr>
        <w:t xml:space="preserve">parts </w:t>
      </w:r>
      <w:r>
        <w:rPr>
          <w:sz w:val="24"/>
          <w:szCs w:val="24"/>
        </w:rPr>
        <w:t xml:space="preserve">of </w:t>
      </w:r>
      <w:r w:rsidR="00FD36F6">
        <w:rPr>
          <w:sz w:val="24"/>
          <w:szCs w:val="24"/>
        </w:rPr>
        <w:t xml:space="preserve">the </w:t>
      </w:r>
      <w:r>
        <w:rPr>
          <w:sz w:val="24"/>
          <w:szCs w:val="24"/>
        </w:rPr>
        <w:t xml:space="preserve">chapter tell the tale of divergent evolution in the law of torts. One important point that </w:t>
      </w:r>
      <w:r w:rsidR="005807A7">
        <w:rPr>
          <w:sz w:val="24"/>
          <w:szCs w:val="24"/>
        </w:rPr>
        <w:t>we want to make by way of conclusion</w:t>
      </w:r>
      <w:r>
        <w:rPr>
          <w:sz w:val="24"/>
          <w:szCs w:val="24"/>
        </w:rPr>
        <w:t xml:space="preserve"> is </w:t>
      </w:r>
      <w:r w:rsidR="00AF779F">
        <w:rPr>
          <w:sz w:val="24"/>
          <w:szCs w:val="24"/>
        </w:rPr>
        <w:t xml:space="preserve">that </w:t>
      </w:r>
      <w:r w:rsidR="005807A7">
        <w:rPr>
          <w:sz w:val="24"/>
          <w:szCs w:val="24"/>
        </w:rPr>
        <w:t xml:space="preserve">this </w:t>
      </w:r>
      <w:r>
        <w:rPr>
          <w:sz w:val="24"/>
          <w:szCs w:val="24"/>
        </w:rPr>
        <w:t xml:space="preserve">process </w:t>
      </w:r>
      <w:r w:rsidR="005807A7">
        <w:rPr>
          <w:sz w:val="24"/>
          <w:szCs w:val="24"/>
        </w:rPr>
        <w:t xml:space="preserve">– jurisdictional isolation and jurisprudential divergence – </w:t>
      </w:r>
      <w:r>
        <w:rPr>
          <w:sz w:val="24"/>
          <w:szCs w:val="24"/>
        </w:rPr>
        <w:t>is self-sustaining. As the law of torts in jurisdiction X become</w:t>
      </w:r>
      <w:r w:rsidR="005807A7">
        <w:rPr>
          <w:sz w:val="24"/>
          <w:szCs w:val="24"/>
        </w:rPr>
        <w:t>s</w:t>
      </w:r>
      <w:r>
        <w:rPr>
          <w:sz w:val="24"/>
          <w:szCs w:val="24"/>
        </w:rPr>
        <w:t xml:space="preserve"> sufficiently different from </w:t>
      </w:r>
      <w:r w:rsidR="005807A7">
        <w:rPr>
          <w:sz w:val="24"/>
          <w:szCs w:val="24"/>
        </w:rPr>
        <w:t xml:space="preserve">that in </w:t>
      </w:r>
      <w:r>
        <w:rPr>
          <w:sz w:val="24"/>
          <w:szCs w:val="24"/>
        </w:rPr>
        <w:t>jurisdiction Y, legal materials in j</w:t>
      </w:r>
      <w:r w:rsidR="005807A7">
        <w:rPr>
          <w:sz w:val="24"/>
          <w:szCs w:val="24"/>
        </w:rPr>
        <w:t xml:space="preserve">urisdiction X will become </w:t>
      </w:r>
      <w:r>
        <w:rPr>
          <w:sz w:val="24"/>
          <w:szCs w:val="24"/>
        </w:rPr>
        <w:t xml:space="preserve">less relevant </w:t>
      </w:r>
      <w:r w:rsidR="00074CB7">
        <w:rPr>
          <w:sz w:val="24"/>
          <w:szCs w:val="24"/>
        </w:rPr>
        <w:t xml:space="preserve">to disputes </w:t>
      </w:r>
      <w:r>
        <w:rPr>
          <w:sz w:val="24"/>
          <w:szCs w:val="24"/>
        </w:rPr>
        <w:t>in jurisdiction Y than might have otherwise been the case</w:t>
      </w:r>
      <w:r w:rsidR="005807A7">
        <w:rPr>
          <w:sz w:val="24"/>
          <w:szCs w:val="24"/>
        </w:rPr>
        <w:t>, and vice versa</w:t>
      </w:r>
      <w:r>
        <w:rPr>
          <w:sz w:val="24"/>
          <w:szCs w:val="24"/>
        </w:rPr>
        <w:t xml:space="preserve">. </w:t>
      </w:r>
      <w:r w:rsidR="00FD36F6">
        <w:rPr>
          <w:sz w:val="24"/>
          <w:szCs w:val="24"/>
        </w:rPr>
        <w:t>In turn, t</w:t>
      </w:r>
      <w:r>
        <w:rPr>
          <w:sz w:val="24"/>
          <w:szCs w:val="24"/>
        </w:rPr>
        <w:t xml:space="preserve">his increases the degree of isolation and the potential for local factors to operate separately on the different jurisdictions. The process </w:t>
      </w:r>
      <w:r w:rsidR="00074CB7">
        <w:rPr>
          <w:sz w:val="24"/>
          <w:szCs w:val="24"/>
        </w:rPr>
        <w:t xml:space="preserve">then </w:t>
      </w:r>
      <w:r>
        <w:rPr>
          <w:sz w:val="24"/>
          <w:szCs w:val="24"/>
        </w:rPr>
        <w:t xml:space="preserve">continues. </w:t>
      </w:r>
    </w:p>
    <w:p w14:paraId="13E5AB40" w14:textId="07F4C20F" w:rsidR="005807A7" w:rsidRDefault="005807A7" w:rsidP="001525F9">
      <w:pPr>
        <w:tabs>
          <w:tab w:val="left" w:pos="284"/>
        </w:tabs>
        <w:spacing w:after="0" w:line="240" w:lineRule="auto"/>
        <w:jc w:val="both"/>
        <w:rPr>
          <w:sz w:val="24"/>
          <w:szCs w:val="24"/>
        </w:rPr>
      </w:pPr>
      <w:r>
        <w:rPr>
          <w:sz w:val="24"/>
          <w:szCs w:val="24"/>
        </w:rPr>
        <w:tab/>
        <w:t xml:space="preserve">This hypothesis can be verified by looking at different legal systems around the world, some of which became isolated from the United Kingdom </w:t>
      </w:r>
      <w:r w:rsidR="00074CB7">
        <w:rPr>
          <w:sz w:val="24"/>
          <w:szCs w:val="24"/>
        </w:rPr>
        <w:t xml:space="preserve">at an </w:t>
      </w:r>
      <w:r>
        <w:rPr>
          <w:sz w:val="24"/>
          <w:szCs w:val="24"/>
        </w:rPr>
        <w:t xml:space="preserve">earlier </w:t>
      </w:r>
      <w:r w:rsidR="00074CB7">
        <w:rPr>
          <w:sz w:val="24"/>
          <w:szCs w:val="24"/>
        </w:rPr>
        <w:t xml:space="preserve">point in time </w:t>
      </w:r>
      <w:r>
        <w:rPr>
          <w:sz w:val="24"/>
          <w:szCs w:val="24"/>
        </w:rPr>
        <w:t xml:space="preserve">than others. The United States became isolated from the United Kingdom in terms of its legal sources earlier than the other major common law jurisdictions and, as per our hypothesis, </w:t>
      </w:r>
      <w:r w:rsidR="00FD36F6">
        <w:rPr>
          <w:sz w:val="24"/>
          <w:szCs w:val="24"/>
        </w:rPr>
        <w:t xml:space="preserve">tort law </w:t>
      </w:r>
      <w:r>
        <w:rPr>
          <w:sz w:val="24"/>
          <w:szCs w:val="24"/>
        </w:rPr>
        <w:t>in the United Kingdom and in the United States have drift</w:t>
      </w:r>
      <w:r w:rsidR="00074CB7">
        <w:rPr>
          <w:sz w:val="24"/>
          <w:szCs w:val="24"/>
        </w:rPr>
        <w:t>ed</w:t>
      </w:r>
      <w:r>
        <w:rPr>
          <w:sz w:val="24"/>
          <w:szCs w:val="24"/>
        </w:rPr>
        <w:t xml:space="preserve"> quite far apart from each other. The differences are now so large that judges in these jurisdictions are reasonably reluctant to refer to sources in the other. By contrast, Australia, Canada and the New Zealand became isolated from the United Kingdom in terms of source unity much later in the day. The law in these jurisdictions is </w:t>
      </w:r>
      <w:r w:rsidR="00074CB7">
        <w:rPr>
          <w:sz w:val="24"/>
          <w:szCs w:val="24"/>
        </w:rPr>
        <w:t>more similar</w:t>
      </w:r>
      <w:r>
        <w:rPr>
          <w:sz w:val="24"/>
          <w:szCs w:val="24"/>
        </w:rPr>
        <w:t xml:space="preserve">, and it is unsurprising that judges in these jurisdictions look to legal sources in these other jurisdictions reasonably regularly. </w:t>
      </w:r>
    </w:p>
    <w:p w14:paraId="5BEB2879" w14:textId="26B5EF47" w:rsidR="00F659BF" w:rsidRDefault="005807A7" w:rsidP="005807A7">
      <w:pPr>
        <w:tabs>
          <w:tab w:val="left" w:pos="284"/>
        </w:tabs>
        <w:spacing w:after="0" w:line="240" w:lineRule="auto"/>
        <w:jc w:val="both"/>
        <w:rPr>
          <w:sz w:val="24"/>
          <w:szCs w:val="24"/>
        </w:rPr>
      </w:pPr>
      <w:r>
        <w:rPr>
          <w:sz w:val="24"/>
          <w:szCs w:val="24"/>
        </w:rPr>
        <w:tab/>
        <w:t xml:space="preserve">If our claim that divergent evolution in the law of torts is a runaway phenomenon is correct, that obviously has significant consequences for the </w:t>
      </w:r>
      <w:r w:rsidR="00F659BF">
        <w:rPr>
          <w:sz w:val="24"/>
          <w:szCs w:val="24"/>
        </w:rPr>
        <w:t xml:space="preserve">prospect of finding a viable universal theory of the whole of the law of tort. </w:t>
      </w:r>
      <w:r w:rsidR="00074CB7">
        <w:rPr>
          <w:sz w:val="24"/>
          <w:szCs w:val="24"/>
        </w:rPr>
        <w:t xml:space="preserve">Specifically, it means that </w:t>
      </w:r>
      <w:r w:rsidR="00EA645A">
        <w:rPr>
          <w:sz w:val="24"/>
          <w:szCs w:val="24"/>
        </w:rPr>
        <w:t xml:space="preserve">the likelihood </w:t>
      </w:r>
      <w:r w:rsidR="00FD36F6">
        <w:rPr>
          <w:sz w:val="24"/>
          <w:szCs w:val="24"/>
        </w:rPr>
        <w:t xml:space="preserve">that </w:t>
      </w:r>
      <w:r w:rsidR="00EA645A">
        <w:rPr>
          <w:sz w:val="24"/>
          <w:szCs w:val="24"/>
        </w:rPr>
        <w:t xml:space="preserve">a viable universal theory </w:t>
      </w:r>
      <w:r w:rsidR="00FD36F6">
        <w:rPr>
          <w:sz w:val="24"/>
          <w:szCs w:val="24"/>
        </w:rPr>
        <w:t xml:space="preserve">will be </w:t>
      </w:r>
      <w:r w:rsidR="00EA645A">
        <w:rPr>
          <w:sz w:val="24"/>
          <w:szCs w:val="24"/>
        </w:rPr>
        <w:t xml:space="preserve">found, </w:t>
      </w:r>
      <w:r w:rsidR="00FD36F6">
        <w:rPr>
          <w:sz w:val="24"/>
          <w:szCs w:val="24"/>
        </w:rPr>
        <w:t xml:space="preserve">which is </w:t>
      </w:r>
      <w:r w:rsidR="00EA645A">
        <w:rPr>
          <w:sz w:val="24"/>
          <w:szCs w:val="24"/>
        </w:rPr>
        <w:t xml:space="preserve">already low in our view, will dwindle over time. The point will eventually be reached, if it has not been reached already, that no single </w:t>
      </w:r>
      <w:r w:rsidR="00EA645A">
        <w:rPr>
          <w:sz w:val="24"/>
          <w:szCs w:val="24"/>
        </w:rPr>
        <w:lastRenderedPageBreak/>
        <w:t xml:space="preserve">theory will be able to accommodate the diversity of rules </w:t>
      </w:r>
      <w:r w:rsidR="00FD36F6">
        <w:rPr>
          <w:sz w:val="24"/>
          <w:szCs w:val="24"/>
        </w:rPr>
        <w:t xml:space="preserve">that are </w:t>
      </w:r>
      <w:r w:rsidR="00EA645A">
        <w:rPr>
          <w:sz w:val="24"/>
          <w:szCs w:val="24"/>
        </w:rPr>
        <w:t>found across the common law world.</w:t>
      </w:r>
    </w:p>
    <w:sectPr w:rsidR="00F659BF" w:rsidSect="00DC536E">
      <w:footerReference w:type="default" r:id="rId9"/>
      <w:pgSz w:w="11906" w:h="16838"/>
      <w:pgMar w:top="1418" w:right="1418" w:bottom="1418"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609FCD" w14:textId="77777777" w:rsidR="004F6CFC" w:rsidRDefault="004F6CFC" w:rsidP="005833C2">
      <w:pPr>
        <w:spacing w:after="0" w:line="240" w:lineRule="auto"/>
      </w:pPr>
      <w:r>
        <w:separator/>
      </w:r>
    </w:p>
  </w:endnote>
  <w:endnote w:type="continuationSeparator" w:id="0">
    <w:p w14:paraId="28C2C73A" w14:textId="77777777" w:rsidR="004F6CFC" w:rsidRDefault="004F6CFC" w:rsidP="005833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nion">
    <w:altName w:val="Minio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1833844"/>
      <w:docPartObj>
        <w:docPartGallery w:val="Page Numbers (Bottom of Page)"/>
        <w:docPartUnique/>
      </w:docPartObj>
    </w:sdtPr>
    <w:sdtEndPr>
      <w:rPr>
        <w:noProof/>
      </w:rPr>
    </w:sdtEndPr>
    <w:sdtContent>
      <w:p w14:paraId="74936F17" w14:textId="77777777" w:rsidR="00850874" w:rsidRDefault="00850874">
        <w:pPr>
          <w:pStyle w:val="Footer"/>
          <w:jc w:val="center"/>
        </w:pPr>
        <w:r>
          <w:fldChar w:fldCharType="begin"/>
        </w:r>
        <w:r>
          <w:instrText xml:space="preserve"> PAGE   \* MERGEFORMAT </w:instrText>
        </w:r>
        <w:r>
          <w:fldChar w:fldCharType="separate"/>
        </w:r>
        <w:r w:rsidR="00C91724">
          <w:rPr>
            <w:noProof/>
          </w:rPr>
          <w:t>2</w:t>
        </w:r>
        <w:r>
          <w:rPr>
            <w:noProof/>
          </w:rPr>
          <w:fldChar w:fldCharType="end"/>
        </w:r>
      </w:p>
    </w:sdtContent>
  </w:sdt>
  <w:p w14:paraId="5719BBBE" w14:textId="77777777" w:rsidR="00850874" w:rsidRDefault="0085087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0BFB65" w14:textId="77777777" w:rsidR="004F6CFC" w:rsidRDefault="004F6CFC" w:rsidP="005833C2">
      <w:pPr>
        <w:spacing w:after="0" w:line="240" w:lineRule="auto"/>
      </w:pPr>
      <w:r>
        <w:separator/>
      </w:r>
    </w:p>
  </w:footnote>
  <w:footnote w:type="continuationSeparator" w:id="0">
    <w:p w14:paraId="01004B5B" w14:textId="77777777" w:rsidR="004F6CFC" w:rsidRDefault="004F6CFC" w:rsidP="005833C2">
      <w:pPr>
        <w:spacing w:after="0" w:line="240" w:lineRule="auto"/>
      </w:pPr>
      <w:r>
        <w:continuationSeparator/>
      </w:r>
    </w:p>
  </w:footnote>
  <w:footnote w:id="1">
    <w:p w14:paraId="04D5C4D6" w14:textId="77777777" w:rsidR="00850874" w:rsidRDefault="00850874" w:rsidP="00F0137F">
      <w:pPr>
        <w:pStyle w:val="FootnoteText"/>
        <w:tabs>
          <w:tab w:val="left" w:pos="284"/>
        </w:tabs>
        <w:jc w:val="both"/>
      </w:pPr>
      <w:r>
        <w:rPr>
          <w:rStyle w:val="FootnoteReference"/>
        </w:rPr>
        <w:t>*</w:t>
      </w:r>
      <w:r>
        <w:t xml:space="preserve"> </w:t>
      </w:r>
      <w:r>
        <w:tab/>
        <w:t xml:space="preserve">Fellow, Keble College, Oxford; Associate Professor, Oxford Law Faculty. </w:t>
      </w:r>
    </w:p>
  </w:footnote>
  <w:footnote w:id="2">
    <w:p w14:paraId="17ECEC1C" w14:textId="77777777" w:rsidR="00850874" w:rsidRDefault="00850874" w:rsidP="00F0137F">
      <w:pPr>
        <w:pStyle w:val="FootnoteText"/>
        <w:tabs>
          <w:tab w:val="left" w:pos="284"/>
        </w:tabs>
        <w:jc w:val="both"/>
      </w:pPr>
      <w:r>
        <w:rPr>
          <w:rStyle w:val="FootnoteReference"/>
        </w:rPr>
        <w:t>**</w:t>
      </w:r>
      <w:r>
        <w:t xml:space="preserve"> </w:t>
      </w:r>
      <w:r>
        <w:tab/>
        <w:t xml:space="preserve">Professor, Law School, Lancaster University. </w:t>
      </w:r>
    </w:p>
  </w:footnote>
  <w:footnote w:id="3">
    <w:p w14:paraId="772AB8A3" w14:textId="64E31432" w:rsidR="00850874" w:rsidRPr="00AC76B8" w:rsidRDefault="00850874" w:rsidP="00F0137F">
      <w:pPr>
        <w:pStyle w:val="FootnoteText"/>
        <w:tabs>
          <w:tab w:val="left" w:pos="284"/>
        </w:tabs>
        <w:ind w:left="284" w:hanging="284"/>
        <w:jc w:val="both"/>
        <w:rPr>
          <w:i/>
        </w:rPr>
      </w:pPr>
      <w:r>
        <w:rPr>
          <w:rStyle w:val="FootnoteReference"/>
        </w:rPr>
        <w:footnoteRef/>
      </w:r>
      <w:r>
        <w:t xml:space="preserve"> </w:t>
      </w:r>
      <w:r>
        <w:tab/>
        <w:t>For a conspectus of his work in relation to tort law, see R</w:t>
      </w:r>
      <w:r w:rsidRPr="00AB5B5F">
        <w:t xml:space="preserve">A Posner, </w:t>
      </w:r>
      <w:r>
        <w:t>‘</w:t>
      </w:r>
      <w:r w:rsidRPr="00AB5B5F">
        <w:t>A Theory of Negligence</w:t>
      </w:r>
      <w:r>
        <w:t>’</w:t>
      </w:r>
      <w:r w:rsidRPr="00AB5B5F">
        <w:t xml:space="preserve"> (1972) 1 </w:t>
      </w:r>
      <w:r w:rsidRPr="001A537B">
        <w:rPr>
          <w:i/>
        </w:rPr>
        <w:t>Journal of Legal Studies</w:t>
      </w:r>
      <w:r w:rsidRPr="00AB5B5F">
        <w:t xml:space="preserve"> 29; WM Landes and RA Posner, </w:t>
      </w:r>
      <w:r>
        <w:t>‘</w:t>
      </w:r>
      <w:r w:rsidRPr="00AB5B5F">
        <w:t>The Positive Economic Theory of Tort Law</w:t>
      </w:r>
      <w:r>
        <w:t>’</w:t>
      </w:r>
      <w:r w:rsidRPr="00AB5B5F">
        <w:t xml:space="preserve"> (1980) 15 </w:t>
      </w:r>
      <w:r w:rsidRPr="001A537B">
        <w:rPr>
          <w:i/>
        </w:rPr>
        <w:t>Georgia Law Review</w:t>
      </w:r>
      <w:r w:rsidRPr="00AB5B5F">
        <w:rPr>
          <w:i/>
        </w:rPr>
        <w:t xml:space="preserve"> </w:t>
      </w:r>
      <w:r w:rsidRPr="00AB5B5F">
        <w:t xml:space="preserve">851; WM Landes and RA Posner, </w:t>
      </w:r>
      <w:r w:rsidRPr="00AB5B5F">
        <w:rPr>
          <w:i/>
        </w:rPr>
        <w:t>The Economic Structure of Tort Law</w:t>
      </w:r>
      <w:r>
        <w:rPr>
          <w:i/>
        </w:rPr>
        <w:t xml:space="preserve"> </w:t>
      </w:r>
      <w:r>
        <w:t xml:space="preserve">(Cambridge, MA, </w:t>
      </w:r>
      <w:r w:rsidR="00175662">
        <w:t xml:space="preserve">Harvard University Press, </w:t>
      </w:r>
      <w:r>
        <w:t xml:space="preserve">1987); </w:t>
      </w:r>
      <w:r w:rsidRPr="00AB5B5F">
        <w:t xml:space="preserve">RA Posner, </w:t>
      </w:r>
      <w:r>
        <w:t>‘</w:t>
      </w:r>
      <w:r w:rsidRPr="00AB5B5F">
        <w:t>Wealth Maximization and To</w:t>
      </w:r>
      <w:r>
        <w:t>rt Law: A Philosophical Inquiry’ in DG </w:t>
      </w:r>
      <w:r w:rsidRPr="00AB5B5F">
        <w:t xml:space="preserve">Owen (ed), </w:t>
      </w:r>
      <w:r w:rsidRPr="00AB5B5F">
        <w:rPr>
          <w:i/>
        </w:rPr>
        <w:t>Philosophical Foundations of Tort Law</w:t>
      </w:r>
      <w:r>
        <w:rPr>
          <w:i/>
        </w:rPr>
        <w:t xml:space="preserve"> </w:t>
      </w:r>
      <w:r>
        <w:t>(Oxford, OUP, 1995) ch 4.</w:t>
      </w:r>
    </w:p>
  </w:footnote>
  <w:footnote w:id="4">
    <w:p w14:paraId="428E8F20" w14:textId="323D0ED1" w:rsidR="00850874" w:rsidRPr="00AB5B5F" w:rsidRDefault="00850874" w:rsidP="00F0137F">
      <w:pPr>
        <w:pStyle w:val="FootnoteText"/>
        <w:tabs>
          <w:tab w:val="left" w:pos="284"/>
        </w:tabs>
        <w:ind w:left="284" w:hanging="284"/>
        <w:jc w:val="both"/>
        <w:rPr>
          <w:i/>
        </w:rPr>
      </w:pPr>
      <w:r w:rsidRPr="00AB5B5F">
        <w:rPr>
          <w:rStyle w:val="FootnoteReference"/>
        </w:rPr>
        <w:footnoteRef/>
      </w:r>
      <w:r w:rsidRPr="00AB5B5F">
        <w:t xml:space="preserve"> </w:t>
      </w:r>
      <w:r w:rsidRPr="00AB5B5F">
        <w:tab/>
        <w:t xml:space="preserve">Landes and Posner, </w:t>
      </w:r>
      <w:r w:rsidRPr="00AB5B5F">
        <w:rPr>
          <w:i/>
        </w:rPr>
        <w:t xml:space="preserve">The Economic Structure of Tort Law </w:t>
      </w:r>
      <w:r w:rsidRPr="00AB5B5F">
        <w:t>(</w:t>
      </w:r>
      <w:r>
        <w:t xml:space="preserve">n </w:t>
      </w:r>
      <w:r>
        <w:fldChar w:fldCharType="begin"/>
      </w:r>
      <w:r>
        <w:instrText xml:space="preserve"> NOTEREF _Ref401991544 \h  \* MERGEFORMAT </w:instrText>
      </w:r>
      <w:r>
        <w:fldChar w:fldCharType="separate"/>
      </w:r>
      <w:r w:rsidR="002D212F">
        <w:t>1</w:t>
      </w:r>
      <w:r>
        <w:fldChar w:fldCharType="end"/>
      </w:r>
      <w:r w:rsidRPr="00AB5B5F">
        <w:t xml:space="preserve">) 1. </w:t>
      </w:r>
    </w:p>
  </w:footnote>
  <w:footnote w:id="5">
    <w:p w14:paraId="2E02F53D" w14:textId="66B66CCF" w:rsidR="00850874" w:rsidRDefault="00850874" w:rsidP="00F0137F">
      <w:pPr>
        <w:pStyle w:val="FootnoteText"/>
        <w:tabs>
          <w:tab w:val="left" w:pos="284"/>
        </w:tabs>
        <w:jc w:val="both"/>
      </w:pPr>
      <w:r>
        <w:rPr>
          <w:rStyle w:val="FootnoteReference"/>
        </w:rPr>
        <w:footnoteRef/>
      </w:r>
      <w:r>
        <w:t xml:space="preserve"> </w:t>
      </w:r>
      <w:r>
        <w:tab/>
      </w:r>
      <w:r w:rsidRPr="00AB5B5F">
        <w:t xml:space="preserve">EJ Weinrib, </w:t>
      </w:r>
      <w:r w:rsidRPr="00AB5B5F">
        <w:rPr>
          <w:i/>
        </w:rPr>
        <w:t>The Idea of Private Law</w:t>
      </w:r>
      <w:r>
        <w:t xml:space="preserve"> (</w:t>
      </w:r>
      <w:r w:rsidR="00DE6A89">
        <w:t>Cambridge MA</w:t>
      </w:r>
      <w:r>
        <w:t>,</w:t>
      </w:r>
      <w:r w:rsidR="00DE6A89">
        <w:t xml:space="preserve"> Harvard University Press,</w:t>
      </w:r>
      <w:r>
        <w:t xml:space="preserve"> 1995</w:t>
      </w:r>
      <w:r w:rsidRPr="00AB5B5F">
        <w:t>).</w:t>
      </w:r>
    </w:p>
  </w:footnote>
  <w:footnote w:id="6">
    <w:p w14:paraId="4286FB8D" w14:textId="77777777" w:rsidR="00850874" w:rsidRDefault="00850874" w:rsidP="00F0137F">
      <w:pPr>
        <w:pStyle w:val="FootnoteText"/>
        <w:tabs>
          <w:tab w:val="left" w:pos="284"/>
        </w:tabs>
        <w:jc w:val="both"/>
      </w:pPr>
      <w:r>
        <w:rPr>
          <w:rStyle w:val="FootnoteReference"/>
        </w:rPr>
        <w:footnoteRef/>
      </w:r>
      <w:r>
        <w:t xml:space="preserve"> </w:t>
      </w:r>
      <w:r>
        <w:tab/>
      </w:r>
      <w:r w:rsidRPr="00AB5B5F">
        <w:t xml:space="preserve">R Stevens, </w:t>
      </w:r>
      <w:r w:rsidRPr="00AB5B5F">
        <w:rPr>
          <w:i/>
        </w:rPr>
        <w:t xml:space="preserve">Torts and Rights </w:t>
      </w:r>
      <w:r>
        <w:t xml:space="preserve">(Oxford, OUP, </w:t>
      </w:r>
      <w:r w:rsidRPr="00AB5B5F">
        <w:t>2007).</w:t>
      </w:r>
    </w:p>
  </w:footnote>
  <w:footnote w:id="7">
    <w:p w14:paraId="4F6D3A9F" w14:textId="77777777" w:rsidR="00850874" w:rsidRDefault="00850874" w:rsidP="00F0137F">
      <w:pPr>
        <w:pStyle w:val="FootnoteText"/>
        <w:tabs>
          <w:tab w:val="left" w:pos="284"/>
        </w:tabs>
        <w:jc w:val="both"/>
      </w:pPr>
      <w:r>
        <w:rPr>
          <w:rStyle w:val="FootnoteReference"/>
        </w:rPr>
        <w:footnoteRef/>
      </w:r>
      <w:r>
        <w:t xml:space="preserve"> </w:t>
      </w:r>
      <w:r>
        <w:tab/>
        <w:t xml:space="preserve">See, eg, </w:t>
      </w:r>
      <w:r w:rsidRPr="00AB5B5F">
        <w:t>JCP Goldberg and</w:t>
      </w:r>
      <w:r>
        <w:t xml:space="preserve"> BC Zipursky, ‘Torts as Wrongs’ </w:t>
      </w:r>
      <w:r w:rsidRPr="00AB5B5F">
        <w:t xml:space="preserve">(2010) 88 </w:t>
      </w:r>
      <w:r w:rsidRPr="001A537B">
        <w:rPr>
          <w:i/>
        </w:rPr>
        <w:t>Texas Law Review</w:t>
      </w:r>
      <w:r w:rsidRPr="00AB5B5F">
        <w:rPr>
          <w:i/>
        </w:rPr>
        <w:t xml:space="preserve"> </w:t>
      </w:r>
      <w:r w:rsidRPr="00AB5B5F">
        <w:t>917.</w:t>
      </w:r>
    </w:p>
  </w:footnote>
  <w:footnote w:id="8">
    <w:p w14:paraId="2C6EBCE8" w14:textId="77777777" w:rsidR="00850874" w:rsidRPr="00B50AEB" w:rsidRDefault="00850874" w:rsidP="00F0137F">
      <w:pPr>
        <w:pStyle w:val="FootnoteText"/>
        <w:tabs>
          <w:tab w:val="left" w:pos="284"/>
        </w:tabs>
        <w:ind w:left="284" w:hanging="284"/>
        <w:jc w:val="both"/>
      </w:pPr>
      <w:r>
        <w:rPr>
          <w:rStyle w:val="FootnoteReference"/>
        </w:rPr>
        <w:footnoteRef/>
      </w:r>
      <w:r>
        <w:t xml:space="preserve"> </w:t>
      </w:r>
      <w:r>
        <w:tab/>
        <w:t xml:space="preserve">Eg, compare </w:t>
      </w:r>
      <w:r w:rsidRPr="00AB5B5F">
        <w:t xml:space="preserve">BC Zipursky, </w:t>
      </w:r>
      <w:r>
        <w:t>‘</w:t>
      </w:r>
      <w:r w:rsidRPr="00AB5B5F">
        <w:t>Civil Recourse, Not Corr</w:t>
      </w:r>
      <w:r>
        <w:t>ective Justice’</w:t>
      </w:r>
      <w:r w:rsidRPr="00AB5B5F">
        <w:t xml:space="preserve"> (2003) 91 </w:t>
      </w:r>
      <w:r w:rsidRPr="001A537B">
        <w:rPr>
          <w:i/>
        </w:rPr>
        <w:t>Georgetown Law Journal</w:t>
      </w:r>
      <w:r w:rsidRPr="00AB5B5F">
        <w:t xml:space="preserve"> 695</w:t>
      </w:r>
      <w:r>
        <w:t xml:space="preserve"> and </w:t>
      </w:r>
      <w:r w:rsidRPr="00AB5B5F">
        <w:t>EJ Weinrib,</w:t>
      </w:r>
      <w:r w:rsidRPr="00AB5B5F" w:rsidDel="00BB6288">
        <w:t xml:space="preserve"> </w:t>
      </w:r>
      <w:r>
        <w:t>‘</w:t>
      </w:r>
      <w:r w:rsidRPr="00AB5B5F">
        <w:t>Civil Recourse and Corrective Justice</w:t>
      </w:r>
      <w:r>
        <w:t>’</w:t>
      </w:r>
      <w:r w:rsidRPr="00AB5B5F">
        <w:t xml:space="preserve"> (2011) 39 </w:t>
      </w:r>
      <w:r w:rsidRPr="001A537B">
        <w:rPr>
          <w:i/>
        </w:rPr>
        <w:t>Florida State University Law Review</w:t>
      </w:r>
      <w:r w:rsidRPr="00AB5B5F">
        <w:t xml:space="preserve"> 273</w:t>
      </w:r>
      <w:r>
        <w:t xml:space="preserve"> (Zipursky contending that the civil recourse theory that he developed with Goldberg is different from </w:t>
      </w:r>
      <w:r w:rsidRPr="00B50AEB">
        <w:t>Weinrib’s corrective justice theory and Weinrib replying doubting that there is any material difference</w:t>
      </w:r>
      <w:r>
        <w:t>)</w:t>
      </w:r>
      <w:r w:rsidRPr="00B50AEB">
        <w:t>.</w:t>
      </w:r>
    </w:p>
  </w:footnote>
  <w:footnote w:id="9">
    <w:p w14:paraId="2F51CD46" w14:textId="234DE6B7" w:rsidR="00850874" w:rsidRPr="00B50AEB" w:rsidRDefault="00850874" w:rsidP="00F0137F">
      <w:pPr>
        <w:pStyle w:val="FootnoteText"/>
        <w:tabs>
          <w:tab w:val="left" w:pos="284"/>
        </w:tabs>
        <w:ind w:left="284" w:hanging="284"/>
        <w:jc w:val="both"/>
      </w:pPr>
      <w:r w:rsidRPr="00B50AEB">
        <w:rPr>
          <w:rStyle w:val="FootnoteReference"/>
        </w:rPr>
        <w:footnoteRef/>
      </w:r>
      <w:r w:rsidRPr="00B50AEB">
        <w:t xml:space="preserve"> </w:t>
      </w:r>
      <w:r>
        <w:tab/>
      </w:r>
      <w:r w:rsidR="00175662">
        <w:t>In relation to Posner, see the quotation in the opening paragraph of this chapter.</w:t>
      </w:r>
      <w:r>
        <w:t xml:space="preserve"> Weinrib says that he wants ‘</w:t>
      </w:r>
      <w:r w:rsidRPr="00B50AEB">
        <w:t>to understand tort law</w:t>
      </w:r>
      <w:r>
        <w:t>’</w:t>
      </w:r>
      <w:r w:rsidRPr="00B50AEB">
        <w:t xml:space="preserve"> (Weinrib (n </w:t>
      </w:r>
      <w:r>
        <w:fldChar w:fldCharType="begin"/>
      </w:r>
      <w:r>
        <w:instrText xml:space="preserve"> NOTEREF _Ref401991555 \h  \* MERGEFORMAT </w:instrText>
      </w:r>
      <w:r>
        <w:fldChar w:fldCharType="separate"/>
      </w:r>
      <w:r w:rsidR="002D212F">
        <w:t>3</w:t>
      </w:r>
      <w:r>
        <w:fldChar w:fldCharType="end"/>
      </w:r>
      <w:r w:rsidRPr="00B50AEB">
        <w:t>) 3) and that ‘Tort liability reflects corrective justice’ (</w:t>
      </w:r>
      <w:r>
        <w:t xml:space="preserve">ibid, </w:t>
      </w:r>
      <w:r w:rsidRPr="00B50AEB">
        <w:t xml:space="preserve">134). Stevens asserts that ‘[t]he law of torts is concerned with the secondary obligations generated by the infringement of primary rights’ (Stevens (n </w:t>
      </w:r>
      <w:r>
        <w:fldChar w:fldCharType="begin"/>
      </w:r>
      <w:r>
        <w:instrText xml:space="preserve"> NOTEREF _Ref401991563 \h  \* MERGEFORMAT </w:instrText>
      </w:r>
      <w:r>
        <w:fldChar w:fldCharType="separate"/>
      </w:r>
      <w:r w:rsidR="002D212F">
        <w:t>4</w:t>
      </w:r>
      <w:r>
        <w:fldChar w:fldCharType="end"/>
      </w:r>
      <w:r w:rsidRPr="00B50AEB">
        <w:t>) 2). Goldberg and Zipursky ‘argue</w:t>
      </w:r>
      <w:r w:rsidR="00175662">
        <w:t xml:space="preserve"> </w:t>
      </w:r>
      <w:r w:rsidRPr="00B50AEB">
        <w:t>… for the descriptive superiority’ o</w:t>
      </w:r>
      <w:r>
        <w:t>f</w:t>
      </w:r>
      <w:r w:rsidRPr="00B50AEB">
        <w:t xml:space="preserve"> their civil resource theory (Goldberg and Zipursky (n </w:t>
      </w:r>
      <w:r>
        <w:fldChar w:fldCharType="begin"/>
      </w:r>
      <w:r>
        <w:instrText xml:space="preserve"> NOTEREF _Ref401991675 \h  \* MERGEFORMAT </w:instrText>
      </w:r>
      <w:r>
        <w:fldChar w:fldCharType="separate"/>
      </w:r>
      <w:r w:rsidR="002D212F">
        <w:t>6</w:t>
      </w:r>
      <w:r>
        <w:fldChar w:fldCharType="end"/>
      </w:r>
      <w:r w:rsidRPr="00B50AEB">
        <w:t>) 920).</w:t>
      </w:r>
    </w:p>
  </w:footnote>
  <w:footnote w:id="10">
    <w:p w14:paraId="703CCAB9" w14:textId="562962AB" w:rsidR="00850874" w:rsidRPr="00BC5628" w:rsidRDefault="00850874" w:rsidP="00F0137F">
      <w:pPr>
        <w:pStyle w:val="FootnoteText"/>
        <w:tabs>
          <w:tab w:val="left" w:pos="284"/>
        </w:tabs>
        <w:ind w:left="284" w:hanging="284"/>
        <w:jc w:val="both"/>
        <w:rPr>
          <w:highlight w:val="yellow"/>
        </w:rPr>
      </w:pPr>
      <w:r w:rsidRPr="00BC5628">
        <w:rPr>
          <w:rStyle w:val="FootnoteReference"/>
        </w:rPr>
        <w:footnoteRef/>
      </w:r>
      <w:r w:rsidRPr="00BC5628">
        <w:t xml:space="preserve"> </w:t>
      </w:r>
      <w:r w:rsidRPr="00BC5628">
        <w:tab/>
        <w:t>See</w:t>
      </w:r>
      <w:r>
        <w:t>,</w:t>
      </w:r>
      <w:r w:rsidRPr="00BC5628">
        <w:t xml:space="preserve"> eg, Posner</w:t>
      </w:r>
      <w:r>
        <w:t>, ‘Wealth Maximization and Tort Law: A Philosophical Inquiry’</w:t>
      </w:r>
      <w:r w:rsidRPr="00BC5628">
        <w:t xml:space="preserve"> (n </w:t>
      </w:r>
      <w:r>
        <w:fldChar w:fldCharType="begin"/>
      </w:r>
      <w:r>
        <w:instrText xml:space="preserve"> NOTEREF _Ref401991544 \h  \* MERGEFORMAT </w:instrText>
      </w:r>
      <w:r>
        <w:fldChar w:fldCharType="separate"/>
      </w:r>
      <w:r w:rsidR="002D212F">
        <w:t>1</w:t>
      </w:r>
      <w:r>
        <w:fldChar w:fldCharType="end"/>
      </w:r>
      <w:r w:rsidRPr="00BC5628">
        <w:t>) 101</w:t>
      </w:r>
      <w:r>
        <w:t>–</w:t>
      </w:r>
      <w:r w:rsidRPr="00BC5628">
        <w:t>111 (addressing what he calls the ‘normative theory’ of his economic analysis).</w:t>
      </w:r>
    </w:p>
  </w:footnote>
  <w:footnote w:id="11">
    <w:p w14:paraId="37776824" w14:textId="6B6E400A" w:rsidR="00850874" w:rsidRDefault="00850874" w:rsidP="00F0137F">
      <w:pPr>
        <w:pStyle w:val="FootnoteText"/>
        <w:tabs>
          <w:tab w:val="left" w:pos="284"/>
        </w:tabs>
        <w:jc w:val="both"/>
      </w:pPr>
      <w:r w:rsidRPr="00B50AEB">
        <w:rPr>
          <w:rStyle w:val="FootnoteReference"/>
        </w:rPr>
        <w:footnoteRef/>
      </w:r>
      <w:r>
        <w:t xml:space="preserve"> </w:t>
      </w:r>
      <w:r>
        <w:tab/>
        <w:t xml:space="preserve">See the passages quoted in n </w:t>
      </w:r>
      <w:r>
        <w:fldChar w:fldCharType="begin"/>
      </w:r>
      <w:r>
        <w:instrText xml:space="preserve"> NOTEREF _Ref409271053 \h  \* MERGEFORMAT </w:instrText>
      </w:r>
      <w:r>
        <w:fldChar w:fldCharType="separate"/>
      </w:r>
      <w:r w:rsidR="002D212F">
        <w:t>7</w:t>
      </w:r>
      <w:r>
        <w:fldChar w:fldCharType="end"/>
      </w:r>
      <w:r>
        <w:t xml:space="preserve">. </w:t>
      </w:r>
    </w:p>
  </w:footnote>
  <w:footnote w:id="12">
    <w:p w14:paraId="7AE305F1" w14:textId="7F9BB0D9" w:rsidR="00850874" w:rsidRPr="00AB5B5F" w:rsidRDefault="00850874" w:rsidP="00F0137F">
      <w:pPr>
        <w:pStyle w:val="FootnoteText"/>
        <w:tabs>
          <w:tab w:val="left" w:pos="284"/>
        </w:tabs>
        <w:jc w:val="both"/>
      </w:pPr>
      <w:r w:rsidRPr="00AB5B5F">
        <w:rPr>
          <w:rStyle w:val="FootnoteReference"/>
        </w:rPr>
        <w:footnoteRef/>
      </w:r>
      <w:r w:rsidRPr="00AB5B5F">
        <w:t xml:space="preserve"> </w:t>
      </w:r>
      <w:r w:rsidRPr="00AB5B5F">
        <w:tab/>
        <w:t xml:space="preserve">Stevens (n </w:t>
      </w:r>
      <w:r>
        <w:fldChar w:fldCharType="begin"/>
      </w:r>
      <w:r>
        <w:instrText xml:space="preserve"> NOTEREF _Ref401991563 \h  \* MERGEFORMAT </w:instrText>
      </w:r>
      <w:r>
        <w:fldChar w:fldCharType="separate"/>
      </w:r>
      <w:r w:rsidR="002D212F">
        <w:t>4</w:t>
      </w:r>
      <w:r>
        <w:fldChar w:fldCharType="end"/>
      </w:r>
      <w:r>
        <w:t>)</w:t>
      </w:r>
      <w:r w:rsidRPr="00AB5B5F">
        <w:t xml:space="preserve"> vii.</w:t>
      </w:r>
    </w:p>
  </w:footnote>
  <w:footnote w:id="13">
    <w:p w14:paraId="7267D8B9" w14:textId="77777777" w:rsidR="00850874" w:rsidRPr="00EF64E7" w:rsidRDefault="00850874" w:rsidP="00F0137F">
      <w:pPr>
        <w:pStyle w:val="FootnoteText"/>
        <w:tabs>
          <w:tab w:val="left" w:pos="284"/>
        </w:tabs>
        <w:ind w:left="284" w:hanging="284"/>
        <w:jc w:val="both"/>
      </w:pPr>
      <w:r w:rsidRPr="00EF64E7">
        <w:rPr>
          <w:rStyle w:val="FootnoteReference"/>
        </w:rPr>
        <w:footnoteRef/>
      </w:r>
      <w:r w:rsidRPr="00EF64E7">
        <w:t xml:space="preserve"> </w:t>
      </w:r>
      <w:r w:rsidRPr="00EF64E7">
        <w:tab/>
        <w:t>Eg, Weinrib invokes many cases from Australia, Canada, the United Kingdom and the United States in support of his theory. He presumably thinks that there is sufficient uniformity in the law in these jurisdictions to entitle him to draw on materials from any of them. Given this assumption of uniformity, he must also believe that the theory that he builds from the law in several jurisdictions must in turn apply to those jurisdictions.</w:t>
      </w:r>
    </w:p>
  </w:footnote>
  <w:footnote w:id="14">
    <w:p w14:paraId="14F219E3" w14:textId="364F7B52" w:rsidR="00850874" w:rsidRDefault="00850874" w:rsidP="00F0137F">
      <w:pPr>
        <w:pStyle w:val="FootnoteText"/>
        <w:tabs>
          <w:tab w:val="left" w:pos="284"/>
        </w:tabs>
        <w:ind w:left="284" w:hanging="284"/>
        <w:jc w:val="both"/>
      </w:pPr>
      <w:r w:rsidRPr="00EF64E7">
        <w:rPr>
          <w:rStyle w:val="FootnoteReference"/>
        </w:rPr>
        <w:footnoteRef/>
      </w:r>
      <w:r w:rsidRPr="00EF64E7">
        <w:t xml:space="preserve"> </w:t>
      </w:r>
      <w:r w:rsidRPr="00EF64E7">
        <w:tab/>
        <w:t xml:space="preserve">J Goudkamp and J Murphy, ‘Tort Statutes and Tort Theories’ (2015) </w:t>
      </w:r>
      <w:r>
        <w:t>131</w:t>
      </w:r>
      <w:r w:rsidRPr="00EF64E7">
        <w:t xml:space="preserve"> LQR </w:t>
      </w:r>
      <w:r>
        <w:t>133</w:t>
      </w:r>
      <w:r w:rsidRPr="00EF64E7">
        <w:t xml:space="preserve">; J Goudkamp and J Murphy, ‘The Failure of Universal Tort Theories’ (2015) </w:t>
      </w:r>
      <w:r>
        <w:t>(forthcoming).</w:t>
      </w:r>
    </w:p>
  </w:footnote>
  <w:footnote w:id="15">
    <w:p w14:paraId="26D7C380" w14:textId="12F4D25D" w:rsidR="00850874" w:rsidRPr="00122569" w:rsidRDefault="00850874" w:rsidP="00F0137F">
      <w:pPr>
        <w:pStyle w:val="FootnoteText"/>
        <w:tabs>
          <w:tab w:val="left" w:pos="284"/>
        </w:tabs>
        <w:ind w:left="284" w:hanging="284"/>
        <w:jc w:val="both"/>
      </w:pPr>
      <w:r>
        <w:rPr>
          <w:rStyle w:val="FootnoteReference"/>
        </w:rPr>
        <w:footnoteRef/>
      </w:r>
      <w:r>
        <w:t xml:space="preserve"> </w:t>
      </w:r>
      <w:r>
        <w:tab/>
        <w:t xml:space="preserve">There is some evidence that some or all of the theorists in question are seeking only to explain judge-made tort law. Robert Stevens seems to adopt this position. In one of his contributions, in gathering evidence in support of his theory, he indicates that he takes account only case law and remarks that ‘Legislatures are a law unto themselves’ (R Stevens, ‘The Divergence of the Australian and English Law of Torts’ in S Degeling, J Goudkamp and J Edelman (eds), </w:t>
      </w:r>
      <w:r>
        <w:rPr>
          <w:i/>
        </w:rPr>
        <w:t xml:space="preserve">Torts in Commercial Law </w:t>
      </w:r>
      <w:r>
        <w:t>(</w:t>
      </w:r>
      <w:r w:rsidR="001312B0">
        <w:t>Sydney</w:t>
      </w:r>
      <w:r w:rsidRPr="006C027C">
        <w:t xml:space="preserve">, Thomson Reuters, </w:t>
      </w:r>
      <w:r>
        <w:t xml:space="preserve">2011) 40). It is arguable, given that the common law and statute are highly integrated, that it is impossible to hive off judge-made law and consider it separately from statute. But even if it is possible to do this, we think that inter-jurisdictional differences in the law of torts as articulated by the courts presents an insurmountable difficulty for Stevens’s thesis. Some other scholars who have offered universal tort theories seem to make a rather different move, namely, to explain all of tort law, but to deny that the law as laid down by legislation is capable of forming part of tort law. It is arguable that Weinrib proceeds in this way (consider Weinrib (n </w:t>
      </w:r>
      <w:r>
        <w:fldChar w:fldCharType="begin"/>
      </w:r>
      <w:r>
        <w:instrText xml:space="preserve"> NOTEREF _Ref401991555 \h  \* MERGEFORMAT </w:instrText>
      </w:r>
      <w:r>
        <w:fldChar w:fldCharType="separate"/>
      </w:r>
      <w:r w:rsidR="002D212F">
        <w:t>3</w:t>
      </w:r>
      <w:r>
        <w:fldChar w:fldCharType="end"/>
      </w:r>
      <w:r>
        <w:t xml:space="preserve">) 8, 12), and our discussion of his work in this regard in Goudkamp and Murphy, ‘Tort Statutes and Tort Theories’ (n </w:t>
      </w:r>
      <w:r>
        <w:fldChar w:fldCharType="begin"/>
      </w:r>
      <w:r>
        <w:instrText xml:space="preserve"> NOTEREF _Ref403210304 \h  \* MERGEFORMAT </w:instrText>
      </w:r>
      <w:r>
        <w:fldChar w:fldCharType="separate"/>
      </w:r>
      <w:r w:rsidR="002D212F">
        <w:t>12</w:t>
      </w:r>
      <w:r>
        <w:fldChar w:fldCharType="end"/>
      </w:r>
      <w:r>
        <w:t xml:space="preserve">) 139–142. </w:t>
      </w:r>
    </w:p>
  </w:footnote>
  <w:footnote w:id="16">
    <w:p w14:paraId="3E73DB85" w14:textId="0E01C2ED" w:rsidR="00850874" w:rsidRPr="00097D00" w:rsidRDefault="00850874" w:rsidP="00F0137F">
      <w:pPr>
        <w:pStyle w:val="FootnoteText"/>
        <w:tabs>
          <w:tab w:val="left" w:pos="284"/>
        </w:tabs>
        <w:ind w:left="284" w:hanging="284"/>
        <w:jc w:val="both"/>
      </w:pPr>
      <w:r w:rsidRPr="00097D00">
        <w:rPr>
          <w:rStyle w:val="FootnoteReference"/>
        </w:rPr>
        <w:footnoteRef/>
      </w:r>
      <w:r w:rsidRPr="00097D00">
        <w:t xml:space="preserve"> </w:t>
      </w:r>
      <w:r w:rsidRPr="00097D00">
        <w:tab/>
        <w:t xml:space="preserve">K Barker, P Cane, M Lunney and F Trindade, </w:t>
      </w:r>
      <w:r w:rsidRPr="00097D00">
        <w:rPr>
          <w:i/>
        </w:rPr>
        <w:t>The Law of Torts in Australia</w:t>
      </w:r>
      <w:r w:rsidRPr="00097D00">
        <w:t xml:space="preserve">, </w:t>
      </w:r>
      <w:r>
        <w:t>5</w:t>
      </w:r>
      <w:r w:rsidRPr="006C027C">
        <w:rPr>
          <w:vertAlign w:val="superscript"/>
        </w:rPr>
        <w:t>th</w:t>
      </w:r>
      <w:r>
        <w:t xml:space="preserve"> ed (Oxford, OUP, </w:t>
      </w:r>
      <w:r w:rsidRPr="00097D00">
        <w:t>2012) 14 (footnote omitted).</w:t>
      </w:r>
      <w:r>
        <w:t xml:space="preserve"> See also the </w:t>
      </w:r>
      <w:r w:rsidR="001312B0">
        <w:t xml:space="preserve">analysis </w:t>
      </w:r>
      <w:r>
        <w:t>by Trindade, writing alone</w:t>
      </w:r>
      <w:r w:rsidR="001312B0">
        <w:t>, concerning</w:t>
      </w:r>
      <w:r>
        <w:t xml:space="preserve"> ‘how indigenous, how Australian, the law of torts has become over the last three decades’: F Trindade, ‘Towards an Australian Law of Torts’ (1993) 23 </w:t>
      </w:r>
      <w:r w:rsidRPr="006C027C">
        <w:rPr>
          <w:i/>
        </w:rPr>
        <w:t>Western Australia Law Review</w:t>
      </w:r>
      <w:r>
        <w:t xml:space="preserve"> 79, 79. </w:t>
      </w:r>
    </w:p>
  </w:footnote>
  <w:footnote w:id="17">
    <w:p w14:paraId="7DB944DF" w14:textId="77777777" w:rsidR="00850874" w:rsidRDefault="00850874" w:rsidP="00F0137F">
      <w:pPr>
        <w:pStyle w:val="FootnoteText"/>
        <w:ind w:left="284" w:hanging="284"/>
        <w:jc w:val="both"/>
      </w:pPr>
      <w:r>
        <w:rPr>
          <w:rStyle w:val="FootnoteReference"/>
        </w:rPr>
        <w:footnoteRef/>
      </w:r>
      <w:r>
        <w:t xml:space="preserve"> </w:t>
      </w:r>
      <w:r>
        <w:tab/>
        <w:t xml:space="preserve">Henry (later Lord) Brougham in the House of Commons, quoted in K Keith, ‘The Interplay with the Judicial Committee of the Privy Council’ in L Blom-Cooper, B Dickson and G. Drewry (eds), </w:t>
      </w:r>
      <w:r>
        <w:rPr>
          <w:i/>
        </w:rPr>
        <w:t xml:space="preserve">The Judicial House of Lords </w:t>
      </w:r>
      <w:r>
        <w:t>1876-2009 (Oxford, OUP, 2009) 315.</w:t>
      </w:r>
    </w:p>
  </w:footnote>
  <w:footnote w:id="18">
    <w:p w14:paraId="47940AC2" w14:textId="0DB3180B" w:rsidR="00850874" w:rsidRDefault="00850874" w:rsidP="00F0137F">
      <w:pPr>
        <w:pStyle w:val="FootnoteText"/>
        <w:tabs>
          <w:tab w:val="left" w:pos="284"/>
        </w:tabs>
        <w:jc w:val="both"/>
      </w:pPr>
      <w:r>
        <w:rPr>
          <w:rStyle w:val="FootnoteReference"/>
        </w:rPr>
        <w:footnoteRef/>
      </w:r>
      <w:r>
        <w:t xml:space="preserve"> </w:t>
      </w:r>
      <w:r>
        <w:tab/>
        <w:t xml:space="preserve">Andrew Burrows also discusses the ‘one common law’ view in his chapter in this volume at </w:t>
      </w:r>
      <w:r w:rsidRPr="00F2183A">
        <w:rPr>
          <w:highlight w:val="yellow"/>
        </w:rPr>
        <w:t>…–…</w:t>
      </w:r>
      <w:r>
        <w:t>.</w:t>
      </w:r>
    </w:p>
  </w:footnote>
  <w:footnote w:id="19">
    <w:p w14:paraId="156D961C" w14:textId="77777777" w:rsidR="00850874" w:rsidRPr="006656C9" w:rsidRDefault="00850874" w:rsidP="00F0137F">
      <w:pPr>
        <w:pStyle w:val="FootnoteText"/>
        <w:tabs>
          <w:tab w:val="left" w:pos="284"/>
        </w:tabs>
        <w:ind w:left="284" w:hanging="284"/>
        <w:jc w:val="both"/>
      </w:pPr>
      <w:r w:rsidRPr="00097D00">
        <w:rPr>
          <w:rStyle w:val="FootnoteReference"/>
        </w:rPr>
        <w:footnoteRef/>
      </w:r>
      <w:r w:rsidRPr="00097D00">
        <w:t xml:space="preserve"> </w:t>
      </w:r>
      <w:r w:rsidRPr="00097D00">
        <w:tab/>
      </w:r>
      <w:r>
        <w:t xml:space="preserve">(1879) 5 App Cas 342 (PC (Aust)) 345. Similarly, in </w:t>
      </w:r>
      <w:r>
        <w:rPr>
          <w:i/>
        </w:rPr>
        <w:t xml:space="preserve">Wright v Wright </w:t>
      </w:r>
      <w:r>
        <w:t xml:space="preserve">(1948) 77 CLR 191 (HCA) 210 Dixon J wrote: ‘For myself, I have in the past regarded it as better that this Court should conform to English decisions which we think have settled the general law in that jurisdiction than that we should be insistent on adhering to reasoning which we believe to be right but which will create diversity in the development of legal principle. </w:t>
      </w:r>
      <w:r w:rsidRPr="00E150D6">
        <w:rPr>
          <w:bCs/>
        </w:rPr>
        <w:t>Diversity in the development of the common law </w:t>
      </w:r>
      <w:r>
        <w:t>(using that expression not in the historical but in the very widest sense) seems to me to be an evil. Its avoidance is more desirable than a preservation here of what we regard as sounder principle.’ In the end, however, Dixon J felt that it was impossible to determine what the law of England was due to conflicting cases, with the result that he felt that it was appropriate for the High Court to adhere to one of its earlier decisions rather than to a decision of the English Court of Appeal.</w:t>
      </w:r>
    </w:p>
  </w:footnote>
  <w:footnote w:id="20">
    <w:p w14:paraId="28247DA6" w14:textId="77777777" w:rsidR="00850874" w:rsidRDefault="00850874" w:rsidP="00F0137F">
      <w:pPr>
        <w:pStyle w:val="FootnoteText"/>
        <w:tabs>
          <w:tab w:val="left" w:pos="284"/>
        </w:tabs>
        <w:jc w:val="both"/>
      </w:pPr>
      <w:r>
        <w:rPr>
          <w:rStyle w:val="FootnoteReference"/>
        </w:rPr>
        <w:footnoteRef/>
      </w:r>
      <w:r>
        <w:t xml:space="preserve"> </w:t>
      </w:r>
      <w:r>
        <w:tab/>
        <w:t>(1972) AC 1027 (HL) 1067</w:t>
      </w:r>
      <w:r w:rsidRPr="00097D00">
        <w:t>.</w:t>
      </w:r>
    </w:p>
  </w:footnote>
  <w:footnote w:id="21">
    <w:p w14:paraId="1AF51C1A" w14:textId="77777777" w:rsidR="00850874" w:rsidRDefault="00850874" w:rsidP="00F0137F">
      <w:pPr>
        <w:pStyle w:val="FootnoteText"/>
        <w:tabs>
          <w:tab w:val="left" w:pos="284"/>
        </w:tabs>
        <w:ind w:left="284" w:hanging="284"/>
        <w:jc w:val="both"/>
      </w:pPr>
      <w:r>
        <w:rPr>
          <w:rStyle w:val="FootnoteReference"/>
        </w:rPr>
        <w:footnoteRef/>
      </w:r>
      <w:r>
        <w:t xml:space="preserve"> </w:t>
      </w:r>
      <w:r>
        <w:tab/>
        <w:t>For a recent re-interpretation and defence of the declaratory theory, see A Beever, ‘The Declaratory Theory of Law’ (2013) 33 OJLS</w:t>
      </w:r>
      <w:r>
        <w:rPr>
          <w:i/>
        </w:rPr>
        <w:t xml:space="preserve"> </w:t>
      </w:r>
      <w:r>
        <w:t xml:space="preserve">421. </w:t>
      </w:r>
    </w:p>
  </w:footnote>
  <w:footnote w:id="22">
    <w:p w14:paraId="4843E045" w14:textId="77777777" w:rsidR="00850874" w:rsidRDefault="00850874" w:rsidP="00F0137F">
      <w:pPr>
        <w:pStyle w:val="FootnoteText"/>
        <w:tabs>
          <w:tab w:val="left" w:pos="284"/>
        </w:tabs>
        <w:jc w:val="both"/>
      </w:pPr>
      <w:r>
        <w:rPr>
          <w:rStyle w:val="FootnoteReference"/>
        </w:rPr>
        <w:footnoteRef/>
      </w:r>
      <w:r>
        <w:t xml:space="preserve"> </w:t>
      </w:r>
      <w:r>
        <w:tab/>
        <w:t xml:space="preserve">Lord Reid, ‘The Judge as Lawmaker’ (1972) 12 </w:t>
      </w:r>
      <w:r w:rsidRPr="006C027C">
        <w:rPr>
          <w:i/>
        </w:rPr>
        <w:t>Jounal of the Society of Public Teachers of Law</w:t>
      </w:r>
      <w:r>
        <w:t xml:space="preserve"> 22, 22.</w:t>
      </w:r>
    </w:p>
  </w:footnote>
  <w:footnote w:id="23">
    <w:p w14:paraId="1DD3B838" w14:textId="79EE19F5" w:rsidR="004960FE" w:rsidRPr="0034272F" w:rsidRDefault="00850874" w:rsidP="004960FE">
      <w:pPr>
        <w:pStyle w:val="FootnoteText"/>
        <w:tabs>
          <w:tab w:val="left" w:pos="284"/>
        </w:tabs>
        <w:ind w:left="284" w:hanging="284"/>
        <w:jc w:val="both"/>
      </w:pPr>
      <w:r w:rsidRPr="00097D00">
        <w:rPr>
          <w:rStyle w:val="FootnoteReference"/>
        </w:rPr>
        <w:footnoteRef/>
      </w:r>
      <w:r w:rsidRPr="00097D00">
        <w:t xml:space="preserve"> </w:t>
      </w:r>
      <w:r w:rsidRPr="00097D00">
        <w:tab/>
      </w:r>
      <w:r w:rsidR="004960FE">
        <w:t>Th</w:t>
      </w:r>
      <w:r>
        <w:t xml:space="preserve">e High Court of Australia in </w:t>
      </w:r>
      <w:r>
        <w:rPr>
          <w:i/>
        </w:rPr>
        <w:t xml:space="preserve">Morris v The English, Scottish and Australian Bank </w:t>
      </w:r>
      <w:r>
        <w:t xml:space="preserve">(1957) 97 CLR 624 (HCA) and the New Zealand Court of Appeal </w:t>
      </w:r>
      <w:r w:rsidRPr="00097D00">
        <w:t xml:space="preserve">in </w:t>
      </w:r>
      <w:r w:rsidRPr="00097D00">
        <w:rPr>
          <w:i/>
        </w:rPr>
        <w:t xml:space="preserve">Bruer v Wright </w:t>
      </w:r>
      <w:r w:rsidRPr="00097D00">
        <w:t xml:space="preserve">[1982] NZLR 77 (CA) thought that </w:t>
      </w:r>
      <w:r>
        <w:t xml:space="preserve">they </w:t>
      </w:r>
      <w:r w:rsidRPr="00097D00">
        <w:t>w</w:t>
      </w:r>
      <w:r>
        <w:t>ere</w:t>
      </w:r>
      <w:r w:rsidRPr="00097D00">
        <w:t xml:space="preserve"> bound by </w:t>
      </w:r>
      <w:r w:rsidR="00E91AD1">
        <w:t xml:space="preserve">all </w:t>
      </w:r>
      <w:r w:rsidRPr="00097D00">
        <w:t>Privy Council decisions</w:t>
      </w:r>
      <w:r w:rsidR="00E91AD1">
        <w:t>,</w:t>
      </w:r>
      <w:r w:rsidRPr="00097D00">
        <w:t xml:space="preserve"> including decisions on appeals </w:t>
      </w:r>
      <w:r>
        <w:t xml:space="preserve">emanating </w:t>
      </w:r>
      <w:r w:rsidRPr="00097D00">
        <w:t xml:space="preserve">from </w:t>
      </w:r>
      <w:r>
        <w:t>other jurisdictions</w:t>
      </w:r>
      <w:r w:rsidRPr="0034272F">
        <w:t xml:space="preserve">. </w:t>
      </w:r>
      <w:r w:rsidR="004960FE">
        <w:t xml:space="preserve">In contrast, the Ontario Court of Appeal held in </w:t>
      </w:r>
      <w:r w:rsidR="004960FE" w:rsidRPr="00097D00">
        <w:rPr>
          <w:i/>
        </w:rPr>
        <w:t xml:space="preserve">Negro v Pietro’s Bread Co Ltd </w:t>
      </w:r>
      <w:r w:rsidR="004960FE" w:rsidRPr="00097D00">
        <w:t>[1933] 1 DLR 490 (</w:t>
      </w:r>
      <w:r w:rsidR="004960FE">
        <w:t xml:space="preserve">Ont </w:t>
      </w:r>
      <w:r w:rsidR="004960FE" w:rsidRPr="00097D00">
        <w:t xml:space="preserve">CA) that it was bound only by decisions of the </w:t>
      </w:r>
      <w:r w:rsidR="004960FE">
        <w:t>Privy Council brought on appeal</w:t>
      </w:r>
      <w:r w:rsidR="004960FE" w:rsidRPr="00097D00">
        <w:t xml:space="preserve"> from Canadian courts</w:t>
      </w:r>
      <w:r w:rsidR="004960FE">
        <w:t>.</w:t>
      </w:r>
    </w:p>
  </w:footnote>
  <w:footnote w:id="24">
    <w:p w14:paraId="5DE56043" w14:textId="1B1274B5" w:rsidR="00850874" w:rsidRDefault="00850874" w:rsidP="00F0137F">
      <w:pPr>
        <w:pStyle w:val="FootnoteText"/>
        <w:tabs>
          <w:tab w:val="left" w:pos="284"/>
        </w:tabs>
        <w:ind w:left="284" w:hanging="284"/>
        <w:jc w:val="both"/>
      </w:pPr>
      <w:r>
        <w:rPr>
          <w:rStyle w:val="FootnoteReference"/>
        </w:rPr>
        <w:footnoteRef/>
      </w:r>
      <w:r>
        <w:t xml:space="preserve"> </w:t>
      </w:r>
      <w:r>
        <w:tab/>
      </w:r>
      <w:r w:rsidR="00E91AD1">
        <w:t xml:space="preserve">Regarding </w:t>
      </w:r>
      <w:r>
        <w:t xml:space="preserve">the status of Privy Council </w:t>
      </w:r>
      <w:r w:rsidR="00E91AD1">
        <w:t xml:space="preserve">decisions </w:t>
      </w:r>
      <w:r>
        <w:t xml:space="preserve">in Britain, see </w:t>
      </w:r>
      <w:r w:rsidRPr="00F85ADB">
        <w:t>Lord W</w:t>
      </w:r>
      <w:r>
        <w:t>right, ‘Precedents’ (1942) 8 CLJ</w:t>
      </w:r>
      <w:r w:rsidRPr="00F85ADB">
        <w:t xml:space="preserve"> 117, 135</w:t>
      </w:r>
      <w:r>
        <w:t>–136</w:t>
      </w:r>
      <w:r w:rsidRPr="00F85ADB">
        <w:t xml:space="preserve">. </w:t>
      </w:r>
    </w:p>
  </w:footnote>
  <w:footnote w:id="25">
    <w:p w14:paraId="43AACE5F" w14:textId="77777777" w:rsidR="00850874" w:rsidRDefault="00850874" w:rsidP="00F0137F">
      <w:pPr>
        <w:pStyle w:val="FootnoteText"/>
        <w:tabs>
          <w:tab w:val="left" w:pos="284"/>
        </w:tabs>
        <w:ind w:left="284" w:hanging="284"/>
        <w:jc w:val="both"/>
      </w:pPr>
      <w:r>
        <w:rPr>
          <w:rStyle w:val="FootnoteReference"/>
        </w:rPr>
        <w:footnoteRef/>
      </w:r>
      <w:r>
        <w:t xml:space="preserve"> </w:t>
      </w:r>
      <w:r>
        <w:tab/>
        <w:t xml:space="preserve">As long ago as 1923, Viscount Haldane wrote that the Privy Council was ‘a disappearing body’: Lord Haldane, ‘The Work for the Empire of the Judicial Committee of the Privy Council’ (1923) 1 CLJ 143, 154. </w:t>
      </w:r>
    </w:p>
  </w:footnote>
  <w:footnote w:id="26">
    <w:p w14:paraId="0ABBD8CC" w14:textId="77777777" w:rsidR="00850874" w:rsidRDefault="00850874" w:rsidP="00F0137F">
      <w:pPr>
        <w:pStyle w:val="FootnoteText"/>
        <w:tabs>
          <w:tab w:val="left" w:pos="284"/>
        </w:tabs>
        <w:ind w:left="284" w:hanging="284"/>
        <w:jc w:val="both"/>
      </w:pPr>
      <w:r>
        <w:rPr>
          <w:rStyle w:val="FootnoteReference"/>
        </w:rPr>
        <w:footnoteRef/>
      </w:r>
      <w:r>
        <w:t xml:space="preserve"> </w:t>
      </w:r>
      <w:r>
        <w:tab/>
        <w:t xml:space="preserve">See, generally, A Twomey, </w:t>
      </w:r>
      <w:r>
        <w:rPr>
          <w:i/>
        </w:rPr>
        <w:t xml:space="preserve">The Australia Acts 1986: Australia’s Statutes of Independence </w:t>
      </w:r>
      <w:r w:rsidRPr="005579BC">
        <w:t>(</w:t>
      </w:r>
      <w:r>
        <w:t xml:space="preserve">Sydney, </w:t>
      </w:r>
      <w:r w:rsidRPr="005579BC">
        <w:t>Federation Press, 2010).</w:t>
      </w:r>
    </w:p>
  </w:footnote>
  <w:footnote w:id="27">
    <w:p w14:paraId="6378CC1F" w14:textId="77777777" w:rsidR="00850874" w:rsidRDefault="00850874" w:rsidP="00F0137F">
      <w:pPr>
        <w:pStyle w:val="FootnoteText"/>
        <w:tabs>
          <w:tab w:val="left" w:pos="284"/>
        </w:tabs>
        <w:ind w:left="284" w:hanging="284"/>
        <w:jc w:val="both"/>
      </w:pPr>
      <w:r>
        <w:rPr>
          <w:rStyle w:val="FootnoteReference"/>
        </w:rPr>
        <w:footnoteRef/>
      </w:r>
      <w:r>
        <w:t xml:space="preserve"> </w:t>
      </w:r>
      <w:r>
        <w:tab/>
        <w:t xml:space="preserve">These acts abolished appeals to the Privy Council from State courts. Appeals in federal matters had been abolished by the Privy Council (Limitation of Appeals) Act 1968 (Cth) and appeals from the High Court were ended by the Privy Council (Appeals from the High Court) Act 1975 (Cth). </w:t>
      </w:r>
    </w:p>
  </w:footnote>
  <w:footnote w:id="28">
    <w:p w14:paraId="2C3B9C14" w14:textId="77777777" w:rsidR="00850874" w:rsidRPr="00097D00" w:rsidRDefault="00850874" w:rsidP="00F0137F">
      <w:pPr>
        <w:pStyle w:val="FootnoteText"/>
        <w:tabs>
          <w:tab w:val="left" w:pos="284"/>
        </w:tabs>
        <w:ind w:left="284" w:hanging="284"/>
        <w:jc w:val="both"/>
      </w:pPr>
      <w:r w:rsidRPr="00097D00">
        <w:rPr>
          <w:rStyle w:val="FootnoteReference"/>
        </w:rPr>
        <w:footnoteRef/>
      </w:r>
      <w:r w:rsidRPr="00097D00">
        <w:t xml:space="preserve"> </w:t>
      </w:r>
      <w:r w:rsidRPr="00097D00">
        <w:tab/>
        <w:t>The High Court</w:t>
      </w:r>
      <w:r>
        <w:t xml:space="preserve"> of Australia</w:t>
      </w:r>
      <w:r w:rsidRPr="00097D00">
        <w:t xml:space="preserve"> is empowered by s 74 of the </w:t>
      </w:r>
      <w:r w:rsidRPr="00235FCC">
        <w:t>Australian Constitution</w:t>
      </w:r>
      <w:r w:rsidRPr="00097D00">
        <w:rPr>
          <w:i/>
        </w:rPr>
        <w:t xml:space="preserve"> </w:t>
      </w:r>
      <w:r w:rsidRPr="00097D00">
        <w:t xml:space="preserve">to issue a certificate that permits an appeal to the Privy Council on certain constitutional issues. This power has only been exercised once (in </w:t>
      </w:r>
      <w:r w:rsidRPr="00097D00">
        <w:rPr>
          <w:i/>
        </w:rPr>
        <w:t>Colonial Sugar Refining Co v The Commonwealth</w:t>
      </w:r>
      <w:r w:rsidRPr="00097D00">
        <w:t xml:space="preserve"> (1912) 15 CLR 182 (HCA)). The High Court has indicated that this certificate will never again be granted: </w:t>
      </w:r>
      <w:r w:rsidRPr="00097D00">
        <w:rPr>
          <w:i/>
        </w:rPr>
        <w:t xml:space="preserve">Kirmani v Captain Cook Cruises Pty Ltd (No 2) </w:t>
      </w:r>
      <w:r w:rsidRPr="00097D00">
        <w:t>(1985) 159 CLR 461 (HCA)</w:t>
      </w:r>
      <w:r>
        <w:t xml:space="preserve"> 464–465.</w:t>
      </w:r>
    </w:p>
  </w:footnote>
  <w:footnote w:id="29">
    <w:p w14:paraId="05DF6471" w14:textId="77777777" w:rsidR="00850874" w:rsidRPr="00BE6B53" w:rsidRDefault="00850874" w:rsidP="00F0137F">
      <w:pPr>
        <w:pStyle w:val="FootnoteText"/>
        <w:tabs>
          <w:tab w:val="left" w:pos="284"/>
        </w:tabs>
        <w:ind w:left="284" w:hanging="284"/>
        <w:jc w:val="both"/>
        <w:rPr>
          <w:rFonts w:ascii="Arial" w:eastAsia="Times New Roman" w:hAnsi="Arial" w:cs="Arial"/>
          <w:sz w:val="33"/>
          <w:szCs w:val="33"/>
          <w:lang w:eastAsia="en-GB"/>
        </w:rPr>
      </w:pPr>
      <w:r>
        <w:rPr>
          <w:rStyle w:val="FootnoteReference"/>
        </w:rPr>
        <w:footnoteRef/>
      </w:r>
      <w:r>
        <w:t xml:space="preserve"> </w:t>
      </w:r>
      <w:r>
        <w:tab/>
        <w:t xml:space="preserve">The details are given in MJ Herman, ‘The Founding of the Supreme Court of Canada and the Abolition of the Appeal to the Privy Council (1976) 8 </w:t>
      </w:r>
      <w:r>
        <w:rPr>
          <w:i/>
        </w:rPr>
        <w:t xml:space="preserve">Ottawa Law Review </w:t>
      </w:r>
      <w:r>
        <w:t xml:space="preserve">7, 23–31; A Roland, ‘Appeals to the Judicial Committee of the Privy Council: A Canadian Perspective’ (2006) 32 </w:t>
      </w:r>
      <w:r w:rsidRPr="005579BC">
        <w:rPr>
          <w:i/>
        </w:rPr>
        <w:t>Commonwealth Law Bulletin</w:t>
      </w:r>
      <w:r>
        <w:rPr>
          <w:i/>
        </w:rPr>
        <w:t xml:space="preserve"> </w:t>
      </w:r>
      <w:r>
        <w:t xml:space="preserve">569. </w:t>
      </w:r>
    </w:p>
  </w:footnote>
  <w:footnote w:id="30">
    <w:p w14:paraId="661CE6DD" w14:textId="77777777" w:rsidR="00850874" w:rsidRPr="00097D00" w:rsidRDefault="00850874" w:rsidP="00F0137F">
      <w:pPr>
        <w:pStyle w:val="FootnoteText"/>
        <w:tabs>
          <w:tab w:val="left" w:pos="284"/>
        </w:tabs>
        <w:ind w:left="284" w:hanging="284"/>
        <w:jc w:val="both"/>
      </w:pPr>
      <w:r w:rsidRPr="00097D00">
        <w:rPr>
          <w:rStyle w:val="FootnoteReference"/>
        </w:rPr>
        <w:footnoteRef/>
      </w:r>
      <w:r w:rsidRPr="00097D00">
        <w:t xml:space="preserve"> </w:t>
      </w:r>
      <w:r>
        <w:tab/>
        <w:t>Supreme Court Act 2003 (NZ) s 42.</w:t>
      </w:r>
    </w:p>
  </w:footnote>
  <w:footnote w:id="31">
    <w:p w14:paraId="7DD1A5BE" w14:textId="65205C4E" w:rsidR="00850874" w:rsidRDefault="00850874" w:rsidP="00F0137F">
      <w:pPr>
        <w:pStyle w:val="FootnoteText"/>
        <w:tabs>
          <w:tab w:val="left" w:pos="284"/>
        </w:tabs>
        <w:ind w:left="284" w:hanging="284"/>
        <w:jc w:val="both"/>
      </w:pPr>
      <w:r>
        <w:rPr>
          <w:rStyle w:val="FootnoteReference"/>
        </w:rPr>
        <w:footnoteRef/>
      </w:r>
      <w:r>
        <w:t xml:space="preserve"> </w:t>
      </w:r>
      <w:r>
        <w:tab/>
        <w:t xml:space="preserve">D Clarry, ‘Institutional Judicial Independence and the Privy Council’ [2014] </w:t>
      </w:r>
      <w:r w:rsidRPr="005579BC">
        <w:rPr>
          <w:i/>
        </w:rPr>
        <w:t>Cambridge Journal of International and Comparative Law</w:t>
      </w:r>
      <w:r>
        <w:t xml:space="preserve"> 46, 48–51.</w:t>
      </w:r>
    </w:p>
  </w:footnote>
  <w:footnote w:id="32">
    <w:p w14:paraId="6ED054B8" w14:textId="12DC605B" w:rsidR="00850874" w:rsidRDefault="00850874" w:rsidP="00F0137F">
      <w:pPr>
        <w:pStyle w:val="FootnoteText"/>
        <w:tabs>
          <w:tab w:val="left" w:pos="284"/>
        </w:tabs>
        <w:jc w:val="both"/>
      </w:pPr>
      <w:r>
        <w:rPr>
          <w:rStyle w:val="FootnoteReference"/>
        </w:rPr>
        <w:footnoteRef/>
      </w:r>
      <w:r>
        <w:t xml:space="preserve"> </w:t>
      </w:r>
      <w:r>
        <w:tab/>
        <w:t xml:space="preserve">Keith (n </w:t>
      </w:r>
      <w:r>
        <w:fldChar w:fldCharType="begin"/>
      </w:r>
      <w:r>
        <w:instrText xml:space="preserve"> NOTEREF _Ref405039609 \h  \* MERGEFORMAT </w:instrText>
      </w:r>
      <w:r>
        <w:fldChar w:fldCharType="separate"/>
      </w:r>
      <w:r w:rsidR="002D212F">
        <w:t>15</w:t>
      </w:r>
      <w:r>
        <w:fldChar w:fldCharType="end"/>
      </w:r>
      <w:r>
        <w:t xml:space="preserve">) 316. </w:t>
      </w:r>
    </w:p>
  </w:footnote>
  <w:footnote w:id="33">
    <w:p w14:paraId="494F09DC" w14:textId="77777777" w:rsidR="00850874" w:rsidRPr="007854A5" w:rsidRDefault="00850874" w:rsidP="00F0137F">
      <w:pPr>
        <w:pStyle w:val="FootnoteText"/>
        <w:tabs>
          <w:tab w:val="left" w:pos="284"/>
        </w:tabs>
        <w:ind w:left="284" w:hanging="284"/>
        <w:jc w:val="both"/>
      </w:pPr>
      <w:r w:rsidRPr="007854A5">
        <w:rPr>
          <w:rStyle w:val="FootnoteReference"/>
        </w:rPr>
        <w:footnoteRef/>
      </w:r>
      <w:r w:rsidRPr="007854A5">
        <w:t xml:space="preserve"> </w:t>
      </w:r>
      <w:r w:rsidRPr="007854A5">
        <w:tab/>
        <w:t xml:space="preserve">See </w:t>
      </w:r>
      <w:r w:rsidRPr="007854A5">
        <w:rPr>
          <w:i/>
        </w:rPr>
        <w:t xml:space="preserve">Viro v R </w:t>
      </w:r>
      <w:r w:rsidRPr="007854A5">
        <w:t xml:space="preserve">(1978) 141 CLR 88 (HCA) </w:t>
      </w:r>
      <w:r>
        <w:t>92–94</w:t>
      </w:r>
      <w:r w:rsidRPr="007854A5">
        <w:t xml:space="preserve">; </w:t>
      </w:r>
      <w:r w:rsidRPr="007854A5">
        <w:rPr>
          <w:bCs/>
          <w:i/>
          <w:color w:val="000000"/>
          <w:lang w:val="en-CA"/>
        </w:rPr>
        <w:t>Reference re Agricultural Products Marketing</w:t>
      </w:r>
      <w:r w:rsidRPr="007854A5">
        <w:rPr>
          <w:bCs/>
          <w:color w:val="000000"/>
          <w:lang w:val="en-CA"/>
        </w:rPr>
        <w:t xml:space="preserve"> [1978] 2 SCR 1198 (SCC) 1256–1267; </w:t>
      </w:r>
      <w:r w:rsidRPr="007854A5">
        <w:rPr>
          <w:i/>
        </w:rPr>
        <w:t xml:space="preserve">China Field Ltd v Appeal Tribunal (Buildings) </w:t>
      </w:r>
      <w:r w:rsidRPr="007854A5">
        <w:t xml:space="preserve">(2009) 12 HKCFAR 68, [79]–[81]. </w:t>
      </w:r>
    </w:p>
  </w:footnote>
  <w:footnote w:id="34">
    <w:p w14:paraId="783A0FDD" w14:textId="606A7B17" w:rsidR="00850874" w:rsidRPr="006B19FE" w:rsidRDefault="00850874" w:rsidP="00F0137F">
      <w:pPr>
        <w:pStyle w:val="FootnoteText"/>
        <w:tabs>
          <w:tab w:val="left" w:pos="284"/>
        </w:tabs>
        <w:ind w:left="284" w:hanging="284"/>
        <w:jc w:val="both"/>
      </w:pPr>
      <w:r>
        <w:rPr>
          <w:rStyle w:val="FootnoteReference"/>
        </w:rPr>
        <w:footnoteRef/>
      </w:r>
      <w:r>
        <w:t xml:space="preserve"> </w:t>
      </w:r>
      <w:r>
        <w:tab/>
        <w:t xml:space="preserve">Comments can be found to the effect that decisions of the English Court of Appeal were binding too: see, </w:t>
      </w:r>
      <w:r w:rsidR="007F4887">
        <w:t>eg</w:t>
      </w:r>
      <w:r>
        <w:t xml:space="preserve">, </w:t>
      </w:r>
      <w:r>
        <w:rPr>
          <w:i/>
        </w:rPr>
        <w:t xml:space="preserve">Waghorn v Waghorn </w:t>
      </w:r>
      <w:r>
        <w:t>(1942) 65 CLR 289 (HCA) 292–293.</w:t>
      </w:r>
    </w:p>
  </w:footnote>
  <w:footnote w:id="35">
    <w:p w14:paraId="667F9468" w14:textId="77777777" w:rsidR="00850874" w:rsidRDefault="00850874" w:rsidP="00F0137F">
      <w:pPr>
        <w:pStyle w:val="FootnoteText"/>
        <w:tabs>
          <w:tab w:val="left" w:pos="284"/>
        </w:tabs>
        <w:jc w:val="both"/>
      </w:pPr>
      <w:r w:rsidRPr="00F85ADB">
        <w:rPr>
          <w:rStyle w:val="FootnoteReference"/>
        </w:rPr>
        <w:footnoteRef/>
      </w:r>
      <w:r w:rsidRPr="00F85ADB">
        <w:t xml:space="preserve"> </w:t>
      </w:r>
      <w:r w:rsidRPr="00F85ADB">
        <w:tab/>
        <w:t>Wrig</w:t>
      </w:r>
      <w:r>
        <w:t xml:space="preserve">ht (n </w:t>
      </w:r>
      <w:r>
        <w:fldChar w:fldCharType="begin"/>
      </w:r>
      <w:r>
        <w:instrText xml:space="preserve"> NOTEREF _Ref403415195 \h  \* MERGEFORMAT </w:instrText>
      </w:r>
      <w:r>
        <w:fldChar w:fldCharType="separate"/>
      </w:r>
      <w:r w:rsidR="002D212F">
        <w:t>22</w:t>
      </w:r>
      <w:r>
        <w:fldChar w:fldCharType="end"/>
      </w:r>
      <w:r>
        <w:t xml:space="preserve">) </w:t>
      </w:r>
      <w:r w:rsidRPr="00F85ADB">
        <w:t>135</w:t>
      </w:r>
      <w:r>
        <w:t>–136</w:t>
      </w:r>
      <w:r w:rsidRPr="00F85ADB">
        <w:t xml:space="preserve">. </w:t>
      </w:r>
    </w:p>
  </w:footnote>
  <w:footnote w:id="36">
    <w:p w14:paraId="476D5530" w14:textId="77777777" w:rsidR="00850874" w:rsidRDefault="00850874" w:rsidP="00F0137F">
      <w:pPr>
        <w:pStyle w:val="FootnoteText"/>
        <w:tabs>
          <w:tab w:val="left" w:pos="284"/>
        </w:tabs>
        <w:jc w:val="both"/>
      </w:pPr>
      <w:r>
        <w:rPr>
          <w:rStyle w:val="FootnoteReference"/>
        </w:rPr>
        <w:footnoteRef/>
      </w:r>
      <w:r>
        <w:t xml:space="preserve"> </w:t>
      </w:r>
      <w:r>
        <w:tab/>
        <w:t xml:space="preserve">(1943) 68 CLR 313 (HCA). </w:t>
      </w:r>
    </w:p>
  </w:footnote>
  <w:footnote w:id="37">
    <w:p w14:paraId="4869F27F" w14:textId="05C0AB82" w:rsidR="00850874" w:rsidRDefault="00850874" w:rsidP="00F0137F">
      <w:pPr>
        <w:pStyle w:val="FootnoteText"/>
        <w:tabs>
          <w:tab w:val="left" w:pos="284"/>
        </w:tabs>
        <w:ind w:left="284" w:hanging="284"/>
        <w:jc w:val="both"/>
      </w:pPr>
      <w:r>
        <w:rPr>
          <w:rStyle w:val="FootnoteReference"/>
        </w:rPr>
        <w:footnoteRef/>
      </w:r>
      <w:r>
        <w:t xml:space="preserve"> </w:t>
      </w:r>
      <w:r>
        <w:tab/>
      </w:r>
      <w:r w:rsidR="0005351C">
        <w:t>ibid,</w:t>
      </w:r>
      <w:r>
        <w:t xml:space="preserve"> 320. Parallel remarks were made by all of the other members of the Court: Rich J (at 325–326), Starke J (at 326–327), McTiernan J (at 335–336) and Williams J (at 340–342).</w:t>
      </w:r>
    </w:p>
  </w:footnote>
  <w:footnote w:id="38">
    <w:p w14:paraId="2388C6BC" w14:textId="77777777" w:rsidR="00850874" w:rsidRDefault="00850874" w:rsidP="00F0137F">
      <w:pPr>
        <w:pStyle w:val="FootnoteText"/>
        <w:tabs>
          <w:tab w:val="left" w:pos="284"/>
        </w:tabs>
        <w:jc w:val="both"/>
      </w:pPr>
      <w:r>
        <w:rPr>
          <w:rStyle w:val="FootnoteReference"/>
        </w:rPr>
        <w:footnoteRef/>
      </w:r>
      <w:r>
        <w:t xml:space="preserve"> </w:t>
      </w:r>
      <w:r>
        <w:tab/>
        <w:t xml:space="preserve">(1927) AC 515 (PC (Can)). </w:t>
      </w:r>
    </w:p>
  </w:footnote>
  <w:footnote w:id="39">
    <w:p w14:paraId="513CD08B" w14:textId="3EC09574" w:rsidR="00850874" w:rsidRPr="001672F0" w:rsidRDefault="00850874" w:rsidP="00F0137F">
      <w:pPr>
        <w:pStyle w:val="FootnoteText"/>
        <w:tabs>
          <w:tab w:val="left" w:pos="284"/>
        </w:tabs>
        <w:ind w:left="284" w:hanging="284"/>
        <w:jc w:val="both"/>
      </w:pPr>
      <w:r>
        <w:rPr>
          <w:rStyle w:val="FootnoteReference"/>
        </w:rPr>
        <w:footnoteRef/>
      </w:r>
      <w:r>
        <w:t xml:space="preserve"> </w:t>
      </w:r>
      <w:r>
        <w:tab/>
      </w:r>
      <w:r w:rsidR="0005351C">
        <w:t xml:space="preserve">ibid, </w:t>
      </w:r>
      <w:r>
        <w:t xml:space="preserve">519. See also </w:t>
      </w:r>
      <w:r>
        <w:rPr>
          <w:i/>
        </w:rPr>
        <w:t xml:space="preserve">Stuart v Bank of Montreal </w:t>
      </w:r>
      <w:r>
        <w:t xml:space="preserve">(1909) 41 SCR 516 (SCC) 548 (‘A decision of the House of Lords should …. be respected and followed though inconsistent with a previous judgment of this court’). </w:t>
      </w:r>
    </w:p>
  </w:footnote>
  <w:footnote w:id="40">
    <w:p w14:paraId="251951D2" w14:textId="77777777" w:rsidR="00850874" w:rsidRDefault="00850874" w:rsidP="00F0137F">
      <w:pPr>
        <w:pStyle w:val="FootnoteText"/>
        <w:tabs>
          <w:tab w:val="left" w:pos="284"/>
        </w:tabs>
        <w:ind w:left="284" w:hanging="284"/>
        <w:jc w:val="both"/>
      </w:pPr>
      <w:r>
        <w:rPr>
          <w:rStyle w:val="FootnoteReference"/>
        </w:rPr>
        <w:footnoteRef/>
      </w:r>
      <w:r>
        <w:t xml:space="preserve"> </w:t>
      </w:r>
      <w:r>
        <w:tab/>
        <w:t xml:space="preserve">‘[T]he board of the Privy Council is drawn practically from the same judges who take part in the judicial sittings of the House of Lords’: Lord Wright, ‘Precedents’ (1942) 8 CLJ 118, 135. </w:t>
      </w:r>
    </w:p>
  </w:footnote>
  <w:footnote w:id="41">
    <w:p w14:paraId="5764994A" w14:textId="77777777" w:rsidR="00850874" w:rsidRDefault="00850874" w:rsidP="00F0137F">
      <w:pPr>
        <w:pStyle w:val="FootnoteText"/>
        <w:ind w:left="284" w:hanging="284"/>
        <w:jc w:val="both"/>
      </w:pPr>
      <w:r>
        <w:rPr>
          <w:rStyle w:val="FootnoteReference"/>
        </w:rPr>
        <w:footnoteRef/>
      </w:r>
      <w:r>
        <w:t xml:space="preserve"> </w:t>
      </w:r>
      <w:r>
        <w:tab/>
        <w:t xml:space="preserve">WMC Gummow, ‘The High Court of Australia and the House of Lords 1903-2003)’ in G Doeker Mach and KA Ziegert (eds), </w:t>
      </w:r>
      <w:r>
        <w:rPr>
          <w:i/>
        </w:rPr>
        <w:t xml:space="preserve">Law, Legal Culture and Politics in the Twenty First Century </w:t>
      </w:r>
      <w:r w:rsidRPr="005579BC">
        <w:t>(Stuttga</w:t>
      </w:r>
      <w:r>
        <w:t>rt,</w:t>
      </w:r>
      <w:r w:rsidRPr="005579BC">
        <w:t xml:space="preserve"> Franz Steiner Verlag,</w:t>
      </w:r>
      <w:r>
        <w:t xml:space="preserve"> 2004) 44</w:t>
      </w:r>
    </w:p>
  </w:footnote>
  <w:footnote w:id="42">
    <w:p w14:paraId="495987F8" w14:textId="77777777" w:rsidR="00850874" w:rsidRPr="00E518E8" w:rsidRDefault="00850874" w:rsidP="00F0137F">
      <w:pPr>
        <w:pStyle w:val="FootnoteText"/>
        <w:tabs>
          <w:tab w:val="left" w:pos="284"/>
        </w:tabs>
        <w:jc w:val="both"/>
      </w:pPr>
      <w:r w:rsidRPr="007854A5">
        <w:rPr>
          <w:rStyle w:val="FootnoteReference"/>
        </w:rPr>
        <w:footnoteRef/>
      </w:r>
      <w:r w:rsidRPr="007854A5">
        <w:t xml:space="preserve"> </w:t>
      </w:r>
      <w:r w:rsidRPr="007854A5">
        <w:tab/>
        <w:t xml:space="preserve">(1963) 111 CLR 610 (HCA). </w:t>
      </w:r>
    </w:p>
  </w:footnote>
  <w:footnote w:id="43">
    <w:p w14:paraId="0AC21801" w14:textId="77777777" w:rsidR="00850874" w:rsidRDefault="00850874" w:rsidP="00F0137F">
      <w:pPr>
        <w:pStyle w:val="FootnoteText"/>
        <w:tabs>
          <w:tab w:val="left" w:pos="284"/>
        </w:tabs>
        <w:jc w:val="both"/>
      </w:pPr>
      <w:r w:rsidRPr="00A547CB">
        <w:rPr>
          <w:rStyle w:val="FootnoteReference"/>
        </w:rPr>
        <w:footnoteRef/>
      </w:r>
      <w:r w:rsidRPr="00A547CB">
        <w:t xml:space="preserve"> </w:t>
      </w:r>
      <w:r w:rsidRPr="00A547CB">
        <w:tab/>
        <w:t>(1961) AC 290 (HL).</w:t>
      </w:r>
    </w:p>
  </w:footnote>
  <w:footnote w:id="44">
    <w:p w14:paraId="531F88D9" w14:textId="77777777" w:rsidR="00850874" w:rsidRPr="000F1540" w:rsidRDefault="00850874" w:rsidP="00F0137F">
      <w:pPr>
        <w:pStyle w:val="FootnoteText"/>
        <w:tabs>
          <w:tab w:val="left" w:pos="284"/>
        </w:tabs>
        <w:ind w:left="284" w:hanging="284"/>
        <w:jc w:val="both"/>
      </w:pPr>
      <w:r>
        <w:rPr>
          <w:rStyle w:val="FootnoteReference"/>
        </w:rPr>
        <w:footnoteRef/>
      </w:r>
      <w:r>
        <w:t xml:space="preserve"> </w:t>
      </w:r>
      <w:r>
        <w:tab/>
      </w:r>
      <w:r w:rsidRPr="007854A5">
        <w:t>(1963) 111 CLR 610 (HCA)</w:t>
      </w:r>
      <w:r>
        <w:t xml:space="preserve"> 632 (footnotes omitted). The New Zealand counterpart to this development is </w:t>
      </w:r>
      <w:r>
        <w:rPr>
          <w:i/>
        </w:rPr>
        <w:t xml:space="preserve">Bognuda v Upton &amp; Shearer Ltd </w:t>
      </w:r>
      <w:r>
        <w:t xml:space="preserve">[1972] NZLR 741 (CA). As a side note, </w:t>
      </w:r>
      <w:r>
        <w:rPr>
          <w:i/>
        </w:rPr>
        <w:t xml:space="preserve">Smith </w:t>
      </w:r>
      <w:r>
        <w:t xml:space="preserve">did not survive in the United Kingdom. Parliament departed from it in s 8 of the Criminal Justice Act 1967 (UK) and the Privy Council later held that it did not represent the common law: </w:t>
      </w:r>
      <w:r>
        <w:rPr>
          <w:i/>
        </w:rPr>
        <w:t xml:space="preserve">Frankland v The Queen </w:t>
      </w:r>
      <w:r>
        <w:t>[1987] AC 576 (PC (Isle of Man)) 594.</w:t>
      </w:r>
    </w:p>
  </w:footnote>
  <w:footnote w:id="45">
    <w:p w14:paraId="7BD1C64B" w14:textId="77777777" w:rsidR="00850874" w:rsidRDefault="00850874" w:rsidP="00F0137F">
      <w:pPr>
        <w:pStyle w:val="FootnoteText"/>
        <w:tabs>
          <w:tab w:val="left" w:pos="284"/>
        </w:tabs>
        <w:ind w:left="284" w:hanging="284"/>
        <w:jc w:val="both"/>
      </w:pPr>
      <w:r>
        <w:rPr>
          <w:rStyle w:val="FootnoteReference"/>
        </w:rPr>
        <w:footnoteRef/>
      </w:r>
      <w:r>
        <w:t xml:space="preserve"> </w:t>
      </w:r>
      <w:r>
        <w:tab/>
        <w:t>(1966) 117 CLR 118 (HCA). For a longer treatment of this case and associated decisions, see JR Lehane, ‘</w:t>
      </w:r>
      <w:r w:rsidRPr="001B74E8">
        <w:rPr>
          <w:i/>
        </w:rPr>
        <w:t>Stare Decisis</w:t>
      </w:r>
      <w:r>
        <w:t xml:space="preserve">, Judicial Policy and Punitive Damages’ (1986) 6 </w:t>
      </w:r>
      <w:r w:rsidRPr="005579BC">
        <w:rPr>
          <w:i/>
        </w:rPr>
        <w:t>Sydney Law Review</w:t>
      </w:r>
      <w:r>
        <w:t xml:space="preserve"> 111.</w:t>
      </w:r>
    </w:p>
  </w:footnote>
  <w:footnote w:id="46">
    <w:p w14:paraId="39B126CE" w14:textId="77777777" w:rsidR="00850874" w:rsidRPr="006075A9" w:rsidRDefault="00850874" w:rsidP="00F0137F">
      <w:pPr>
        <w:pStyle w:val="FootnoteText"/>
        <w:tabs>
          <w:tab w:val="left" w:pos="284"/>
        </w:tabs>
        <w:ind w:left="284" w:hanging="284"/>
        <w:jc w:val="both"/>
      </w:pPr>
      <w:r>
        <w:rPr>
          <w:rStyle w:val="FootnoteReference"/>
        </w:rPr>
        <w:footnoteRef/>
      </w:r>
      <w:r>
        <w:t xml:space="preserve"> </w:t>
      </w:r>
      <w:r>
        <w:tab/>
        <w:t xml:space="preserve">[1964] AC 1129 (HL). The law as stated in </w:t>
      </w:r>
      <w:r>
        <w:rPr>
          <w:i/>
        </w:rPr>
        <w:t xml:space="preserve">Rookes v Barnard </w:t>
      </w:r>
      <w:r>
        <w:t xml:space="preserve">has also been rejected in Canada: </w:t>
      </w:r>
      <w:r>
        <w:rPr>
          <w:i/>
        </w:rPr>
        <w:t xml:space="preserve">Vorvis v Insurance Corp of British Columbia </w:t>
      </w:r>
      <w:r>
        <w:t>[1989] 1 SCR 1085 (SCC).</w:t>
      </w:r>
    </w:p>
  </w:footnote>
  <w:footnote w:id="47">
    <w:p w14:paraId="5C2A748A" w14:textId="77777777" w:rsidR="00850874" w:rsidRDefault="00850874" w:rsidP="00F0137F">
      <w:pPr>
        <w:pStyle w:val="FootnoteText"/>
        <w:tabs>
          <w:tab w:val="left" w:pos="284"/>
        </w:tabs>
        <w:jc w:val="both"/>
      </w:pPr>
      <w:r>
        <w:rPr>
          <w:rStyle w:val="FootnoteReference"/>
        </w:rPr>
        <w:footnoteRef/>
      </w:r>
      <w:r>
        <w:t xml:space="preserve"> </w:t>
      </w:r>
      <w:r>
        <w:tab/>
        <w:t>(1966) 117 CLR 118 (HCA) 122.</w:t>
      </w:r>
    </w:p>
  </w:footnote>
  <w:footnote w:id="48">
    <w:p w14:paraId="63C5CBD1" w14:textId="77777777" w:rsidR="00850874" w:rsidRPr="009C198B" w:rsidRDefault="00850874" w:rsidP="00F0137F">
      <w:pPr>
        <w:pStyle w:val="FootnoteText"/>
        <w:tabs>
          <w:tab w:val="left" w:pos="284"/>
        </w:tabs>
        <w:jc w:val="both"/>
      </w:pPr>
      <w:r>
        <w:rPr>
          <w:rStyle w:val="FootnoteReference"/>
        </w:rPr>
        <w:footnoteRef/>
      </w:r>
      <w:r>
        <w:t xml:space="preserve"> </w:t>
      </w:r>
      <w:r>
        <w:tab/>
      </w:r>
      <w:r>
        <w:rPr>
          <w:i/>
        </w:rPr>
        <w:t xml:space="preserve">Skelton v Collins </w:t>
      </w:r>
      <w:r>
        <w:t>(1966) 115 CLR 94 (HCA) 138.</w:t>
      </w:r>
    </w:p>
  </w:footnote>
  <w:footnote w:id="49">
    <w:p w14:paraId="3628EA2B" w14:textId="77777777" w:rsidR="00850874" w:rsidRDefault="00850874" w:rsidP="00F0137F">
      <w:pPr>
        <w:pStyle w:val="FootnoteText"/>
        <w:tabs>
          <w:tab w:val="left" w:pos="284"/>
        </w:tabs>
        <w:jc w:val="both"/>
      </w:pPr>
      <w:r>
        <w:rPr>
          <w:rStyle w:val="FootnoteReference"/>
        </w:rPr>
        <w:footnoteRef/>
      </w:r>
      <w:r>
        <w:t xml:space="preserve"> </w:t>
      </w:r>
      <w:r>
        <w:tab/>
        <w:t>(1966) 117 CLR 118 (HCA) 161 (footnote omitted).</w:t>
      </w:r>
    </w:p>
  </w:footnote>
  <w:footnote w:id="50">
    <w:p w14:paraId="56FA7A61" w14:textId="77777777" w:rsidR="00850874" w:rsidRDefault="00850874" w:rsidP="00F0137F">
      <w:pPr>
        <w:pStyle w:val="FootnoteText"/>
        <w:tabs>
          <w:tab w:val="left" w:pos="284"/>
        </w:tabs>
        <w:jc w:val="both"/>
      </w:pPr>
      <w:r>
        <w:rPr>
          <w:rStyle w:val="FootnoteReference"/>
        </w:rPr>
        <w:footnoteRef/>
      </w:r>
      <w:r>
        <w:t xml:space="preserve"> </w:t>
      </w:r>
      <w:r>
        <w:tab/>
        <w:t>(1966) 117 CLR 185 (HCA).</w:t>
      </w:r>
    </w:p>
  </w:footnote>
  <w:footnote w:id="51">
    <w:p w14:paraId="1B5045A4" w14:textId="77777777" w:rsidR="00850874" w:rsidRDefault="00850874" w:rsidP="00F0137F">
      <w:pPr>
        <w:pStyle w:val="FootnoteText"/>
        <w:tabs>
          <w:tab w:val="left" w:pos="284"/>
        </w:tabs>
        <w:jc w:val="both"/>
      </w:pPr>
      <w:r>
        <w:rPr>
          <w:rStyle w:val="FootnoteReference"/>
        </w:rPr>
        <w:footnoteRef/>
      </w:r>
      <w:r>
        <w:t xml:space="preserve"> </w:t>
      </w:r>
      <w:r>
        <w:tab/>
        <w:t>[1969] 1 AC 590 (PC (Aust)) 644.</w:t>
      </w:r>
    </w:p>
  </w:footnote>
  <w:footnote w:id="52">
    <w:p w14:paraId="718C6FCE" w14:textId="77777777" w:rsidR="00850874" w:rsidRDefault="00850874" w:rsidP="00F0137F">
      <w:pPr>
        <w:pStyle w:val="FootnoteText"/>
        <w:ind w:left="284" w:hanging="284"/>
        <w:jc w:val="both"/>
      </w:pPr>
      <w:r>
        <w:rPr>
          <w:rStyle w:val="FootnoteReference"/>
        </w:rPr>
        <w:footnoteRef/>
      </w:r>
      <w:r>
        <w:t xml:space="preserve"> </w:t>
      </w:r>
      <w:r>
        <w:tab/>
        <w:t xml:space="preserve">For clear statements to this effect, see </w:t>
      </w:r>
      <w:r>
        <w:rPr>
          <w:i/>
        </w:rPr>
        <w:t xml:space="preserve">Geelong Harbor Trust Commissioners v Gibbs Bright &amp; Co </w:t>
      </w:r>
      <w:r>
        <w:t xml:space="preserve">[1974] AC 810 (PC (Aust)) 819; </w:t>
      </w:r>
      <w:r w:rsidRPr="006771DB">
        <w:rPr>
          <w:i/>
        </w:rPr>
        <w:t xml:space="preserve">Jamil bin Harun v Yang Kamsiah BTE Meor Rasdi </w:t>
      </w:r>
      <w:r w:rsidRPr="006771DB">
        <w:t>[1984] AC 529 (PC (Malaysia)) 535, 538</w:t>
      </w:r>
      <w:r>
        <w:t xml:space="preserve">. </w:t>
      </w:r>
      <w:r>
        <w:rPr>
          <w:i/>
        </w:rPr>
        <w:t xml:space="preserve">Hart v O’Connor </w:t>
      </w:r>
      <w:r>
        <w:t xml:space="preserve">[1985] AC 1000 (PC (NZ)) 1017. </w:t>
      </w:r>
    </w:p>
  </w:footnote>
  <w:footnote w:id="53">
    <w:p w14:paraId="33AA19C3" w14:textId="7F017D76" w:rsidR="00850874" w:rsidRPr="00D10902" w:rsidRDefault="00850874" w:rsidP="00F0137F">
      <w:pPr>
        <w:pStyle w:val="FootnoteText"/>
        <w:tabs>
          <w:tab w:val="left" w:pos="284"/>
        </w:tabs>
        <w:ind w:left="284" w:hanging="284"/>
        <w:jc w:val="both"/>
        <w:rPr>
          <w:i/>
        </w:rPr>
      </w:pPr>
      <w:r>
        <w:rPr>
          <w:rStyle w:val="FootnoteReference"/>
        </w:rPr>
        <w:footnoteRef/>
      </w:r>
      <w:r>
        <w:t xml:space="preserve"> </w:t>
      </w:r>
      <w:r>
        <w:tab/>
        <w:t>In relation to Canada</w:t>
      </w:r>
      <w:r w:rsidR="0005351C">
        <w:t>,</w:t>
      </w:r>
      <w:r>
        <w:t xml:space="preserve"> see RJ Sharpe, ‘Canada’ in L Blom-Cooper, B Dickson and G Drewry (eds), </w:t>
      </w:r>
      <w:r>
        <w:rPr>
          <w:i/>
        </w:rPr>
        <w:t xml:space="preserve">The Judicial House of Lords </w:t>
      </w:r>
      <w:r>
        <w:t xml:space="preserve">1876-2009 (Oxford, OUP, 2009) ch 19(b), where Justice Sharpe describes the transition from what he calls ‘the era of obedience’ to ‘the era of persuasion’. The story with respect to New Zealand is set out in MD Kirby, ‘Australia and New Zealand’ in L Blom-Cooper, B Dickson and G Drewry (eds), </w:t>
      </w:r>
      <w:r>
        <w:rPr>
          <w:i/>
        </w:rPr>
        <w:t xml:space="preserve">The Judicial House of Lords </w:t>
      </w:r>
      <w:r>
        <w:t>1876-2009 (Oxford, OUP, 2009) 347–350.</w:t>
      </w:r>
    </w:p>
  </w:footnote>
  <w:footnote w:id="54">
    <w:p w14:paraId="1FAB2549" w14:textId="77777777" w:rsidR="00850874" w:rsidRDefault="00850874" w:rsidP="00F0137F">
      <w:pPr>
        <w:pStyle w:val="FootnoteText"/>
        <w:tabs>
          <w:tab w:val="left" w:pos="284"/>
        </w:tabs>
        <w:jc w:val="both"/>
      </w:pPr>
      <w:r>
        <w:rPr>
          <w:rStyle w:val="FootnoteReference"/>
        </w:rPr>
        <w:footnoteRef/>
      </w:r>
      <w:r>
        <w:t xml:space="preserve"> </w:t>
      </w:r>
      <w:r>
        <w:tab/>
        <w:t>(1966) 115 CLR 94 (HCA) 104.</w:t>
      </w:r>
    </w:p>
  </w:footnote>
  <w:footnote w:id="55">
    <w:p w14:paraId="703509F5" w14:textId="050829DD" w:rsidR="000A1CA6" w:rsidRPr="000A1CA6" w:rsidRDefault="000A1CA6" w:rsidP="000A1CA6">
      <w:pPr>
        <w:pStyle w:val="FootnoteText"/>
        <w:tabs>
          <w:tab w:val="left" w:pos="284"/>
        </w:tabs>
        <w:ind w:left="284" w:hanging="284"/>
        <w:jc w:val="both"/>
      </w:pPr>
      <w:r w:rsidRPr="000A1CA6">
        <w:rPr>
          <w:rStyle w:val="FootnoteReference"/>
        </w:rPr>
        <w:footnoteRef/>
      </w:r>
      <w:r w:rsidRPr="000A1CA6">
        <w:t xml:space="preserve"> </w:t>
      </w:r>
      <w:r>
        <w:tab/>
      </w:r>
      <w:r w:rsidRPr="000A1CA6">
        <w:t>Cf the view of JW Harris, who wrote that in 1990, ‘perhaps, even today, English decisions have a special primacy’ in Commonwealth jurisdictions’: JW Harris, ‘The Privy Council and the Common Law’ (1990) LQR 574, 588.</w:t>
      </w:r>
    </w:p>
  </w:footnote>
  <w:footnote w:id="56">
    <w:p w14:paraId="4786EDFD" w14:textId="38A56AAA" w:rsidR="00850874" w:rsidRPr="00D94507" w:rsidRDefault="00850874" w:rsidP="00F0137F">
      <w:pPr>
        <w:pStyle w:val="FootnoteText"/>
        <w:tabs>
          <w:tab w:val="left" w:pos="284"/>
        </w:tabs>
        <w:jc w:val="both"/>
        <w:rPr>
          <w:i/>
        </w:rPr>
      </w:pPr>
      <w:r>
        <w:rPr>
          <w:rStyle w:val="FootnoteReference"/>
        </w:rPr>
        <w:footnoteRef/>
      </w:r>
      <w:r>
        <w:t xml:space="preserve"> </w:t>
      </w:r>
      <w:r>
        <w:tab/>
        <w:t xml:space="preserve">A Mason, ‘Future Directions in Australian Law’ (1987) 13 </w:t>
      </w:r>
      <w:r w:rsidRPr="003801C7">
        <w:rPr>
          <w:i/>
        </w:rPr>
        <w:t xml:space="preserve">Monash </w:t>
      </w:r>
      <w:r w:rsidR="00CD5822">
        <w:rPr>
          <w:i/>
        </w:rPr>
        <w:t xml:space="preserve">University </w:t>
      </w:r>
      <w:r w:rsidRPr="003801C7">
        <w:rPr>
          <w:i/>
        </w:rPr>
        <w:t>Law Review</w:t>
      </w:r>
      <w:r>
        <w:t xml:space="preserve"> 149, 154. </w:t>
      </w:r>
    </w:p>
  </w:footnote>
  <w:footnote w:id="57">
    <w:p w14:paraId="1E64EB83" w14:textId="2B694FB6" w:rsidR="00850874" w:rsidRDefault="00850874" w:rsidP="00F0137F">
      <w:pPr>
        <w:pStyle w:val="FootnoteText"/>
        <w:tabs>
          <w:tab w:val="left" w:pos="284"/>
        </w:tabs>
        <w:jc w:val="both"/>
      </w:pPr>
      <w:r>
        <w:rPr>
          <w:rStyle w:val="FootnoteReference"/>
        </w:rPr>
        <w:footnoteRef/>
      </w:r>
      <w:r>
        <w:t xml:space="preserve"> </w:t>
      </w:r>
      <w:r>
        <w:tab/>
        <w:t xml:space="preserve">Sharpe (n </w:t>
      </w:r>
      <w:r>
        <w:fldChar w:fldCharType="begin"/>
      </w:r>
      <w:r>
        <w:instrText xml:space="preserve"> NOTEREF _Ref405127038 \h  \* MERGEFORMAT </w:instrText>
      </w:r>
      <w:r>
        <w:fldChar w:fldCharType="separate"/>
      </w:r>
      <w:r w:rsidR="002D212F">
        <w:t>51</w:t>
      </w:r>
      <w:r>
        <w:fldChar w:fldCharType="end"/>
      </w:r>
      <w:r>
        <w:t>) 355.</w:t>
      </w:r>
    </w:p>
  </w:footnote>
  <w:footnote w:id="58">
    <w:p w14:paraId="3695434C" w14:textId="6DB5A3CC" w:rsidR="00850874" w:rsidRDefault="00850874" w:rsidP="00F0137F">
      <w:pPr>
        <w:pStyle w:val="FootnoteText"/>
        <w:tabs>
          <w:tab w:val="left" w:pos="284"/>
        </w:tabs>
        <w:ind w:left="284" w:hanging="284"/>
        <w:jc w:val="both"/>
      </w:pPr>
      <w:r>
        <w:rPr>
          <w:rStyle w:val="FootnoteReference"/>
        </w:rPr>
        <w:footnoteRef/>
      </w:r>
      <w:r>
        <w:t xml:space="preserve"> </w:t>
      </w:r>
      <w:r>
        <w:tab/>
        <w:t xml:space="preserve">Judges in other jurisdictions not infrequently have recourse to American authority. See, for example, Andrew Burrows’ chapter in the present volume regarding the use made by the House of Lords and United Kingdom Supreme Court of United States authorities: at </w:t>
      </w:r>
      <w:r w:rsidRPr="00C20163">
        <w:rPr>
          <w:highlight w:val="yellow"/>
        </w:rPr>
        <w:t>…–…</w:t>
      </w:r>
      <w:r>
        <w:t>.</w:t>
      </w:r>
    </w:p>
  </w:footnote>
  <w:footnote w:id="59">
    <w:p w14:paraId="5DE30E67" w14:textId="45D0C8FA" w:rsidR="00850874" w:rsidRDefault="00850874" w:rsidP="00F0137F">
      <w:pPr>
        <w:pStyle w:val="FootnoteText"/>
        <w:tabs>
          <w:tab w:val="left" w:pos="284"/>
        </w:tabs>
        <w:ind w:left="284" w:hanging="284"/>
        <w:jc w:val="both"/>
      </w:pPr>
      <w:r>
        <w:rPr>
          <w:rStyle w:val="FootnoteReference"/>
        </w:rPr>
        <w:footnoteRef/>
      </w:r>
      <w:r>
        <w:t xml:space="preserve"> </w:t>
      </w:r>
      <w:r>
        <w:tab/>
        <w:t xml:space="preserve">See the sources cited in RJ Delahunty and J Yoo, ‘Against Foreign Law’ (2005) 29 </w:t>
      </w:r>
      <w:r>
        <w:rPr>
          <w:i/>
        </w:rPr>
        <w:t xml:space="preserve">Harvard Journal of Law &amp; Public Policy </w:t>
      </w:r>
      <w:r>
        <w:t xml:space="preserve">291, 294–295. </w:t>
      </w:r>
    </w:p>
  </w:footnote>
  <w:footnote w:id="60">
    <w:p w14:paraId="17438338" w14:textId="77777777" w:rsidR="00850874" w:rsidRDefault="00850874" w:rsidP="00F0137F">
      <w:pPr>
        <w:pStyle w:val="FootnoteText"/>
        <w:tabs>
          <w:tab w:val="left" w:pos="284"/>
        </w:tabs>
        <w:ind w:left="284" w:hanging="284"/>
        <w:jc w:val="both"/>
      </w:pPr>
      <w:r>
        <w:rPr>
          <w:rStyle w:val="FootnoteReference"/>
        </w:rPr>
        <w:footnoteRef/>
      </w:r>
      <w:r>
        <w:t xml:space="preserve"> </w:t>
      </w:r>
      <w:r>
        <w:tab/>
        <w:t xml:space="preserve">PE von Nessen, ‘The Use of American Precedents by the High Court of Australia, 1901–1987’ (1992) 14 </w:t>
      </w:r>
      <w:r w:rsidRPr="003801C7">
        <w:rPr>
          <w:i/>
        </w:rPr>
        <w:t>Adelaide Law Review</w:t>
      </w:r>
      <w:r>
        <w:t xml:space="preserve"> 181, 183–184.</w:t>
      </w:r>
    </w:p>
  </w:footnote>
  <w:footnote w:id="61">
    <w:p w14:paraId="3DB2E2FD" w14:textId="5A7C2412" w:rsidR="00850874" w:rsidRDefault="00850874" w:rsidP="00F0137F">
      <w:pPr>
        <w:pStyle w:val="FootnoteText"/>
        <w:tabs>
          <w:tab w:val="left" w:pos="284"/>
        </w:tabs>
        <w:jc w:val="both"/>
      </w:pPr>
      <w:r>
        <w:rPr>
          <w:rStyle w:val="FootnoteReference"/>
        </w:rPr>
        <w:footnoteRef/>
      </w:r>
      <w:r>
        <w:t xml:space="preserve"> </w:t>
      </w:r>
      <w:r>
        <w:tab/>
        <w:t xml:space="preserve">See </w:t>
      </w:r>
      <w:r w:rsidRPr="00D165CF">
        <w:rPr>
          <w:highlight w:val="yellow"/>
        </w:rPr>
        <w:t>[</w:t>
      </w:r>
      <w:r>
        <w:rPr>
          <w:highlight w:val="yellow"/>
        </w:rPr>
        <w:t>insert r</w:t>
      </w:r>
      <w:r w:rsidRPr="00D165CF">
        <w:rPr>
          <w:highlight w:val="yellow"/>
        </w:rPr>
        <w:t>eference to Andrew Burrows’ chapter in this volume]</w:t>
      </w:r>
      <w:r>
        <w:t>.</w:t>
      </w:r>
    </w:p>
  </w:footnote>
  <w:footnote w:id="62">
    <w:p w14:paraId="500201B1" w14:textId="596AC7DD" w:rsidR="00850874" w:rsidRDefault="00850874" w:rsidP="00F0137F">
      <w:pPr>
        <w:pStyle w:val="FootnoteText"/>
        <w:ind w:left="284" w:hanging="284"/>
        <w:jc w:val="both"/>
      </w:pPr>
      <w:r>
        <w:rPr>
          <w:rStyle w:val="FootnoteReference"/>
        </w:rPr>
        <w:footnoteRef/>
      </w:r>
      <w:r>
        <w:t xml:space="preserve">  </w:t>
      </w:r>
      <w:r>
        <w:tab/>
        <w:t>The main work in this respect has been done by the European Group on Tort Law, the Study Group on a European Civil Code and the Joint Network on European Private Law. For details of their various projects</w:t>
      </w:r>
      <w:r w:rsidR="00A27C9F">
        <w:t>,</w:t>
      </w:r>
      <w:r>
        <w:t xml:space="preserve"> see P Giliker, </w:t>
      </w:r>
      <w:r>
        <w:rPr>
          <w:i/>
        </w:rPr>
        <w:t xml:space="preserve">The Europeanisation of English Tort Law </w:t>
      </w:r>
      <w:r>
        <w:t>(Oxford, Hart Publishing, 2014) 198–202.</w:t>
      </w:r>
    </w:p>
  </w:footnote>
  <w:footnote w:id="63">
    <w:p w14:paraId="6A870F0C" w14:textId="77777777" w:rsidR="0093216A" w:rsidRPr="00F74D80" w:rsidRDefault="0093216A" w:rsidP="0093216A">
      <w:pPr>
        <w:pStyle w:val="FootnoteText"/>
        <w:tabs>
          <w:tab w:val="left" w:pos="284"/>
        </w:tabs>
        <w:jc w:val="both"/>
      </w:pPr>
      <w:r>
        <w:rPr>
          <w:rStyle w:val="FootnoteReference"/>
        </w:rPr>
        <w:footnoteRef/>
      </w:r>
      <w:r>
        <w:t xml:space="preserve"> </w:t>
      </w:r>
      <w:r>
        <w:tab/>
        <w:t xml:space="preserve">G Calabresi, </w:t>
      </w:r>
      <w:r>
        <w:rPr>
          <w:i/>
        </w:rPr>
        <w:t xml:space="preserve">A Common Law for the Age of Statutes </w:t>
      </w:r>
      <w:r>
        <w:t>(</w:t>
      </w:r>
      <w:r w:rsidRPr="003801C7">
        <w:t>Cambridge MA, Harvard University Pres</w:t>
      </w:r>
      <w:r>
        <w:t>s, 1985).</w:t>
      </w:r>
    </w:p>
  </w:footnote>
  <w:footnote w:id="64">
    <w:p w14:paraId="5A59330C" w14:textId="77777777" w:rsidR="0093216A" w:rsidRDefault="0093216A" w:rsidP="0093216A">
      <w:pPr>
        <w:pStyle w:val="FootnoteText"/>
        <w:tabs>
          <w:tab w:val="left" w:pos="284"/>
        </w:tabs>
        <w:jc w:val="both"/>
      </w:pPr>
      <w:r>
        <w:rPr>
          <w:rStyle w:val="FootnoteReference"/>
        </w:rPr>
        <w:footnoteRef/>
      </w:r>
      <w:r>
        <w:t xml:space="preserve"> </w:t>
      </w:r>
      <w:r>
        <w:tab/>
        <w:t xml:space="preserve">See Goudkamp and Murphy, ‘Tort Statutes and Tort Theories’ (n </w:t>
      </w:r>
      <w:r>
        <w:fldChar w:fldCharType="begin"/>
      </w:r>
      <w:r>
        <w:instrText xml:space="preserve"> NOTEREF _Ref403210304 \h  \* MERGEFORMAT </w:instrText>
      </w:r>
      <w:r>
        <w:fldChar w:fldCharType="separate"/>
      </w:r>
      <w:r w:rsidR="002D212F">
        <w:t>12</w:t>
      </w:r>
      <w:r>
        <w:fldChar w:fldCharType="end"/>
      </w:r>
      <w:r>
        <w:t>).</w:t>
      </w:r>
    </w:p>
  </w:footnote>
  <w:footnote w:id="65">
    <w:p w14:paraId="2B083E95" w14:textId="77777777" w:rsidR="0093216A" w:rsidRPr="004B527C" w:rsidRDefault="0093216A" w:rsidP="0093216A">
      <w:pPr>
        <w:autoSpaceDE w:val="0"/>
        <w:autoSpaceDN w:val="0"/>
        <w:adjustRightInd w:val="0"/>
        <w:spacing w:after="0" w:line="240" w:lineRule="auto"/>
        <w:ind w:left="284" w:hanging="284"/>
        <w:jc w:val="both"/>
      </w:pPr>
      <w:r w:rsidRPr="004B527C">
        <w:rPr>
          <w:rStyle w:val="FootnoteReference"/>
        </w:rPr>
        <w:footnoteRef/>
      </w:r>
      <w:r w:rsidRPr="004B527C">
        <w:t xml:space="preserve"> </w:t>
      </w:r>
      <w:r>
        <w:tab/>
      </w:r>
      <w:r w:rsidRPr="004B527C">
        <w:t xml:space="preserve">Arvind and Steele </w:t>
      </w:r>
      <w:r>
        <w:t xml:space="preserve">justifiably complain </w:t>
      </w:r>
      <w:r w:rsidRPr="004B527C">
        <w:t xml:space="preserve">that </w:t>
      </w:r>
      <w:r>
        <w:t>‘</w:t>
      </w:r>
      <w:r w:rsidRPr="004B527C">
        <w:t>legislation tends to be left at the periphery of the subject, either unconsciously, or deliberately</w:t>
      </w:r>
      <w:r>
        <w:t>’</w:t>
      </w:r>
      <w:r w:rsidRPr="004B527C">
        <w:t xml:space="preserve">: TT Arvind and J Steele, </w:t>
      </w:r>
      <w:r>
        <w:t>‘</w:t>
      </w:r>
      <w:r w:rsidRPr="004B527C">
        <w:t>Introduction: Legislation and the Shape of Tort Law</w:t>
      </w:r>
      <w:r>
        <w:t>’</w:t>
      </w:r>
      <w:r w:rsidRPr="004B527C">
        <w:t xml:space="preserve"> in </w:t>
      </w:r>
      <w:r>
        <w:t>TT </w:t>
      </w:r>
      <w:r w:rsidRPr="004B527C">
        <w:t xml:space="preserve">Arvind and J Steele (eds), </w:t>
      </w:r>
      <w:r w:rsidRPr="004B527C">
        <w:rPr>
          <w:i/>
          <w:iCs/>
        </w:rPr>
        <w:t xml:space="preserve">Tort Law and the Legislature </w:t>
      </w:r>
      <w:r w:rsidRPr="004B527C">
        <w:t>(</w:t>
      </w:r>
      <w:r>
        <w:t>Oxford,</w:t>
      </w:r>
      <w:r w:rsidRPr="003801C7">
        <w:t xml:space="preserve"> Hart Publishin</w:t>
      </w:r>
      <w:r w:rsidRPr="004B527C">
        <w:t>g, 2013) 2.</w:t>
      </w:r>
    </w:p>
  </w:footnote>
  <w:footnote w:id="66">
    <w:p w14:paraId="4FF688BE" w14:textId="307600A6" w:rsidR="00850874" w:rsidRDefault="00850874" w:rsidP="00F0137F">
      <w:pPr>
        <w:pStyle w:val="FootnoteText"/>
        <w:tabs>
          <w:tab w:val="left" w:pos="284"/>
        </w:tabs>
        <w:ind w:left="284" w:hanging="284"/>
        <w:jc w:val="both"/>
      </w:pPr>
      <w:r>
        <w:rPr>
          <w:rStyle w:val="FootnoteReference"/>
        </w:rPr>
        <w:footnoteRef/>
      </w:r>
      <w:r>
        <w:t xml:space="preserve"> </w:t>
      </w:r>
      <w:r>
        <w:tab/>
        <w:t>The First Amendment states: ‘Congress shall make no law respecting an establishment of religion, or prohibiting the free exercise thereof; or abridging the freedom of speech, or of the press; or the right of the people peaceably to assemble, and to petition the Government for a redress of grievances.’</w:t>
      </w:r>
    </w:p>
  </w:footnote>
  <w:footnote w:id="67">
    <w:p w14:paraId="2493DFE7" w14:textId="77777777" w:rsidR="00850874" w:rsidRPr="00097D00" w:rsidRDefault="00850874" w:rsidP="00F0137F">
      <w:pPr>
        <w:pStyle w:val="FootnoteText"/>
        <w:tabs>
          <w:tab w:val="left" w:pos="284"/>
        </w:tabs>
        <w:ind w:left="284" w:hanging="284"/>
        <w:jc w:val="both"/>
      </w:pPr>
      <w:r w:rsidRPr="00097D00">
        <w:rPr>
          <w:rStyle w:val="FootnoteReference"/>
        </w:rPr>
        <w:footnoteRef/>
      </w:r>
      <w:r>
        <w:t xml:space="preserve"> </w:t>
      </w:r>
      <w:r>
        <w:tab/>
        <w:t>376 US 254 (1964)</w:t>
      </w:r>
      <w:r w:rsidRPr="00097D00">
        <w:t>.</w:t>
      </w:r>
    </w:p>
  </w:footnote>
  <w:footnote w:id="68">
    <w:p w14:paraId="58016BD8" w14:textId="427C4BE0" w:rsidR="00850874" w:rsidRPr="00097D00" w:rsidRDefault="00850874" w:rsidP="00F0137F">
      <w:pPr>
        <w:pStyle w:val="FootnoteText"/>
        <w:tabs>
          <w:tab w:val="left" w:pos="284"/>
        </w:tabs>
        <w:ind w:left="284" w:hanging="284"/>
        <w:jc w:val="both"/>
      </w:pPr>
      <w:r w:rsidRPr="00097D00">
        <w:rPr>
          <w:rStyle w:val="FootnoteReference"/>
        </w:rPr>
        <w:footnoteRef/>
      </w:r>
      <w:r>
        <w:t xml:space="preserve"> </w:t>
      </w:r>
      <w:r>
        <w:tab/>
        <w:t>ibid, 279–280</w:t>
      </w:r>
      <w:r w:rsidRPr="00097D00">
        <w:t>.</w:t>
      </w:r>
      <w:r>
        <w:t xml:space="preserve"> </w:t>
      </w:r>
    </w:p>
  </w:footnote>
  <w:footnote w:id="69">
    <w:p w14:paraId="49932FE2" w14:textId="77777777" w:rsidR="00850874" w:rsidRPr="00097D00" w:rsidRDefault="00850874" w:rsidP="00F0137F">
      <w:pPr>
        <w:pStyle w:val="FootnoteText"/>
        <w:tabs>
          <w:tab w:val="left" w:pos="284"/>
        </w:tabs>
        <w:ind w:left="284" w:hanging="284"/>
        <w:jc w:val="both"/>
      </w:pPr>
      <w:r w:rsidRPr="00097D00">
        <w:rPr>
          <w:rStyle w:val="FootnoteReference"/>
        </w:rPr>
        <w:footnoteRef/>
      </w:r>
      <w:r>
        <w:t xml:space="preserve"> </w:t>
      </w:r>
      <w:r>
        <w:tab/>
        <w:t>ibid, 270</w:t>
      </w:r>
      <w:r w:rsidRPr="00097D00">
        <w:t>.</w:t>
      </w:r>
    </w:p>
  </w:footnote>
  <w:footnote w:id="70">
    <w:p w14:paraId="6BAFD909" w14:textId="77777777" w:rsidR="00850874" w:rsidRPr="00097D00" w:rsidRDefault="00850874" w:rsidP="00F0137F">
      <w:pPr>
        <w:pStyle w:val="FootnoteText"/>
        <w:tabs>
          <w:tab w:val="left" w:pos="284"/>
        </w:tabs>
        <w:ind w:left="284" w:hanging="284"/>
        <w:jc w:val="both"/>
      </w:pPr>
      <w:r w:rsidRPr="00097D00">
        <w:rPr>
          <w:rStyle w:val="FootnoteReference"/>
        </w:rPr>
        <w:footnoteRef/>
      </w:r>
      <w:r>
        <w:t xml:space="preserve"> </w:t>
      </w:r>
      <w:r>
        <w:tab/>
        <w:t xml:space="preserve">[2001] 2 AC 127 (HL). </w:t>
      </w:r>
    </w:p>
  </w:footnote>
  <w:footnote w:id="71">
    <w:p w14:paraId="1EEAA346" w14:textId="0E19D8C5" w:rsidR="00850874" w:rsidRPr="00097D00" w:rsidRDefault="00850874" w:rsidP="00F0137F">
      <w:pPr>
        <w:pStyle w:val="FootnoteText"/>
        <w:tabs>
          <w:tab w:val="left" w:pos="284"/>
        </w:tabs>
        <w:ind w:left="284" w:hanging="284"/>
        <w:jc w:val="both"/>
      </w:pPr>
      <w:r w:rsidRPr="00097D00">
        <w:rPr>
          <w:rStyle w:val="FootnoteReference"/>
        </w:rPr>
        <w:footnoteRef/>
      </w:r>
      <w:r>
        <w:t xml:space="preserve"> </w:t>
      </w:r>
      <w:r>
        <w:tab/>
        <w:t xml:space="preserve">Although the defence was described </w:t>
      </w:r>
      <w:r>
        <w:rPr>
          <w:i/>
        </w:rPr>
        <w:t>Reynolds</w:t>
      </w:r>
      <w:r>
        <w:t xml:space="preserve"> as one of ‘responsible journalism’, it was subsequently made clear that it was potentially applicable to publications by non-media company defendants in any medium: </w:t>
      </w:r>
      <w:r w:rsidRPr="002B0C86">
        <w:rPr>
          <w:i/>
        </w:rPr>
        <w:t>Charman v Orion Publishing Group Ltd</w:t>
      </w:r>
      <w:r>
        <w:t xml:space="preserve"> [2007] EWCA Civ 972, [2008] 1 All ER 750; </w:t>
      </w:r>
      <w:r w:rsidRPr="002B0C86">
        <w:rPr>
          <w:i/>
        </w:rPr>
        <w:t>Seaga v Harper</w:t>
      </w:r>
      <w:r>
        <w:t xml:space="preserve"> [2008] UKPC 9, [2009] 1 AC 1</w:t>
      </w:r>
      <w:r w:rsidRPr="00097D00">
        <w:t>.</w:t>
      </w:r>
    </w:p>
  </w:footnote>
  <w:footnote w:id="72">
    <w:p w14:paraId="21CEDB4F" w14:textId="0EBFEC19" w:rsidR="00850874" w:rsidRPr="00097D00" w:rsidRDefault="00850874" w:rsidP="00F0137F">
      <w:pPr>
        <w:pStyle w:val="FootnoteText"/>
        <w:tabs>
          <w:tab w:val="left" w:pos="284"/>
        </w:tabs>
        <w:ind w:left="284" w:hanging="284"/>
        <w:jc w:val="both"/>
      </w:pPr>
      <w:r w:rsidRPr="00097D00">
        <w:rPr>
          <w:rStyle w:val="FootnoteReference"/>
        </w:rPr>
        <w:footnoteRef/>
      </w:r>
      <w:r>
        <w:t xml:space="preserve"> </w:t>
      </w:r>
      <w:r>
        <w:tab/>
        <w:t>[2012] UKSC 11, [2012] 2 AC 273, [138]</w:t>
      </w:r>
      <w:r w:rsidRPr="00097D00">
        <w:t>.</w:t>
      </w:r>
    </w:p>
  </w:footnote>
  <w:footnote w:id="73">
    <w:p w14:paraId="47CDA34A" w14:textId="104458CB" w:rsidR="00850874" w:rsidRPr="00082632" w:rsidRDefault="00850874" w:rsidP="00F0137F">
      <w:pPr>
        <w:pStyle w:val="FootnoteText"/>
        <w:tabs>
          <w:tab w:val="left" w:pos="284"/>
        </w:tabs>
        <w:ind w:left="284" w:hanging="284"/>
        <w:jc w:val="both"/>
      </w:pPr>
      <w:r w:rsidRPr="00082632">
        <w:rPr>
          <w:rStyle w:val="FootnoteReference"/>
        </w:rPr>
        <w:footnoteRef/>
      </w:r>
      <w:r w:rsidRPr="00082632">
        <w:t xml:space="preserve"> </w:t>
      </w:r>
      <w:r w:rsidRPr="00082632">
        <w:tab/>
      </w:r>
      <w:r>
        <w:t>See further M Tushnet, ‘</w:t>
      </w:r>
      <w:r>
        <w:rPr>
          <w:i/>
        </w:rPr>
        <w:t xml:space="preserve">New York Times v. Sullivan </w:t>
      </w:r>
      <w:r>
        <w:t xml:space="preserve">Around the World’ (2014) 66 </w:t>
      </w:r>
      <w:r>
        <w:rPr>
          <w:i/>
        </w:rPr>
        <w:t xml:space="preserve">Alabama Law Review </w:t>
      </w:r>
      <w:r>
        <w:t>337, 352–353</w:t>
      </w:r>
      <w:r w:rsidRPr="00082632">
        <w:t>.</w:t>
      </w:r>
    </w:p>
  </w:footnote>
  <w:footnote w:id="74">
    <w:p w14:paraId="28E0D4E1" w14:textId="77777777" w:rsidR="00ED4636" w:rsidRPr="00082632" w:rsidRDefault="00ED4636" w:rsidP="00ED4636">
      <w:pPr>
        <w:pStyle w:val="FootnoteText"/>
        <w:tabs>
          <w:tab w:val="left" w:pos="284"/>
        </w:tabs>
        <w:ind w:left="284" w:hanging="284"/>
        <w:jc w:val="both"/>
      </w:pPr>
      <w:r w:rsidRPr="00082632">
        <w:rPr>
          <w:rStyle w:val="FootnoteReference"/>
        </w:rPr>
        <w:footnoteRef/>
      </w:r>
      <w:r w:rsidRPr="00082632">
        <w:t xml:space="preserve"> </w:t>
      </w:r>
      <w:r w:rsidRPr="00082632">
        <w:tab/>
      </w:r>
      <w:r w:rsidRPr="00044D6D">
        <w:rPr>
          <w:i/>
        </w:rPr>
        <w:t>Roberts v Gable</w:t>
      </w:r>
      <w:r>
        <w:t xml:space="preserve"> [2007] EWCA Civ 721, [2008] QB 502, [75]</w:t>
      </w:r>
      <w:r w:rsidRPr="00082632">
        <w:t>.</w:t>
      </w:r>
    </w:p>
  </w:footnote>
  <w:footnote w:id="75">
    <w:p w14:paraId="05D34EE9" w14:textId="2FA6EB2E" w:rsidR="00850874" w:rsidRPr="00055FA8" w:rsidRDefault="00850874" w:rsidP="00F0137F">
      <w:pPr>
        <w:pStyle w:val="FootnoteText"/>
        <w:tabs>
          <w:tab w:val="left" w:pos="284"/>
        </w:tabs>
        <w:ind w:left="284" w:hanging="284"/>
        <w:jc w:val="both"/>
      </w:pPr>
      <w:r w:rsidRPr="00082632">
        <w:rPr>
          <w:rStyle w:val="FootnoteReference"/>
        </w:rPr>
        <w:footnoteRef/>
      </w:r>
      <w:r w:rsidRPr="00082632">
        <w:t xml:space="preserve"> </w:t>
      </w:r>
      <w:r w:rsidRPr="00082632">
        <w:tab/>
      </w:r>
      <w:r>
        <w:t xml:space="preserve">Explanatory Notes, [29]. </w:t>
      </w:r>
    </w:p>
  </w:footnote>
  <w:footnote w:id="76">
    <w:p w14:paraId="16870163" w14:textId="0E0B9606" w:rsidR="00850874" w:rsidRPr="00055FA8" w:rsidRDefault="00850874" w:rsidP="00F0137F">
      <w:pPr>
        <w:pStyle w:val="FootnoteText"/>
        <w:ind w:left="284" w:hanging="284"/>
        <w:jc w:val="both"/>
      </w:pPr>
      <w:r w:rsidRPr="00082632">
        <w:rPr>
          <w:rStyle w:val="FootnoteReference"/>
        </w:rPr>
        <w:footnoteRef/>
      </w:r>
      <w:r w:rsidRPr="00082632">
        <w:t xml:space="preserve"> </w:t>
      </w:r>
      <w:r w:rsidRPr="00082632">
        <w:tab/>
      </w:r>
      <w:r>
        <w:t xml:space="preserve">During the Committee stage in the House of Lords, Lord McNally, then the Minister for Justice, suggested that ‘in determining whether in all the circumstances the test is met, we would expect the courts to look at many of the same sorts of considerations as they have done before’: (HL Deb 741, Col GC534, 19 December 2012). </w:t>
      </w:r>
    </w:p>
  </w:footnote>
  <w:footnote w:id="77">
    <w:p w14:paraId="06D4A41B" w14:textId="738E7DDB" w:rsidR="00850874" w:rsidRDefault="00850874" w:rsidP="00F0137F">
      <w:pPr>
        <w:pStyle w:val="FootnoteText"/>
        <w:tabs>
          <w:tab w:val="left" w:pos="284"/>
        </w:tabs>
        <w:jc w:val="both"/>
      </w:pPr>
      <w:r>
        <w:rPr>
          <w:rStyle w:val="FootnoteReference"/>
        </w:rPr>
        <w:footnoteRef/>
      </w:r>
      <w:r>
        <w:t xml:space="preserve"> </w:t>
      </w:r>
      <w:r>
        <w:tab/>
        <w:t xml:space="preserve">See, </w:t>
      </w:r>
      <w:r w:rsidR="007F4887">
        <w:t>eg</w:t>
      </w:r>
      <w:r>
        <w:t xml:space="preserve">, see M Jones (ed), </w:t>
      </w:r>
      <w:r>
        <w:rPr>
          <w:i/>
        </w:rPr>
        <w:t xml:space="preserve">Clerk and Lindsell on Torts </w:t>
      </w:r>
      <w:r>
        <w:t>(London,</w:t>
      </w:r>
      <w:r w:rsidRPr="003801C7">
        <w:t xml:space="preserve"> Sweet and Maxwell, 2</w:t>
      </w:r>
      <w:r>
        <w:t>014) 1264.</w:t>
      </w:r>
    </w:p>
  </w:footnote>
  <w:footnote w:id="78">
    <w:p w14:paraId="67650BD7" w14:textId="77777777" w:rsidR="00850874" w:rsidRPr="00DE2AEA" w:rsidRDefault="00850874" w:rsidP="00F0137F">
      <w:pPr>
        <w:pStyle w:val="FootnoteText"/>
        <w:tabs>
          <w:tab w:val="left" w:pos="284"/>
        </w:tabs>
        <w:ind w:left="284" w:hanging="284"/>
        <w:jc w:val="both"/>
      </w:pPr>
      <w:r w:rsidRPr="00082632">
        <w:rPr>
          <w:rStyle w:val="FootnoteReference"/>
        </w:rPr>
        <w:footnoteRef/>
      </w:r>
      <w:r w:rsidRPr="00082632">
        <w:t xml:space="preserve"> </w:t>
      </w:r>
      <w:r w:rsidRPr="00082632">
        <w:tab/>
      </w:r>
      <w:r>
        <w:t>(1997) 189 CLR 520 (HCA).</w:t>
      </w:r>
    </w:p>
  </w:footnote>
  <w:footnote w:id="79">
    <w:p w14:paraId="44AE5457" w14:textId="134A726B" w:rsidR="00850874" w:rsidRPr="00DE2AEA" w:rsidRDefault="00850874" w:rsidP="00F0137F">
      <w:pPr>
        <w:pStyle w:val="FootnoteText"/>
        <w:tabs>
          <w:tab w:val="left" w:pos="284"/>
        </w:tabs>
        <w:ind w:left="284" w:hanging="284"/>
        <w:jc w:val="both"/>
      </w:pPr>
      <w:r w:rsidRPr="00082632">
        <w:rPr>
          <w:rStyle w:val="FootnoteReference"/>
        </w:rPr>
        <w:footnoteRef/>
      </w:r>
      <w:r w:rsidRPr="00082632">
        <w:t xml:space="preserve"> </w:t>
      </w:r>
      <w:r w:rsidRPr="00082632">
        <w:tab/>
      </w:r>
      <w:r>
        <w:t>[1998] 3 NZLR 424 (CA) 467.</w:t>
      </w:r>
    </w:p>
  </w:footnote>
  <w:footnote w:id="80">
    <w:p w14:paraId="743A364C" w14:textId="37D0B703" w:rsidR="00850874" w:rsidRDefault="00850874" w:rsidP="00F0137F">
      <w:pPr>
        <w:pStyle w:val="FootnoteText"/>
        <w:tabs>
          <w:tab w:val="left" w:pos="284"/>
        </w:tabs>
        <w:jc w:val="both"/>
      </w:pPr>
      <w:r>
        <w:rPr>
          <w:rStyle w:val="FootnoteReference"/>
        </w:rPr>
        <w:footnoteRef/>
      </w:r>
      <w:r>
        <w:t xml:space="preserve"> </w:t>
      </w:r>
      <w:r>
        <w:tab/>
      </w:r>
      <w:r>
        <w:rPr>
          <w:i/>
        </w:rPr>
        <w:t xml:space="preserve">Lange v Atkinson </w:t>
      </w:r>
      <w:r>
        <w:t>[2000] 1 NZLR 257 (PC (NZ)).</w:t>
      </w:r>
    </w:p>
  </w:footnote>
  <w:footnote w:id="81">
    <w:p w14:paraId="6BF17FB1" w14:textId="3B073A1B" w:rsidR="00850874" w:rsidRDefault="00850874" w:rsidP="00F0137F">
      <w:pPr>
        <w:pStyle w:val="FootnoteText"/>
        <w:tabs>
          <w:tab w:val="left" w:pos="284"/>
        </w:tabs>
        <w:jc w:val="both"/>
      </w:pPr>
      <w:r>
        <w:rPr>
          <w:rStyle w:val="FootnoteReference"/>
        </w:rPr>
        <w:footnoteRef/>
      </w:r>
      <w:r>
        <w:t xml:space="preserve"> </w:t>
      </w:r>
      <w:r>
        <w:tab/>
      </w:r>
      <w:r>
        <w:rPr>
          <w:i/>
        </w:rPr>
        <w:t xml:space="preserve">Lange v Atkinson </w:t>
      </w:r>
      <w:r>
        <w:t>[2000] 3 NZLR 385 (CA).</w:t>
      </w:r>
    </w:p>
  </w:footnote>
  <w:footnote w:id="82">
    <w:p w14:paraId="6EE65622" w14:textId="57D61BD6" w:rsidR="00850874" w:rsidRPr="00DE2AEA" w:rsidRDefault="00850874" w:rsidP="00F0137F">
      <w:pPr>
        <w:pStyle w:val="FootnoteText"/>
        <w:tabs>
          <w:tab w:val="left" w:pos="284"/>
        </w:tabs>
        <w:ind w:left="284" w:hanging="284"/>
        <w:jc w:val="both"/>
      </w:pPr>
      <w:r w:rsidRPr="00082632">
        <w:rPr>
          <w:rStyle w:val="FootnoteReference"/>
        </w:rPr>
        <w:footnoteRef/>
      </w:r>
      <w:r w:rsidRPr="00082632">
        <w:t xml:space="preserve"> </w:t>
      </w:r>
      <w:r w:rsidRPr="00082632">
        <w:tab/>
      </w:r>
      <w:r>
        <w:t xml:space="preserve">A Lester, ‘The Magnetism of the Human Rights Act 1998’ (2002) 33 </w:t>
      </w:r>
      <w:r w:rsidRPr="00520EA6">
        <w:rPr>
          <w:i/>
        </w:rPr>
        <w:t>Victoria U</w:t>
      </w:r>
      <w:r>
        <w:rPr>
          <w:i/>
        </w:rPr>
        <w:t>niversity of</w:t>
      </w:r>
      <w:r w:rsidRPr="00520EA6">
        <w:rPr>
          <w:i/>
        </w:rPr>
        <w:t xml:space="preserve"> Wellington L</w:t>
      </w:r>
      <w:r>
        <w:rPr>
          <w:i/>
        </w:rPr>
        <w:t>aw</w:t>
      </w:r>
      <w:r w:rsidRPr="00520EA6">
        <w:rPr>
          <w:i/>
        </w:rPr>
        <w:t xml:space="preserve"> Rev</w:t>
      </w:r>
      <w:r>
        <w:rPr>
          <w:i/>
        </w:rPr>
        <w:t>iew</w:t>
      </w:r>
      <w:r>
        <w:t xml:space="preserve"> 53, 53–54.</w:t>
      </w:r>
    </w:p>
  </w:footnote>
  <w:footnote w:id="83">
    <w:p w14:paraId="7E9EE19B" w14:textId="730D0D34" w:rsidR="00850874" w:rsidRDefault="00850874" w:rsidP="00F0137F">
      <w:pPr>
        <w:pStyle w:val="FootnoteText"/>
        <w:tabs>
          <w:tab w:val="left" w:pos="284"/>
        </w:tabs>
        <w:jc w:val="both"/>
      </w:pPr>
      <w:r>
        <w:rPr>
          <w:rStyle w:val="FootnoteReference"/>
        </w:rPr>
        <w:footnoteRef/>
      </w:r>
      <w:r>
        <w:t xml:space="preserve"> </w:t>
      </w:r>
      <w:r>
        <w:tab/>
      </w:r>
      <w:r>
        <w:rPr>
          <w:i/>
        </w:rPr>
        <w:t xml:space="preserve">Hill v Church of Scientology of Toronto </w:t>
      </w:r>
      <w:r w:rsidRPr="00413676">
        <w:t>[1995] 2 SCR 1130 (SCC)</w:t>
      </w:r>
      <w:r>
        <w:t xml:space="preserve">, </w:t>
      </w:r>
      <w:r w:rsidRPr="00413676">
        <w:t>[139</w:t>
      </w:r>
      <w:r>
        <w:t>].</w:t>
      </w:r>
    </w:p>
  </w:footnote>
  <w:footnote w:id="84">
    <w:p w14:paraId="41C81525" w14:textId="69C25827" w:rsidR="00850874" w:rsidRPr="00DE2AEA" w:rsidRDefault="00850874" w:rsidP="00F0137F">
      <w:pPr>
        <w:pStyle w:val="FootnoteText"/>
        <w:tabs>
          <w:tab w:val="left" w:pos="284"/>
        </w:tabs>
        <w:ind w:left="284" w:hanging="284"/>
        <w:jc w:val="both"/>
      </w:pPr>
      <w:r w:rsidRPr="00082632">
        <w:rPr>
          <w:rStyle w:val="FootnoteReference"/>
        </w:rPr>
        <w:footnoteRef/>
      </w:r>
      <w:r w:rsidRPr="00082632">
        <w:t xml:space="preserve"> </w:t>
      </w:r>
      <w:r w:rsidRPr="00082632">
        <w:tab/>
      </w:r>
      <w:r>
        <w:t>[2009] SCC 61, [2009] 3 SCR 640.</w:t>
      </w:r>
    </w:p>
  </w:footnote>
  <w:footnote w:id="85">
    <w:p w14:paraId="739ACC29" w14:textId="0B84A00C" w:rsidR="00850874" w:rsidRPr="00DE2AEA" w:rsidRDefault="00850874" w:rsidP="00F0137F">
      <w:pPr>
        <w:pStyle w:val="FootnoteText"/>
        <w:tabs>
          <w:tab w:val="left" w:pos="284"/>
        </w:tabs>
        <w:ind w:left="284" w:hanging="284"/>
        <w:jc w:val="both"/>
      </w:pPr>
      <w:r w:rsidRPr="00082632">
        <w:rPr>
          <w:rStyle w:val="FootnoteReference"/>
        </w:rPr>
        <w:footnoteRef/>
      </w:r>
      <w:r w:rsidRPr="00082632">
        <w:t xml:space="preserve"> </w:t>
      </w:r>
      <w:r w:rsidRPr="00082632">
        <w:tab/>
      </w:r>
      <w:r w:rsidR="00773744">
        <w:t>ibid</w:t>
      </w:r>
      <w:r>
        <w:t>, [142].</w:t>
      </w:r>
    </w:p>
  </w:footnote>
  <w:footnote w:id="86">
    <w:p w14:paraId="0001B96C" w14:textId="3CAF758A" w:rsidR="00850874" w:rsidRDefault="00850874" w:rsidP="00F0137F">
      <w:pPr>
        <w:pStyle w:val="FootnoteText"/>
        <w:tabs>
          <w:tab w:val="left" w:pos="284"/>
        </w:tabs>
        <w:jc w:val="both"/>
      </w:pPr>
      <w:r>
        <w:rPr>
          <w:rStyle w:val="FootnoteReference"/>
        </w:rPr>
        <w:footnoteRef/>
      </w:r>
      <w:r>
        <w:t xml:space="preserve"> </w:t>
      </w:r>
      <w:r>
        <w:tab/>
      </w:r>
      <w:r w:rsidRPr="00E416B5">
        <w:rPr>
          <w:i/>
        </w:rPr>
        <w:t>Wainwright v Home Office</w:t>
      </w:r>
      <w:r>
        <w:t xml:space="preserve"> [2003] UKHL 53, [2004] 2 AC 406.</w:t>
      </w:r>
    </w:p>
  </w:footnote>
  <w:footnote w:id="87">
    <w:p w14:paraId="7ACEEEE3" w14:textId="53AB7470" w:rsidR="00850874" w:rsidRPr="00DE2AEA" w:rsidRDefault="00850874" w:rsidP="00F0137F">
      <w:pPr>
        <w:pStyle w:val="FootnoteText"/>
        <w:tabs>
          <w:tab w:val="left" w:pos="284"/>
        </w:tabs>
        <w:ind w:left="284" w:hanging="284"/>
        <w:jc w:val="both"/>
      </w:pPr>
      <w:r w:rsidRPr="00082632">
        <w:rPr>
          <w:rStyle w:val="FootnoteReference"/>
        </w:rPr>
        <w:footnoteRef/>
      </w:r>
      <w:r w:rsidRPr="00082632">
        <w:t xml:space="preserve"> </w:t>
      </w:r>
      <w:r w:rsidRPr="00082632">
        <w:tab/>
      </w:r>
      <w:r>
        <w:t xml:space="preserve">Beyond the direct protection afforded by this action, tort law has long since protected privacy </w:t>
      </w:r>
      <w:r w:rsidRPr="003559E2">
        <w:t>indirectly</w:t>
      </w:r>
      <w:r>
        <w:rPr>
          <w:i/>
        </w:rPr>
        <w:t xml:space="preserve"> </w:t>
      </w:r>
      <w:r>
        <w:t>via an array of other torts such as private nuisance, trespass to land and the action under the Protection from Harassment Act 1997 (UK).</w:t>
      </w:r>
      <w:r>
        <w:rPr>
          <w:i/>
        </w:rPr>
        <w:t xml:space="preserve"> </w:t>
      </w:r>
    </w:p>
  </w:footnote>
  <w:footnote w:id="88">
    <w:p w14:paraId="3A14DB6F" w14:textId="245A29E0" w:rsidR="00850874" w:rsidRDefault="00850874" w:rsidP="00F0137F">
      <w:pPr>
        <w:pStyle w:val="FootnoteText"/>
        <w:tabs>
          <w:tab w:val="left" w:pos="284"/>
        </w:tabs>
        <w:jc w:val="both"/>
      </w:pPr>
      <w:r>
        <w:rPr>
          <w:rStyle w:val="FootnoteReference"/>
        </w:rPr>
        <w:footnoteRef/>
      </w:r>
      <w:r>
        <w:t xml:space="preserve"> </w:t>
      </w:r>
      <w:r>
        <w:tab/>
        <w:t>[2004] UKHL 22, [2004] 2 AC 457.</w:t>
      </w:r>
    </w:p>
  </w:footnote>
  <w:footnote w:id="89">
    <w:p w14:paraId="38738467" w14:textId="50C1A6E1" w:rsidR="00850874" w:rsidRPr="00097D00" w:rsidRDefault="00850874" w:rsidP="00F0137F">
      <w:pPr>
        <w:pStyle w:val="FootnoteText"/>
        <w:tabs>
          <w:tab w:val="left" w:pos="284"/>
        </w:tabs>
        <w:ind w:left="284" w:hanging="284"/>
        <w:jc w:val="both"/>
      </w:pPr>
      <w:r w:rsidRPr="00097D00">
        <w:rPr>
          <w:rStyle w:val="FootnoteReference"/>
        </w:rPr>
        <w:footnoteRef/>
      </w:r>
      <w:r w:rsidRPr="00097D00">
        <w:t xml:space="preserve"> </w:t>
      </w:r>
      <w:r>
        <w:tab/>
      </w:r>
      <w:r w:rsidR="00B86782">
        <w:t>ibid</w:t>
      </w:r>
      <w:r>
        <w:t>, [92]–[100] (Lord Hope).</w:t>
      </w:r>
    </w:p>
  </w:footnote>
  <w:footnote w:id="90">
    <w:p w14:paraId="41813611" w14:textId="6303A204" w:rsidR="00850874" w:rsidRPr="00DE2AEA" w:rsidRDefault="00850874" w:rsidP="00F0137F">
      <w:pPr>
        <w:pStyle w:val="FootnoteText"/>
        <w:tabs>
          <w:tab w:val="left" w:pos="284"/>
        </w:tabs>
        <w:ind w:left="284" w:hanging="284"/>
        <w:jc w:val="both"/>
      </w:pPr>
      <w:r w:rsidRPr="00082632">
        <w:rPr>
          <w:rStyle w:val="FootnoteReference"/>
        </w:rPr>
        <w:footnoteRef/>
      </w:r>
      <w:r w:rsidRPr="00082632">
        <w:t xml:space="preserve"> </w:t>
      </w:r>
      <w:r w:rsidRPr="00082632">
        <w:tab/>
      </w:r>
      <w:r>
        <w:t xml:space="preserve">McBride and Bagshaw argue that ‘[t]he most important influence on the development of the new tort has been, and remains, the right to privacy contained in Article 8 of the European Convention’: NJ McBride and R Bagshaw, </w:t>
      </w:r>
      <w:r>
        <w:rPr>
          <w:i/>
        </w:rPr>
        <w:t xml:space="preserve">Tort </w:t>
      </w:r>
      <w:r w:rsidRPr="003559E2">
        <w:rPr>
          <w:i/>
        </w:rPr>
        <w:t>Law</w:t>
      </w:r>
      <w:r>
        <w:t xml:space="preserve">, </w:t>
      </w:r>
      <w:r w:rsidRPr="003559E2">
        <w:t>4th</w:t>
      </w:r>
      <w:r>
        <w:t xml:space="preserve"> edn (Harlow, Pearson, 2012) 592.</w:t>
      </w:r>
      <w:r>
        <w:rPr>
          <w:i/>
        </w:rPr>
        <w:t xml:space="preserve"> </w:t>
      </w:r>
    </w:p>
  </w:footnote>
  <w:footnote w:id="91">
    <w:p w14:paraId="40577253" w14:textId="0A3CC9FE" w:rsidR="00850874" w:rsidRPr="00624A4E" w:rsidRDefault="00850874" w:rsidP="00F0137F">
      <w:pPr>
        <w:pStyle w:val="FootnoteText"/>
        <w:tabs>
          <w:tab w:val="left" w:pos="284"/>
        </w:tabs>
        <w:ind w:left="284" w:hanging="284"/>
        <w:jc w:val="both"/>
      </w:pPr>
      <w:r w:rsidRPr="00097D00">
        <w:rPr>
          <w:rStyle w:val="FootnoteReference"/>
        </w:rPr>
        <w:footnoteRef/>
      </w:r>
      <w:r w:rsidRPr="00097D00">
        <w:t xml:space="preserve"> </w:t>
      </w:r>
      <w:r>
        <w:tab/>
      </w:r>
      <w:r w:rsidRPr="00624A4E">
        <w:t>[2001] HCA 63</w:t>
      </w:r>
      <w:r>
        <w:t>, (2001) 208 CLR 199.</w:t>
      </w:r>
    </w:p>
  </w:footnote>
  <w:footnote w:id="92">
    <w:p w14:paraId="75C9B6E9" w14:textId="40920FC9" w:rsidR="00850874" w:rsidRPr="00097D00" w:rsidRDefault="00850874" w:rsidP="00F0137F">
      <w:pPr>
        <w:pStyle w:val="FootnoteText"/>
        <w:tabs>
          <w:tab w:val="left" w:pos="284"/>
        </w:tabs>
        <w:ind w:left="284" w:hanging="284"/>
        <w:jc w:val="both"/>
      </w:pPr>
      <w:r w:rsidRPr="00097D00">
        <w:rPr>
          <w:rStyle w:val="FootnoteReference"/>
        </w:rPr>
        <w:footnoteRef/>
      </w:r>
      <w:r w:rsidRPr="00097D00">
        <w:t xml:space="preserve"> </w:t>
      </w:r>
      <w:r>
        <w:tab/>
        <w:t xml:space="preserve">Australian Law Reform Commission, </w:t>
      </w:r>
      <w:r w:rsidRPr="00624A4E">
        <w:rPr>
          <w:i/>
        </w:rPr>
        <w:t>Serious Invasions of Privacy in the Digital Era</w:t>
      </w:r>
      <w:r w:rsidRPr="00624A4E">
        <w:t xml:space="preserve"> (</w:t>
      </w:r>
      <w:r>
        <w:t xml:space="preserve">Report </w:t>
      </w:r>
      <w:r w:rsidRPr="00624A4E">
        <w:t xml:space="preserve">123, 2014) </w:t>
      </w:r>
      <w:r>
        <w:t>[3.53].</w:t>
      </w:r>
    </w:p>
  </w:footnote>
  <w:footnote w:id="93">
    <w:p w14:paraId="567B03E7" w14:textId="53630BC4" w:rsidR="00850874" w:rsidRPr="00097D00" w:rsidRDefault="00850874" w:rsidP="00F0137F">
      <w:pPr>
        <w:pStyle w:val="FootnoteText"/>
        <w:tabs>
          <w:tab w:val="left" w:pos="284"/>
        </w:tabs>
        <w:ind w:left="284" w:hanging="284"/>
        <w:jc w:val="both"/>
      </w:pPr>
      <w:r w:rsidRPr="00097D00">
        <w:rPr>
          <w:rStyle w:val="FootnoteReference"/>
        </w:rPr>
        <w:footnoteRef/>
      </w:r>
      <w:r w:rsidRPr="00097D00">
        <w:t xml:space="preserve"> </w:t>
      </w:r>
      <w:r>
        <w:tab/>
      </w:r>
      <w:r w:rsidRPr="00097D00">
        <w:rPr>
          <w:i/>
        </w:rPr>
        <w:t>Hosking v Runting</w:t>
      </w:r>
      <w:r w:rsidRPr="00097D00">
        <w:t xml:space="preserve"> [2004] NZCA 34</w:t>
      </w:r>
      <w:r>
        <w:t xml:space="preserve">, [2003] 3 NZLR 385, </w:t>
      </w:r>
      <w:r w:rsidRPr="00097D00">
        <w:t>[79].</w:t>
      </w:r>
    </w:p>
  </w:footnote>
  <w:footnote w:id="94">
    <w:p w14:paraId="0CA88900" w14:textId="0131876D" w:rsidR="00850874" w:rsidRDefault="00850874" w:rsidP="00F0137F">
      <w:pPr>
        <w:pStyle w:val="FootnoteText"/>
        <w:tabs>
          <w:tab w:val="left" w:pos="284"/>
        </w:tabs>
        <w:jc w:val="both"/>
      </w:pPr>
      <w:r>
        <w:rPr>
          <w:rStyle w:val="FootnoteReference"/>
        </w:rPr>
        <w:footnoteRef/>
      </w:r>
      <w:r>
        <w:t xml:space="preserve"> </w:t>
      </w:r>
      <w:r>
        <w:tab/>
        <w:t>ibid, [117].</w:t>
      </w:r>
    </w:p>
  </w:footnote>
  <w:footnote w:id="95">
    <w:p w14:paraId="492D38B7" w14:textId="2B6346A0" w:rsidR="00850874" w:rsidRPr="00097D00" w:rsidRDefault="00850874" w:rsidP="00F0137F">
      <w:pPr>
        <w:pStyle w:val="FootnoteText"/>
        <w:tabs>
          <w:tab w:val="left" w:pos="284"/>
        </w:tabs>
        <w:ind w:left="284" w:hanging="284"/>
        <w:jc w:val="both"/>
      </w:pPr>
      <w:r w:rsidRPr="00097D00">
        <w:rPr>
          <w:rStyle w:val="FootnoteReference"/>
        </w:rPr>
        <w:footnoteRef/>
      </w:r>
      <w:r w:rsidRPr="00097D00">
        <w:t xml:space="preserve"> </w:t>
      </w:r>
      <w:r>
        <w:tab/>
        <w:t>ibid, [91].</w:t>
      </w:r>
    </w:p>
  </w:footnote>
  <w:footnote w:id="96">
    <w:p w14:paraId="66E59E51" w14:textId="77777777" w:rsidR="00850874" w:rsidRDefault="00850874" w:rsidP="00F0137F">
      <w:pPr>
        <w:pStyle w:val="FootnoteText"/>
        <w:tabs>
          <w:tab w:val="left" w:pos="284"/>
        </w:tabs>
        <w:jc w:val="both"/>
      </w:pPr>
      <w:r w:rsidRPr="00A520D4">
        <w:rPr>
          <w:rStyle w:val="FootnoteReference"/>
        </w:rPr>
        <w:footnoteRef/>
      </w:r>
      <w:r w:rsidRPr="00A520D4">
        <w:t xml:space="preserve"> </w:t>
      </w:r>
      <w:r w:rsidRPr="00A520D4">
        <w:tab/>
        <w:t>ibid.</w:t>
      </w:r>
    </w:p>
  </w:footnote>
  <w:footnote w:id="97">
    <w:p w14:paraId="4851871D" w14:textId="4E1684D6" w:rsidR="00850874" w:rsidRDefault="00850874" w:rsidP="00F0137F">
      <w:pPr>
        <w:pStyle w:val="FootnoteText"/>
        <w:tabs>
          <w:tab w:val="left" w:pos="284"/>
        </w:tabs>
        <w:ind w:left="284" w:hanging="284"/>
        <w:jc w:val="both"/>
      </w:pPr>
      <w:r>
        <w:rPr>
          <w:rStyle w:val="FootnoteReference"/>
        </w:rPr>
        <w:footnoteRef/>
      </w:r>
      <w:r>
        <w:t xml:space="preserve"> </w:t>
      </w:r>
      <w:r>
        <w:tab/>
      </w:r>
      <w:r>
        <w:rPr>
          <w:i/>
          <w:iCs/>
        </w:rPr>
        <w:t xml:space="preserve">C v Holland </w:t>
      </w:r>
      <w:r>
        <w:rPr>
          <w:iCs/>
        </w:rPr>
        <w:t>[2012] 3 NZHC 2155,</w:t>
      </w:r>
      <w:r w:rsidRPr="00A25914">
        <w:t xml:space="preserve"> </w:t>
      </w:r>
      <w:r>
        <w:t>[2012] 3 NZLR 672.</w:t>
      </w:r>
    </w:p>
  </w:footnote>
  <w:footnote w:id="98">
    <w:p w14:paraId="011A476F" w14:textId="1C1F8D55" w:rsidR="00850874" w:rsidRDefault="00850874" w:rsidP="00F0137F">
      <w:pPr>
        <w:pStyle w:val="FootnoteText"/>
        <w:tabs>
          <w:tab w:val="left" w:pos="284"/>
        </w:tabs>
        <w:jc w:val="both"/>
      </w:pPr>
      <w:r>
        <w:rPr>
          <w:rStyle w:val="FootnoteReference"/>
        </w:rPr>
        <w:footnoteRef/>
      </w:r>
      <w:r>
        <w:t xml:space="preserve"> </w:t>
      </w:r>
      <w:r>
        <w:tab/>
        <w:t xml:space="preserve">ibid, [94]. </w:t>
      </w:r>
    </w:p>
  </w:footnote>
  <w:footnote w:id="99">
    <w:p w14:paraId="249714A4" w14:textId="63E78661" w:rsidR="00850874" w:rsidRDefault="00850874" w:rsidP="00F0137F">
      <w:pPr>
        <w:pStyle w:val="FootnoteText"/>
        <w:tabs>
          <w:tab w:val="left" w:pos="284"/>
        </w:tabs>
        <w:jc w:val="both"/>
      </w:pPr>
      <w:r>
        <w:rPr>
          <w:rStyle w:val="FootnoteReference"/>
        </w:rPr>
        <w:footnoteRef/>
      </w:r>
      <w:r>
        <w:t xml:space="preserve"> </w:t>
      </w:r>
      <w:r>
        <w:tab/>
        <w:t xml:space="preserve">See, eg, the references to New Zealand’s international obligations at ibid, [67] n 93.  </w:t>
      </w:r>
    </w:p>
  </w:footnote>
  <w:footnote w:id="100">
    <w:p w14:paraId="3B9959A4" w14:textId="5CB241F0" w:rsidR="00850874" w:rsidRPr="00097D00" w:rsidRDefault="00850874" w:rsidP="00F0137F">
      <w:pPr>
        <w:pStyle w:val="FootnoteText"/>
        <w:tabs>
          <w:tab w:val="left" w:pos="284"/>
        </w:tabs>
        <w:ind w:left="284" w:hanging="284"/>
        <w:jc w:val="both"/>
      </w:pPr>
      <w:r w:rsidRPr="00097D00">
        <w:rPr>
          <w:rStyle w:val="FootnoteReference"/>
        </w:rPr>
        <w:footnoteRef/>
      </w:r>
      <w:r w:rsidRPr="00097D00">
        <w:t xml:space="preserve"> </w:t>
      </w:r>
      <w:r>
        <w:tab/>
        <w:t>[2012] ONCA 32; (2012) 108 OR (3d) 241, [46].</w:t>
      </w:r>
    </w:p>
  </w:footnote>
  <w:footnote w:id="101">
    <w:p w14:paraId="314F97E7" w14:textId="3BFD37E8" w:rsidR="00850874" w:rsidRPr="00097D00" w:rsidRDefault="00850874" w:rsidP="00F0137F">
      <w:pPr>
        <w:pStyle w:val="FootnoteText"/>
        <w:tabs>
          <w:tab w:val="left" w:pos="284"/>
        </w:tabs>
        <w:ind w:left="284" w:hanging="284"/>
        <w:jc w:val="both"/>
      </w:pPr>
      <w:r w:rsidRPr="00097D00">
        <w:rPr>
          <w:rStyle w:val="FootnoteReference"/>
        </w:rPr>
        <w:footnoteRef/>
      </w:r>
      <w:r w:rsidRPr="00097D00">
        <w:t xml:space="preserve"> </w:t>
      </w:r>
      <w:r>
        <w:tab/>
        <w:t>ibid</w:t>
      </w:r>
      <w:r w:rsidRPr="003F17FB">
        <w:t xml:space="preserve">. </w:t>
      </w:r>
      <w:r>
        <w:t xml:space="preserve">For further analysis, see </w:t>
      </w:r>
      <w:r w:rsidRPr="003F17FB">
        <w:t>T Bennett,</w:t>
      </w:r>
      <w:r>
        <w:t xml:space="preserve"> ‘</w:t>
      </w:r>
      <w:r w:rsidRPr="003F17FB">
        <w:t>Privacy, Corrective Justice, and Incrementalism: Legal Imagination and the Recognition of a Privacy Tort in Ontario</w:t>
      </w:r>
      <w:r>
        <w:t>’</w:t>
      </w:r>
      <w:r w:rsidRPr="003F17FB">
        <w:t xml:space="preserve"> (2013) 59 </w:t>
      </w:r>
      <w:r w:rsidRPr="00520EA6">
        <w:rPr>
          <w:i/>
        </w:rPr>
        <w:t>McGill L</w:t>
      </w:r>
      <w:r>
        <w:rPr>
          <w:i/>
        </w:rPr>
        <w:t xml:space="preserve">aw </w:t>
      </w:r>
      <w:r w:rsidRPr="00520EA6">
        <w:rPr>
          <w:i/>
        </w:rPr>
        <w:t>J</w:t>
      </w:r>
      <w:r>
        <w:rPr>
          <w:i/>
        </w:rPr>
        <w:t>ournal</w:t>
      </w:r>
      <w:r w:rsidRPr="003F17FB">
        <w:t xml:space="preserve"> 49</w:t>
      </w:r>
      <w:r w:rsidRPr="00097D00">
        <w:t>.</w:t>
      </w:r>
    </w:p>
  </w:footnote>
  <w:footnote w:id="102">
    <w:p w14:paraId="0F7A7B9F" w14:textId="73E5D10E" w:rsidR="00850874" w:rsidRDefault="00850874" w:rsidP="00F0137F">
      <w:pPr>
        <w:pStyle w:val="FootnoteText"/>
        <w:tabs>
          <w:tab w:val="left" w:pos="284"/>
        </w:tabs>
        <w:ind w:left="284" w:hanging="284"/>
        <w:jc w:val="both"/>
      </w:pPr>
      <w:r>
        <w:rPr>
          <w:rStyle w:val="FootnoteReference"/>
        </w:rPr>
        <w:footnoteRef/>
      </w:r>
      <w:r>
        <w:t xml:space="preserve"> </w:t>
      </w:r>
      <w:r>
        <w:tab/>
        <w:t xml:space="preserve">SD Warren and LD Brandeis, ‘The Right to Privacy’ (1890) 4 </w:t>
      </w:r>
      <w:r>
        <w:rPr>
          <w:i/>
        </w:rPr>
        <w:t xml:space="preserve">Harvard Law Review </w:t>
      </w:r>
      <w:r>
        <w:t xml:space="preserve">193 is often regarded as marking the beginning of the field. </w:t>
      </w:r>
    </w:p>
  </w:footnote>
  <w:footnote w:id="103">
    <w:p w14:paraId="4CF6EC94" w14:textId="293FF3A7" w:rsidR="00850874" w:rsidRDefault="00850874" w:rsidP="00F0137F">
      <w:pPr>
        <w:pStyle w:val="FootnoteText"/>
        <w:tabs>
          <w:tab w:val="left" w:pos="284"/>
        </w:tabs>
        <w:jc w:val="both"/>
      </w:pPr>
      <w:r>
        <w:rPr>
          <w:rStyle w:val="FootnoteReference"/>
        </w:rPr>
        <w:footnoteRef/>
      </w:r>
      <w:r>
        <w:t xml:space="preserve"> </w:t>
      </w:r>
      <w:r>
        <w:tab/>
        <w:t>§ 652A.</w:t>
      </w:r>
    </w:p>
  </w:footnote>
  <w:footnote w:id="104">
    <w:p w14:paraId="020B8112" w14:textId="157312E8" w:rsidR="00850874" w:rsidRPr="00097D00" w:rsidRDefault="00850874" w:rsidP="00F0137F">
      <w:pPr>
        <w:pStyle w:val="FootnoteText"/>
        <w:tabs>
          <w:tab w:val="left" w:pos="284"/>
        </w:tabs>
        <w:ind w:left="284" w:hanging="284"/>
        <w:jc w:val="both"/>
      </w:pPr>
      <w:r w:rsidRPr="00097D00">
        <w:rPr>
          <w:rStyle w:val="FootnoteReference"/>
        </w:rPr>
        <w:footnoteRef/>
      </w:r>
      <w:r w:rsidRPr="00097D00">
        <w:t xml:space="preserve"> </w:t>
      </w:r>
      <w:r>
        <w:tab/>
        <w:t>420 US 469, 489 (1975)</w:t>
      </w:r>
      <w:r w:rsidRPr="00097D00">
        <w:t>.</w:t>
      </w:r>
      <w:r>
        <w:t xml:space="preserve"> </w:t>
      </w:r>
    </w:p>
  </w:footnote>
  <w:footnote w:id="105">
    <w:p w14:paraId="41D3003F" w14:textId="2EFD1AAB" w:rsidR="00850874" w:rsidRDefault="00850874" w:rsidP="00F0137F">
      <w:pPr>
        <w:pStyle w:val="FootnoteText"/>
        <w:tabs>
          <w:tab w:val="left" w:pos="284"/>
        </w:tabs>
        <w:jc w:val="both"/>
      </w:pPr>
      <w:r>
        <w:rPr>
          <w:rStyle w:val="FootnoteReference"/>
        </w:rPr>
        <w:footnoteRef/>
      </w:r>
      <w:r>
        <w:t xml:space="preserve"> </w:t>
      </w:r>
      <w:r>
        <w:tab/>
        <w:t xml:space="preserve">See above n </w:t>
      </w:r>
      <w:r>
        <w:fldChar w:fldCharType="begin"/>
      </w:r>
      <w:r>
        <w:instrText xml:space="preserve"> NOTEREF _Ref409302547 \h  \* MERGEFORMAT </w:instrText>
      </w:r>
      <w:r>
        <w:fldChar w:fldCharType="separate"/>
      </w:r>
      <w:r w:rsidR="002D212F">
        <w:t>64</w:t>
      </w:r>
      <w:r>
        <w:fldChar w:fldCharType="end"/>
      </w:r>
      <w:r>
        <w:t>.</w:t>
      </w:r>
    </w:p>
  </w:footnote>
  <w:footnote w:id="106">
    <w:p w14:paraId="24C6555B" w14:textId="617A1466" w:rsidR="00850874" w:rsidRDefault="00850874" w:rsidP="00F0137F">
      <w:pPr>
        <w:pStyle w:val="FootnoteText"/>
        <w:tabs>
          <w:tab w:val="left" w:pos="284"/>
        </w:tabs>
        <w:ind w:left="284" w:hanging="284"/>
        <w:jc w:val="both"/>
      </w:pPr>
      <w:r>
        <w:rPr>
          <w:rStyle w:val="FootnoteReference"/>
        </w:rPr>
        <w:footnoteRef/>
      </w:r>
      <w:r>
        <w:t xml:space="preserve"> </w:t>
      </w:r>
      <w:r>
        <w:tab/>
        <w:t>420 US 469, 491 (1975)</w:t>
      </w:r>
      <w:r w:rsidRPr="00097D00">
        <w:t>.</w:t>
      </w:r>
      <w:r>
        <w:t xml:space="preserve"> </w:t>
      </w:r>
    </w:p>
  </w:footnote>
  <w:footnote w:id="107">
    <w:p w14:paraId="1EB50013" w14:textId="24F27E78" w:rsidR="00850874" w:rsidRPr="00097D00" w:rsidRDefault="00850874" w:rsidP="00F0137F">
      <w:pPr>
        <w:pStyle w:val="FootnoteText"/>
        <w:tabs>
          <w:tab w:val="left" w:pos="284"/>
        </w:tabs>
        <w:ind w:left="284" w:hanging="284"/>
        <w:jc w:val="both"/>
      </w:pPr>
      <w:r w:rsidRPr="00097D00">
        <w:rPr>
          <w:rStyle w:val="FootnoteReference"/>
        </w:rPr>
        <w:footnoteRef/>
      </w:r>
      <w:r w:rsidRPr="00097D00">
        <w:t xml:space="preserve"> </w:t>
      </w:r>
      <w:r>
        <w:tab/>
        <w:t>277 US 438, 478 (1928)</w:t>
      </w:r>
      <w:r w:rsidRPr="00097D00">
        <w:t>.</w:t>
      </w:r>
      <w:r>
        <w:t xml:space="preserve"> The Fourth Amendment states: ‘The right of the people to be secure in their persons, houses, papers, and effects, against unreasonable searches and seizures, shall not be violated, and no Warrants shall issue, but upon probable cause, supported by Oath or affirmation, and particularly describing the place to be searched, and the persons or things to be seized.’</w:t>
      </w:r>
    </w:p>
  </w:footnote>
  <w:footnote w:id="108">
    <w:p w14:paraId="6E877080" w14:textId="59A42579" w:rsidR="00850874" w:rsidRDefault="00850874" w:rsidP="00F0137F">
      <w:pPr>
        <w:pStyle w:val="FootnoteText"/>
        <w:tabs>
          <w:tab w:val="left" w:pos="284"/>
        </w:tabs>
        <w:ind w:left="284" w:hanging="284"/>
        <w:jc w:val="both"/>
      </w:pPr>
      <w:r>
        <w:rPr>
          <w:rStyle w:val="FootnoteReference"/>
        </w:rPr>
        <w:footnoteRef/>
      </w:r>
      <w:r>
        <w:t xml:space="preserve"> </w:t>
      </w:r>
      <w:r>
        <w:tab/>
        <w:t xml:space="preserve">An accessible introduction for tort lawyers is JCP Goldberg, ‘The Constitutional Status of Tort Law: Due Process and the Right to a Law for the Redress of Wrongs’ (2006) 115 </w:t>
      </w:r>
      <w:r>
        <w:rPr>
          <w:i/>
        </w:rPr>
        <w:t xml:space="preserve">Yale Law Journal </w:t>
      </w:r>
      <w:r>
        <w:t xml:space="preserve">524, especially at 621–622. </w:t>
      </w:r>
    </w:p>
  </w:footnote>
  <w:footnote w:id="109">
    <w:p w14:paraId="4C0702F7" w14:textId="75ADF73A" w:rsidR="00850874" w:rsidRDefault="00850874" w:rsidP="00F0137F">
      <w:pPr>
        <w:pStyle w:val="FootnoteText"/>
        <w:tabs>
          <w:tab w:val="left" w:pos="284"/>
        </w:tabs>
        <w:jc w:val="both"/>
      </w:pPr>
      <w:r>
        <w:rPr>
          <w:rStyle w:val="FootnoteReference"/>
        </w:rPr>
        <w:footnoteRef/>
      </w:r>
      <w:r>
        <w:t xml:space="preserve"> </w:t>
      </w:r>
      <w:r>
        <w:tab/>
      </w:r>
      <w:r w:rsidR="007F4887">
        <w:t>Eg</w:t>
      </w:r>
      <w:r>
        <w:t xml:space="preserve">, Wis Stat </w:t>
      </w:r>
      <w:r w:rsidRPr="00B05D63">
        <w:t>§§</w:t>
      </w:r>
      <w:r>
        <w:t xml:space="preserve"> 655.017, 893.55(4)(d) (2001–2002). </w:t>
      </w:r>
    </w:p>
  </w:footnote>
  <w:footnote w:id="110">
    <w:p w14:paraId="34DD63B3" w14:textId="44289988" w:rsidR="00850874" w:rsidRPr="00B05D63" w:rsidRDefault="00850874" w:rsidP="00F0137F">
      <w:pPr>
        <w:pStyle w:val="FootnoteText"/>
        <w:ind w:left="284" w:hanging="284"/>
        <w:jc w:val="both"/>
      </w:pPr>
      <w:r w:rsidRPr="00B05D63">
        <w:rPr>
          <w:rStyle w:val="FootnoteReference"/>
        </w:rPr>
        <w:footnoteRef/>
      </w:r>
      <w:r w:rsidRPr="00B05D63">
        <w:t xml:space="preserve"> </w:t>
      </w:r>
      <w:r>
        <w:tab/>
      </w:r>
      <w:r w:rsidR="007F4887">
        <w:t>Eg</w:t>
      </w:r>
      <w:r w:rsidRPr="00B05D63">
        <w:t xml:space="preserve">, </w:t>
      </w:r>
      <w:r>
        <w:t xml:space="preserve">Va Code </w:t>
      </w:r>
      <w:r w:rsidRPr="00B05D63">
        <w:t>A</w:t>
      </w:r>
      <w:r>
        <w:t>nn</w:t>
      </w:r>
      <w:r w:rsidRPr="00B05D63">
        <w:t xml:space="preserve"> § 8.01-581.15 (2000). </w:t>
      </w:r>
    </w:p>
  </w:footnote>
  <w:footnote w:id="111">
    <w:p w14:paraId="7D0A909E" w14:textId="062D902E" w:rsidR="00850874" w:rsidRDefault="00850874" w:rsidP="00F0137F">
      <w:pPr>
        <w:pStyle w:val="FootnoteText"/>
        <w:tabs>
          <w:tab w:val="left" w:pos="284"/>
        </w:tabs>
        <w:jc w:val="both"/>
      </w:pPr>
      <w:r>
        <w:rPr>
          <w:rStyle w:val="FootnoteReference"/>
        </w:rPr>
        <w:footnoteRef/>
      </w:r>
      <w:r>
        <w:t xml:space="preserve"> </w:t>
      </w:r>
      <w:r>
        <w:tab/>
      </w:r>
      <w:r w:rsidR="007F4887">
        <w:t>Eg</w:t>
      </w:r>
      <w:r>
        <w:t xml:space="preserve">, Fla Stat </w:t>
      </w:r>
      <w:r w:rsidRPr="00B05D63">
        <w:t>§</w:t>
      </w:r>
      <w:r>
        <w:t xml:space="preserve"> 766.118(2); Ind Code </w:t>
      </w:r>
      <w:r w:rsidRPr="00B05D63">
        <w:t>§</w:t>
      </w:r>
      <w:r>
        <w:t xml:space="preserve"> 34-13-3-4. </w:t>
      </w:r>
    </w:p>
  </w:footnote>
  <w:footnote w:id="112">
    <w:p w14:paraId="06EE1556" w14:textId="47D061AD" w:rsidR="00850874" w:rsidRDefault="00850874" w:rsidP="00F0137F">
      <w:pPr>
        <w:pStyle w:val="FootnoteText"/>
        <w:tabs>
          <w:tab w:val="left" w:pos="284"/>
        </w:tabs>
        <w:jc w:val="both"/>
      </w:pPr>
      <w:r>
        <w:rPr>
          <w:rStyle w:val="FootnoteReference"/>
        </w:rPr>
        <w:footnoteRef/>
      </w:r>
      <w:r>
        <w:t xml:space="preserve"> </w:t>
      </w:r>
      <w:r>
        <w:tab/>
      </w:r>
      <w:r>
        <w:rPr>
          <w:rStyle w:val="informationalsmall"/>
        </w:rPr>
        <w:t>284 Wis 2d 573, 701 NW 2d 440 (2005).</w:t>
      </w:r>
    </w:p>
  </w:footnote>
  <w:footnote w:id="113">
    <w:p w14:paraId="7D18C875" w14:textId="71935B27" w:rsidR="00F0137F" w:rsidRDefault="00F0137F" w:rsidP="00F0137F">
      <w:pPr>
        <w:pStyle w:val="FootnoteText"/>
        <w:tabs>
          <w:tab w:val="left" w:pos="284"/>
        </w:tabs>
        <w:jc w:val="both"/>
      </w:pPr>
      <w:r>
        <w:rPr>
          <w:rStyle w:val="FootnoteReference"/>
        </w:rPr>
        <w:footnoteRef/>
      </w:r>
      <w:r>
        <w:t xml:space="preserve"> </w:t>
      </w:r>
      <w:r>
        <w:tab/>
        <w:t>134 So 3d 894 (Fla, 2014).</w:t>
      </w:r>
    </w:p>
  </w:footnote>
  <w:footnote w:id="114">
    <w:p w14:paraId="599CD4E2" w14:textId="742AF97D" w:rsidR="00850874" w:rsidRDefault="00850874" w:rsidP="00F0137F">
      <w:pPr>
        <w:pStyle w:val="FootnoteText"/>
        <w:tabs>
          <w:tab w:val="left" w:pos="284"/>
        </w:tabs>
        <w:ind w:left="284" w:hanging="284"/>
        <w:jc w:val="both"/>
      </w:pPr>
      <w:r w:rsidRPr="00105DD7">
        <w:rPr>
          <w:rStyle w:val="FootnoteReference"/>
        </w:rPr>
        <w:footnoteRef/>
      </w:r>
      <w:r w:rsidRPr="00105DD7">
        <w:t xml:space="preserve"> </w:t>
      </w:r>
      <w:r>
        <w:tab/>
      </w:r>
      <w:r w:rsidR="007F4887">
        <w:t>E</w:t>
      </w:r>
      <w:r>
        <w:t>g, Civil Liability Act 2002 (NSW) s 12 (capping damages for a loss of earnings), s 16 (capping damages for non-economic loss)</w:t>
      </w:r>
      <w:r w:rsidRPr="00105DD7">
        <w:t>.</w:t>
      </w:r>
    </w:p>
  </w:footnote>
  <w:footnote w:id="115">
    <w:p w14:paraId="709FD21E" w14:textId="14EBC7D0" w:rsidR="00850874" w:rsidRPr="00D5396C" w:rsidRDefault="00850874" w:rsidP="00F0137F">
      <w:pPr>
        <w:pStyle w:val="FootnoteText"/>
        <w:tabs>
          <w:tab w:val="left" w:pos="284"/>
        </w:tabs>
        <w:ind w:left="284" w:hanging="284"/>
        <w:jc w:val="both"/>
      </w:pPr>
      <w:r w:rsidRPr="00105DD7">
        <w:rPr>
          <w:rStyle w:val="FootnoteReference"/>
        </w:rPr>
        <w:footnoteRef/>
      </w:r>
      <w:r w:rsidRPr="00105DD7">
        <w:t xml:space="preserve"> </w:t>
      </w:r>
      <w:r>
        <w:tab/>
        <w:t xml:space="preserve">In </w:t>
      </w:r>
      <w:r w:rsidRPr="00876524">
        <w:rPr>
          <w:i/>
        </w:rPr>
        <w:t>Wall v Mutuelle de Poitiers Assurances</w:t>
      </w:r>
      <w:r>
        <w:t xml:space="preserve"> the </w:t>
      </w:r>
      <w:r w:rsidRPr="00876524">
        <w:rPr>
          <w:i/>
        </w:rPr>
        <w:t>Guidelines</w:t>
      </w:r>
      <w:r>
        <w:t xml:space="preserve">, the quasi-statutory effect of these </w:t>
      </w:r>
      <w:r>
        <w:rPr>
          <w:i/>
        </w:rPr>
        <w:t xml:space="preserve">Guidelines </w:t>
      </w:r>
      <w:r>
        <w:t>was described by Longmore LJ in these terms: ‘</w:t>
      </w:r>
      <w:r w:rsidR="007F4887">
        <w:t>j</w:t>
      </w:r>
      <w:r>
        <w:t xml:space="preserve">udges will tend to follow them. No doubt one can call this “soft law” rather than “hard law” but it is law nevertheless’: [2014] EWCA Civ 138, [2014] 1 WLR 4263. </w:t>
      </w:r>
    </w:p>
  </w:footnote>
  <w:footnote w:id="116">
    <w:p w14:paraId="3E4CCEF2" w14:textId="5831A879" w:rsidR="00850874" w:rsidRDefault="00850874" w:rsidP="00F0137F">
      <w:pPr>
        <w:pStyle w:val="FootnoteText"/>
        <w:tabs>
          <w:tab w:val="left" w:pos="284"/>
        </w:tabs>
        <w:ind w:left="284" w:hanging="284"/>
        <w:jc w:val="both"/>
      </w:pPr>
      <w:r w:rsidRPr="00105DD7">
        <w:rPr>
          <w:rStyle w:val="FootnoteReference"/>
        </w:rPr>
        <w:footnoteRef/>
      </w:r>
      <w:r w:rsidRPr="00105DD7">
        <w:t xml:space="preserve"> </w:t>
      </w:r>
      <w:r>
        <w:tab/>
        <w:t>I</w:t>
      </w:r>
      <w:r w:rsidRPr="00D5396C">
        <w:t>n a trilogy of</w:t>
      </w:r>
      <w:r w:rsidRPr="00566251">
        <w:t xml:space="preserve"> cases </w:t>
      </w:r>
      <w:r w:rsidR="00F82F89">
        <w:t xml:space="preserve">decided </w:t>
      </w:r>
      <w:r w:rsidRPr="00566251">
        <w:t xml:space="preserve">in 1978, the Supreme Court of Canada imposed </w:t>
      </w:r>
      <w:r>
        <w:t>caps</w:t>
      </w:r>
      <w:r w:rsidRPr="00566251">
        <w:t xml:space="preserve"> on compensatory d</w:t>
      </w:r>
      <w:r>
        <w:t>a</w:t>
      </w:r>
      <w:r w:rsidRPr="00566251">
        <w:t xml:space="preserve">mages for non-pecuniary loss: </w:t>
      </w:r>
      <w:r w:rsidRPr="00D5396C">
        <w:rPr>
          <w:rFonts w:eastAsia="Times New Roman"/>
          <w:i/>
          <w:iCs/>
          <w:lang w:eastAsia="en-GB"/>
        </w:rPr>
        <w:t>Andrews v Grand &amp; Toy Alberta Ltd</w:t>
      </w:r>
      <w:r w:rsidRPr="00D5396C">
        <w:rPr>
          <w:rFonts w:eastAsia="Times New Roman"/>
          <w:lang w:eastAsia="en-GB"/>
        </w:rPr>
        <w:t xml:space="preserve"> [1978] 2 SCR 229</w:t>
      </w:r>
      <w:r>
        <w:rPr>
          <w:rFonts w:eastAsia="Times New Roman"/>
          <w:lang w:eastAsia="en-GB"/>
        </w:rPr>
        <w:t xml:space="preserve"> (SCC)</w:t>
      </w:r>
      <w:r w:rsidRPr="00D5396C">
        <w:rPr>
          <w:rFonts w:eastAsia="Times New Roman"/>
          <w:lang w:eastAsia="en-GB"/>
        </w:rPr>
        <w:t xml:space="preserve">; </w:t>
      </w:r>
      <w:r w:rsidRPr="00D5396C">
        <w:rPr>
          <w:rFonts w:eastAsia="Times New Roman"/>
          <w:i/>
          <w:iCs/>
          <w:lang w:eastAsia="en-GB"/>
        </w:rPr>
        <w:t>Arnold v Teno</w:t>
      </w:r>
      <w:r w:rsidRPr="00D5396C">
        <w:rPr>
          <w:rFonts w:eastAsia="Times New Roman"/>
          <w:lang w:eastAsia="en-GB"/>
        </w:rPr>
        <w:t xml:space="preserve"> [1978] 2 SCR 287</w:t>
      </w:r>
      <w:r>
        <w:rPr>
          <w:rFonts w:eastAsia="Times New Roman"/>
          <w:lang w:eastAsia="en-GB"/>
        </w:rPr>
        <w:t xml:space="preserve"> (SCC)</w:t>
      </w:r>
      <w:r w:rsidRPr="00D5396C">
        <w:rPr>
          <w:rFonts w:eastAsia="Times New Roman"/>
          <w:lang w:eastAsia="en-GB"/>
        </w:rPr>
        <w:t xml:space="preserve">; </w:t>
      </w:r>
      <w:r w:rsidRPr="00D5396C">
        <w:rPr>
          <w:rFonts w:eastAsia="Times New Roman"/>
          <w:i/>
          <w:iCs/>
          <w:lang w:eastAsia="en-GB"/>
        </w:rPr>
        <w:t>Thornton v School Dist No 57 (Prince George)</w:t>
      </w:r>
      <w:r w:rsidRPr="00D5396C">
        <w:rPr>
          <w:rFonts w:eastAsia="Times New Roman"/>
          <w:lang w:eastAsia="en-GB"/>
        </w:rPr>
        <w:t xml:space="preserve"> [1978] 2 SCR 267</w:t>
      </w:r>
      <w:r>
        <w:rPr>
          <w:rFonts w:eastAsia="Times New Roman"/>
          <w:lang w:eastAsia="en-GB"/>
        </w:rPr>
        <w:t xml:space="preserve"> (SCC).</w:t>
      </w:r>
    </w:p>
  </w:footnote>
  <w:footnote w:id="117">
    <w:p w14:paraId="23ABF21B" w14:textId="76A5CC9B" w:rsidR="00850874" w:rsidRPr="007B7715" w:rsidRDefault="00850874" w:rsidP="007B7715">
      <w:pPr>
        <w:pStyle w:val="FootnoteText"/>
        <w:ind w:left="270" w:hanging="270"/>
        <w:jc w:val="both"/>
      </w:pPr>
      <w:r>
        <w:rPr>
          <w:rStyle w:val="FootnoteReference"/>
        </w:rPr>
        <w:footnoteRef/>
      </w:r>
      <w:r>
        <w:t xml:space="preserve"> </w:t>
      </w:r>
      <w:r w:rsidR="007B7715">
        <w:rPr>
          <w:i/>
        </w:rPr>
        <w:t xml:space="preserve">Compensation for Personal Injury in New Zealand: Report of the Royal Commission of Inquiry </w:t>
      </w:r>
      <w:r w:rsidR="007B7715">
        <w:t>(Wellington, Government Printer</w:t>
      </w:r>
      <w:r w:rsidR="00CD5389">
        <w:t>,</w:t>
      </w:r>
      <w:r w:rsidR="007B7715">
        <w:t xml:space="preserve"> 1967) </w:t>
      </w:r>
      <w:r>
        <w:rPr>
          <w:lang w:val="en-US"/>
        </w:rPr>
        <w:t>97.</w:t>
      </w:r>
    </w:p>
  </w:footnote>
  <w:footnote w:id="118">
    <w:p w14:paraId="1673C7A2" w14:textId="00BE1761" w:rsidR="00850874" w:rsidRPr="00211778" w:rsidRDefault="00850874" w:rsidP="00F0137F">
      <w:pPr>
        <w:pStyle w:val="FootnoteText"/>
        <w:tabs>
          <w:tab w:val="left" w:pos="284"/>
        </w:tabs>
        <w:ind w:left="284" w:hanging="284"/>
        <w:jc w:val="both"/>
      </w:pPr>
      <w:r w:rsidRPr="00097D00">
        <w:rPr>
          <w:rStyle w:val="FootnoteReference"/>
        </w:rPr>
        <w:footnoteRef/>
      </w:r>
      <w:r w:rsidRPr="00097D00">
        <w:t xml:space="preserve"> </w:t>
      </w:r>
      <w:r>
        <w:tab/>
        <w:t>For an account of the crisis</w:t>
      </w:r>
      <w:r w:rsidR="00C34BEA">
        <w:t xml:space="preserve">, </w:t>
      </w:r>
      <w:r>
        <w:t xml:space="preserve">see P Cane, ‘Reforming Tort Law in Australia: A Personal Perspective’ (2003) 27 </w:t>
      </w:r>
      <w:r>
        <w:rPr>
          <w:i/>
        </w:rPr>
        <w:t xml:space="preserve">Melbourne University Law Review </w:t>
      </w:r>
      <w:r>
        <w:t>649, 656–660</w:t>
      </w:r>
      <w:r w:rsidR="00C34BEA">
        <w:t xml:space="preserve">; </w:t>
      </w:r>
      <w:r>
        <w:t xml:space="preserve">J Goudkamp, ‘The Yong Report: An Australian Perspective on the Latest Response to Britain’s “Compensation Crisis”’ (2012) 28 </w:t>
      </w:r>
      <w:r>
        <w:rPr>
          <w:i/>
        </w:rPr>
        <w:t xml:space="preserve">Journal of Professional Negligence </w:t>
      </w:r>
      <w:r>
        <w:t>4, 6–7.</w:t>
      </w:r>
    </w:p>
  </w:footnote>
  <w:footnote w:id="119">
    <w:p w14:paraId="72BE52D0" w14:textId="6039E8DD" w:rsidR="00850874" w:rsidRPr="00097D00" w:rsidRDefault="00850874" w:rsidP="00F0137F">
      <w:pPr>
        <w:pStyle w:val="FootnoteText"/>
        <w:tabs>
          <w:tab w:val="left" w:pos="284"/>
        </w:tabs>
        <w:ind w:left="284" w:hanging="284"/>
        <w:jc w:val="both"/>
      </w:pPr>
      <w:r w:rsidRPr="00097D00">
        <w:rPr>
          <w:rStyle w:val="FootnoteReference"/>
        </w:rPr>
        <w:footnoteRef/>
      </w:r>
      <w:r w:rsidRPr="00097D00">
        <w:t xml:space="preserve"> </w:t>
      </w:r>
      <w:r>
        <w:tab/>
        <w:t>T</w:t>
      </w:r>
      <w:r w:rsidRPr="006D5D61">
        <w:rPr>
          <w:lang w:val="en-US"/>
        </w:rPr>
        <w:t xml:space="preserve">he principal </w:t>
      </w:r>
      <w:r w:rsidR="00FD36F6">
        <w:rPr>
          <w:lang w:val="en-US"/>
        </w:rPr>
        <w:t xml:space="preserve">statutes </w:t>
      </w:r>
      <w:r w:rsidRPr="006D5D61">
        <w:rPr>
          <w:lang w:val="en-US"/>
        </w:rPr>
        <w:t>are as follows: Civil Liability Act 2002 (NSW); Civil Liability Act 2003 (Qld); Personal Injuries Proceedings Act 2002 (Qld); Civil Liability Act 1936 (SA); Recreational Services (Limitation of Liability) Act 2002 (SA); Volunteers Protection Act 2001 (SA); Civil Liability Act 2002 (Tas); Wrongs Act 1958 (Vic) (as amended by the Wrongs and Other Acts (Public Liability Insurance Reform) Act 2002 (Vic), the Wrongs and Other Acts (Law of Negligence) Act 2003 (Vic) and the Wrongs and Limitation of Actions Acts (Insurance Reform) Act 2003 (Vic)); Civil Liability Act 2002 (WA); Volunteers and Food and Other Donors (Protection from Liability) Act 2002 (WA); Civil Law (Wrongs) Act 2002 (ACT); Personal Injuries (Liability and Damages) Act 2003 (NT); Personal Injuries (Civil Claims) Act 2003 (NT</w:t>
      </w:r>
      <w:r>
        <w:rPr>
          <w:lang w:val="en-US"/>
        </w:rPr>
        <w:t>)</w:t>
      </w:r>
      <w:r>
        <w:t>.</w:t>
      </w:r>
    </w:p>
  </w:footnote>
  <w:footnote w:id="120">
    <w:p w14:paraId="2048825F" w14:textId="79A1AEF3" w:rsidR="007E1DCC" w:rsidRDefault="007E1DCC" w:rsidP="007E1DCC">
      <w:pPr>
        <w:pStyle w:val="FootnoteText"/>
        <w:tabs>
          <w:tab w:val="left" w:pos="284"/>
        </w:tabs>
        <w:jc w:val="both"/>
      </w:pPr>
      <w:r>
        <w:rPr>
          <w:rStyle w:val="FootnoteReference"/>
        </w:rPr>
        <w:footnoteRef/>
      </w:r>
      <w:r>
        <w:t xml:space="preserve"> </w:t>
      </w:r>
      <w:r>
        <w:tab/>
      </w:r>
      <w:r w:rsidR="00F82F89">
        <w:t>Hansard, House of Lords</w:t>
      </w:r>
      <w:r>
        <w:t>, 6 July 1976, vol 372, cols 1137–1138.</w:t>
      </w:r>
    </w:p>
  </w:footnote>
  <w:footnote w:id="121">
    <w:p w14:paraId="4D1E92E4" w14:textId="60B66D04" w:rsidR="007409D4" w:rsidRPr="00346DAE" w:rsidRDefault="00850874" w:rsidP="007409D4">
      <w:pPr>
        <w:pStyle w:val="FootnoteText"/>
        <w:tabs>
          <w:tab w:val="left" w:pos="567"/>
        </w:tabs>
        <w:ind w:left="284" w:hanging="284"/>
        <w:jc w:val="both"/>
        <w:rPr>
          <w:lang w:val="en-US"/>
        </w:rPr>
      </w:pPr>
      <w:r>
        <w:rPr>
          <w:rStyle w:val="FootnoteReference"/>
        </w:rPr>
        <w:footnoteRef/>
      </w:r>
      <w:r>
        <w:t xml:space="preserve"> </w:t>
      </w:r>
      <w:r>
        <w:tab/>
      </w:r>
      <w:r w:rsidRPr="00346DAE">
        <w:rPr>
          <w:lang w:val="en-US"/>
        </w:rPr>
        <w:t>In the United Sta</w:t>
      </w:r>
      <w:r>
        <w:rPr>
          <w:lang w:val="en-US"/>
        </w:rPr>
        <w:t>t</w:t>
      </w:r>
      <w:r w:rsidRPr="00346DAE">
        <w:rPr>
          <w:lang w:val="en-US"/>
        </w:rPr>
        <w:t>es</w:t>
      </w:r>
      <w:r>
        <w:rPr>
          <w:lang w:val="en-US"/>
        </w:rPr>
        <w:t xml:space="preserve">, the Thalidomide tragedy </w:t>
      </w:r>
      <w:r w:rsidRPr="00346DAE">
        <w:rPr>
          <w:lang w:val="en-US"/>
        </w:rPr>
        <w:t>prompted an amendment to the Federal Food, Drug, and Cosmetic Act</w:t>
      </w:r>
      <w:r>
        <w:rPr>
          <w:lang w:val="en-US"/>
        </w:rPr>
        <w:t xml:space="preserve">, </w:t>
      </w:r>
      <w:r w:rsidRPr="00346DAE">
        <w:rPr>
          <w:lang w:val="en-US"/>
        </w:rPr>
        <w:t xml:space="preserve">whereby </w:t>
      </w:r>
      <w:r>
        <w:rPr>
          <w:lang w:val="en-US"/>
        </w:rPr>
        <w:t xml:space="preserve">regulatory requirements on manufacturers were stiffened. Similar reform occurred in Canada. </w:t>
      </w:r>
      <w:r w:rsidRPr="00346DAE">
        <w:rPr>
          <w:lang w:val="en-US"/>
        </w:rPr>
        <w:t>For details, see HW Choi and JH Lee, ‘Pharmaceutical Product Liability’ in LD Edwards</w:t>
      </w:r>
      <w:r w:rsidR="007409D4">
        <w:rPr>
          <w:lang w:val="en-US"/>
        </w:rPr>
        <w:t>, AW Fox and PD Stonier</w:t>
      </w:r>
      <w:r w:rsidRPr="00346DAE">
        <w:rPr>
          <w:lang w:val="en-US"/>
        </w:rPr>
        <w:t xml:space="preserve"> (eds)</w:t>
      </w:r>
      <w:r w:rsidR="002D212F">
        <w:rPr>
          <w:lang w:val="en-US"/>
        </w:rPr>
        <w:t>,</w:t>
      </w:r>
      <w:r w:rsidRPr="00346DAE">
        <w:rPr>
          <w:lang w:val="en-US"/>
        </w:rPr>
        <w:t xml:space="preserve"> </w:t>
      </w:r>
      <w:r w:rsidRPr="00346DAE">
        <w:rPr>
          <w:i/>
          <w:lang w:val="en-US"/>
        </w:rPr>
        <w:t>Principles and Practice of Pharmaceutical Medicine</w:t>
      </w:r>
      <w:r>
        <w:rPr>
          <w:lang w:val="en-US"/>
        </w:rPr>
        <w:t>,</w:t>
      </w:r>
      <w:r w:rsidRPr="00346DAE">
        <w:rPr>
          <w:lang w:val="en-US"/>
        </w:rPr>
        <w:t xml:space="preserve"> 3</w:t>
      </w:r>
      <w:r>
        <w:rPr>
          <w:lang w:val="en-US"/>
        </w:rPr>
        <w:t>rd</w:t>
      </w:r>
      <w:r w:rsidRPr="00346DAE">
        <w:rPr>
          <w:lang w:val="en-US"/>
        </w:rPr>
        <w:t xml:space="preserve"> ed</w:t>
      </w:r>
      <w:r>
        <w:rPr>
          <w:lang w:val="en-US"/>
        </w:rPr>
        <w:t>n</w:t>
      </w:r>
      <w:r w:rsidRPr="00346DAE">
        <w:rPr>
          <w:lang w:val="en-US"/>
        </w:rPr>
        <w:t xml:space="preserve"> (Wiley-Blackwell, </w:t>
      </w:r>
      <w:r w:rsidR="007409D4">
        <w:rPr>
          <w:lang w:val="en-US"/>
        </w:rPr>
        <w:t xml:space="preserve">Oxford, </w:t>
      </w:r>
      <w:r w:rsidRPr="00346DAE">
        <w:rPr>
          <w:lang w:val="en-US"/>
        </w:rPr>
        <w:t>2010).</w:t>
      </w:r>
      <w:r>
        <w:rPr>
          <w:lang w:val="en-US"/>
        </w:rPr>
        <w:t xml:space="preserve"> In Australia and New Zealand, matters were left to the common law.</w:t>
      </w:r>
      <w:r w:rsidR="007409D4">
        <w:rPr>
          <w:lang w:val="en-US"/>
        </w:rPr>
        <w:t xml:space="preserve"> In Australian and New Zealand, the matter was left to the common law.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A50B6"/>
    <w:multiLevelType w:val="hybridMultilevel"/>
    <w:tmpl w:val="984E802E"/>
    <w:lvl w:ilvl="0" w:tplc="1D4A08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2353545"/>
    <w:multiLevelType w:val="hybridMultilevel"/>
    <w:tmpl w:val="E2CE9356"/>
    <w:lvl w:ilvl="0" w:tplc="C700C4D8">
      <w:start w:val="1"/>
      <w:numFmt w:val="decimal"/>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3CDB4B26"/>
    <w:multiLevelType w:val="hybridMultilevel"/>
    <w:tmpl w:val="634CEF4A"/>
    <w:lvl w:ilvl="0" w:tplc="B61CC022">
      <w:start w:val="2"/>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8186C70"/>
    <w:multiLevelType w:val="multilevel"/>
    <w:tmpl w:val="862A6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67946B7"/>
    <w:multiLevelType w:val="hybridMultilevel"/>
    <w:tmpl w:val="726E5E2E"/>
    <w:lvl w:ilvl="0" w:tplc="99BAEE8E">
      <w:start w:val="1"/>
      <w:numFmt w:val="decimal"/>
      <w:lvlText w:val="(%1)"/>
      <w:lvlJc w:val="left"/>
      <w:pPr>
        <w:ind w:left="645" w:hanging="360"/>
      </w:pPr>
      <w:rPr>
        <w:rFonts w:ascii="Times New Roman" w:eastAsia="Times New Roman" w:hAnsi="Times New Roman" w:cs="Times New Roman"/>
      </w:rPr>
    </w:lvl>
    <w:lvl w:ilvl="1" w:tplc="08090019" w:tentative="1">
      <w:start w:val="1"/>
      <w:numFmt w:val="lowerLetter"/>
      <w:lvlText w:val="%2."/>
      <w:lvlJc w:val="left"/>
      <w:pPr>
        <w:ind w:left="1365" w:hanging="360"/>
      </w:pPr>
      <w:rPr>
        <w:rFonts w:cs="Times New Roman"/>
      </w:rPr>
    </w:lvl>
    <w:lvl w:ilvl="2" w:tplc="0809001B" w:tentative="1">
      <w:start w:val="1"/>
      <w:numFmt w:val="lowerRoman"/>
      <w:lvlText w:val="%3."/>
      <w:lvlJc w:val="right"/>
      <w:pPr>
        <w:ind w:left="2085" w:hanging="180"/>
      </w:pPr>
      <w:rPr>
        <w:rFonts w:cs="Times New Roman"/>
      </w:rPr>
    </w:lvl>
    <w:lvl w:ilvl="3" w:tplc="0809000F" w:tentative="1">
      <w:start w:val="1"/>
      <w:numFmt w:val="decimal"/>
      <w:lvlText w:val="%4."/>
      <w:lvlJc w:val="left"/>
      <w:pPr>
        <w:ind w:left="2805" w:hanging="360"/>
      </w:pPr>
      <w:rPr>
        <w:rFonts w:cs="Times New Roman"/>
      </w:rPr>
    </w:lvl>
    <w:lvl w:ilvl="4" w:tplc="08090019" w:tentative="1">
      <w:start w:val="1"/>
      <w:numFmt w:val="lowerLetter"/>
      <w:lvlText w:val="%5."/>
      <w:lvlJc w:val="left"/>
      <w:pPr>
        <w:ind w:left="3525" w:hanging="360"/>
      </w:pPr>
      <w:rPr>
        <w:rFonts w:cs="Times New Roman"/>
      </w:rPr>
    </w:lvl>
    <w:lvl w:ilvl="5" w:tplc="0809001B" w:tentative="1">
      <w:start w:val="1"/>
      <w:numFmt w:val="lowerRoman"/>
      <w:lvlText w:val="%6."/>
      <w:lvlJc w:val="right"/>
      <w:pPr>
        <w:ind w:left="4245" w:hanging="180"/>
      </w:pPr>
      <w:rPr>
        <w:rFonts w:cs="Times New Roman"/>
      </w:rPr>
    </w:lvl>
    <w:lvl w:ilvl="6" w:tplc="0809000F" w:tentative="1">
      <w:start w:val="1"/>
      <w:numFmt w:val="decimal"/>
      <w:lvlText w:val="%7."/>
      <w:lvlJc w:val="left"/>
      <w:pPr>
        <w:ind w:left="4965" w:hanging="360"/>
      </w:pPr>
      <w:rPr>
        <w:rFonts w:cs="Times New Roman"/>
      </w:rPr>
    </w:lvl>
    <w:lvl w:ilvl="7" w:tplc="08090019" w:tentative="1">
      <w:start w:val="1"/>
      <w:numFmt w:val="lowerLetter"/>
      <w:lvlText w:val="%8."/>
      <w:lvlJc w:val="left"/>
      <w:pPr>
        <w:ind w:left="5685" w:hanging="360"/>
      </w:pPr>
      <w:rPr>
        <w:rFonts w:cs="Times New Roman"/>
      </w:rPr>
    </w:lvl>
    <w:lvl w:ilvl="8" w:tplc="0809001B" w:tentative="1">
      <w:start w:val="1"/>
      <w:numFmt w:val="lowerRoman"/>
      <w:lvlText w:val="%9."/>
      <w:lvlJc w:val="right"/>
      <w:pPr>
        <w:ind w:left="6405" w:hanging="180"/>
      </w:pPr>
      <w:rPr>
        <w:rFonts w:cs="Times New Roman"/>
      </w:rPr>
    </w:lvl>
  </w:abstractNum>
  <w:num w:numId="1">
    <w:abstractNumId w:val="4"/>
  </w:num>
  <w:num w:numId="2">
    <w:abstractNumId w:val="4"/>
  </w:num>
  <w:num w:numId="3">
    <w:abstractNumId w:val="4"/>
  </w:num>
  <w:num w:numId="4">
    <w:abstractNumId w:val="4"/>
  </w:num>
  <w:num w:numId="5">
    <w:abstractNumId w:val="4"/>
  </w:num>
  <w:num w:numId="6">
    <w:abstractNumId w:val="4"/>
  </w:num>
  <w:num w:numId="7">
    <w:abstractNumId w:val="4"/>
  </w:num>
  <w:num w:numId="8">
    <w:abstractNumId w:val="4"/>
  </w:num>
  <w:num w:numId="9">
    <w:abstractNumId w:val="4"/>
  </w:num>
  <w:num w:numId="10">
    <w:abstractNumId w:val="4"/>
  </w:num>
  <w:num w:numId="11">
    <w:abstractNumId w:val="4"/>
  </w:num>
  <w:num w:numId="12">
    <w:abstractNumId w:val="4"/>
  </w:num>
  <w:num w:numId="13">
    <w:abstractNumId w:val="4"/>
  </w:num>
  <w:num w:numId="14">
    <w:abstractNumId w:val="4"/>
  </w:num>
  <w:num w:numId="15">
    <w:abstractNumId w:val="4"/>
  </w:num>
  <w:num w:numId="16">
    <w:abstractNumId w:val="4"/>
  </w:num>
  <w:num w:numId="17">
    <w:abstractNumId w:val="4"/>
  </w:num>
  <w:num w:numId="18">
    <w:abstractNumId w:val="4"/>
  </w:num>
  <w:num w:numId="19">
    <w:abstractNumId w:val="1"/>
  </w:num>
  <w:num w:numId="20">
    <w:abstractNumId w:val="2"/>
  </w:num>
  <w:num w:numId="21">
    <w:abstractNumId w:val="3"/>
    <w:lvlOverride w:ilvl="0">
      <w:startOverride w:val="1"/>
    </w:lvlOverride>
  </w:num>
  <w:num w:numId="22">
    <w:abstractNumId w:val="3"/>
    <w:lvlOverride w:ilvl="0">
      <w:startOverride w:val="2"/>
    </w:lvlOverride>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2444"/>
    <w:rsid w:val="000032DB"/>
    <w:rsid w:val="00004440"/>
    <w:rsid w:val="00005A1B"/>
    <w:rsid w:val="000064F9"/>
    <w:rsid w:val="00007332"/>
    <w:rsid w:val="00011097"/>
    <w:rsid w:val="000138A7"/>
    <w:rsid w:val="00013A3E"/>
    <w:rsid w:val="00013C9A"/>
    <w:rsid w:val="000141BD"/>
    <w:rsid w:val="00014B03"/>
    <w:rsid w:val="00021B09"/>
    <w:rsid w:val="00024197"/>
    <w:rsid w:val="0002562C"/>
    <w:rsid w:val="00026384"/>
    <w:rsid w:val="00026426"/>
    <w:rsid w:val="00034793"/>
    <w:rsid w:val="00040AC7"/>
    <w:rsid w:val="0004404B"/>
    <w:rsid w:val="0004424D"/>
    <w:rsid w:val="0005351C"/>
    <w:rsid w:val="0005586F"/>
    <w:rsid w:val="00055FA8"/>
    <w:rsid w:val="000562BF"/>
    <w:rsid w:val="0005675D"/>
    <w:rsid w:val="00060D77"/>
    <w:rsid w:val="0006230C"/>
    <w:rsid w:val="00065661"/>
    <w:rsid w:val="00067481"/>
    <w:rsid w:val="00071B42"/>
    <w:rsid w:val="000747F3"/>
    <w:rsid w:val="00074CB7"/>
    <w:rsid w:val="00075986"/>
    <w:rsid w:val="00076188"/>
    <w:rsid w:val="00081494"/>
    <w:rsid w:val="000824B0"/>
    <w:rsid w:val="00083A48"/>
    <w:rsid w:val="000938DD"/>
    <w:rsid w:val="000977A2"/>
    <w:rsid w:val="000A1CA6"/>
    <w:rsid w:val="000A4024"/>
    <w:rsid w:val="000A54E9"/>
    <w:rsid w:val="000B4CFC"/>
    <w:rsid w:val="000B6708"/>
    <w:rsid w:val="000B70D5"/>
    <w:rsid w:val="000C0A96"/>
    <w:rsid w:val="000C6C24"/>
    <w:rsid w:val="000D0626"/>
    <w:rsid w:val="000D1CF7"/>
    <w:rsid w:val="000D5A2D"/>
    <w:rsid w:val="000F1540"/>
    <w:rsid w:val="000F294E"/>
    <w:rsid w:val="001038F6"/>
    <w:rsid w:val="0010480E"/>
    <w:rsid w:val="00105DD7"/>
    <w:rsid w:val="00111BE8"/>
    <w:rsid w:val="001132C5"/>
    <w:rsid w:val="00114CED"/>
    <w:rsid w:val="00115188"/>
    <w:rsid w:val="00117B61"/>
    <w:rsid w:val="00122569"/>
    <w:rsid w:val="001312B0"/>
    <w:rsid w:val="00133740"/>
    <w:rsid w:val="0013461B"/>
    <w:rsid w:val="00136216"/>
    <w:rsid w:val="0013665D"/>
    <w:rsid w:val="00141CEA"/>
    <w:rsid w:val="00146EA7"/>
    <w:rsid w:val="001471C2"/>
    <w:rsid w:val="001501B6"/>
    <w:rsid w:val="0015221B"/>
    <w:rsid w:val="001525F9"/>
    <w:rsid w:val="00153927"/>
    <w:rsid w:val="00155CBA"/>
    <w:rsid w:val="00155EDC"/>
    <w:rsid w:val="001647A0"/>
    <w:rsid w:val="001672F0"/>
    <w:rsid w:val="00171B4D"/>
    <w:rsid w:val="00175389"/>
    <w:rsid w:val="00175662"/>
    <w:rsid w:val="001816DC"/>
    <w:rsid w:val="00181AFD"/>
    <w:rsid w:val="00191B9B"/>
    <w:rsid w:val="00191BC2"/>
    <w:rsid w:val="00191DA4"/>
    <w:rsid w:val="001A537B"/>
    <w:rsid w:val="001A6884"/>
    <w:rsid w:val="001B18B3"/>
    <w:rsid w:val="001B31CC"/>
    <w:rsid w:val="001B4490"/>
    <w:rsid w:val="001B5A05"/>
    <w:rsid w:val="001B6193"/>
    <w:rsid w:val="001B7236"/>
    <w:rsid w:val="001B74E8"/>
    <w:rsid w:val="001C0266"/>
    <w:rsid w:val="001C0BC1"/>
    <w:rsid w:val="001C3AB9"/>
    <w:rsid w:val="001C58F7"/>
    <w:rsid w:val="001C63B6"/>
    <w:rsid w:val="001C78A6"/>
    <w:rsid w:val="001D1DB1"/>
    <w:rsid w:val="001D2508"/>
    <w:rsid w:val="001D250C"/>
    <w:rsid w:val="001D567F"/>
    <w:rsid w:val="001D6B42"/>
    <w:rsid w:val="001E2B25"/>
    <w:rsid w:val="001E51A3"/>
    <w:rsid w:val="001F1B04"/>
    <w:rsid w:val="001F7DC8"/>
    <w:rsid w:val="00202444"/>
    <w:rsid w:val="00203F85"/>
    <w:rsid w:val="00206ADA"/>
    <w:rsid w:val="002071BC"/>
    <w:rsid w:val="0021270D"/>
    <w:rsid w:val="00214790"/>
    <w:rsid w:val="0021572D"/>
    <w:rsid w:val="0022069A"/>
    <w:rsid w:val="0022093D"/>
    <w:rsid w:val="00224F62"/>
    <w:rsid w:val="00231286"/>
    <w:rsid w:val="00231CC9"/>
    <w:rsid w:val="00235FCC"/>
    <w:rsid w:val="00237C6A"/>
    <w:rsid w:val="00244453"/>
    <w:rsid w:val="00245897"/>
    <w:rsid w:val="002472AA"/>
    <w:rsid w:val="00250A35"/>
    <w:rsid w:val="00253972"/>
    <w:rsid w:val="002560C4"/>
    <w:rsid w:val="00256AA5"/>
    <w:rsid w:val="00256FA7"/>
    <w:rsid w:val="002575EA"/>
    <w:rsid w:val="00264D83"/>
    <w:rsid w:val="0026569A"/>
    <w:rsid w:val="00267947"/>
    <w:rsid w:val="00267ADA"/>
    <w:rsid w:val="002710A4"/>
    <w:rsid w:val="00272329"/>
    <w:rsid w:val="00274561"/>
    <w:rsid w:val="00276284"/>
    <w:rsid w:val="002779FB"/>
    <w:rsid w:val="00282290"/>
    <w:rsid w:val="00282B79"/>
    <w:rsid w:val="00286206"/>
    <w:rsid w:val="0029083A"/>
    <w:rsid w:val="002911AD"/>
    <w:rsid w:val="002921E9"/>
    <w:rsid w:val="002A11AB"/>
    <w:rsid w:val="002A60A2"/>
    <w:rsid w:val="002A6C40"/>
    <w:rsid w:val="002A736A"/>
    <w:rsid w:val="002B0C86"/>
    <w:rsid w:val="002B51B9"/>
    <w:rsid w:val="002B60D0"/>
    <w:rsid w:val="002D1643"/>
    <w:rsid w:val="002D212F"/>
    <w:rsid w:val="002D29A3"/>
    <w:rsid w:val="002D3B74"/>
    <w:rsid w:val="002E0A33"/>
    <w:rsid w:val="002E1207"/>
    <w:rsid w:val="002E37CA"/>
    <w:rsid w:val="002E534E"/>
    <w:rsid w:val="002F0BA4"/>
    <w:rsid w:val="002F32C8"/>
    <w:rsid w:val="002F514F"/>
    <w:rsid w:val="002F5E61"/>
    <w:rsid w:val="002F7A18"/>
    <w:rsid w:val="002F7A3B"/>
    <w:rsid w:val="00300102"/>
    <w:rsid w:val="003026F0"/>
    <w:rsid w:val="0030752D"/>
    <w:rsid w:val="00307FB4"/>
    <w:rsid w:val="003161D8"/>
    <w:rsid w:val="003203B1"/>
    <w:rsid w:val="003208D3"/>
    <w:rsid w:val="003233AD"/>
    <w:rsid w:val="00323E6C"/>
    <w:rsid w:val="00324091"/>
    <w:rsid w:val="003255F1"/>
    <w:rsid w:val="00333995"/>
    <w:rsid w:val="00336642"/>
    <w:rsid w:val="003429DC"/>
    <w:rsid w:val="00347C63"/>
    <w:rsid w:val="00347F4D"/>
    <w:rsid w:val="00355623"/>
    <w:rsid w:val="003559E2"/>
    <w:rsid w:val="00357130"/>
    <w:rsid w:val="00361C7F"/>
    <w:rsid w:val="00362572"/>
    <w:rsid w:val="0036295E"/>
    <w:rsid w:val="0037323B"/>
    <w:rsid w:val="003801C7"/>
    <w:rsid w:val="0038027B"/>
    <w:rsid w:val="00380ACB"/>
    <w:rsid w:val="0039088C"/>
    <w:rsid w:val="003929E6"/>
    <w:rsid w:val="003A6C97"/>
    <w:rsid w:val="003B0986"/>
    <w:rsid w:val="003B2452"/>
    <w:rsid w:val="003B2EFE"/>
    <w:rsid w:val="003B344B"/>
    <w:rsid w:val="003B4611"/>
    <w:rsid w:val="003C20E8"/>
    <w:rsid w:val="003C3D93"/>
    <w:rsid w:val="003C6ACA"/>
    <w:rsid w:val="003C734E"/>
    <w:rsid w:val="003D1F0B"/>
    <w:rsid w:val="003D48FE"/>
    <w:rsid w:val="003D5268"/>
    <w:rsid w:val="003D5B66"/>
    <w:rsid w:val="003D6325"/>
    <w:rsid w:val="003D6CA1"/>
    <w:rsid w:val="003D76ED"/>
    <w:rsid w:val="003D7AEF"/>
    <w:rsid w:val="003E02F6"/>
    <w:rsid w:val="003E16C5"/>
    <w:rsid w:val="003E2C6D"/>
    <w:rsid w:val="003E38C4"/>
    <w:rsid w:val="003E5CF4"/>
    <w:rsid w:val="003E69DA"/>
    <w:rsid w:val="003E6E0F"/>
    <w:rsid w:val="00401E7C"/>
    <w:rsid w:val="00403286"/>
    <w:rsid w:val="004059A7"/>
    <w:rsid w:val="00406365"/>
    <w:rsid w:val="00410070"/>
    <w:rsid w:val="004106B9"/>
    <w:rsid w:val="00411DE2"/>
    <w:rsid w:val="00413676"/>
    <w:rsid w:val="004203FC"/>
    <w:rsid w:val="00423EA4"/>
    <w:rsid w:val="0042552D"/>
    <w:rsid w:val="004278E4"/>
    <w:rsid w:val="0043223A"/>
    <w:rsid w:val="00432506"/>
    <w:rsid w:val="00432742"/>
    <w:rsid w:val="00434A43"/>
    <w:rsid w:val="00434FB8"/>
    <w:rsid w:val="00435C10"/>
    <w:rsid w:val="0043670D"/>
    <w:rsid w:val="00436C03"/>
    <w:rsid w:val="00437129"/>
    <w:rsid w:val="00442330"/>
    <w:rsid w:val="00442475"/>
    <w:rsid w:val="00442761"/>
    <w:rsid w:val="00443B3B"/>
    <w:rsid w:val="004553BB"/>
    <w:rsid w:val="00455893"/>
    <w:rsid w:val="0045680A"/>
    <w:rsid w:val="00456847"/>
    <w:rsid w:val="004633C5"/>
    <w:rsid w:val="00465E1F"/>
    <w:rsid w:val="00472EF0"/>
    <w:rsid w:val="004869DE"/>
    <w:rsid w:val="00486CE5"/>
    <w:rsid w:val="00492613"/>
    <w:rsid w:val="00493683"/>
    <w:rsid w:val="00493E85"/>
    <w:rsid w:val="004960FE"/>
    <w:rsid w:val="004A2640"/>
    <w:rsid w:val="004A4A24"/>
    <w:rsid w:val="004B0CC8"/>
    <w:rsid w:val="004B527C"/>
    <w:rsid w:val="004C49E1"/>
    <w:rsid w:val="004C76AD"/>
    <w:rsid w:val="004D2406"/>
    <w:rsid w:val="004D2B1A"/>
    <w:rsid w:val="004D52A5"/>
    <w:rsid w:val="004E1105"/>
    <w:rsid w:val="004E11CB"/>
    <w:rsid w:val="004E236F"/>
    <w:rsid w:val="004E3F63"/>
    <w:rsid w:val="004E51D9"/>
    <w:rsid w:val="004F0960"/>
    <w:rsid w:val="004F1A5A"/>
    <w:rsid w:val="004F2187"/>
    <w:rsid w:val="004F4112"/>
    <w:rsid w:val="004F4CDE"/>
    <w:rsid w:val="004F4E65"/>
    <w:rsid w:val="004F6CFC"/>
    <w:rsid w:val="0051339D"/>
    <w:rsid w:val="00516CAA"/>
    <w:rsid w:val="005174CE"/>
    <w:rsid w:val="00517987"/>
    <w:rsid w:val="00520EA6"/>
    <w:rsid w:val="00524171"/>
    <w:rsid w:val="0052524A"/>
    <w:rsid w:val="00531319"/>
    <w:rsid w:val="00541130"/>
    <w:rsid w:val="00542F33"/>
    <w:rsid w:val="00544829"/>
    <w:rsid w:val="00550325"/>
    <w:rsid w:val="00551651"/>
    <w:rsid w:val="00552E80"/>
    <w:rsid w:val="005567FF"/>
    <w:rsid w:val="00556F28"/>
    <w:rsid w:val="00557013"/>
    <w:rsid w:val="005570B8"/>
    <w:rsid w:val="005575E3"/>
    <w:rsid w:val="005579BC"/>
    <w:rsid w:val="00557D83"/>
    <w:rsid w:val="00560835"/>
    <w:rsid w:val="00561011"/>
    <w:rsid w:val="005624E6"/>
    <w:rsid w:val="005651AC"/>
    <w:rsid w:val="005654F1"/>
    <w:rsid w:val="00565A42"/>
    <w:rsid w:val="00565DA8"/>
    <w:rsid w:val="00570096"/>
    <w:rsid w:val="00572348"/>
    <w:rsid w:val="0057298C"/>
    <w:rsid w:val="00576B58"/>
    <w:rsid w:val="005807A7"/>
    <w:rsid w:val="00580D42"/>
    <w:rsid w:val="00582577"/>
    <w:rsid w:val="005833C2"/>
    <w:rsid w:val="00583A06"/>
    <w:rsid w:val="00595143"/>
    <w:rsid w:val="005A17D0"/>
    <w:rsid w:val="005A5513"/>
    <w:rsid w:val="005A57F6"/>
    <w:rsid w:val="005B1286"/>
    <w:rsid w:val="005B3911"/>
    <w:rsid w:val="005B4166"/>
    <w:rsid w:val="005B4500"/>
    <w:rsid w:val="005B64D1"/>
    <w:rsid w:val="005C2CE9"/>
    <w:rsid w:val="005C3039"/>
    <w:rsid w:val="005C35A2"/>
    <w:rsid w:val="005E0DD2"/>
    <w:rsid w:val="005E0E05"/>
    <w:rsid w:val="005E203C"/>
    <w:rsid w:val="005E5756"/>
    <w:rsid w:val="005F096C"/>
    <w:rsid w:val="005F2782"/>
    <w:rsid w:val="005F3570"/>
    <w:rsid w:val="005F4D58"/>
    <w:rsid w:val="006024B4"/>
    <w:rsid w:val="0060590E"/>
    <w:rsid w:val="006068B7"/>
    <w:rsid w:val="006075A9"/>
    <w:rsid w:val="0061316C"/>
    <w:rsid w:val="00613D0F"/>
    <w:rsid w:val="00617479"/>
    <w:rsid w:val="00620C0E"/>
    <w:rsid w:val="0062666A"/>
    <w:rsid w:val="0063322C"/>
    <w:rsid w:val="00634745"/>
    <w:rsid w:val="00634CC6"/>
    <w:rsid w:val="00640B71"/>
    <w:rsid w:val="0064122E"/>
    <w:rsid w:val="00641390"/>
    <w:rsid w:val="00644887"/>
    <w:rsid w:val="006512B7"/>
    <w:rsid w:val="00651B99"/>
    <w:rsid w:val="006538C6"/>
    <w:rsid w:val="00654903"/>
    <w:rsid w:val="00656652"/>
    <w:rsid w:val="00660D2D"/>
    <w:rsid w:val="00660D9A"/>
    <w:rsid w:val="006613F7"/>
    <w:rsid w:val="00662097"/>
    <w:rsid w:val="0066303E"/>
    <w:rsid w:val="00663F35"/>
    <w:rsid w:val="006656C9"/>
    <w:rsid w:val="006712ED"/>
    <w:rsid w:val="00674FCB"/>
    <w:rsid w:val="00676353"/>
    <w:rsid w:val="006771DB"/>
    <w:rsid w:val="0068008B"/>
    <w:rsid w:val="00686179"/>
    <w:rsid w:val="00686365"/>
    <w:rsid w:val="00693955"/>
    <w:rsid w:val="00695070"/>
    <w:rsid w:val="0069652E"/>
    <w:rsid w:val="006965E6"/>
    <w:rsid w:val="006A28BF"/>
    <w:rsid w:val="006A569F"/>
    <w:rsid w:val="006B19FE"/>
    <w:rsid w:val="006B22EF"/>
    <w:rsid w:val="006B370C"/>
    <w:rsid w:val="006B58FA"/>
    <w:rsid w:val="006C027C"/>
    <w:rsid w:val="006C1A29"/>
    <w:rsid w:val="006C40A6"/>
    <w:rsid w:val="006C7D6A"/>
    <w:rsid w:val="006C7F05"/>
    <w:rsid w:val="006D1D6C"/>
    <w:rsid w:val="006D727A"/>
    <w:rsid w:val="006E089D"/>
    <w:rsid w:val="006E0A3F"/>
    <w:rsid w:val="006E3E63"/>
    <w:rsid w:val="006F06AA"/>
    <w:rsid w:val="006F46D1"/>
    <w:rsid w:val="006F48F7"/>
    <w:rsid w:val="006F4FA5"/>
    <w:rsid w:val="006F5325"/>
    <w:rsid w:val="006F65C3"/>
    <w:rsid w:val="007006A0"/>
    <w:rsid w:val="00700A18"/>
    <w:rsid w:val="007028A1"/>
    <w:rsid w:val="0070394E"/>
    <w:rsid w:val="007051D0"/>
    <w:rsid w:val="00705785"/>
    <w:rsid w:val="007076AC"/>
    <w:rsid w:val="007109A4"/>
    <w:rsid w:val="00710EC6"/>
    <w:rsid w:val="00725068"/>
    <w:rsid w:val="00725354"/>
    <w:rsid w:val="00726EDC"/>
    <w:rsid w:val="00734088"/>
    <w:rsid w:val="007409D4"/>
    <w:rsid w:val="007415DE"/>
    <w:rsid w:val="00743B8E"/>
    <w:rsid w:val="007453AF"/>
    <w:rsid w:val="00747D32"/>
    <w:rsid w:val="00747FE1"/>
    <w:rsid w:val="0075329F"/>
    <w:rsid w:val="00757245"/>
    <w:rsid w:val="00760A01"/>
    <w:rsid w:val="00761D45"/>
    <w:rsid w:val="007627EB"/>
    <w:rsid w:val="007630EA"/>
    <w:rsid w:val="007648DC"/>
    <w:rsid w:val="00767919"/>
    <w:rsid w:val="007724AE"/>
    <w:rsid w:val="00773744"/>
    <w:rsid w:val="00776A0E"/>
    <w:rsid w:val="00777C9E"/>
    <w:rsid w:val="007805E6"/>
    <w:rsid w:val="00781EBC"/>
    <w:rsid w:val="007854A5"/>
    <w:rsid w:val="00785F33"/>
    <w:rsid w:val="00787E7C"/>
    <w:rsid w:val="00790C03"/>
    <w:rsid w:val="00790F28"/>
    <w:rsid w:val="00791191"/>
    <w:rsid w:val="007922C8"/>
    <w:rsid w:val="007929B8"/>
    <w:rsid w:val="007940A4"/>
    <w:rsid w:val="00796A81"/>
    <w:rsid w:val="00797C08"/>
    <w:rsid w:val="007A0120"/>
    <w:rsid w:val="007A0735"/>
    <w:rsid w:val="007A1692"/>
    <w:rsid w:val="007B7715"/>
    <w:rsid w:val="007C0D9D"/>
    <w:rsid w:val="007C1342"/>
    <w:rsid w:val="007C159D"/>
    <w:rsid w:val="007C1AC0"/>
    <w:rsid w:val="007C2437"/>
    <w:rsid w:val="007C25D5"/>
    <w:rsid w:val="007C6571"/>
    <w:rsid w:val="007D7C55"/>
    <w:rsid w:val="007E0EA6"/>
    <w:rsid w:val="007E1DCC"/>
    <w:rsid w:val="007E367C"/>
    <w:rsid w:val="007E5118"/>
    <w:rsid w:val="007F4887"/>
    <w:rsid w:val="007F7522"/>
    <w:rsid w:val="008001A4"/>
    <w:rsid w:val="00800D43"/>
    <w:rsid w:val="0080266F"/>
    <w:rsid w:val="00803080"/>
    <w:rsid w:val="00811E79"/>
    <w:rsid w:val="00812441"/>
    <w:rsid w:val="0081410F"/>
    <w:rsid w:val="00821A60"/>
    <w:rsid w:val="0082251C"/>
    <w:rsid w:val="008245DA"/>
    <w:rsid w:val="00834ED0"/>
    <w:rsid w:val="00835D35"/>
    <w:rsid w:val="0083691D"/>
    <w:rsid w:val="00840EFB"/>
    <w:rsid w:val="0084192E"/>
    <w:rsid w:val="008424C6"/>
    <w:rsid w:val="0084626A"/>
    <w:rsid w:val="0084736E"/>
    <w:rsid w:val="00847F79"/>
    <w:rsid w:val="00850874"/>
    <w:rsid w:val="00852F0C"/>
    <w:rsid w:val="00856D22"/>
    <w:rsid w:val="00860B4B"/>
    <w:rsid w:val="00862182"/>
    <w:rsid w:val="00863FCB"/>
    <w:rsid w:val="00865468"/>
    <w:rsid w:val="00865DCC"/>
    <w:rsid w:val="00867596"/>
    <w:rsid w:val="00870BAD"/>
    <w:rsid w:val="0087186C"/>
    <w:rsid w:val="008752F8"/>
    <w:rsid w:val="00875665"/>
    <w:rsid w:val="00875EB8"/>
    <w:rsid w:val="00876524"/>
    <w:rsid w:val="00876F92"/>
    <w:rsid w:val="00882C09"/>
    <w:rsid w:val="00883C02"/>
    <w:rsid w:val="008871FD"/>
    <w:rsid w:val="00893287"/>
    <w:rsid w:val="008935E3"/>
    <w:rsid w:val="008943D2"/>
    <w:rsid w:val="008A0250"/>
    <w:rsid w:val="008A0DC6"/>
    <w:rsid w:val="008A2A2A"/>
    <w:rsid w:val="008A32E1"/>
    <w:rsid w:val="008A66EC"/>
    <w:rsid w:val="008A6908"/>
    <w:rsid w:val="008B3722"/>
    <w:rsid w:val="008B3773"/>
    <w:rsid w:val="008B452E"/>
    <w:rsid w:val="008B51FC"/>
    <w:rsid w:val="008B5FDE"/>
    <w:rsid w:val="008B6A2A"/>
    <w:rsid w:val="008C36F7"/>
    <w:rsid w:val="008C7C2E"/>
    <w:rsid w:val="008C7DAA"/>
    <w:rsid w:val="008C7E85"/>
    <w:rsid w:val="008D16CE"/>
    <w:rsid w:val="008D266B"/>
    <w:rsid w:val="008D2911"/>
    <w:rsid w:val="008E48D9"/>
    <w:rsid w:val="008E636B"/>
    <w:rsid w:val="008E7284"/>
    <w:rsid w:val="008E7606"/>
    <w:rsid w:val="008F45D5"/>
    <w:rsid w:val="008F544E"/>
    <w:rsid w:val="00902FFB"/>
    <w:rsid w:val="009030D4"/>
    <w:rsid w:val="00910753"/>
    <w:rsid w:val="009135AA"/>
    <w:rsid w:val="00913BF8"/>
    <w:rsid w:val="00914F89"/>
    <w:rsid w:val="00915696"/>
    <w:rsid w:val="009208C3"/>
    <w:rsid w:val="00921AB3"/>
    <w:rsid w:val="0092293A"/>
    <w:rsid w:val="009231C1"/>
    <w:rsid w:val="00926578"/>
    <w:rsid w:val="00931369"/>
    <w:rsid w:val="00931615"/>
    <w:rsid w:val="0093216A"/>
    <w:rsid w:val="00933354"/>
    <w:rsid w:val="009343E6"/>
    <w:rsid w:val="0094486D"/>
    <w:rsid w:val="00946367"/>
    <w:rsid w:val="00950305"/>
    <w:rsid w:val="00950F5C"/>
    <w:rsid w:val="00954E58"/>
    <w:rsid w:val="00955FA7"/>
    <w:rsid w:val="009602ED"/>
    <w:rsid w:val="009617A2"/>
    <w:rsid w:val="009626A0"/>
    <w:rsid w:val="00964CAF"/>
    <w:rsid w:val="0097685D"/>
    <w:rsid w:val="00981C42"/>
    <w:rsid w:val="00984A75"/>
    <w:rsid w:val="00986774"/>
    <w:rsid w:val="009871C1"/>
    <w:rsid w:val="0099075F"/>
    <w:rsid w:val="009919E1"/>
    <w:rsid w:val="00992187"/>
    <w:rsid w:val="009935B9"/>
    <w:rsid w:val="00993BAE"/>
    <w:rsid w:val="009954F8"/>
    <w:rsid w:val="00996527"/>
    <w:rsid w:val="00997530"/>
    <w:rsid w:val="009A15CB"/>
    <w:rsid w:val="009A22C7"/>
    <w:rsid w:val="009B0D2E"/>
    <w:rsid w:val="009B161F"/>
    <w:rsid w:val="009B599D"/>
    <w:rsid w:val="009C198B"/>
    <w:rsid w:val="009C6454"/>
    <w:rsid w:val="009C64C3"/>
    <w:rsid w:val="009C677E"/>
    <w:rsid w:val="009C7FA7"/>
    <w:rsid w:val="009D06CC"/>
    <w:rsid w:val="009D0A46"/>
    <w:rsid w:val="009D683D"/>
    <w:rsid w:val="009E17ED"/>
    <w:rsid w:val="009E247F"/>
    <w:rsid w:val="009E3B30"/>
    <w:rsid w:val="009F4236"/>
    <w:rsid w:val="009F4C14"/>
    <w:rsid w:val="009F766B"/>
    <w:rsid w:val="00A01DF5"/>
    <w:rsid w:val="00A07EC3"/>
    <w:rsid w:val="00A100FA"/>
    <w:rsid w:val="00A12821"/>
    <w:rsid w:val="00A13F20"/>
    <w:rsid w:val="00A1422D"/>
    <w:rsid w:val="00A14F24"/>
    <w:rsid w:val="00A15B70"/>
    <w:rsid w:val="00A22B9B"/>
    <w:rsid w:val="00A25914"/>
    <w:rsid w:val="00A25A17"/>
    <w:rsid w:val="00A26B0C"/>
    <w:rsid w:val="00A26D3A"/>
    <w:rsid w:val="00A27591"/>
    <w:rsid w:val="00A27C9F"/>
    <w:rsid w:val="00A331AF"/>
    <w:rsid w:val="00A33FB7"/>
    <w:rsid w:val="00A34476"/>
    <w:rsid w:val="00A34A79"/>
    <w:rsid w:val="00A429FC"/>
    <w:rsid w:val="00A459BF"/>
    <w:rsid w:val="00A472BF"/>
    <w:rsid w:val="00A520D4"/>
    <w:rsid w:val="00A52685"/>
    <w:rsid w:val="00A547CB"/>
    <w:rsid w:val="00A563DC"/>
    <w:rsid w:val="00A57573"/>
    <w:rsid w:val="00A618B8"/>
    <w:rsid w:val="00A678C0"/>
    <w:rsid w:val="00A71FF0"/>
    <w:rsid w:val="00A807C8"/>
    <w:rsid w:val="00A810CC"/>
    <w:rsid w:val="00A8172F"/>
    <w:rsid w:val="00A86EC5"/>
    <w:rsid w:val="00A936E9"/>
    <w:rsid w:val="00A94596"/>
    <w:rsid w:val="00AA0529"/>
    <w:rsid w:val="00AA43A1"/>
    <w:rsid w:val="00AA48C8"/>
    <w:rsid w:val="00AA5B02"/>
    <w:rsid w:val="00AA6C5A"/>
    <w:rsid w:val="00AA777C"/>
    <w:rsid w:val="00AA778D"/>
    <w:rsid w:val="00AB326A"/>
    <w:rsid w:val="00AB3BDB"/>
    <w:rsid w:val="00AB434A"/>
    <w:rsid w:val="00AB5677"/>
    <w:rsid w:val="00AB6D9A"/>
    <w:rsid w:val="00AC0316"/>
    <w:rsid w:val="00AC1F19"/>
    <w:rsid w:val="00AC2FAA"/>
    <w:rsid w:val="00AC3352"/>
    <w:rsid w:val="00AC33F5"/>
    <w:rsid w:val="00AC4718"/>
    <w:rsid w:val="00AC76B8"/>
    <w:rsid w:val="00AD5770"/>
    <w:rsid w:val="00AD5B98"/>
    <w:rsid w:val="00AD7466"/>
    <w:rsid w:val="00AE01E8"/>
    <w:rsid w:val="00AE0EB4"/>
    <w:rsid w:val="00AE38BF"/>
    <w:rsid w:val="00AE4C82"/>
    <w:rsid w:val="00AE7100"/>
    <w:rsid w:val="00AF32CA"/>
    <w:rsid w:val="00AF368D"/>
    <w:rsid w:val="00AF779F"/>
    <w:rsid w:val="00B01760"/>
    <w:rsid w:val="00B01A34"/>
    <w:rsid w:val="00B02809"/>
    <w:rsid w:val="00B05CFF"/>
    <w:rsid w:val="00B05D63"/>
    <w:rsid w:val="00B10D8B"/>
    <w:rsid w:val="00B12F03"/>
    <w:rsid w:val="00B14954"/>
    <w:rsid w:val="00B14C9C"/>
    <w:rsid w:val="00B15433"/>
    <w:rsid w:val="00B17227"/>
    <w:rsid w:val="00B22E87"/>
    <w:rsid w:val="00B23FFA"/>
    <w:rsid w:val="00B24256"/>
    <w:rsid w:val="00B25AC6"/>
    <w:rsid w:val="00B26141"/>
    <w:rsid w:val="00B30190"/>
    <w:rsid w:val="00B31EE4"/>
    <w:rsid w:val="00B346C8"/>
    <w:rsid w:val="00B36001"/>
    <w:rsid w:val="00B36467"/>
    <w:rsid w:val="00B36F57"/>
    <w:rsid w:val="00B42C42"/>
    <w:rsid w:val="00B42D91"/>
    <w:rsid w:val="00B4721A"/>
    <w:rsid w:val="00B50A67"/>
    <w:rsid w:val="00B50AEB"/>
    <w:rsid w:val="00B56E5C"/>
    <w:rsid w:val="00B575D7"/>
    <w:rsid w:val="00B57843"/>
    <w:rsid w:val="00B61839"/>
    <w:rsid w:val="00B6647E"/>
    <w:rsid w:val="00B6770C"/>
    <w:rsid w:val="00B7130E"/>
    <w:rsid w:val="00B74AC6"/>
    <w:rsid w:val="00B779ED"/>
    <w:rsid w:val="00B80633"/>
    <w:rsid w:val="00B8324E"/>
    <w:rsid w:val="00B8422F"/>
    <w:rsid w:val="00B84494"/>
    <w:rsid w:val="00B8597C"/>
    <w:rsid w:val="00B85D43"/>
    <w:rsid w:val="00B86782"/>
    <w:rsid w:val="00B95518"/>
    <w:rsid w:val="00B95DC7"/>
    <w:rsid w:val="00B9677C"/>
    <w:rsid w:val="00BA0A61"/>
    <w:rsid w:val="00BA60C4"/>
    <w:rsid w:val="00BB342A"/>
    <w:rsid w:val="00BB38A1"/>
    <w:rsid w:val="00BB5258"/>
    <w:rsid w:val="00BB644F"/>
    <w:rsid w:val="00BC2FB3"/>
    <w:rsid w:val="00BC3ABF"/>
    <w:rsid w:val="00BC5628"/>
    <w:rsid w:val="00BC57E3"/>
    <w:rsid w:val="00BC5EB4"/>
    <w:rsid w:val="00BD40B8"/>
    <w:rsid w:val="00BD46B8"/>
    <w:rsid w:val="00BD4A27"/>
    <w:rsid w:val="00BD63C1"/>
    <w:rsid w:val="00BE1368"/>
    <w:rsid w:val="00BE2B45"/>
    <w:rsid w:val="00BE3425"/>
    <w:rsid w:val="00BE40C5"/>
    <w:rsid w:val="00BE5FC3"/>
    <w:rsid w:val="00BE669B"/>
    <w:rsid w:val="00BE6B53"/>
    <w:rsid w:val="00BF373E"/>
    <w:rsid w:val="00BF3A39"/>
    <w:rsid w:val="00BF636B"/>
    <w:rsid w:val="00BF734F"/>
    <w:rsid w:val="00C00F34"/>
    <w:rsid w:val="00C06886"/>
    <w:rsid w:val="00C06AAB"/>
    <w:rsid w:val="00C072D9"/>
    <w:rsid w:val="00C11BA4"/>
    <w:rsid w:val="00C132D0"/>
    <w:rsid w:val="00C13541"/>
    <w:rsid w:val="00C20163"/>
    <w:rsid w:val="00C22F87"/>
    <w:rsid w:val="00C234B8"/>
    <w:rsid w:val="00C2384E"/>
    <w:rsid w:val="00C33EC6"/>
    <w:rsid w:val="00C34BEA"/>
    <w:rsid w:val="00C35006"/>
    <w:rsid w:val="00C368BF"/>
    <w:rsid w:val="00C4059E"/>
    <w:rsid w:val="00C413DD"/>
    <w:rsid w:val="00C433DE"/>
    <w:rsid w:val="00C43F6A"/>
    <w:rsid w:val="00C4544A"/>
    <w:rsid w:val="00C46926"/>
    <w:rsid w:val="00C54360"/>
    <w:rsid w:val="00C5470E"/>
    <w:rsid w:val="00C55A23"/>
    <w:rsid w:val="00C62981"/>
    <w:rsid w:val="00C62BF2"/>
    <w:rsid w:val="00C62F34"/>
    <w:rsid w:val="00C73685"/>
    <w:rsid w:val="00C77726"/>
    <w:rsid w:val="00C801B0"/>
    <w:rsid w:val="00C829E1"/>
    <w:rsid w:val="00C90188"/>
    <w:rsid w:val="00C91724"/>
    <w:rsid w:val="00CA18A5"/>
    <w:rsid w:val="00CA526F"/>
    <w:rsid w:val="00CA5AF7"/>
    <w:rsid w:val="00CA7339"/>
    <w:rsid w:val="00CA739F"/>
    <w:rsid w:val="00CB03F1"/>
    <w:rsid w:val="00CB5512"/>
    <w:rsid w:val="00CB6ECB"/>
    <w:rsid w:val="00CC3BA7"/>
    <w:rsid w:val="00CD1ECD"/>
    <w:rsid w:val="00CD4751"/>
    <w:rsid w:val="00CD4CBE"/>
    <w:rsid w:val="00CD4DF8"/>
    <w:rsid w:val="00CD5389"/>
    <w:rsid w:val="00CD5822"/>
    <w:rsid w:val="00CD5C8C"/>
    <w:rsid w:val="00CD6329"/>
    <w:rsid w:val="00CD654F"/>
    <w:rsid w:val="00CE191C"/>
    <w:rsid w:val="00CE2B4F"/>
    <w:rsid w:val="00CE678F"/>
    <w:rsid w:val="00D00CCF"/>
    <w:rsid w:val="00D0207C"/>
    <w:rsid w:val="00D03B23"/>
    <w:rsid w:val="00D055B6"/>
    <w:rsid w:val="00D06CDD"/>
    <w:rsid w:val="00D100F7"/>
    <w:rsid w:val="00D10902"/>
    <w:rsid w:val="00D10DD1"/>
    <w:rsid w:val="00D10FFC"/>
    <w:rsid w:val="00D14A32"/>
    <w:rsid w:val="00D16512"/>
    <w:rsid w:val="00D165CF"/>
    <w:rsid w:val="00D21C3F"/>
    <w:rsid w:val="00D22CE6"/>
    <w:rsid w:val="00D22D49"/>
    <w:rsid w:val="00D27ED0"/>
    <w:rsid w:val="00D30556"/>
    <w:rsid w:val="00D3132F"/>
    <w:rsid w:val="00D31418"/>
    <w:rsid w:val="00D3791C"/>
    <w:rsid w:val="00D37EA7"/>
    <w:rsid w:val="00D40C01"/>
    <w:rsid w:val="00D42AE6"/>
    <w:rsid w:val="00D456A0"/>
    <w:rsid w:val="00D45BB4"/>
    <w:rsid w:val="00D46BEA"/>
    <w:rsid w:val="00D4779A"/>
    <w:rsid w:val="00D50444"/>
    <w:rsid w:val="00D51EEB"/>
    <w:rsid w:val="00D5396C"/>
    <w:rsid w:val="00D5759D"/>
    <w:rsid w:val="00D6322A"/>
    <w:rsid w:val="00D64E60"/>
    <w:rsid w:val="00D64F1C"/>
    <w:rsid w:val="00D6532F"/>
    <w:rsid w:val="00D66726"/>
    <w:rsid w:val="00D6776B"/>
    <w:rsid w:val="00D6792B"/>
    <w:rsid w:val="00D77114"/>
    <w:rsid w:val="00D77894"/>
    <w:rsid w:val="00D80739"/>
    <w:rsid w:val="00D827A4"/>
    <w:rsid w:val="00D840A4"/>
    <w:rsid w:val="00D8516E"/>
    <w:rsid w:val="00D86613"/>
    <w:rsid w:val="00D92C56"/>
    <w:rsid w:val="00D9327E"/>
    <w:rsid w:val="00D94507"/>
    <w:rsid w:val="00D9493F"/>
    <w:rsid w:val="00D967AD"/>
    <w:rsid w:val="00DA3D53"/>
    <w:rsid w:val="00DA49B0"/>
    <w:rsid w:val="00DA5C01"/>
    <w:rsid w:val="00DA6C6D"/>
    <w:rsid w:val="00DB0A10"/>
    <w:rsid w:val="00DB1968"/>
    <w:rsid w:val="00DB21CD"/>
    <w:rsid w:val="00DB32BF"/>
    <w:rsid w:val="00DB4A95"/>
    <w:rsid w:val="00DB5506"/>
    <w:rsid w:val="00DB6C82"/>
    <w:rsid w:val="00DC0E60"/>
    <w:rsid w:val="00DC170A"/>
    <w:rsid w:val="00DC3332"/>
    <w:rsid w:val="00DC45D6"/>
    <w:rsid w:val="00DC536E"/>
    <w:rsid w:val="00DD20F9"/>
    <w:rsid w:val="00DD3103"/>
    <w:rsid w:val="00DD3FCF"/>
    <w:rsid w:val="00DD49DB"/>
    <w:rsid w:val="00DD5879"/>
    <w:rsid w:val="00DE03B8"/>
    <w:rsid w:val="00DE1F71"/>
    <w:rsid w:val="00DE35D7"/>
    <w:rsid w:val="00DE4360"/>
    <w:rsid w:val="00DE5A7F"/>
    <w:rsid w:val="00DE6573"/>
    <w:rsid w:val="00DE6A89"/>
    <w:rsid w:val="00DF57D6"/>
    <w:rsid w:val="00E02D95"/>
    <w:rsid w:val="00E10F20"/>
    <w:rsid w:val="00E11B08"/>
    <w:rsid w:val="00E125B8"/>
    <w:rsid w:val="00E1372A"/>
    <w:rsid w:val="00E14FE6"/>
    <w:rsid w:val="00E150D6"/>
    <w:rsid w:val="00E17694"/>
    <w:rsid w:val="00E20A32"/>
    <w:rsid w:val="00E20DCE"/>
    <w:rsid w:val="00E23FB4"/>
    <w:rsid w:val="00E24267"/>
    <w:rsid w:val="00E27558"/>
    <w:rsid w:val="00E3274A"/>
    <w:rsid w:val="00E32E9E"/>
    <w:rsid w:val="00E33CDF"/>
    <w:rsid w:val="00E35EF9"/>
    <w:rsid w:val="00E36517"/>
    <w:rsid w:val="00E36536"/>
    <w:rsid w:val="00E40151"/>
    <w:rsid w:val="00E416B5"/>
    <w:rsid w:val="00E416F8"/>
    <w:rsid w:val="00E41B82"/>
    <w:rsid w:val="00E449DD"/>
    <w:rsid w:val="00E44EC3"/>
    <w:rsid w:val="00E46F90"/>
    <w:rsid w:val="00E50477"/>
    <w:rsid w:val="00E50DA6"/>
    <w:rsid w:val="00E50FA6"/>
    <w:rsid w:val="00E518E8"/>
    <w:rsid w:val="00E531D3"/>
    <w:rsid w:val="00E53606"/>
    <w:rsid w:val="00E57993"/>
    <w:rsid w:val="00E603B7"/>
    <w:rsid w:val="00E62FBC"/>
    <w:rsid w:val="00E70B08"/>
    <w:rsid w:val="00E72E8F"/>
    <w:rsid w:val="00E7343B"/>
    <w:rsid w:val="00E766BF"/>
    <w:rsid w:val="00E77362"/>
    <w:rsid w:val="00E77C1C"/>
    <w:rsid w:val="00E8258A"/>
    <w:rsid w:val="00E82B1F"/>
    <w:rsid w:val="00E83EF5"/>
    <w:rsid w:val="00E90D31"/>
    <w:rsid w:val="00E91A16"/>
    <w:rsid w:val="00E91AD1"/>
    <w:rsid w:val="00E9431A"/>
    <w:rsid w:val="00EA0229"/>
    <w:rsid w:val="00EA38AD"/>
    <w:rsid w:val="00EA645A"/>
    <w:rsid w:val="00EB72D9"/>
    <w:rsid w:val="00EB7640"/>
    <w:rsid w:val="00EC18A5"/>
    <w:rsid w:val="00ED0D4B"/>
    <w:rsid w:val="00ED1B9D"/>
    <w:rsid w:val="00ED3BA6"/>
    <w:rsid w:val="00ED4636"/>
    <w:rsid w:val="00ED775E"/>
    <w:rsid w:val="00EE0009"/>
    <w:rsid w:val="00EE0A88"/>
    <w:rsid w:val="00EE1C44"/>
    <w:rsid w:val="00EE3776"/>
    <w:rsid w:val="00EE756D"/>
    <w:rsid w:val="00EF3D93"/>
    <w:rsid w:val="00EF64E7"/>
    <w:rsid w:val="00EF73F8"/>
    <w:rsid w:val="00EF7CF7"/>
    <w:rsid w:val="00F00528"/>
    <w:rsid w:val="00F0137F"/>
    <w:rsid w:val="00F03162"/>
    <w:rsid w:val="00F1645B"/>
    <w:rsid w:val="00F20348"/>
    <w:rsid w:val="00F2085B"/>
    <w:rsid w:val="00F21247"/>
    <w:rsid w:val="00F2183A"/>
    <w:rsid w:val="00F2358F"/>
    <w:rsid w:val="00F327A0"/>
    <w:rsid w:val="00F40024"/>
    <w:rsid w:val="00F411AB"/>
    <w:rsid w:val="00F44CF3"/>
    <w:rsid w:val="00F5191E"/>
    <w:rsid w:val="00F5600D"/>
    <w:rsid w:val="00F56FA1"/>
    <w:rsid w:val="00F57E3C"/>
    <w:rsid w:val="00F64B61"/>
    <w:rsid w:val="00F659BF"/>
    <w:rsid w:val="00F71B37"/>
    <w:rsid w:val="00F74D80"/>
    <w:rsid w:val="00F80F13"/>
    <w:rsid w:val="00F82650"/>
    <w:rsid w:val="00F82F89"/>
    <w:rsid w:val="00F85ADB"/>
    <w:rsid w:val="00F86540"/>
    <w:rsid w:val="00F872C8"/>
    <w:rsid w:val="00F92293"/>
    <w:rsid w:val="00F926C6"/>
    <w:rsid w:val="00F9684A"/>
    <w:rsid w:val="00FA00AC"/>
    <w:rsid w:val="00FA14A5"/>
    <w:rsid w:val="00FA169D"/>
    <w:rsid w:val="00FA3D5F"/>
    <w:rsid w:val="00FA41D8"/>
    <w:rsid w:val="00FA579F"/>
    <w:rsid w:val="00FB0515"/>
    <w:rsid w:val="00FB0D80"/>
    <w:rsid w:val="00FB44F9"/>
    <w:rsid w:val="00FB5051"/>
    <w:rsid w:val="00FB50B0"/>
    <w:rsid w:val="00FC3065"/>
    <w:rsid w:val="00FC509C"/>
    <w:rsid w:val="00FD0491"/>
    <w:rsid w:val="00FD2478"/>
    <w:rsid w:val="00FD36F6"/>
    <w:rsid w:val="00FD5D48"/>
    <w:rsid w:val="00FD633C"/>
    <w:rsid w:val="00FD7B14"/>
    <w:rsid w:val="00FE0A2A"/>
    <w:rsid w:val="00FE3743"/>
    <w:rsid w:val="00FE6843"/>
    <w:rsid w:val="00FE7AAE"/>
    <w:rsid w:val="00FF0CF4"/>
    <w:rsid w:val="00FF4E18"/>
    <w:rsid w:val="00FF5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C7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semiHidden="0" w:unhideWhenUsed="0"/>
    <w:lsdException w:name="Default Paragraph Font" w:uiPriority="1"/>
    <w:lsdException w:name="Subtitle"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33C2"/>
    <w:pPr>
      <w:spacing w:after="200" w:line="276" w:lineRule="auto"/>
    </w:pPr>
  </w:style>
  <w:style w:type="paragraph" w:styleId="Heading1">
    <w:name w:val="heading 1"/>
    <w:basedOn w:val="Normal"/>
    <w:link w:val="Heading1Char"/>
    <w:uiPriority w:val="9"/>
    <w:qFormat/>
    <w:rsid w:val="003C20E8"/>
    <w:pPr>
      <w:tabs>
        <w:tab w:val="left" w:pos="284"/>
      </w:tabs>
      <w:spacing w:after="0" w:line="240" w:lineRule="auto"/>
      <w:jc w:val="both"/>
      <w:outlineLvl w:val="0"/>
    </w:pPr>
    <w:rPr>
      <w:b/>
      <w:sz w:val="24"/>
      <w:szCs w:val="24"/>
    </w:rPr>
  </w:style>
  <w:style w:type="paragraph" w:styleId="Heading2">
    <w:name w:val="heading 2"/>
    <w:basedOn w:val="Normal"/>
    <w:link w:val="Heading2Char"/>
    <w:uiPriority w:val="9"/>
    <w:qFormat/>
    <w:rsid w:val="001038F6"/>
    <w:pPr>
      <w:tabs>
        <w:tab w:val="left" w:pos="284"/>
        <w:tab w:val="left" w:pos="567"/>
        <w:tab w:val="left" w:pos="851"/>
        <w:tab w:val="left" w:pos="1134"/>
      </w:tabs>
      <w:spacing w:after="0" w:line="240" w:lineRule="auto"/>
      <w:jc w:val="center"/>
      <w:outlineLvl w:val="1"/>
    </w:pPr>
    <w:rPr>
      <w:i/>
      <w:sz w:val="24"/>
      <w:szCs w:val="24"/>
    </w:rPr>
  </w:style>
  <w:style w:type="paragraph" w:styleId="Heading3">
    <w:name w:val="heading 3"/>
    <w:aliases w:val="Heading 10"/>
    <w:basedOn w:val="Normal"/>
    <w:next w:val="Normal"/>
    <w:link w:val="Heading3Char"/>
    <w:unhideWhenUsed/>
    <w:qFormat/>
    <w:rsid w:val="001038F6"/>
    <w:pPr>
      <w:tabs>
        <w:tab w:val="left" w:pos="284"/>
        <w:tab w:val="left" w:pos="567"/>
        <w:tab w:val="left" w:pos="851"/>
        <w:tab w:val="left" w:pos="1134"/>
      </w:tabs>
      <w:spacing w:after="0" w:line="240" w:lineRule="auto"/>
      <w:jc w:val="both"/>
      <w:outlineLvl w:val="2"/>
    </w:pPr>
    <w:rPr>
      <w:b/>
      <w:sz w:val="24"/>
      <w:szCs w:val="24"/>
    </w:rPr>
  </w:style>
  <w:style w:type="paragraph" w:styleId="Heading4">
    <w:name w:val="heading 4"/>
    <w:basedOn w:val="Normal"/>
    <w:next w:val="Normal"/>
    <w:link w:val="Heading4Char"/>
    <w:unhideWhenUsed/>
    <w:qFormat/>
    <w:locked/>
    <w:rsid w:val="00D21C3F"/>
    <w:pPr>
      <w:tabs>
        <w:tab w:val="left" w:pos="284"/>
      </w:tabs>
      <w:spacing w:after="0" w:line="240" w:lineRule="auto"/>
      <w:jc w:val="both"/>
      <w:outlineLvl w:val="3"/>
    </w:pPr>
    <w:rPr>
      <w:b/>
      <w:sz w:val="24"/>
      <w:szCs w:val="24"/>
    </w:rPr>
  </w:style>
  <w:style w:type="paragraph" w:styleId="Heading5">
    <w:name w:val="heading 5"/>
    <w:basedOn w:val="Normal"/>
    <w:next w:val="Normal"/>
    <w:link w:val="Heading5Char"/>
    <w:semiHidden/>
    <w:unhideWhenUsed/>
    <w:qFormat/>
    <w:locked/>
    <w:rsid w:val="009C677E"/>
    <w:p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semiHidden/>
    <w:unhideWhenUsed/>
    <w:qFormat/>
    <w:locked/>
    <w:rsid w:val="009C677E"/>
    <w:pPr>
      <w:spacing w:before="240" w:after="60"/>
      <w:outlineLvl w:val="5"/>
    </w:pPr>
    <w:rPr>
      <w:rFonts w:asciiTheme="minorHAnsi" w:eastAsiaTheme="minorEastAsia" w:hAnsiTheme="minorHAnsi" w:cstheme="minorBidi"/>
      <w:b/>
      <w:bCs/>
      <w:sz w:val="22"/>
      <w:szCs w:val="22"/>
    </w:rPr>
  </w:style>
  <w:style w:type="paragraph" w:styleId="Heading7">
    <w:name w:val="heading 7"/>
    <w:basedOn w:val="Normal"/>
    <w:next w:val="Normal"/>
    <w:link w:val="Heading7Char"/>
    <w:semiHidden/>
    <w:unhideWhenUsed/>
    <w:qFormat/>
    <w:locked/>
    <w:rsid w:val="009C677E"/>
    <w:p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semiHidden/>
    <w:unhideWhenUsed/>
    <w:qFormat/>
    <w:locked/>
    <w:rsid w:val="009C677E"/>
    <w:p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semiHidden/>
    <w:unhideWhenUsed/>
    <w:qFormat/>
    <w:locked/>
    <w:rsid w:val="009C677E"/>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C20E8"/>
    <w:rPr>
      <w:b/>
      <w:sz w:val="24"/>
      <w:szCs w:val="24"/>
    </w:rPr>
  </w:style>
  <w:style w:type="character" w:customStyle="1" w:styleId="Heading1Char1">
    <w:name w:val="Heading 1 Char1"/>
    <w:uiPriority w:val="99"/>
    <w:locked/>
    <w:rsid w:val="009C677E"/>
    <w:rPr>
      <w:rFonts w:ascii="Times New Roman" w:eastAsia="Times New Roman" w:hAnsi="Times New Roman" w:cs="Times New Roman"/>
      <w:b/>
      <w:caps/>
      <w:color w:val="000000"/>
      <w:kern w:val="36"/>
      <w:sz w:val="32"/>
      <w:szCs w:val="20"/>
      <w:lang w:eastAsia="en-GB"/>
    </w:rPr>
  </w:style>
  <w:style w:type="character" w:customStyle="1" w:styleId="Heading2Char">
    <w:name w:val="Heading 2 Char"/>
    <w:link w:val="Heading2"/>
    <w:uiPriority w:val="9"/>
    <w:rsid w:val="001038F6"/>
    <w:rPr>
      <w:i/>
      <w:sz w:val="24"/>
      <w:szCs w:val="24"/>
    </w:rPr>
  </w:style>
  <w:style w:type="character" w:customStyle="1" w:styleId="Heading2Char1">
    <w:name w:val="Heading 2 Char1"/>
    <w:uiPriority w:val="99"/>
    <w:locked/>
    <w:rsid w:val="009C677E"/>
    <w:rPr>
      <w:rFonts w:ascii="Times New Roman" w:eastAsia="Times New Roman" w:hAnsi="Times New Roman" w:cs="Times New Roman"/>
      <w:b/>
      <w:color w:val="000000"/>
      <w:sz w:val="24"/>
      <w:szCs w:val="20"/>
      <w:lang w:eastAsia="en-GB"/>
    </w:rPr>
  </w:style>
  <w:style w:type="character" w:customStyle="1" w:styleId="Heading3Char">
    <w:name w:val="Heading 3 Char"/>
    <w:aliases w:val="Heading 10 Char"/>
    <w:link w:val="Heading3"/>
    <w:rsid w:val="001038F6"/>
    <w:rPr>
      <w:b/>
      <w:sz w:val="24"/>
      <w:szCs w:val="24"/>
    </w:rPr>
  </w:style>
  <w:style w:type="character" w:customStyle="1" w:styleId="Heading4Char">
    <w:name w:val="Heading 4 Char"/>
    <w:basedOn w:val="DefaultParagraphFont"/>
    <w:link w:val="Heading4"/>
    <w:rsid w:val="00D21C3F"/>
    <w:rPr>
      <w:b/>
      <w:sz w:val="24"/>
      <w:szCs w:val="24"/>
    </w:rPr>
  </w:style>
  <w:style w:type="character" w:customStyle="1" w:styleId="Heading5Char">
    <w:name w:val="Heading 5 Char"/>
    <w:basedOn w:val="DefaultParagraphFont"/>
    <w:link w:val="Heading5"/>
    <w:semiHidden/>
    <w:rsid w:val="009C677E"/>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semiHidden/>
    <w:rsid w:val="009C677E"/>
    <w:rPr>
      <w:rFonts w:asciiTheme="minorHAnsi" w:eastAsiaTheme="minorEastAsia" w:hAnsiTheme="minorHAnsi" w:cstheme="minorBidi"/>
      <w:b/>
      <w:bCs/>
      <w:sz w:val="22"/>
      <w:szCs w:val="22"/>
    </w:rPr>
  </w:style>
  <w:style w:type="character" w:customStyle="1" w:styleId="Heading7Char">
    <w:name w:val="Heading 7 Char"/>
    <w:basedOn w:val="DefaultParagraphFont"/>
    <w:link w:val="Heading7"/>
    <w:semiHidden/>
    <w:rsid w:val="009C677E"/>
    <w:rPr>
      <w:rFonts w:asciiTheme="minorHAnsi" w:eastAsiaTheme="minorEastAsia" w:hAnsiTheme="minorHAnsi" w:cstheme="minorBidi"/>
      <w:sz w:val="24"/>
      <w:szCs w:val="24"/>
    </w:rPr>
  </w:style>
  <w:style w:type="character" w:customStyle="1" w:styleId="Heading8Char">
    <w:name w:val="Heading 8 Char"/>
    <w:basedOn w:val="DefaultParagraphFont"/>
    <w:link w:val="Heading8"/>
    <w:semiHidden/>
    <w:rsid w:val="009C677E"/>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semiHidden/>
    <w:rsid w:val="009C677E"/>
    <w:rPr>
      <w:rFonts w:asciiTheme="majorHAnsi" w:eastAsiaTheme="majorEastAsia" w:hAnsiTheme="majorHAnsi" w:cstheme="majorBidi"/>
      <w:sz w:val="22"/>
      <w:szCs w:val="22"/>
    </w:rPr>
  </w:style>
  <w:style w:type="paragraph" w:styleId="Title">
    <w:name w:val="Title"/>
    <w:basedOn w:val="Normal"/>
    <w:link w:val="TitleChar"/>
    <w:uiPriority w:val="99"/>
    <w:rsid w:val="009C677E"/>
    <w:pPr>
      <w:spacing w:before="240" w:after="60"/>
      <w:jc w:val="center"/>
      <w:outlineLvl w:val="0"/>
    </w:pPr>
    <w:rPr>
      <w:rFonts w:ascii="Arial" w:eastAsia="Times New Roman" w:hAnsi="Arial" w:cs="Arial"/>
      <w:b/>
      <w:bCs/>
      <w:kern w:val="28"/>
      <w:sz w:val="32"/>
      <w:szCs w:val="32"/>
    </w:rPr>
  </w:style>
  <w:style w:type="character" w:customStyle="1" w:styleId="TitleChar">
    <w:name w:val="Title Char"/>
    <w:basedOn w:val="DefaultParagraphFont"/>
    <w:link w:val="Title"/>
    <w:uiPriority w:val="99"/>
    <w:rsid w:val="009C677E"/>
    <w:rPr>
      <w:rFonts w:ascii="Arial" w:eastAsia="Times New Roman" w:hAnsi="Arial" w:cs="Arial"/>
      <w:b/>
      <w:bCs/>
      <w:kern w:val="28"/>
      <w:sz w:val="32"/>
      <w:szCs w:val="32"/>
      <w:lang w:eastAsia="en-GB"/>
    </w:rPr>
  </w:style>
  <w:style w:type="paragraph" w:styleId="Subtitle">
    <w:name w:val="Subtitle"/>
    <w:basedOn w:val="Normal"/>
    <w:link w:val="SubtitleChar"/>
    <w:uiPriority w:val="99"/>
    <w:rsid w:val="009C677E"/>
    <w:pPr>
      <w:spacing w:after="60"/>
      <w:jc w:val="center"/>
      <w:outlineLvl w:val="1"/>
    </w:pPr>
    <w:rPr>
      <w:rFonts w:ascii="Arial" w:eastAsia="Times New Roman" w:hAnsi="Arial" w:cs="Arial"/>
    </w:rPr>
  </w:style>
  <w:style w:type="character" w:customStyle="1" w:styleId="SubtitleChar">
    <w:name w:val="Subtitle Char"/>
    <w:basedOn w:val="DefaultParagraphFont"/>
    <w:link w:val="Subtitle"/>
    <w:uiPriority w:val="99"/>
    <w:rsid w:val="009C677E"/>
    <w:rPr>
      <w:rFonts w:ascii="Arial" w:eastAsia="Times New Roman" w:hAnsi="Arial" w:cs="Arial"/>
      <w:sz w:val="24"/>
      <w:szCs w:val="24"/>
      <w:lang w:eastAsia="en-GB"/>
    </w:rPr>
  </w:style>
  <w:style w:type="character" w:styleId="Strong">
    <w:name w:val="Strong"/>
    <w:uiPriority w:val="22"/>
    <w:qFormat/>
    <w:rsid w:val="001038F6"/>
    <w:rPr>
      <w:b/>
      <w:bCs/>
    </w:rPr>
  </w:style>
  <w:style w:type="character" w:styleId="Emphasis">
    <w:name w:val="Emphasis"/>
    <w:uiPriority w:val="20"/>
    <w:qFormat/>
    <w:rsid w:val="001038F6"/>
    <w:rPr>
      <w:i/>
      <w:iCs/>
    </w:rPr>
  </w:style>
  <w:style w:type="paragraph" w:styleId="NoSpacing">
    <w:name w:val="No Spacing"/>
    <w:uiPriority w:val="99"/>
    <w:rsid w:val="009C677E"/>
  </w:style>
  <w:style w:type="paragraph" w:styleId="ListParagraph">
    <w:name w:val="List Paragraph"/>
    <w:basedOn w:val="Normal"/>
    <w:uiPriority w:val="34"/>
    <w:qFormat/>
    <w:rsid w:val="001038F6"/>
    <w:pPr>
      <w:ind w:left="720"/>
      <w:contextualSpacing/>
    </w:pPr>
  </w:style>
  <w:style w:type="paragraph" w:styleId="FootnoteText">
    <w:name w:val="footnote text"/>
    <w:aliases w:val=" Char,Char,ft,Footnote Text Char Char Char Char Char"/>
    <w:basedOn w:val="Normal"/>
    <w:link w:val="FootnoteTextChar"/>
    <w:uiPriority w:val="99"/>
    <w:unhideWhenUsed/>
    <w:rsid w:val="005833C2"/>
    <w:pPr>
      <w:spacing w:after="0" w:line="240" w:lineRule="auto"/>
    </w:pPr>
  </w:style>
  <w:style w:type="character" w:customStyle="1" w:styleId="FootnoteTextChar">
    <w:name w:val="Footnote Text Char"/>
    <w:aliases w:val=" Char Char,Char Char,ft Char,Footnote Text Char Char Char Char Char Char"/>
    <w:basedOn w:val="DefaultParagraphFont"/>
    <w:link w:val="FootnoteText"/>
    <w:uiPriority w:val="99"/>
    <w:rsid w:val="005833C2"/>
  </w:style>
  <w:style w:type="character" w:styleId="FootnoteReference">
    <w:name w:val="footnote reference"/>
    <w:basedOn w:val="DefaultParagraphFont"/>
    <w:uiPriority w:val="99"/>
    <w:unhideWhenUsed/>
    <w:rsid w:val="005833C2"/>
    <w:rPr>
      <w:vertAlign w:val="superscript"/>
    </w:rPr>
  </w:style>
  <w:style w:type="paragraph" w:styleId="Footer">
    <w:name w:val="footer"/>
    <w:basedOn w:val="Normal"/>
    <w:link w:val="FooterChar"/>
    <w:uiPriority w:val="99"/>
    <w:unhideWhenUsed/>
    <w:rsid w:val="005833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33C2"/>
  </w:style>
  <w:style w:type="paragraph" w:styleId="NormalWeb">
    <w:name w:val="Normal (Web)"/>
    <w:basedOn w:val="Normal"/>
    <w:uiPriority w:val="99"/>
    <w:unhideWhenUsed/>
    <w:rsid w:val="005833C2"/>
    <w:pPr>
      <w:spacing w:before="100" w:beforeAutospacing="1" w:after="100" w:afterAutospacing="1" w:line="240" w:lineRule="auto"/>
    </w:pPr>
    <w:rPr>
      <w:rFonts w:eastAsia="Times New Roman"/>
      <w:sz w:val="24"/>
      <w:szCs w:val="24"/>
      <w:lang w:eastAsia="en-GB"/>
    </w:rPr>
  </w:style>
  <w:style w:type="paragraph" w:styleId="PlainText">
    <w:name w:val="Plain Text"/>
    <w:basedOn w:val="Normal"/>
    <w:link w:val="PlainTextChar"/>
    <w:uiPriority w:val="99"/>
    <w:semiHidden/>
    <w:unhideWhenUsed/>
    <w:rsid w:val="005833C2"/>
    <w:pPr>
      <w:spacing w:after="0" w:line="240" w:lineRule="auto"/>
    </w:pPr>
    <w:rPr>
      <w:rFonts w:ascii="Calibri" w:eastAsiaTheme="minorEastAsia" w:hAnsi="Calibri"/>
      <w:sz w:val="22"/>
      <w:szCs w:val="21"/>
      <w:lang w:eastAsia="en-GB"/>
    </w:rPr>
  </w:style>
  <w:style w:type="character" w:customStyle="1" w:styleId="PlainTextChar">
    <w:name w:val="Plain Text Char"/>
    <w:basedOn w:val="DefaultParagraphFont"/>
    <w:link w:val="PlainText"/>
    <w:uiPriority w:val="99"/>
    <w:semiHidden/>
    <w:rsid w:val="005833C2"/>
    <w:rPr>
      <w:rFonts w:ascii="Calibri" w:eastAsiaTheme="minorEastAsia" w:hAnsi="Calibri"/>
      <w:sz w:val="22"/>
      <w:szCs w:val="21"/>
      <w:lang w:eastAsia="en-GB"/>
    </w:rPr>
  </w:style>
  <w:style w:type="character" w:styleId="CommentReference">
    <w:name w:val="annotation reference"/>
    <w:basedOn w:val="DefaultParagraphFont"/>
    <w:uiPriority w:val="99"/>
    <w:semiHidden/>
    <w:unhideWhenUsed/>
    <w:rsid w:val="005833C2"/>
    <w:rPr>
      <w:sz w:val="16"/>
      <w:szCs w:val="16"/>
    </w:rPr>
  </w:style>
  <w:style w:type="paragraph" w:styleId="CommentText">
    <w:name w:val="annotation text"/>
    <w:basedOn w:val="Normal"/>
    <w:link w:val="CommentTextChar"/>
    <w:uiPriority w:val="99"/>
    <w:unhideWhenUsed/>
    <w:rsid w:val="005833C2"/>
    <w:pPr>
      <w:spacing w:line="240" w:lineRule="auto"/>
    </w:pPr>
  </w:style>
  <w:style w:type="character" w:customStyle="1" w:styleId="CommentTextChar">
    <w:name w:val="Comment Text Char"/>
    <w:basedOn w:val="DefaultParagraphFont"/>
    <w:link w:val="CommentText"/>
    <w:uiPriority w:val="99"/>
    <w:rsid w:val="005833C2"/>
  </w:style>
  <w:style w:type="paragraph" w:styleId="BalloonText">
    <w:name w:val="Balloon Text"/>
    <w:basedOn w:val="Normal"/>
    <w:link w:val="BalloonTextChar"/>
    <w:uiPriority w:val="99"/>
    <w:semiHidden/>
    <w:unhideWhenUsed/>
    <w:rsid w:val="005833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33C2"/>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C00F34"/>
    <w:rPr>
      <w:b/>
      <w:bCs/>
    </w:rPr>
  </w:style>
  <w:style w:type="character" w:customStyle="1" w:styleId="CommentSubjectChar">
    <w:name w:val="Comment Subject Char"/>
    <w:basedOn w:val="CommentTextChar"/>
    <w:link w:val="CommentSubject"/>
    <w:uiPriority w:val="99"/>
    <w:semiHidden/>
    <w:rsid w:val="00C00F34"/>
    <w:rPr>
      <w:b/>
      <w:bCs/>
    </w:rPr>
  </w:style>
  <w:style w:type="paragraph" w:customStyle="1" w:styleId="Default">
    <w:name w:val="Default"/>
    <w:rsid w:val="009A15CB"/>
    <w:pPr>
      <w:autoSpaceDE w:val="0"/>
      <w:autoSpaceDN w:val="0"/>
      <w:adjustRightInd w:val="0"/>
    </w:pPr>
    <w:rPr>
      <w:rFonts w:ascii="Minion" w:hAnsi="Minion" w:cs="Minion"/>
      <w:color w:val="000000"/>
      <w:sz w:val="24"/>
      <w:szCs w:val="24"/>
    </w:rPr>
  </w:style>
  <w:style w:type="character" w:customStyle="1" w:styleId="st">
    <w:name w:val="st"/>
    <w:basedOn w:val="DefaultParagraphFont"/>
    <w:rsid w:val="00203F85"/>
  </w:style>
  <w:style w:type="character" w:customStyle="1" w:styleId="apple-converted-space">
    <w:name w:val="apple-converted-space"/>
    <w:basedOn w:val="DefaultParagraphFont"/>
    <w:rsid w:val="007076AC"/>
  </w:style>
  <w:style w:type="character" w:styleId="Hyperlink">
    <w:name w:val="Hyperlink"/>
    <w:basedOn w:val="DefaultParagraphFont"/>
    <w:uiPriority w:val="99"/>
    <w:unhideWhenUsed/>
    <w:rsid w:val="00787E7C"/>
    <w:rPr>
      <w:color w:val="0000FF" w:themeColor="hyperlink"/>
      <w:u w:val="single"/>
    </w:rPr>
  </w:style>
  <w:style w:type="paragraph" w:styleId="Revision">
    <w:name w:val="Revision"/>
    <w:hidden/>
    <w:uiPriority w:val="99"/>
    <w:semiHidden/>
    <w:rsid w:val="00B95518"/>
  </w:style>
  <w:style w:type="character" w:customStyle="1" w:styleId="reference-text">
    <w:name w:val="reference-text"/>
    <w:basedOn w:val="DefaultParagraphFont"/>
    <w:rsid w:val="00A563DC"/>
  </w:style>
  <w:style w:type="paragraph" w:customStyle="1" w:styleId="center">
    <w:name w:val="center"/>
    <w:basedOn w:val="Normal"/>
    <w:rsid w:val="006771DB"/>
    <w:pPr>
      <w:spacing w:before="100" w:beforeAutospacing="1" w:after="100" w:afterAutospacing="1" w:line="240" w:lineRule="auto"/>
    </w:pPr>
    <w:rPr>
      <w:rFonts w:eastAsia="Times New Roman"/>
      <w:sz w:val="24"/>
      <w:szCs w:val="24"/>
      <w:lang w:eastAsia="en-GB"/>
    </w:rPr>
  </w:style>
  <w:style w:type="character" w:customStyle="1" w:styleId="nowrap">
    <w:name w:val="nowrap"/>
    <w:basedOn w:val="DefaultParagraphFont"/>
    <w:rsid w:val="00D165CF"/>
  </w:style>
  <w:style w:type="character" w:styleId="FollowedHyperlink">
    <w:name w:val="FollowedHyperlink"/>
    <w:basedOn w:val="DefaultParagraphFont"/>
    <w:uiPriority w:val="99"/>
    <w:semiHidden/>
    <w:unhideWhenUsed/>
    <w:rsid w:val="00997530"/>
    <w:rPr>
      <w:color w:val="800080" w:themeColor="followedHyperlink"/>
      <w:u w:val="single"/>
    </w:rPr>
  </w:style>
  <w:style w:type="character" w:customStyle="1" w:styleId="sup">
    <w:name w:val="sup"/>
    <w:basedOn w:val="DefaultParagraphFont"/>
    <w:rsid w:val="00E416B5"/>
  </w:style>
  <w:style w:type="character" w:customStyle="1" w:styleId="headertext">
    <w:name w:val="headertext"/>
    <w:basedOn w:val="DefaultParagraphFont"/>
    <w:rsid w:val="00D86613"/>
  </w:style>
  <w:style w:type="character" w:customStyle="1" w:styleId="smallcaps">
    <w:name w:val="smallcaps"/>
    <w:basedOn w:val="DefaultParagraphFont"/>
    <w:rsid w:val="00B26141"/>
  </w:style>
  <w:style w:type="character" w:customStyle="1" w:styleId="documentbody">
    <w:name w:val="documentbody"/>
    <w:basedOn w:val="DefaultParagraphFont"/>
    <w:rsid w:val="00B26141"/>
  </w:style>
  <w:style w:type="character" w:customStyle="1" w:styleId="groupheading">
    <w:name w:val="groupheading"/>
    <w:basedOn w:val="DefaultParagraphFont"/>
    <w:rsid w:val="00850874"/>
  </w:style>
  <w:style w:type="character" w:customStyle="1" w:styleId="informationalsmall">
    <w:name w:val="informationalsmall"/>
    <w:basedOn w:val="DefaultParagraphFont"/>
    <w:rsid w:val="00850874"/>
  </w:style>
  <w:style w:type="character" w:customStyle="1" w:styleId="searchword">
    <w:name w:val="searchword"/>
    <w:basedOn w:val="DefaultParagraphFont"/>
    <w:rsid w:val="007B771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semiHidden="0" w:unhideWhenUsed="0"/>
    <w:lsdException w:name="Default Paragraph Font" w:uiPriority="1"/>
    <w:lsdException w:name="Subtitle"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33C2"/>
    <w:pPr>
      <w:spacing w:after="200" w:line="276" w:lineRule="auto"/>
    </w:pPr>
  </w:style>
  <w:style w:type="paragraph" w:styleId="Heading1">
    <w:name w:val="heading 1"/>
    <w:basedOn w:val="Normal"/>
    <w:link w:val="Heading1Char"/>
    <w:uiPriority w:val="9"/>
    <w:qFormat/>
    <w:rsid w:val="003C20E8"/>
    <w:pPr>
      <w:tabs>
        <w:tab w:val="left" w:pos="284"/>
      </w:tabs>
      <w:spacing w:after="0" w:line="240" w:lineRule="auto"/>
      <w:jc w:val="both"/>
      <w:outlineLvl w:val="0"/>
    </w:pPr>
    <w:rPr>
      <w:b/>
      <w:sz w:val="24"/>
      <w:szCs w:val="24"/>
    </w:rPr>
  </w:style>
  <w:style w:type="paragraph" w:styleId="Heading2">
    <w:name w:val="heading 2"/>
    <w:basedOn w:val="Normal"/>
    <w:link w:val="Heading2Char"/>
    <w:uiPriority w:val="9"/>
    <w:qFormat/>
    <w:rsid w:val="001038F6"/>
    <w:pPr>
      <w:tabs>
        <w:tab w:val="left" w:pos="284"/>
        <w:tab w:val="left" w:pos="567"/>
        <w:tab w:val="left" w:pos="851"/>
        <w:tab w:val="left" w:pos="1134"/>
      </w:tabs>
      <w:spacing w:after="0" w:line="240" w:lineRule="auto"/>
      <w:jc w:val="center"/>
      <w:outlineLvl w:val="1"/>
    </w:pPr>
    <w:rPr>
      <w:i/>
      <w:sz w:val="24"/>
      <w:szCs w:val="24"/>
    </w:rPr>
  </w:style>
  <w:style w:type="paragraph" w:styleId="Heading3">
    <w:name w:val="heading 3"/>
    <w:aliases w:val="Heading 10"/>
    <w:basedOn w:val="Normal"/>
    <w:next w:val="Normal"/>
    <w:link w:val="Heading3Char"/>
    <w:unhideWhenUsed/>
    <w:qFormat/>
    <w:rsid w:val="001038F6"/>
    <w:pPr>
      <w:tabs>
        <w:tab w:val="left" w:pos="284"/>
        <w:tab w:val="left" w:pos="567"/>
        <w:tab w:val="left" w:pos="851"/>
        <w:tab w:val="left" w:pos="1134"/>
      </w:tabs>
      <w:spacing w:after="0" w:line="240" w:lineRule="auto"/>
      <w:jc w:val="both"/>
      <w:outlineLvl w:val="2"/>
    </w:pPr>
    <w:rPr>
      <w:b/>
      <w:sz w:val="24"/>
      <w:szCs w:val="24"/>
    </w:rPr>
  </w:style>
  <w:style w:type="paragraph" w:styleId="Heading4">
    <w:name w:val="heading 4"/>
    <w:basedOn w:val="Normal"/>
    <w:next w:val="Normal"/>
    <w:link w:val="Heading4Char"/>
    <w:unhideWhenUsed/>
    <w:qFormat/>
    <w:locked/>
    <w:rsid w:val="00D21C3F"/>
    <w:pPr>
      <w:tabs>
        <w:tab w:val="left" w:pos="284"/>
      </w:tabs>
      <w:spacing w:after="0" w:line="240" w:lineRule="auto"/>
      <w:jc w:val="both"/>
      <w:outlineLvl w:val="3"/>
    </w:pPr>
    <w:rPr>
      <w:b/>
      <w:sz w:val="24"/>
      <w:szCs w:val="24"/>
    </w:rPr>
  </w:style>
  <w:style w:type="paragraph" w:styleId="Heading5">
    <w:name w:val="heading 5"/>
    <w:basedOn w:val="Normal"/>
    <w:next w:val="Normal"/>
    <w:link w:val="Heading5Char"/>
    <w:semiHidden/>
    <w:unhideWhenUsed/>
    <w:qFormat/>
    <w:locked/>
    <w:rsid w:val="009C677E"/>
    <w:p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semiHidden/>
    <w:unhideWhenUsed/>
    <w:qFormat/>
    <w:locked/>
    <w:rsid w:val="009C677E"/>
    <w:pPr>
      <w:spacing w:before="240" w:after="60"/>
      <w:outlineLvl w:val="5"/>
    </w:pPr>
    <w:rPr>
      <w:rFonts w:asciiTheme="minorHAnsi" w:eastAsiaTheme="minorEastAsia" w:hAnsiTheme="minorHAnsi" w:cstheme="minorBidi"/>
      <w:b/>
      <w:bCs/>
      <w:sz w:val="22"/>
      <w:szCs w:val="22"/>
    </w:rPr>
  </w:style>
  <w:style w:type="paragraph" w:styleId="Heading7">
    <w:name w:val="heading 7"/>
    <w:basedOn w:val="Normal"/>
    <w:next w:val="Normal"/>
    <w:link w:val="Heading7Char"/>
    <w:semiHidden/>
    <w:unhideWhenUsed/>
    <w:qFormat/>
    <w:locked/>
    <w:rsid w:val="009C677E"/>
    <w:p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semiHidden/>
    <w:unhideWhenUsed/>
    <w:qFormat/>
    <w:locked/>
    <w:rsid w:val="009C677E"/>
    <w:p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semiHidden/>
    <w:unhideWhenUsed/>
    <w:qFormat/>
    <w:locked/>
    <w:rsid w:val="009C677E"/>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C20E8"/>
    <w:rPr>
      <w:b/>
      <w:sz w:val="24"/>
      <w:szCs w:val="24"/>
    </w:rPr>
  </w:style>
  <w:style w:type="character" w:customStyle="1" w:styleId="Heading1Char1">
    <w:name w:val="Heading 1 Char1"/>
    <w:uiPriority w:val="99"/>
    <w:locked/>
    <w:rsid w:val="009C677E"/>
    <w:rPr>
      <w:rFonts w:ascii="Times New Roman" w:eastAsia="Times New Roman" w:hAnsi="Times New Roman" w:cs="Times New Roman"/>
      <w:b/>
      <w:caps/>
      <w:color w:val="000000"/>
      <w:kern w:val="36"/>
      <w:sz w:val="32"/>
      <w:szCs w:val="20"/>
      <w:lang w:eastAsia="en-GB"/>
    </w:rPr>
  </w:style>
  <w:style w:type="character" w:customStyle="1" w:styleId="Heading2Char">
    <w:name w:val="Heading 2 Char"/>
    <w:link w:val="Heading2"/>
    <w:uiPriority w:val="9"/>
    <w:rsid w:val="001038F6"/>
    <w:rPr>
      <w:i/>
      <w:sz w:val="24"/>
      <w:szCs w:val="24"/>
    </w:rPr>
  </w:style>
  <w:style w:type="character" w:customStyle="1" w:styleId="Heading2Char1">
    <w:name w:val="Heading 2 Char1"/>
    <w:uiPriority w:val="99"/>
    <w:locked/>
    <w:rsid w:val="009C677E"/>
    <w:rPr>
      <w:rFonts w:ascii="Times New Roman" w:eastAsia="Times New Roman" w:hAnsi="Times New Roman" w:cs="Times New Roman"/>
      <w:b/>
      <w:color w:val="000000"/>
      <w:sz w:val="24"/>
      <w:szCs w:val="20"/>
      <w:lang w:eastAsia="en-GB"/>
    </w:rPr>
  </w:style>
  <w:style w:type="character" w:customStyle="1" w:styleId="Heading3Char">
    <w:name w:val="Heading 3 Char"/>
    <w:aliases w:val="Heading 10 Char"/>
    <w:link w:val="Heading3"/>
    <w:rsid w:val="001038F6"/>
    <w:rPr>
      <w:b/>
      <w:sz w:val="24"/>
      <w:szCs w:val="24"/>
    </w:rPr>
  </w:style>
  <w:style w:type="character" w:customStyle="1" w:styleId="Heading4Char">
    <w:name w:val="Heading 4 Char"/>
    <w:basedOn w:val="DefaultParagraphFont"/>
    <w:link w:val="Heading4"/>
    <w:rsid w:val="00D21C3F"/>
    <w:rPr>
      <w:b/>
      <w:sz w:val="24"/>
      <w:szCs w:val="24"/>
    </w:rPr>
  </w:style>
  <w:style w:type="character" w:customStyle="1" w:styleId="Heading5Char">
    <w:name w:val="Heading 5 Char"/>
    <w:basedOn w:val="DefaultParagraphFont"/>
    <w:link w:val="Heading5"/>
    <w:semiHidden/>
    <w:rsid w:val="009C677E"/>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semiHidden/>
    <w:rsid w:val="009C677E"/>
    <w:rPr>
      <w:rFonts w:asciiTheme="minorHAnsi" w:eastAsiaTheme="minorEastAsia" w:hAnsiTheme="minorHAnsi" w:cstheme="minorBidi"/>
      <w:b/>
      <w:bCs/>
      <w:sz w:val="22"/>
      <w:szCs w:val="22"/>
    </w:rPr>
  </w:style>
  <w:style w:type="character" w:customStyle="1" w:styleId="Heading7Char">
    <w:name w:val="Heading 7 Char"/>
    <w:basedOn w:val="DefaultParagraphFont"/>
    <w:link w:val="Heading7"/>
    <w:semiHidden/>
    <w:rsid w:val="009C677E"/>
    <w:rPr>
      <w:rFonts w:asciiTheme="minorHAnsi" w:eastAsiaTheme="minorEastAsia" w:hAnsiTheme="minorHAnsi" w:cstheme="minorBidi"/>
      <w:sz w:val="24"/>
      <w:szCs w:val="24"/>
    </w:rPr>
  </w:style>
  <w:style w:type="character" w:customStyle="1" w:styleId="Heading8Char">
    <w:name w:val="Heading 8 Char"/>
    <w:basedOn w:val="DefaultParagraphFont"/>
    <w:link w:val="Heading8"/>
    <w:semiHidden/>
    <w:rsid w:val="009C677E"/>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semiHidden/>
    <w:rsid w:val="009C677E"/>
    <w:rPr>
      <w:rFonts w:asciiTheme="majorHAnsi" w:eastAsiaTheme="majorEastAsia" w:hAnsiTheme="majorHAnsi" w:cstheme="majorBidi"/>
      <w:sz w:val="22"/>
      <w:szCs w:val="22"/>
    </w:rPr>
  </w:style>
  <w:style w:type="paragraph" w:styleId="Title">
    <w:name w:val="Title"/>
    <w:basedOn w:val="Normal"/>
    <w:link w:val="TitleChar"/>
    <w:uiPriority w:val="99"/>
    <w:rsid w:val="009C677E"/>
    <w:pPr>
      <w:spacing w:before="240" w:after="60"/>
      <w:jc w:val="center"/>
      <w:outlineLvl w:val="0"/>
    </w:pPr>
    <w:rPr>
      <w:rFonts w:ascii="Arial" w:eastAsia="Times New Roman" w:hAnsi="Arial" w:cs="Arial"/>
      <w:b/>
      <w:bCs/>
      <w:kern w:val="28"/>
      <w:sz w:val="32"/>
      <w:szCs w:val="32"/>
    </w:rPr>
  </w:style>
  <w:style w:type="character" w:customStyle="1" w:styleId="TitleChar">
    <w:name w:val="Title Char"/>
    <w:basedOn w:val="DefaultParagraphFont"/>
    <w:link w:val="Title"/>
    <w:uiPriority w:val="99"/>
    <w:rsid w:val="009C677E"/>
    <w:rPr>
      <w:rFonts w:ascii="Arial" w:eastAsia="Times New Roman" w:hAnsi="Arial" w:cs="Arial"/>
      <w:b/>
      <w:bCs/>
      <w:kern w:val="28"/>
      <w:sz w:val="32"/>
      <w:szCs w:val="32"/>
      <w:lang w:eastAsia="en-GB"/>
    </w:rPr>
  </w:style>
  <w:style w:type="paragraph" w:styleId="Subtitle">
    <w:name w:val="Subtitle"/>
    <w:basedOn w:val="Normal"/>
    <w:link w:val="SubtitleChar"/>
    <w:uiPriority w:val="99"/>
    <w:rsid w:val="009C677E"/>
    <w:pPr>
      <w:spacing w:after="60"/>
      <w:jc w:val="center"/>
      <w:outlineLvl w:val="1"/>
    </w:pPr>
    <w:rPr>
      <w:rFonts w:ascii="Arial" w:eastAsia="Times New Roman" w:hAnsi="Arial" w:cs="Arial"/>
    </w:rPr>
  </w:style>
  <w:style w:type="character" w:customStyle="1" w:styleId="SubtitleChar">
    <w:name w:val="Subtitle Char"/>
    <w:basedOn w:val="DefaultParagraphFont"/>
    <w:link w:val="Subtitle"/>
    <w:uiPriority w:val="99"/>
    <w:rsid w:val="009C677E"/>
    <w:rPr>
      <w:rFonts w:ascii="Arial" w:eastAsia="Times New Roman" w:hAnsi="Arial" w:cs="Arial"/>
      <w:sz w:val="24"/>
      <w:szCs w:val="24"/>
      <w:lang w:eastAsia="en-GB"/>
    </w:rPr>
  </w:style>
  <w:style w:type="character" w:styleId="Strong">
    <w:name w:val="Strong"/>
    <w:uiPriority w:val="22"/>
    <w:qFormat/>
    <w:rsid w:val="001038F6"/>
    <w:rPr>
      <w:b/>
      <w:bCs/>
    </w:rPr>
  </w:style>
  <w:style w:type="character" w:styleId="Emphasis">
    <w:name w:val="Emphasis"/>
    <w:uiPriority w:val="20"/>
    <w:qFormat/>
    <w:rsid w:val="001038F6"/>
    <w:rPr>
      <w:i/>
      <w:iCs/>
    </w:rPr>
  </w:style>
  <w:style w:type="paragraph" w:styleId="NoSpacing">
    <w:name w:val="No Spacing"/>
    <w:uiPriority w:val="99"/>
    <w:rsid w:val="009C677E"/>
  </w:style>
  <w:style w:type="paragraph" w:styleId="ListParagraph">
    <w:name w:val="List Paragraph"/>
    <w:basedOn w:val="Normal"/>
    <w:uiPriority w:val="34"/>
    <w:qFormat/>
    <w:rsid w:val="001038F6"/>
    <w:pPr>
      <w:ind w:left="720"/>
      <w:contextualSpacing/>
    </w:pPr>
  </w:style>
  <w:style w:type="paragraph" w:styleId="FootnoteText">
    <w:name w:val="footnote text"/>
    <w:aliases w:val=" Char,Char,ft,Footnote Text Char Char Char Char Char"/>
    <w:basedOn w:val="Normal"/>
    <w:link w:val="FootnoteTextChar"/>
    <w:uiPriority w:val="99"/>
    <w:unhideWhenUsed/>
    <w:rsid w:val="005833C2"/>
    <w:pPr>
      <w:spacing w:after="0" w:line="240" w:lineRule="auto"/>
    </w:pPr>
  </w:style>
  <w:style w:type="character" w:customStyle="1" w:styleId="FootnoteTextChar">
    <w:name w:val="Footnote Text Char"/>
    <w:aliases w:val=" Char Char,Char Char,ft Char,Footnote Text Char Char Char Char Char Char"/>
    <w:basedOn w:val="DefaultParagraphFont"/>
    <w:link w:val="FootnoteText"/>
    <w:uiPriority w:val="99"/>
    <w:rsid w:val="005833C2"/>
  </w:style>
  <w:style w:type="character" w:styleId="FootnoteReference">
    <w:name w:val="footnote reference"/>
    <w:basedOn w:val="DefaultParagraphFont"/>
    <w:uiPriority w:val="99"/>
    <w:unhideWhenUsed/>
    <w:rsid w:val="005833C2"/>
    <w:rPr>
      <w:vertAlign w:val="superscript"/>
    </w:rPr>
  </w:style>
  <w:style w:type="paragraph" w:styleId="Footer">
    <w:name w:val="footer"/>
    <w:basedOn w:val="Normal"/>
    <w:link w:val="FooterChar"/>
    <w:uiPriority w:val="99"/>
    <w:unhideWhenUsed/>
    <w:rsid w:val="005833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33C2"/>
  </w:style>
  <w:style w:type="paragraph" w:styleId="NormalWeb">
    <w:name w:val="Normal (Web)"/>
    <w:basedOn w:val="Normal"/>
    <w:uiPriority w:val="99"/>
    <w:unhideWhenUsed/>
    <w:rsid w:val="005833C2"/>
    <w:pPr>
      <w:spacing w:before="100" w:beforeAutospacing="1" w:after="100" w:afterAutospacing="1" w:line="240" w:lineRule="auto"/>
    </w:pPr>
    <w:rPr>
      <w:rFonts w:eastAsia="Times New Roman"/>
      <w:sz w:val="24"/>
      <w:szCs w:val="24"/>
      <w:lang w:eastAsia="en-GB"/>
    </w:rPr>
  </w:style>
  <w:style w:type="paragraph" w:styleId="PlainText">
    <w:name w:val="Plain Text"/>
    <w:basedOn w:val="Normal"/>
    <w:link w:val="PlainTextChar"/>
    <w:uiPriority w:val="99"/>
    <w:semiHidden/>
    <w:unhideWhenUsed/>
    <w:rsid w:val="005833C2"/>
    <w:pPr>
      <w:spacing w:after="0" w:line="240" w:lineRule="auto"/>
    </w:pPr>
    <w:rPr>
      <w:rFonts w:ascii="Calibri" w:eastAsiaTheme="minorEastAsia" w:hAnsi="Calibri"/>
      <w:sz w:val="22"/>
      <w:szCs w:val="21"/>
      <w:lang w:eastAsia="en-GB"/>
    </w:rPr>
  </w:style>
  <w:style w:type="character" w:customStyle="1" w:styleId="PlainTextChar">
    <w:name w:val="Plain Text Char"/>
    <w:basedOn w:val="DefaultParagraphFont"/>
    <w:link w:val="PlainText"/>
    <w:uiPriority w:val="99"/>
    <w:semiHidden/>
    <w:rsid w:val="005833C2"/>
    <w:rPr>
      <w:rFonts w:ascii="Calibri" w:eastAsiaTheme="minorEastAsia" w:hAnsi="Calibri"/>
      <w:sz w:val="22"/>
      <w:szCs w:val="21"/>
      <w:lang w:eastAsia="en-GB"/>
    </w:rPr>
  </w:style>
  <w:style w:type="character" w:styleId="CommentReference">
    <w:name w:val="annotation reference"/>
    <w:basedOn w:val="DefaultParagraphFont"/>
    <w:uiPriority w:val="99"/>
    <w:semiHidden/>
    <w:unhideWhenUsed/>
    <w:rsid w:val="005833C2"/>
    <w:rPr>
      <w:sz w:val="16"/>
      <w:szCs w:val="16"/>
    </w:rPr>
  </w:style>
  <w:style w:type="paragraph" w:styleId="CommentText">
    <w:name w:val="annotation text"/>
    <w:basedOn w:val="Normal"/>
    <w:link w:val="CommentTextChar"/>
    <w:uiPriority w:val="99"/>
    <w:unhideWhenUsed/>
    <w:rsid w:val="005833C2"/>
    <w:pPr>
      <w:spacing w:line="240" w:lineRule="auto"/>
    </w:pPr>
  </w:style>
  <w:style w:type="character" w:customStyle="1" w:styleId="CommentTextChar">
    <w:name w:val="Comment Text Char"/>
    <w:basedOn w:val="DefaultParagraphFont"/>
    <w:link w:val="CommentText"/>
    <w:uiPriority w:val="99"/>
    <w:rsid w:val="005833C2"/>
  </w:style>
  <w:style w:type="paragraph" w:styleId="BalloonText">
    <w:name w:val="Balloon Text"/>
    <w:basedOn w:val="Normal"/>
    <w:link w:val="BalloonTextChar"/>
    <w:uiPriority w:val="99"/>
    <w:semiHidden/>
    <w:unhideWhenUsed/>
    <w:rsid w:val="005833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33C2"/>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C00F34"/>
    <w:rPr>
      <w:b/>
      <w:bCs/>
    </w:rPr>
  </w:style>
  <w:style w:type="character" w:customStyle="1" w:styleId="CommentSubjectChar">
    <w:name w:val="Comment Subject Char"/>
    <w:basedOn w:val="CommentTextChar"/>
    <w:link w:val="CommentSubject"/>
    <w:uiPriority w:val="99"/>
    <w:semiHidden/>
    <w:rsid w:val="00C00F34"/>
    <w:rPr>
      <w:b/>
      <w:bCs/>
    </w:rPr>
  </w:style>
  <w:style w:type="paragraph" w:customStyle="1" w:styleId="Default">
    <w:name w:val="Default"/>
    <w:rsid w:val="009A15CB"/>
    <w:pPr>
      <w:autoSpaceDE w:val="0"/>
      <w:autoSpaceDN w:val="0"/>
      <w:adjustRightInd w:val="0"/>
    </w:pPr>
    <w:rPr>
      <w:rFonts w:ascii="Minion" w:hAnsi="Minion" w:cs="Minion"/>
      <w:color w:val="000000"/>
      <w:sz w:val="24"/>
      <w:szCs w:val="24"/>
    </w:rPr>
  </w:style>
  <w:style w:type="character" w:customStyle="1" w:styleId="st">
    <w:name w:val="st"/>
    <w:basedOn w:val="DefaultParagraphFont"/>
    <w:rsid w:val="00203F85"/>
  </w:style>
  <w:style w:type="character" w:customStyle="1" w:styleId="apple-converted-space">
    <w:name w:val="apple-converted-space"/>
    <w:basedOn w:val="DefaultParagraphFont"/>
    <w:rsid w:val="007076AC"/>
  </w:style>
  <w:style w:type="character" w:styleId="Hyperlink">
    <w:name w:val="Hyperlink"/>
    <w:basedOn w:val="DefaultParagraphFont"/>
    <w:uiPriority w:val="99"/>
    <w:unhideWhenUsed/>
    <w:rsid w:val="00787E7C"/>
    <w:rPr>
      <w:color w:val="0000FF" w:themeColor="hyperlink"/>
      <w:u w:val="single"/>
    </w:rPr>
  </w:style>
  <w:style w:type="paragraph" w:styleId="Revision">
    <w:name w:val="Revision"/>
    <w:hidden/>
    <w:uiPriority w:val="99"/>
    <w:semiHidden/>
    <w:rsid w:val="00B95518"/>
  </w:style>
  <w:style w:type="character" w:customStyle="1" w:styleId="reference-text">
    <w:name w:val="reference-text"/>
    <w:basedOn w:val="DefaultParagraphFont"/>
    <w:rsid w:val="00A563DC"/>
  </w:style>
  <w:style w:type="paragraph" w:customStyle="1" w:styleId="center">
    <w:name w:val="center"/>
    <w:basedOn w:val="Normal"/>
    <w:rsid w:val="006771DB"/>
    <w:pPr>
      <w:spacing w:before="100" w:beforeAutospacing="1" w:after="100" w:afterAutospacing="1" w:line="240" w:lineRule="auto"/>
    </w:pPr>
    <w:rPr>
      <w:rFonts w:eastAsia="Times New Roman"/>
      <w:sz w:val="24"/>
      <w:szCs w:val="24"/>
      <w:lang w:eastAsia="en-GB"/>
    </w:rPr>
  </w:style>
  <w:style w:type="character" w:customStyle="1" w:styleId="nowrap">
    <w:name w:val="nowrap"/>
    <w:basedOn w:val="DefaultParagraphFont"/>
    <w:rsid w:val="00D165CF"/>
  </w:style>
  <w:style w:type="character" w:styleId="FollowedHyperlink">
    <w:name w:val="FollowedHyperlink"/>
    <w:basedOn w:val="DefaultParagraphFont"/>
    <w:uiPriority w:val="99"/>
    <w:semiHidden/>
    <w:unhideWhenUsed/>
    <w:rsid w:val="00997530"/>
    <w:rPr>
      <w:color w:val="800080" w:themeColor="followedHyperlink"/>
      <w:u w:val="single"/>
    </w:rPr>
  </w:style>
  <w:style w:type="character" w:customStyle="1" w:styleId="sup">
    <w:name w:val="sup"/>
    <w:basedOn w:val="DefaultParagraphFont"/>
    <w:rsid w:val="00E416B5"/>
  </w:style>
  <w:style w:type="character" w:customStyle="1" w:styleId="headertext">
    <w:name w:val="headertext"/>
    <w:basedOn w:val="DefaultParagraphFont"/>
    <w:rsid w:val="00D86613"/>
  </w:style>
  <w:style w:type="character" w:customStyle="1" w:styleId="smallcaps">
    <w:name w:val="smallcaps"/>
    <w:basedOn w:val="DefaultParagraphFont"/>
    <w:rsid w:val="00B26141"/>
  </w:style>
  <w:style w:type="character" w:customStyle="1" w:styleId="documentbody">
    <w:name w:val="documentbody"/>
    <w:basedOn w:val="DefaultParagraphFont"/>
    <w:rsid w:val="00B26141"/>
  </w:style>
  <w:style w:type="character" w:customStyle="1" w:styleId="groupheading">
    <w:name w:val="groupheading"/>
    <w:basedOn w:val="DefaultParagraphFont"/>
    <w:rsid w:val="00850874"/>
  </w:style>
  <w:style w:type="character" w:customStyle="1" w:styleId="informationalsmall">
    <w:name w:val="informationalsmall"/>
    <w:basedOn w:val="DefaultParagraphFont"/>
    <w:rsid w:val="00850874"/>
  </w:style>
  <w:style w:type="character" w:customStyle="1" w:styleId="searchword">
    <w:name w:val="searchword"/>
    <w:basedOn w:val="DefaultParagraphFont"/>
    <w:rsid w:val="007B77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88845">
      <w:bodyDiv w:val="1"/>
      <w:marLeft w:val="0"/>
      <w:marRight w:val="0"/>
      <w:marTop w:val="0"/>
      <w:marBottom w:val="0"/>
      <w:divBdr>
        <w:top w:val="none" w:sz="0" w:space="0" w:color="auto"/>
        <w:left w:val="none" w:sz="0" w:space="0" w:color="auto"/>
        <w:bottom w:val="none" w:sz="0" w:space="0" w:color="auto"/>
        <w:right w:val="none" w:sz="0" w:space="0" w:color="auto"/>
      </w:divBdr>
    </w:div>
    <w:div w:id="216628911">
      <w:bodyDiv w:val="1"/>
      <w:marLeft w:val="0"/>
      <w:marRight w:val="0"/>
      <w:marTop w:val="0"/>
      <w:marBottom w:val="0"/>
      <w:divBdr>
        <w:top w:val="none" w:sz="0" w:space="0" w:color="auto"/>
        <w:left w:val="none" w:sz="0" w:space="0" w:color="auto"/>
        <w:bottom w:val="none" w:sz="0" w:space="0" w:color="auto"/>
        <w:right w:val="none" w:sz="0" w:space="0" w:color="auto"/>
      </w:divBdr>
      <w:divsChild>
        <w:div w:id="1098328864">
          <w:marLeft w:val="0"/>
          <w:marRight w:val="0"/>
          <w:marTop w:val="0"/>
          <w:marBottom w:val="0"/>
          <w:divBdr>
            <w:top w:val="none" w:sz="0" w:space="0" w:color="auto"/>
            <w:left w:val="none" w:sz="0" w:space="0" w:color="auto"/>
            <w:bottom w:val="none" w:sz="0" w:space="0" w:color="auto"/>
            <w:right w:val="none" w:sz="0" w:space="0" w:color="auto"/>
          </w:divBdr>
        </w:div>
        <w:div w:id="2064790933">
          <w:marLeft w:val="0"/>
          <w:marRight w:val="0"/>
          <w:marTop w:val="0"/>
          <w:marBottom w:val="0"/>
          <w:divBdr>
            <w:top w:val="none" w:sz="0" w:space="0" w:color="auto"/>
            <w:left w:val="none" w:sz="0" w:space="0" w:color="auto"/>
            <w:bottom w:val="none" w:sz="0" w:space="0" w:color="auto"/>
            <w:right w:val="none" w:sz="0" w:space="0" w:color="auto"/>
          </w:divBdr>
        </w:div>
        <w:div w:id="648093064">
          <w:marLeft w:val="720"/>
          <w:marRight w:val="0"/>
          <w:marTop w:val="0"/>
          <w:marBottom w:val="0"/>
          <w:divBdr>
            <w:top w:val="none" w:sz="0" w:space="0" w:color="auto"/>
            <w:left w:val="none" w:sz="0" w:space="0" w:color="auto"/>
            <w:bottom w:val="none" w:sz="0" w:space="0" w:color="auto"/>
            <w:right w:val="none" w:sz="0" w:space="0" w:color="auto"/>
          </w:divBdr>
        </w:div>
        <w:div w:id="105663380">
          <w:marLeft w:val="720"/>
          <w:marRight w:val="0"/>
          <w:marTop w:val="0"/>
          <w:marBottom w:val="0"/>
          <w:divBdr>
            <w:top w:val="none" w:sz="0" w:space="0" w:color="auto"/>
            <w:left w:val="none" w:sz="0" w:space="0" w:color="auto"/>
            <w:bottom w:val="none" w:sz="0" w:space="0" w:color="auto"/>
            <w:right w:val="none" w:sz="0" w:space="0" w:color="auto"/>
          </w:divBdr>
        </w:div>
      </w:divsChild>
    </w:div>
    <w:div w:id="269750060">
      <w:bodyDiv w:val="1"/>
      <w:marLeft w:val="0"/>
      <w:marRight w:val="0"/>
      <w:marTop w:val="0"/>
      <w:marBottom w:val="0"/>
      <w:divBdr>
        <w:top w:val="none" w:sz="0" w:space="0" w:color="auto"/>
        <w:left w:val="none" w:sz="0" w:space="0" w:color="auto"/>
        <w:bottom w:val="none" w:sz="0" w:space="0" w:color="auto"/>
        <w:right w:val="none" w:sz="0" w:space="0" w:color="auto"/>
      </w:divBdr>
    </w:div>
    <w:div w:id="436026435">
      <w:bodyDiv w:val="1"/>
      <w:marLeft w:val="0"/>
      <w:marRight w:val="0"/>
      <w:marTop w:val="0"/>
      <w:marBottom w:val="0"/>
      <w:divBdr>
        <w:top w:val="none" w:sz="0" w:space="0" w:color="auto"/>
        <w:left w:val="none" w:sz="0" w:space="0" w:color="auto"/>
        <w:bottom w:val="none" w:sz="0" w:space="0" w:color="auto"/>
        <w:right w:val="none" w:sz="0" w:space="0" w:color="auto"/>
      </w:divBdr>
    </w:div>
    <w:div w:id="618725912">
      <w:bodyDiv w:val="1"/>
      <w:marLeft w:val="0"/>
      <w:marRight w:val="0"/>
      <w:marTop w:val="0"/>
      <w:marBottom w:val="0"/>
      <w:divBdr>
        <w:top w:val="none" w:sz="0" w:space="0" w:color="auto"/>
        <w:left w:val="none" w:sz="0" w:space="0" w:color="auto"/>
        <w:bottom w:val="none" w:sz="0" w:space="0" w:color="auto"/>
        <w:right w:val="none" w:sz="0" w:space="0" w:color="auto"/>
      </w:divBdr>
    </w:div>
    <w:div w:id="675889281">
      <w:bodyDiv w:val="1"/>
      <w:marLeft w:val="0"/>
      <w:marRight w:val="0"/>
      <w:marTop w:val="0"/>
      <w:marBottom w:val="0"/>
      <w:divBdr>
        <w:top w:val="none" w:sz="0" w:space="0" w:color="auto"/>
        <w:left w:val="none" w:sz="0" w:space="0" w:color="auto"/>
        <w:bottom w:val="none" w:sz="0" w:space="0" w:color="auto"/>
        <w:right w:val="none" w:sz="0" w:space="0" w:color="auto"/>
      </w:divBdr>
      <w:divsChild>
        <w:div w:id="1644430833">
          <w:marLeft w:val="0"/>
          <w:marRight w:val="0"/>
          <w:marTop w:val="0"/>
          <w:marBottom w:val="0"/>
          <w:divBdr>
            <w:top w:val="none" w:sz="0" w:space="0" w:color="auto"/>
            <w:left w:val="none" w:sz="0" w:space="0" w:color="auto"/>
            <w:bottom w:val="none" w:sz="0" w:space="0" w:color="auto"/>
            <w:right w:val="none" w:sz="0" w:space="0" w:color="auto"/>
          </w:divBdr>
        </w:div>
        <w:div w:id="137038786">
          <w:marLeft w:val="0"/>
          <w:marRight w:val="0"/>
          <w:marTop w:val="0"/>
          <w:marBottom w:val="0"/>
          <w:divBdr>
            <w:top w:val="none" w:sz="0" w:space="0" w:color="auto"/>
            <w:left w:val="none" w:sz="0" w:space="0" w:color="auto"/>
            <w:bottom w:val="none" w:sz="0" w:space="0" w:color="auto"/>
            <w:right w:val="none" w:sz="0" w:space="0" w:color="auto"/>
          </w:divBdr>
        </w:div>
      </w:divsChild>
    </w:div>
    <w:div w:id="679548925">
      <w:bodyDiv w:val="1"/>
      <w:marLeft w:val="0"/>
      <w:marRight w:val="0"/>
      <w:marTop w:val="0"/>
      <w:marBottom w:val="0"/>
      <w:divBdr>
        <w:top w:val="none" w:sz="0" w:space="0" w:color="auto"/>
        <w:left w:val="none" w:sz="0" w:space="0" w:color="auto"/>
        <w:bottom w:val="none" w:sz="0" w:space="0" w:color="auto"/>
        <w:right w:val="none" w:sz="0" w:space="0" w:color="auto"/>
      </w:divBdr>
    </w:div>
    <w:div w:id="762605565">
      <w:bodyDiv w:val="1"/>
      <w:marLeft w:val="0"/>
      <w:marRight w:val="0"/>
      <w:marTop w:val="0"/>
      <w:marBottom w:val="0"/>
      <w:divBdr>
        <w:top w:val="none" w:sz="0" w:space="0" w:color="auto"/>
        <w:left w:val="none" w:sz="0" w:space="0" w:color="auto"/>
        <w:bottom w:val="none" w:sz="0" w:space="0" w:color="auto"/>
        <w:right w:val="none" w:sz="0" w:space="0" w:color="auto"/>
      </w:divBdr>
    </w:div>
    <w:div w:id="979263023">
      <w:bodyDiv w:val="1"/>
      <w:marLeft w:val="0"/>
      <w:marRight w:val="0"/>
      <w:marTop w:val="0"/>
      <w:marBottom w:val="0"/>
      <w:divBdr>
        <w:top w:val="none" w:sz="0" w:space="0" w:color="auto"/>
        <w:left w:val="none" w:sz="0" w:space="0" w:color="auto"/>
        <w:bottom w:val="none" w:sz="0" w:space="0" w:color="auto"/>
        <w:right w:val="none" w:sz="0" w:space="0" w:color="auto"/>
      </w:divBdr>
    </w:div>
    <w:div w:id="1054961894">
      <w:bodyDiv w:val="1"/>
      <w:marLeft w:val="0"/>
      <w:marRight w:val="0"/>
      <w:marTop w:val="0"/>
      <w:marBottom w:val="0"/>
      <w:divBdr>
        <w:top w:val="none" w:sz="0" w:space="0" w:color="auto"/>
        <w:left w:val="none" w:sz="0" w:space="0" w:color="auto"/>
        <w:bottom w:val="none" w:sz="0" w:space="0" w:color="auto"/>
        <w:right w:val="none" w:sz="0" w:space="0" w:color="auto"/>
      </w:divBdr>
    </w:div>
    <w:div w:id="1143618002">
      <w:bodyDiv w:val="1"/>
      <w:marLeft w:val="0"/>
      <w:marRight w:val="0"/>
      <w:marTop w:val="0"/>
      <w:marBottom w:val="0"/>
      <w:divBdr>
        <w:top w:val="none" w:sz="0" w:space="0" w:color="auto"/>
        <w:left w:val="none" w:sz="0" w:space="0" w:color="auto"/>
        <w:bottom w:val="none" w:sz="0" w:space="0" w:color="auto"/>
        <w:right w:val="none" w:sz="0" w:space="0" w:color="auto"/>
      </w:divBdr>
      <w:divsChild>
        <w:div w:id="272977985">
          <w:marLeft w:val="0"/>
          <w:marRight w:val="0"/>
          <w:marTop w:val="0"/>
          <w:marBottom w:val="0"/>
          <w:divBdr>
            <w:top w:val="none" w:sz="0" w:space="0" w:color="auto"/>
            <w:left w:val="none" w:sz="0" w:space="0" w:color="auto"/>
            <w:bottom w:val="none" w:sz="0" w:space="0" w:color="auto"/>
            <w:right w:val="none" w:sz="0" w:space="0" w:color="auto"/>
          </w:divBdr>
        </w:div>
        <w:div w:id="1741978601">
          <w:marLeft w:val="0"/>
          <w:marRight w:val="0"/>
          <w:marTop w:val="0"/>
          <w:marBottom w:val="0"/>
          <w:divBdr>
            <w:top w:val="none" w:sz="0" w:space="0" w:color="auto"/>
            <w:left w:val="none" w:sz="0" w:space="0" w:color="auto"/>
            <w:bottom w:val="none" w:sz="0" w:space="0" w:color="auto"/>
            <w:right w:val="none" w:sz="0" w:space="0" w:color="auto"/>
          </w:divBdr>
        </w:div>
      </w:divsChild>
    </w:div>
    <w:div w:id="1539900043">
      <w:bodyDiv w:val="1"/>
      <w:marLeft w:val="0"/>
      <w:marRight w:val="0"/>
      <w:marTop w:val="0"/>
      <w:marBottom w:val="0"/>
      <w:divBdr>
        <w:top w:val="none" w:sz="0" w:space="0" w:color="auto"/>
        <w:left w:val="none" w:sz="0" w:space="0" w:color="auto"/>
        <w:bottom w:val="none" w:sz="0" w:space="0" w:color="auto"/>
        <w:right w:val="none" w:sz="0" w:space="0" w:color="auto"/>
      </w:divBdr>
    </w:div>
    <w:div w:id="1591961796">
      <w:bodyDiv w:val="1"/>
      <w:marLeft w:val="0"/>
      <w:marRight w:val="0"/>
      <w:marTop w:val="0"/>
      <w:marBottom w:val="0"/>
      <w:divBdr>
        <w:top w:val="none" w:sz="0" w:space="0" w:color="auto"/>
        <w:left w:val="none" w:sz="0" w:space="0" w:color="auto"/>
        <w:bottom w:val="none" w:sz="0" w:space="0" w:color="auto"/>
        <w:right w:val="none" w:sz="0" w:space="0" w:color="auto"/>
      </w:divBdr>
    </w:div>
    <w:div w:id="1732116718">
      <w:bodyDiv w:val="1"/>
      <w:marLeft w:val="0"/>
      <w:marRight w:val="0"/>
      <w:marTop w:val="0"/>
      <w:marBottom w:val="0"/>
      <w:divBdr>
        <w:top w:val="none" w:sz="0" w:space="0" w:color="auto"/>
        <w:left w:val="none" w:sz="0" w:space="0" w:color="auto"/>
        <w:bottom w:val="none" w:sz="0" w:space="0" w:color="auto"/>
        <w:right w:val="none" w:sz="0" w:space="0" w:color="auto"/>
      </w:divBdr>
      <w:divsChild>
        <w:div w:id="1444036053">
          <w:marLeft w:val="0"/>
          <w:marRight w:val="0"/>
          <w:marTop w:val="0"/>
          <w:marBottom w:val="0"/>
          <w:divBdr>
            <w:top w:val="none" w:sz="0" w:space="0" w:color="auto"/>
            <w:left w:val="none" w:sz="0" w:space="0" w:color="auto"/>
            <w:bottom w:val="none" w:sz="0" w:space="0" w:color="auto"/>
            <w:right w:val="none" w:sz="0" w:space="0" w:color="auto"/>
          </w:divBdr>
        </w:div>
        <w:div w:id="1098985553">
          <w:marLeft w:val="0"/>
          <w:marRight w:val="0"/>
          <w:marTop w:val="0"/>
          <w:marBottom w:val="0"/>
          <w:divBdr>
            <w:top w:val="none" w:sz="0" w:space="0" w:color="auto"/>
            <w:left w:val="none" w:sz="0" w:space="0" w:color="auto"/>
            <w:bottom w:val="none" w:sz="0" w:space="0" w:color="auto"/>
            <w:right w:val="none" w:sz="0" w:space="0" w:color="auto"/>
          </w:divBdr>
        </w:div>
        <w:div w:id="676616442">
          <w:marLeft w:val="0"/>
          <w:marRight w:val="0"/>
          <w:marTop w:val="0"/>
          <w:marBottom w:val="0"/>
          <w:divBdr>
            <w:top w:val="none" w:sz="0" w:space="0" w:color="auto"/>
            <w:left w:val="none" w:sz="0" w:space="0" w:color="auto"/>
            <w:bottom w:val="none" w:sz="0" w:space="0" w:color="auto"/>
            <w:right w:val="none" w:sz="0" w:space="0" w:color="auto"/>
          </w:divBdr>
        </w:div>
        <w:div w:id="594367032">
          <w:marLeft w:val="0"/>
          <w:marRight w:val="0"/>
          <w:marTop w:val="0"/>
          <w:marBottom w:val="0"/>
          <w:divBdr>
            <w:top w:val="none" w:sz="0" w:space="0" w:color="auto"/>
            <w:left w:val="none" w:sz="0" w:space="0" w:color="auto"/>
            <w:bottom w:val="none" w:sz="0" w:space="0" w:color="auto"/>
            <w:right w:val="none" w:sz="0" w:space="0" w:color="auto"/>
          </w:divBdr>
        </w:div>
        <w:div w:id="1061563700">
          <w:marLeft w:val="0"/>
          <w:marRight w:val="0"/>
          <w:marTop w:val="0"/>
          <w:marBottom w:val="0"/>
          <w:divBdr>
            <w:top w:val="none" w:sz="0" w:space="0" w:color="auto"/>
            <w:left w:val="none" w:sz="0" w:space="0" w:color="auto"/>
            <w:bottom w:val="none" w:sz="0" w:space="0" w:color="auto"/>
            <w:right w:val="none" w:sz="0" w:space="0" w:color="auto"/>
          </w:divBdr>
        </w:div>
        <w:div w:id="8498330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FBE456-EBD5-44C3-95CC-36723B615B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8724</Words>
  <Characters>49729</Characters>
  <Application>Microsoft Office Word</Application>
  <DocSecurity>4</DocSecurity>
  <Lines>414</Lines>
  <Paragraphs>116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Goudkamp</dc:creator>
  <cp:lastModifiedBy>Murphy, John (murphyjr)</cp:lastModifiedBy>
  <cp:revision>2</cp:revision>
  <cp:lastPrinted>2015-01-18T12:17:00Z</cp:lastPrinted>
  <dcterms:created xsi:type="dcterms:W3CDTF">2015-03-30T13:10:00Z</dcterms:created>
  <dcterms:modified xsi:type="dcterms:W3CDTF">2015-03-30T13:10:00Z</dcterms:modified>
</cp:coreProperties>
</file>