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604118" w14:textId="77777777" w:rsidR="00C0149D" w:rsidRPr="00E52728" w:rsidRDefault="00C0149D" w:rsidP="00C0149D">
      <w:pPr>
        <w:spacing w:line="360" w:lineRule="auto"/>
        <w:rPr>
          <w:b/>
          <w:smallCaps/>
          <w:color w:val="FF0000"/>
          <w:sz w:val="16"/>
          <w:szCs w:val="16"/>
        </w:rPr>
      </w:pPr>
      <w:bookmarkStart w:id="0" w:name="_GoBack"/>
      <w:r w:rsidRPr="00E52728">
        <w:rPr>
          <w:b/>
          <w:color w:val="FF0000"/>
          <w:sz w:val="16"/>
          <w:szCs w:val="16"/>
        </w:rPr>
        <w:t>[</w:t>
      </w:r>
      <w:proofErr w:type="gramStart"/>
      <w:r w:rsidRPr="00E52728">
        <w:rPr>
          <w:b/>
          <w:color w:val="FF0000"/>
          <w:sz w:val="16"/>
          <w:szCs w:val="16"/>
        </w:rPr>
        <w:t>recto/even</w:t>
      </w:r>
      <w:proofErr w:type="gramEnd"/>
      <w:r w:rsidRPr="00E52728">
        <w:rPr>
          <w:b/>
          <w:color w:val="FF0000"/>
          <w:sz w:val="16"/>
          <w:szCs w:val="16"/>
        </w:rPr>
        <w:t xml:space="preserve"> pages: </w:t>
      </w:r>
      <w:r w:rsidRPr="00E52728">
        <w:rPr>
          <w:b/>
          <w:smallCaps/>
          <w:color w:val="FF0000"/>
          <w:sz w:val="16"/>
          <w:szCs w:val="16"/>
        </w:rPr>
        <w:t>Agata Fijalkowski ]</w:t>
      </w:r>
    </w:p>
    <w:bookmarkEnd w:id="0"/>
    <w:p w14:paraId="11ADE8C0" w14:textId="77777777" w:rsidR="00C0149D" w:rsidRPr="00E52728" w:rsidRDefault="00C0149D" w:rsidP="00C0149D">
      <w:pPr>
        <w:spacing w:line="360" w:lineRule="auto"/>
        <w:rPr>
          <w:b/>
          <w:smallCaps/>
          <w:color w:val="FF0000"/>
          <w:sz w:val="16"/>
          <w:szCs w:val="16"/>
        </w:rPr>
      </w:pPr>
      <w:r w:rsidRPr="00E52728">
        <w:rPr>
          <w:b/>
          <w:smallCaps/>
          <w:color w:val="FF0000"/>
          <w:sz w:val="16"/>
          <w:szCs w:val="16"/>
        </w:rPr>
        <w:t>[</w:t>
      </w:r>
      <w:proofErr w:type="gramStart"/>
      <w:r w:rsidRPr="00E52728">
        <w:rPr>
          <w:b/>
          <w:color w:val="FF0000"/>
          <w:sz w:val="16"/>
          <w:szCs w:val="16"/>
        </w:rPr>
        <w:t>verso/odd</w:t>
      </w:r>
      <w:proofErr w:type="gramEnd"/>
      <w:r w:rsidRPr="00E52728">
        <w:rPr>
          <w:b/>
          <w:color w:val="FF0000"/>
          <w:sz w:val="16"/>
          <w:szCs w:val="16"/>
        </w:rPr>
        <w:t xml:space="preserve"> pages: </w:t>
      </w:r>
      <w:r w:rsidRPr="00C0149D">
        <w:rPr>
          <w:b/>
          <w:color w:val="FF0000"/>
          <w:sz w:val="16"/>
          <w:szCs w:val="16"/>
        </w:rPr>
        <w:t xml:space="preserve">Retrospective Justice: Post-Communist Germany </w:t>
      </w:r>
      <w:r>
        <w:rPr>
          <w:b/>
          <w:color w:val="FF0000"/>
          <w:sz w:val="16"/>
          <w:szCs w:val="16"/>
        </w:rPr>
        <w:t>a</w:t>
      </w:r>
      <w:r w:rsidRPr="00C0149D">
        <w:rPr>
          <w:b/>
          <w:color w:val="FF0000"/>
          <w:sz w:val="16"/>
          <w:szCs w:val="16"/>
        </w:rPr>
        <w:t>nd Poland</w:t>
      </w:r>
      <w:r w:rsidRPr="00E52728">
        <w:rPr>
          <w:b/>
          <w:smallCaps/>
          <w:color w:val="FF0000"/>
          <w:sz w:val="16"/>
          <w:szCs w:val="16"/>
        </w:rPr>
        <w:t>]</w:t>
      </w:r>
    </w:p>
    <w:p w14:paraId="57C6B59C" w14:textId="77777777" w:rsidR="00C0149D" w:rsidRDefault="00C0149D" w:rsidP="00B24579">
      <w:pPr>
        <w:pStyle w:val="Body1"/>
        <w:spacing w:line="360" w:lineRule="auto"/>
        <w:jc w:val="center"/>
        <w:rPr>
          <w:rFonts w:ascii="Arial" w:hAnsi="Arial" w:cs="Arial"/>
          <w:b/>
          <w:sz w:val="28"/>
          <w:szCs w:val="28"/>
          <w:lang w:val="en-GB"/>
        </w:rPr>
      </w:pPr>
    </w:p>
    <w:p w14:paraId="7D3213C9" w14:textId="77777777" w:rsidR="00C0149D" w:rsidRDefault="00C0149D" w:rsidP="00B24579">
      <w:pPr>
        <w:pStyle w:val="Body1"/>
        <w:spacing w:line="360" w:lineRule="auto"/>
        <w:jc w:val="center"/>
        <w:rPr>
          <w:rFonts w:ascii="Arial" w:hAnsi="Arial" w:cs="Arial"/>
          <w:b/>
          <w:sz w:val="28"/>
          <w:szCs w:val="28"/>
          <w:lang w:val="en-GB"/>
        </w:rPr>
      </w:pPr>
    </w:p>
    <w:p w14:paraId="052DF85D" w14:textId="77777777" w:rsidR="00714E1C" w:rsidRDefault="00714E1C" w:rsidP="00B24579">
      <w:pPr>
        <w:pStyle w:val="Body1"/>
        <w:spacing w:line="360" w:lineRule="auto"/>
        <w:jc w:val="center"/>
        <w:rPr>
          <w:rFonts w:ascii="Arial" w:hAnsi="Arial" w:cs="Arial"/>
          <w:b/>
          <w:sz w:val="28"/>
          <w:szCs w:val="28"/>
          <w:lang w:val="en-GB"/>
        </w:rPr>
      </w:pPr>
      <w:r>
        <w:rPr>
          <w:rFonts w:ascii="Arial" w:hAnsi="Arial" w:cs="Arial"/>
          <w:b/>
          <w:sz w:val="28"/>
          <w:szCs w:val="28"/>
          <w:lang w:val="en-GB"/>
        </w:rPr>
        <w:t>Chapter 1</w:t>
      </w:r>
    </w:p>
    <w:p w14:paraId="4F9DC274" w14:textId="77777777" w:rsidR="00714E1C" w:rsidRDefault="00714E1C" w:rsidP="00B24579">
      <w:pPr>
        <w:pStyle w:val="Body1"/>
        <w:spacing w:line="360" w:lineRule="auto"/>
        <w:jc w:val="center"/>
        <w:rPr>
          <w:rFonts w:ascii="Arial" w:hAnsi="Arial" w:cs="Arial"/>
          <w:b/>
          <w:sz w:val="28"/>
          <w:szCs w:val="28"/>
          <w:lang w:val="en-GB"/>
        </w:rPr>
      </w:pPr>
    </w:p>
    <w:p w14:paraId="7239BE98" w14:textId="77777777" w:rsidR="00B24579" w:rsidRPr="0081708C" w:rsidRDefault="0081708C" w:rsidP="00B24579">
      <w:pPr>
        <w:pStyle w:val="Body1"/>
        <w:spacing w:line="360" w:lineRule="auto"/>
        <w:jc w:val="center"/>
        <w:rPr>
          <w:rFonts w:ascii="Arial" w:hAnsi="Arial" w:cs="Arial"/>
          <w:b/>
          <w:sz w:val="28"/>
          <w:szCs w:val="28"/>
          <w:lang w:val="en-GB"/>
        </w:rPr>
      </w:pPr>
      <w:r w:rsidRPr="0081708C">
        <w:rPr>
          <w:rFonts w:ascii="Arial" w:hAnsi="Arial" w:cs="Arial"/>
          <w:b/>
          <w:sz w:val="28"/>
          <w:szCs w:val="28"/>
          <w:lang w:val="en-GB"/>
        </w:rPr>
        <w:t xml:space="preserve">RETROSPECTIVE JUSTICE: </w:t>
      </w:r>
      <w:r>
        <w:rPr>
          <w:rFonts w:ascii="Arial" w:hAnsi="Arial" w:cs="Arial"/>
          <w:b/>
          <w:sz w:val="28"/>
          <w:szCs w:val="28"/>
          <w:lang w:val="en-GB"/>
        </w:rPr>
        <w:br/>
      </w:r>
      <w:r w:rsidRPr="0081708C">
        <w:rPr>
          <w:rFonts w:ascii="Arial" w:hAnsi="Arial" w:cs="Arial"/>
          <w:b/>
          <w:sz w:val="28"/>
          <w:szCs w:val="28"/>
          <w:lang w:val="en-GB"/>
        </w:rPr>
        <w:t xml:space="preserve">POST-COMMUNIST GERMANY AND POLAND </w:t>
      </w:r>
      <w:r>
        <w:rPr>
          <w:rFonts w:ascii="Arial" w:hAnsi="Arial" w:cs="Arial"/>
          <w:b/>
          <w:sz w:val="28"/>
          <w:szCs w:val="28"/>
          <w:lang w:val="en-GB"/>
        </w:rPr>
        <w:br/>
      </w:r>
      <w:r w:rsidRPr="0081708C">
        <w:rPr>
          <w:rFonts w:ascii="Arial" w:hAnsi="Arial" w:cs="Arial"/>
          <w:b/>
          <w:sz w:val="28"/>
          <w:szCs w:val="28"/>
          <w:lang w:val="en-GB"/>
        </w:rPr>
        <w:t>IN COMPARATIVE PERSPECTIVE</w:t>
      </w:r>
      <w:r w:rsidR="0024592B" w:rsidRPr="0024592B">
        <w:rPr>
          <w:rStyle w:val="FootnoteReference"/>
          <w:rFonts w:ascii="Arial" w:hAnsi="Arial" w:cs="Arial"/>
          <w:b/>
          <w:sz w:val="40"/>
          <w:szCs w:val="40"/>
          <w:lang w:val="en-GB"/>
        </w:rPr>
        <w:footnoteReference w:customMarkFollows="1" w:id="1"/>
        <w:sym w:font="Symbol" w:char="F02A"/>
      </w:r>
    </w:p>
    <w:p w14:paraId="2C51C0FC" w14:textId="77777777" w:rsidR="00685C4E" w:rsidRPr="00C0149D" w:rsidRDefault="00685C4E" w:rsidP="0081708C">
      <w:pPr>
        <w:pStyle w:val="Body1"/>
        <w:spacing w:line="360" w:lineRule="auto"/>
        <w:jc w:val="center"/>
        <w:rPr>
          <w:rFonts w:ascii="Arial" w:hAnsi="Arial" w:cs="Arial"/>
          <w:b/>
          <w:smallCaps/>
          <w:szCs w:val="24"/>
          <w:lang w:val="en-GB"/>
        </w:rPr>
      </w:pPr>
      <w:r w:rsidRPr="00C0149D">
        <w:rPr>
          <w:rFonts w:ascii="Arial" w:hAnsi="Arial" w:cs="Arial"/>
          <w:b/>
          <w:smallCaps/>
          <w:szCs w:val="24"/>
          <w:lang w:val="en-GB"/>
        </w:rPr>
        <w:t>Agata Fijalkowski</w:t>
      </w:r>
    </w:p>
    <w:p w14:paraId="57654F73" w14:textId="77777777" w:rsidR="00685C4E" w:rsidRPr="00A73461" w:rsidRDefault="00685C4E" w:rsidP="00685C4E">
      <w:pPr>
        <w:pStyle w:val="Body1"/>
        <w:spacing w:line="360" w:lineRule="auto"/>
        <w:jc w:val="both"/>
        <w:rPr>
          <w:szCs w:val="24"/>
          <w:lang w:val="en-GB"/>
        </w:rPr>
      </w:pPr>
    </w:p>
    <w:p w14:paraId="64A5C8B0" w14:textId="77777777" w:rsidR="00AB1D24" w:rsidRPr="00451146" w:rsidRDefault="00AB1D24" w:rsidP="00685C4E">
      <w:pPr>
        <w:pStyle w:val="Body1"/>
        <w:spacing w:line="360" w:lineRule="auto"/>
        <w:jc w:val="both"/>
        <w:rPr>
          <w:i/>
          <w:sz w:val="20"/>
          <w:lang w:val="en-GB"/>
        </w:rPr>
      </w:pPr>
      <w:r w:rsidRPr="00451146">
        <w:rPr>
          <w:i/>
          <w:sz w:val="20"/>
          <w:lang w:val="en-GB"/>
        </w:rPr>
        <w:t>There has for a very long time been a strong feeling against making legislation, and particularly criminal legislation, retrospective</w:t>
      </w:r>
      <w:r w:rsidR="00451146" w:rsidRPr="00451146">
        <w:rPr>
          <w:i/>
          <w:sz w:val="20"/>
          <w:lang w:val="en-GB"/>
        </w:rPr>
        <w:t xml:space="preserve"> </w:t>
      </w:r>
      <w:r w:rsidRPr="00451146">
        <w:rPr>
          <w:i/>
          <w:sz w:val="20"/>
          <w:lang w:val="en-GB"/>
        </w:rPr>
        <w:t>…</w:t>
      </w:r>
      <w:r w:rsidR="00C93860" w:rsidRPr="00451146">
        <w:rPr>
          <w:i/>
          <w:sz w:val="20"/>
          <w:lang w:val="en-GB"/>
        </w:rPr>
        <w:t xml:space="preserve"> </w:t>
      </w:r>
      <w:r w:rsidRPr="00451146">
        <w:rPr>
          <w:i/>
          <w:sz w:val="20"/>
          <w:lang w:val="en-GB"/>
        </w:rPr>
        <w:t>I use retrospective in the sense of authorising people being punished for what they did before the Act came into force.</w:t>
      </w:r>
      <w:r w:rsidRPr="00451146">
        <w:rPr>
          <w:i/>
          <w:sz w:val="20"/>
          <w:vertAlign w:val="superscript"/>
          <w:lang w:val="en-GB"/>
        </w:rPr>
        <w:footnoteReference w:id="2"/>
      </w:r>
      <w:r w:rsidRPr="00451146">
        <w:rPr>
          <w:i/>
          <w:sz w:val="20"/>
          <w:lang w:val="en-GB"/>
        </w:rPr>
        <w:t xml:space="preserve"> </w:t>
      </w:r>
    </w:p>
    <w:p w14:paraId="471106F1" w14:textId="77777777" w:rsidR="00AB1D24" w:rsidRPr="00451146" w:rsidRDefault="00AB1D24" w:rsidP="00685C4E">
      <w:pPr>
        <w:pStyle w:val="Body1"/>
        <w:spacing w:line="360" w:lineRule="auto"/>
        <w:jc w:val="both"/>
        <w:rPr>
          <w:i/>
          <w:sz w:val="20"/>
          <w:lang w:val="en-GB"/>
        </w:rPr>
      </w:pPr>
    </w:p>
    <w:p w14:paraId="734420D1" w14:textId="77777777" w:rsidR="00AB1D24" w:rsidRPr="00451146" w:rsidRDefault="00AB1D24" w:rsidP="00685C4E">
      <w:pPr>
        <w:pStyle w:val="Body1"/>
        <w:spacing w:line="360" w:lineRule="auto"/>
        <w:jc w:val="both"/>
        <w:rPr>
          <w:i/>
          <w:sz w:val="20"/>
          <w:lang w:val="en-GB"/>
        </w:rPr>
      </w:pPr>
      <w:r w:rsidRPr="00451146">
        <w:rPr>
          <w:i/>
          <w:sz w:val="20"/>
          <w:lang w:val="en-GB"/>
        </w:rPr>
        <w:t>Writing the recent history of the Central and Eastern part of Europe is unlike the work of the Western historian, who can turn to published sources, contemporary reports, memoirs by participants and eyewitnesses, whose work is embedded in solid, mostly normalized and consolidated public memory. Usually it is not the historian who is the messenger there, unlike the less fortunate part of the world, where the message is, more often than not, bad news. The recent history of Central and Eastern Europe is the history of bad times.</w:t>
      </w:r>
      <w:r w:rsidRPr="00451146">
        <w:rPr>
          <w:i/>
          <w:sz w:val="20"/>
          <w:vertAlign w:val="superscript"/>
          <w:lang w:val="en-GB"/>
        </w:rPr>
        <w:footnoteReference w:id="3"/>
      </w:r>
    </w:p>
    <w:p w14:paraId="70B52FF3" w14:textId="77777777" w:rsidR="0020775E" w:rsidRDefault="0020775E" w:rsidP="0020775E">
      <w:pPr>
        <w:spacing w:line="360" w:lineRule="auto"/>
        <w:jc w:val="both"/>
        <w:outlineLvl w:val="0"/>
        <w:rPr>
          <w:rFonts w:eastAsia="Arial Unicode MS"/>
          <w:color w:val="000000"/>
          <w:sz w:val="20"/>
          <w:szCs w:val="20"/>
          <w:u w:color="000000"/>
        </w:rPr>
      </w:pPr>
    </w:p>
    <w:p w14:paraId="17ABE6E4" w14:textId="6114C5DD" w:rsidR="00AB1D24" w:rsidRPr="00451146" w:rsidRDefault="0020775E" w:rsidP="000B39A2">
      <w:pPr>
        <w:spacing w:line="360" w:lineRule="auto"/>
        <w:jc w:val="both"/>
        <w:outlineLvl w:val="0"/>
        <w:rPr>
          <w:sz w:val="20"/>
        </w:rPr>
      </w:pPr>
      <w:r w:rsidRPr="00451146">
        <w:rPr>
          <w:rFonts w:eastAsia="Arial Unicode MS"/>
          <w:color w:val="000000"/>
          <w:sz w:val="20"/>
          <w:szCs w:val="20"/>
          <w:u w:color="000000"/>
        </w:rPr>
        <w:t>This chapter examines the similarities and differences of the legal discourses on the prohibition of retroactive laws within the European human rights framework</w:t>
      </w:r>
      <w:r w:rsidR="009B5E92">
        <w:rPr>
          <w:rFonts w:eastAsia="Arial Unicode MS"/>
          <w:color w:val="000000"/>
          <w:sz w:val="20"/>
          <w:szCs w:val="20"/>
          <w:u w:color="000000"/>
        </w:rPr>
        <w:t xml:space="preserve">. It also considers </w:t>
      </w:r>
      <w:r w:rsidRPr="00451146">
        <w:rPr>
          <w:rFonts w:eastAsia="Arial Unicode MS"/>
          <w:color w:val="000000"/>
          <w:sz w:val="20"/>
          <w:szCs w:val="20"/>
          <w:u w:color="000000"/>
        </w:rPr>
        <w:t xml:space="preserve">the significance of the notion of retrospective justice in the post-dictatorial period (post-1989) in Europe, and more specifically in Germany and Poland. </w:t>
      </w:r>
      <w:r>
        <w:rPr>
          <w:rFonts w:eastAsia="Arial Unicode MS"/>
          <w:color w:val="000000"/>
          <w:sz w:val="20"/>
          <w:szCs w:val="20"/>
          <w:u w:color="000000"/>
        </w:rPr>
        <w:t xml:space="preserve">It </w:t>
      </w:r>
      <w:r w:rsidRPr="00451146">
        <w:rPr>
          <w:rFonts w:eastAsia="Arial Unicode MS"/>
          <w:color w:val="000000"/>
          <w:sz w:val="20"/>
          <w:szCs w:val="20"/>
          <w:u w:color="000000"/>
        </w:rPr>
        <w:t xml:space="preserve">begins by setting out key legal definitions in national and regional legal frameworks in order to determine what underpins the prohibition on retroactive laws. </w:t>
      </w:r>
      <w:r>
        <w:rPr>
          <w:rFonts w:eastAsia="Arial Unicode MS"/>
          <w:color w:val="000000"/>
          <w:sz w:val="20"/>
          <w:szCs w:val="20"/>
          <w:u w:color="000000"/>
        </w:rPr>
        <w:t>An examination of key German, Polish and European jurisprudence reveals that t</w:t>
      </w:r>
      <w:r w:rsidRPr="00451146">
        <w:rPr>
          <w:rFonts w:eastAsia="Arial Unicode MS"/>
          <w:color w:val="000000"/>
          <w:sz w:val="20"/>
          <w:szCs w:val="20"/>
          <w:u w:color="000000"/>
        </w:rPr>
        <w:t>he legal narratives on retrospective justice run parallel and in opposite directions, reveal</w:t>
      </w:r>
      <w:r w:rsidR="0088568E">
        <w:rPr>
          <w:rFonts w:eastAsia="Arial Unicode MS"/>
          <w:color w:val="000000"/>
          <w:sz w:val="20"/>
          <w:szCs w:val="20"/>
          <w:u w:color="000000"/>
        </w:rPr>
        <w:t>ing</w:t>
      </w:r>
      <w:r w:rsidRPr="00451146">
        <w:rPr>
          <w:rFonts w:eastAsia="Arial Unicode MS"/>
          <w:color w:val="000000"/>
          <w:sz w:val="20"/>
          <w:szCs w:val="20"/>
          <w:u w:color="000000"/>
        </w:rPr>
        <w:t xml:space="preserve"> cracks in consensual histories that bring historical sensibility and issues into sharp relief. Retrospective justice in post-Communist Europe contribute</w:t>
      </w:r>
      <w:r w:rsidR="0088568E">
        <w:rPr>
          <w:rFonts w:eastAsia="Arial Unicode MS"/>
          <w:color w:val="000000"/>
          <w:sz w:val="20"/>
          <w:szCs w:val="20"/>
          <w:u w:color="000000"/>
        </w:rPr>
        <w:t>s</w:t>
      </w:r>
      <w:r w:rsidRPr="00451146">
        <w:rPr>
          <w:rFonts w:eastAsia="Arial Unicode MS"/>
          <w:color w:val="000000"/>
          <w:sz w:val="20"/>
          <w:szCs w:val="20"/>
          <w:u w:color="000000"/>
        </w:rPr>
        <w:t xml:space="preserve"> a defined set of problems to the field of transitional justice, </w:t>
      </w:r>
      <w:r w:rsidR="000B39A2">
        <w:rPr>
          <w:rFonts w:eastAsia="Arial Unicode MS"/>
          <w:color w:val="000000"/>
          <w:sz w:val="20"/>
          <w:szCs w:val="20"/>
          <w:u w:color="000000"/>
        </w:rPr>
        <w:t xml:space="preserve">beginning with the challenges posed by statutes of limitations and ending with unfinished </w:t>
      </w:r>
      <w:r w:rsidR="000B39A2" w:rsidRPr="00451146">
        <w:rPr>
          <w:rFonts w:eastAsia="Arial Unicode MS"/>
          <w:color w:val="000000"/>
          <w:sz w:val="20"/>
          <w:szCs w:val="20"/>
          <w:u w:color="000000"/>
        </w:rPr>
        <w:t>narratives on select chapters of Communist histories</w:t>
      </w:r>
      <w:r w:rsidR="000B39A2">
        <w:rPr>
          <w:rFonts w:eastAsia="Arial Unicode MS"/>
          <w:color w:val="000000"/>
          <w:sz w:val="20"/>
          <w:szCs w:val="20"/>
          <w:u w:color="000000"/>
        </w:rPr>
        <w:t>.</w:t>
      </w:r>
    </w:p>
    <w:p w14:paraId="38C58122" w14:textId="77777777" w:rsidR="00AB1D24" w:rsidRPr="00451146" w:rsidRDefault="0081708C" w:rsidP="00685C4E">
      <w:pPr>
        <w:spacing w:line="360" w:lineRule="auto"/>
        <w:jc w:val="both"/>
        <w:outlineLvl w:val="0"/>
        <w:rPr>
          <w:rFonts w:ascii="Arial" w:eastAsia="Arial Unicode MS" w:hAnsi="Arial" w:cs="Arial"/>
          <w:b/>
          <w:color w:val="000000"/>
          <w:sz w:val="22"/>
          <w:szCs w:val="22"/>
          <w:u w:color="000000"/>
        </w:rPr>
      </w:pPr>
      <w:r w:rsidRPr="00451146">
        <w:rPr>
          <w:rFonts w:ascii="Arial" w:eastAsia="Arial Unicode MS" w:hAnsi="Arial" w:cs="Arial"/>
          <w:b/>
          <w:color w:val="000000"/>
          <w:sz w:val="22"/>
          <w:szCs w:val="22"/>
          <w:u w:color="000000"/>
        </w:rPr>
        <w:lastRenderedPageBreak/>
        <w:t>RESEARCH QUESTION</w:t>
      </w:r>
    </w:p>
    <w:p w14:paraId="0BF7DA0F" w14:textId="11EBDEB0" w:rsidR="00AB1D24" w:rsidRPr="00451146" w:rsidRDefault="00AB1D24" w:rsidP="00685C4E">
      <w:pPr>
        <w:spacing w:line="360" w:lineRule="auto"/>
        <w:jc w:val="both"/>
        <w:outlineLvl w:val="0"/>
        <w:rPr>
          <w:rFonts w:eastAsia="Arial Unicode MS"/>
          <w:color w:val="000000"/>
          <w:sz w:val="20"/>
          <w:szCs w:val="20"/>
          <w:u w:color="000000"/>
        </w:rPr>
      </w:pPr>
      <w:r w:rsidRPr="00451146">
        <w:rPr>
          <w:rFonts w:eastAsia="Arial Unicode MS"/>
          <w:color w:val="000000"/>
          <w:sz w:val="20"/>
          <w:szCs w:val="20"/>
          <w:u w:color="000000"/>
        </w:rPr>
        <w:t>This chapter examines the similarities and differences of the legal discourses on the prohibition of retroactive laws within the European human rights framework</w:t>
      </w:r>
      <w:r w:rsidR="009B5E92">
        <w:rPr>
          <w:rFonts w:eastAsia="Arial Unicode MS"/>
          <w:color w:val="000000"/>
          <w:sz w:val="20"/>
          <w:szCs w:val="20"/>
          <w:u w:color="000000"/>
        </w:rPr>
        <w:t>. It also considers</w:t>
      </w:r>
      <w:r w:rsidRPr="00451146">
        <w:rPr>
          <w:rFonts w:eastAsia="Arial Unicode MS"/>
          <w:color w:val="000000"/>
          <w:sz w:val="20"/>
          <w:szCs w:val="20"/>
          <w:u w:color="000000"/>
        </w:rPr>
        <w:t xml:space="preserve"> the significance of the notion of retrospective justice in the post-dictatorial period (post-1989) in Europe, and more specifically in Germany and Poland. From a common law perspective, for example, the idea of punishing people for an act that was not a crime at the time of commission is regarded as loathsome. The fall of Communism in 1989 evokes a different </w:t>
      </w:r>
      <w:r w:rsidR="009B5E92">
        <w:rPr>
          <w:rFonts w:eastAsia="Arial Unicode MS"/>
          <w:color w:val="000000"/>
          <w:sz w:val="20"/>
          <w:szCs w:val="20"/>
          <w:u w:color="000000"/>
        </w:rPr>
        <w:t>chronicle</w:t>
      </w:r>
      <w:r w:rsidRPr="00451146">
        <w:rPr>
          <w:rFonts w:eastAsia="Arial Unicode MS"/>
          <w:color w:val="000000"/>
          <w:sz w:val="20"/>
          <w:szCs w:val="20"/>
          <w:u w:color="000000"/>
        </w:rPr>
        <w:t>, where the nature of the crime justifies a re-assessment of retroactive laws and punishing people – usually former political leaders and other state agents – for acts that undermine human rights</w:t>
      </w:r>
      <w:r w:rsidR="009B5E92">
        <w:rPr>
          <w:rFonts w:eastAsia="Arial Unicode MS"/>
          <w:color w:val="000000"/>
          <w:sz w:val="20"/>
          <w:szCs w:val="20"/>
          <w:u w:color="000000"/>
        </w:rPr>
        <w:t>.</w:t>
      </w:r>
      <w:r w:rsidRPr="00451146">
        <w:rPr>
          <w:rFonts w:eastAsia="Arial Unicode MS"/>
          <w:color w:val="000000"/>
          <w:sz w:val="20"/>
          <w:szCs w:val="20"/>
          <w:u w:color="000000"/>
        </w:rPr>
        <w:t xml:space="preserve"> </w:t>
      </w:r>
      <w:r w:rsidR="009B5E92">
        <w:rPr>
          <w:rFonts w:eastAsia="Arial Unicode MS"/>
          <w:color w:val="000000"/>
          <w:sz w:val="20"/>
          <w:szCs w:val="20"/>
          <w:u w:color="000000"/>
        </w:rPr>
        <w:t>These accounts</w:t>
      </w:r>
      <w:r w:rsidRPr="00451146">
        <w:rPr>
          <w:rFonts w:eastAsia="Arial Unicode MS"/>
          <w:color w:val="000000"/>
          <w:sz w:val="20"/>
          <w:szCs w:val="20"/>
          <w:u w:color="000000"/>
        </w:rPr>
        <w:t xml:space="preserve"> are inextricably en</w:t>
      </w:r>
      <w:r w:rsidR="009B5E92">
        <w:rPr>
          <w:rFonts w:eastAsia="Arial Unicode MS"/>
          <w:color w:val="000000"/>
          <w:sz w:val="20"/>
          <w:szCs w:val="20"/>
          <w:u w:color="000000"/>
        </w:rPr>
        <w:t>mesh</w:t>
      </w:r>
      <w:r w:rsidRPr="00451146">
        <w:rPr>
          <w:rFonts w:eastAsia="Arial Unicode MS"/>
          <w:color w:val="000000"/>
          <w:sz w:val="20"/>
          <w:szCs w:val="20"/>
          <w:u w:color="000000"/>
        </w:rPr>
        <w:t>ed with accompanying dominant historical narratives. These narratives involve different agents and ‘relationships of entanglement’ or ‘multiple n</w:t>
      </w:r>
      <w:r w:rsidR="00DB3EBE">
        <w:rPr>
          <w:rFonts w:eastAsia="Arial Unicode MS"/>
          <w:color w:val="000000"/>
          <w:sz w:val="20"/>
          <w:szCs w:val="20"/>
          <w:u w:color="000000"/>
        </w:rPr>
        <w:t>arratives of history and memory</w:t>
      </w:r>
      <w:r w:rsidRPr="00451146">
        <w:rPr>
          <w:rFonts w:eastAsia="Arial Unicode MS"/>
          <w:color w:val="000000"/>
          <w:sz w:val="20"/>
          <w:szCs w:val="20"/>
          <w:u w:color="000000"/>
        </w:rPr>
        <w:t>’</w:t>
      </w:r>
      <w:r w:rsidR="00DB3EBE">
        <w:rPr>
          <w:rFonts w:eastAsia="Arial Unicode MS"/>
          <w:color w:val="000000"/>
          <w:sz w:val="20"/>
          <w:szCs w:val="20"/>
          <w:u w:color="000000"/>
        </w:rPr>
        <w:t>.</w:t>
      </w:r>
      <w:r w:rsidRPr="00451146">
        <w:rPr>
          <w:rFonts w:eastAsia="Arial Unicode MS"/>
          <w:color w:val="000000"/>
          <w:sz w:val="20"/>
          <w:szCs w:val="20"/>
          <w:u w:color="000000"/>
          <w:vertAlign w:val="superscript"/>
        </w:rPr>
        <w:footnoteReference w:id="4"/>
      </w:r>
      <w:r w:rsidRPr="00451146">
        <w:rPr>
          <w:rFonts w:eastAsia="Arial Unicode MS"/>
          <w:color w:val="000000"/>
          <w:sz w:val="20"/>
          <w:szCs w:val="20"/>
          <w:u w:color="000000"/>
        </w:rPr>
        <w:t xml:space="preserve"> </w:t>
      </w:r>
      <w:r w:rsidR="0096016D" w:rsidRPr="00451146">
        <w:rPr>
          <w:rFonts w:eastAsia="Arial Unicode MS"/>
          <w:color w:val="000000"/>
          <w:sz w:val="20"/>
          <w:szCs w:val="20"/>
          <w:u w:color="000000"/>
        </w:rPr>
        <w:t>In this context r</w:t>
      </w:r>
      <w:r w:rsidRPr="00451146">
        <w:rPr>
          <w:rFonts w:eastAsia="Arial Unicode MS"/>
          <w:color w:val="000000"/>
          <w:sz w:val="20"/>
          <w:szCs w:val="20"/>
          <w:u w:color="000000"/>
        </w:rPr>
        <w:t xml:space="preserve">etrospective justice is considered an important feature of civil liberties, which, in turn, </w:t>
      </w:r>
      <w:r w:rsidR="00886305">
        <w:rPr>
          <w:rFonts w:eastAsia="Arial Unicode MS"/>
          <w:color w:val="000000"/>
          <w:sz w:val="20"/>
          <w:szCs w:val="20"/>
          <w:u w:color="000000"/>
        </w:rPr>
        <w:t>forms</w:t>
      </w:r>
      <w:r w:rsidRPr="00451146">
        <w:rPr>
          <w:rFonts w:eastAsia="Arial Unicode MS"/>
          <w:color w:val="000000"/>
          <w:sz w:val="20"/>
          <w:szCs w:val="20"/>
          <w:u w:color="000000"/>
        </w:rPr>
        <w:t xml:space="preserve"> an essential part of the transitional justice narrative, </w:t>
      </w:r>
      <w:r w:rsidR="00886305">
        <w:rPr>
          <w:rFonts w:eastAsia="Arial Unicode MS"/>
          <w:color w:val="000000"/>
          <w:sz w:val="20"/>
          <w:szCs w:val="20"/>
          <w:u w:color="000000"/>
        </w:rPr>
        <w:t>which is concerned</w:t>
      </w:r>
      <w:r w:rsidRPr="00451146">
        <w:rPr>
          <w:rFonts w:eastAsia="Arial Unicode MS"/>
          <w:color w:val="000000"/>
          <w:sz w:val="20"/>
          <w:szCs w:val="20"/>
          <w:u w:color="000000"/>
        </w:rPr>
        <w:t xml:space="preserve"> with the way in which post-dictatorial or post-conflict societies legally respond to past human rights atrocities. In order to appreciate the meanings of retrospective justice within the transitional criminal justice discourse, in terms of justice and historical narratives, it is important to look at </w:t>
      </w:r>
      <w:r w:rsidR="00886305">
        <w:rPr>
          <w:rFonts w:eastAsia="Arial Unicode MS"/>
          <w:color w:val="000000"/>
          <w:sz w:val="20"/>
          <w:szCs w:val="20"/>
          <w:u w:color="000000"/>
        </w:rPr>
        <w:t xml:space="preserve">selected </w:t>
      </w:r>
      <w:r w:rsidRPr="00451146">
        <w:rPr>
          <w:rFonts w:eastAsia="Arial Unicode MS"/>
          <w:color w:val="000000"/>
          <w:sz w:val="20"/>
          <w:szCs w:val="20"/>
          <w:u w:color="000000"/>
        </w:rPr>
        <w:t>case studies, where discourses pick up and</w:t>
      </w:r>
      <w:r w:rsidR="00886305">
        <w:rPr>
          <w:rFonts w:eastAsia="Arial Unicode MS"/>
          <w:color w:val="000000"/>
          <w:sz w:val="20"/>
          <w:szCs w:val="20"/>
          <w:u w:color="000000"/>
        </w:rPr>
        <w:t xml:space="preserve"> develop</w:t>
      </w:r>
      <w:r w:rsidRPr="00451146">
        <w:rPr>
          <w:rFonts w:eastAsia="Arial Unicode MS"/>
          <w:color w:val="000000"/>
          <w:sz w:val="20"/>
          <w:szCs w:val="20"/>
          <w:u w:color="000000"/>
        </w:rPr>
        <w:t xml:space="preserve"> themes that </w:t>
      </w:r>
      <w:r w:rsidR="00886305">
        <w:rPr>
          <w:rFonts w:eastAsia="Arial Unicode MS"/>
          <w:color w:val="000000"/>
          <w:sz w:val="20"/>
          <w:szCs w:val="20"/>
          <w:u w:color="000000"/>
        </w:rPr>
        <w:t>are peculiar to the specific country’s experience</w:t>
      </w:r>
      <w:r w:rsidRPr="00451146">
        <w:rPr>
          <w:rFonts w:eastAsia="Arial Unicode MS"/>
          <w:color w:val="000000"/>
          <w:sz w:val="20"/>
          <w:szCs w:val="20"/>
          <w:u w:color="000000"/>
        </w:rPr>
        <w:t>.</w:t>
      </w:r>
    </w:p>
    <w:p w14:paraId="3E7529B9" w14:textId="1D62DBBB" w:rsidR="00AB1D24" w:rsidRPr="00451146" w:rsidRDefault="00AB1D24" w:rsidP="00685C4E">
      <w:pPr>
        <w:spacing w:line="360" w:lineRule="auto"/>
        <w:jc w:val="both"/>
        <w:outlineLvl w:val="0"/>
        <w:rPr>
          <w:rFonts w:eastAsia="Arial Unicode MS"/>
          <w:color w:val="000000"/>
          <w:sz w:val="20"/>
          <w:szCs w:val="20"/>
          <w:u w:color="000000"/>
        </w:rPr>
      </w:pPr>
      <w:r w:rsidRPr="00451146">
        <w:rPr>
          <w:rFonts w:eastAsia="Arial Unicode MS"/>
          <w:color w:val="000000"/>
          <w:sz w:val="20"/>
          <w:szCs w:val="20"/>
          <w:u w:color="000000"/>
        </w:rPr>
        <w:tab/>
        <w:t>If certain events have been haunted by the persistent need to know, on the part of a given society, it also has been understood metonymically. In other words, an event can be read as part of a country’s history, where all citizens form a large family as they are connected to the particular crime or event, as victims or perpetrators or both.</w:t>
      </w:r>
      <w:r w:rsidRPr="00451146">
        <w:rPr>
          <w:rFonts w:eastAsia="Arial Unicode MS"/>
          <w:color w:val="000000"/>
          <w:sz w:val="20"/>
          <w:szCs w:val="20"/>
          <w:u w:color="000000"/>
          <w:vertAlign w:val="superscript"/>
        </w:rPr>
        <w:footnoteReference w:id="5"/>
      </w:r>
      <w:r w:rsidRPr="00451146">
        <w:rPr>
          <w:rFonts w:eastAsia="Arial Unicode MS"/>
          <w:color w:val="000000"/>
          <w:sz w:val="20"/>
          <w:szCs w:val="20"/>
          <w:u w:color="000000"/>
        </w:rPr>
        <w:t xml:space="preserve"> Retrospective justice </w:t>
      </w:r>
      <w:r w:rsidR="0096016D" w:rsidRPr="00451146">
        <w:rPr>
          <w:rFonts w:eastAsia="Arial Unicode MS"/>
          <w:color w:val="000000"/>
          <w:sz w:val="20"/>
          <w:szCs w:val="20"/>
          <w:u w:color="000000"/>
        </w:rPr>
        <w:t xml:space="preserve">takes on an additional meaning </w:t>
      </w:r>
      <w:r w:rsidRPr="00451146">
        <w:rPr>
          <w:rFonts w:eastAsia="Arial Unicode MS"/>
          <w:color w:val="000000"/>
          <w:sz w:val="20"/>
          <w:szCs w:val="20"/>
          <w:u w:color="000000"/>
        </w:rPr>
        <w:t>that imbricates with the relevant agents and histories.</w:t>
      </w:r>
    </w:p>
    <w:p w14:paraId="2FCE617E" w14:textId="288554F5" w:rsidR="00AB1D24" w:rsidRPr="00451146" w:rsidRDefault="00AB1D24" w:rsidP="00685C4E">
      <w:pPr>
        <w:spacing w:line="360" w:lineRule="auto"/>
        <w:ind w:firstLine="720"/>
        <w:jc w:val="both"/>
        <w:outlineLvl w:val="0"/>
        <w:rPr>
          <w:rFonts w:eastAsia="Arial Unicode MS"/>
          <w:color w:val="000000"/>
          <w:sz w:val="20"/>
          <w:szCs w:val="20"/>
          <w:u w:color="000000"/>
        </w:rPr>
      </w:pPr>
      <w:r w:rsidRPr="00451146">
        <w:rPr>
          <w:rFonts w:eastAsia="Arial Unicode MS"/>
          <w:color w:val="000000"/>
          <w:sz w:val="20"/>
          <w:szCs w:val="20"/>
          <w:u w:color="000000"/>
        </w:rPr>
        <w:t>Foucault cautions us that memories and histories are always in real or potential conflict with other histories and memories.</w:t>
      </w:r>
      <w:r w:rsidRPr="00451146">
        <w:rPr>
          <w:rFonts w:eastAsia="Arial Unicode MS"/>
          <w:color w:val="000000"/>
          <w:sz w:val="20"/>
          <w:szCs w:val="20"/>
          <w:u w:color="000000"/>
          <w:vertAlign w:val="superscript"/>
        </w:rPr>
        <w:footnoteReference w:id="6"/>
      </w:r>
      <w:r w:rsidRPr="00451146">
        <w:rPr>
          <w:rFonts w:eastAsia="Arial Unicode MS"/>
          <w:color w:val="000000"/>
          <w:sz w:val="20"/>
          <w:szCs w:val="20"/>
          <w:u w:color="000000"/>
        </w:rPr>
        <w:t xml:space="preserve"> Discourse helps to draw out contested aspects of memories and histories. In other words, a discourse on law informs politics; politics affect our perceptions of justice and potentially the law. An important dimension of this </w:t>
      </w:r>
      <w:r w:rsidR="001844EA">
        <w:rPr>
          <w:rFonts w:eastAsia="Arial Unicode MS"/>
          <w:color w:val="000000"/>
          <w:sz w:val="20"/>
          <w:szCs w:val="20"/>
          <w:u w:color="000000"/>
        </w:rPr>
        <w:t>cha</w:t>
      </w:r>
      <w:r w:rsidRPr="00451146">
        <w:rPr>
          <w:rFonts w:eastAsia="Arial Unicode MS"/>
          <w:color w:val="000000"/>
          <w:sz w:val="20"/>
          <w:szCs w:val="20"/>
          <w:u w:color="000000"/>
        </w:rPr>
        <w:t>p</w:t>
      </w:r>
      <w:r w:rsidR="001844EA">
        <w:rPr>
          <w:rFonts w:eastAsia="Arial Unicode MS"/>
          <w:color w:val="000000"/>
          <w:sz w:val="20"/>
          <w:szCs w:val="20"/>
          <w:u w:color="000000"/>
        </w:rPr>
        <w:t>t</w:t>
      </w:r>
      <w:r w:rsidRPr="00451146">
        <w:rPr>
          <w:rFonts w:eastAsia="Arial Unicode MS"/>
          <w:color w:val="000000"/>
          <w:sz w:val="20"/>
          <w:szCs w:val="20"/>
          <w:u w:color="000000"/>
        </w:rPr>
        <w:t>er is to examine which legal processes had a dialogue with, rather than an opposition to, official historical discourses and individual recollections. The aim is to address a set of problems raised by a particular group</w:t>
      </w:r>
      <w:r w:rsidR="00886305">
        <w:rPr>
          <w:rFonts w:eastAsia="Arial Unicode MS"/>
          <w:color w:val="000000"/>
          <w:sz w:val="20"/>
          <w:szCs w:val="20"/>
          <w:u w:color="000000"/>
        </w:rPr>
        <w:t>s</w:t>
      </w:r>
      <w:r w:rsidRPr="00451146">
        <w:rPr>
          <w:rFonts w:eastAsia="Arial Unicode MS"/>
          <w:color w:val="000000"/>
          <w:sz w:val="20"/>
          <w:szCs w:val="20"/>
          <w:u w:color="000000"/>
        </w:rPr>
        <w:t xml:space="preserve"> or agent</w:t>
      </w:r>
      <w:r w:rsidR="00886305">
        <w:rPr>
          <w:rFonts w:eastAsia="Arial Unicode MS"/>
          <w:color w:val="000000"/>
          <w:sz w:val="20"/>
          <w:szCs w:val="20"/>
          <w:u w:color="000000"/>
        </w:rPr>
        <w:t>s</w:t>
      </w:r>
      <w:r w:rsidRPr="00451146">
        <w:rPr>
          <w:rFonts w:eastAsia="Arial Unicode MS"/>
          <w:color w:val="000000"/>
          <w:sz w:val="20"/>
          <w:szCs w:val="20"/>
          <w:u w:color="000000"/>
        </w:rPr>
        <w:t xml:space="preserve">, rather than present a coherent narrative or reconcile a variety of approaches. </w:t>
      </w:r>
    </w:p>
    <w:p w14:paraId="5CD5936D" w14:textId="7E86FB09" w:rsidR="000B39A2" w:rsidRPr="00451146" w:rsidRDefault="00AB1D24" w:rsidP="00886305">
      <w:pPr>
        <w:spacing w:line="360" w:lineRule="auto"/>
        <w:ind w:firstLine="720"/>
        <w:jc w:val="both"/>
        <w:outlineLvl w:val="0"/>
        <w:rPr>
          <w:sz w:val="20"/>
        </w:rPr>
      </w:pPr>
      <w:r w:rsidRPr="00451146">
        <w:rPr>
          <w:rFonts w:eastAsia="Arial Unicode MS"/>
          <w:color w:val="000000"/>
          <w:sz w:val="20"/>
          <w:szCs w:val="20"/>
          <w:u w:color="000000"/>
        </w:rPr>
        <w:t xml:space="preserve">The chapter begins by setting out key legal definitions in national and regional legal </w:t>
      </w:r>
      <w:r w:rsidR="00886305">
        <w:rPr>
          <w:rFonts w:eastAsia="Arial Unicode MS"/>
          <w:color w:val="000000"/>
          <w:sz w:val="20"/>
          <w:szCs w:val="20"/>
          <w:u w:color="000000"/>
        </w:rPr>
        <w:t>context</w:t>
      </w:r>
      <w:r w:rsidRPr="00451146">
        <w:rPr>
          <w:rFonts w:eastAsia="Arial Unicode MS"/>
          <w:color w:val="000000"/>
          <w:sz w:val="20"/>
          <w:szCs w:val="20"/>
          <w:u w:color="000000"/>
        </w:rPr>
        <w:t xml:space="preserve">s in order to determine what underpins the prohibition on retroactive laws. Article 7 of the 1950 European Convention on Human Rights (ECHR) is critical to the discussion. The ECHR is the masterpiece of the Council of Europe, and has played an important role in </w:t>
      </w:r>
      <w:r w:rsidR="00F35118">
        <w:rPr>
          <w:rFonts w:eastAsia="Arial Unicode MS"/>
          <w:color w:val="000000"/>
          <w:sz w:val="20"/>
          <w:szCs w:val="20"/>
          <w:u w:color="000000"/>
        </w:rPr>
        <w:t>the development of human rights’</w:t>
      </w:r>
      <w:r w:rsidRPr="00451146">
        <w:rPr>
          <w:rFonts w:eastAsia="Arial Unicode MS"/>
          <w:color w:val="000000"/>
          <w:sz w:val="20"/>
          <w:szCs w:val="20"/>
          <w:u w:color="000000"/>
        </w:rPr>
        <w:t xml:space="preserve"> protection in Europe. </w:t>
      </w:r>
      <w:r w:rsidR="00063224" w:rsidRPr="00063224">
        <w:rPr>
          <w:sz w:val="20"/>
          <w:szCs w:val="20"/>
        </w:rPr>
        <w:t xml:space="preserve">The ECHR has come to comprise a regional human rights </w:t>
      </w:r>
      <w:r w:rsidR="00886305">
        <w:rPr>
          <w:sz w:val="20"/>
          <w:szCs w:val="20"/>
        </w:rPr>
        <w:t>agenda</w:t>
      </w:r>
      <w:r w:rsidR="00063224" w:rsidRPr="00063224">
        <w:rPr>
          <w:sz w:val="20"/>
          <w:szCs w:val="20"/>
        </w:rPr>
        <w:t xml:space="preserve"> that, together with the European Court of Human Rights, has engaged with the most fundamental issues of jurisprudence to meet its objective of human rights’ protection.</w:t>
      </w:r>
      <w:r w:rsidR="00063224">
        <w:t xml:space="preserve"> </w:t>
      </w:r>
      <w:r w:rsidRPr="00451146">
        <w:rPr>
          <w:rFonts w:eastAsia="Arial Unicode MS"/>
          <w:color w:val="000000"/>
          <w:sz w:val="20"/>
          <w:szCs w:val="20"/>
          <w:u w:color="000000"/>
        </w:rPr>
        <w:t>The ch</w:t>
      </w:r>
      <w:r w:rsidR="00F35118">
        <w:rPr>
          <w:rFonts w:eastAsia="Arial Unicode MS"/>
          <w:color w:val="000000"/>
          <w:sz w:val="20"/>
          <w:szCs w:val="20"/>
          <w:u w:color="000000"/>
        </w:rPr>
        <w:t>apter outlines the context that</w:t>
      </w:r>
      <w:r w:rsidRPr="00451146">
        <w:rPr>
          <w:rFonts w:eastAsia="Arial Unicode MS"/>
          <w:color w:val="000000"/>
          <w:sz w:val="20"/>
          <w:szCs w:val="20"/>
          <w:u w:color="000000"/>
        </w:rPr>
        <w:t xml:space="preserve"> frames retrospective justice and the importance of permitting the law, i.e. punishment, to work </w:t>
      </w:r>
      <w:r w:rsidRPr="00451146">
        <w:rPr>
          <w:rFonts w:eastAsia="Arial Unicode MS"/>
          <w:color w:val="000000"/>
          <w:sz w:val="20"/>
          <w:szCs w:val="20"/>
          <w:u w:color="000000"/>
        </w:rPr>
        <w:lastRenderedPageBreak/>
        <w:t xml:space="preserve">backwards, based on human rights arguments and historical narratives peculiar to Communist histories. The chapter specifically examines the German </w:t>
      </w:r>
      <w:r w:rsidR="00886305">
        <w:rPr>
          <w:rFonts w:eastAsia="Arial Unicode MS"/>
          <w:color w:val="000000"/>
          <w:sz w:val="20"/>
          <w:szCs w:val="20"/>
          <w:u w:color="000000"/>
        </w:rPr>
        <w:t xml:space="preserve">and Polish </w:t>
      </w:r>
      <w:r w:rsidRPr="00451146">
        <w:rPr>
          <w:rFonts w:eastAsia="Arial Unicode MS"/>
          <w:color w:val="000000"/>
          <w:sz w:val="20"/>
          <w:szCs w:val="20"/>
          <w:u w:color="000000"/>
        </w:rPr>
        <w:t xml:space="preserve">experiences, in particular the </w:t>
      </w:r>
      <w:r w:rsidRPr="00451146">
        <w:rPr>
          <w:rFonts w:eastAsia="Arial Unicode MS"/>
          <w:i/>
          <w:color w:val="000000"/>
          <w:sz w:val="20"/>
          <w:szCs w:val="20"/>
          <w:u w:color="000000"/>
        </w:rPr>
        <w:t xml:space="preserve">Border Guards </w:t>
      </w:r>
      <w:r w:rsidRPr="00451146">
        <w:rPr>
          <w:rFonts w:eastAsia="Arial Unicode MS"/>
          <w:color w:val="000000"/>
          <w:sz w:val="20"/>
          <w:szCs w:val="20"/>
          <w:u w:color="000000"/>
        </w:rPr>
        <w:t xml:space="preserve">cases. </w:t>
      </w:r>
      <w:r w:rsidR="00886305">
        <w:rPr>
          <w:rFonts w:eastAsia="Arial Unicode MS"/>
          <w:color w:val="000000"/>
          <w:sz w:val="20"/>
          <w:szCs w:val="20"/>
          <w:u w:color="000000"/>
        </w:rPr>
        <w:t xml:space="preserve">It also discusses the lifting of judicial immunity of judges who applied the law retrospectively during the martial law period in Poland. </w:t>
      </w:r>
      <w:r w:rsidRPr="00451146">
        <w:rPr>
          <w:rFonts w:eastAsia="Arial Unicode MS"/>
          <w:color w:val="000000"/>
          <w:sz w:val="20"/>
          <w:szCs w:val="20"/>
          <w:u w:color="000000"/>
        </w:rPr>
        <w:t xml:space="preserve">The legal reasoning </w:t>
      </w:r>
      <w:r w:rsidR="00886305">
        <w:rPr>
          <w:rFonts w:eastAsia="Arial Unicode MS"/>
          <w:color w:val="000000"/>
          <w:sz w:val="20"/>
          <w:szCs w:val="20"/>
          <w:u w:color="000000"/>
        </w:rPr>
        <w:t xml:space="preserve">of </w:t>
      </w:r>
      <w:r w:rsidRPr="00451146">
        <w:rPr>
          <w:rFonts w:eastAsia="Arial Unicode MS"/>
          <w:color w:val="000000"/>
          <w:sz w:val="20"/>
          <w:szCs w:val="20"/>
          <w:u w:color="000000"/>
        </w:rPr>
        <w:t xml:space="preserve">these cases </w:t>
      </w:r>
      <w:r w:rsidR="00886305">
        <w:rPr>
          <w:rFonts w:eastAsia="Arial Unicode MS"/>
          <w:color w:val="000000"/>
          <w:sz w:val="20"/>
          <w:szCs w:val="20"/>
          <w:u w:color="000000"/>
        </w:rPr>
        <w:t>and the endorsement of the German c</w:t>
      </w:r>
      <w:r w:rsidRPr="00451146">
        <w:rPr>
          <w:rFonts w:eastAsia="Arial Unicode MS"/>
          <w:color w:val="000000"/>
          <w:sz w:val="20"/>
          <w:szCs w:val="20"/>
          <w:u w:color="000000"/>
        </w:rPr>
        <w:t>ourts</w:t>
      </w:r>
      <w:r w:rsidR="00886305">
        <w:rPr>
          <w:rFonts w:eastAsia="Arial Unicode MS"/>
          <w:color w:val="000000"/>
          <w:sz w:val="20"/>
          <w:szCs w:val="20"/>
          <w:u w:color="000000"/>
        </w:rPr>
        <w:t xml:space="preserve">’ decision by </w:t>
      </w:r>
      <w:r w:rsidRPr="00451146">
        <w:rPr>
          <w:rFonts w:eastAsia="Arial Unicode MS"/>
          <w:color w:val="000000"/>
          <w:sz w:val="20"/>
          <w:szCs w:val="20"/>
          <w:u w:color="000000"/>
        </w:rPr>
        <w:t>the European Court of Human Rights</w:t>
      </w:r>
      <w:r w:rsidR="00886305">
        <w:rPr>
          <w:rFonts w:eastAsia="Arial Unicode MS"/>
          <w:color w:val="000000"/>
          <w:sz w:val="20"/>
          <w:szCs w:val="20"/>
          <w:u w:color="000000"/>
        </w:rPr>
        <w:t xml:space="preserve"> (</w:t>
      </w:r>
      <w:proofErr w:type="spellStart"/>
      <w:r w:rsidR="00886305">
        <w:rPr>
          <w:rFonts w:eastAsia="Arial Unicode MS"/>
          <w:color w:val="000000"/>
          <w:sz w:val="20"/>
          <w:szCs w:val="20"/>
          <w:u w:color="000000"/>
        </w:rPr>
        <w:t>ECtHR</w:t>
      </w:r>
      <w:proofErr w:type="spellEnd"/>
      <w:r w:rsidR="00886305">
        <w:rPr>
          <w:rFonts w:eastAsia="Arial Unicode MS"/>
          <w:color w:val="000000"/>
          <w:sz w:val="20"/>
          <w:szCs w:val="20"/>
          <w:u w:color="000000"/>
        </w:rPr>
        <w:t>)</w:t>
      </w:r>
      <w:r w:rsidRPr="00451146">
        <w:rPr>
          <w:rFonts w:eastAsia="Arial Unicode MS"/>
          <w:color w:val="000000"/>
          <w:sz w:val="20"/>
          <w:szCs w:val="20"/>
          <w:u w:color="000000"/>
        </w:rPr>
        <w:t xml:space="preserve"> best illustrates two </w:t>
      </w:r>
      <w:r w:rsidR="00886305">
        <w:rPr>
          <w:rFonts w:eastAsia="Arial Unicode MS"/>
          <w:color w:val="000000"/>
          <w:sz w:val="20"/>
          <w:szCs w:val="20"/>
          <w:u w:color="000000"/>
        </w:rPr>
        <w:t xml:space="preserve">aspects </w:t>
      </w:r>
      <w:r w:rsidRPr="00451146">
        <w:rPr>
          <w:rFonts w:eastAsia="Arial Unicode MS"/>
          <w:color w:val="000000"/>
          <w:sz w:val="20"/>
          <w:szCs w:val="20"/>
          <w:u w:color="000000"/>
        </w:rPr>
        <w:t xml:space="preserve">relevant to our discussion: (1) the failure of legal positivism </w:t>
      </w:r>
      <w:r w:rsidR="00886305">
        <w:rPr>
          <w:rFonts w:eastAsia="Arial Unicode MS"/>
          <w:color w:val="000000"/>
          <w:sz w:val="20"/>
          <w:szCs w:val="20"/>
          <w:u w:color="000000"/>
        </w:rPr>
        <w:t xml:space="preserve">in the context of post-Communist Europe </w:t>
      </w:r>
      <w:r w:rsidRPr="00451146">
        <w:rPr>
          <w:rFonts w:eastAsia="Arial Unicode MS"/>
          <w:color w:val="000000"/>
          <w:sz w:val="20"/>
          <w:szCs w:val="20"/>
          <w:u w:color="000000"/>
        </w:rPr>
        <w:t xml:space="preserve">and (2) how reference to the German experience by certain countries reveals important </w:t>
      </w:r>
      <w:r w:rsidR="00886305">
        <w:rPr>
          <w:rFonts w:eastAsia="Arial Unicode MS"/>
          <w:color w:val="000000"/>
          <w:sz w:val="20"/>
          <w:szCs w:val="20"/>
          <w:u w:color="000000"/>
        </w:rPr>
        <w:t xml:space="preserve">questions </w:t>
      </w:r>
      <w:r w:rsidRPr="00451146">
        <w:rPr>
          <w:rFonts w:eastAsia="Arial Unicode MS"/>
          <w:color w:val="000000"/>
          <w:sz w:val="20"/>
          <w:szCs w:val="20"/>
          <w:u w:color="000000"/>
        </w:rPr>
        <w:t>about natural justice and fidelity of law. The legal narratives on retrospective justice run parallel and in opposite directions, but more importantly they reveal cracks in consensual histories that bring historical sensibility and issues into sharp relief</w:t>
      </w:r>
      <w:r w:rsidR="000B39A2">
        <w:rPr>
          <w:rFonts w:eastAsia="Arial Unicode MS"/>
          <w:color w:val="000000"/>
          <w:sz w:val="20"/>
          <w:szCs w:val="20"/>
          <w:u w:color="000000"/>
        </w:rPr>
        <w:t>.</w:t>
      </w:r>
      <w:r w:rsidR="000B39A2" w:rsidRPr="000B39A2">
        <w:rPr>
          <w:rFonts w:eastAsia="Arial Unicode MS"/>
          <w:color w:val="000000"/>
          <w:sz w:val="20"/>
          <w:szCs w:val="20"/>
          <w:u w:color="000000"/>
        </w:rPr>
        <w:t xml:space="preserve"> </w:t>
      </w:r>
      <w:r w:rsidR="000B39A2" w:rsidRPr="00451146">
        <w:rPr>
          <w:rFonts w:eastAsia="Arial Unicode MS"/>
          <w:color w:val="000000"/>
          <w:sz w:val="20"/>
          <w:szCs w:val="20"/>
          <w:u w:color="000000"/>
        </w:rPr>
        <w:t>Retrospective justice in post-Communist Europe contribute</w:t>
      </w:r>
      <w:r w:rsidR="000B39A2">
        <w:rPr>
          <w:rFonts w:eastAsia="Arial Unicode MS"/>
          <w:color w:val="000000"/>
          <w:sz w:val="20"/>
          <w:szCs w:val="20"/>
          <w:u w:color="000000"/>
        </w:rPr>
        <w:t>s</w:t>
      </w:r>
      <w:r w:rsidR="000B39A2" w:rsidRPr="00451146">
        <w:rPr>
          <w:rFonts w:eastAsia="Arial Unicode MS"/>
          <w:color w:val="000000"/>
          <w:sz w:val="20"/>
          <w:szCs w:val="20"/>
          <w:u w:color="000000"/>
        </w:rPr>
        <w:t xml:space="preserve"> a defined set of problems to the field of transitional justice, </w:t>
      </w:r>
      <w:r w:rsidR="000B39A2">
        <w:rPr>
          <w:rFonts w:eastAsia="Arial Unicode MS"/>
          <w:color w:val="000000"/>
          <w:sz w:val="20"/>
          <w:szCs w:val="20"/>
          <w:u w:color="000000"/>
        </w:rPr>
        <w:t xml:space="preserve">beginning with the challenges posed by statutes of limitations and ending with unfinished </w:t>
      </w:r>
      <w:r w:rsidR="000B39A2" w:rsidRPr="00451146">
        <w:rPr>
          <w:rFonts w:eastAsia="Arial Unicode MS"/>
          <w:color w:val="000000"/>
          <w:sz w:val="20"/>
          <w:szCs w:val="20"/>
          <w:u w:color="000000"/>
        </w:rPr>
        <w:t>narratives on select chapters of Communist histories</w:t>
      </w:r>
      <w:r w:rsidR="000B39A2">
        <w:rPr>
          <w:rFonts w:eastAsia="Arial Unicode MS"/>
          <w:color w:val="000000"/>
          <w:sz w:val="20"/>
          <w:szCs w:val="20"/>
          <w:u w:color="000000"/>
        </w:rPr>
        <w:t>.</w:t>
      </w:r>
    </w:p>
    <w:p w14:paraId="71BB2934" w14:textId="6F20EA9E" w:rsidR="0081708C" w:rsidRPr="00451146" w:rsidRDefault="0081708C" w:rsidP="000B39A2">
      <w:pPr>
        <w:spacing w:line="360" w:lineRule="auto"/>
        <w:ind w:firstLine="720"/>
        <w:jc w:val="both"/>
        <w:outlineLvl w:val="0"/>
        <w:rPr>
          <w:rFonts w:eastAsia="Arial Unicode MS"/>
          <w:b/>
          <w:color w:val="000000"/>
          <w:sz w:val="20"/>
          <w:szCs w:val="20"/>
          <w:u w:color="000000"/>
        </w:rPr>
      </w:pPr>
    </w:p>
    <w:p w14:paraId="3428A6CE" w14:textId="77777777" w:rsidR="00AB1D24" w:rsidRPr="00451146" w:rsidRDefault="0081708C" w:rsidP="00685C4E">
      <w:pPr>
        <w:spacing w:line="360" w:lineRule="auto"/>
        <w:jc w:val="both"/>
        <w:outlineLvl w:val="0"/>
        <w:rPr>
          <w:rFonts w:ascii="Arial" w:eastAsia="Arial Unicode MS" w:hAnsi="Arial" w:cs="Arial"/>
          <w:b/>
          <w:color w:val="000000"/>
          <w:sz w:val="22"/>
          <w:szCs w:val="22"/>
          <w:u w:color="000000"/>
        </w:rPr>
      </w:pPr>
      <w:r w:rsidRPr="00451146">
        <w:rPr>
          <w:rFonts w:ascii="Arial" w:eastAsia="Arial Unicode MS" w:hAnsi="Arial" w:cs="Arial"/>
          <w:b/>
          <w:color w:val="000000"/>
          <w:sz w:val="22"/>
          <w:szCs w:val="22"/>
          <w:u w:color="000000"/>
        </w:rPr>
        <w:t>DEFINITIONS</w:t>
      </w:r>
    </w:p>
    <w:p w14:paraId="1693EA81" w14:textId="656F1E29" w:rsidR="00AB1D24" w:rsidRPr="00451146" w:rsidRDefault="00AB1D24" w:rsidP="00685C4E">
      <w:pPr>
        <w:spacing w:line="360" w:lineRule="auto"/>
        <w:jc w:val="both"/>
        <w:outlineLvl w:val="0"/>
        <w:rPr>
          <w:rFonts w:eastAsia="Arial Unicode MS"/>
          <w:color w:val="000000"/>
          <w:sz w:val="20"/>
          <w:szCs w:val="20"/>
          <w:u w:color="000000"/>
        </w:rPr>
      </w:pPr>
      <w:r w:rsidRPr="00451146">
        <w:rPr>
          <w:rFonts w:eastAsia="Arial Unicode MS"/>
          <w:color w:val="000000"/>
          <w:sz w:val="20"/>
          <w:szCs w:val="20"/>
          <w:u w:color="000000"/>
        </w:rPr>
        <w:t xml:space="preserve">Criminal law is based on the principle of individual guilt. How it is used as a tool to confront past injustice reveals seemingly irreconcilable questions related to the criminal law essentially working backwards. This does not sit easily with the maxim </w:t>
      </w:r>
      <w:proofErr w:type="spellStart"/>
      <w:r w:rsidRPr="00451146">
        <w:rPr>
          <w:rFonts w:eastAsia="Arial Unicode MS"/>
          <w:i/>
          <w:color w:val="000000"/>
          <w:sz w:val="20"/>
          <w:szCs w:val="20"/>
          <w:u w:color="000000"/>
        </w:rPr>
        <w:t>lex</w:t>
      </w:r>
      <w:proofErr w:type="spellEnd"/>
      <w:r w:rsidRPr="00451146">
        <w:rPr>
          <w:rFonts w:eastAsia="Arial Unicode MS"/>
          <w:i/>
          <w:color w:val="000000"/>
          <w:sz w:val="20"/>
          <w:szCs w:val="20"/>
          <w:u w:color="000000"/>
        </w:rPr>
        <w:t xml:space="preserve"> retro non </w:t>
      </w:r>
      <w:proofErr w:type="spellStart"/>
      <w:r w:rsidRPr="00451146">
        <w:rPr>
          <w:rFonts w:eastAsia="Arial Unicode MS"/>
          <w:i/>
          <w:color w:val="000000"/>
          <w:sz w:val="20"/>
          <w:szCs w:val="20"/>
          <w:u w:color="000000"/>
        </w:rPr>
        <w:t>agit</w:t>
      </w:r>
      <w:proofErr w:type="spellEnd"/>
      <w:r w:rsidRPr="00451146">
        <w:rPr>
          <w:rFonts w:eastAsia="Arial Unicode MS"/>
          <w:color w:val="000000"/>
          <w:sz w:val="20"/>
          <w:szCs w:val="20"/>
          <w:u w:color="000000"/>
        </w:rPr>
        <w:t xml:space="preserve"> (from after the action)</w:t>
      </w:r>
      <w:r w:rsidRPr="00451146">
        <w:rPr>
          <w:rFonts w:eastAsia="Arial Unicode MS"/>
          <w:i/>
          <w:color w:val="000000"/>
          <w:sz w:val="20"/>
          <w:szCs w:val="20"/>
          <w:u w:color="000000"/>
        </w:rPr>
        <w:t xml:space="preserve"> </w:t>
      </w:r>
      <w:r w:rsidRPr="00451146">
        <w:rPr>
          <w:rFonts w:eastAsia="Arial Unicode MS"/>
          <w:color w:val="000000"/>
          <w:sz w:val="20"/>
          <w:szCs w:val="20"/>
          <w:u w:color="000000"/>
        </w:rPr>
        <w:t xml:space="preserve">– a cornerstone of criminal law and a building block of the rule-of-law state for both common and civil law countries. For the common law lawyer, the principle of </w:t>
      </w:r>
      <w:proofErr w:type="spellStart"/>
      <w:r w:rsidRPr="00451146">
        <w:rPr>
          <w:rFonts w:eastAsia="Arial Unicode MS"/>
          <w:i/>
          <w:color w:val="000000"/>
          <w:sz w:val="20"/>
          <w:szCs w:val="20"/>
          <w:u w:color="000000"/>
        </w:rPr>
        <w:t>nullum</w:t>
      </w:r>
      <w:proofErr w:type="spellEnd"/>
      <w:r w:rsidRPr="00451146">
        <w:rPr>
          <w:rFonts w:eastAsia="Arial Unicode MS"/>
          <w:i/>
          <w:color w:val="000000"/>
          <w:sz w:val="20"/>
          <w:szCs w:val="20"/>
          <w:u w:color="000000"/>
        </w:rPr>
        <w:t xml:space="preserve"> </w:t>
      </w:r>
      <w:proofErr w:type="spellStart"/>
      <w:r w:rsidRPr="00451146">
        <w:rPr>
          <w:rFonts w:eastAsia="Arial Unicode MS"/>
          <w:i/>
          <w:color w:val="000000"/>
          <w:sz w:val="20"/>
          <w:szCs w:val="20"/>
          <w:u w:color="000000"/>
        </w:rPr>
        <w:t>crimen</w:t>
      </w:r>
      <w:proofErr w:type="spellEnd"/>
      <w:r w:rsidRPr="00451146">
        <w:rPr>
          <w:rFonts w:eastAsia="Arial Unicode MS"/>
          <w:i/>
          <w:color w:val="000000"/>
          <w:sz w:val="20"/>
          <w:szCs w:val="20"/>
          <w:u w:color="000000"/>
        </w:rPr>
        <w:t xml:space="preserve">, </w:t>
      </w:r>
      <w:proofErr w:type="spellStart"/>
      <w:r w:rsidRPr="00451146">
        <w:rPr>
          <w:rFonts w:eastAsia="Arial Unicode MS"/>
          <w:i/>
          <w:color w:val="000000"/>
          <w:sz w:val="20"/>
          <w:szCs w:val="20"/>
          <w:u w:color="000000"/>
        </w:rPr>
        <w:t>nulla</w:t>
      </w:r>
      <w:proofErr w:type="spellEnd"/>
      <w:r w:rsidRPr="00451146">
        <w:rPr>
          <w:rFonts w:eastAsia="Arial Unicode MS"/>
          <w:i/>
          <w:color w:val="000000"/>
          <w:sz w:val="20"/>
          <w:szCs w:val="20"/>
          <w:u w:color="000000"/>
        </w:rPr>
        <w:t xml:space="preserve"> </w:t>
      </w:r>
      <w:proofErr w:type="spellStart"/>
      <w:r w:rsidRPr="00451146">
        <w:rPr>
          <w:rFonts w:eastAsia="Arial Unicode MS"/>
          <w:i/>
          <w:color w:val="000000"/>
          <w:sz w:val="20"/>
          <w:szCs w:val="20"/>
          <w:u w:color="000000"/>
        </w:rPr>
        <w:t>poena</w:t>
      </w:r>
      <w:proofErr w:type="spellEnd"/>
      <w:r w:rsidRPr="00451146">
        <w:rPr>
          <w:rFonts w:eastAsia="Arial Unicode MS"/>
          <w:i/>
          <w:color w:val="000000"/>
          <w:sz w:val="20"/>
          <w:szCs w:val="20"/>
          <w:u w:color="000000"/>
        </w:rPr>
        <w:t xml:space="preserve"> sine </w:t>
      </w:r>
      <w:proofErr w:type="spellStart"/>
      <w:r w:rsidRPr="00451146">
        <w:rPr>
          <w:rFonts w:eastAsia="Arial Unicode MS"/>
          <w:i/>
          <w:color w:val="000000"/>
          <w:sz w:val="20"/>
          <w:szCs w:val="20"/>
          <w:u w:color="000000"/>
        </w:rPr>
        <w:t>lege</w:t>
      </w:r>
      <w:proofErr w:type="spellEnd"/>
      <w:r w:rsidRPr="00451146">
        <w:rPr>
          <w:rFonts w:eastAsia="Arial Unicode MS"/>
          <w:color w:val="000000"/>
          <w:sz w:val="20"/>
          <w:szCs w:val="20"/>
          <w:u w:color="000000"/>
        </w:rPr>
        <w:t xml:space="preserve">, ‘only the law can define a law and prescribe a penalty’, has a long history as the fundamental cornerstone of criminal law, as stated by Lord Reid in </w:t>
      </w:r>
      <w:r w:rsidRPr="00451146">
        <w:rPr>
          <w:rFonts w:eastAsia="Arial Unicode MS"/>
          <w:i/>
          <w:color w:val="000000"/>
          <w:sz w:val="20"/>
          <w:szCs w:val="20"/>
          <w:u w:color="000000"/>
        </w:rPr>
        <w:t xml:space="preserve">Waddington </w:t>
      </w:r>
      <w:r w:rsidRPr="00451146">
        <w:rPr>
          <w:rFonts w:eastAsia="Arial Unicode MS"/>
          <w:color w:val="000000"/>
          <w:sz w:val="20"/>
          <w:szCs w:val="20"/>
          <w:u w:color="000000"/>
        </w:rPr>
        <w:t xml:space="preserve">v </w:t>
      </w:r>
      <w:r w:rsidRPr="00451146">
        <w:rPr>
          <w:rFonts w:eastAsia="Arial Unicode MS"/>
          <w:i/>
          <w:color w:val="000000"/>
          <w:sz w:val="20"/>
          <w:szCs w:val="20"/>
          <w:u w:color="000000"/>
        </w:rPr>
        <w:t>Miah</w:t>
      </w:r>
      <w:r w:rsidRPr="00451146">
        <w:rPr>
          <w:rFonts w:eastAsia="Arial Unicode MS"/>
          <w:color w:val="000000"/>
          <w:sz w:val="20"/>
          <w:szCs w:val="20"/>
          <w:u w:color="000000"/>
        </w:rPr>
        <w:t>.</w:t>
      </w:r>
      <w:r w:rsidRPr="00451146">
        <w:rPr>
          <w:rFonts w:eastAsia="Arial Unicode MS"/>
          <w:color w:val="000000"/>
          <w:sz w:val="20"/>
          <w:szCs w:val="20"/>
          <w:u w:color="000000"/>
          <w:vertAlign w:val="superscript"/>
        </w:rPr>
        <w:footnoteReference w:id="7"/>
      </w:r>
      <w:r w:rsidRPr="00451146">
        <w:rPr>
          <w:rFonts w:eastAsia="Arial Unicode MS"/>
          <w:color w:val="000000"/>
          <w:sz w:val="20"/>
          <w:szCs w:val="20"/>
          <w:u w:color="000000"/>
        </w:rPr>
        <w:t xml:space="preserve"> In another common law country, the United States, the Constitution forbids the federal government and states from passing </w:t>
      </w:r>
      <w:r w:rsidRPr="00451146">
        <w:rPr>
          <w:rFonts w:eastAsia="Arial Unicode MS"/>
          <w:i/>
          <w:color w:val="000000"/>
          <w:sz w:val="20"/>
          <w:szCs w:val="20"/>
          <w:u w:color="000000"/>
        </w:rPr>
        <w:t>ex post facto</w:t>
      </w:r>
      <w:r w:rsidRPr="00451146">
        <w:rPr>
          <w:rFonts w:eastAsia="Arial Unicode MS"/>
          <w:color w:val="000000"/>
          <w:sz w:val="20"/>
          <w:szCs w:val="20"/>
          <w:u w:color="000000"/>
        </w:rPr>
        <w:t xml:space="preserve"> laws (1, ix, 3 and 1, x, 1). </w:t>
      </w:r>
    </w:p>
    <w:p w14:paraId="43981D25" w14:textId="72E4FEBB" w:rsidR="00AB1D24" w:rsidRPr="00451146" w:rsidRDefault="00AB1D24" w:rsidP="00685C4E">
      <w:pPr>
        <w:pStyle w:val="Body1"/>
        <w:spacing w:line="360" w:lineRule="auto"/>
        <w:ind w:firstLine="360"/>
        <w:jc w:val="both"/>
        <w:rPr>
          <w:sz w:val="20"/>
          <w:lang w:val="en-GB"/>
        </w:rPr>
      </w:pPr>
      <w:r w:rsidRPr="00451146">
        <w:rPr>
          <w:sz w:val="20"/>
          <w:lang w:val="en-GB"/>
        </w:rPr>
        <w:t>For Europe, this principle of legality is enshrined in Article 7</w:t>
      </w:r>
      <w:r w:rsidR="00CC35A3">
        <w:rPr>
          <w:sz w:val="20"/>
          <w:lang w:val="en-GB"/>
        </w:rPr>
        <w:t xml:space="preserve"> of the ECHR</w:t>
      </w:r>
      <w:r w:rsidRPr="00451146">
        <w:rPr>
          <w:sz w:val="20"/>
          <w:lang w:val="en-GB"/>
        </w:rPr>
        <w:t>,</w:t>
      </w:r>
      <w:r w:rsidRPr="00451146">
        <w:rPr>
          <w:sz w:val="20"/>
          <w:vertAlign w:val="superscript"/>
          <w:lang w:val="en-GB"/>
        </w:rPr>
        <w:footnoteReference w:id="8"/>
      </w:r>
      <w:r w:rsidRPr="00451146">
        <w:rPr>
          <w:sz w:val="20"/>
          <w:lang w:val="en-GB"/>
        </w:rPr>
        <w:t xml:space="preserve"> which comprises two key paragraphs: </w:t>
      </w:r>
    </w:p>
    <w:p w14:paraId="3DA2FCD1" w14:textId="77777777" w:rsidR="00AB1D24" w:rsidRPr="00451146" w:rsidRDefault="00AB1D24" w:rsidP="00685C4E">
      <w:pPr>
        <w:pStyle w:val="Body1"/>
        <w:spacing w:line="360" w:lineRule="auto"/>
        <w:jc w:val="both"/>
        <w:rPr>
          <w:sz w:val="20"/>
          <w:lang w:val="en-GB"/>
        </w:rPr>
      </w:pPr>
    </w:p>
    <w:p w14:paraId="30C9B8BD" w14:textId="77777777" w:rsidR="00AB1D24" w:rsidRPr="00451146" w:rsidRDefault="00AB1D24" w:rsidP="00685C4E">
      <w:pPr>
        <w:pStyle w:val="Body1"/>
        <w:numPr>
          <w:ilvl w:val="0"/>
          <w:numId w:val="3"/>
        </w:numPr>
        <w:tabs>
          <w:tab w:val="num" w:pos="720"/>
        </w:tabs>
        <w:spacing w:line="360" w:lineRule="auto"/>
        <w:ind w:left="720" w:hanging="360"/>
        <w:jc w:val="both"/>
        <w:rPr>
          <w:sz w:val="20"/>
          <w:lang w:val="en-GB"/>
        </w:rPr>
      </w:pPr>
      <w:r w:rsidRPr="00451146">
        <w:rPr>
          <w:sz w:val="20"/>
          <w:lang w:val="en-GB"/>
        </w:rPr>
        <w:t xml:space="preserve">No one shall be held guilty of any criminal offence on account of any act or omission which did not constitute a criminal offence under national or international law at the time when it was committed. Nor shall a heavier penalty be imposed than the one that was applicable at the time the criminal offence was committed. </w:t>
      </w:r>
    </w:p>
    <w:p w14:paraId="45C10A32" w14:textId="560D4517" w:rsidR="00AB1D24" w:rsidRPr="00451146" w:rsidRDefault="00AB1D24" w:rsidP="00685C4E">
      <w:pPr>
        <w:pStyle w:val="Body1"/>
        <w:numPr>
          <w:ilvl w:val="0"/>
          <w:numId w:val="3"/>
        </w:numPr>
        <w:tabs>
          <w:tab w:val="num" w:pos="720"/>
        </w:tabs>
        <w:spacing w:before="100" w:after="100" w:line="360" w:lineRule="auto"/>
        <w:ind w:left="720" w:hanging="360"/>
        <w:jc w:val="both"/>
        <w:rPr>
          <w:sz w:val="20"/>
          <w:lang w:val="en-GB"/>
        </w:rPr>
      </w:pPr>
      <w:r w:rsidRPr="00451146">
        <w:rPr>
          <w:sz w:val="20"/>
          <w:lang w:val="en-GB"/>
        </w:rPr>
        <w:t xml:space="preserve">This article shall not prejudice the trial and punishment of any person for any act or omission which, at the time when it was committed, was criminal according </w:t>
      </w:r>
      <w:r w:rsidR="00CC35A3">
        <w:rPr>
          <w:sz w:val="20"/>
          <w:lang w:val="en-GB"/>
        </w:rPr>
        <w:t xml:space="preserve">to </w:t>
      </w:r>
      <w:r w:rsidRPr="00451146">
        <w:rPr>
          <w:sz w:val="20"/>
          <w:lang w:val="en-GB"/>
        </w:rPr>
        <w:t xml:space="preserve">the general principles of law recognized by civilized nations. </w:t>
      </w:r>
    </w:p>
    <w:p w14:paraId="19B0EA59" w14:textId="2CEEC7CA" w:rsidR="00AB1D24" w:rsidRPr="00451146" w:rsidRDefault="00D74160" w:rsidP="00685C4E">
      <w:pPr>
        <w:pStyle w:val="Body1"/>
        <w:spacing w:line="360" w:lineRule="auto"/>
        <w:jc w:val="both"/>
        <w:rPr>
          <w:sz w:val="20"/>
          <w:lang w:val="en-GB"/>
        </w:rPr>
      </w:pPr>
      <w:r w:rsidRPr="00451146">
        <w:rPr>
          <w:sz w:val="20"/>
          <w:lang w:val="en-GB"/>
        </w:rPr>
        <w:tab/>
      </w:r>
      <w:r w:rsidR="00AB1D24" w:rsidRPr="00451146">
        <w:rPr>
          <w:sz w:val="20"/>
          <w:lang w:val="en-GB"/>
        </w:rPr>
        <w:t xml:space="preserve">In general, Article 7’s two dimensions comprise a prohibition on legislature and courts from creating or extending the law to criminalise acts or omissions that were not illegal at the time of their commission or omission, or to increase a penalty retroactively. It also expects the law to be clearly </w:t>
      </w:r>
      <w:r w:rsidR="00AB1D24" w:rsidRPr="00451146">
        <w:rPr>
          <w:sz w:val="20"/>
          <w:lang w:val="en-GB"/>
        </w:rPr>
        <w:lastRenderedPageBreak/>
        <w:t xml:space="preserve">defined, as stated by the European Court of Human Rights in </w:t>
      </w:r>
      <w:proofErr w:type="spellStart"/>
      <w:r w:rsidR="00AB1D24" w:rsidRPr="00451146">
        <w:rPr>
          <w:i/>
          <w:sz w:val="20"/>
          <w:lang w:val="en-GB"/>
        </w:rPr>
        <w:t>Achour</w:t>
      </w:r>
      <w:proofErr w:type="spellEnd"/>
      <w:r w:rsidR="00AB1D24" w:rsidRPr="00451146">
        <w:rPr>
          <w:sz w:val="20"/>
          <w:lang w:val="en-GB"/>
        </w:rPr>
        <w:t xml:space="preserve"> v </w:t>
      </w:r>
      <w:r w:rsidR="00AB1D24" w:rsidRPr="00451146">
        <w:rPr>
          <w:i/>
          <w:sz w:val="20"/>
          <w:lang w:val="en-GB"/>
        </w:rPr>
        <w:t>France</w:t>
      </w:r>
      <w:r w:rsidR="00874CAE">
        <w:rPr>
          <w:sz w:val="20"/>
          <w:lang w:val="en-GB"/>
        </w:rPr>
        <w:t>, where “</w:t>
      </w:r>
      <w:r w:rsidR="00AB1D24" w:rsidRPr="00451146">
        <w:rPr>
          <w:sz w:val="20"/>
          <w:lang w:val="en-GB"/>
        </w:rPr>
        <w:t>the criminal law must not be extensively construed to an accused</w:t>
      </w:r>
      <w:r w:rsidR="00CC35A3">
        <w:rPr>
          <w:sz w:val="20"/>
          <w:lang w:val="en-GB"/>
        </w:rPr>
        <w:t>’s</w:t>
      </w:r>
      <w:r w:rsidR="00AB1D24" w:rsidRPr="00451146">
        <w:rPr>
          <w:sz w:val="20"/>
          <w:lang w:val="en-GB"/>
        </w:rPr>
        <w:t xml:space="preserve"> detriment</w:t>
      </w:r>
      <w:r w:rsidR="00874CAE">
        <w:rPr>
          <w:sz w:val="20"/>
          <w:lang w:val="en-GB"/>
        </w:rPr>
        <w:t>”</w:t>
      </w:r>
      <w:r w:rsidR="00AB1D24" w:rsidRPr="00451146">
        <w:rPr>
          <w:sz w:val="20"/>
          <w:lang w:val="en-GB"/>
        </w:rPr>
        <w:t>.</w:t>
      </w:r>
      <w:r w:rsidR="00AB1D24" w:rsidRPr="00451146">
        <w:rPr>
          <w:sz w:val="20"/>
          <w:vertAlign w:val="superscript"/>
          <w:lang w:val="en-GB"/>
        </w:rPr>
        <w:footnoteReference w:id="9"/>
      </w:r>
      <w:r w:rsidR="00AB1D24" w:rsidRPr="00451146">
        <w:rPr>
          <w:sz w:val="20"/>
          <w:lang w:val="en-GB"/>
        </w:rPr>
        <w:t xml:space="preserve"> </w:t>
      </w:r>
    </w:p>
    <w:p w14:paraId="331B0511" w14:textId="69F29C0C" w:rsidR="00AB1D24" w:rsidRPr="00451146" w:rsidRDefault="00AB1D24" w:rsidP="00685C4E">
      <w:pPr>
        <w:pStyle w:val="Body1"/>
        <w:spacing w:line="360" w:lineRule="auto"/>
        <w:ind w:firstLine="720"/>
        <w:jc w:val="both"/>
        <w:rPr>
          <w:sz w:val="20"/>
          <w:lang w:val="en-GB"/>
        </w:rPr>
      </w:pPr>
      <w:r w:rsidRPr="00451146">
        <w:rPr>
          <w:sz w:val="20"/>
          <w:lang w:val="en-GB"/>
        </w:rPr>
        <w:t xml:space="preserve">The terms ‘criminal offence’ and ‘penalty’ in Article 7 have autonomous meanings and are independent from the characterisation under domestic law. Following the </w:t>
      </w:r>
      <w:r w:rsidRPr="00451146">
        <w:rPr>
          <w:i/>
          <w:sz w:val="20"/>
          <w:lang w:val="en-GB"/>
        </w:rPr>
        <w:t xml:space="preserve">Engel </w:t>
      </w:r>
      <w:r w:rsidRPr="00451146">
        <w:rPr>
          <w:sz w:val="20"/>
          <w:lang w:val="en-GB"/>
        </w:rPr>
        <w:t>criteria,</w:t>
      </w:r>
      <w:r w:rsidRPr="00451146">
        <w:rPr>
          <w:sz w:val="20"/>
          <w:vertAlign w:val="superscript"/>
          <w:lang w:val="en-GB"/>
        </w:rPr>
        <w:footnoteReference w:id="10"/>
      </w:r>
      <w:r w:rsidRPr="00451146">
        <w:rPr>
          <w:sz w:val="20"/>
          <w:lang w:val="en-GB"/>
        </w:rPr>
        <w:t xml:space="preserve"> concerning a criminal offence, the Court has emphasised that the nature of the offence itself and the nature and severity of the sentence</w:t>
      </w:r>
      <w:r w:rsidR="001A1EC6">
        <w:rPr>
          <w:sz w:val="20"/>
          <w:lang w:val="en-GB"/>
        </w:rPr>
        <w:t>,</w:t>
      </w:r>
      <w:r w:rsidRPr="00451146">
        <w:rPr>
          <w:sz w:val="20"/>
          <w:lang w:val="en-GB"/>
        </w:rPr>
        <w:t xml:space="preserve"> which can be imposed have relevance for classification in the national law.</w:t>
      </w:r>
      <w:r w:rsidRPr="00451146">
        <w:rPr>
          <w:sz w:val="20"/>
          <w:vertAlign w:val="superscript"/>
          <w:lang w:val="en-GB"/>
        </w:rPr>
        <w:footnoteReference w:id="11"/>
      </w:r>
      <w:r w:rsidRPr="00451146">
        <w:rPr>
          <w:sz w:val="20"/>
          <w:lang w:val="en-GB"/>
        </w:rPr>
        <w:t xml:space="preserve"> Similar conditions apply to what constitutes as a penalty. In </w:t>
      </w:r>
      <w:r w:rsidRPr="00451146">
        <w:rPr>
          <w:i/>
          <w:sz w:val="20"/>
          <w:lang w:val="en-GB"/>
        </w:rPr>
        <w:t>R</w:t>
      </w:r>
      <w:r w:rsidRPr="00451146">
        <w:rPr>
          <w:sz w:val="20"/>
          <w:lang w:val="en-GB"/>
        </w:rPr>
        <w:t xml:space="preserve"> </w:t>
      </w:r>
      <w:r w:rsidR="00DF3325" w:rsidRPr="00DF3325">
        <w:rPr>
          <w:i/>
          <w:sz w:val="20"/>
          <w:lang w:val="en-GB"/>
        </w:rPr>
        <w:t>v</w:t>
      </w:r>
      <w:r w:rsidRPr="00451146">
        <w:rPr>
          <w:sz w:val="20"/>
          <w:lang w:val="en-GB"/>
        </w:rPr>
        <w:t xml:space="preserve"> </w:t>
      </w:r>
      <w:r w:rsidRPr="00451146">
        <w:rPr>
          <w:i/>
          <w:sz w:val="20"/>
          <w:lang w:val="en-GB"/>
        </w:rPr>
        <w:t>B (RG)</w:t>
      </w:r>
      <w:r w:rsidRPr="00451146">
        <w:rPr>
          <w:sz w:val="20"/>
          <w:lang w:val="en-GB"/>
        </w:rPr>
        <w:t>, for example, it was held that an order in 2003 extending a licence to a sentence of imprisonment for an offence committed 1 October 1991 did not amount to imposing a heavier penalty than was available at the time the offence was committed</w:t>
      </w:r>
      <w:r w:rsidR="00CC35A3">
        <w:rPr>
          <w:sz w:val="20"/>
          <w:lang w:val="en-GB"/>
        </w:rPr>
        <w:t>,</w:t>
      </w:r>
      <w:r w:rsidRPr="00451146">
        <w:rPr>
          <w:sz w:val="20"/>
          <w:lang w:val="en-GB"/>
        </w:rPr>
        <w:t xml:space="preserve"> because the licence was a preventative measure and not a punitive one.</w:t>
      </w:r>
      <w:r w:rsidRPr="00451146">
        <w:rPr>
          <w:sz w:val="20"/>
          <w:vertAlign w:val="superscript"/>
          <w:lang w:val="en-GB"/>
        </w:rPr>
        <w:footnoteReference w:id="12"/>
      </w:r>
      <w:r w:rsidRPr="00451146">
        <w:rPr>
          <w:sz w:val="20"/>
          <w:lang w:val="en-GB"/>
        </w:rPr>
        <w:t xml:space="preserve"> The Court, as seen in </w:t>
      </w:r>
      <w:r w:rsidRPr="00451146">
        <w:rPr>
          <w:i/>
          <w:sz w:val="20"/>
          <w:lang w:val="en-GB"/>
        </w:rPr>
        <w:t>Welch</w:t>
      </w:r>
      <w:r w:rsidRPr="00451146">
        <w:rPr>
          <w:sz w:val="20"/>
          <w:lang w:val="en-GB"/>
        </w:rPr>
        <w:t>, scrutinises measures with a view as to whether they are a penalty.</w:t>
      </w:r>
      <w:r w:rsidRPr="00451146">
        <w:rPr>
          <w:sz w:val="20"/>
          <w:vertAlign w:val="superscript"/>
          <w:lang w:val="en-GB"/>
        </w:rPr>
        <w:footnoteReference w:id="13"/>
      </w:r>
      <w:r w:rsidRPr="00451146">
        <w:rPr>
          <w:sz w:val="20"/>
          <w:lang w:val="en-GB"/>
        </w:rPr>
        <w:t xml:space="preserve"> Punishment must not be excessive to the defendant’s detriment; this is further supported in cases such as </w:t>
      </w:r>
      <w:r w:rsidRPr="00451146">
        <w:rPr>
          <w:i/>
          <w:sz w:val="20"/>
          <w:lang w:val="en-GB"/>
        </w:rPr>
        <w:t>Adamson</w:t>
      </w:r>
      <w:r w:rsidRPr="00451146">
        <w:rPr>
          <w:sz w:val="20"/>
          <w:lang w:val="en-GB"/>
        </w:rPr>
        <w:t>.</w:t>
      </w:r>
      <w:r w:rsidRPr="00451146">
        <w:rPr>
          <w:sz w:val="20"/>
          <w:vertAlign w:val="superscript"/>
          <w:lang w:val="en-GB"/>
        </w:rPr>
        <w:footnoteReference w:id="14"/>
      </w:r>
      <w:r w:rsidRPr="00451146">
        <w:rPr>
          <w:sz w:val="20"/>
          <w:lang w:val="en-GB"/>
        </w:rPr>
        <w:t xml:space="preserve"> However, in </w:t>
      </w:r>
      <w:r w:rsidRPr="00451146">
        <w:rPr>
          <w:i/>
          <w:sz w:val="20"/>
          <w:lang w:val="en-GB"/>
        </w:rPr>
        <w:t xml:space="preserve">Taylor </w:t>
      </w:r>
      <w:r w:rsidR="00DF3325" w:rsidRPr="006C19E3">
        <w:rPr>
          <w:sz w:val="20"/>
          <w:lang w:val="en-GB"/>
        </w:rPr>
        <w:t>v</w:t>
      </w:r>
      <w:r w:rsidR="006C19E3">
        <w:rPr>
          <w:sz w:val="20"/>
          <w:lang w:val="en-GB"/>
        </w:rPr>
        <w:t>.</w:t>
      </w:r>
      <w:r w:rsidRPr="006C19E3">
        <w:rPr>
          <w:sz w:val="20"/>
          <w:lang w:val="en-GB"/>
        </w:rPr>
        <w:t xml:space="preserve"> </w:t>
      </w:r>
      <w:r w:rsidRPr="00451146">
        <w:rPr>
          <w:i/>
          <w:sz w:val="20"/>
          <w:lang w:val="en-GB"/>
        </w:rPr>
        <w:t>United Kingdom</w:t>
      </w:r>
      <w:r w:rsidRPr="00451146">
        <w:rPr>
          <w:sz w:val="20"/>
          <w:lang w:val="en-GB"/>
        </w:rPr>
        <w:t xml:space="preserve"> the European Commission held that the imposition of a confiscation order for offences committed before as well as those committed after the legislation in force was not in violation of Article 7.</w:t>
      </w:r>
      <w:r w:rsidRPr="00451146">
        <w:rPr>
          <w:sz w:val="20"/>
          <w:vertAlign w:val="superscript"/>
          <w:lang w:val="en-GB"/>
        </w:rPr>
        <w:footnoteReference w:id="15"/>
      </w:r>
      <w:r w:rsidRPr="00451146">
        <w:rPr>
          <w:sz w:val="20"/>
          <w:lang w:val="en-GB"/>
        </w:rPr>
        <w:t xml:space="preserve"> The Commission held that the order was not a penalty for the offences committed before the Act’s implementation, but rather one for the later offences. Moreover, in </w:t>
      </w:r>
      <w:r w:rsidRPr="00451146">
        <w:rPr>
          <w:i/>
          <w:sz w:val="20"/>
          <w:lang w:val="en-GB"/>
        </w:rPr>
        <w:t>R</w:t>
      </w:r>
      <w:r w:rsidR="00DF3325">
        <w:rPr>
          <w:i/>
          <w:sz w:val="20"/>
          <w:lang w:val="en-GB"/>
        </w:rPr>
        <w:t xml:space="preserve"> </w:t>
      </w:r>
      <w:r w:rsidR="006C19E3">
        <w:rPr>
          <w:i/>
          <w:sz w:val="20"/>
          <w:lang w:val="en-GB"/>
        </w:rPr>
        <w:t>(</w:t>
      </w:r>
      <w:proofErr w:type="spellStart"/>
      <w:r w:rsidR="006C19E3">
        <w:rPr>
          <w:i/>
          <w:sz w:val="20"/>
          <w:lang w:val="en-GB"/>
        </w:rPr>
        <w:t>Uttley</w:t>
      </w:r>
      <w:proofErr w:type="spellEnd"/>
      <w:r w:rsidR="006C19E3">
        <w:rPr>
          <w:i/>
          <w:sz w:val="20"/>
          <w:lang w:val="en-GB"/>
        </w:rPr>
        <w:t xml:space="preserve">) </w:t>
      </w:r>
      <w:r w:rsidR="00DF3325" w:rsidRPr="006C19E3">
        <w:rPr>
          <w:sz w:val="20"/>
          <w:lang w:val="en-GB"/>
        </w:rPr>
        <w:t>v</w:t>
      </w:r>
      <w:r w:rsidR="006C19E3">
        <w:rPr>
          <w:sz w:val="20"/>
          <w:lang w:val="en-GB"/>
        </w:rPr>
        <w:t>.</w:t>
      </w:r>
      <w:r w:rsidRPr="00451146">
        <w:rPr>
          <w:i/>
          <w:sz w:val="20"/>
          <w:lang w:val="en-GB"/>
        </w:rPr>
        <w:t xml:space="preserve"> Secretary of State for the Home Department</w:t>
      </w:r>
      <w:r w:rsidR="00DF3325">
        <w:rPr>
          <w:sz w:val="20"/>
          <w:lang w:val="en-GB"/>
        </w:rPr>
        <w:t xml:space="preserve"> </w:t>
      </w:r>
      <w:r w:rsidRPr="00451146">
        <w:rPr>
          <w:sz w:val="20"/>
          <w:lang w:val="en-GB"/>
        </w:rPr>
        <w:t>the House of Lords held that the maximum penalty within Article 7 referred to the one that could have been imposed by the domestic court at the time of conviction, and not the one that would probably have been imposed;</w:t>
      </w:r>
      <w:r w:rsidRPr="00451146">
        <w:rPr>
          <w:sz w:val="20"/>
          <w:vertAlign w:val="superscript"/>
          <w:lang w:val="en-GB"/>
        </w:rPr>
        <w:footnoteReference w:id="16"/>
      </w:r>
      <w:r w:rsidRPr="00451146">
        <w:rPr>
          <w:sz w:val="20"/>
          <w:lang w:val="en-GB"/>
        </w:rPr>
        <w:t xml:space="preserve"> this reasoning was followed in </w:t>
      </w:r>
      <w:r w:rsidRPr="00451146">
        <w:rPr>
          <w:i/>
          <w:sz w:val="20"/>
          <w:lang w:val="en-GB"/>
        </w:rPr>
        <w:t>R</w:t>
      </w:r>
      <w:r w:rsidRPr="00451146">
        <w:rPr>
          <w:sz w:val="20"/>
          <w:lang w:val="en-GB"/>
        </w:rPr>
        <w:t xml:space="preserve"> </w:t>
      </w:r>
      <w:r w:rsidR="00DF3325" w:rsidRPr="006C19E3">
        <w:rPr>
          <w:sz w:val="20"/>
          <w:lang w:val="en-GB"/>
        </w:rPr>
        <w:t>v</w:t>
      </w:r>
      <w:r w:rsidR="006C19E3">
        <w:rPr>
          <w:sz w:val="20"/>
          <w:lang w:val="en-GB"/>
        </w:rPr>
        <w:t>.</w:t>
      </w:r>
      <w:r w:rsidRPr="00451146">
        <w:rPr>
          <w:sz w:val="20"/>
          <w:lang w:val="en-GB"/>
        </w:rPr>
        <w:t xml:space="preserve"> </w:t>
      </w:r>
      <w:proofErr w:type="spellStart"/>
      <w:r w:rsidRPr="00451146">
        <w:rPr>
          <w:i/>
          <w:sz w:val="20"/>
          <w:lang w:val="en-GB"/>
        </w:rPr>
        <w:t>Bowker</w:t>
      </w:r>
      <w:proofErr w:type="spellEnd"/>
      <w:r w:rsidRPr="00451146">
        <w:rPr>
          <w:sz w:val="20"/>
          <w:lang w:val="en-GB"/>
        </w:rPr>
        <w:t>.</w:t>
      </w:r>
      <w:r w:rsidRPr="00451146">
        <w:rPr>
          <w:sz w:val="20"/>
          <w:vertAlign w:val="superscript"/>
          <w:lang w:val="en-GB"/>
        </w:rPr>
        <w:footnoteReference w:id="17"/>
      </w:r>
      <w:r w:rsidRPr="00451146">
        <w:rPr>
          <w:sz w:val="20"/>
          <w:lang w:val="en-GB"/>
        </w:rPr>
        <w:t xml:space="preserve"> In </w:t>
      </w:r>
      <w:proofErr w:type="spellStart"/>
      <w:r w:rsidRPr="00451146">
        <w:rPr>
          <w:i/>
          <w:sz w:val="20"/>
          <w:lang w:val="en-GB"/>
        </w:rPr>
        <w:t>Kaftaris</w:t>
      </w:r>
      <w:proofErr w:type="spellEnd"/>
      <w:r w:rsidRPr="00451146">
        <w:rPr>
          <w:sz w:val="20"/>
          <w:lang w:val="en-GB"/>
        </w:rPr>
        <w:t xml:space="preserve"> </w:t>
      </w:r>
      <w:r w:rsidR="00DF3325" w:rsidRPr="006C19E3">
        <w:rPr>
          <w:sz w:val="20"/>
          <w:lang w:val="en-GB"/>
        </w:rPr>
        <w:t>v</w:t>
      </w:r>
      <w:r w:rsidR="006C19E3">
        <w:rPr>
          <w:sz w:val="20"/>
          <w:lang w:val="en-GB"/>
        </w:rPr>
        <w:t>.</w:t>
      </w:r>
      <w:r w:rsidRPr="006C19E3">
        <w:rPr>
          <w:i/>
          <w:sz w:val="20"/>
          <w:lang w:val="en-GB"/>
        </w:rPr>
        <w:t xml:space="preserve"> </w:t>
      </w:r>
      <w:r w:rsidRPr="00451146">
        <w:rPr>
          <w:i/>
          <w:sz w:val="20"/>
          <w:lang w:val="en-GB"/>
        </w:rPr>
        <w:t>Cyprus</w:t>
      </w:r>
      <w:r w:rsidRPr="00451146">
        <w:rPr>
          <w:sz w:val="20"/>
          <w:lang w:val="en-GB"/>
        </w:rPr>
        <w:t>, a prisoner had been given the life sentence for murder</w:t>
      </w:r>
      <w:r w:rsidR="00A73461" w:rsidRPr="00451146">
        <w:rPr>
          <w:sz w:val="20"/>
          <w:lang w:val="en-GB"/>
        </w:rPr>
        <w:t>,</w:t>
      </w:r>
      <w:r w:rsidRPr="00451146">
        <w:rPr>
          <w:sz w:val="20"/>
          <w:lang w:val="en-GB"/>
        </w:rPr>
        <w:t xml:space="preserve"> which in practice involved a 20-year fixed-term sentence. Later the law was changed and the sentence replaced by an indeterminate sentence and he was refused discretionary release.</w:t>
      </w:r>
      <w:r w:rsidRPr="00451146">
        <w:rPr>
          <w:sz w:val="20"/>
          <w:vertAlign w:val="superscript"/>
          <w:lang w:val="en-GB"/>
        </w:rPr>
        <w:footnoteReference w:id="18"/>
      </w:r>
      <w:r w:rsidRPr="00451146">
        <w:rPr>
          <w:sz w:val="20"/>
          <w:lang w:val="en-GB"/>
        </w:rPr>
        <w:t xml:space="preserve"> It was held that the indeterminate life sentence constituted a breach of Article 7 as the scope and level of execution of the life sentence was not formulated with sufficient precision at the time of his sentence.</w:t>
      </w:r>
    </w:p>
    <w:p w14:paraId="2E9E2183" w14:textId="4CEF621F" w:rsidR="00AB1D24" w:rsidRPr="00451146" w:rsidRDefault="00AB1D24" w:rsidP="00685C4E">
      <w:pPr>
        <w:pStyle w:val="Body1"/>
        <w:spacing w:line="360" w:lineRule="auto"/>
        <w:jc w:val="both"/>
        <w:rPr>
          <w:sz w:val="20"/>
          <w:lang w:val="en-GB"/>
        </w:rPr>
      </w:pPr>
      <w:r w:rsidRPr="00451146">
        <w:rPr>
          <w:sz w:val="20"/>
          <w:lang w:val="en-GB"/>
        </w:rPr>
        <w:tab/>
        <w:t>The notion of ‘law’ presents other challenges and implies a rule of general application. Laws regulate the conduct of the public or a segment of society and do so over a period of time. In contrast to judicial decisions</w:t>
      </w:r>
      <w:r w:rsidR="00A73461" w:rsidRPr="00451146">
        <w:rPr>
          <w:sz w:val="20"/>
          <w:lang w:val="en-GB"/>
        </w:rPr>
        <w:t>,</w:t>
      </w:r>
      <w:r w:rsidRPr="00451146">
        <w:rPr>
          <w:sz w:val="20"/>
          <w:lang w:val="en-GB"/>
        </w:rPr>
        <w:t xml:space="preserve"> which apply the law to persons, laws in this sense are different. </w:t>
      </w:r>
      <w:r w:rsidR="00CC35A3">
        <w:rPr>
          <w:sz w:val="20"/>
          <w:lang w:val="en-GB"/>
        </w:rPr>
        <w:t>A</w:t>
      </w:r>
      <w:r w:rsidRPr="00451146">
        <w:rPr>
          <w:sz w:val="20"/>
          <w:lang w:val="en-GB"/>
        </w:rPr>
        <w:t xml:space="preserve"> l</w:t>
      </w:r>
      <w:r w:rsidR="00CC35A3">
        <w:rPr>
          <w:sz w:val="20"/>
          <w:lang w:val="en-GB"/>
        </w:rPr>
        <w:t xml:space="preserve">aw is couched in general terms and </w:t>
      </w:r>
      <w:r w:rsidRPr="00451146">
        <w:rPr>
          <w:sz w:val="20"/>
          <w:lang w:val="en-GB"/>
        </w:rPr>
        <w:t xml:space="preserve">assumes some degree of vagueness that requires interpretation before being applied to particular circumstances, which the </w:t>
      </w:r>
      <w:proofErr w:type="spellStart"/>
      <w:r w:rsidR="00CC35A3">
        <w:rPr>
          <w:sz w:val="20"/>
          <w:lang w:val="en-GB"/>
        </w:rPr>
        <w:t>ECtHR</w:t>
      </w:r>
      <w:proofErr w:type="spellEnd"/>
      <w:r w:rsidRPr="00451146">
        <w:rPr>
          <w:sz w:val="20"/>
          <w:lang w:val="en-GB"/>
        </w:rPr>
        <w:t xml:space="preserve"> accepts in both the Article 7 context and in respect of its pervasive concept of law. In this sense the law should be provided the scope to evolve, an element that was recognised by the Court in </w:t>
      </w:r>
      <w:proofErr w:type="spellStart"/>
      <w:r w:rsidRPr="00451146">
        <w:rPr>
          <w:i/>
          <w:sz w:val="20"/>
          <w:lang w:val="en-GB"/>
        </w:rPr>
        <w:t>Tyrer</w:t>
      </w:r>
      <w:proofErr w:type="spellEnd"/>
      <w:r w:rsidR="00CC35A3">
        <w:rPr>
          <w:sz w:val="20"/>
          <w:lang w:val="en-GB"/>
        </w:rPr>
        <w:t>.</w:t>
      </w:r>
      <w:r w:rsidRPr="00451146">
        <w:rPr>
          <w:sz w:val="20"/>
          <w:vertAlign w:val="superscript"/>
          <w:lang w:val="en-GB"/>
        </w:rPr>
        <w:footnoteReference w:id="19"/>
      </w:r>
      <w:r w:rsidRPr="00451146">
        <w:rPr>
          <w:sz w:val="20"/>
          <w:lang w:val="en-GB"/>
        </w:rPr>
        <w:t xml:space="preserve"> </w:t>
      </w:r>
      <w:r w:rsidR="00CC35A3">
        <w:rPr>
          <w:sz w:val="20"/>
          <w:lang w:val="en-GB"/>
        </w:rPr>
        <w:t xml:space="preserve">It is </w:t>
      </w:r>
      <w:r w:rsidRPr="00451146">
        <w:rPr>
          <w:sz w:val="20"/>
          <w:lang w:val="en-GB"/>
        </w:rPr>
        <w:t xml:space="preserve">also one that follows the thought of key thinkers in legal philosophy, such as Hart, and his theory on the ‘open-textured’ nature of law as being necessary to ensure that rules be interpreted according to a policy that provides for discretion; in this way laws are </w:t>
      </w:r>
      <w:r w:rsidRPr="00451146">
        <w:rPr>
          <w:sz w:val="20"/>
          <w:lang w:val="en-GB"/>
        </w:rPr>
        <w:lastRenderedPageBreak/>
        <w:t xml:space="preserve">not overly rigid and able to develop with time and changing contexts, which adhere to the spirit of the </w:t>
      </w:r>
      <w:proofErr w:type="spellStart"/>
      <w:r w:rsidR="00CC35A3">
        <w:rPr>
          <w:sz w:val="20"/>
          <w:lang w:val="en-GB"/>
        </w:rPr>
        <w:t>ECtHR’s</w:t>
      </w:r>
      <w:proofErr w:type="spellEnd"/>
      <w:r w:rsidRPr="00451146">
        <w:rPr>
          <w:sz w:val="20"/>
          <w:lang w:val="en-GB"/>
        </w:rPr>
        <w:t xml:space="preserve"> jurisprudence.</w:t>
      </w:r>
      <w:r w:rsidRPr="00451146">
        <w:rPr>
          <w:sz w:val="20"/>
          <w:vertAlign w:val="superscript"/>
          <w:lang w:val="en-GB"/>
        </w:rPr>
        <w:footnoteReference w:id="20"/>
      </w:r>
      <w:r w:rsidRPr="00451146">
        <w:rPr>
          <w:sz w:val="20"/>
          <w:lang w:val="en-GB"/>
        </w:rPr>
        <w:t xml:space="preserve"> The danger is that individuals will end up being convicted on the basis of new developments or applications of the law</w:t>
      </w:r>
      <w:r w:rsidR="00A73461" w:rsidRPr="00451146">
        <w:rPr>
          <w:sz w:val="20"/>
          <w:lang w:val="en-GB"/>
        </w:rPr>
        <w:t>,</w:t>
      </w:r>
      <w:r w:rsidRPr="00451146">
        <w:rPr>
          <w:sz w:val="20"/>
          <w:lang w:val="en-GB"/>
        </w:rPr>
        <w:t xml:space="preserve"> which could not be foreseen. Where general words in a statute have been interpreted by courts and a settled body of case law created, the Court of Human Rights is likely to find that the certainty requirement has been satisfied. This acceptance of the necessary flexibility in legal rules is found in the matrimonial rape case of </w:t>
      </w:r>
      <w:r w:rsidRPr="00451146">
        <w:rPr>
          <w:i/>
          <w:sz w:val="20"/>
          <w:lang w:val="en-GB"/>
        </w:rPr>
        <w:t xml:space="preserve">SW </w:t>
      </w:r>
      <w:r w:rsidR="00DF3325" w:rsidRPr="00197BDE">
        <w:rPr>
          <w:sz w:val="20"/>
          <w:lang w:val="en-GB"/>
        </w:rPr>
        <w:t>v</w:t>
      </w:r>
      <w:r w:rsidR="00197BDE">
        <w:rPr>
          <w:sz w:val="20"/>
          <w:lang w:val="en-GB"/>
        </w:rPr>
        <w:t>.</w:t>
      </w:r>
      <w:r w:rsidRPr="00451146">
        <w:rPr>
          <w:sz w:val="20"/>
          <w:lang w:val="en-GB"/>
        </w:rPr>
        <w:t xml:space="preserve"> </w:t>
      </w:r>
      <w:r w:rsidRPr="00451146">
        <w:rPr>
          <w:i/>
          <w:sz w:val="20"/>
          <w:lang w:val="en-GB"/>
        </w:rPr>
        <w:t xml:space="preserve">United Kingdom </w:t>
      </w:r>
      <w:r w:rsidRPr="00451146">
        <w:rPr>
          <w:sz w:val="20"/>
          <w:lang w:val="en-GB"/>
        </w:rPr>
        <w:t>where the Court said</w:t>
      </w:r>
    </w:p>
    <w:p w14:paraId="03786B3F" w14:textId="77777777" w:rsidR="00AB1D24" w:rsidRPr="00451146" w:rsidRDefault="00AB1D24" w:rsidP="00685C4E">
      <w:pPr>
        <w:pStyle w:val="Body1"/>
        <w:spacing w:line="360" w:lineRule="auto"/>
        <w:ind w:left="720"/>
        <w:jc w:val="both"/>
        <w:rPr>
          <w:sz w:val="20"/>
          <w:lang w:val="en-GB"/>
        </w:rPr>
      </w:pPr>
    </w:p>
    <w:p w14:paraId="3DB6FC65" w14:textId="77777777" w:rsidR="00AB1D24" w:rsidRPr="00451146" w:rsidRDefault="00AB1D24" w:rsidP="00685C4E">
      <w:pPr>
        <w:pStyle w:val="Body1"/>
        <w:spacing w:line="360" w:lineRule="auto"/>
        <w:ind w:left="720"/>
        <w:jc w:val="both"/>
        <w:rPr>
          <w:sz w:val="20"/>
          <w:lang w:val="en-GB"/>
        </w:rPr>
      </w:pPr>
      <w:r w:rsidRPr="00451146">
        <w:rPr>
          <w:sz w:val="20"/>
          <w:lang w:val="en-GB"/>
        </w:rPr>
        <w:t>There will always be need for elucidation of doubtful points and for adaptation to changing circumstances…Article 7 of the Convention cannot be read as outlawing the gradual clarification of the rules of criminal liability through judicial interpretation from case to case, provided that the resultant development is consistent with the essence of the offence and could reasonably be foreseen.</w:t>
      </w:r>
      <w:r w:rsidRPr="00451146">
        <w:rPr>
          <w:sz w:val="20"/>
          <w:vertAlign w:val="superscript"/>
          <w:lang w:val="en-GB"/>
        </w:rPr>
        <w:footnoteReference w:id="21"/>
      </w:r>
      <w:r w:rsidRPr="00451146">
        <w:rPr>
          <w:sz w:val="20"/>
          <w:lang w:val="en-GB"/>
        </w:rPr>
        <w:t xml:space="preserve"> </w:t>
      </w:r>
    </w:p>
    <w:p w14:paraId="2FFD847C" w14:textId="77777777" w:rsidR="00AB1D24" w:rsidRPr="00451146" w:rsidRDefault="00AB1D24" w:rsidP="00685C4E">
      <w:pPr>
        <w:pStyle w:val="Body1"/>
        <w:spacing w:line="360" w:lineRule="auto"/>
        <w:jc w:val="both"/>
        <w:rPr>
          <w:sz w:val="20"/>
          <w:lang w:val="en-GB"/>
        </w:rPr>
      </w:pPr>
      <w:r w:rsidRPr="00451146">
        <w:rPr>
          <w:sz w:val="20"/>
          <w:lang w:val="en-GB"/>
        </w:rPr>
        <w:tab/>
      </w:r>
    </w:p>
    <w:p w14:paraId="2BD06210" w14:textId="773236DD" w:rsidR="00AB1D24" w:rsidRPr="00451146" w:rsidRDefault="00AB1D24" w:rsidP="00451146">
      <w:pPr>
        <w:pStyle w:val="Body1"/>
        <w:spacing w:line="360" w:lineRule="auto"/>
        <w:jc w:val="both"/>
        <w:rPr>
          <w:sz w:val="20"/>
          <w:lang w:val="en-GB"/>
        </w:rPr>
      </w:pPr>
      <w:r w:rsidRPr="00451146">
        <w:rPr>
          <w:sz w:val="20"/>
          <w:lang w:val="en-GB"/>
        </w:rPr>
        <w:t xml:space="preserve">To sum up, the Court is careful to ensure that the law does not work backwards in the area of criminal law, as that would offend </w:t>
      </w:r>
      <w:r w:rsidR="00CC35A3">
        <w:rPr>
          <w:sz w:val="20"/>
          <w:lang w:val="en-GB"/>
        </w:rPr>
        <w:t xml:space="preserve">its </w:t>
      </w:r>
      <w:r w:rsidRPr="00451146">
        <w:rPr>
          <w:sz w:val="20"/>
          <w:lang w:val="en-GB"/>
        </w:rPr>
        <w:t xml:space="preserve">timeless cornerstone. The </w:t>
      </w:r>
      <w:proofErr w:type="spellStart"/>
      <w:r w:rsidR="00CC35A3">
        <w:rPr>
          <w:sz w:val="20"/>
          <w:lang w:val="en-GB"/>
        </w:rPr>
        <w:t>ECtHR</w:t>
      </w:r>
      <w:proofErr w:type="spellEnd"/>
      <w:r w:rsidRPr="00451146">
        <w:rPr>
          <w:sz w:val="20"/>
          <w:lang w:val="en-GB"/>
        </w:rPr>
        <w:t xml:space="preserve"> is concerned that terms such as criminal offence and penalty are clear within the member states national laws according to </w:t>
      </w:r>
      <w:r w:rsidR="00CC35A3">
        <w:rPr>
          <w:sz w:val="20"/>
          <w:lang w:val="en-GB"/>
        </w:rPr>
        <w:t>its</w:t>
      </w:r>
      <w:r w:rsidRPr="00451146">
        <w:rPr>
          <w:sz w:val="20"/>
          <w:lang w:val="en-GB"/>
        </w:rPr>
        <w:t xml:space="preserve"> own pervasive principles. The </w:t>
      </w:r>
      <w:proofErr w:type="spellStart"/>
      <w:r w:rsidR="00CC35A3">
        <w:rPr>
          <w:sz w:val="20"/>
          <w:lang w:val="en-GB"/>
        </w:rPr>
        <w:t>ECtHR</w:t>
      </w:r>
      <w:r w:rsidRPr="00451146">
        <w:rPr>
          <w:sz w:val="20"/>
          <w:lang w:val="en-GB"/>
        </w:rPr>
        <w:t>’s</w:t>
      </w:r>
      <w:proofErr w:type="spellEnd"/>
      <w:r w:rsidRPr="00451146">
        <w:rPr>
          <w:sz w:val="20"/>
          <w:lang w:val="en-GB"/>
        </w:rPr>
        <w:t xml:space="preserve"> approach seems to imply a balanced contemplation of what bolsters the measure at hand, whether it is punitive or preventive. The Court recognises that laws must be in tune with the dynamic nature of society in terms of relations, views on punishment for example, and what is concerned a crime.</w:t>
      </w:r>
    </w:p>
    <w:p w14:paraId="744ED18E" w14:textId="77777777" w:rsidR="0081708C" w:rsidRPr="00451146" w:rsidRDefault="0081708C" w:rsidP="00685C4E">
      <w:pPr>
        <w:pStyle w:val="Body1"/>
        <w:spacing w:line="360" w:lineRule="auto"/>
        <w:jc w:val="both"/>
        <w:rPr>
          <w:b/>
          <w:sz w:val="20"/>
          <w:lang w:val="en-GB"/>
        </w:rPr>
      </w:pPr>
    </w:p>
    <w:p w14:paraId="0ECA3B4F" w14:textId="77777777" w:rsidR="00AB1D24" w:rsidRPr="00451146" w:rsidRDefault="00DE00B1" w:rsidP="00685C4E">
      <w:pPr>
        <w:pStyle w:val="Body1"/>
        <w:spacing w:line="360" w:lineRule="auto"/>
        <w:jc w:val="both"/>
        <w:rPr>
          <w:rFonts w:ascii="Arial" w:hAnsi="Arial" w:cs="Arial"/>
          <w:b/>
          <w:sz w:val="22"/>
          <w:szCs w:val="22"/>
          <w:lang w:val="en-GB"/>
        </w:rPr>
      </w:pPr>
      <w:r>
        <w:rPr>
          <w:rFonts w:ascii="Arial" w:hAnsi="Arial" w:cs="Arial"/>
          <w:b/>
          <w:sz w:val="22"/>
          <w:szCs w:val="22"/>
          <w:lang w:val="en-GB"/>
        </w:rPr>
        <w:t>1.</w:t>
      </w:r>
      <w:r w:rsidR="0081708C" w:rsidRPr="00451146">
        <w:rPr>
          <w:rFonts w:ascii="Arial" w:hAnsi="Arial" w:cs="Arial"/>
          <w:b/>
          <w:sz w:val="22"/>
          <w:szCs w:val="22"/>
          <w:lang w:val="en-GB"/>
        </w:rPr>
        <w:t>1 EUROPEAN</w:t>
      </w:r>
      <w:r w:rsidR="0081708C" w:rsidRPr="00451146">
        <w:rPr>
          <w:rFonts w:ascii="Arial" w:hAnsi="Arial" w:cs="Arial"/>
          <w:sz w:val="22"/>
          <w:szCs w:val="22"/>
          <w:lang w:val="en-GB"/>
        </w:rPr>
        <w:t xml:space="preserve"> </w:t>
      </w:r>
      <w:r w:rsidR="0081708C" w:rsidRPr="00451146">
        <w:rPr>
          <w:rFonts w:ascii="Arial" w:hAnsi="Arial" w:cs="Arial"/>
          <w:b/>
          <w:sz w:val="22"/>
          <w:szCs w:val="22"/>
          <w:lang w:val="en-GB"/>
        </w:rPr>
        <w:t>CONTEXT AND GERMAN CASE STUDY</w:t>
      </w:r>
    </w:p>
    <w:p w14:paraId="7F520FF3" w14:textId="1E1901F7" w:rsidR="00AB1D24" w:rsidRPr="00451146" w:rsidRDefault="003C3C11" w:rsidP="00685C4E">
      <w:pPr>
        <w:pStyle w:val="Body1"/>
        <w:spacing w:line="360" w:lineRule="auto"/>
        <w:jc w:val="both"/>
        <w:rPr>
          <w:sz w:val="20"/>
          <w:lang w:val="en-GB"/>
        </w:rPr>
      </w:pPr>
      <w:r w:rsidRPr="003C3C11">
        <w:rPr>
          <w:rFonts w:eastAsia="ヒラギノ角ゴ Pro W3"/>
          <w:sz w:val="20"/>
          <w:lang w:val="en-GB"/>
        </w:rPr>
        <w:t>Textbooks on European human rights law will remind its readers that the ECHR was drafted in the outcome of the Second World War</w:t>
      </w:r>
      <w:r w:rsidR="00CC35A3">
        <w:rPr>
          <w:rFonts w:eastAsia="ヒラギノ角ゴ Pro W3"/>
          <w:sz w:val="20"/>
          <w:lang w:val="en-GB"/>
        </w:rPr>
        <w:t xml:space="preserve">. This was a </w:t>
      </w:r>
      <w:r w:rsidRPr="003C3C11">
        <w:rPr>
          <w:rFonts w:eastAsia="ヒラギノ角ゴ Pro W3"/>
          <w:sz w:val="20"/>
          <w:lang w:val="en-GB"/>
        </w:rPr>
        <w:t>t</w:t>
      </w:r>
      <w:r w:rsidR="00CC35A3">
        <w:rPr>
          <w:rFonts w:eastAsia="ヒラギノ角ゴ Pro W3"/>
          <w:sz w:val="20"/>
          <w:lang w:val="en-GB"/>
        </w:rPr>
        <w:t>ime when it w</w:t>
      </w:r>
      <w:r w:rsidRPr="003C3C11">
        <w:rPr>
          <w:rFonts w:eastAsia="ヒラギノ角ゴ Pro W3"/>
          <w:sz w:val="20"/>
          <w:lang w:val="en-GB"/>
        </w:rPr>
        <w:t>as likely that those responsible for drafting Article 7 would have had developments in Germany in mind as well as other parts of Europe in the 1930s, when newly imposed totalitarian regimes passed retroactive laws, making criminal without warning acts which had been lawful under democratic rule</w:t>
      </w:r>
      <w:r w:rsidR="00AB1D24" w:rsidRPr="00451146">
        <w:rPr>
          <w:sz w:val="20"/>
          <w:lang w:val="en-GB"/>
        </w:rPr>
        <w:t>.</w:t>
      </w:r>
      <w:r w:rsidR="00AB1D24" w:rsidRPr="00451146">
        <w:rPr>
          <w:sz w:val="20"/>
          <w:vertAlign w:val="superscript"/>
          <w:lang w:val="en-GB"/>
        </w:rPr>
        <w:footnoteReference w:id="22"/>
      </w:r>
      <w:r w:rsidR="00AB1D24" w:rsidRPr="00451146">
        <w:rPr>
          <w:sz w:val="20"/>
          <w:lang w:val="en-GB"/>
        </w:rPr>
        <w:t xml:space="preserve"> Pre-war Europe (1918-1939) was a </w:t>
      </w:r>
      <w:r w:rsidR="00CC35A3">
        <w:rPr>
          <w:sz w:val="20"/>
          <w:lang w:val="en-GB"/>
        </w:rPr>
        <w:t xml:space="preserve">period </w:t>
      </w:r>
      <w:r w:rsidR="00AB1D24" w:rsidRPr="00451146">
        <w:rPr>
          <w:sz w:val="20"/>
          <w:lang w:val="en-GB"/>
        </w:rPr>
        <w:t>of great legal innovation</w:t>
      </w:r>
      <w:r w:rsidR="00CC35A3">
        <w:rPr>
          <w:sz w:val="20"/>
          <w:lang w:val="en-GB"/>
        </w:rPr>
        <w:t>, but also of</w:t>
      </w:r>
      <w:r w:rsidR="00AB1D24" w:rsidRPr="00451146">
        <w:rPr>
          <w:sz w:val="20"/>
          <w:lang w:val="en-GB"/>
        </w:rPr>
        <w:t xml:space="preserve"> political uncertainty that would </w:t>
      </w:r>
      <w:r w:rsidR="00CC35A3">
        <w:rPr>
          <w:sz w:val="20"/>
          <w:lang w:val="en-GB"/>
        </w:rPr>
        <w:t xml:space="preserve">eventually </w:t>
      </w:r>
      <w:r w:rsidR="00AB1D24" w:rsidRPr="00451146">
        <w:rPr>
          <w:sz w:val="20"/>
          <w:lang w:val="en-GB"/>
        </w:rPr>
        <w:t>cut any creativity short.</w:t>
      </w:r>
      <w:r w:rsidR="00AB1D24" w:rsidRPr="00451146">
        <w:rPr>
          <w:sz w:val="20"/>
          <w:vertAlign w:val="superscript"/>
          <w:lang w:val="en-GB"/>
        </w:rPr>
        <w:footnoteReference w:id="23"/>
      </w:r>
      <w:r w:rsidR="00AB1D24" w:rsidRPr="00451146">
        <w:rPr>
          <w:sz w:val="20"/>
          <w:lang w:val="en-GB"/>
        </w:rPr>
        <w:t xml:space="preserve"> The change of political regimes in Central and Eastern Europe following the collapse of Communism in 1989 was also an extreme period, owing to the nature of the changeover to democratic rule.</w:t>
      </w:r>
      <w:r w:rsidR="00DF3325">
        <w:rPr>
          <w:sz w:val="20"/>
          <w:lang w:val="en-GB"/>
        </w:rPr>
        <w:t xml:space="preserve"> </w:t>
      </w:r>
      <w:r w:rsidR="00AB1D24" w:rsidRPr="00451146">
        <w:rPr>
          <w:sz w:val="20"/>
          <w:lang w:val="en-GB"/>
        </w:rPr>
        <w:t xml:space="preserve">It is not surprising that these political </w:t>
      </w:r>
      <w:r w:rsidR="00484F5A">
        <w:rPr>
          <w:sz w:val="20"/>
          <w:lang w:val="en-GB"/>
        </w:rPr>
        <w:t>transformation</w:t>
      </w:r>
      <w:r w:rsidR="00AB1D24" w:rsidRPr="00451146">
        <w:rPr>
          <w:sz w:val="20"/>
          <w:lang w:val="en-GB"/>
        </w:rPr>
        <w:t>s were often accompanied by a strong desire to bring to justice those responsible for the worst excesses of the old regime. This also resonates with the situation following the fall of the Nazi regime in 1945, when the international community developed the ‘Nuremberg principles</w:t>
      </w:r>
      <w:r w:rsidR="008A2E6C">
        <w:rPr>
          <w:sz w:val="20"/>
          <w:lang w:val="en-GB"/>
        </w:rPr>
        <w:t>’</w:t>
      </w:r>
      <w:r w:rsidR="008B3C6D">
        <w:rPr>
          <w:sz w:val="20"/>
          <w:lang w:val="en-GB"/>
        </w:rPr>
        <w:t>,</w:t>
      </w:r>
      <w:r w:rsidR="00AB1D24" w:rsidRPr="00451146">
        <w:rPr>
          <w:sz w:val="20"/>
          <w:lang w:val="en-GB"/>
        </w:rPr>
        <w:t xml:space="preserve"> which permitted individuals to be prosecuted for ‘crimes against humanity</w:t>
      </w:r>
      <w:r w:rsidR="008B3C6D">
        <w:rPr>
          <w:sz w:val="20"/>
          <w:lang w:val="en-GB"/>
        </w:rPr>
        <w:t xml:space="preserve">,’ </w:t>
      </w:r>
      <w:r w:rsidR="00AB1D24" w:rsidRPr="00451146">
        <w:rPr>
          <w:sz w:val="20"/>
          <w:lang w:val="en-GB"/>
        </w:rPr>
        <w:t>even if the</w:t>
      </w:r>
      <w:r w:rsidR="00484F5A">
        <w:rPr>
          <w:sz w:val="20"/>
          <w:lang w:val="en-GB"/>
        </w:rPr>
        <w:t xml:space="preserve">y </w:t>
      </w:r>
      <w:r w:rsidR="00AB1D24" w:rsidRPr="00451146">
        <w:rPr>
          <w:sz w:val="20"/>
          <w:lang w:val="en-GB"/>
        </w:rPr>
        <w:t xml:space="preserve">had not been criminal according to Nazi legislation and practice. These principles, as such, are expressed in the second paragraph of Article 7. Notably in </w:t>
      </w:r>
      <w:proofErr w:type="spellStart"/>
      <w:r w:rsidR="00AB1D24" w:rsidRPr="00451146">
        <w:rPr>
          <w:i/>
          <w:sz w:val="20"/>
          <w:lang w:val="en-GB"/>
        </w:rPr>
        <w:lastRenderedPageBreak/>
        <w:t>Papon</w:t>
      </w:r>
      <w:proofErr w:type="spellEnd"/>
      <w:r w:rsidR="00AB1D24" w:rsidRPr="00451146">
        <w:rPr>
          <w:sz w:val="20"/>
          <w:lang w:val="en-GB"/>
        </w:rPr>
        <w:t xml:space="preserve"> v </w:t>
      </w:r>
      <w:r w:rsidR="00AB1D24" w:rsidRPr="00451146">
        <w:rPr>
          <w:i/>
          <w:sz w:val="20"/>
          <w:lang w:val="en-GB"/>
        </w:rPr>
        <w:t>France</w:t>
      </w:r>
      <w:r w:rsidR="00AB1D24" w:rsidRPr="00451146">
        <w:rPr>
          <w:sz w:val="20"/>
          <w:lang w:val="en-GB"/>
        </w:rPr>
        <w:t>, the Court rejected the applicant’s argument that at his trial for war crimes it had been a breach of Article 7 for the Court to reverse its case law and adopt a wider interpretation of Article 6 of the Nuremberg Statute</w:t>
      </w:r>
      <w:r w:rsidR="00484F5A">
        <w:rPr>
          <w:sz w:val="20"/>
          <w:lang w:val="en-GB"/>
        </w:rPr>
        <w:t xml:space="preserve">. </w:t>
      </w:r>
      <w:proofErr w:type="spellStart"/>
      <w:r w:rsidR="00484F5A">
        <w:rPr>
          <w:sz w:val="20"/>
          <w:lang w:val="en-GB"/>
        </w:rPr>
        <w:t>Papon’s</w:t>
      </w:r>
      <w:proofErr w:type="spellEnd"/>
      <w:r w:rsidR="00484F5A">
        <w:rPr>
          <w:sz w:val="20"/>
          <w:lang w:val="en-GB"/>
        </w:rPr>
        <w:t xml:space="preserve"> defence argued that this </w:t>
      </w:r>
      <w:r w:rsidR="00AB1D24" w:rsidRPr="00451146">
        <w:rPr>
          <w:sz w:val="20"/>
          <w:lang w:val="en-GB"/>
        </w:rPr>
        <w:t>removed the need to prove intent as part of an accessory to such a crime to serve as an instrument of the Nazi’s totalitarian policy.</w:t>
      </w:r>
      <w:r w:rsidR="00AB1D24" w:rsidRPr="00451146">
        <w:rPr>
          <w:sz w:val="20"/>
          <w:vertAlign w:val="superscript"/>
          <w:lang w:val="en-GB"/>
        </w:rPr>
        <w:footnoteReference w:id="24"/>
      </w:r>
    </w:p>
    <w:p w14:paraId="0A3ADDB5" w14:textId="406D14BB" w:rsidR="00AB1D24" w:rsidRPr="00451146" w:rsidRDefault="00AB1D24" w:rsidP="00685C4E">
      <w:pPr>
        <w:pStyle w:val="Body1"/>
        <w:spacing w:line="360" w:lineRule="auto"/>
        <w:ind w:firstLine="720"/>
        <w:jc w:val="both"/>
        <w:rPr>
          <w:sz w:val="20"/>
          <w:lang w:val="en-GB"/>
        </w:rPr>
      </w:pPr>
      <w:r w:rsidRPr="00451146">
        <w:rPr>
          <w:sz w:val="20"/>
          <w:lang w:val="en-GB"/>
        </w:rPr>
        <w:t xml:space="preserve">Two cases </w:t>
      </w:r>
      <w:r w:rsidR="00484F5A">
        <w:rPr>
          <w:sz w:val="20"/>
          <w:lang w:val="en-GB"/>
        </w:rPr>
        <w:t xml:space="preserve">concerning the regulation of the security apparatus of the Berlin Wall </w:t>
      </w:r>
      <w:r w:rsidRPr="00451146">
        <w:rPr>
          <w:sz w:val="20"/>
          <w:lang w:val="en-GB"/>
        </w:rPr>
        <w:t>are of great relevance to the transitional justice narrative, both concerning East Germany and both regarded as highly contentious rulings nationally and internationally. East Germany, or the German Democratic Republic (GDR)</w:t>
      </w:r>
      <w:r w:rsidR="001844EA">
        <w:rPr>
          <w:sz w:val="20"/>
          <w:lang w:val="en-GB"/>
        </w:rPr>
        <w:t>,</w:t>
      </w:r>
      <w:r w:rsidRPr="00451146">
        <w:rPr>
          <w:sz w:val="20"/>
          <w:lang w:val="en-GB"/>
        </w:rPr>
        <w:t xml:space="preserve"> came into existence in 1949. It was the culmination of two opposing political and military blocs, west and east, driven by the United States and Soviet Union respectively, that resulted in the GDR being increasingly dominated by the Communists alone and state economy restructured according to the socialist planned economy.</w:t>
      </w:r>
      <w:r w:rsidRPr="00451146">
        <w:rPr>
          <w:sz w:val="20"/>
          <w:vertAlign w:val="superscript"/>
          <w:lang w:val="en-GB"/>
        </w:rPr>
        <w:footnoteReference w:id="25"/>
      </w:r>
      <w:r w:rsidRPr="00451146">
        <w:rPr>
          <w:sz w:val="20"/>
          <w:lang w:val="en-GB"/>
        </w:rPr>
        <w:t xml:space="preserve"> Eventually an intra-German border was created between east and west, some 69 miles long, 23 of which ran through Berlin, to separate the GDR from the Federal Republic of Germany. Construction was started in 1961; the Wall that was to separate east from west lasted until the borders </w:t>
      </w:r>
      <w:proofErr w:type="gramStart"/>
      <w:r w:rsidRPr="00451146">
        <w:rPr>
          <w:sz w:val="20"/>
          <w:lang w:val="en-GB"/>
        </w:rPr>
        <w:t>were</w:t>
      </w:r>
      <w:proofErr w:type="gramEnd"/>
      <w:r w:rsidRPr="00451146">
        <w:rPr>
          <w:sz w:val="20"/>
          <w:lang w:val="en-GB"/>
        </w:rPr>
        <w:t xml:space="preserve"> opened in the evening of November 1989.</w:t>
      </w:r>
      <w:r w:rsidRPr="00451146">
        <w:rPr>
          <w:sz w:val="20"/>
          <w:vertAlign w:val="superscript"/>
          <w:lang w:val="en-GB"/>
        </w:rPr>
        <w:footnoteReference w:id="26"/>
      </w:r>
      <w:r w:rsidRPr="00451146">
        <w:rPr>
          <w:sz w:val="20"/>
          <w:lang w:val="en-GB"/>
        </w:rPr>
        <w:t xml:space="preserve"> The Wall was an on</w:t>
      </w:r>
      <w:r w:rsidR="00A73461" w:rsidRPr="00451146">
        <w:rPr>
          <w:sz w:val="20"/>
          <w:lang w:val="en-GB"/>
        </w:rPr>
        <w:t>-</w:t>
      </w:r>
      <w:r w:rsidRPr="00451146">
        <w:rPr>
          <w:sz w:val="20"/>
          <w:lang w:val="en-GB"/>
        </w:rPr>
        <w:t>going project, with modifications made on a regular basis and at great cost in order to stop East Germans from fleeing west and to send a message to West Germany and wider western world about the GDR's formidability.</w:t>
      </w:r>
      <w:r w:rsidRPr="00451146">
        <w:rPr>
          <w:sz w:val="20"/>
          <w:vertAlign w:val="superscript"/>
          <w:lang w:val="en-GB"/>
        </w:rPr>
        <w:footnoteReference w:id="27"/>
      </w:r>
      <w:r w:rsidRPr="00451146">
        <w:rPr>
          <w:sz w:val="20"/>
          <w:lang w:val="en-GB"/>
        </w:rPr>
        <w:t xml:space="preserve"> The Wall was patrolled by border guards, usually young in age without vast personal or professional experience, and having undergone intense indoctrination</w:t>
      </w:r>
      <w:r w:rsidR="00A73461" w:rsidRPr="00451146">
        <w:rPr>
          <w:sz w:val="20"/>
          <w:lang w:val="en-GB"/>
        </w:rPr>
        <w:t>. They</w:t>
      </w:r>
      <w:r w:rsidRPr="00451146">
        <w:rPr>
          <w:sz w:val="20"/>
          <w:lang w:val="en-GB"/>
        </w:rPr>
        <w:t xml:space="preserve"> were told to stop anyone trying to escape with force. In most cases people would attempt to flee at night. If the guards noticed someone trying to escape warning calls would be made. If the calls and warning shots were ignored, the guards fired automatic weapons, with fatal results. In one case, the victim was hit in the back as he had one hand on the top of the wall.</w:t>
      </w:r>
      <w:r w:rsidRPr="00451146">
        <w:rPr>
          <w:sz w:val="20"/>
          <w:vertAlign w:val="superscript"/>
          <w:lang w:val="en-GB"/>
        </w:rPr>
        <w:footnoteReference w:id="28"/>
      </w:r>
      <w:r w:rsidRPr="00451146">
        <w:rPr>
          <w:sz w:val="20"/>
          <w:lang w:val="en-GB"/>
        </w:rPr>
        <w:t xml:space="preserve"> There are many heart</w:t>
      </w:r>
      <w:r w:rsidR="00A73461" w:rsidRPr="00451146">
        <w:rPr>
          <w:sz w:val="20"/>
          <w:lang w:val="en-GB"/>
        </w:rPr>
        <w:t>-</w:t>
      </w:r>
      <w:r w:rsidRPr="00451146">
        <w:rPr>
          <w:sz w:val="20"/>
          <w:lang w:val="en-GB"/>
        </w:rPr>
        <w:t>breaking stories of individuals and families attempting to escape the GDR.</w:t>
      </w:r>
      <w:r w:rsidRPr="00451146">
        <w:rPr>
          <w:sz w:val="20"/>
          <w:vertAlign w:val="superscript"/>
          <w:lang w:val="en-GB"/>
        </w:rPr>
        <w:footnoteReference w:id="29"/>
      </w:r>
      <w:r w:rsidRPr="00451146">
        <w:rPr>
          <w:sz w:val="20"/>
          <w:lang w:val="en-GB"/>
        </w:rPr>
        <w:t xml:space="preserve"> It is worth noting that the GDR boasted one of the most extensive secret police networks in order to control all aspects of public and private lives of its citizens, the hallmark of a totalitarian state.</w:t>
      </w:r>
      <w:r w:rsidRPr="00451146">
        <w:rPr>
          <w:sz w:val="20"/>
          <w:vertAlign w:val="superscript"/>
          <w:lang w:val="en-GB"/>
        </w:rPr>
        <w:footnoteReference w:id="30"/>
      </w:r>
    </w:p>
    <w:p w14:paraId="0F58291F" w14:textId="77777777" w:rsidR="00AB1D24" w:rsidRPr="00451146" w:rsidRDefault="00AB1D24" w:rsidP="00685C4E">
      <w:pPr>
        <w:pStyle w:val="Body1"/>
        <w:spacing w:line="360" w:lineRule="auto"/>
        <w:ind w:firstLine="720"/>
        <w:jc w:val="both"/>
        <w:rPr>
          <w:sz w:val="20"/>
          <w:lang w:val="en-GB"/>
        </w:rPr>
      </w:pPr>
      <w:r w:rsidRPr="00451146">
        <w:rPr>
          <w:sz w:val="20"/>
          <w:lang w:val="en-GB"/>
        </w:rPr>
        <w:t>In 1990, with unification, the border guards and another higher officials involved in the decisions to use force</w:t>
      </w:r>
      <w:r w:rsidR="00341B22" w:rsidRPr="00451146">
        <w:rPr>
          <w:sz w:val="20"/>
          <w:lang w:val="en-GB"/>
        </w:rPr>
        <w:t xml:space="preserve"> </w:t>
      </w:r>
      <w:r w:rsidRPr="00451146">
        <w:rPr>
          <w:sz w:val="20"/>
          <w:lang w:val="en-GB"/>
        </w:rPr>
        <w:t xml:space="preserve">were criminally prosecuted. Once liability was established charges were drafted against higher officials as well, so as not to appear to stop with the guards. In actual fact, the 1990 Unification Treaty did not indicate how acts that had been exempted from punishment in the GDR would be addressed under the applicable law that was to be in force in a reunified Germany. The German legislature did not include an amendment that the constitutional provision, the principle of </w:t>
      </w:r>
      <w:proofErr w:type="spellStart"/>
      <w:r w:rsidRPr="00451146">
        <w:rPr>
          <w:i/>
          <w:sz w:val="20"/>
          <w:lang w:val="en-GB"/>
        </w:rPr>
        <w:t>lex</w:t>
      </w:r>
      <w:proofErr w:type="spellEnd"/>
      <w:r w:rsidRPr="00451146">
        <w:rPr>
          <w:i/>
          <w:sz w:val="20"/>
          <w:lang w:val="en-GB"/>
        </w:rPr>
        <w:t xml:space="preserve"> retro non </w:t>
      </w:r>
      <w:proofErr w:type="spellStart"/>
      <w:r w:rsidRPr="00451146">
        <w:rPr>
          <w:i/>
          <w:sz w:val="20"/>
          <w:lang w:val="en-GB"/>
        </w:rPr>
        <w:t>agit</w:t>
      </w:r>
      <w:proofErr w:type="spellEnd"/>
      <w:r w:rsidRPr="00451146">
        <w:rPr>
          <w:sz w:val="20"/>
          <w:lang w:val="en-GB"/>
        </w:rPr>
        <w:t>, could not be applied to exclude the punishment of anyone who is guilty of an act or failure to act which at the time it was committed was punishable according to principles generally recognised in human rights law. The answer to the question was to be decided by the courts.</w:t>
      </w:r>
      <w:r w:rsidR="00DF3325">
        <w:rPr>
          <w:sz w:val="20"/>
          <w:lang w:val="en-GB"/>
        </w:rPr>
        <w:t xml:space="preserve"> </w:t>
      </w:r>
      <w:r w:rsidRPr="00451146">
        <w:rPr>
          <w:sz w:val="20"/>
          <w:lang w:val="en-GB"/>
        </w:rPr>
        <w:t xml:space="preserve">The </w:t>
      </w:r>
      <w:r w:rsidRPr="00451146">
        <w:rPr>
          <w:sz w:val="20"/>
          <w:lang w:val="en-GB"/>
        </w:rPr>
        <w:lastRenderedPageBreak/>
        <w:t>omission is striking in light of the country's transition following the Second World War, with the creation of the International Military Tribunal and other related trials of former Nazi officials.</w:t>
      </w:r>
      <w:r w:rsidRPr="00451146">
        <w:rPr>
          <w:sz w:val="20"/>
          <w:vertAlign w:val="superscript"/>
          <w:lang w:val="en-GB"/>
        </w:rPr>
        <w:footnoteReference w:id="31"/>
      </w:r>
      <w:r w:rsidRPr="00451146">
        <w:rPr>
          <w:sz w:val="20"/>
          <w:lang w:val="en-GB"/>
        </w:rPr>
        <w:t xml:space="preserve"> It is worthwhile to note that the courts were mainly composed of West German jurists.</w:t>
      </w:r>
      <w:r w:rsidRPr="00451146">
        <w:rPr>
          <w:sz w:val="20"/>
          <w:vertAlign w:val="superscript"/>
          <w:lang w:val="en-GB"/>
        </w:rPr>
        <w:footnoteReference w:id="32"/>
      </w:r>
      <w:r w:rsidRPr="00451146">
        <w:rPr>
          <w:sz w:val="20"/>
          <w:lang w:val="en-GB"/>
        </w:rPr>
        <w:t xml:space="preserve"> The courts rejected the solution that any punishment of the border guards would be retroactive and, as such, unconstitutional, which would lead to their acquittal. This left open the possibility for the defendants to be convicted, where the courts could rule that the convictions would not be retroactive. The courts could also hold that even if the convictions were retroactive, the prohibition against retroactivity is not absolute and can be overcome in exceptional situations.</w:t>
      </w:r>
    </w:p>
    <w:p w14:paraId="442E3EDD" w14:textId="77777777" w:rsidR="00AB1D24" w:rsidRPr="00451146" w:rsidRDefault="003C3C11" w:rsidP="00685C4E">
      <w:pPr>
        <w:pStyle w:val="Body1"/>
        <w:spacing w:line="360" w:lineRule="auto"/>
        <w:ind w:firstLine="720"/>
        <w:jc w:val="both"/>
        <w:rPr>
          <w:sz w:val="20"/>
          <w:lang w:val="en-GB"/>
        </w:rPr>
      </w:pPr>
      <w:r w:rsidRPr="003C3C11">
        <w:rPr>
          <w:rFonts w:eastAsia="ヒラギノ角ゴ Pro W3"/>
          <w:sz w:val="20"/>
          <w:lang w:val="en-GB"/>
        </w:rPr>
        <w:t>Eventually, the border guards were put on trial for homicide. Criminal liability was determined through inter-temporal criminal law, in other words, the norms of either the former GDR law or West German law. Many believed that the force used was justified under GDR law</w:t>
      </w:r>
      <w:r w:rsidR="00AB1D24" w:rsidRPr="00451146">
        <w:rPr>
          <w:sz w:val="20"/>
          <w:lang w:val="en-GB"/>
        </w:rPr>
        <w:t>.</w:t>
      </w:r>
      <w:r w:rsidR="00AB1D24" w:rsidRPr="00451146">
        <w:rPr>
          <w:sz w:val="20"/>
          <w:vertAlign w:val="superscript"/>
          <w:lang w:val="en-GB"/>
        </w:rPr>
        <w:footnoteReference w:id="33"/>
      </w:r>
      <w:r w:rsidR="00AB1D24" w:rsidRPr="00451146">
        <w:rPr>
          <w:sz w:val="20"/>
          <w:lang w:val="en-GB"/>
        </w:rPr>
        <w:t xml:space="preserve"> In fact, when the appeals eventually reached the German Federal Constitutional Court (FCC), the FCC first held that the prohibition of retroactivity, found in Article 103 of West German Constitution, was absolute. The answer lay in the application of the certain formula in order to identify the gross injustice</w:t>
      </w:r>
      <w:r w:rsidR="00AB1D24" w:rsidRPr="00451146">
        <w:rPr>
          <w:sz w:val="20"/>
          <w:vertAlign w:val="superscript"/>
          <w:lang w:val="en-GB"/>
        </w:rPr>
        <w:footnoteReference w:id="34"/>
      </w:r>
      <w:r w:rsidR="00AB1D24" w:rsidRPr="00451146">
        <w:rPr>
          <w:sz w:val="20"/>
          <w:lang w:val="en-GB"/>
        </w:rPr>
        <w:t xml:space="preserve"> of the GDR regime that was accompanied by the abuse of force and the restriction of movement at the intra-German border.</w:t>
      </w:r>
      <w:r w:rsidR="00AB1D24" w:rsidRPr="00451146">
        <w:rPr>
          <w:sz w:val="20"/>
          <w:lang w:val="en-GB"/>
        </w:rPr>
        <w:tab/>
      </w:r>
    </w:p>
    <w:p w14:paraId="3D2E6B65" w14:textId="6B51D121" w:rsidR="003C3C11" w:rsidRPr="003C3C11" w:rsidRDefault="00AB1D24" w:rsidP="003C3C11">
      <w:pPr>
        <w:spacing w:line="360" w:lineRule="auto"/>
        <w:ind w:firstLine="720"/>
        <w:jc w:val="both"/>
        <w:outlineLvl w:val="0"/>
        <w:rPr>
          <w:rFonts w:eastAsia="ヒラギノ角ゴ Pro W3"/>
          <w:color w:val="000000"/>
          <w:sz w:val="20"/>
          <w:szCs w:val="20"/>
          <w:u w:color="000000"/>
        </w:rPr>
      </w:pPr>
      <w:r w:rsidRPr="00451146">
        <w:rPr>
          <w:sz w:val="20"/>
        </w:rPr>
        <w:t>To be sure, the convictions of the individuals, both border guards and high officials, may have satisfied some observers. It should be noted that between October 1990 and February 1997 some 78 persons were sentenced and 45 acquitted.</w:t>
      </w:r>
      <w:r w:rsidRPr="00451146">
        <w:rPr>
          <w:sz w:val="20"/>
          <w:vertAlign w:val="superscript"/>
        </w:rPr>
        <w:footnoteReference w:id="35"/>
      </w:r>
      <w:r w:rsidRPr="00451146">
        <w:rPr>
          <w:sz w:val="20"/>
        </w:rPr>
        <w:t xml:space="preserve"> But the cases raised some very serious problems under German constitutional law (1949 Basic Law) and under the principle prohibiting retroactive punishment. As noted above, the aim of this principle is to stop a state from punishing political</w:t>
      </w:r>
      <w:r w:rsidR="008B3C6D">
        <w:rPr>
          <w:sz w:val="20"/>
        </w:rPr>
        <w:t xml:space="preserve"> enemies or others arbitrarily </w:t>
      </w:r>
      <w:r w:rsidR="008A2E6C">
        <w:rPr>
          <w:sz w:val="20"/>
        </w:rPr>
        <w:t>“</w:t>
      </w:r>
      <w:r w:rsidRPr="00451146">
        <w:rPr>
          <w:sz w:val="20"/>
        </w:rPr>
        <w:t>by creating new rules applicable to events in the past or by punishing without any rule at all</w:t>
      </w:r>
      <w:r w:rsidR="008A2E6C">
        <w:rPr>
          <w:sz w:val="20"/>
        </w:rPr>
        <w:t>”</w:t>
      </w:r>
      <w:r w:rsidRPr="00451146">
        <w:rPr>
          <w:sz w:val="20"/>
        </w:rPr>
        <w:t>.</w:t>
      </w:r>
      <w:r w:rsidRPr="00451146">
        <w:rPr>
          <w:sz w:val="20"/>
          <w:vertAlign w:val="superscript"/>
        </w:rPr>
        <w:footnoteReference w:id="36"/>
      </w:r>
      <w:r w:rsidRPr="00451146">
        <w:rPr>
          <w:sz w:val="20"/>
        </w:rPr>
        <w:t xml:space="preserve"> </w:t>
      </w:r>
      <w:r w:rsidR="003C3C11" w:rsidRPr="003C3C11">
        <w:rPr>
          <w:rFonts w:eastAsia="ヒラギノ角ゴ Pro W3"/>
          <w:color w:val="000000"/>
          <w:sz w:val="20"/>
          <w:szCs w:val="20"/>
          <w:u w:color="000000"/>
        </w:rPr>
        <w:t xml:space="preserve">The essence of this principle relates to one of trust. At its root is the absence of arbitrariness with respect to the rules to be applied to acts committed in the past and present. The idea is key in the post-totalitarian law discourse, where legal narratives are concerned with themes of uncertainty, fear, </w:t>
      </w:r>
      <w:proofErr w:type="gramStart"/>
      <w:r w:rsidR="003C3C11" w:rsidRPr="003C3C11">
        <w:rPr>
          <w:rFonts w:eastAsia="ヒラギノ角ゴ Pro W3"/>
          <w:color w:val="000000"/>
          <w:sz w:val="20"/>
          <w:szCs w:val="20"/>
          <w:u w:color="000000"/>
        </w:rPr>
        <w:t>terror</w:t>
      </w:r>
      <w:proofErr w:type="gramEnd"/>
      <w:r w:rsidR="003C3C11" w:rsidRPr="003C3C11">
        <w:rPr>
          <w:rFonts w:eastAsia="ヒラギノ角ゴ Pro W3"/>
          <w:color w:val="000000"/>
          <w:sz w:val="20"/>
          <w:szCs w:val="20"/>
          <w:u w:color="000000"/>
        </w:rPr>
        <w:t xml:space="preserve"> – all three elements motivating the measures that aim to restore or establish a democratic system based on the rule of law – in which these main aspects of repressive and arbitrary rule are absent.</w:t>
      </w:r>
    </w:p>
    <w:p w14:paraId="38DAC3A1" w14:textId="6914F4A0" w:rsidR="00AB1D24" w:rsidRPr="00451146" w:rsidRDefault="003C3C11" w:rsidP="003C3C11">
      <w:pPr>
        <w:pStyle w:val="Body1"/>
        <w:spacing w:line="360" w:lineRule="auto"/>
        <w:ind w:firstLine="720"/>
        <w:jc w:val="both"/>
        <w:rPr>
          <w:sz w:val="20"/>
          <w:lang w:val="en-GB"/>
        </w:rPr>
      </w:pPr>
      <w:r w:rsidRPr="003C3C11">
        <w:rPr>
          <w:rFonts w:eastAsia="ヒラギノ角ゴ Pro W3"/>
          <w:sz w:val="20"/>
          <w:lang w:val="en-GB"/>
        </w:rPr>
        <w:t>Some scholars argue that the border guards’ convictions violate this principle of non-retroactivity because, under the GDR law applicable at the time, the guards' acts may have been legal in many instances.</w:t>
      </w:r>
      <w:r w:rsidRPr="003C3C11">
        <w:rPr>
          <w:rFonts w:eastAsia="ヒラギノ角ゴ Pro W3"/>
          <w:sz w:val="20"/>
          <w:vertAlign w:val="superscript"/>
          <w:lang w:val="en-GB"/>
        </w:rPr>
        <w:footnoteReference w:id="37"/>
      </w:r>
      <w:r>
        <w:rPr>
          <w:rFonts w:eastAsia="ヒラギノ角ゴ Pro W3"/>
          <w:lang w:val="en-GB"/>
        </w:rPr>
        <w:t xml:space="preserve"> </w:t>
      </w:r>
      <w:r w:rsidR="00AB1D24" w:rsidRPr="00451146">
        <w:rPr>
          <w:sz w:val="20"/>
          <w:lang w:val="en-GB"/>
        </w:rPr>
        <w:t xml:space="preserve">One key law, the 1982 Border Law, was enacted to provide statutory basis for the Wall and made it legal for the border guard to employ deadly force at the border to prevent a felony. Under the GDR criminal code many attempts to escape over the wall were felonies. And, as noted </w:t>
      </w:r>
      <w:r w:rsidR="00AB1D24" w:rsidRPr="00451146">
        <w:rPr>
          <w:sz w:val="20"/>
          <w:lang w:val="en-GB"/>
        </w:rPr>
        <w:lastRenderedPageBreak/>
        <w:t xml:space="preserve">above, soldiers were hardly ever prosecuted or disciplined for using deadly force at the </w:t>
      </w:r>
      <w:r w:rsidR="00A73461" w:rsidRPr="00451146">
        <w:rPr>
          <w:sz w:val="20"/>
          <w:lang w:val="en-GB"/>
        </w:rPr>
        <w:t>W</w:t>
      </w:r>
      <w:r w:rsidR="00AB1D24" w:rsidRPr="00451146">
        <w:rPr>
          <w:sz w:val="20"/>
          <w:lang w:val="en-GB"/>
        </w:rPr>
        <w:t>all</w:t>
      </w:r>
      <w:r w:rsidR="001A1EC6">
        <w:rPr>
          <w:sz w:val="20"/>
          <w:lang w:val="en-GB"/>
        </w:rPr>
        <w:t xml:space="preserve">. Instead, </w:t>
      </w:r>
      <w:r w:rsidR="00AB1D24" w:rsidRPr="00451146">
        <w:rPr>
          <w:sz w:val="20"/>
          <w:lang w:val="en-GB"/>
        </w:rPr>
        <w:t>they were rewarded.</w:t>
      </w:r>
      <w:r w:rsidR="00AB1D24" w:rsidRPr="00451146">
        <w:rPr>
          <w:sz w:val="20"/>
          <w:vertAlign w:val="superscript"/>
          <w:lang w:val="en-GB"/>
        </w:rPr>
        <w:footnoteReference w:id="38"/>
      </w:r>
    </w:p>
    <w:p w14:paraId="3B8FCB55" w14:textId="0A5BFE90" w:rsidR="00AB1D24" w:rsidRPr="00451146" w:rsidRDefault="00AB1D24" w:rsidP="00685C4E">
      <w:pPr>
        <w:pStyle w:val="Body1"/>
        <w:spacing w:line="360" w:lineRule="auto"/>
        <w:ind w:firstLine="720"/>
        <w:jc w:val="both"/>
        <w:rPr>
          <w:sz w:val="20"/>
          <w:lang w:val="en-GB"/>
        </w:rPr>
      </w:pPr>
      <w:r w:rsidRPr="00451146">
        <w:rPr>
          <w:sz w:val="20"/>
          <w:lang w:val="en-GB"/>
        </w:rPr>
        <w:t>The position of the court required careful thinking, as the prosecution for an act that was legal when it took place could involve the imposition of retroactive punishment. This principle is found in Article 103(2) Germa</w:t>
      </w:r>
      <w:r w:rsidR="008A2E6C">
        <w:rPr>
          <w:sz w:val="20"/>
          <w:lang w:val="en-GB"/>
        </w:rPr>
        <w:t>n Basic Law, which states that “</w:t>
      </w:r>
      <w:r w:rsidRPr="00451146">
        <w:rPr>
          <w:sz w:val="20"/>
          <w:lang w:val="en-GB"/>
        </w:rPr>
        <w:t>an act can only be punished if its criminality was determined by la</w:t>
      </w:r>
      <w:r w:rsidR="007317AA">
        <w:rPr>
          <w:sz w:val="20"/>
          <w:lang w:val="en-GB"/>
        </w:rPr>
        <w:t>w before the act was committed</w:t>
      </w:r>
      <w:r w:rsidR="008A2E6C">
        <w:rPr>
          <w:sz w:val="20"/>
          <w:lang w:val="en-GB"/>
        </w:rPr>
        <w:t>”</w:t>
      </w:r>
      <w:r w:rsidR="007317AA">
        <w:rPr>
          <w:sz w:val="20"/>
          <w:lang w:val="en-GB"/>
        </w:rPr>
        <w:t>.</w:t>
      </w:r>
      <w:r w:rsidRPr="00451146">
        <w:rPr>
          <w:sz w:val="20"/>
          <w:lang w:val="en-GB"/>
        </w:rPr>
        <w:t xml:space="preserve"> The same principle was included in the 1990 Unification Treaty that set out the legal framework for the accession of the GDR into the Federal Republic, noted above. The response to this criticism was that the GDR's border regime reflected the numerous injustices of the regime. For these voices, it was important to criminally punish these acts. So, the </w:t>
      </w:r>
      <w:r w:rsidRPr="00451146">
        <w:rPr>
          <w:i/>
          <w:sz w:val="20"/>
          <w:lang w:val="en-GB"/>
        </w:rPr>
        <w:t>Border</w:t>
      </w:r>
      <w:r w:rsidRPr="00451146">
        <w:rPr>
          <w:sz w:val="20"/>
          <w:lang w:val="en-GB"/>
        </w:rPr>
        <w:t xml:space="preserve"> </w:t>
      </w:r>
      <w:r w:rsidRPr="00451146">
        <w:rPr>
          <w:i/>
          <w:sz w:val="20"/>
          <w:lang w:val="en-GB"/>
        </w:rPr>
        <w:t>Guards</w:t>
      </w:r>
      <w:r w:rsidRPr="00451146">
        <w:rPr>
          <w:sz w:val="20"/>
          <w:lang w:val="en-GB"/>
        </w:rPr>
        <w:t xml:space="preserve"> cases came to demonstrate the clash between two principles: the principle of justice that holds that reprehensible acts should be subjected to criminal punishment and that no act should go unpunished without a legal prohibition that was in effect at the time the act was committed.</w:t>
      </w:r>
      <w:r w:rsidRPr="00451146">
        <w:rPr>
          <w:sz w:val="20"/>
          <w:vertAlign w:val="superscript"/>
          <w:lang w:val="en-GB"/>
        </w:rPr>
        <w:footnoteReference w:id="39"/>
      </w:r>
    </w:p>
    <w:p w14:paraId="16785F89" w14:textId="77777777" w:rsidR="00593A5B" w:rsidRPr="00593A5B" w:rsidRDefault="00AB1D24" w:rsidP="00593A5B">
      <w:pPr>
        <w:spacing w:line="360" w:lineRule="auto"/>
        <w:ind w:firstLine="720"/>
        <w:jc w:val="both"/>
        <w:outlineLvl w:val="0"/>
        <w:rPr>
          <w:rFonts w:eastAsia="ヒラギノ角ゴ Pro W3"/>
          <w:color w:val="000000"/>
          <w:sz w:val="20"/>
          <w:szCs w:val="20"/>
          <w:u w:color="000000"/>
        </w:rPr>
      </w:pPr>
      <w:r w:rsidRPr="00451146">
        <w:rPr>
          <w:sz w:val="20"/>
        </w:rPr>
        <w:t xml:space="preserve">In his </w:t>
      </w:r>
      <w:r w:rsidR="00593A5B">
        <w:rPr>
          <w:sz w:val="20"/>
        </w:rPr>
        <w:t xml:space="preserve">seminal </w:t>
      </w:r>
      <w:r w:rsidRPr="00451146">
        <w:rPr>
          <w:sz w:val="20"/>
        </w:rPr>
        <w:t xml:space="preserve">examination of the cases, Quint identifies the common themes that bound these judgments rendered by the German Federal Supreme Court together and, in doing so, showed the delicate and in many ways insurmountable hurdles that seemed to obstruct the moral case of seeking justice, without violating the maxim of retrospective justice. In fact the courts adopted a blend of both approached to address the clash outlined in the previous paragraph. These themes concerned the meaning of justice and punishment, as well as adhering to procedural legality in the criminal law. </w:t>
      </w:r>
      <w:r w:rsidR="00593A5B" w:rsidRPr="00593A5B">
        <w:rPr>
          <w:rFonts w:eastAsia="ヒラギノ角ゴ Pro W3"/>
          <w:color w:val="000000"/>
          <w:sz w:val="20"/>
          <w:szCs w:val="20"/>
          <w:u w:color="000000"/>
        </w:rPr>
        <w:t xml:space="preserve">The German Federal Supreme Court (the </w:t>
      </w:r>
      <w:proofErr w:type="spellStart"/>
      <w:r w:rsidR="00593A5B" w:rsidRPr="00593A5B">
        <w:rPr>
          <w:rFonts w:eastAsia="ヒラギノ角ゴ Pro W3"/>
          <w:i/>
          <w:color w:val="000000"/>
          <w:sz w:val="20"/>
          <w:szCs w:val="20"/>
          <w:u w:color="000000"/>
        </w:rPr>
        <w:t>Bundesgerichtshof</w:t>
      </w:r>
      <w:proofErr w:type="spellEnd"/>
      <w:r w:rsidR="00593A5B" w:rsidRPr="00593A5B">
        <w:rPr>
          <w:rFonts w:eastAsia="ヒラギノ角ゴ Pro W3"/>
          <w:color w:val="000000"/>
          <w:sz w:val="20"/>
          <w:szCs w:val="20"/>
          <w:u w:color="000000"/>
        </w:rPr>
        <w:t xml:space="preserve">, or </w:t>
      </w:r>
      <w:proofErr w:type="spellStart"/>
      <w:r w:rsidR="00593A5B" w:rsidRPr="00593A5B">
        <w:rPr>
          <w:rFonts w:eastAsia="ヒラギノ角ゴ Pro W3"/>
          <w:color w:val="000000"/>
          <w:sz w:val="20"/>
          <w:szCs w:val="20"/>
          <w:u w:color="000000"/>
        </w:rPr>
        <w:t>BGHSt</w:t>
      </w:r>
      <w:proofErr w:type="spellEnd"/>
      <w:r w:rsidR="00593A5B" w:rsidRPr="00593A5B">
        <w:rPr>
          <w:rFonts w:eastAsia="ヒラギノ角ゴ Pro W3"/>
          <w:color w:val="000000"/>
          <w:sz w:val="20"/>
          <w:szCs w:val="20"/>
          <w:u w:color="000000"/>
        </w:rPr>
        <w:t>) argued that a proper interpretation of GDR law could in fact criminalise the shootings at the Wall.</w:t>
      </w:r>
      <w:r w:rsidR="00593A5B" w:rsidRPr="00593A5B">
        <w:rPr>
          <w:rStyle w:val="FootnoteReference"/>
          <w:rFonts w:eastAsia="ヒラギノ角ゴ Pro W3"/>
          <w:color w:val="000000"/>
          <w:sz w:val="20"/>
          <w:szCs w:val="20"/>
          <w:u w:color="000000"/>
        </w:rPr>
        <w:footnoteReference w:id="40"/>
      </w:r>
      <w:r w:rsidR="00593A5B">
        <w:rPr>
          <w:rFonts w:eastAsia="ヒラギノ角ゴ Pro W3"/>
        </w:rPr>
        <w:t xml:space="preserve"> </w:t>
      </w:r>
      <w:r w:rsidR="00593A5B" w:rsidRPr="00593A5B">
        <w:rPr>
          <w:rFonts w:eastAsia="ヒラギノ角ゴ Pro W3"/>
          <w:color w:val="000000"/>
          <w:sz w:val="20"/>
          <w:szCs w:val="20"/>
          <w:u w:color="000000"/>
        </w:rPr>
        <w:t>This approach suggests that the actions would never have been prosecuted under the GDR. The retroactivity question could be addressed, however, if the acts were already criminal under GDR law at the time they were committed. In order to reach this result the courts considered the Border Law, which, as noted above, provided the statutory basis for the use of force at the Wall. The Court's approach was rigid and it held that the statute denied the border guards defence, incorporating human rights in its argument, which meant, in turn, that relevant provisions of the 1969 (amended 1974) GDR Constitution needed to be interpreted. Identifying provisions related to the right to life, the Court argued that the GDR constitution provided for an implicit right to life that was applicable in most cases. The constitutional right, along with other considerations, had a limiting effect on the defence available to the guards under the Border Law.</w:t>
      </w:r>
      <w:r w:rsidR="00593A5B" w:rsidRPr="00593A5B">
        <w:rPr>
          <w:rStyle w:val="FootnoteReference"/>
          <w:rFonts w:eastAsia="ヒラギノ角ゴ Pro W3"/>
          <w:color w:val="000000"/>
          <w:sz w:val="20"/>
          <w:szCs w:val="20"/>
          <w:u w:color="000000"/>
        </w:rPr>
        <w:footnoteReference w:id="41"/>
      </w:r>
    </w:p>
    <w:p w14:paraId="22F5D493" w14:textId="43CAC221" w:rsidR="009372B7" w:rsidRPr="009372B7" w:rsidRDefault="009372B7" w:rsidP="009372B7">
      <w:pPr>
        <w:spacing w:line="360" w:lineRule="auto"/>
        <w:ind w:firstLine="720"/>
        <w:jc w:val="both"/>
        <w:outlineLvl w:val="0"/>
        <w:rPr>
          <w:rFonts w:eastAsia="ヒラギノ角ゴ Pro W3"/>
          <w:color w:val="000000"/>
          <w:sz w:val="20"/>
          <w:szCs w:val="20"/>
          <w:u w:color="000000"/>
        </w:rPr>
      </w:pPr>
      <w:r w:rsidRPr="009372B7">
        <w:rPr>
          <w:rFonts w:eastAsia="ヒラギノ角ゴ Pro W3"/>
          <w:color w:val="000000"/>
          <w:sz w:val="20"/>
          <w:szCs w:val="20"/>
          <w:u w:color="000000"/>
        </w:rPr>
        <w:t>For some critics, although the GDR Constitution contained numerous basic rights this particular interpretation ‘embodied a radical revision of GDR legal history.’</w:t>
      </w:r>
      <w:r w:rsidRPr="009372B7">
        <w:rPr>
          <w:rFonts w:eastAsia="ヒラギノ角ゴ Pro W3"/>
          <w:color w:val="000000"/>
          <w:sz w:val="20"/>
          <w:szCs w:val="20"/>
          <w:u w:color="000000"/>
          <w:vertAlign w:val="superscript"/>
        </w:rPr>
        <w:footnoteReference w:id="42"/>
      </w:r>
      <w:r w:rsidRPr="009372B7">
        <w:rPr>
          <w:rFonts w:eastAsia="ヒラギノ角ゴ Pro W3"/>
          <w:color w:val="000000"/>
          <w:sz w:val="20"/>
          <w:szCs w:val="20"/>
          <w:u w:color="000000"/>
        </w:rPr>
        <w:t xml:space="preserve"> The Communist Party would never have allowed such an interpretation.</w:t>
      </w:r>
      <w:r w:rsidRPr="009372B7">
        <w:rPr>
          <w:rFonts w:eastAsia="ヒラギノ角ゴ Pro W3"/>
          <w:color w:val="000000"/>
          <w:sz w:val="20"/>
          <w:szCs w:val="20"/>
          <w:u w:color="000000"/>
          <w:vertAlign w:val="superscript"/>
        </w:rPr>
        <w:footnoteReference w:id="43"/>
      </w:r>
      <w:r w:rsidR="007277A0">
        <w:rPr>
          <w:rFonts w:eastAsia="ヒラギノ角ゴ Pro W3"/>
          <w:color w:val="000000"/>
          <w:sz w:val="20"/>
          <w:szCs w:val="20"/>
          <w:u w:color="000000"/>
        </w:rPr>
        <w:t xml:space="preserve"> </w:t>
      </w:r>
      <w:r w:rsidRPr="009372B7">
        <w:rPr>
          <w:rFonts w:eastAsia="ヒラギノ角ゴ Pro W3"/>
          <w:color w:val="000000"/>
          <w:sz w:val="20"/>
          <w:szCs w:val="20"/>
          <w:u w:color="000000"/>
        </w:rPr>
        <w:t xml:space="preserve">But the Court referred to other provisions in the GDR Constitution justifying this approach by establishing that the GDR constitution possessed validity outside Communist Party orders and state practice. The Court interpreted the Border Law through this constitutional lens, referring to the principle of proportionality (relevant to the use of force), to argue </w:t>
      </w:r>
      <w:r w:rsidRPr="009372B7">
        <w:rPr>
          <w:rFonts w:eastAsia="ヒラギノ角ゴ Pro W3"/>
          <w:color w:val="000000"/>
          <w:sz w:val="20"/>
          <w:szCs w:val="20"/>
          <w:u w:color="000000"/>
        </w:rPr>
        <w:lastRenderedPageBreak/>
        <w:t>that the Border Law did not permit the use of deadly force against an unarmed person peacefully trying to flee across the border. Not surprisingly, this approach has troubled a number of commentators, who do not see any justification for this approach, finding that the GDR would have to have changed its identity to accommodate the human rights interpretation.</w:t>
      </w:r>
      <w:r w:rsidRPr="009372B7">
        <w:rPr>
          <w:rFonts w:eastAsia="ヒラギノ角ゴ Pro W3"/>
          <w:color w:val="000000"/>
          <w:sz w:val="20"/>
          <w:szCs w:val="20"/>
          <w:u w:color="000000"/>
          <w:vertAlign w:val="superscript"/>
        </w:rPr>
        <w:footnoteReference w:id="44"/>
      </w:r>
      <w:r w:rsidRPr="009372B7">
        <w:rPr>
          <w:rFonts w:eastAsia="ヒラギノ角ゴ Pro W3"/>
          <w:color w:val="000000"/>
          <w:sz w:val="20"/>
          <w:szCs w:val="20"/>
          <w:u w:color="000000"/>
        </w:rPr>
        <w:t xml:space="preserve"> The Court's interpretation saw the GDR Constitution as a western (and West German) document; its ruling was upheld by the </w:t>
      </w:r>
      <w:r w:rsidR="008A2E6C">
        <w:rPr>
          <w:rFonts w:eastAsia="ヒラギノ角ゴ Pro W3"/>
          <w:color w:val="000000"/>
          <w:sz w:val="20"/>
          <w:szCs w:val="20"/>
          <w:u w:color="000000"/>
        </w:rPr>
        <w:t>F</w:t>
      </w:r>
      <w:r w:rsidRPr="009372B7">
        <w:rPr>
          <w:rFonts w:eastAsia="ヒラギノ角ゴ Pro W3"/>
          <w:color w:val="000000"/>
          <w:sz w:val="20"/>
          <w:szCs w:val="20"/>
          <w:u w:color="000000"/>
        </w:rPr>
        <w:t>CC, which refused to review the findings of the lower courts.</w:t>
      </w:r>
      <w:r w:rsidRPr="009372B7">
        <w:rPr>
          <w:rStyle w:val="FootnoteReference"/>
          <w:rFonts w:eastAsia="ヒラギノ角ゴ Pro W3"/>
          <w:color w:val="000000"/>
          <w:sz w:val="20"/>
          <w:szCs w:val="20"/>
          <w:u w:color="000000"/>
        </w:rPr>
        <w:footnoteReference w:id="45"/>
      </w:r>
      <w:r w:rsidRPr="009372B7">
        <w:rPr>
          <w:rFonts w:eastAsia="ヒラギノ角ゴ Pro W3"/>
          <w:color w:val="000000"/>
          <w:sz w:val="20"/>
          <w:szCs w:val="20"/>
          <w:u w:color="000000"/>
        </w:rPr>
        <w:t xml:space="preserve"> The rejection of the retroactive application of the law was a rescue mission that entailed the lifting out of a specific notion of justice from a draconian legal framework (it was perceived as such) based</w:t>
      </w:r>
      <w:r w:rsidR="00484F5A">
        <w:rPr>
          <w:rFonts w:eastAsia="ヒラギノ角ゴ Pro W3"/>
          <w:color w:val="000000"/>
          <w:sz w:val="20"/>
          <w:szCs w:val="20"/>
          <w:u w:color="000000"/>
        </w:rPr>
        <w:t xml:space="preserve"> on</w:t>
      </w:r>
      <w:r w:rsidRPr="009372B7">
        <w:rPr>
          <w:rFonts w:eastAsia="ヒラギノ角ゴ Pro W3"/>
          <w:color w:val="000000"/>
          <w:sz w:val="20"/>
          <w:szCs w:val="20"/>
          <w:u w:color="000000"/>
        </w:rPr>
        <w:t xml:space="preserve"> a creative interpretation that drew its inspiration from a meta-justice framework.</w:t>
      </w:r>
    </w:p>
    <w:p w14:paraId="4BE8E205" w14:textId="54863C63" w:rsidR="009372B7" w:rsidRPr="009372B7" w:rsidRDefault="009372B7" w:rsidP="009372B7">
      <w:pPr>
        <w:spacing w:line="360" w:lineRule="auto"/>
        <w:ind w:firstLine="720"/>
        <w:jc w:val="both"/>
        <w:outlineLvl w:val="0"/>
        <w:rPr>
          <w:rFonts w:eastAsia="ヒラギノ角ゴ Pro W3"/>
          <w:color w:val="000000"/>
          <w:sz w:val="20"/>
          <w:szCs w:val="20"/>
          <w:u w:color="000000"/>
        </w:rPr>
      </w:pPr>
      <w:r w:rsidRPr="009372B7">
        <w:rPr>
          <w:rFonts w:eastAsia="ヒラギノ角ゴ Pro W3"/>
          <w:color w:val="000000"/>
          <w:sz w:val="20"/>
          <w:szCs w:val="20"/>
          <w:u w:color="000000"/>
        </w:rPr>
        <w:t xml:space="preserve">In discussing the second approach concerning the absolute nature of retroactivity, Quint recalled the work of Gustav </w:t>
      </w:r>
      <w:proofErr w:type="spellStart"/>
      <w:r w:rsidRPr="009372B7">
        <w:rPr>
          <w:rFonts w:eastAsia="ヒラギノ角ゴ Pro W3"/>
          <w:color w:val="000000"/>
          <w:sz w:val="20"/>
          <w:szCs w:val="20"/>
          <w:u w:color="000000"/>
        </w:rPr>
        <w:t>Radbruch</w:t>
      </w:r>
      <w:proofErr w:type="spellEnd"/>
      <w:r w:rsidRPr="009372B7">
        <w:rPr>
          <w:rFonts w:eastAsia="ヒラギノ角ゴ Pro W3"/>
          <w:color w:val="000000"/>
          <w:sz w:val="20"/>
          <w:szCs w:val="20"/>
          <w:u w:color="000000"/>
        </w:rPr>
        <w:t>, the eminent German legal philosopher, known for his compelling writings</w:t>
      </w:r>
      <w:r w:rsidR="00484F5A">
        <w:rPr>
          <w:rFonts w:eastAsia="ヒラギノ角ゴ Pro W3"/>
          <w:color w:val="000000"/>
          <w:sz w:val="20"/>
          <w:szCs w:val="20"/>
          <w:u w:color="000000"/>
        </w:rPr>
        <w:t xml:space="preserve"> about</w:t>
      </w:r>
      <w:r w:rsidRPr="009372B7">
        <w:rPr>
          <w:rFonts w:eastAsia="ヒラギノ角ゴ Pro W3"/>
          <w:color w:val="000000"/>
          <w:sz w:val="20"/>
          <w:szCs w:val="20"/>
          <w:u w:color="000000"/>
        </w:rPr>
        <w:t xml:space="preserve"> justice and the criminal liability of Nazi officials.</w:t>
      </w:r>
      <w:r w:rsidRPr="009372B7">
        <w:rPr>
          <w:rFonts w:eastAsia="ヒラギノ角ゴ Pro W3"/>
          <w:color w:val="000000"/>
          <w:sz w:val="20"/>
          <w:szCs w:val="20"/>
          <w:u w:color="000000"/>
          <w:vertAlign w:val="superscript"/>
        </w:rPr>
        <w:footnoteReference w:id="46"/>
      </w:r>
      <w:r w:rsidRPr="009372B7">
        <w:rPr>
          <w:rFonts w:eastAsia="ヒラギノ角ゴ Pro W3"/>
          <w:color w:val="000000"/>
          <w:sz w:val="20"/>
          <w:szCs w:val="20"/>
          <w:u w:color="000000"/>
        </w:rPr>
        <w:t xml:space="preserve"> The </w:t>
      </w:r>
      <w:proofErr w:type="spellStart"/>
      <w:r w:rsidRPr="009372B7">
        <w:rPr>
          <w:rFonts w:eastAsia="ヒラギノ角ゴ Pro W3"/>
          <w:color w:val="000000"/>
          <w:sz w:val="20"/>
          <w:szCs w:val="20"/>
          <w:u w:color="000000"/>
        </w:rPr>
        <w:t>Radbruch</w:t>
      </w:r>
      <w:proofErr w:type="spellEnd"/>
      <w:r w:rsidRPr="009372B7">
        <w:rPr>
          <w:rFonts w:eastAsia="ヒラギノ角ゴ Pro W3"/>
          <w:color w:val="000000"/>
          <w:sz w:val="20"/>
          <w:szCs w:val="20"/>
          <w:u w:color="000000"/>
        </w:rPr>
        <w:t xml:space="preserve"> interpretation, or formula, is one that has been identified, in varying degrees, by post-Communist constitutional courts when adjudicating cases concerning human rights abuses committed by former Communist officials.</w:t>
      </w:r>
      <w:r w:rsidRPr="009372B7">
        <w:rPr>
          <w:rFonts w:eastAsia="ヒラギノ角ゴ Pro W3"/>
          <w:color w:val="000000"/>
          <w:sz w:val="20"/>
          <w:szCs w:val="20"/>
          <w:u w:color="000000"/>
          <w:vertAlign w:val="superscript"/>
        </w:rPr>
        <w:footnoteReference w:id="47"/>
      </w:r>
      <w:r w:rsidRPr="009372B7">
        <w:rPr>
          <w:rFonts w:eastAsia="ヒラギノ角ゴ Pro W3"/>
          <w:color w:val="000000"/>
          <w:sz w:val="20"/>
          <w:szCs w:val="20"/>
          <w:u w:color="000000"/>
        </w:rPr>
        <w:t xml:space="preserve"> It is not difficult to see why the arguments are so compelling and appealing to scholars setting key questions in a temporal perspective. </w:t>
      </w:r>
      <w:proofErr w:type="spellStart"/>
      <w:r w:rsidRPr="009372B7">
        <w:rPr>
          <w:rFonts w:eastAsia="ヒラギノ角ゴ Pro W3"/>
          <w:color w:val="000000"/>
          <w:sz w:val="20"/>
          <w:szCs w:val="20"/>
          <w:u w:color="000000"/>
        </w:rPr>
        <w:t>Radbruch</w:t>
      </w:r>
      <w:proofErr w:type="spellEnd"/>
      <w:r w:rsidRPr="009372B7">
        <w:rPr>
          <w:rFonts w:eastAsia="ヒラギノ角ゴ Pro W3"/>
          <w:color w:val="000000"/>
          <w:sz w:val="20"/>
          <w:szCs w:val="20"/>
          <w:u w:color="000000"/>
        </w:rPr>
        <w:t xml:space="preserve"> was a Law Professor at the University of Heidelberg who played an important role in post-war legal thinking in Germany. Originally, </w:t>
      </w:r>
      <w:proofErr w:type="spellStart"/>
      <w:r w:rsidRPr="009372B7">
        <w:rPr>
          <w:rFonts w:eastAsia="ヒラギノ角ゴ Pro W3"/>
          <w:color w:val="000000"/>
          <w:sz w:val="20"/>
          <w:szCs w:val="20"/>
          <w:u w:color="000000"/>
        </w:rPr>
        <w:t>Radbruch</w:t>
      </w:r>
      <w:proofErr w:type="spellEnd"/>
      <w:r w:rsidRPr="009372B7">
        <w:rPr>
          <w:rFonts w:eastAsia="ヒラギノ角ゴ Pro W3"/>
          <w:color w:val="000000"/>
          <w:sz w:val="20"/>
          <w:szCs w:val="20"/>
          <w:u w:color="000000"/>
        </w:rPr>
        <w:t xml:space="preserve"> embraced the legal and jurisprudential school of legal positivism, which supported the view that the rules set down by the authorities of the state constitute law, regardless of how one evaluates the content of those rules. This interpretation was revisited following the Second World War, when </w:t>
      </w:r>
      <w:proofErr w:type="spellStart"/>
      <w:r w:rsidRPr="009372B7">
        <w:rPr>
          <w:rFonts w:eastAsia="ヒラギノ角ゴ Pro W3"/>
          <w:color w:val="000000"/>
          <w:sz w:val="20"/>
          <w:szCs w:val="20"/>
          <w:u w:color="000000"/>
        </w:rPr>
        <w:t>Radbruch</w:t>
      </w:r>
      <w:proofErr w:type="spellEnd"/>
      <w:r w:rsidRPr="009372B7">
        <w:rPr>
          <w:rFonts w:eastAsia="ヒラギノ角ゴ Pro W3"/>
          <w:color w:val="000000"/>
          <w:sz w:val="20"/>
          <w:szCs w:val="20"/>
          <w:u w:color="000000"/>
        </w:rPr>
        <w:t xml:space="preserve"> contemplated the idea that the acts of the Holocaust and other acts could go unpunished on the grounds that they were positive laws under the Nazis and that their punishment would be prohibited under the doctrine of non-retroactivity.</w:t>
      </w:r>
      <w:r w:rsidRPr="009372B7">
        <w:rPr>
          <w:rFonts w:eastAsia="ヒラギノ角ゴ Pro W3"/>
          <w:color w:val="000000"/>
          <w:sz w:val="20"/>
          <w:szCs w:val="20"/>
          <w:u w:color="000000"/>
          <w:vertAlign w:val="superscript"/>
        </w:rPr>
        <w:footnoteReference w:id="48"/>
      </w:r>
    </w:p>
    <w:p w14:paraId="4033B2C2" w14:textId="69619C48" w:rsidR="009372B7" w:rsidRPr="009372B7" w:rsidRDefault="009372B7" w:rsidP="009372B7">
      <w:pPr>
        <w:spacing w:line="360" w:lineRule="auto"/>
        <w:ind w:firstLine="720"/>
        <w:jc w:val="both"/>
        <w:outlineLvl w:val="0"/>
        <w:rPr>
          <w:rFonts w:eastAsia="ヒラギノ角ゴ Pro W3"/>
          <w:color w:val="000000"/>
          <w:sz w:val="20"/>
          <w:szCs w:val="20"/>
          <w:u w:color="000000"/>
        </w:rPr>
      </w:pPr>
      <w:r w:rsidRPr="009372B7">
        <w:rPr>
          <w:rFonts w:eastAsia="ヒラギノ角ゴ Pro W3"/>
          <w:color w:val="000000"/>
          <w:sz w:val="20"/>
          <w:szCs w:val="20"/>
          <w:u w:color="000000"/>
        </w:rPr>
        <w:t xml:space="preserve">When revisiting and reflecting on the aspects of the German Nazi regime, </w:t>
      </w:r>
      <w:proofErr w:type="spellStart"/>
      <w:r w:rsidRPr="009372B7">
        <w:rPr>
          <w:rFonts w:eastAsia="ヒラギノ角ゴ Pro W3"/>
          <w:color w:val="000000"/>
          <w:sz w:val="20"/>
          <w:szCs w:val="20"/>
          <w:u w:color="000000"/>
        </w:rPr>
        <w:t>Radbruch</w:t>
      </w:r>
      <w:proofErr w:type="spellEnd"/>
      <w:r w:rsidRPr="009372B7">
        <w:rPr>
          <w:rFonts w:eastAsia="ヒラギノ角ゴ Pro W3"/>
          <w:color w:val="000000"/>
          <w:sz w:val="20"/>
          <w:szCs w:val="20"/>
          <w:u w:color="000000"/>
        </w:rPr>
        <w:t xml:space="preserve"> was also engaging with critical legal and jurisprudential questions. </w:t>
      </w:r>
      <w:proofErr w:type="spellStart"/>
      <w:r w:rsidRPr="009372B7">
        <w:rPr>
          <w:rFonts w:eastAsia="ヒラギノ角ゴ Pro W3"/>
          <w:color w:val="000000"/>
          <w:sz w:val="20"/>
          <w:szCs w:val="20"/>
          <w:u w:color="000000"/>
        </w:rPr>
        <w:t>Radbruch</w:t>
      </w:r>
      <w:proofErr w:type="spellEnd"/>
      <w:r w:rsidRPr="009372B7">
        <w:rPr>
          <w:rFonts w:eastAsia="ヒラギノ角ゴ Pro W3"/>
          <w:color w:val="000000"/>
          <w:sz w:val="20"/>
          <w:szCs w:val="20"/>
          <w:u w:color="000000"/>
        </w:rPr>
        <w:t xml:space="preserve"> argued that the principle of non-retroactivity was one of many. He agreed that it is a strong principle, but that it must be weighed against other principles of justice. According to him, the principle is resilient enough to prevail under most circumstances, even in the case of some unjust statutes. But the principle could be overcome if the contradiction between the statute and justice reaches an unbearable degree where the statute constitutes incorrect law. This is an important part of his theory. Much of the legislation enacted at </w:t>
      </w:r>
      <w:r w:rsidR="00484F5A">
        <w:rPr>
          <w:rFonts w:eastAsia="ヒラギノ角ゴ Pro W3"/>
          <w:color w:val="000000"/>
          <w:sz w:val="20"/>
          <w:szCs w:val="20"/>
          <w:u w:color="000000"/>
        </w:rPr>
        <w:t xml:space="preserve">the </w:t>
      </w:r>
      <w:r w:rsidRPr="009372B7">
        <w:rPr>
          <w:rFonts w:eastAsia="ヒラギノ角ゴ Pro W3"/>
          <w:color w:val="000000"/>
          <w:sz w:val="20"/>
          <w:szCs w:val="20"/>
          <w:u w:color="000000"/>
        </w:rPr>
        <w:t>time (1933-1945) reached this unbearable limit so to justify regarding it as invalid or incorrect law.</w:t>
      </w:r>
      <w:r w:rsidRPr="009372B7">
        <w:rPr>
          <w:rStyle w:val="FootnoteReference"/>
          <w:rFonts w:eastAsia="ヒラギノ角ゴ Pro W3"/>
          <w:color w:val="000000"/>
          <w:sz w:val="20"/>
          <w:szCs w:val="20"/>
          <w:u w:color="000000"/>
        </w:rPr>
        <w:footnoteReference w:id="49"/>
      </w:r>
      <w:r w:rsidRPr="009372B7">
        <w:rPr>
          <w:rFonts w:eastAsia="ヒラギノ角ゴ Pro W3"/>
          <w:color w:val="000000"/>
          <w:sz w:val="20"/>
          <w:szCs w:val="20"/>
          <w:u w:color="000000"/>
        </w:rPr>
        <w:t xml:space="preserve"> In a stark move away from legal positivism, </w:t>
      </w:r>
      <w:proofErr w:type="spellStart"/>
      <w:r w:rsidRPr="009372B7">
        <w:rPr>
          <w:rFonts w:eastAsia="ヒラギノ角ゴ Pro W3"/>
          <w:color w:val="000000"/>
          <w:sz w:val="20"/>
          <w:szCs w:val="20"/>
          <w:u w:color="000000"/>
        </w:rPr>
        <w:t>Radbruch</w:t>
      </w:r>
      <w:proofErr w:type="spellEnd"/>
      <w:r w:rsidRPr="009372B7">
        <w:rPr>
          <w:rFonts w:eastAsia="ヒラギノ角ゴ Pro W3"/>
          <w:color w:val="000000"/>
          <w:sz w:val="20"/>
          <w:szCs w:val="20"/>
          <w:u w:color="000000"/>
        </w:rPr>
        <w:t xml:space="preserve"> called upon a concept of meta-justice, or higher </w:t>
      </w:r>
      <w:r w:rsidRPr="009372B7">
        <w:rPr>
          <w:rFonts w:eastAsia="ヒラギノ角ゴ Pro W3"/>
          <w:color w:val="000000"/>
          <w:sz w:val="20"/>
          <w:szCs w:val="20"/>
          <w:u w:color="000000"/>
        </w:rPr>
        <w:lastRenderedPageBreak/>
        <w:t>principles of justice, when arguing for accountability on the part of officials, in this case German Nazi, for human rights atrocities. For the legal theorist, norms lose their legal character or legal validity when they are unjust, even if they are socially effective and legally enacted.</w:t>
      </w:r>
      <w:r w:rsidRPr="009372B7">
        <w:rPr>
          <w:rFonts w:eastAsia="ヒラギノ角ゴ Pro W3"/>
          <w:color w:val="000000"/>
          <w:sz w:val="20"/>
          <w:szCs w:val="20"/>
          <w:u w:color="000000"/>
          <w:vertAlign w:val="superscript"/>
        </w:rPr>
        <w:footnoteReference w:id="50"/>
      </w:r>
      <w:r w:rsidRPr="009372B7">
        <w:rPr>
          <w:rFonts w:eastAsia="ヒラギノ角ゴ Pro W3"/>
          <w:color w:val="000000"/>
          <w:sz w:val="20"/>
          <w:szCs w:val="20"/>
          <w:u w:color="000000"/>
        </w:rPr>
        <w:t xml:space="preserve"> For </w:t>
      </w:r>
      <w:proofErr w:type="spellStart"/>
      <w:r w:rsidRPr="009372B7">
        <w:rPr>
          <w:rFonts w:eastAsia="ヒラギノ角ゴ Pro W3"/>
          <w:color w:val="000000"/>
          <w:sz w:val="20"/>
          <w:szCs w:val="20"/>
          <w:u w:color="000000"/>
        </w:rPr>
        <w:t>Radbruch</w:t>
      </w:r>
      <w:proofErr w:type="spellEnd"/>
      <w:r w:rsidRPr="009372B7">
        <w:rPr>
          <w:rFonts w:eastAsia="ヒラギノ角ゴ Pro W3"/>
          <w:color w:val="000000"/>
          <w:sz w:val="20"/>
          <w:szCs w:val="20"/>
          <w:u w:color="000000"/>
        </w:rPr>
        <w:t xml:space="preserve">, in this context the law is not only wrong, but possesses no legal quality. It is in this fashion that </w:t>
      </w:r>
      <w:proofErr w:type="spellStart"/>
      <w:r w:rsidRPr="009372B7">
        <w:rPr>
          <w:rFonts w:eastAsia="ヒラギノ角ゴ Pro W3"/>
          <w:color w:val="000000"/>
          <w:sz w:val="20"/>
          <w:szCs w:val="20"/>
          <w:u w:color="000000"/>
        </w:rPr>
        <w:t>Radbruch</w:t>
      </w:r>
      <w:proofErr w:type="spellEnd"/>
      <w:r w:rsidRPr="009372B7">
        <w:rPr>
          <w:rFonts w:eastAsia="ヒラギノ角ゴ Pro W3"/>
          <w:color w:val="000000"/>
          <w:sz w:val="20"/>
          <w:szCs w:val="20"/>
          <w:u w:color="000000"/>
        </w:rPr>
        <w:t xml:space="preserve"> rejected legal positivism as a failure: his formula heralds the influence of natural law in German jurisprudence. It is based on approving the retrospective application of a higher principle of j</w:t>
      </w:r>
      <w:r w:rsidR="008A2E6C">
        <w:rPr>
          <w:rFonts w:eastAsia="ヒラギノ角ゴ Pro W3"/>
          <w:color w:val="000000"/>
          <w:sz w:val="20"/>
          <w:szCs w:val="20"/>
          <w:u w:color="000000"/>
        </w:rPr>
        <w:t>ustice in situations where the “</w:t>
      </w:r>
      <w:r w:rsidRPr="009372B7">
        <w:rPr>
          <w:rFonts w:eastAsia="ヒラギノ角ゴ Pro W3"/>
          <w:color w:val="000000"/>
          <w:sz w:val="20"/>
          <w:szCs w:val="20"/>
          <w:u w:color="000000"/>
        </w:rPr>
        <w:t>contradiction between positive law and justic</w:t>
      </w:r>
      <w:r w:rsidR="007317AA">
        <w:rPr>
          <w:rFonts w:eastAsia="ヒラギノ角ゴ Pro W3"/>
          <w:color w:val="000000"/>
          <w:sz w:val="20"/>
          <w:szCs w:val="20"/>
          <w:u w:color="000000"/>
        </w:rPr>
        <w:t>e reaches an intolerable level</w:t>
      </w:r>
      <w:r w:rsidR="008A2E6C">
        <w:rPr>
          <w:rFonts w:eastAsia="ヒラギノ角ゴ Pro W3"/>
          <w:color w:val="000000"/>
          <w:sz w:val="20"/>
          <w:szCs w:val="20"/>
          <w:u w:color="000000"/>
        </w:rPr>
        <w:t>”</w:t>
      </w:r>
      <w:r w:rsidR="007317AA">
        <w:rPr>
          <w:rFonts w:eastAsia="ヒラギノ角ゴ Pro W3"/>
          <w:color w:val="000000"/>
          <w:sz w:val="20"/>
          <w:szCs w:val="20"/>
          <w:u w:color="000000"/>
        </w:rPr>
        <w:t>.</w:t>
      </w:r>
      <w:r w:rsidRPr="009372B7">
        <w:rPr>
          <w:rStyle w:val="FootnoteReference"/>
          <w:rFonts w:eastAsia="ヒラギノ角ゴ Pro W3"/>
          <w:color w:val="000000"/>
          <w:sz w:val="20"/>
          <w:szCs w:val="20"/>
          <w:u w:color="000000"/>
        </w:rPr>
        <w:footnoteReference w:id="51"/>
      </w:r>
      <w:r w:rsidRPr="009372B7">
        <w:rPr>
          <w:rFonts w:eastAsia="ヒラギノ角ゴ Pro W3"/>
          <w:color w:val="000000"/>
          <w:sz w:val="20"/>
          <w:szCs w:val="20"/>
          <w:u w:color="000000"/>
        </w:rPr>
        <w:t xml:space="preserve"> In other words, the misapplication is a question of what is unjust (</w:t>
      </w:r>
      <w:proofErr w:type="spellStart"/>
      <w:r w:rsidRPr="009372B7">
        <w:rPr>
          <w:rFonts w:eastAsia="ヒラギノ角ゴ Pro W3"/>
          <w:i/>
          <w:color w:val="000000"/>
          <w:sz w:val="20"/>
          <w:szCs w:val="20"/>
          <w:u w:color="000000"/>
        </w:rPr>
        <w:t>unrichtiges</w:t>
      </w:r>
      <w:proofErr w:type="spellEnd"/>
      <w:r w:rsidRPr="009372B7">
        <w:rPr>
          <w:rFonts w:eastAsia="ヒラギノ角ゴ Pro W3"/>
          <w:i/>
          <w:color w:val="000000"/>
          <w:sz w:val="20"/>
          <w:szCs w:val="20"/>
          <w:u w:color="000000"/>
        </w:rPr>
        <w:t xml:space="preserve"> </w:t>
      </w:r>
      <w:proofErr w:type="spellStart"/>
      <w:r w:rsidRPr="009372B7">
        <w:rPr>
          <w:rFonts w:eastAsia="ヒラギノ角ゴ Pro W3"/>
          <w:i/>
          <w:color w:val="000000"/>
          <w:sz w:val="20"/>
          <w:szCs w:val="20"/>
          <w:u w:color="000000"/>
        </w:rPr>
        <w:t>Recht</w:t>
      </w:r>
      <w:proofErr w:type="spellEnd"/>
      <w:r w:rsidRPr="009372B7">
        <w:rPr>
          <w:rFonts w:eastAsia="ヒラギノ角ゴ Pro W3"/>
          <w:color w:val="000000"/>
          <w:sz w:val="20"/>
          <w:szCs w:val="20"/>
          <w:u w:color="000000"/>
        </w:rPr>
        <w:t>) and resulting in unequal justice.</w:t>
      </w:r>
      <w:r w:rsidRPr="009372B7">
        <w:rPr>
          <w:rStyle w:val="FootnoteReference"/>
          <w:rFonts w:eastAsia="ヒラギノ角ゴ Pro W3"/>
          <w:color w:val="000000"/>
          <w:sz w:val="20"/>
          <w:szCs w:val="20"/>
          <w:u w:color="000000"/>
        </w:rPr>
        <w:footnoteReference w:id="52"/>
      </w:r>
      <w:r w:rsidRPr="009372B7">
        <w:rPr>
          <w:rFonts w:eastAsia="ヒラギノ角ゴ Pro W3"/>
          <w:color w:val="000000"/>
          <w:sz w:val="20"/>
          <w:szCs w:val="20"/>
          <w:u w:color="000000"/>
        </w:rPr>
        <w:t xml:space="preserve"> </w:t>
      </w:r>
    </w:p>
    <w:p w14:paraId="1A5D8742" w14:textId="1FEE1C1A" w:rsidR="009372B7" w:rsidRPr="009372B7" w:rsidRDefault="009372B7" w:rsidP="00DD6408">
      <w:pPr>
        <w:spacing w:line="360" w:lineRule="auto"/>
        <w:ind w:firstLine="720"/>
        <w:jc w:val="both"/>
        <w:outlineLvl w:val="0"/>
        <w:rPr>
          <w:rFonts w:eastAsia="ヒラギノ角ゴ Pro W3"/>
          <w:color w:val="000000"/>
          <w:sz w:val="20"/>
          <w:szCs w:val="20"/>
          <w:u w:color="000000"/>
        </w:rPr>
      </w:pPr>
      <w:r w:rsidRPr="009372B7">
        <w:rPr>
          <w:rFonts w:eastAsia="ヒラギノ角ゴ Pro W3"/>
          <w:color w:val="000000"/>
          <w:sz w:val="20"/>
          <w:szCs w:val="20"/>
          <w:u w:color="000000"/>
        </w:rPr>
        <w:t xml:space="preserve">The debates arising from the </w:t>
      </w:r>
      <w:proofErr w:type="spellStart"/>
      <w:r w:rsidRPr="009372B7">
        <w:rPr>
          <w:rFonts w:eastAsia="ヒラギノ角ゴ Pro W3"/>
          <w:color w:val="000000"/>
          <w:sz w:val="20"/>
          <w:szCs w:val="20"/>
          <w:u w:color="000000"/>
        </w:rPr>
        <w:t>Radbruch</w:t>
      </w:r>
      <w:proofErr w:type="spellEnd"/>
      <w:r w:rsidRPr="009372B7">
        <w:rPr>
          <w:rFonts w:eastAsia="ヒラギノ角ゴ Pro W3"/>
          <w:color w:val="000000"/>
          <w:sz w:val="20"/>
          <w:szCs w:val="20"/>
          <w:u w:color="000000"/>
        </w:rPr>
        <w:t xml:space="preserve"> formula were also deliberated famously in the Hart-Fuller correspondence of the 1950s, which continues to resonate to present day.</w:t>
      </w:r>
      <w:r w:rsidRPr="009372B7">
        <w:rPr>
          <w:rFonts w:eastAsia="ヒラギノ角ゴ Pro W3"/>
          <w:color w:val="000000"/>
          <w:sz w:val="20"/>
          <w:szCs w:val="20"/>
          <w:u w:color="000000"/>
          <w:vertAlign w:val="superscript"/>
        </w:rPr>
        <w:footnoteReference w:id="53"/>
      </w:r>
      <w:r w:rsidRPr="009372B7">
        <w:rPr>
          <w:rFonts w:eastAsia="ヒラギノ角ゴ Pro W3"/>
          <w:color w:val="000000"/>
          <w:sz w:val="20"/>
          <w:szCs w:val="20"/>
          <w:u w:color="000000"/>
        </w:rPr>
        <w:t xml:space="preserve"> One of the key aspects of their debate went to</w:t>
      </w:r>
      <w:r w:rsidR="00484F5A">
        <w:rPr>
          <w:rFonts w:eastAsia="ヒラギノ角ゴ Pro W3"/>
          <w:color w:val="000000"/>
          <w:sz w:val="20"/>
          <w:szCs w:val="20"/>
          <w:u w:color="000000"/>
        </w:rPr>
        <w:t xml:space="preserve"> the</w:t>
      </w:r>
      <w:r w:rsidRPr="009372B7">
        <w:rPr>
          <w:rFonts w:eastAsia="ヒラギノ角ゴ Pro W3"/>
          <w:color w:val="000000"/>
          <w:sz w:val="20"/>
          <w:szCs w:val="20"/>
          <w:u w:color="000000"/>
        </w:rPr>
        <w:t xml:space="preserve"> heart of the meaning of law. If laws are meant to organise society, then rules are the signposts as to what is legal and what the consequences are of illegal actions. Both Hart and Fuller examine the substance and order of the rules. Where Hart identified the general ‘ingredients’ that comprise the legal system, Fuller views the law as possessing an internal morality that determines its order.</w:t>
      </w:r>
      <w:r w:rsidRPr="009372B7">
        <w:rPr>
          <w:rStyle w:val="FootnoteReference"/>
          <w:rFonts w:eastAsia="ヒラギノ角ゴ Pro W3"/>
          <w:color w:val="000000"/>
          <w:sz w:val="20"/>
          <w:szCs w:val="20"/>
          <w:u w:color="000000"/>
        </w:rPr>
        <w:footnoteReference w:id="54"/>
      </w:r>
      <w:r w:rsidRPr="009372B7">
        <w:rPr>
          <w:rFonts w:eastAsia="ヒラギノ角ゴ Pro W3"/>
          <w:color w:val="000000"/>
          <w:sz w:val="20"/>
          <w:szCs w:val="20"/>
          <w:u w:color="000000"/>
        </w:rPr>
        <w:t xml:space="preserve"> Such a measuring tool requires the law to be transparent and non-retroactive. This latter feature, on the surface, might seem to run counter to the </w:t>
      </w:r>
      <w:proofErr w:type="spellStart"/>
      <w:r w:rsidRPr="009372B7">
        <w:rPr>
          <w:rFonts w:eastAsia="ヒラギノ角ゴ Pro W3"/>
          <w:color w:val="000000"/>
          <w:sz w:val="20"/>
          <w:szCs w:val="20"/>
          <w:u w:color="000000"/>
        </w:rPr>
        <w:t>Radbruch</w:t>
      </w:r>
      <w:proofErr w:type="spellEnd"/>
      <w:r w:rsidRPr="009372B7">
        <w:rPr>
          <w:rFonts w:eastAsia="ヒラギノ角ゴ Pro W3"/>
          <w:color w:val="000000"/>
          <w:sz w:val="20"/>
          <w:szCs w:val="20"/>
          <w:u w:color="000000"/>
        </w:rPr>
        <w:t xml:space="preserve"> formula. In fact, it is because the rule of law is at stake that retrospective justice is justified in special situations that are characterised by historical and political distortions. The ‘legal imagination’ that is required is in effect the application of law in an effort to reclaim the</w:t>
      </w:r>
      <w:r w:rsidR="008A2E6C">
        <w:rPr>
          <w:rFonts w:eastAsia="ヒラギノ角ゴ Pro W3"/>
          <w:color w:val="000000"/>
          <w:sz w:val="20"/>
          <w:szCs w:val="20"/>
          <w:u w:color="000000"/>
        </w:rPr>
        <w:t xml:space="preserve"> “original social function of law”.</w:t>
      </w:r>
      <w:r w:rsidRPr="009372B7">
        <w:rPr>
          <w:rStyle w:val="FootnoteReference"/>
          <w:rFonts w:eastAsia="ヒラギノ角ゴ Pro W3"/>
          <w:color w:val="000000"/>
          <w:sz w:val="20"/>
          <w:szCs w:val="20"/>
          <w:u w:color="000000"/>
        </w:rPr>
        <w:footnoteReference w:id="55"/>
      </w:r>
      <w:r w:rsidRPr="009372B7">
        <w:rPr>
          <w:rFonts w:eastAsia="ヒラギノ角ゴ Pro W3"/>
          <w:color w:val="000000"/>
          <w:sz w:val="20"/>
          <w:szCs w:val="20"/>
          <w:u w:color="000000"/>
        </w:rPr>
        <w:t xml:space="preserve"> Fuller’s position in fact answered the dilemma that post-dictatorial regimes faced when seeking to prosecute crimes committed by the predecessor regime</w:t>
      </w:r>
      <w:r w:rsidR="00DD6408">
        <w:rPr>
          <w:rFonts w:eastAsia="ヒラギノ角ゴ Pro W3"/>
          <w:color w:val="000000"/>
          <w:sz w:val="20"/>
          <w:szCs w:val="20"/>
          <w:u w:color="000000"/>
        </w:rPr>
        <w:t xml:space="preserve"> – </w:t>
      </w:r>
      <w:r w:rsidRPr="009372B7">
        <w:rPr>
          <w:rFonts w:eastAsia="ヒラギノ角ゴ Pro W3"/>
          <w:color w:val="000000"/>
          <w:sz w:val="20"/>
          <w:szCs w:val="20"/>
          <w:u w:color="000000"/>
        </w:rPr>
        <w:t xml:space="preserve">the risk remained that the rule of law would be undermined in the process, if the acts themselves were not considered criminal at the time of their </w:t>
      </w:r>
      <w:r w:rsidR="00484F5A">
        <w:rPr>
          <w:rFonts w:eastAsia="ヒラギノ角ゴ Pro W3"/>
          <w:color w:val="000000"/>
          <w:sz w:val="20"/>
          <w:szCs w:val="20"/>
          <w:u w:color="000000"/>
        </w:rPr>
        <w:t>commission. Fuller advanced the</w:t>
      </w:r>
      <w:r w:rsidRPr="009372B7">
        <w:rPr>
          <w:rFonts w:eastAsia="ヒラギノ角ゴ Pro W3"/>
          <w:color w:val="000000"/>
          <w:sz w:val="20"/>
          <w:szCs w:val="20"/>
          <w:u w:color="000000"/>
        </w:rPr>
        <w:t xml:space="preserve"> view that retros</w:t>
      </w:r>
      <w:r w:rsidR="008A2E6C">
        <w:rPr>
          <w:rFonts w:eastAsia="ヒラギノ角ゴ Pro W3"/>
          <w:color w:val="000000"/>
          <w:sz w:val="20"/>
          <w:szCs w:val="20"/>
          <w:u w:color="000000"/>
        </w:rPr>
        <w:t>pective justice supports the “</w:t>
      </w:r>
      <w:r w:rsidRPr="009372B7">
        <w:rPr>
          <w:rFonts w:eastAsia="ヒラギノ角ゴ Pro W3"/>
          <w:color w:val="000000"/>
          <w:sz w:val="20"/>
          <w:szCs w:val="20"/>
          <w:u w:color="000000"/>
        </w:rPr>
        <w:t>constitutive principle of the rule of law</w:t>
      </w:r>
      <w:r w:rsidR="008A2E6C">
        <w:rPr>
          <w:rFonts w:eastAsia="ヒラギノ角ゴ Pro W3"/>
          <w:color w:val="000000"/>
          <w:sz w:val="20"/>
          <w:szCs w:val="20"/>
          <w:u w:color="000000"/>
        </w:rPr>
        <w:t>” that “</w:t>
      </w:r>
      <w:r w:rsidRPr="009372B7">
        <w:rPr>
          <w:rFonts w:eastAsia="ヒラギノ角ゴ Pro W3"/>
          <w:color w:val="000000"/>
          <w:sz w:val="20"/>
          <w:szCs w:val="20"/>
          <w:u w:color="000000"/>
        </w:rPr>
        <w:t>all crimes shall be prosecuted even if they may be treated as l</w:t>
      </w:r>
      <w:r w:rsidR="007317AA">
        <w:rPr>
          <w:rFonts w:eastAsia="ヒラギノ角ゴ Pro W3"/>
          <w:color w:val="000000"/>
          <w:sz w:val="20"/>
          <w:szCs w:val="20"/>
          <w:u w:color="000000"/>
        </w:rPr>
        <w:t>egal acts by a tyrannical power</w:t>
      </w:r>
      <w:r w:rsidR="008A2E6C">
        <w:rPr>
          <w:rFonts w:eastAsia="ヒラギノ角ゴ Pro W3"/>
          <w:color w:val="000000"/>
          <w:sz w:val="20"/>
          <w:szCs w:val="20"/>
          <w:u w:color="000000"/>
        </w:rPr>
        <w:t>”</w:t>
      </w:r>
      <w:r w:rsidR="007317AA">
        <w:rPr>
          <w:rFonts w:eastAsia="ヒラギノ角ゴ Pro W3"/>
          <w:color w:val="000000"/>
          <w:sz w:val="20"/>
          <w:szCs w:val="20"/>
          <w:u w:color="000000"/>
        </w:rPr>
        <w:t>.</w:t>
      </w:r>
      <w:r w:rsidRPr="009372B7">
        <w:rPr>
          <w:rStyle w:val="FootnoteReference"/>
          <w:rFonts w:eastAsia="ヒラギノ角ゴ Pro W3"/>
          <w:color w:val="000000"/>
          <w:sz w:val="20"/>
          <w:szCs w:val="20"/>
          <w:u w:color="000000"/>
        </w:rPr>
        <w:footnoteReference w:id="56"/>
      </w:r>
      <w:r w:rsidRPr="009372B7">
        <w:rPr>
          <w:rFonts w:eastAsia="ヒラギノ角ゴ Pro W3"/>
          <w:color w:val="000000"/>
          <w:sz w:val="20"/>
          <w:szCs w:val="20"/>
          <w:u w:color="000000"/>
        </w:rPr>
        <w:t xml:space="preserve"> </w:t>
      </w:r>
    </w:p>
    <w:p w14:paraId="111AAD18" w14:textId="5D25496A" w:rsidR="009372B7" w:rsidRPr="009372B7" w:rsidRDefault="009372B7" w:rsidP="009372B7">
      <w:pPr>
        <w:spacing w:line="360" w:lineRule="auto"/>
        <w:ind w:firstLine="720"/>
        <w:jc w:val="both"/>
        <w:outlineLvl w:val="0"/>
        <w:rPr>
          <w:rFonts w:eastAsia="ヒラギノ角ゴ Pro W3"/>
          <w:color w:val="000000"/>
          <w:sz w:val="20"/>
          <w:szCs w:val="20"/>
          <w:u w:color="000000"/>
        </w:rPr>
      </w:pPr>
      <w:r w:rsidRPr="009372B7">
        <w:rPr>
          <w:rFonts w:eastAsia="ヒラギノ角ゴ Pro W3"/>
          <w:color w:val="000000"/>
          <w:sz w:val="20"/>
          <w:szCs w:val="20"/>
          <w:u w:color="000000"/>
        </w:rPr>
        <w:t>The formula also raises problem</w:t>
      </w:r>
      <w:r w:rsidR="00484F5A">
        <w:rPr>
          <w:rFonts w:eastAsia="ヒラギノ角ゴ Pro W3"/>
          <w:color w:val="000000"/>
          <w:sz w:val="20"/>
          <w:szCs w:val="20"/>
          <w:u w:color="000000"/>
        </w:rPr>
        <w:t>s</w:t>
      </w:r>
      <w:r w:rsidRPr="009372B7">
        <w:rPr>
          <w:rFonts w:eastAsia="ヒラギノ角ゴ Pro W3"/>
          <w:color w:val="000000"/>
          <w:sz w:val="20"/>
          <w:szCs w:val="20"/>
          <w:u w:color="000000"/>
        </w:rPr>
        <w:t>, as it provides scant guidance in determining what reprehensible act justifies retroactive prosecution and punishment. So, while some commentators argue that the transgressions of the GDR were not comparable to the vast war crimes and mass genocide of the German Nazi regime, which justified the application of the formula,</w:t>
      </w:r>
      <w:r w:rsidRPr="009372B7">
        <w:rPr>
          <w:rFonts w:eastAsia="ヒラギノ角ゴ Pro W3"/>
          <w:color w:val="000000"/>
          <w:sz w:val="20"/>
          <w:szCs w:val="20"/>
          <w:u w:color="000000"/>
          <w:vertAlign w:val="superscript"/>
        </w:rPr>
        <w:footnoteReference w:id="57"/>
      </w:r>
      <w:r w:rsidRPr="009372B7">
        <w:rPr>
          <w:rFonts w:eastAsia="ヒラギノ角ゴ Pro W3"/>
          <w:color w:val="000000"/>
          <w:sz w:val="20"/>
          <w:szCs w:val="20"/>
          <w:u w:color="000000"/>
        </w:rPr>
        <w:t xml:space="preserve"> others contend that the GDR offences reached the threshold that justifies retroactive prosecution and punishment under the </w:t>
      </w:r>
      <w:proofErr w:type="spellStart"/>
      <w:r w:rsidRPr="009372B7">
        <w:rPr>
          <w:rFonts w:eastAsia="ヒラギノ角ゴ Pro W3"/>
          <w:color w:val="000000"/>
          <w:sz w:val="20"/>
          <w:szCs w:val="20"/>
          <w:u w:color="000000"/>
        </w:rPr>
        <w:t>Radbruch</w:t>
      </w:r>
      <w:proofErr w:type="spellEnd"/>
      <w:r w:rsidRPr="009372B7">
        <w:rPr>
          <w:rFonts w:eastAsia="ヒラギノ角ゴ Pro W3"/>
          <w:color w:val="000000"/>
          <w:sz w:val="20"/>
          <w:szCs w:val="20"/>
          <w:u w:color="000000"/>
        </w:rPr>
        <w:t xml:space="preserve"> formula.</w:t>
      </w:r>
      <w:r w:rsidRPr="009372B7">
        <w:rPr>
          <w:rStyle w:val="FootnoteReference"/>
          <w:rFonts w:eastAsia="ヒラギノ角ゴ Pro W3"/>
          <w:color w:val="000000"/>
          <w:sz w:val="20"/>
          <w:szCs w:val="20"/>
          <w:u w:color="000000"/>
        </w:rPr>
        <w:footnoteReference w:id="58"/>
      </w:r>
      <w:r w:rsidRPr="009372B7">
        <w:rPr>
          <w:rFonts w:eastAsia="ヒラギノ角ゴ Pro W3"/>
          <w:color w:val="000000"/>
          <w:sz w:val="20"/>
          <w:szCs w:val="20"/>
          <w:u w:color="000000"/>
        </w:rPr>
        <w:t xml:space="preserve"> As a means to resolve these questions, the courts refer to key international human rights instruments to help explain which past violations can give rise to present prosecution under the </w:t>
      </w:r>
      <w:proofErr w:type="spellStart"/>
      <w:r w:rsidRPr="009372B7">
        <w:rPr>
          <w:rFonts w:eastAsia="ヒラギノ角ゴ Pro W3"/>
          <w:color w:val="000000"/>
          <w:sz w:val="20"/>
          <w:szCs w:val="20"/>
          <w:u w:color="000000"/>
        </w:rPr>
        <w:lastRenderedPageBreak/>
        <w:t>Radbruch</w:t>
      </w:r>
      <w:proofErr w:type="spellEnd"/>
      <w:r w:rsidRPr="009372B7">
        <w:rPr>
          <w:rFonts w:eastAsia="ヒラギノ角ゴ Pro W3"/>
          <w:color w:val="000000"/>
          <w:sz w:val="20"/>
          <w:szCs w:val="20"/>
          <w:u w:color="000000"/>
        </w:rPr>
        <w:t xml:space="preserve"> formula. So, if GDR officials violated important provisions of the international human rights instruments, these violations are likely to be sufficiently serious to justify present prosecution. In this way, </w:t>
      </w:r>
      <w:proofErr w:type="spellStart"/>
      <w:r w:rsidRPr="009372B7">
        <w:rPr>
          <w:rFonts w:eastAsia="ヒラギノ角ゴ Pro W3"/>
          <w:color w:val="000000"/>
          <w:sz w:val="20"/>
          <w:szCs w:val="20"/>
          <w:u w:color="000000"/>
        </w:rPr>
        <w:t>Radbruch's</w:t>
      </w:r>
      <w:proofErr w:type="spellEnd"/>
      <w:r w:rsidRPr="009372B7">
        <w:rPr>
          <w:rFonts w:eastAsia="ヒラギノ角ゴ Pro W3"/>
          <w:color w:val="000000"/>
          <w:sz w:val="20"/>
          <w:szCs w:val="20"/>
          <w:u w:color="000000"/>
        </w:rPr>
        <w:t xml:space="preserve"> formula becomes more tangible because it is located in specific legal instruments.</w:t>
      </w:r>
      <w:r w:rsidRPr="009372B7">
        <w:rPr>
          <w:rFonts w:eastAsia="ヒラギノ角ゴ Pro W3"/>
          <w:color w:val="000000"/>
          <w:sz w:val="20"/>
          <w:szCs w:val="20"/>
          <w:u w:color="000000"/>
          <w:vertAlign w:val="superscript"/>
        </w:rPr>
        <w:footnoteReference w:id="59"/>
      </w:r>
      <w:r w:rsidRPr="009372B7">
        <w:rPr>
          <w:rFonts w:eastAsia="ヒラギノ角ゴ Pro W3"/>
          <w:color w:val="000000"/>
          <w:sz w:val="20"/>
          <w:szCs w:val="20"/>
          <w:u w:color="000000"/>
        </w:rPr>
        <w:t xml:space="preserve"> However, the </w:t>
      </w:r>
      <w:r w:rsidR="00DD6408">
        <w:rPr>
          <w:rFonts w:eastAsia="ヒラギノ角ゴ Pro W3"/>
          <w:color w:val="000000"/>
          <w:sz w:val="20"/>
          <w:szCs w:val="20"/>
          <w:u w:color="000000"/>
        </w:rPr>
        <w:t>German court</w:t>
      </w:r>
      <w:r w:rsidRPr="009372B7">
        <w:rPr>
          <w:rFonts w:eastAsia="ヒラギノ角ゴ Pro W3"/>
          <w:color w:val="000000"/>
          <w:sz w:val="20"/>
          <w:szCs w:val="20"/>
          <w:u w:color="000000"/>
        </w:rPr>
        <w:t xml:space="preserve"> use</w:t>
      </w:r>
      <w:r w:rsidR="00DD6408">
        <w:rPr>
          <w:rFonts w:eastAsia="ヒラギノ角ゴ Pro W3"/>
          <w:color w:val="000000"/>
          <w:sz w:val="20"/>
          <w:szCs w:val="20"/>
          <w:u w:color="000000"/>
        </w:rPr>
        <w:t>s</w:t>
      </w:r>
      <w:r w:rsidRPr="009372B7">
        <w:rPr>
          <w:rFonts w:eastAsia="ヒラギノ角ゴ Pro W3"/>
          <w:color w:val="000000"/>
          <w:sz w:val="20"/>
          <w:szCs w:val="20"/>
          <w:u w:color="000000"/>
        </w:rPr>
        <w:t xml:space="preserve"> the formula to find the true law or heart of the GDR Constitution, arguing that it was perverted by a corrupt regime and state practice.</w:t>
      </w:r>
      <w:r w:rsidRPr="009372B7">
        <w:rPr>
          <w:rFonts w:eastAsia="ヒラギノ角ゴ Pro W3"/>
          <w:color w:val="000000"/>
          <w:sz w:val="20"/>
          <w:szCs w:val="20"/>
          <w:u w:color="000000"/>
          <w:vertAlign w:val="superscript"/>
        </w:rPr>
        <w:footnoteReference w:id="60"/>
      </w:r>
      <w:r w:rsidRPr="009372B7">
        <w:rPr>
          <w:rFonts w:eastAsia="ヒラギノ角ゴ Pro W3"/>
          <w:color w:val="000000"/>
          <w:sz w:val="20"/>
          <w:szCs w:val="20"/>
          <w:u w:color="000000"/>
        </w:rPr>
        <w:t xml:space="preserve"> In the case concerning the accountability of higher officials, the FCC utilises the formula as a weighing exercise to show that there are stronger considerations of justice that take priority over non-retroactivity.</w:t>
      </w:r>
    </w:p>
    <w:p w14:paraId="476F3B73" w14:textId="77777777" w:rsidR="009372B7" w:rsidRPr="009372B7" w:rsidRDefault="009372B7" w:rsidP="009372B7">
      <w:pPr>
        <w:pStyle w:val="Body"/>
        <w:spacing w:line="360" w:lineRule="auto"/>
        <w:jc w:val="both"/>
        <w:rPr>
          <w:sz w:val="20"/>
          <w:lang w:val="en-GB"/>
        </w:rPr>
      </w:pPr>
      <w:r w:rsidRPr="009372B7">
        <w:rPr>
          <w:sz w:val="20"/>
          <w:lang w:val="en-GB"/>
        </w:rPr>
        <w:tab/>
        <w:t xml:space="preserve">The Border Guards cases symbolised the repressive nature of the East German regime, and the pursuit of justice was especially stressed after it was clear that the criminal prosecution of leading Communist officials, such as the GDR’s former leader Eric </w:t>
      </w:r>
      <w:proofErr w:type="spellStart"/>
      <w:r w:rsidRPr="009372B7">
        <w:rPr>
          <w:sz w:val="20"/>
          <w:lang w:val="en-GB"/>
        </w:rPr>
        <w:t>Honecker</w:t>
      </w:r>
      <w:proofErr w:type="spellEnd"/>
      <w:r w:rsidRPr="009372B7">
        <w:rPr>
          <w:sz w:val="20"/>
          <w:lang w:val="en-GB"/>
        </w:rPr>
        <w:t>, was not going to crystallise.</w:t>
      </w:r>
      <w:r w:rsidRPr="009372B7">
        <w:rPr>
          <w:sz w:val="20"/>
          <w:vertAlign w:val="superscript"/>
          <w:lang w:val="en-GB"/>
        </w:rPr>
        <w:footnoteReference w:id="61"/>
      </w:r>
      <w:r w:rsidRPr="009372B7">
        <w:rPr>
          <w:sz w:val="20"/>
          <w:lang w:val="en-GB"/>
        </w:rPr>
        <w:t xml:space="preserve"> When other post-Communist states began to contemplate legal measures dealing with the past, the East German cases were examined closely as a sort of blueprint. The judgments were marked out for the application of natural law, relevant for two reasons. First, it was a powerful comment about legal positivism and its failure and inadequacy to resolve questions about justice emerging from post-Communist legal orders. Secondly, the application of the </w:t>
      </w:r>
      <w:proofErr w:type="spellStart"/>
      <w:r w:rsidRPr="009372B7">
        <w:rPr>
          <w:sz w:val="20"/>
          <w:lang w:val="en-GB"/>
        </w:rPr>
        <w:t>Radbruch</w:t>
      </w:r>
      <w:proofErr w:type="spellEnd"/>
      <w:r w:rsidRPr="009372B7">
        <w:rPr>
          <w:sz w:val="20"/>
          <w:lang w:val="en-GB"/>
        </w:rPr>
        <w:t xml:space="preserve"> formula was one of hope – the hope to see justice done in the face of serious human rights abuses. It was a call for a fidelity to the law. In this narrative, at a practical level, states could look to two important sources: national developments, in the form of what was occurring in neighbouring states, and international human rights law, specifically the ECHR. </w:t>
      </w:r>
      <w:proofErr w:type="spellStart"/>
      <w:r w:rsidRPr="009372B7">
        <w:rPr>
          <w:sz w:val="20"/>
          <w:lang w:val="en-GB"/>
        </w:rPr>
        <w:t>Radbruch</w:t>
      </w:r>
      <w:proofErr w:type="spellEnd"/>
      <w:r w:rsidRPr="009372B7">
        <w:rPr>
          <w:sz w:val="20"/>
          <w:lang w:val="en-GB"/>
        </w:rPr>
        <w:t xml:space="preserve"> arguably could not have foreseen that East German law would be interpreted through a West German lens, or that his theory would become such an integral temporal formula.</w:t>
      </w:r>
    </w:p>
    <w:p w14:paraId="11487A6E" w14:textId="1E435EF2" w:rsidR="009372B7" w:rsidRPr="009372B7" w:rsidRDefault="009372B7" w:rsidP="009372B7">
      <w:pPr>
        <w:spacing w:line="360" w:lineRule="auto"/>
        <w:ind w:firstLine="720"/>
        <w:jc w:val="both"/>
        <w:outlineLvl w:val="0"/>
        <w:rPr>
          <w:rFonts w:eastAsia="ヒラギノ角ゴ Pro W3"/>
          <w:color w:val="000000"/>
          <w:sz w:val="20"/>
          <w:szCs w:val="20"/>
          <w:u w:color="000000"/>
        </w:rPr>
      </w:pPr>
      <w:r w:rsidRPr="009372B7">
        <w:rPr>
          <w:rFonts w:eastAsia="ヒラギノ角ゴ Pro W3"/>
          <w:color w:val="000000"/>
          <w:sz w:val="20"/>
          <w:szCs w:val="20"/>
          <w:u w:color="000000"/>
        </w:rPr>
        <w:t xml:space="preserve">At the European Court of Human Rights, the East German border guards (and their superiors) were heard in two applications against Germany. The Court examined whether it was compatible with Article 7(1) for the courts of a unified Federal Republic to convict men for actions which the applicants argued had not been criminal according to the law and practice of the GDR. The three applicants in the case of </w:t>
      </w:r>
      <w:proofErr w:type="spellStart"/>
      <w:r w:rsidRPr="008B11BD">
        <w:rPr>
          <w:rFonts w:eastAsia="ヒラギノ角ゴ Pro W3"/>
          <w:i/>
          <w:color w:val="000000"/>
          <w:sz w:val="20"/>
          <w:szCs w:val="20"/>
          <w:u w:color="000000"/>
        </w:rPr>
        <w:t>Streletz</w:t>
      </w:r>
      <w:proofErr w:type="spellEnd"/>
      <w:r w:rsidRPr="008B11BD">
        <w:rPr>
          <w:rFonts w:eastAsia="ヒラギノ角ゴ Pro W3"/>
          <w:i/>
          <w:color w:val="000000"/>
          <w:sz w:val="20"/>
          <w:szCs w:val="20"/>
          <w:u w:color="000000"/>
        </w:rPr>
        <w:t xml:space="preserve">, Kessler and </w:t>
      </w:r>
      <w:proofErr w:type="spellStart"/>
      <w:r w:rsidRPr="008B11BD">
        <w:rPr>
          <w:rFonts w:eastAsia="ヒラギノ角ゴ Pro W3"/>
          <w:i/>
          <w:color w:val="000000"/>
          <w:sz w:val="20"/>
          <w:szCs w:val="20"/>
          <w:u w:color="000000"/>
        </w:rPr>
        <w:t>Krenz</w:t>
      </w:r>
      <w:proofErr w:type="spellEnd"/>
      <w:r w:rsidRPr="008B11BD">
        <w:rPr>
          <w:rFonts w:eastAsia="ヒラギノ角ゴ Pro W3"/>
          <w:i/>
          <w:color w:val="000000"/>
          <w:sz w:val="20"/>
          <w:szCs w:val="20"/>
          <w:u w:color="000000"/>
        </w:rPr>
        <w:t xml:space="preserve"> v. Germany</w:t>
      </w:r>
      <w:r w:rsidRPr="009372B7">
        <w:rPr>
          <w:rFonts w:eastAsia="ヒラギノ角ゴ Pro W3"/>
          <w:color w:val="000000"/>
          <w:sz w:val="20"/>
          <w:szCs w:val="20"/>
          <w:u w:color="000000"/>
        </w:rPr>
        <w:t xml:space="preserve"> had held senior posts in the East German regime.</w:t>
      </w:r>
      <w:r w:rsidRPr="009372B7">
        <w:rPr>
          <w:rFonts w:eastAsia="ヒラギノ角ゴ Pro W3"/>
          <w:color w:val="000000"/>
          <w:sz w:val="20"/>
          <w:szCs w:val="20"/>
          <w:u w:color="000000"/>
          <w:vertAlign w:val="superscript"/>
        </w:rPr>
        <w:footnoteReference w:id="62"/>
      </w:r>
      <w:r w:rsidRPr="009372B7">
        <w:rPr>
          <w:rFonts w:eastAsia="ヒラギノ角ゴ Pro W3"/>
          <w:color w:val="000000"/>
          <w:sz w:val="20"/>
          <w:szCs w:val="20"/>
          <w:u w:color="000000"/>
        </w:rPr>
        <w:t xml:space="preserve"> Owing to their role, they had participated in decisions made by higher officials concerning the GDR’s border-policing regime. As such, they shared responsibility for the deaths of a number of individuals who had attempted to escape to West Berlin between 1971 and 1989 and who had been killed by shots discharged by East German border guards or as a result of land mines. The applicant in the case of </w:t>
      </w:r>
      <w:r w:rsidRPr="009C50CF">
        <w:rPr>
          <w:rFonts w:eastAsia="ヒラギノ角ゴ Pro W3"/>
          <w:i/>
          <w:color w:val="000000"/>
          <w:sz w:val="20"/>
          <w:szCs w:val="20"/>
          <w:u w:color="000000"/>
        </w:rPr>
        <w:t>K-H</w:t>
      </w:r>
      <w:r w:rsidR="008643BB">
        <w:rPr>
          <w:rFonts w:eastAsia="ヒラギノ角ゴ Pro W3"/>
          <w:i/>
          <w:color w:val="000000"/>
          <w:sz w:val="20"/>
          <w:szCs w:val="20"/>
          <w:u w:color="000000"/>
        </w:rPr>
        <w:t>.</w:t>
      </w:r>
      <w:r w:rsidRPr="009C50CF">
        <w:rPr>
          <w:rFonts w:eastAsia="ヒラギノ角ゴ Pro W3"/>
          <w:i/>
          <w:color w:val="000000"/>
          <w:sz w:val="20"/>
          <w:szCs w:val="20"/>
          <w:u w:color="000000"/>
        </w:rPr>
        <w:t>W</w:t>
      </w:r>
      <w:r w:rsidR="008643BB">
        <w:rPr>
          <w:rFonts w:eastAsia="ヒラギノ角ゴ Pro W3"/>
          <w:i/>
          <w:color w:val="000000"/>
          <w:sz w:val="20"/>
          <w:szCs w:val="20"/>
          <w:u w:color="000000"/>
        </w:rPr>
        <w:t>.</w:t>
      </w:r>
      <w:r w:rsidRPr="009372B7">
        <w:rPr>
          <w:rFonts w:eastAsia="ヒラギノ角ゴ Pro W3"/>
          <w:color w:val="000000"/>
          <w:sz w:val="20"/>
          <w:szCs w:val="20"/>
          <w:u w:color="000000"/>
        </w:rPr>
        <w:t xml:space="preserve"> had served as a soldier in the GDR border guard. In 1973, as a twenty-year-old officer, he fatally shot a person attempting to swim to West Berlin.</w:t>
      </w:r>
      <w:r w:rsidRPr="009372B7">
        <w:rPr>
          <w:rFonts w:eastAsia="ヒラギノ角ゴ Pro W3"/>
          <w:color w:val="000000"/>
          <w:sz w:val="20"/>
          <w:szCs w:val="20"/>
          <w:u w:color="000000"/>
          <w:vertAlign w:val="superscript"/>
        </w:rPr>
        <w:footnoteReference w:id="63"/>
      </w:r>
    </w:p>
    <w:p w14:paraId="248D84A9" w14:textId="21880A20" w:rsidR="009372B7" w:rsidRPr="009372B7" w:rsidRDefault="009372B7" w:rsidP="009372B7">
      <w:pPr>
        <w:spacing w:line="360" w:lineRule="auto"/>
        <w:ind w:firstLine="720"/>
        <w:jc w:val="both"/>
        <w:outlineLvl w:val="0"/>
        <w:rPr>
          <w:rFonts w:eastAsia="ヒラギノ角ゴ Pro W3"/>
          <w:color w:val="000000"/>
          <w:sz w:val="20"/>
          <w:szCs w:val="20"/>
          <w:u w:color="000000"/>
        </w:rPr>
      </w:pPr>
      <w:r w:rsidRPr="009372B7">
        <w:rPr>
          <w:rFonts w:eastAsia="ヒラギノ角ゴ Pro W3"/>
          <w:color w:val="000000"/>
          <w:sz w:val="20"/>
          <w:szCs w:val="20"/>
          <w:u w:color="000000"/>
        </w:rPr>
        <w:t xml:space="preserve">Interestingly, the German courts, which convicted the applicants, did not reply to the argument that the acts in question had amounted to ‘crimes against humanity’ or had been criminal according to the general principles of international law. In fact, the main thread that runs through </w:t>
      </w:r>
      <w:r w:rsidR="008B11BD">
        <w:rPr>
          <w:rFonts w:eastAsia="ヒラギノ角ゴ Pro W3"/>
          <w:color w:val="000000"/>
          <w:sz w:val="20"/>
          <w:szCs w:val="20"/>
          <w:u w:color="000000"/>
        </w:rPr>
        <w:t xml:space="preserve">a case such as the </w:t>
      </w:r>
      <w:r w:rsidRPr="009372B7">
        <w:rPr>
          <w:rFonts w:eastAsia="ヒラギノ角ゴ Pro W3"/>
          <w:color w:val="000000"/>
          <w:sz w:val="20"/>
          <w:szCs w:val="20"/>
          <w:u w:color="000000"/>
        </w:rPr>
        <w:t xml:space="preserve">‘Shootings at the Berlin Wall Case’ is the question of whether the criminal law applicable </w:t>
      </w:r>
      <w:r w:rsidRPr="009372B7">
        <w:rPr>
          <w:rFonts w:eastAsia="ヒラギノ角ゴ Pro W3"/>
          <w:color w:val="000000"/>
          <w:sz w:val="20"/>
          <w:szCs w:val="20"/>
          <w:u w:color="000000"/>
        </w:rPr>
        <w:lastRenderedPageBreak/>
        <w:t xml:space="preserve">to GDR at the times that the shootings took place </w:t>
      </w:r>
      <w:r w:rsidR="00484F5A">
        <w:rPr>
          <w:rFonts w:eastAsia="ヒラギノ角ゴ Pro W3"/>
          <w:color w:val="000000"/>
          <w:sz w:val="20"/>
          <w:szCs w:val="20"/>
          <w:u w:color="000000"/>
        </w:rPr>
        <w:t>and</w:t>
      </w:r>
      <w:r w:rsidRPr="009372B7">
        <w:rPr>
          <w:rFonts w:eastAsia="ヒラギノ角ゴ Pro W3"/>
          <w:color w:val="000000"/>
          <w:sz w:val="20"/>
          <w:szCs w:val="20"/>
          <w:u w:color="000000"/>
        </w:rPr>
        <w:t xml:space="preserve"> whether its application to the crime is more or less severe tha</w:t>
      </w:r>
      <w:r w:rsidR="00484F5A">
        <w:rPr>
          <w:rFonts w:eastAsia="ヒラギノ角ゴ Pro W3"/>
          <w:color w:val="000000"/>
          <w:sz w:val="20"/>
          <w:szCs w:val="20"/>
          <w:u w:color="000000"/>
        </w:rPr>
        <w:t>n</w:t>
      </w:r>
      <w:r w:rsidRPr="009372B7">
        <w:rPr>
          <w:rFonts w:eastAsia="ヒラギノ角ゴ Pro W3"/>
          <w:color w:val="000000"/>
          <w:sz w:val="20"/>
          <w:szCs w:val="20"/>
          <w:u w:color="000000"/>
        </w:rPr>
        <w:t xml:space="preserve"> its Federal German Republic counterpart.</w:t>
      </w:r>
      <w:r w:rsidRPr="009372B7">
        <w:rPr>
          <w:rStyle w:val="FootnoteReference"/>
          <w:rFonts w:eastAsia="ヒラギノ角ゴ Pro W3"/>
          <w:color w:val="000000"/>
          <w:sz w:val="20"/>
          <w:szCs w:val="20"/>
          <w:u w:color="000000"/>
        </w:rPr>
        <w:footnoteReference w:id="64"/>
      </w:r>
      <w:r w:rsidRPr="009372B7">
        <w:rPr>
          <w:rFonts w:eastAsia="ヒラギノ角ゴ Pro W3"/>
          <w:color w:val="000000"/>
          <w:sz w:val="20"/>
          <w:szCs w:val="20"/>
          <w:u w:color="000000"/>
        </w:rPr>
        <w:t xml:space="preserve"> The latter was chosen as the basis for conviction, and as discussed above, the courts held that the crimes had been prohibited by GDR law on the dates they were committed, relying on the fact that the GDR had signed the 1966 International Covenant for Civil and Political Rights (ICCPR), which guarantees, </w:t>
      </w:r>
      <w:r w:rsidRPr="008B11BD">
        <w:rPr>
          <w:rFonts w:eastAsia="ヒラギノ角ゴ Pro W3"/>
          <w:i/>
          <w:color w:val="000000"/>
          <w:sz w:val="20"/>
          <w:szCs w:val="20"/>
          <w:u w:color="000000"/>
        </w:rPr>
        <w:t>inter alia</w:t>
      </w:r>
      <w:r w:rsidRPr="009372B7">
        <w:rPr>
          <w:rFonts w:eastAsia="ヒラギノ角ゴ Pro W3"/>
          <w:color w:val="000000"/>
          <w:sz w:val="20"/>
          <w:szCs w:val="20"/>
          <w:u w:color="000000"/>
        </w:rPr>
        <w:t>, the right to life and the freedom of movement, and enacted a number of statutory provisions protecting the right to life and restricting the use of lethal force to the prevention of serious crime.</w:t>
      </w:r>
      <w:r w:rsidRPr="009372B7">
        <w:rPr>
          <w:rFonts w:eastAsia="ヒラギノ角ゴ Pro W3"/>
          <w:color w:val="000000"/>
          <w:sz w:val="20"/>
          <w:szCs w:val="20"/>
          <w:u w:color="000000"/>
          <w:vertAlign w:val="superscript"/>
        </w:rPr>
        <w:footnoteReference w:id="65"/>
      </w:r>
      <w:r w:rsidRPr="009372B7">
        <w:rPr>
          <w:rFonts w:eastAsia="ヒラギノ角ゴ Pro W3"/>
          <w:color w:val="000000"/>
          <w:sz w:val="20"/>
          <w:szCs w:val="20"/>
          <w:u w:color="000000"/>
        </w:rPr>
        <w:t xml:space="preserve"> The GDR ratified the ICCPR in 1974, which entered into force in 1976, but failed to pass the transforming law.</w:t>
      </w:r>
      <w:r w:rsidRPr="009372B7">
        <w:rPr>
          <w:rStyle w:val="FootnoteReference"/>
          <w:rFonts w:eastAsia="ヒラギノ角ゴ Pro W3"/>
          <w:color w:val="000000"/>
          <w:sz w:val="20"/>
          <w:szCs w:val="20"/>
          <w:u w:color="000000"/>
        </w:rPr>
        <w:footnoteReference w:id="66"/>
      </w:r>
      <w:r w:rsidRPr="009372B7">
        <w:rPr>
          <w:rFonts w:eastAsia="ヒラギノ角ゴ Pro W3"/>
          <w:color w:val="000000"/>
          <w:sz w:val="20"/>
          <w:szCs w:val="20"/>
          <w:u w:color="000000"/>
        </w:rPr>
        <w:t xml:space="preserve"> The practice of the East German authorities, however, for which the applicants in </w:t>
      </w:r>
      <w:proofErr w:type="spellStart"/>
      <w:r w:rsidRPr="008B11BD">
        <w:rPr>
          <w:rFonts w:eastAsia="ヒラギノ角ゴ Pro W3"/>
          <w:i/>
          <w:color w:val="000000"/>
          <w:sz w:val="20"/>
          <w:szCs w:val="20"/>
          <w:u w:color="000000"/>
        </w:rPr>
        <w:t>Streletz</w:t>
      </w:r>
      <w:proofErr w:type="spellEnd"/>
      <w:r w:rsidRPr="008B11BD">
        <w:rPr>
          <w:rFonts w:eastAsia="ヒラギノ角ゴ Pro W3"/>
          <w:i/>
          <w:color w:val="000000"/>
          <w:sz w:val="20"/>
          <w:szCs w:val="20"/>
          <w:u w:color="000000"/>
        </w:rPr>
        <w:t xml:space="preserve"> </w:t>
      </w:r>
      <w:r w:rsidRPr="009372B7">
        <w:rPr>
          <w:rFonts w:eastAsia="ヒラギノ角ゴ Pro W3"/>
          <w:color w:val="000000"/>
          <w:sz w:val="20"/>
          <w:szCs w:val="20"/>
          <w:u w:color="000000"/>
        </w:rPr>
        <w:t>were partly responsible, was to encourage border guards to disregard the legislation and to annihilate border violators. It is important to recall that throughout its existence the East German regime denied its populace freedom of movement. The Wall as a response to the wave of persons escaping west and preventing escapes was high on the agenda in terms of border control; the prev</w:t>
      </w:r>
      <w:r w:rsidR="008B11BD">
        <w:rPr>
          <w:rFonts w:eastAsia="ヒラギノ角ゴ Pro W3"/>
          <w:color w:val="000000"/>
          <w:sz w:val="20"/>
          <w:szCs w:val="20"/>
          <w:u w:color="000000"/>
        </w:rPr>
        <w:t xml:space="preserve">entive actions and crimes that </w:t>
      </w:r>
      <w:r w:rsidRPr="009372B7">
        <w:rPr>
          <w:rFonts w:eastAsia="ヒラギノ角ゴ Pro W3"/>
          <w:color w:val="000000"/>
          <w:sz w:val="20"/>
          <w:szCs w:val="20"/>
          <w:u w:color="000000"/>
        </w:rPr>
        <w:t xml:space="preserve">are considered in this discussion occurred between the 1960s until the fall of the Berlin Wall.  In the event of a successful crossing, the guards on duty could expect to be the subject of an investigation by the military prosecution, calling into question the role of duress. </w:t>
      </w:r>
    </w:p>
    <w:p w14:paraId="642711CC" w14:textId="77777777" w:rsidR="009372B7" w:rsidRPr="009372B7" w:rsidRDefault="009372B7" w:rsidP="009372B7">
      <w:pPr>
        <w:spacing w:line="360" w:lineRule="auto"/>
        <w:ind w:firstLine="720"/>
        <w:jc w:val="both"/>
        <w:outlineLvl w:val="0"/>
        <w:rPr>
          <w:rFonts w:eastAsia="ヒラギノ角ゴ Pro W3"/>
          <w:color w:val="000000"/>
          <w:sz w:val="20"/>
          <w:szCs w:val="20"/>
          <w:u w:color="000000"/>
        </w:rPr>
      </w:pPr>
      <w:r w:rsidRPr="009372B7">
        <w:rPr>
          <w:rFonts w:eastAsia="ヒラギノ角ゴ Pro W3"/>
          <w:color w:val="000000"/>
          <w:sz w:val="20"/>
          <w:szCs w:val="20"/>
          <w:u w:color="000000"/>
        </w:rPr>
        <w:t xml:space="preserve">In the </w:t>
      </w:r>
      <w:proofErr w:type="spellStart"/>
      <w:r w:rsidR="008B11BD" w:rsidRPr="008B11BD">
        <w:rPr>
          <w:rFonts w:eastAsia="ヒラギノ角ゴ Pro W3"/>
          <w:i/>
          <w:color w:val="000000"/>
          <w:sz w:val="20"/>
          <w:szCs w:val="20"/>
          <w:u w:color="000000"/>
        </w:rPr>
        <w:t>Streletz</w:t>
      </w:r>
      <w:proofErr w:type="spellEnd"/>
      <w:r w:rsidRPr="009372B7">
        <w:rPr>
          <w:rFonts w:eastAsia="ヒラギノ角ゴ Pro W3"/>
          <w:color w:val="000000"/>
          <w:sz w:val="20"/>
          <w:szCs w:val="20"/>
          <w:u w:color="000000"/>
        </w:rPr>
        <w:t xml:space="preserve"> case, the Court observed that GDR statute law, together with the provisions of the international treaties, had provided a clear prohibition on disproportionate and arbitrary killing. As such, the applicants could not argue that, in light of GDR state practice, their conviction as accessories to murder had not been foreseeable, since they themselves had to a great degree been responsible for the discrepancy between the legislation and practice. The treatment of knowledge has been a point of contention between scholars as to the harshness of the decision to uphold the conviction (albeit a milder sentence, following GDR law, was applied) and whether the decision itself was legally sound (as a re-interpretation of GDR law).</w:t>
      </w:r>
      <w:r w:rsidRPr="009372B7">
        <w:rPr>
          <w:rFonts w:eastAsia="ヒラギノ角ゴ Pro W3"/>
          <w:color w:val="000000"/>
          <w:sz w:val="20"/>
          <w:szCs w:val="20"/>
          <w:u w:color="000000"/>
          <w:vertAlign w:val="superscript"/>
        </w:rPr>
        <w:footnoteReference w:id="67"/>
      </w:r>
    </w:p>
    <w:p w14:paraId="49E2A71C" w14:textId="73EC1A2C" w:rsidR="009372B7" w:rsidRPr="009372B7" w:rsidRDefault="009372B7" w:rsidP="009372B7">
      <w:pPr>
        <w:spacing w:line="360" w:lineRule="auto"/>
        <w:ind w:firstLine="720"/>
        <w:jc w:val="both"/>
        <w:outlineLvl w:val="0"/>
        <w:rPr>
          <w:rFonts w:eastAsia="ヒラギノ角ゴ Pro W3"/>
          <w:color w:val="000000"/>
          <w:sz w:val="20"/>
          <w:szCs w:val="20"/>
          <w:u w:color="000000"/>
        </w:rPr>
      </w:pPr>
      <w:r w:rsidRPr="009372B7">
        <w:rPr>
          <w:rFonts w:eastAsia="ヒラギノ角ゴ Pro W3"/>
          <w:color w:val="000000"/>
          <w:sz w:val="20"/>
          <w:szCs w:val="20"/>
          <w:u w:color="000000"/>
        </w:rPr>
        <w:t xml:space="preserve">The Court’s finding of no violation to Article 7 in the </w:t>
      </w:r>
      <w:r w:rsidRPr="008B11BD">
        <w:rPr>
          <w:rFonts w:eastAsia="ヒラギノ角ゴ Pro W3"/>
          <w:i/>
          <w:color w:val="000000"/>
          <w:sz w:val="20"/>
          <w:szCs w:val="20"/>
          <w:u w:color="000000"/>
        </w:rPr>
        <w:t>K-H</w:t>
      </w:r>
      <w:r w:rsidR="002D61DB">
        <w:rPr>
          <w:rFonts w:eastAsia="ヒラギノ角ゴ Pro W3"/>
          <w:i/>
          <w:color w:val="000000"/>
          <w:sz w:val="20"/>
          <w:szCs w:val="20"/>
          <w:u w:color="000000"/>
        </w:rPr>
        <w:t>.</w:t>
      </w:r>
      <w:r w:rsidRPr="008B11BD">
        <w:rPr>
          <w:rFonts w:eastAsia="ヒラギノ角ゴ Pro W3"/>
          <w:i/>
          <w:color w:val="000000"/>
          <w:sz w:val="20"/>
          <w:szCs w:val="20"/>
          <w:u w:color="000000"/>
        </w:rPr>
        <w:t>W</w:t>
      </w:r>
      <w:r w:rsidR="002D61DB">
        <w:rPr>
          <w:rFonts w:eastAsia="ヒラギノ角ゴ Pro W3"/>
          <w:i/>
          <w:color w:val="000000"/>
          <w:sz w:val="20"/>
          <w:szCs w:val="20"/>
          <w:u w:color="000000"/>
        </w:rPr>
        <w:t>.</w:t>
      </w:r>
      <w:r w:rsidRPr="009372B7">
        <w:rPr>
          <w:rFonts w:eastAsia="ヒラギノ角ゴ Pro W3"/>
          <w:color w:val="000000"/>
          <w:sz w:val="20"/>
          <w:szCs w:val="20"/>
          <w:u w:color="000000"/>
        </w:rPr>
        <w:t xml:space="preserve"> case appears somewhat severe when placed in the context set out above. Three of the seventeen judges in the European Court of Human Rights’ Grand Chamber dissented. The applicant had been a young and junior soldier, who had undergone a process of indoctrination and also been ordered to p</w:t>
      </w:r>
      <w:r w:rsidR="007317AA">
        <w:rPr>
          <w:rFonts w:eastAsia="ヒラギノ角ゴ Pro W3"/>
          <w:color w:val="000000"/>
          <w:sz w:val="20"/>
          <w:szCs w:val="20"/>
          <w:u w:color="000000"/>
        </w:rPr>
        <w:t>rotect the border ‘at all costs</w:t>
      </w:r>
      <w:r w:rsidRPr="009372B7">
        <w:rPr>
          <w:rFonts w:eastAsia="ヒラギノ角ゴ Pro W3"/>
          <w:color w:val="000000"/>
          <w:sz w:val="20"/>
          <w:szCs w:val="20"/>
          <w:u w:color="000000"/>
        </w:rPr>
        <w:t>’</w:t>
      </w:r>
      <w:r w:rsidR="007317AA">
        <w:rPr>
          <w:rFonts w:eastAsia="ヒラギノ角ゴ Pro W3"/>
          <w:color w:val="000000"/>
          <w:sz w:val="20"/>
          <w:szCs w:val="20"/>
          <w:u w:color="000000"/>
        </w:rPr>
        <w:t>.</w:t>
      </w:r>
      <w:r w:rsidRPr="009372B7">
        <w:rPr>
          <w:rStyle w:val="FootnoteReference"/>
          <w:rFonts w:eastAsia="ヒラギノ角ゴ Pro W3"/>
          <w:color w:val="000000"/>
          <w:sz w:val="20"/>
          <w:szCs w:val="20"/>
          <w:u w:color="000000"/>
        </w:rPr>
        <w:footnoteReference w:id="68"/>
      </w:r>
      <w:r w:rsidRPr="009372B7">
        <w:rPr>
          <w:rFonts w:eastAsia="ヒラギノ角ゴ Pro W3"/>
          <w:color w:val="000000"/>
          <w:sz w:val="20"/>
          <w:szCs w:val="20"/>
          <w:u w:color="000000"/>
        </w:rPr>
        <w:t xml:space="preserve"> In terms of knowledge, this entailed the information that he would be subject to an investigation if he allowed a fugitive successfully to escape from East Germany. However, the Court held that the GDR statute w</w:t>
      </w:r>
      <w:r w:rsidR="00DD6408">
        <w:rPr>
          <w:rFonts w:eastAsia="ヒラギノ角ゴ Pro W3"/>
          <w:color w:val="000000"/>
          <w:sz w:val="20"/>
          <w:szCs w:val="20"/>
          <w:u w:color="000000"/>
        </w:rPr>
        <w:t>as accessible to all, and that “</w:t>
      </w:r>
      <w:r w:rsidRPr="009372B7">
        <w:rPr>
          <w:rFonts w:eastAsia="ヒラギノ角ゴ Pro W3"/>
          <w:color w:val="000000"/>
          <w:sz w:val="20"/>
          <w:szCs w:val="20"/>
          <w:u w:color="000000"/>
        </w:rPr>
        <w:t>even a private soldier could not show total, blind obedience to orders which flagrantly infringed not only the GDR’s own legal principles but also internat</w:t>
      </w:r>
      <w:r w:rsidR="007317AA">
        <w:rPr>
          <w:rFonts w:eastAsia="ヒラギノ角ゴ Pro W3"/>
          <w:color w:val="000000"/>
          <w:sz w:val="20"/>
          <w:szCs w:val="20"/>
          <w:u w:color="000000"/>
        </w:rPr>
        <w:t>ionally recognised human rights</w:t>
      </w:r>
      <w:r w:rsidR="00DD6408">
        <w:rPr>
          <w:rFonts w:eastAsia="ヒラギノ角ゴ Pro W3"/>
          <w:color w:val="000000"/>
          <w:sz w:val="20"/>
          <w:szCs w:val="20"/>
          <w:u w:color="000000"/>
        </w:rPr>
        <w:t>”</w:t>
      </w:r>
      <w:r w:rsidR="007317AA">
        <w:rPr>
          <w:rFonts w:eastAsia="ヒラギノ角ゴ Pro W3"/>
          <w:color w:val="000000"/>
          <w:sz w:val="20"/>
          <w:szCs w:val="20"/>
          <w:u w:color="000000"/>
        </w:rPr>
        <w:t>.</w:t>
      </w:r>
      <w:r w:rsidRPr="009372B7">
        <w:rPr>
          <w:rFonts w:eastAsia="ヒラギノ角ゴ Pro W3"/>
          <w:color w:val="000000"/>
          <w:sz w:val="20"/>
          <w:szCs w:val="20"/>
          <w:u w:color="000000"/>
          <w:vertAlign w:val="superscript"/>
        </w:rPr>
        <w:footnoteReference w:id="69"/>
      </w:r>
      <w:r w:rsidRPr="009372B7">
        <w:rPr>
          <w:rFonts w:eastAsia="ヒラギノ角ゴ Pro W3"/>
          <w:color w:val="000000"/>
          <w:sz w:val="20"/>
          <w:szCs w:val="20"/>
          <w:u w:color="000000"/>
        </w:rPr>
        <w:t xml:space="preserve"> On the issues of foreseeability and knowledge, the European Court of Human Rights’ Justice Nicolas </w:t>
      </w:r>
      <w:proofErr w:type="spellStart"/>
      <w:r w:rsidRPr="009372B7">
        <w:rPr>
          <w:rFonts w:eastAsia="ヒラギノ角ゴ Pro W3"/>
          <w:color w:val="000000"/>
          <w:sz w:val="20"/>
          <w:szCs w:val="20"/>
          <w:u w:color="000000"/>
        </w:rPr>
        <w:t>Bratza</w:t>
      </w:r>
      <w:proofErr w:type="spellEnd"/>
      <w:r w:rsidRPr="009372B7">
        <w:rPr>
          <w:rFonts w:eastAsia="ヒラギノ角ゴ Pro W3"/>
          <w:color w:val="000000"/>
          <w:sz w:val="20"/>
          <w:szCs w:val="20"/>
          <w:u w:color="000000"/>
        </w:rPr>
        <w:t xml:space="preserve"> opined</w:t>
      </w:r>
    </w:p>
    <w:p w14:paraId="1731BB82" w14:textId="77777777" w:rsidR="009372B7" w:rsidRPr="009372B7" w:rsidRDefault="009372B7" w:rsidP="00302043">
      <w:pPr>
        <w:spacing w:line="360" w:lineRule="auto"/>
        <w:ind w:left="720"/>
        <w:jc w:val="both"/>
        <w:outlineLvl w:val="0"/>
        <w:rPr>
          <w:rFonts w:eastAsia="ヒラギノ角ゴ Pro W3"/>
          <w:color w:val="000000"/>
          <w:sz w:val="20"/>
          <w:szCs w:val="20"/>
          <w:u w:color="000000"/>
        </w:rPr>
      </w:pPr>
      <w:r w:rsidRPr="009372B7">
        <w:rPr>
          <w:rFonts w:eastAsia="ヒラギノ角ゴ Pro W3"/>
          <w:color w:val="000000"/>
          <w:sz w:val="20"/>
          <w:szCs w:val="20"/>
          <w:u w:color="000000"/>
        </w:rPr>
        <w:lastRenderedPageBreak/>
        <w:t>I accept…that the situation in the GDR was such that the applicant could hardly have foreseen at the time that his actions would result in his prosecution for the offence of intentional homicide. But this is a very different question from the one facing the Court, namely whether the applicant could reasonably have foreseen that his actions amounted to such an offence. While this question may be open to differing opinions, I can find no reason to depart from the considered opinion of the national courts that opening fire on a defenceless person, who was attempting to swim away from East Berlin and who posed no threat to life and limb, so clearly breached any principle of proportionality that it was foreseeable that it violated the legal prohibition on killing.</w:t>
      </w:r>
      <w:r w:rsidRPr="009372B7">
        <w:rPr>
          <w:rFonts w:eastAsia="ヒラギノ角ゴ Pro W3"/>
          <w:color w:val="000000"/>
          <w:sz w:val="20"/>
          <w:szCs w:val="20"/>
          <w:u w:color="000000"/>
          <w:vertAlign w:val="superscript"/>
        </w:rPr>
        <w:footnoteReference w:id="70"/>
      </w:r>
    </w:p>
    <w:p w14:paraId="32B846AC" w14:textId="77777777" w:rsidR="00973795" w:rsidRDefault="00973795" w:rsidP="009372B7">
      <w:pPr>
        <w:pStyle w:val="Body"/>
        <w:spacing w:line="360" w:lineRule="auto"/>
        <w:jc w:val="both"/>
        <w:rPr>
          <w:sz w:val="20"/>
          <w:lang w:val="en-GB"/>
        </w:rPr>
      </w:pPr>
    </w:p>
    <w:p w14:paraId="3E8F0E8C" w14:textId="081E8DFB" w:rsidR="00973795" w:rsidRPr="001A1EC6" w:rsidRDefault="00973795" w:rsidP="00102A24">
      <w:pPr>
        <w:pStyle w:val="OpiPara"/>
        <w:spacing w:line="360" w:lineRule="auto"/>
        <w:ind w:firstLine="720"/>
        <w:rPr>
          <w:color w:val="FF0000"/>
          <w:sz w:val="20"/>
          <w:szCs w:val="20"/>
        </w:rPr>
      </w:pPr>
      <w:r w:rsidRPr="001A1EC6">
        <w:rPr>
          <w:color w:val="FF0000"/>
          <w:sz w:val="20"/>
          <w:szCs w:val="20"/>
        </w:rPr>
        <w:t xml:space="preserve">In </w:t>
      </w:r>
      <w:proofErr w:type="spellStart"/>
      <w:r w:rsidRPr="00DD6A22">
        <w:rPr>
          <w:i/>
          <w:color w:val="FF0000"/>
          <w:sz w:val="20"/>
          <w:szCs w:val="20"/>
        </w:rPr>
        <w:t>Streletz</w:t>
      </w:r>
      <w:proofErr w:type="spellEnd"/>
      <w:r w:rsidRPr="001A1EC6">
        <w:rPr>
          <w:color w:val="FF0000"/>
          <w:sz w:val="20"/>
          <w:szCs w:val="20"/>
        </w:rPr>
        <w:t xml:space="preserve"> there were three separate concurring opinions by Justices </w:t>
      </w:r>
      <w:proofErr w:type="spellStart"/>
      <w:r w:rsidRPr="001A1EC6">
        <w:rPr>
          <w:color w:val="FF0000"/>
          <w:sz w:val="20"/>
          <w:szCs w:val="20"/>
        </w:rPr>
        <w:t>Loucaides</w:t>
      </w:r>
      <w:proofErr w:type="spellEnd"/>
      <w:r w:rsidRPr="001A1EC6">
        <w:rPr>
          <w:color w:val="FF0000"/>
          <w:sz w:val="20"/>
          <w:szCs w:val="20"/>
        </w:rPr>
        <w:t xml:space="preserve">, </w:t>
      </w:r>
      <w:proofErr w:type="spellStart"/>
      <w:r w:rsidRPr="001A1EC6">
        <w:rPr>
          <w:color w:val="FF0000"/>
          <w:sz w:val="20"/>
          <w:szCs w:val="20"/>
        </w:rPr>
        <w:t>Zupančič</w:t>
      </w:r>
      <w:proofErr w:type="spellEnd"/>
      <w:r w:rsidRPr="001A1EC6">
        <w:rPr>
          <w:color w:val="FF0000"/>
          <w:sz w:val="20"/>
          <w:szCs w:val="20"/>
        </w:rPr>
        <w:t xml:space="preserve">, and </w:t>
      </w:r>
      <w:proofErr w:type="spellStart"/>
      <w:r w:rsidRPr="001A1EC6">
        <w:rPr>
          <w:color w:val="FF0000"/>
          <w:sz w:val="20"/>
          <w:szCs w:val="20"/>
        </w:rPr>
        <w:t>Levits</w:t>
      </w:r>
      <w:proofErr w:type="spellEnd"/>
      <w:r w:rsidRPr="001A1EC6">
        <w:rPr>
          <w:color w:val="FF0000"/>
          <w:sz w:val="20"/>
          <w:szCs w:val="20"/>
        </w:rPr>
        <w:t xml:space="preserve">. In his opinion, Justice </w:t>
      </w:r>
      <w:proofErr w:type="spellStart"/>
      <w:r w:rsidRPr="001A1EC6">
        <w:rPr>
          <w:color w:val="FF0000"/>
          <w:sz w:val="20"/>
          <w:szCs w:val="20"/>
        </w:rPr>
        <w:t>Loucaides</w:t>
      </w:r>
      <w:proofErr w:type="spellEnd"/>
      <w:r w:rsidR="008A2E6C">
        <w:rPr>
          <w:color w:val="FF0000"/>
          <w:sz w:val="20"/>
          <w:szCs w:val="20"/>
        </w:rPr>
        <w:t xml:space="preserve"> held that “</w:t>
      </w:r>
      <w:r w:rsidRPr="001A1EC6">
        <w:rPr>
          <w:color w:val="FF0000"/>
          <w:sz w:val="20"/>
          <w:szCs w:val="20"/>
        </w:rPr>
        <w:t>the actions for which the applicants were convicted did constitute at the material time not only criminal offences under the domestic German law but also under international law</w:t>
      </w:r>
      <w:r w:rsidR="008A2E6C">
        <w:rPr>
          <w:color w:val="FF0000"/>
          <w:sz w:val="20"/>
          <w:szCs w:val="20"/>
        </w:rPr>
        <w:t>”</w:t>
      </w:r>
      <w:r w:rsidRPr="001A1EC6">
        <w:rPr>
          <w:color w:val="FF0000"/>
          <w:sz w:val="20"/>
          <w:szCs w:val="20"/>
        </w:rPr>
        <w:t>.</w:t>
      </w:r>
      <w:r w:rsidRPr="001A1EC6">
        <w:rPr>
          <w:rStyle w:val="FootnoteReference"/>
          <w:color w:val="FF0000"/>
          <w:sz w:val="20"/>
          <w:szCs w:val="20"/>
        </w:rPr>
        <w:footnoteReference w:id="71"/>
      </w:r>
      <w:r w:rsidRPr="001A1EC6">
        <w:rPr>
          <w:color w:val="FF0000"/>
          <w:sz w:val="20"/>
          <w:szCs w:val="20"/>
        </w:rPr>
        <w:t xml:space="preserve"> </w:t>
      </w:r>
      <w:r w:rsidR="0002763F">
        <w:rPr>
          <w:color w:val="FF0000"/>
          <w:sz w:val="20"/>
          <w:szCs w:val="20"/>
        </w:rPr>
        <w:t>He</w:t>
      </w:r>
      <w:r w:rsidRPr="001A1EC6">
        <w:rPr>
          <w:color w:val="FF0000"/>
          <w:sz w:val="20"/>
          <w:szCs w:val="20"/>
        </w:rPr>
        <w:t xml:space="preserve"> did not see the need </w:t>
      </w:r>
      <w:r w:rsidR="002D61DB">
        <w:rPr>
          <w:color w:val="FF0000"/>
          <w:sz w:val="20"/>
          <w:szCs w:val="20"/>
        </w:rPr>
        <w:t>for</w:t>
      </w:r>
      <w:r w:rsidRPr="001A1EC6">
        <w:rPr>
          <w:color w:val="FF0000"/>
          <w:sz w:val="20"/>
          <w:szCs w:val="20"/>
        </w:rPr>
        <w:t xml:space="preserve"> the Court to expand on domestic law provisions when it was clear that the actions constituted violations in international law.</w:t>
      </w:r>
      <w:r w:rsidR="001A1EC6" w:rsidRPr="001A1EC6">
        <w:rPr>
          <w:color w:val="FF0000"/>
          <w:sz w:val="20"/>
          <w:szCs w:val="20"/>
        </w:rPr>
        <w:t xml:space="preserve"> </w:t>
      </w:r>
      <w:r w:rsidR="00302043">
        <w:rPr>
          <w:color w:val="FF0000"/>
          <w:sz w:val="20"/>
          <w:szCs w:val="20"/>
        </w:rPr>
        <w:t>Drawing inspiration from the works of</w:t>
      </w:r>
      <w:r w:rsidR="0002763F">
        <w:rPr>
          <w:color w:val="FF0000"/>
          <w:sz w:val="20"/>
          <w:szCs w:val="20"/>
        </w:rPr>
        <w:t xml:space="preserve"> key legal philosophers, such as von Feuerbach, von Liszt and </w:t>
      </w:r>
      <w:proofErr w:type="spellStart"/>
      <w:r w:rsidR="0002763F">
        <w:rPr>
          <w:color w:val="FF0000"/>
          <w:sz w:val="20"/>
          <w:szCs w:val="20"/>
        </w:rPr>
        <w:t>Beccaria</w:t>
      </w:r>
      <w:proofErr w:type="spellEnd"/>
      <w:r w:rsidR="0002763F">
        <w:rPr>
          <w:color w:val="FF0000"/>
          <w:sz w:val="20"/>
          <w:szCs w:val="20"/>
        </w:rPr>
        <w:t xml:space="preserve">, </w:t>
      </w:r>
      <w:r w:rsidRPr="001A1EC6">
        <w:rPr>
          <w:color w:val="FF0000"/>
          <w:sz w:val="20"/>
          <w:szCs w:val="20"/>
        </w:rPr>
        <w:t xml:space="preserve">Justice </w:t>
      </w:r>
      <w:proofErr w:type="spellStart"/>
      <w:r w:rsidRPr="001A1EC6">
        <w:rPr>
          <w:color w:val="FF0000"/>
          <w:sz w:val="20"/>
          <w:szCs w:val="20"/>
        </w:rPr>
        <w:t>Zupančič</w:t>
      </w:r>
      <w:proofErr w:type="spellEnd"/>
      <w:r w:rsidRPr="001A1EC6">
        <w:rPr>
          <w:color w:val="FF0000"/>
          <w:sz w:val="20"/>
          <w:szCs w:val="20"/>
        </w:rPr>
        <w:t xml:space="preserve">, </w:t>
      </w:r>
      <w:r w:rsidR="008A2E6C">
        <w:rPr>
          <w:color w:val="FF0000"/>
          <w:sz w:val="20"/>
          <w:szCs w:val="20"/>
        </w:rPr>
        <w:t>contended that “</w:t>
      </w:r>
      <w:r w:rsidR="0002763F">
        <w:rPr>
          <w:color w:val="FF0000"/>
          <w:sz w:val="20"/>
          <w:szCs w:val="20"/>
        </w:rPr>
        <w:t>[</w:t>
      </w:r>
      <w:proofErr w:type="spellStart"/>
      <w:r w:rsidR="0002763F">
        <w:rPr>
          <w:color w:val="FF0000"/>
          <w:sz w:val="20"/>
          <w:szCs w:val="20"/>
        </w:rPr>
        <w:t>i</w:t>
      </w:r>
      <w:proofErr w:type="spellEnd"/>
      <w:r w:rsidR="0002763F">
        <w:rPr>
          <w:color w:val="FF0000"/>
          <w:sz w:val="20"/>
          <w:szCs w:val="20"/>
        </w:rPr>
        <w:t>]</w:t>
      </w:r>
      <w:r w:rsidRPr="001A1EC6">
        <w:rPr>
          <w:color w:val="FF0000"/>
          <w:sz w:val="20"/>
          <w:szCs w:val="20"/>
        </w:rPr>
        <w:t>t is important to understand that this judgme</w:t>
      </w:r>
      <w:r w:rsidR="0002763F">
        <w:rPr>
          <w:color w:val="FF0000"/>
          <w:sz w:val="20"/>
          <w:szCs w:val="20"/>
        </w:rPr>
        <w:t>nt does not rely on Article 7(</w:t>
      </w:r>
      <w:r w:rsidRPr="001A1EC6">
        <w:rPr>
          <w:color w:val="FF0000"/>
          <w:sz w:val="20"/>
          <w:szCs w:val="20"/>
        </w:rPr>
        <w:t>2</w:t>
      </w:r>
      <w:r w:rsidR="0002763F">
        <w:rPr>
          <w:color w:val="FF0000"/>
          <w:sz w:val="20"/>
          <w:szCs w:val="20"/>
        </w:rPr>
        <w:t>)</w:t>
      </w:r>
      <w:r w:rsidRPr="001A1EC6">
        <w:rPr>
          <w:color w:val="FF0000"/>
          <w:sz w:val="20"/>
          <w:szCs w:val="20"/>
        </w:rPr>
        <w:t xml:space="preserve"> or on the concept of an “intern</w:t>
      </w:r>
      <w:r w:rsidR="0002763F">
        <w:rPr>
          <w:color w:val="FF0000"/>
          <w:sz w:val="20"/>
          <w:szCs w:val="20"/>
        </w:rPr>
        <w:t>ational offence” in Article 7(</w:t>
      </w:r>
      <w:r w:rsidRPr="001A1EC6">
        <w:rPr>
          <w:color w:val="FF0000"/>
          <w:sz w:val="20"/>
          <w:szCs w:val="20"/>
        </w:rPr>
        <w:t>1</w:t>
      </w:r>
      <w:r w:rsidR="0002763F">
        <w:rPr>
          <w:color w:val="FF0000"/>
          <w:sz w:val="20"/>
          <w:szCs w:val="20"/>
        </w:rPr>
        <w:t>)</w:t>
      </w:r>
      <w:r w:rsidR="008A2E6C">
        <w:rPr>
          <w:color w:val="FF0000"/>
          <w:sz w:val="20"/>
          <w:szCs w:val="20"/>
        </w:rPr>
        <w:t>”</w:t>
      </w:r>
      <w:r w:rsidRPr="001A1EC6">
        <w:rPr>
          <w:color w:val="FF0000"/>
          <w:sz w:val="20"/>
          <w:szCs w:val="20"/>
        </w:rPr>
        <w:t>.</w:t>
      </w:r>
      <w:r w:rsidR="0002763F">
        <w:rPr>
          <w:rStyle w:val="FootnoteReference"/>
          <w:color w:val="FF0000"/>
          <w:sz w:val="20"/>
          <w:szCs w:val="20"/>
        </w:rPr>
        <w:footnoteReference w:id="72"/>
      </w:r>
      <w:r w:rsidR="00102A24">
        <w:rPr>
          <w:color w:val="FF0000"/>
          <w:sz w:val="20"/>
          <w:szCs w:val="20"/>
        </w:rPr>
        <w:t xml:space="preserve"> </w:t>
      </w:r>
      <w:r w:rsidR="00302043">
        <w:rPr>
          <w:color w:val="FF0000"/>
          <w:sz w:val="20"/>
          <w:szCs w:val="20"/>
        </w:rPr>
        <w:t xml:space="preserve">For </w:t>
      </w:r>
      <w:r w:rsidRPr="001A1EC6">
        <w:rPr>
          <w:color w:val="FF0000"/>
          <w:sz w:val="20"/>
          <w:szCs w:val="20"/>
        </w:rPr>
        <w:t xml:space="preserve">Justice </w:t>
      </w:r>
      <w:proofErr w:type="spellStart"/>
      <w:r w:rsidRPr="001A1EC6">
        <w:rPr>
          <w:color w:val="FF0000"/>
          <w:sz w:val="20"/>
          <w:szCs w:val="20"/>
        </w:rPr>
        <w:t>Levits</w:t>
      </w:r>
      <w:proofErr w:type="spellEnd"/>
      <w:r w:rsidR="0002763F">
        <w:rPr>
          <w:color w:val="FF0000"/>
          <w:sz w:val="20"/>
          <w:szCs w:val="20"/>
        </w:rPr>
        <w:t xml:space="preserve"> no other solution</w:t>
      </w:r>
      <w:r w:rsidR="00302043">
        <w:rPr>
          <w:color w:val="FF0000"/>
          <w:sz w:val="20"/>
          <w:szCs w:val="20"/>
        </w:rPr>
        <w:t xml:space="preserve">, than the decision that was rendered by the </w:t>
      </w:r>
      <w:proofErr w:type="spellStart"/>
      <w:r w:rsidR="00302043">
        <w:rPr>
          <w:color w:val="FF0000"/>
          <w:sz w:val="20"/>
          <w:szCs w:val="20"/>
        </w:rPr>
        <w:t>ECtHR</w:t>
      </w:r>
      <w:proofErr w:type="spellEnd"/>
      <w:r w:rsidR="00302043">
        <w:rPr>
          <w:color w:val="FF0000"/>
          <w:sz w:val="20"/>
          <w:szCs w:val="20"/>
        </w:rPr>
        <w:t>,</w:t>
      </w:r>
      <w:r w:rsidR="0002763F">
        <w:rPr>
          <w:color w:val="FF0000"/>
          <w:sz w:val="20"/>
          <w:szCs w:val="20"/>
        </w:rPr>
        <w:t xml:space="preserve"> was possible. </w:t>
      </w:r>
      <w:r w:rsidR="00302043">
        <w:rPr>
          <w:color w:val="FF0000"/>
          <w:sz w:val="20"/>
          <w:szCs w:val="20"/>
        </w:rPr>
        <w:t>The justice cautioned, however, that the application of</w:t>
      </w:r>
      <w:r w:rsidR="0002763F">
        <w:rPr>
          <w:color w:val="FF0000"/>
          <w:sz w:val="20"/>
          <w:szCs w:val="20"/>
        </w:rPr>
        <w:t xml:space="preserve"> the law must be done in a manner </w:t>
      </w:r>
      <w:r w:rsidR="00302043">
        <w:rPr>
          <w:color w:val="FF0000"/>
          <w:sz w:val="20"/>
          <w:szCs w:val="20"/>
        </w:rPr>
        <w:t>that</w:t>
      </w:r>
      <w:r w:rsidR="0002763F">
        <w:rPr>
          <w:color w:val="FF0000"/>
          <w:sz w:val="20"/>
          <w:szCs w:val="20"/>
        </w:rPr>
        <w:t xml:space="preserve"> does not damage the core of the democratic state</w:t>
      </w:r>
      <w:r w:rsidRPr="001A1EC6">
        <w:rPr>
          <w:color w:val="FF0000"/>
          <w:sz w:val="20"/>
          <w:szCs w:val="20"/>
        </w:rPr>
        <w:t>.</w:t>
      </w:r>
      <w:r w:rsidRPr="001A1EC6">
        <w:rPr>
          <w:rStyle w:val="FootnoteReference"/>
          <w:color w:val="FF0000"/>
          <w:sz w:val="20"/>
          <w:szCs w:val="20"/>
        </w:rPr>
        <w:footnoteReference w:id="73"/>
      </w:r>
      <w:r w:rsidR="0002763F">
        <w:rPr>
          <w:color w:val="FF0000"/>
          <w:sz w:val="20"/>
          <w:szCs w:val="20"/>
        </w:rPr>
        <w:t xml:space="preserve"> </w:t>
      </w:r>
      <w:r w:rsidR="00E07CC2">
        <w:rPr>
          <w:color w:val="FF0000"/>
          <w:sz w:val="20"/>
          <w:szCs w:val="20"/>
        </w:rPr>
        <w:t>The</w:t>
      </w:r>
      <w:r w:rsidRPr="001A1EC6">
        <w:rPr>
          <w:color w:val="FF0000"/>
          <w:sz w:val="20"/>
          <w:szCs w:val="20"/>
        </w:rPr>
        <w:t xml:space="preserve"> concurring opinions pointed to the peculiar nature of the East German regime that </w:t>
      </w:r>
      <w:r w:rsidR="002D61DB">
        <w:rPr>
          <w:color w:val="FF0000"/>
          <w:sz w:val="20"/>
          <w:szCs w:val="20"/>
        </w:rPr>
        <w:t>would serve as a basis</w:t>
      </w:r>
      <w:r w:rsidR="00E07CC2">
        <w:rPr>
          <w:color w:val="FF0000"/>
          <w:sz w:val="20"/>
          <w:szCs w:val="20"/>
        </w:rPr>
        <w:t xml:space="preserve"> to hold certain Communist </w:t>
      </w:r>
      <w:r w:rsidRPr="001A1EC6">
        <w:rPr>
          <w:color w:val="FF0000"/>
          <w:sz w:val="20"/>
          <w:szCs w:val="20"/>
        </w:rPr>
        <w:t>Party officials</w:t>
      </w:r>
      <w:r w:rsidR="002D61DB">
        <w:rPr>
          <w:color w:val="FF0000"/>
          <w:sz w:val="20"/>
          <w:szCs w:val="20"/>
        </w:rPr>
        <w:t xml:space="preserve"> accountable</w:t>
      </w:r>
      <w:r w:rsidR="00E07CC2">
        <w:rPr>
          <w:color w:val="FF0000"/>
          <w:sz w:val="20"/>
          <w:szCs w:val="20"/>
        </w:rPr>
        <w:t xml:space="preserve">, </w:t>
      </w:r>
      <w:r w:rsidR="002D61DB">
        <w:rPr>
          <w:color w:val="FF0000"/>
          <w:sz w:val="20"/>
          <w:szCs w:val="20"/>
        </w:rPr>
        <w:t xml:space="preserve">i.e. as </w:t>
      </w:r>
      <w:r w:rsidR="00E07CC2">
        <w:rPr>
          <w:color w:val="FF0000"/>
          <w:sz w:val="20"/>
          <w:szCs w:val="20"/>
        </w:rPr>
        <w:t xml:space="preserve">the architects of the security </w:t>
      </w:r>
      <w:r w:rsidR="008A1EDE">
        <w:rPr>
          <w:color w:val="FF0000"/>
          <w:sz w:val="20"/>
          <w:szCs w:val="20"/>
        </w:rPr>
        <w:t>apparatus framework of</w:t>
      </w:r>
      <w:r w:rsidR="00E07CC2">
        <w:rPr>
          <w:color w:val="FF0000"/>
          <w:sz w:val="20"/>
          <w:szCs w:val="20"/>
        </w:rPr>
        <w:t xml:space="preserve"> the Berlin Wall that led to so many deaths</w:t>
      </w:r>
      <w:r w:rsidRPr="001A1EC6">
        <w:rPr>
          <w:color w:val="FF0000"/>
          <w:sz w:val="20"/>
          <w:szCs w:val="20"/>
        </w:rPr>
        <w:t>. Some of these issues, however, resulted in a different position</w:t>
      </w:r>
      <w:r w:rsidR="0002763F">
        <w:rPr>
          <w:color w:val="FF0000"/>
          <w:sz w:val="20"/>
          <w:szCs w:val="20"/>
        </w:rPr>
        <w:t xml:space="preserve"> on the part of several of the same justices</w:t>
      </w:r>
      <w:r w:rsidRPr="001A1EC6">
        <w:rPr>
          <w:color w:val="FF0000"/>
          <w:sz w:val="20"/>
          <w:szCs w:val="20"/>
        </w:rPr>
        <w:t xml:space="preserve"> who wrote partly dissenting opinions on the </w:t>
      </w:r>
      <w:r w:rsidRPr="001A1EC6">
        <w:rPr>
          <w:i/>
          <w:color w:val="FF0000"/>
          <w:sz w:val="20"/>
          <w:szCs w:val="20"/>
        </w:rPr>
        <w:t>K.-H.W</w:t>
      </w:r>
      <w:r w:rsidRPr="001A1EC6">
        <w:rPr>
          <w:color w:val="FF0000"/>
          <w:sz w:val="20"/>
          <w:szCs w:val="20"/>
        </w:rPr>
        <w:t xml:space="preserve">. case. </w:t>
      </w:r>
      <w:r w:rsidR="00E07CC2">
        <w:rPr>
          <w:color w:val="FF0000"/>
          <w:sz w:val="20"/>
          <w:szCs w:val="20"/>
        </w:rPr>
        <w:t xml:space="preserve">For example, </w:t>
      </w:r>
      <w:r w:rsidRPr="001A1EC6">
        <w:rPr>
          <w:color w:val="FF0000"/>
          <w:sz w:val="20"/>
          <w:szCs w:val="20"/>
        </w:rPr>
        <w:t xml:space="preserve">Justice </w:t>
      </w:r>
      <w:proofErr w:type="spellStart"/>
      <w:r w:rsidRPr="001A1EC6">
        <w:rPr>
          <w:color w:val="FF0000"/>
          <w:sz w:val="20"/>
          <w:szCs w:val="20"/>
        </w:rPr>
        <w:t>Loucaides</w:t>
      </w:r>
      <w:proofErr w:type="spellEnd"/>
      <w:r w:rsidRPr="001A1EC6">
        <w:rPr>
          <w:color w:val="FF0000"/>
          <w:sz w:val="20"/>
          <w:szCs w:val="20"/>
        </w:rPr>
        <w:t xml:space="preserve">, in his concurring opinion, held that the case did not warrant a different approach from the </w:t>
      </w:r>
      <w:proofErr w:type="spellStart"/>
      <w:r w:rsidR="00E07CC2">
        <w:rPr>
          <w:color w:val="FF0000"/>
          <w:sz w:val="20"/>
          <w:szCs w:val="20"/>
        </w:rPr>
        <w:t>ECtHR</w:t>
      </w:r>
      <w:r w:rsidRPr="001A1EC6">
        <w:rPr>
          <w:color w:val="FF0000"/>
          <w:sz w:val="20"/>
          <w:szCs w:val="20"/>
        </w:rPr>
        <w:t>’s</w:t>
      </w:r>
      <w:proofErr w:type="spellEnd"/>
      <w:r w:rsidRPr="001A1EC6">
        <w:rPr>
          <w:color w:val="FF0000"/>
          <w:sz w:val="20"/>
          <w:szCs w:val="20"/>
        </w:rPr>
        <w:t xml:space="preserve"> position in </w:t>
      </w:r>
      <w:proofErr w:type="spellStart"/>
      <w:r w:rsidRPr="001A1EC6">
        <w:rPr>
          <w:i/>
          <w:color w:val="FF0000"/>
          <w:sz w:val="20"/>
          <w:szCs w:val="20"/>
        </w:rPr>
        <w:t>Streletz</w:t>
      </w:r>
      <w:proofErr w:type="spellEnd"/>
      <w:r w:rsidRPr="001A1EC6">
        <w:rPr>
          <w:color w:val="FF0000"/>
          <w:sz w:val="20"/>
          <w:szCs w:val="20"/>
        </w:rPr>
        <w:t xml:space="preserve">. Moreover, Justice </w:t>
      </w:r>
      <w:proofErr w:type="spellStart"/>
      <w:r w:rsidRPr="001A1EC6">
        <w:rPr>
          <w:color w:val="FF0000"/>
          <w:sz w:val="20"/>
          <w:szCs w:val="20"/>
        </w:rPr>
        <w:t>Loucaides</w:t>
      </w:r>
      <w:proofErr w:type="spellEnd"/>
      <w:r w:rsidRPr="001A1EC6">
        <w:rPr>
          <w:color w:val="FF0000"/>
          <w:sz w:val="20"/>
          <w:szCs w:val="20"/>
        </w:rPr>
        <w:t xml:space="preserve"> referred to </w:t>
      </w:r>
      <w:r w:rsidR="00E07CC2">
        <w:rPr>
          <w:color w:val="FF0000"/>
          <w:sz w:val="20"/>
          <w:szCs w:val="20"/>
        </w:rPr>
        <w:t xml:space="preserve">the case of the </w:t>
      </w:r>
      <w:r w:rsidRPr="001A1EC6">
        <w:rPr>
          <w:color w:val="FF0000"/>
          <w:sz w:val="20"/>
          <w:szCs w:val="20"/>
        </w:rPr>
        <w:t>I</w:t>
      </w:r>
      <w:r w:rsidR="00E07CC2">
        <w:rPr>
          <w:color w:val="FF0000"/>
          <w:sz w:val="20"/>
          <w:szCs w:val="20"/>
        </w:rPr>
        <w:t xml:space="preserve">nternational </w:t>
      </w:r>
      <w:r w:rsidRPr="001A1EC6">
        <w:rPr>
          <w:color w:val="FF0000"/>
          <w:sz w:val="20"/>
          <w:szCs w:val="20"/>
        </w:rPr>
        <w:t>C</w:t>
      </w:r>
      <w:r w:rsidR="00D503CE">
        <w:rPr>
          <w:color w:val="FF0000"/>
          <w:sz w:val="20"/>
          <w:szCs w:val="20"/>
        </w:rPr>
        <w:t>ri</w:t>
      </w:r>
      <w:r w:rsidR="00E07CC2">
        <w:rPr>
          <w:color w:val="FF0000"/>
          <w:sz w:val="20"/>
          <w:szCs w:val="20"/>
        </w:rPr>
        <w:t xml:space="preserve">minal </w:t>
      </w:r>
      <w:r w:rsidRPr="001A1EC6">
        <w:rPr>
          <w:color w:val="FF0000"/>
          <w:sz w:val="20"/>
          <w:szCs w:val="20"/>
        </w:rPr>
        <w:t>T</w:t>
      </w:r>
      <w:r w:rsidR="00E07CC2">
        <w:rPr>
          <w:color w:val="FF0000"/>
          <w:sz w:val="20"/>
          <w:szCs w:val="20"/>
        </w:rPr>
        <w:t xml:space="preserve">ribunal of the former </w:t>
      </w:r>
      <w:r w:rsidRPr="001A1EC6">
        <w:rPr>
          <w:color w:val="FF0000"/>
          <w:sz w:val="20"/>
          <w:szCs w:val="20"/>
        </w:rPr>
        <w:t>Y</w:t>
      </w:r>
      <w:r w:rsidR="00E07CC2">
        <w:rPr>
          <w:color w:val="FF0000"/>
          <w:sz w:val="20"/>
          <w:szCs w:val="20"/>
        </w:rPr>
        <w:t>ugoslavia</w:t>
      </w:r>
      <w:r w:rsidRPr="001A1EC6">
        <w:rPr>
          <w:color w:val="FF0000"/>
          <w:sz w:val="20"/>
          <w:szCs w:val="20"/>
        </w:rPr>
        <w:t>, namely to justify the way in which a single attack can qualify as a crime against humanity.</w:t>
      </w:r>
      <w:r w:rsidR="00E07CC2">
        <w:rPr>
          <w:rStyle w:val="FootnoteReference"/>
          <w:color w:val="FF0000"/>
          <w:sz w:val="20"/>
          <w:szCs w:val="20"/>
        </w:rPr>
        <w:footnoteReference w:id="74"/>
      </w:r>
      <w:r w:rsidRPr="001A1EC6">
        <w:rPr>
          <w:color w:val="FF0000"/>
          <w:sz w:val="20"/>
          <w:szCs w:val="20"/>
        </w:rPr>
        <w:t xml:space="preserve"> He used this to show how this view was already expressed in customary international law in the late 1960s and early 1970s, which culminated in the adoption of </w:t>
      </w:r>
      <w:r w:rsidR="00102A24">
        <w:rPr>
          <w:color w:val="FF0000"/>
          <w:sz w:val="20"/>
          <w:szCs w:val="20"/>
        </w:rPr>
        <w:t xml:space="preserve">key international legal instruments, such as </w:t>
      </w:r>
      <w:r w:rsidRPr="001A1EC6">
        <w:rPr>
          <w:color w:val="FF0000"/>
          <w:sz w:val="20"/>
          <w:szCs w:val="20"/>
        </w:rPr>
        <w:t>UN Resolut</w:t>
      </w:r>
      <w:r w:rsidR="00E07CC2">
        <w:rPr>
          <w:color w:val="FF0000"/>
          <w:sz w:val="20"/>
          <w:szCs w:val="20"/>
        </w:rPr>
        <w:t>ion 3074 (XXVIII)</w:t>
      </w:r>
      <w:r w:rsidR="00102A24">
        <w:rPr>
          <w:color w:val="FF0000"/>
          <w:sz w:val="20"/>
          <w:szCs w:val="20"/>
        </w:rPr>
        <w:t xml:space="preserve">, which concerned the </w:t>
      </w:r>
      <w:r w:rsidR="002114BE">
        <w:rPr>
          <w:color w:val="FF0000"/>
          <w:sz w:val="20"/>
          <w:szCs w:val="20"/>
        </w:rPr>
        <w:t xml:space="preserve">state’s obligation to conduct a </w:t>
      </w:r>
      <w:r w:rsidR="00102A24">
        <w:rPr>
          <w:color w:val="FF0000"/>
          <w:sz w:val="20"/>
          <w:szCs w:val="20"/>
        </w:rPr>
        <w:t xml:space="preserve">thorough investigation of war crimes and crimes </w:t>
      </w:r>
      <w:r w:rsidR="002114BE">
        <w:rPr>
          <w:color w:val="FF0000"/>
          <w:sz w:val="20"/>
          <w:szCs w:val="20"/>
        </w:rPr>
        <w:t>against humanity as a key compon</w:t>
      </w:r>
      <w:r w:rsidR="00102A24">
        <w:rPr>
          <w:color w:val="FF0000"/>
          <w:sz w:val="20"/>
          <w:szCs w:val="20"/>
        </w:rPr>
        <w:t>ent of the protection of human rights</w:t>
      </w:r>
      <w:r w:rsidR="00E07CC2">
        <w:rPr>
          <w:color w:val="FF0000"/>
          <w:sz w:val="20"/>
          <w:szCs w:val="20"/>
        </w:rPr>
        <w:t xml:space="preserve">. </w:t>
      </w:r>
      <w:r w:rsidR="00102A24">
        <w:rPr>
          <w:color w:val="FF0000"/>
          <w:sz w:val="20"/>
          <w:szCs w:val="20"/>
        </w:rPr>
        <w:t xml:space="preserve">The position would later result in the creation of </w:t>
      </w:r>
      <w:r w:rsidR="002114BE">
        <w:rPr>
          <w:color w:val="FF0000"/>
          <w:sz w:val="20"/>
          <w:szCs w:val="20"/>
        </w:rPr>
        <w:t>other resolution-based initiatives motivated by the international community’s commitment to bring perpetrators of war crimes and crimes against humanity to justice.</w:t>
      </w:r>
      <w:r w:rsidR="002114BE">
        <w:rPr>
          <w:rStyle w:val="FootnoteReference"/>
          <w:color w:val="FF0000"/>
          <w:sz w:val="20"/>
          <w:szCs w:val="20"/>
        </w:rPr>
        <w:footnoteReference w:id="75"/>
      </w:r>
    </w:p>
    <w:p w14:paraId="112DD4D3" w14:textId="6663E24E" w:rsidR="00973795" w:rsidRPr="001A1EC6" w:rsidRDefault="00973795" w:rsidP="002114BE">
      <w:pPr>
        <w:spacing w:line="360" w:lineRule="auto"/>
        <w:ind w:firstLine="284"/>
        <w:rPr>
          <w:color w:val="FF0000"/>
          <w:sz w:val="20"/>
          <w:szCs w:val="20"/>
        </w:rPr>
      </w:pPr>
      <w:r w:rsidRPr="001A1EC6">
        <w:rPr>
          <w:color w:val="FF0000"/>
          <w:sz w:val="20"/>
          <w:szCs w:val="20"/>
        </w:rPr>
        <w:lastRenderedPageBreak/>
        <w:t xml:space="preserve">In </w:t>
      </w:r>
      <w:r w:rsidRPr="001A1EC6">
        <w:rPr>
          <w:i/>
          <w:color w:val="FF0000"/>
          <w:sz w:val="20"/>
          <w:szCs w:val="20"/>
        </w:rPr>
        <w:t>K-H.W.</w:t>
      </w:r>
      <w:r w:rsidRPr="001A1EC6">
        <w:rPr>
          <w:color w:val="FF0000"/>
          <w:sz w:val="20"/>
          <w:szCs w:val="20"/>
        </w:rPr>
        <w:t xml:space="preserve"> </w:t>
      </w:r>
      <w:r w:rsidR="00DD6A22">
        <w:rPr>
          <w:color w:val="FF0000"/>
          <w:sz w:val="20"/>
          <w:szCs w:val="20"/>
        </w:rPr>
        <w:t>t</w:t>
      </w:r>
      <w:r w:rsidRPr="001A1EC6">
        <w:rPr>
          <w:color w:val="FF0000"/>
          <w:sz w:val="20"/>
          <w:szCs w:val="20"/>
        </w:rPr>
        <w:t xml:space="preserve">here were two dissenting opinions. It is worth considering these positions, in particular in light of Judge </w:t>
      </w:r>
      <w:proofErr w:type="spellStart"/>
      <w:r w:rsidRPr="001A1EC6">
        <w:rPr>
          <w:color w:val="FF0000"/>
          <w:sz w:val="20"/>
          <w:szCs w:val="20"/>
        </w:rPr>
        <w:t>Bratza</w:t>
      </w:r>
      <w:r w:rsidR="002114BE">
        <w:rPr>
          <w:color w:val="FF0000"/>
          <w:sz w:val="20"/>
          <w:szCs w:val="20"/>
        </w:rPr>
        <w:t>’s</w:t>
      </w:r>
      <w:proofErr w:type="spellEnd"/>
      <w:r w:rsidR="002114BE">
        <w:rPr>
          <w:color w:val="FF0000"/>
          <w:sz w:val="20"/>
          <w:szCs w:val="20"/>
        </w:rPr>
        <w:t xml:space="preserve"> uncertainty about foreseeability</w:t>
      </w:r>
      <w:r w:rsidRPr="001A1EC6">
        <w:rPr>
          <w:color w:val="FF0000"/>
          <w:sz w:val="20"/>
          <w:szCs w:val="20"/>
        </w:rPr>
        <w:t xml:space="preserve">, referred to above. </w:t>
      </w:r>
      <w:r w:rsidR="00DD6A22">
        <w:rPr>
          <w:color w:val="FF0000"/>
          <w:sz w:val="20"/>
          <w:szCs w:val="20"/>
        </w:rPr>
        <w:t xml:space="preserve">Justice </w:t>
      </w:r>
      <w:proofErr w:type="spellStart"/>
      <w:r w:rsidR="00DD6A22">
        <w:rPr>
          <w:color w:val="FF0000"/>
          <w:sz w:val="20"/>
          <w:szCs w:val="20"/>
        </w:rPr>
        <w:t>Barreto</w:t>
      </w:r>
      <w:proofErr w:type="spellEnd"/>
      <w:r w:rsidR="00DD6A22">
        <w:rPr>
          <w:color w:val="FF0000"/>
          <w:sz w:val="20"/>
          <w:szCs w:val="20"/>
        </w:rPr>
        <w:t xml:space="preserve"> </w:t>
      </w:r>
      <w:r w:rsidR="002114BE">
        <w:rPr>
          <w:color w:val="FF0000"/>
          <w:sz w:val="20"/>
          <w:szCs w:val="20"/>
        </w:rPr>
        <w:t xml:space="preserve">also </w:t>
      </w:r>
      <w:r w:rsidRPr="001A1EC6">
        <w:rPr>
          <w:color w:val="FF0000"/>
          <w:sz w:val="20"/>
          <w:szCs w:val="20"/>
        </w:rPr>
        <w:t>expressed doubt</w:t>
      </w:r>
      <w:r w:rsidR="002114BE">
        <w:rPr>
          <w:color w:val="FF0000"/>
          <w:sz w:val="20"/>
          <w:szCs w:val="20"/>
        </w:rPr>
        <w:t xml:space="preserve">. He questioned whether the </w:t>
      </w:r>
      <w:r w:rsidRPr="001A1EC6">
        <w:rPr>
          <w:color w:val="FF0000"/>
          <w:sz w:val="20"/>
          <w:szCs w:val="20"/>
        </w:rPr>
        <w:t>criteria of foreseeability under Article 7(1) was satisfied, arguing</w:t>
      </w:r>
    </w:p>
    <w:p w14:paraId="264A4C77" w14:textId="1D0667F7" w:rsidR="00973795" w:rsidRPr="001A1EC6" w:rsidRDefault="00ED5C26" w:rsidP="00ED5C26">
      <w:pPr>
        <w:pStyle w:val="OpiPara"/>
        <w:spacing w:line="360" w:lineRule="auto"/>
        <w:ind w:left="720" w:firstLine="0"/>
        <w:rPr>
          <w:color w:val="FF0000"/>
          <w:sz w:val="20"/>
          <w:szCs w:val="20"/>
        </w:rPr>
      </w:pPr>
      <w:r>
        <w:rPr>
          <w:color w:val="FF0000"/>
          <w:sz w:val="20"/>
          <w:szCs w:val="20"/>
        </w:rPr>
        <w:t>i</w:t>
      </w:r>
      <w:r w:rsidR="00973795" w:rsidRPr="001A1EC6">
        <w:rPr>
          <w:color w:val="FF0000"/>
          <w:sz w:val="20"/>
          <w:szCs w:val="20"/>
        </w:rPr>
        <w:t>n my opinion, to take the view that the applicant, who was at the time a young soldier of 20, should have foreseen that his conduct could be held to constitute intentional homicide in the</w:t>
      </w:r>
      <w:r w:rsidR="00D503CE">
        <w:rPr>
          <w:color w:val="FF0000"/>
          <w:sz w:val="20"/>
          <w:szCs w:val="20"/>
        </w:rPr>
        <w:t xml:space="preserve"> </w:t>
      </w:r>
      <w:r w:rsidR="00973795" w:rsidRPr="001A1EC6">
        <w:rPr>
          <w:color w:val="FF0000"/>
          <w:sz w:val="20"/>
          <w:szCs w:val="20"/>
        </w:rPr>
        <w:t>circumstances of the present case is to go beyond the conditions which, according to settled case-law, govern the interpretation of Article 7 of the Convention; the foreseeability required of the law in issue must be assessed by the yardstick of a normal person at the same time and in the same place as the applicant.</w:t>
      </w:r>
    </w:p>
    <w:p w14:paraId="0B643259" w14:textId="1E19FF2F" w:rsidR="00DD6A22" w:rsidRPr="001A1EC6" w:rsidRDefault="00DD6A22" w:rsidP="00DD6A22">
      <w:pPr>
        <w:pStyle w:val="OpiPara"/>
        <w:spacing w:line="360" w:lineRule="auto"/>
        <w:ind w:left="284" w:firstLine="436"/>
        <w:rPr>
          <w:color w:val="FF0000"/>
          <w:sz w:val="20"/>
          <w:szCs w:val="20"/>
        </w:rPr>
      </w:pPr>
    </w:p>
    <w:p w14:paraId="613F6009" w14:textId="19CF3B16" w:rsidR="00973795" w:rsidRDefault="00ED5C26" w:rsidP="00973795">
      <w:pPr>
        <w:spacing w:line="360" w:lineRule="auto"/>
        <w:rPr>
          <w:color w:val="FF0000"/>
          <w:sz w:val="20"/>
          <w:szCs w:val="20"/>
        </w:rPr>
      </w:pPr>
      <w:r>
        <w:rPr>
          <w:color w:val="FF0000"/>
          <w:sz w:val="20"/>
          <w:szCs w:val="20"/>
        </w:rPr>
        <w:t xml:space="preserve">Justice </w:t>
      </w:r>
      <w:proofErr w:type="spellStart"/>
      <w:r w:rsidR="00973795" w:rsidRPr="001A1EC6">
        <w:rPr>
          <w:color w:val="FF0000"/>
          <w:sz w:val="20"/>
          <w:szCs w:val="20"/>
        </w:rPr>
        <w:t>Barreto</w:t>
      </w:r>
      <w:proofErr w:type="spellEnd"/>
      <w:r w:rsidR="00973795" w:rsidRPr="001A1EC6">
        <w:rPr>
          <w:color w:val="FF0000"/>
          <w:sz w:val="20"/>
          <w:szCs w:val="20"/>
        </w:rPr>
        <w:t xml:space="preserve"> could accept that the applicant firmly believed that his actions were justified. </w:t>
      </w:r>
      <w:r w:rsidR="00DD6A22">
        <w:rPr>
          <w:color w:val="FF0000"/>
          <w:sz w:val="20"/>
          <w:szCs w:val="20"/>
        </w:rPr>
        <w:t xml:space="preserve"> He</w:t>
      </w:r>
      <w:r w:rsidR="00973795" w:rsidRPr="001A1EC6">
        <w:rPr>
          <w:color w:val="FF0000"/>
          <w:sz w:val="20"/>
          <w:szCs w:val="20"/>
        </w:rPr>
        <w:t xml:space="preserve"> also considered one of the more contentious views adopted by the German courts, namely that the actions constituted a humans rights violation. He reflects</w:t>
      </w:r>
      <w:r w:rsidR="00E07CC2">
        <w:rPr>
          <w:color w:val="FF0000"/>
          <w:sz w:val="20"/>
          <w:szCs w:val="20"/>
        </w:rPr>
        <w:t xml:space="preserve"> that </w:t>
      </w:r>
    </w:p>
    <w:p w14:paraId="3329A12A" w14:textId="77777777" w:rsidR="00D503CE" w:rsidRPr="001A1EC6" w:rsidRDefault="00D503CE" w:rsidP="00973795">
      <w:pPr>
        <w:spacing w:line="360" w:lineRule="auto"/>
        <w:rPr>
          <w:color w:val="FF0000"/>
          <w:sz w:val="20"/>
          <w:szCs w:val="20"/>
        </w:rPr>
      </w:pPr>
    </w:p>
    <w:p w14:paraId="651FFB42" w14:textId="0E2D8E52" w:rsidR="00973795" w:rsidRPr="001A1EC6" w:rsidRDefault="00973795" w:rsidP="00ED5C26">
      <w:pPr>
        <w:pStyle w:val="OpiPara"/>
        <w:spacing w:line="360" w:lineRule="auto"/>
        <w:ind w:left="720" w:firstLine="0"/>
        <w:rPr>
          <w:color w:val="FF0000"/>
          <w:sz w:val="20"/>
          <w:szCs w:val="20"/>
        </w:rPr>
      </w:pPr>
      <w:r w:rsidRPr="001A1EC6">
        <w:rPr>
          <w:color w:val="FF0000"/>
          <w:sz w:val="20"/>
          <w:szCs w:val="20"/>
        </w:rPr>
        <w:t>it should not be forgotten that what is important is the question whether, at the time when it was committed, the offence was, according to the GDR’s Criminal Code, a crime against “human rights”</w:t>
      </w:r>
      <w:r w:rsidR="00DD6A22">
        <w:rPr>
          <w:color w:val="FF0000"/>
          <w:sz w:val="20"/>
          <w:szCs w:val="20"/>
        </w:rPr>
        <w:t>…</w:t>
      </w:r>
      <w:r w:rsidRPr="001A1EC6">
        <w:rPr>
          <w:color w:val="FF0000"/>
          <w:sz w:val="20"/>
          <w:szCs w:val="20"/>
        </w:rPr>
        <w:t xml:space="preserve">In that connection, although the gradual </w:t>
      </w:r>
      <w:proofErr w:type="spellStart"/>
      <w:r w:rsidRPr="001A1EC6">
        <w:rPr>
          <w:color w:val="FF0000"/>
          <w:sz w:val="20"/>
          <w:szCs w:val="20"/>
        </w:rPr>
        <w:t>develoment</w:t>
      </w:r>
      <w:proofErr w:type="spellEnd"/>
      <w:r w:rsidRPr="001A1EC6">
        <w:rPr>
          <w:color w:val="FF0000"/>
          <w:sz w:val="20"/>
          <w:szCs w:val="20"/>
        </w:rPr>
        <w:t xml:space="preserve"> of the concept of “crimes against human rights” since 1972 cannot be denied, even in a country like the GDR, I still find it inconceivable that a plausible interpretation of that concept as it stood at the time of the offence could include the applicant’s action.</w:t>
      </w:r>
      <w:r w:rsidR="00DD6A22">
        <w:rPr>
          <w:color w:val="FF0000"/>
          <w:sz w:val="20"/>
          <w:szCs w:val="20"/>
        </w:rPr>
        <w:t xml:space="preserve"> </w:t>
      </w:r>
      <w:r w:rsidRPr="001A1EC6">
        <w:rPr>
          <w:color w:val="FF0000"/>
          <w:sz w:val="20"/>
          <w:szCs w:val="20"/>
        </w:rPr>
        <w:t>I also find it difficult to accept that the interpretation of the concept had developed sufficiently for it to be possible to conclude, notably with the assistance of judicial interpretation, that at least by the month of February 1987, when the limitation period expired, the applicant’s action constituted a “crime against human rights”.</w:t>
      </w:r>
      <w:r w:rsidR="00DD6A22">
        <w:rPr>
          <w:color w:val="FF0000"/>
          <w:sz w:val="20"/>
          <w:szCs w:val="20"/>
        </w:rPr>
        <w:t xml:space="preserve"> </w:t>
      </w:r>
      <w:r w:rsidRPr="001A1EC6">
        <w:rPr>
          <w:color w:val="FF0000"/>
          <w:sz w:val="20"/>
          <w:szCs w:val="20"/>
        </w:rPr>
        <w:t>According to the dominant ideology at the time in the GDR, and to the world view and outlook on life which prevailed there, the applicant’s action, though regrettable, as I must reiterate, was regarded not as a crime but as a praiseworthy deed.</w:t>
      </w:r>
      <w:r w:rsidRPr="001A1EC6">
        <w:rPr>
          <w:rStyle w:val="FootnoteReference"/>
          <w:color w:val="FF0000"/>
          <w:sz w:val="20"/>
          <w:szCs w:val="20"/>
        </w:rPr>
        <w:footnoteReference w:id="76"/>
      </w:r>
    </w:p>
    <w:p w14:paraId="16F6F19D" w14:textId="77777777" w:rsidR="00973795" w:rsidRPr="001A1EC6" w:rsidRDefault="00973795" w:rsidP="00973795">
      <w:pPr>
        <w:spacing w:line="360" w:lineRule="auto"/>
        <w:rPr>
          <w:color w:val="FF0000"/>
          <w:sz w:val="20"/>
          <w:szCs w:val="20"/>
        </w:rPr>
      </w:pPr>
    </w:p>
    <w:p w14:paraId="1A9FD753" w14:textId="1F222811" w:rsidR="00973795" w:rsidRPr="001A1EC6" w:rsidRDefault="00973795" w:rsidP="00973795">
      <w:pPr>
        <w:spacing w:line="360" w:lineRule="auto"/>
        <w:rPr>
          <w:color w:val="FF0000"/>
          <w:sz w:val="20"/>
          <w:szCs w:val="20"/>
        </w:rPr>
      </w:pPr>
      <w:r w:rsidRPr="001A1EC6">
        <w:rPr>
          <w:color w:val="FF0000"/>
          <w:sz w:val="20"/>
          <w:szCs w:val="20"/>
        </w:rPr>
        <w:t xml:space="preserve">After going on to critique the manner in which the period statutes of limitations </w:t>
      </w:r>
      <w:r w:rsidR="00DD6A22">
        <w:rPr>
          <w:color w:val="FF0000"/>
          <w:sz w:val="20"/>
          <w:szCs w:val="20"/>
        </w:rPr>
        <w:t xml:space="preserve">was </w:t>
      </w:r>
      <w:r w:rsidRPr="001A1EC6">
        <w:rPr>
          <w:color w:val="FF0000"/>
          <w:sz w:val="20"/>
          <w:szCs w:val="20"/>
        </w:rPr>
        <w:t>extended, which, in his view, violates Articl</w:t>
      </w:r>
      <w:r w:rsidR="008A2E6C">
        <w:rPr>
          <w:color w:val="FF0000"/>
          <w:sz w:val="20"/>
          <w:szCs w:val="20"/>
        </w:rPr>
        <w:t xml:space="preserve">e 7, Justice </w:t>
      </w:r>
      <w:proofErr w:type="spellStart"/>
      <w:r w:rsidR="008A2E6C">
        <w:rPr>
          <w:color w:val="FF0000"/>
          <w:sz w:val="20"/>
          <w:szCs w:val="20"/>
        </w:rPr>
        <w:t>Barreto</w:t>
      </w:r>
      <w:proofErr w:type="spellEnd"/>
      <w:r w:rsidR="008A2E6C">
        <w:rPr>
          <w:color w:val="FF0000"/>
          <w:sz w:val="20"/>
          <w:szCs w:val="20"/>
        </w:rPr>
        <w:t xml:space="preserve"> concludes “</w:t>
      </w:r>
      <w:r w:rsidRPr="001A1EC6">
        <w:rPr>
          <w:color w:val="FF0000"/>
          <w:sz w:val="20"/>
          <w:szCs w:val="20"/>
        </w:rPr>
        <w:t>the applicant, who was then a young man without maturity or independence, and who had been indoctrinated in accordance with the dominant ideology, wa</w:t>
      </w:r>
      <w:r w:rsidR="007317AA">
        <w:rPr>
          <w:color w:val="FF0000"/>
          <w:sz w:val="20"/>
          <w:szCs w:val="20"/>
        </w:rPr>
        <w:t>s rather the victim of a regime</w:t>
      </w:r>
      <w:r w:rsidR="008A2E6C">
        <w:rPr>
          <w:color w:val="FF0000"/>
          <w:sz w:val="20"/>
          <w:szCs w:val="20"/>
        </w:rPr>
        <w:t>”</w:t>
      </w:r>
      <w:r w:rsidR="007317AA">
        <w:rPr>
          <w:color w:val="FF0000"/>
          <w:sz w:val="20"/>
          <w:szCs w:val="20"/>
        </w:rPr>
        <w:t>.</w:t>
      </w:r>
      <w:r w:rsidRPr="001A1EC6">
        <w:rPr>
          <w:rStyle w:val="FootnoteReference"/>
          <w:color w:val="FF0000"/>
          <w:sz w:val="20"/>
          <w:szCs w:val="20"/>
        </w:rPr>
        <w:footnoteReference w:id="77"/>
      </w:r>
    </w:p>
    <w:p w14:paraId="011442FA" w14:textId="2141D8E3" w:rsidR="00973795" w:rsidRDefault="00973795" w:rsidP="00973795">
      <w:pPr>
        <w:spacing w:line="360" w:lineRule="auto"/>
        <w:ind w:firstLine="720"/>
        <w:rPr>
          <w:color w:val="FF0000"/>
          <w:sz w:val="20"/>
          <w:szCs w:val="20"/>
        </w:rPr>
      </w:pPr>
      <w:r w:rsidRPr="001A1EC6">
        <w:rPr>
          <w:color w:val="FF0000"/>
          <w:sz w:val="20"/>
          <w:szCs w:val="20"/>
        </w:rPr>
        <w:t xml:space="preserve">A partly dissenting opinion was also issued by Justice </w:t>
      </w:r>
      <w:proofErr w:type="spellStart"/>
      <w:r w:rsidRPr="001A1EC6">
        <w:rPr>
          <w:color w:val="FF0000"/>
          <w:sz w:val="20"/>
          <w:szCs w:val="20"/>
        </w:rPr>
        <w:t>Pellonpää</w:t>
      </w:r>
      <w:proofErr w:type="spellEnd"/>
      <w:r w:rsidRPr="001A1EC6">
        <w:rPr>
          <w:color w:val="FF0000"/>
          <w:sz w:val="20"/>
          <w:szCs w:val="20"/>
        </w:rPr>
        <w:t xml:space="preserve">, who was joined by Justice </w:t>
      </w:r>
      <w:proofErr w:type="spellStart"/>
      <w:r w:rsidRPr="001A1EC6">
        <w:rPr>
          <w:color w:val="FF0000"/>
          <w:sz w:val="20"/>
          <w:szCs w:val="20"/>
        </w:rPr>
        <w:t>Zupančič</w:t>
      </w:r>
      <w:proofErr w:type="spellEnd"/>
      <w:r w:rsidRPr="001A1EC6">
        <w:rPr>
          <w:color w:val="FF0000"/>
          <w:sz w:val="20"/>
          <w:szCs w:val="20"/>
        </w:rPr>
        <w:t xml:space="preserve">. Both compared the </w:t>
      </w:r>
      <w:r w:rsidRPr="001A1EC6">
        <w:rPr>
          <w:i/>
          <w:color w:val="FF0000"/>
          <w:sz w:val="20"/>
          <w:szCs w:val="20"/>
        </w:rPr>
        <w:t>K.-H.-W</w:t>
      </w:r>
      <w:r w:rsidRPr="001A1EC6">
        <w:rPr>
          <w:color w:val="FF0000"/>
          <w:sz w:val="20"/>
          <w:szCs w:val="20"/>
        </w:rPr>
        <w:t xml:space="preserve">. </w:t>
      </w:r>
      <w:proofErr w:type="gramStart"/>
      <w:r w:rsidRPr="001A1EC6">
        <w:rPr>
          <w:color w:val="FF0000"/>
          <w:sz w:val="20"/>
          <w:szCs w:val="20"/>
        </w:rPr>
        <w:t>case</w:t>
      </w:r>
      <w:proofErr w:type="gramEnd"/>
      <w:r w:rsidRPr="001A1EC6">
        <w:rPr>
          <w:color w:val="FF0000"/>
          <w:sz w:val="20"/>
          <w:szCs w:val="20"/>
        </w:rPr>
        <w:t xml:space="preserve"> to </w:t>
      </w:r>
      <w:proofErr w:type="spellStart"/>
      <w:r w:rsidRPr="001A1EC6">
        <w:rPr>
          <w:i/>
          <w:color w:val="FF0000"/>
          <w:sz w:val="20"/>
          <w:szCs w:val="20"/>
        </w:rPr>
        <w:t>Streletz</w:t>
      </w:r>
      <w:proofErr w:type="spellEnd"/>
      <w:r w:rsidRPr="001A1EC6">
        <w:rPr>
          <w:color w:val="FF0000"/>
          <w:sz w:val="20"/>
          <w:szCs w:val="20"/>
        </w:rPr>
        <w:t xml:space="preserve"> and found differences along the lines of tho</w:t>
      </w:r>
      <w:r w:rsidR="00DD6A22">
        <w:rPr>
          <w:color w:val="FF0000"/>
          <w:sz w:val="20"/>
          <w:szCs w:val="20"/>
        </w:rPr>
        <w:t>se responsible for the system (</w:t>
      </w:r>
      <w:r w:rsidR="00ED5C26">
        <w:rPr>
          <w:color w:val="FF0000"/>
          <w:sz w:val="20"/>
          <w:szCs w:val="20"/>
        </w:rPr>
        <w:t xml:space="preserve">Communist </w:t>
      </w:r>
      <w:r w:rsidR="00DD6A22">
        <w:rPr>
          <w:color w:val="FF0000"/>
          <w:sz w:val="20"/>
          <w:szCs w:val="20"/>
        </w:rPr>
        <w:t>P</w:t>
      </w:r>
      <w:r w:rsidRPr="001A1EC6">
        <w:rPr>
          <w:color w:val="FF0000"/>
          <w:sz w:val="20"/>
          <w:szCs w:val="20"/>
        </w:rPr>
        <w:t xml:space="preserve">arty officials) and the victims (border guards). They too found that the criteria </w:t>
      </w:r>
      <w:r w:rsidR="00DD6408">
        <w:rPr>
          <w:color w:val="FF0000"/>
          <w:sz w:val="20"/>
          <w:szCs w:val="20"/>
        </w:rPr>
        <w:t xml:space="preserve">of </w:t>
      </w:r>
      <w:r w:rsidRPr="001A1EC6">
        <w:rPr>
          <w:color w:val="FF0000"/>
          <w:sz w:val="20"/>
          <w:szCs w:val="20"/>
        </w:rPr>
        <w:t>foreseeability could not have been f</w:t>
      </w:r>
      <w:r w:rsidR="00C67D21">
        <w:rPr>
          <w:color w:val="FF0000"/>
          <w:sz w:val="20"/>
          <w:szCs w:val="20"/>
        </w:rPr>
        <w:t>ulfilled, “</w:t>
      </w:r>
      <w:r w:rsidRPr="001A1EC6">
        <w:rPr>
          <w:color w:val="FF0000"/>
          <w:sz w:val="20"/>
          <w:szCs w:val="20"/>
        </w:rPr>
        <w:t xml:space="preserve">unlike the applicants in </w:t>
      </w:r>
      <w:proofErr w:type="spellStart"/>
      <w:r w:rsidRPr="001A1EC6">
        <w:rPr>
          <w:i/>
          <w:color w:val="FF0000"/>
          <w:sz w:val="20"/>
          <w:szCs w:val="20"/>
        </w:rPr>
        <w:t>Streletz</w:t>
      </w:r>
      <w:proofErr w:type="spellEnd"/>
      <w:r w:rsidRPr="001A1EC6">
        <w:rPr>
          <w:i/>
          <w:color w:val="FF0000"/>
          <w:sz w:val="20"/>
          <w:szCs w:val="20"/>
        </w:rPr>
        <w:t xml:space="preserve">, Kessler and </w:t>
      </w:r>
      <w:proofErr w:type="spellStart"/>
      <w:r w:rsidRPr="001A1EC6">
        <w:rPr>
          <w:i/>
          <w:color w:val="FF0000"/>
          <w:sz w:val="20"/>
          <w:szCs w:val="20"/>
        </w:rPr>
        <w:t>Krenz</w:t>
      </w:r>
      <w:proofErr w:type="spellEnd"/>
      <w:r w:rsidRPr="001A1EC6">
        <w:rPr>
          <w:color w:val="FF0000"/>
          <w:sz w:val="20"/>
          <w:szCs w:val="20"/>
        </w:rPr>
        <w:t xml:space="preserve">, the present applicant cannot be held responsible for the “contradiction between the principles laid down in the GDR’s Constitution and its legislation ... and the repressive practice” (see </w:t>
      </w:r>
      <w:r w:rsidR="007317AA">
        <w:rPr>
          <w:color w:val="FF0000"/>
          <w:sz w:val="20"/>
          <w:szCs w:val="20"/>
        </w:rPr>
        <w:lastRenderedPageBreak/>
        <w:t>paragraph 63 of the judgment)</w:t>
      </w:r>
      <w:r w:rsidR="00C67D21">
        <w:rPr>
          <w:color w:val="FF0000"/>
          <w:sz w:val="20"/>
          <w:szCs w:val="20"/>
        </w:rPr>
        <w:t>”</w:t>
      </w:r>
      <w:r w:rsidR="007317AA">
        <w:rPr>
          <w:color w:val="FF0000"/>
          <w:sz w:val="20"/>
          <w:szCs w:val="20"/>
        </w:rPr>
        <w:t>.</w:t>
      </w:r>
      <w:r w:rsidRPr="001A1EC6">
        <w:rPr>
          <w:rStyle w:val="FootnoteReference"/>
          <w:color w:val="FF0000"/>
          <w:sz w:val="20"/>
          <w:szCs w:val="20"/>
        </w:rPr>
        <w:footnoteReference w:id="78"/>
      </w:r>
      <w:r w:rsidRPr="001A1EC6">
        <w:rPr>
          <w:color w:val="FF0000"/>
          <w:sz w:val="20"/>
          <w:szCs w:val="20"/>
        </w:rPr>
        <w:t xml:space="preserve"> Furthermore, the justices were not convinced by arguments of individual criminal responsibility owing to the uniqueness of the East German system. Also, they found inconsistencies in German court practice.</w:t>
      </w:r>
    </w:p>
    <w:p w14:paraId="5F189821" w14:textId="77777777" w:rsidR="00D503CE" w:rsidRPr="001A1EC6" w:rsidRDefault="00D503CE" w:rsidP="00973795">
      <w:pPr>
        <w:spacing w:line="360" w:lineRule="auto"/>
        <w:ind w:firstLine="720"/>
        <w:rPr>
          <w:color w:val="FF0000"/>
          <w:sz w:val="20"/>
          <w:szCs w:val="20"/>
        </w:rPr>
      </w:pPr>
    </w:p>
    <w:p w14:paraId="015A30AA" w14:textId="57057DCF" w:rsidR="00973795" w:rsidRPr="001A1EC6" w:rsidRDefault="00973795" w:rsidP="00ED5C26">
      <w:pPr>
        <w:pStyle w:val="OpiPara"/>
        <w:spacing w:line="360" w:lineRule="auto"/>
        <w:ind w:left="720" w:firstLine="0"/>
        <w:rPr>
          <w:color w:val="FF0000"/>
          <w:sz w:val="20"/>
          <w:szCs w:val="20"/>
        </w:rPr>
      </w:pPr>
      <w:r w:rsidRPr="001A1EC6">
        <w:rPr>
          <w:color w:val="FF0000"/>
          <w:sz w:val="20"/>
          <w:szCs w:val="20"/>
        </w:rPr>
        <w:t>I am no more persuaded that the applicant’s individual criminal responsibility under international law could be based on other sources, such as comparative considerations. Although the GDR border-control system was in many respects unique, the use of deadly force has been tolerated – to varying degrees – i</w:t>
      </w:r>
      <w:r w:rsidR="00ED5C26">
        <w:rPr>
          <w:color w:val="FF0000"/>
          <w:sz w:val="20"/>
          <w:szCs w:val="20"/>
        </w:rPr>
        <w:t xml:space="preserve">n democratic societies as well […] </w:t>
      </w:r>
      <w:r w:rsidRPr="001A1EC6">
        <w:rPr>
          <w:color w:val="FF0000"/>
          <w:sz w:val="20"/>
          <w:szCs w:val="20"/>
        </w:rPr>
        <w:t>Nor do I find convincing arguments for the conclusion (see paragraph 105) that the right to life as guaranteed in general human-rights instruments created, as of 1972, individual criminal responsibility for the kind of act committed by the applicant.</w:t>
      </w:r>
      <w:r w:rsidRPr="001A1EC6">
        <w:rPr>
          <w:rStyle w:val="FootnoteReference"/>
          <w:color w:val="FF0000"/>
          <w:sz w:val="20"/>
          <w:szCs w:val="20"/>
        </w:rPr>
        <w:footnoteReference w:id="79"/>
      </w:r>
    </w:p>
    <w:p w14:paraId="7C0993F1" w14:textId="77777777" w:rsidR="00973795" w:rsidRPr="001A1EC6" w:rsidRDefault="00973795" w:rsidP="00E07CC2">
      <w:pPr>
        <w:pStyle w:val="Body"/>
        <w:spacing w:line="360" w:lineRule="auto"/>
        <w:jc w:val="both"/>
        <w:rPr>
          <w:color w:val="FF0000"/>
          <w:sz w:val="22"/>
          <w:szCs w:val="22"/>
          <w:lang w:val="en-GB"/>
        </w:rPr>
      </w:pPr>
    </w:p>
    <w:p w14:paraId="4F2881F8" w14:textId="77777777" w:rsidR="00562A40" w:rsidRPr="00DD6A22" w:rsidRDefault="009372B7" w:rsidP="00562A40">
      <w:pPr>
        <w:pStyle w:val="Body"/>
        <w:spacing w:line="360" w:lineRule="auto"/>
        <w:ind w:firstLine="720"/>
        <w:jc w:val="both"/>
        <w:rPr>
          <w:color w:val="FF0000"/>
          <w:sz w:val="20"/>
          <w:lang w:val="en-GB"/>
        </w:rPr>
      </w:pPr>
      <w:r w:rsidRPr="009372B7">
        <w:rPr>
          <w:sz w:val="20"/>
          <w:lang w:val="en-GB"/>
        </w:rPr>
        <w:t xml:space="preserve">The two cases play an important role in the transitional justice narrative, shown in their complexity because of the number of agents involved, including the guards, victims and victims’ families, and national governments (then and present). </w:t>
      </w:r>
      <w:proofErr w:type="spellStart"/>
      <w:r w:rsidR="00562A40" w:rsidRPr="00DD6A22">
        <w:rPr>
          <w:color w:val="FF0000"/>
          <w:sz w:val="20"/>
          <w:lang w:val="en-GB"/>
        </w:rPr>
        <w:t>Radbruch</w:t>
      </w:r>
      <w:proofErr w:type="spellEnd"/>
      <w:r w:rsidR="00562A40" w:rsidRPr="00DD6A22">
        <w:rPr>
          <w:color w:val="FF0000"/>
          <w:sz w:val="20"/>
          <w:lang w:val="en-GB"/>
        </w:rPr>
        <w:t xml:space="preserve"> himself recognised the dilemma that a soldier faces, but his view is uncompromising. </w:t>
      </w:r>
    </w:p>
    <w:p w14:paraId="600EDEAF" w14:textId="77777777" w:rsidR="00562A40" w:rsidRPr="009372B7" w:rsidRDefault="00562A40" w:rsidP="00562A40">
      <w:pPr>
        <w:pStyle w:val="Body"/>
        <w:spacing w:line="360" w:lineRule="auto"/>
        <w:ind w:left="720"/>
        <w:jc w:val="both"/>
        <w:rPr>
          <w:sz w:val="20"/>
          <w:lang w:val="en-GB"/>
        </w:rPr>
      </w:pPr>
      <w:r>
        <w:rPr>
          <w:color w:val="auto"/>
          <w:sz w:val="20"/>
          <w:lang w:val="en-GB"/>
        </w:rPr>
        <w:t>‘A</w:t>
      </w:r>
      <w:r w:rsidRPr="001A1EC6">
        <w:rPr>
          <w:color w:val="auto"/>
          <w:sz w:val="20"/>
          <w:lang w:val="en-GB"/>
        </w:rPr>
        <w:t xml:space="preserve">n order is an order’, the soldier is told. ‘A </w:t>
      </w:r>
      <w:r w:rsidRPr="009372B7">
        <w:rPr>
          <w:sz w:val="20"/>
          <w:lang w:val="en-GB"/>
        </w:rPr>
        <w:t>law is a law’, says the jurist. The soldier, however, required neither by duty nor by law to obey an order whose object he knows to be a felony or misdemeanour, while the jurist – since the last of the natural lawyers died out a hundred years ago – recognizes no such exceptions to the validity of the law or to the requirement of obedience by those subject to it.</w:t>
      </w:r>
      <w:r w:rsidRPr="009372B7">
        <w:rPr>
          <w:rStyle w:val="FootnoteReference"/>
          <w:sz w:val="20"/>
          <w:lang w:val="en-GB"/>
        </w:rPr>
        <w:footnoteReference w:id="80"/>
      </w:r>
    </w:p>
    <w:p w14:paraId="13433875" w14:textId="502370B9" w:rsidR="009372B7" w:rsidRDefault="00ED5C26" w:rsidP="009372B7">
      <w:pPr>
        <w:pStyle w:val="Body"/>
        <w:spacing w:line="360" w:lineRule="auto"/>
        <w:jc w:val="both"/>
        <w:rPr>
          <w:sz w:val="20"/>
          <w:lang w:val="en-GB"/>
        </w:rPr>
      </w:pPr>
      <w:r w:rsidRPr="00ED5C26">
        <w:rPr>
          <w:color w:val="FF0000"/>
          <w:sz w:val="20"/>
          <w:lang w:val="en-GB"/>
        </w:rPr>
        <w:t>The cases also reveal the relevance of the period of statute of limitations in the German narrative; whether the actions were illegal at the time of commission continues to be a contentious issue.</w:t>
      </w:r>
      <w:r>
        <w:rPr>
          <w:sz w:val="20"/>
          <w:lang w:val="en-GB"/>
        </w:rPr>
        <w:t xml:space="preserve"> </w:t>
      </w:r>
      <w:r w:rsidR="009372B7" w:rsidRPr="009372B7">
        <w:rPr>
          <w:sz w:val="20"/>
          <w:lang w:val="en-GB"/>
        </w:rPr>
        <w:t xml:space="preserve">The cases are used in current discourses in Poland and other European states. But the European Court ruling does not do justice to the specific legal narratives that can be identified </w:t>
      </w:r>
      <w:r w:rsidR="00562A40">
        <w:rPr>
          <w:sz w:val="20"/>
          <w:lang w:val="en-GB"/>
        </w:rPr>
        <w:t>in the German courts’ reasoning</w:t>
      </w:r>
      <w:r w:rsidR="009372B7" w:rsidRPr="009372B7">
        <w:rPr>
          <w:sz w:val="20"/>
          <w:lang w:val="en-GB"/>
        </w:rPr>
        <w:t>.</w:t>
      </w:r>
    </w:p>
    <w:p w14:paraId="14D99A5A" w14:textId="3F80DDC0" w:rsidR="009372B7" w:rsidRPr="009372B7" w:rsidRDefault="009372B7" w:rsidP="009372B7">
      <w:pPr>
        <w:pStyle w:val="Body"/>
        <w:spacing w:line="360" w:lineRule="auto"/>
        <w:jc w:val="both"/>
        <w:rPr>
          <w:sz w:val="20"/>
          <w:lang w:val="en-GB"/>
        </w:rPr>
      </w:pPr>
      <w:r w:rsidRPr="009372B7">
        <w:rPr>
          <w:sz w:val="20"/>
          <w:lang w:val="en-GB"/>
        </w:rPr>
        <w:tab/>
        <w:t xml:space="preserve">In this further development of this question in the post-1989 period, one already identifies in the </w:t>
      </w:r>
      <w:proofErr w:type="spellStart"/>
      <w:r w:rsidRPr="008B11BD">
        <w:rPr>
          <w:i/>
          <w:sz w:val="20"/>
          <w:lang w:val="en-GB"/>
        </w:rPr>
        <w:t>Streletz</w:t>
      </w:r>
      <w:proofErr w:type="spellEnd"/>
      <w:r w:rsidRPr="009372B7">
        <w:rPr>
          <w:sz w:val="20"/>
          <w:lang w:val="en-GB"/>
        </w:rPr>
        <w:t xml:space="preserve"> judgment the balancing exercise that is undertaken by the Court with respect to Article 7. It is clear that the Court is in favour of such prosecutions with the view of meeting the objectives of an ‘effective political democracy’.</w:t>
      </w:r>
      <w:r w:rsidRPr="009372B7">
        <w:rPr>
          <w:sz w:val="20"/>
          <w:vertAlign w:val="superscript"/>
          <w:lang w:val="en-GB"/>
        </w:rPr>
        <w:footnoteReference w:id="81"/>
      </w:r>
      <w:r w:rsidRPr="009372B7">
        <w:rPr>
          <w:sz w:val="20"/>
          <w:lang w:val="en-GB"/>
        </w:rPr>
        <w:t xml:space="preserve"> An additional point in favour of prosecutions is related to the right to life of the victims of the shootings. It is also worth noting the decision of </w:t>
      </w:r>
      <w:proofErr w:type="spellStart"/>
      <w:r w:rsidRPr="008B11BD">
        <w:rPr>
          <w:i/>
          <w:sz w:val="20"/>
          <w:lang w:val="en-GB"/>
        </w:rPr>
        <w:t>Kononov</w:t>
      </w:r>
      <w:proofErr w:type="spellEnd"/>
      <w:r w:rsidRPr="009372B7">
        <w:rPr>
          <w:sz w:val="20"/>
          <w:lang w:val="en-GB"/>
        </w:rPr>
        <w:t xml:space="preserve"> to show the significance for certain states and regions, such as the Baltic States.</w:t>
      </w:r>
      <w:r w:rsidRPr="009372B7">
        <w:rPr>
          <w:sz w:val="20"/>
          <w:vertAlign w:val="superscript"/>
          <w:lang w:val="en-GB"/>
        </w:rPr>
        <w:footnoteReference w:id="82"/>
      </w:r>
      <w:r w:rsidRPr="009372B7">
        <w:rPr>
          <w:sz w:val="20"/>
          <w:lang w:val="en-GB"/>
        </w:rPr>
        <w:t xml:space="preserve"> In May 1944, </w:t>
      </w:r>
      <w:proofErr w:type="spellStart"/>
      <w:r w:rsidRPr="009372B7">
        <w:rPr>
          <w:sz w:val="20"/>
          <w:lang w:val="en-GB"/>
        </w:rPr>
        <w:t>Kononov</w:t>
      </w:r>
      <w:proofErr w:type="spellEnd"/>
      <w:r w:rsidRPr="009372B7">
        <w:rPr>
          <w:sz w:val="20"/>
          <w:lang w:val="en-GB"/>
        </w:rPr>
        <w:t>, together with a part</w:t>
      </w:r>
      <w:r w:rsidR="00562A40">
        <w:rPr>
          <w:sz w:val="20"/>
          <w:lang w:val="en-GB"/>
        </w:rPr>
        <w:t>isan group, attacked a village o</w:t>
      </w:r>
      <w:r w:rsidRPr="009372B7">
        <w:rPr>
          <w:sz w:val="20"/>
          <w:lang w:val="en-GB"/>
        </w:rPr>
        <w:t xml:space="preserve">n the grounds that the inhabitants were suspected of </w:t>
      </w:r>
      <w:r w:rsidRPr="009372B7">
        <w:rPr>
          <w:sz w:val="20"/>
          <w:lang w:val="en-GB"/>
        </w:rPr>
        <w:lastRenderedPageBreak/>
        <w:t xml:space="preserve">collaborating with the Nazis. The details of the attack are violent, and several villagers were killed. </w:t>
      </w:r>
      <w:proofErr w:type="spellStart"/>
      <w:r w:rsidRPr="009372B7">
        <w:rPr>
          <w:sz w:val="20"/>
          <w:lang w:val="en-GB"/>
        </w:rPr>
        <w:t>Kononov</w:t>
      </w:r>
      <w:proofErr w:type="spellEnd"/>
      <w:r w:rsidRPr="009372B7">
        <w:rPr>
          <w:sz w:val="20"/>
          <w:lang w:val="en-GB"/>
        </w:rPr>
        <w:t xml:space="preserve"> was viewed as a war hero in Soviet Latvia and it was a shock to him and others when he was prosecuted for war crimes in the 1990s. A highly politicised case in Latvia and Russia by the time it reached the Grand Chamber of the Court, the decision showed that the key source of tension for the principle of retrospective justice rests with foreseeability and knowledge. In this case the Court had to decide whether, at the time of the offence, international law provided a legal basis to convict </w:t>
      </w:r>
      <w:proofErr w:type="spellStart"/>
      <w:r w:rsidRPr="009372B7">
        <w:rPr>
          <w:sz w:val="20"/>
          <w:lang w:val="en-GB"/>
        </w:rPr>
        <w:t>Kononov</w:t>
      </w:r>
      <w:proofErr w:type="spellEnd"/>
      <w:r w:rsidRPr="009372B7">
        <w:rPr>
          <w:sz w:val="20"/>
          <w:lang w:val="en-GB"/>
        </w:rPr>
        <w:t xml:space="preserve"> for war crimes and whether he could have foreseen that his actions would make him guilty of those offences.</w:t>
      </w:r>
      <w:r w:rsidR="00217D46">
        <w:rPr>
          <w:rStyle w:val="FootnoteReference"/>
          <w:sz w:val="20"/>
          <w:lang w:val="en-GB"/>
        </w:rPr>
        <w:footnoteReference w:id="83"/>
      </w:r>
      <w:r w:rsidRPr="009372B7">
        <w:rPr>
          <w:sz w:val="20"/>
          <w:lang w:val="en-GB"/>
        </w:rPr>
        <w:t xml:space="preserve"> The Court also had to consider how statutory limitations should be treated under Article 7. The Court held that Article 7 does not catch the gradual clarification of the criminal law through judicial interpretation, as long as it is consistent with the essence of the office and is reasonably foreseeable. As the applicant was a commanding military officer, it should have been foreseeable that his actions would constitute war crimes for which he could be criminally prosecuted. The majority was not concerned that the relevant international laws, on which the national law was based, were not published in the Soviet Union, including Latvia, which was a part of the USSR as Latvia SSR, at the time. Because international law does not prescribe a time limit to war crimes the conviction was effected by a statute of limitations. </w:t>
      </w:r>
      <w:proofErr w:type="spellStart"/>
      <w:r w:rsidRPr="009372B7">
        <w:rPr>
          <w:sz w:val="20"/>
          <w:lang w:val="en-GB"/>
        </w:rPr>
        <w:t>Buyse</w:t>
      </w:r>
      <w:proofErr w:type="spellEnd"/>
      <w:r w:rsidRPr="009372B7">
        <w:rPr>
          <w:sz w:val="20"/>
          <w:lang w:val="en-GB"/>
        </w:rPr>
        <w:t xml:space="preserve"> notes that </w:t>
      </w:r>
    </w:p>
    <w:p w14:paraId="7B032ADC" w14:textId="77777777" w:rsidR="009372B7" w:rsidRPr="009372B7" w:rsidRDefault="009372B7" w:rsidP="007317AA">
      <w:pPr>
        <w:spacing w:line="360" w:lineRule="auto"/>
        <w:ind w:left="720"/>
        <w:jc w:val="both"/>
        <w:outlineLvl w:val="0"/>
        <w:rPr>
          <w:rFonts w:eastAsia="ヒラギノ角ゴ Pro W3"/>
          <w:color w:val="000000"/>
          <w:sz w:val="20"/>
          <w:szCs w:val="20"/>
          <w:u w:color="000000"/>
        </w:rPr>
      </w:pPr>
      <w:proofErr w:type="gramStart"/>
      <w:r w:rsidRPr="009372B7">
        <w:rPr>
          <w:rFonts w:eastAsia="ヒラギノ角ゴ Pro W3"/>
          <w:color w:val="000000"/>
          <w:sz w:val="20"/>
          <w:szCs w:val="20"/>
          <w:u w:color="000000"/>
        </w:rPr>
        <w:t>each</w:t>
      </w:r>
      <w:proofErr w:type="gramEnd"/>
      <w:r w:rsidRPr="009372B7">
        <w:rPr>
          <w:rFonts w:eastAsia="ヒラギノ角ゴ Pro W3"/>
          <w:color w:val="000000"/>
          <w:sz w:val="20"/>
          <w:szCs w:val="20"/>
          <w:u w:color="000000"/>
        </w:rPr>
        <w:t xml:space="preserve"> transition from a repressive regime to more democratic forms of government has led to new perspectives in a country’s history. The power struggle between the new and old powers produces different narratives of the oppressor and the oppressed, about the significance of key events and persons and more broadly about right and wrong.</w:t>
      </w:r>
      <w:r w:rsidRPr="009372B7">
        <w:rPr>
          <w:rFonts w:eastAsia="ヒラギノ角ゴ Pro W3"/>
          <w:color w:val="000000"/>
          <w:sz w:val="20"/>
          <w:szCs w:val="20"/>
          <w:u w:color="000000"/>
          <w:vertAlign w:val="superscript"/>
        </w:rPr>
        <w:footnoteReference w:id="84"/>
      </w:r>
    </w:p>
    <w:p w14:paraId="439034A8" w14:textId="77777777" w:rsidR="009372B7" w:rsidRPr="009372B7" w:rsidRDefault="009372B7" w:rsidP="009372B7">
      <w:pPr>
        <w:pStyle w:val="Body"/>
        <w:spacing w:line="360" w:lineRule="auto"/>
        <w:jc w:val="both"/>
        <w:rPr>
          <w:sz w:val="20"/>
          <w:lang w:val="en-GB"/>
        </w:rPr>
      </w:pPr>
      <w:r w:rsidRPr="009372B7">
        <w:rPr>
          <w:sz w:val="20"/>
          <w:lang w:val="en-GB"/>
        </w:rPr>
        <w:tab/>
        <w:t xml:space="preserve"> </w:t>
      </w:r>
    </w:p>
    <w:p w14:paraId="0E40D8E4" w14:textId="4CDCBA25" w:rsidR="009372B7" w:rsidRPr="009372B7" w:rsidRDefault="009372B7" w:rsidP="009372B7">
      <w:pPr>
        <w:pStyle w:val="Body"/>
        <w:spacing w:line="360" w:lineRule="auto"/>
        <w:jc w:val="both"/>
        <w:rPr>
          <w:sz w:val="20"/>
          <w:lang w:val="en-GB"/>
        </w:rPr>
      </w:pPr>
      <w:r w:rsidRPr="009372B7">
        <w:rPr>
          <w:sz w:val="20"/>
          <w:lang w:val="en-GB"/>
        </w:rPr>
        <w:t>Sometimes, it appears as if a court oversteps its boundary, which, in the eyes of some, becomes the ‘dispenser of transitional justice’</w:t>
      </w:r>
      <w:r w:rsidR="007317AA">
        <w:rPr>
          <w:sz w:val="20"/>
          <w:lang w:val="en-GB"/>
        </w:rPr>
        <w:t>.</w:t>
      </w:r>
      <w:r w:rsidRPr="009372B7">
        <w:rPr>
          <w:sz w:val="20"/>
          <w:vertAlign w:val="superscript"/>
          <w:lang w:val="en-GB"/>
        </w:rPr>
        <w:footnoteReference w:id="85"/>
      </w:r>
      <w:r w:rsidRPr="009372B7">
        <w:rPr>
          <w:sz w:val="20"/>
          <w:lang w:val="en-GB"/>
        </w:rPr>
        <w:t xml:space="preserve">  </w:t>
      </w:r>
    </w:p>
    <w:p w14:paraId="68CD5DB8" w14:textId="295D8398" w:rsidR="009372B7" w:rsidRPr="009372B7" w:rsidRDefault="009372B7" w:rsidP="009372B7">
      <w:pPr>
        <w:pStyle w:val="Body"/>
        <w:spacing w:line="360" w:lineRule="auto"/>
        <w:jc w:val="both"/>
        <w:rPr>
          <w:sz w:val="20"/>
          <w:lang w:val="en-GB"/>
        </w:rPr>
      </w:pPr>
      <w:r w:rsidRPr="009372B7">
        <w:rPr>
          <w:sz w:val="20"/>
          <w:lang w:val="en-GB"/>
        </w:rPr>
        <w:tab/>
        <w:t>The next section discusses Polish developments, and shows well the complexities of the problem at hand. Not only are cases such as the Border Guards distinct to Germany, there are s</w:t>
      </w:r>
      <w:r w:rsidR="00C67D21">
        <w:rPr>
          <w:sz w:val="20"/>
          <w:lang w:val="en-GB"/>
        </w:rPr>
        <w:t>pecific moral and legal dilemma</w:t>
      </w:r>
      <w:r w:rsidRPr="009372B7">
        <w:rPr>
          <w:sz w:val="20"/>
          <w:lang w:val="en-GB"/>
        </w:rPr>
        <w:t>s that arise and that are peculiar to transitional justice narratives found elsewhere. It is clear, however, that it is a specific set of problems that accompanies these narratives.</w:t>
      </w:r>
    </w:p>
    <w:p w14:paraId="29915335" w14:textId="77777777" w:rsidR="00AB1D24" w:rsidRPr="00451146" w:rsidRDefault="00AB1D24" w:rsidP="00685C4E">
      <w:pPr>
        <w:spacing w:line="360" w:lineRule="auto"/>
        <w:jc w:val="both"/>
        <w:outlineLvl w:val="0"/>
        <w:rPr>
          <w:rFonts w:eastAsia="Arial Unicode MS"/>
          <w:color w:val="000000"/>
          <w:sz w:val="20"/>
          <w:szCs w:val="20"/>
          <w:u w:color="000000"/>
        </w:rPr>
      </w:pPr>
    </w:p>
    <w:p w14:paraId="4731D94B" w14:textId="4DC7DF13" w:rsidR="00AB1D24" w:rsidRDefault="00DE00B1" w:rsidP="00685C4E">
      <w:pPr>
        <w:spacing w:line="360" w:lineRule="auto"/>
        <w:jc w:val="both"/>
        <w:outlineLvl w:val="0"/>
        <w:rPr>
          <w:rFonts w:ascii="Arial" w:eastAsia="Arial Unicode MS" w:hAnsi="Arial" w:cs="Arial"/>
          <w:b/>
          <w:color w:val="000000"/>
          <w:sz w:val="22"/>
          <w:szCs w:val="22"/>
          <w:u w:color="000000"/>
        </w:rPr>
      </w:pPr>
      <w:r>
        <w:rPr>
          <w:rFonts w:ascii="Arial" w:eastAsia="Arial Unicode MS" w:hAnsi="Arial" w:cs="Arial"/>
          <w:b/>
          <w:color w:val="000000"/>
          <w:sz w:val="22"/>
          <w:szCs w:val="22"/>
          <w:u w:color="000000"/>
        </w:rPr>
        <w:t>1.</w:t>
      </w:r>
      <w:r w:rsidR="0081708C" w:rsidRPr="00451146">
        <w:rPr>
          <w:rFonts w:ascii="Arial" w:eastAsia="Arial Unicode MS" w:hAnsi="Arial" w:cs="Arial"/>
          <w:b/>
          <w:color w:val="000000"/>
          <w:sz w:val="22"/>
          <w:szCs w:val="22"/>
          <w:u w:color="000000"/>
        </w:rPr>
        <w:t>2 POLISH CASE STUDY</w:t>
      </w:r>
      <w:proofErr w:type="gramStart"/>
      <w:r w:rsidR="00562A40">
        <w:rPr>
          <w:rFonts w:ascii="Arial" w:eastAsia="Arial Unicode MS" w:hAnsi="Arial" w:cs="Arial"/>
          <w:b/>
          <w:color w:val="000000"/>
          <w:sz w:val="22"/>
          <w:szCs w:val="22"/>
          <w:u w:color="000000"/>
        </w:rPr>
        <w:t>:THE</w:t>
      </w:r>
      <w:proofErr w:type="gramEnd"/>
      <w:r w:rsidR="00562A40">
        <w:rPr>
          <w:rFonts w:ascii="Arial" w:eastAsia="Arial Unicode MS" w:hAnsi="Arial" w:cs="Arial"/>
          <w:b/>
          <w:color w:val="000000"/>
          <w:sz w:val="22"/>
          <w:szCs w:val="22"/>
          <w:u w:color="000000"/>
        </w:rPr>
        <w:t xml:space="preserve"> MARTIAL LAW CASE</w:t>
      </w:r>
    </w:p>
    <w:p w14:paraId="6EF249F4" w14:textId="77777777" w:rsidR="00562A40" w:rsidRPr="00451146" w:rsidRDefault="00562A40" w:rsidP="00562A40">
      <w:pPr>
        <w:spacing w:line="360" w:lineRule="auto"/>
        <w:jc w:val="both"/>
        <w:outlineLvl w:val="0"/>
        <w:rPr>
          <w:rFonts w:eastAsia="Arial Unicode MS"/>
          <w:b/>
          <w:i/>
          <w:color w:val="000000"/>
          <w:sz w:val="20"/>
          <w:szCs w:val="20"/>
          <w:u w:color="000000"/>
        </w:rPr>
      </w:pPr>
      <w:r w:rsidRPr="00451146">
        <w:rPr>
          <w:rFonts w:eastAsia="Arial Unicode MS"/>
          <w:i/>
          <w:color w:val="000000"/>
          <w:sz w:val="20"/>
          <w:szCs w:val="20"/>
          <w:u w:color="000000"/>
        </w:rPr>
        <w:t>Politics should conform to the law and not law to politics.</w:t>
      </w:r>
      <w:r w:rsidRPr="00451146">
        <w:rPr>
          <w:rStyle w:val="FootnoteReference"/>
          <w:rFonts w:eastAsia="Arial Unicode MS"/>
          <w:i/>
          <w:color w:val="000000"/>
          <w:sz w:val="20"/>
          <w:szCs w:val="20"/>
          <w:u w:color="000000"/>
        </w:rPr>
        <w:footnoteReference w:id="86"/>
      </w:r>
      <w:r w:rsidRPr="00451146">
        <w:rPr>
          <w:rFonts w:eastAsia="Arial Unicode MS"/>
          <w:i/>
          <w:color w:val="000000"/>
          <w:sz w:val="20"/>
          <w:szCs w:val="20"/>
          <w:u w:color="000000"/>
        </w:rPr>
        <w:t xml:space="preserve"> </w:t>
      </w:r>
    </w:p>
    <w:p w14:paraId="5E69DF32" w14:textId="5C512CA0" w:rsidR="00AB1D24" w:rsidRPr="00451146" w:rsidRDefault="00AB1D24" w:rsidP="00685C4E">
      <w:pPr>
        <w:pStyle w:val="Body1"/>
        <w:spacing w:line="360" w:lineRule="auto"/>
        <w:jc w:val="both"/>
        <w:rPr>
          <w:sz w:val="20"/>
          <w:lang w:val="en-GB"/>
        </w:rPr>
      </w:pPr>
      <w:r w:rsidRPr="00451146">
        <w:rPr>
          <w:sz w:val="20"/>
          <w:lang w:val="en-GB"/>
        </w:rPr>
        <w:t xml:space="preserve">The collapse of Communism in 1989 brought with it a call for the law to work backwards </w:t>
      </w:r>
      <w:r w:rsidR="00A73461" w:rsidRPr="00451146">
        <w:rPr>
          <w:sz w:val="20"/>
          <w:lang w:val="en-GB"/>
        </w:rPr>
        <w:t xml:space="preserve">that </w:t>
      </w:r>
      <w:r w:rsidRPr="00451146">
        <w:rPr>
          <w:sz w:val="20"/>
          <w:lang w:val="en-GB"/>
        </w:rPr>
        <w:t>indicat</w:t>
      </w:r>
      <w:r w:rsidR="00A73461" w:rsidRPr="00451146">
        <w:rPr>
          <w:sz w:val="20"/>
          <w:lang w:val="en-GB"/>
        </w:rPr>
        <w:t>ed</w:t>
      </w:r>
      <w:r w:rsidRPr="00451146">
        <w:rPr>
          <w:sz w:val="20"/>
          <w:lang w:val="en-GB"/>
        </w:rPr>
        <w:t xml:space="preserve"> the desire</w:t>
      </w:r>
      <w:r w:rsidR="0002115E" w:rsidRPr="00451146">
        <w:rPr>
          <w:sz w:val="20"/>
          <w:lang w:val="en-GB"/>
        </w:rPr>
        <w:t xml:space="preserve"> </w:t>
      </w:r>
      <w:r w:rsidR="00A73461" w:rsidRPr="00451146">
        <w:rPr>
          <w:sz w:val="20"/>
          <w:lang w:val="en-GB"/>
        </w:rPr>
        <w:t>of</w:t>
      </w:r>
      <w:r w:rsidRPr="00451146">
        <w:rPr>
          <w:sz w:val="20"/>
          <w:lang w:val="en-GB"/>
        </w:rPr>
        <w:t xml:space="preserve"> some states and their respective populace to address the demand for retributive justice.</w:t>
      </w:r>
      <w:r w:rsidRPr="00451146">
        <w:rPr>
          <w:sz w:val="20"/>
          <w:vertAlign w:val="superscript"/>
          <w:lang w:val="en-GB"/>
        </w:rPr>
        <w:footnoteReference w:id="87"/>
      </w:r>
      <w:r w:rsidRPr="00451146">
        <w:rPr>
          <w:sz w:val="20"/>
          <w:lang w:val="en-GB"/>
        </w:rPr>
        <w:t xml:space="preserve"> One of the hurdles the states faced was the statute of limitations, which meant that the only way to open these cases would be to revoke the periods of limitations themselves</w:t>
      </w:r>
      <w:r w:rsidR="00562A40">
        <w:rPr>
          <w:sz w:val="20"/>
          <w:lang w:val="en-GB"/>
        </w:rPr>
        <w:t xml:space="preserve"> or consider t</w:t>
      </w:r>
      <w:r w:rsidRPr="00451146">
        <w:rPr>
          <w:sz w:val="20"/>
          <w:lang w:val="en-GB"/>
        </w:rPr>
        <w:t xml:space="preserve">hat </w:t>
      </w:r>
      <w:r w:rsidRPr="00451146">
        <w:rPr>
          <w:sz w:val="20"/>
          <w:lang w:val="en-GB"/>
        </w:rPr>
        <w:lastRenderedPageBreak/>
        <w:t xml:space="preserve">certain acts that were officially legal under the Communist regime should be now regarded as illegal </w:t>
      </w:r>
      <w:r w:rsidRPr="00451146">
        <w:rPr>
          <w:i/>
          <w:sz w:val="20"/>
          <w:lang w:val="en-GB"/>
        </w:rPr>
        <w:t>ex post facto</w:t>
      </w:r>
      <w:r w:rsidRPr="00451146">
        <w:rPr>
          <w:sz w:val="20"/>
          <w:lang w:val="en-GB"/>
        </w:rPr>
        <w:t xml:space="preserve">. Poland </w:t>
      </w:r>
      <w:r w:rsidR="00A73461" w:rsidRPr="00451146">
        <w:rPr>
          <w:sz w:val="20"/>
          <w:lang w:val="en-GB"/>
        </w:rPr>
        <w:t>ha</w:t>
      </w:r>
      <w:r w:rsidRPr="00451146">
        <w:rPr>
          <w:sz w:val="20"/>
          <w:lang w:val="en-GB"/>
        </w:rPr>
        <w:t xml:space="preserve">s </w:t>
      </w:r>
      <w:r w:rsidR="00A73461" w:rsidRPr="00451146">
        <w:rPr>
          <w:sz w:val="20"/>
          <w:lang w:val="en-GB"/>
        </w:rPr>
        <w:t xml:space="preserve">been </w:t>
      </w:r>
      <w:r w:rsidRPr="00451146">
        <w:rPr>
          <w:sz w:val="20"/>
          <w:lang w:val="en-GB"/>
        </w:rPr>
        <w:t xml:space="preserve">described by </w:t>
      </w:r>
      <w:r w:rsidR="00A73461" w:rsidRPr="00451146">
        <w:rPr>
          <w:sz w:val="20"/>
          <w:lang w:val="en-GB"/>
        </w:rPr>
        <w:t xml:space="preserve">some </w:t>
      </w:r>
      <w:r w:rsidRPr="00451146">
        <w:rPr>
          <w:sz w:val="20"/>
          <w:lang w:val="en-GB"/>
        </w:rPr>
        <w:t>scholars as lenient in its approach to retroactivity.</w:t>
      </w:r>
      <w:r w:rsidRPr="00451146">
        <w:rPr>
          <w:sz w:val="20"/>
          <w:vertAlign w:val="superscript"/>
          <w:lang w:val="en-GB"/>
        </w:rPr>
        <w:footnoteReference w:id="88"/>
      </w:r>
      <w:r w:rsidRPr="00451146">
        <w:rPr>
          <w:sz w:val="20"/>
          <w:lang w:val="en-GB"/>
        </w:rPr>
        <w:t xml:space="preserve"> In actual fact, both Poland and Hungary have been treated by </w:t>
      </w:r>
      <w:r w:rsidR="00A73461" w:rsidRPr="00451146">
        <w:rPr>
          <w:sz w:val="20"/>
          <w:lang w:val="en-GB"/>
        </w:rPr>
        <w:t>commentator</w:t>
      </w:r>
      <w:r w:rsidRPr="00451146">
        <w:rPr>
          <w:sz w:val="20"/>
          <w:lang w:val="en-GB"/>
        </w:rPr>
        <w:t>s as being ‘more liberal and reform-minded than other post-communist countries and undoubtedly represented the first group of countries in which round-table talks played a central role’.</w:t>
      </w:r>
      <w:r w:rsidRPr="00451146">
        <w:rPr>
          <w:sz w:val="20"/>
          <w:vertAlign w:val="superscript"/>
          <w:lang w:val="en-GB"/>
        </w:rPr>
        <w:footnoteReference w:id="89"/>
      </w:r>
      <w:r w:rsidRPr="00451146">
        <w:rPr>
          <w:sz w:val="20"/>
          <w:lang w:val="en-GB"/>
        </w:rPr>
        <w:t xml:space="preserve"> Aptly noted by P</w:t>
      </w:r>
      <w:proofErr w:type="spellStart"/>
      <w:r w:rsidR="00E33881" w:rsidRPr="00451146">
        <w:rPr>
          <w:sz w:val="20"/>
        </w:rPr>
        <w:t>řibáň</w:t>
      </w:r>
      <w:proofErr w:type="spellEnd"/>
      <w:r w:rsidRPr="00451146">
        <w:rPr>
          <w:sz w:val="20"/>
          <w:lang w:val="en-GB"/>
        </w:rPr>
        <w:t xml:space="preserve">, both states underwent a </w:t>
      </w:r>
      <w:r w:rsidR="00C67D21">
        <w:rPr>
          <w:sz w:val="20"/>
          <w:lang w:val="en-GB"/>
        </w:rPr>
        <w:t>“</w:t>
      </w:r>
      <w:r w:rsidRPr="00451146">
        <w:rPr>
          <w:sz w:val="20"/>
          <w:lang w:val="en-GB"/>
        </w:rPr>
        <w:t>more gradual and evolutionary transition</w:t>
      </w:r>
      <w:r w:rsidR="00C67D21">
        <w:rPr>
          <w:sz w:val="20"/>
          <w:lang w:val="en-GB"/>
        </w:rPr>
        <w:t>”</w:t>
      </w:r>
      <w:r w:rsidRPr="00451146">
        <w:rPr>
          <w:sz w:val="20"/>
          <w:lang w:val="en-GB"/>
        </w:rPr>
        <w:t>,</w:t>
      </w:r>
      <w:r w:rsidRPr="00451146">
        <w:rPr>
          <w:sz w:val="20"/>
          <w:vertAlign w:val="superscript"/>
          <w:lang w:val="en-GB"/>
        </w:rPr>
        <w:footnoteReference w:id="90"/>
      </w:r>
      <w:r w:rsidRPr="00451146">
        <w:rPr>
          <w:sz w:val="20"/>
          <w:lang w:val="en-GB"/>
        </w:rPr>
        <w:t xml:space="preserve"> as compared to the sudden political transformations that characterised the transitions of former Czechoslovakia, East Germany, or at the extreme, Romania. In these latter cases the regime held on to power until the very last minute that was usually accompanied by violence. It is true that Poland had </w:t>
      </w:r>
      <w:r w:rsidR="00A73461" w:rsidRPr="00451146">
        <w:rPr>
          <w:sz w:val="20"/>
          <w:lang w:val="en-GB"/>
        </w:rPr>
        <w:t xml:space="preserve">the 1989 </w:t>
      </w:r>
      <w:r w:rsidRPr="00451146">
        <w:rPr>
          <w:sz w:val="20"/>
          <w:lang w:val="en-GB"/>
        </w:rPr>
        <w:t xml:space="preserve">Round Table Talks that would influence retrospective justice. In other words, one could argue that the pace of reform in this area was piecemeal, to the dismay of many who hoped to seek justice for communist crimes. As noted elsewhere in this volume (see </w:t>
      </w:r>
      <w:proofErr w:type="spellStart"/>
      <w:r w:rsidRPr="00451146">
        <w:rPr>
          <w:sz w:val="20"/>
          <w:lang w:val="en-GB"/>
        </w:rPr>
        <w:t>Elbas</w:t>
      </w:r>
      <w:r w:rsidR="007317AA">
        <w:rPr>
          <w:sz w:val="20"/>
          <w:lang w:val="en-GB"/>
        </w:rPr>
        <w:t>ani</w:t>
      </w:r>
      <w:proofErr w:type="spellEnd"/>
      <w:r w:rsidR="007317AA">
        <w:rPr>
          <w:sz w:val="20"/>
          <w:lang w:val="en-GB"/>
        </w:rPr>
        <w:t xml:space="preserve"> and Lipinski and Fijalkowski, in this volume</w:t>
      </w:r>
      <w:r w:rsidRPr="007317AA">
        <w:rPr>
          <w:sz w:val="20"/>
          <w:lang w:val="en-GB"/>
        </w:rPr>
        <w:t>),</w:t>
      </w:r>
      <w:r w:rsidRPr="00451146">
        <w:rPr>
          <w:sz w:val="20"/>
          <w:lang w:val="en-GB"/>
        </w:rPr>
        <w:t xml:space="preserve"> at the Round Table Talks, the Polish judiciary took its cue from the government in adopting a policy of a thick line (</w:t>
      </w:r>
      <w:proofErr w:type="spellStart"/>
      <w:r w:rsidRPr="00451146">
        <w:rPr>
          <w:i/>
          <w:sz w:val="20"/>
          <w:lang w:val="en-GB"/>
        </w:rPr>
        <w:t>gruba</w:t>
      </w:r>
      <w:proofErr w:type="spellEnd"/>
      <w:r w:rsidRPr="00451146">
        <w:rPr>
          <w:sz w:val="20"/>
          <w:lang w:val="en-GB"/>
        </w:rPr>
        <w:t xml:space="preserve"> </w:t>
      </w:r>
      <w:proofErr w:type="spellStart"/>
      <w:r w:rsidRPr="00451146">
        <w:rPr>
          <w:i/>
          <w:sz w:val="20"/>
          <w:lang w:val="en-GB"/>
        </w:rPr>
        <w:t>kreska</w:t>
      </w:r>
      <w:proofErr w:type="spellEnd"/>
      <w:r w:rsidRPr="00451146">
        <w:rPr>
          <w:sz w:val="20"/>
          <w:lang w:val="en-GB"/>
        </w:rPr>
        <w:t>) approach to itself.</w:t>
      </w:r>
    </w:p>
    <w:p w14:paraId="256602F5" w14:textId="63797F12" w:rsidR="00AB1D24" w:rsidRPr="00451146" w:rsidRDefault="00AB1D24" w:rsidP="00562A40">
      <w:pPr>
        <w:widowControl w:val="0"/>
        <w:spacing w:line="360" w:lineRule="auto"/>
        <w:ind w:firstLine="720"/>
        <w:jc w:val="both"/>
        <w:outlineLvl w:val="0"/>
        <w:rPr>
          <w:rFonts w:eastAsia="Arial Unicode MS"/>
          <w:color w:val="000000"/>
          <w:sz w:val="20"/>
          <w:szCs w:val="20"/>
          <w:u w:color="000000"/>
        </w:rPr>
      </w:pPr>
      <w:r w:rsidRPr="00451146">
        <w:rPr>
          <w:rFonts w:eastAsia="Arial Unicode MS"/>
          <w:color w:val="000000"/>
          <w:sz w:val="20"/>
          <w:szCs w:val="20"/>
          <w:u w:color="000000"/>
        </w:rPr>
        <w:t>Retroactivity of a law may not have been expressly provided for in the Polish Constitution at the time, but quickly became one of the fundamental components of the rule of law, as interpreted by the Constitutional Tribunal (</w:t>
      </w:r>
      <w:proofErr w:type="spellStart"/>
      <w:r w:rsidRPr="00451146">
        <w:rPr>
          <w:rFonts w:eastAsia="Arial Unicode MS"/>
          <w:i/>
          <w:color w:val="000000"/>
          <w:sz w:val="20"/>
          <w:szCs w:val="20"/>
          <w:u w:color="000000"/>
        </w:rPr>
        <w:t>Trybuna</w:t>
      </w:r>
      <w:r w:rsidR="00F17E37" w:rsidRPr="00451146">
        <w:rPr>
          <w:i/>
          <w:color w:val="000000"/>
          <w:sz w:val="20"/>
          <w:szCs w:val="20"/>
        </w:rPr>
        <w:t>ł</w:t>
      </w:r>
      <w:proofErr w:type="spellEnd"/>
      <w:r w:rsidR="00F17E37" w:rsidRPr="00451146">
        <w:rPr>
          <w:i/>
          <w:color w:val="000000"/>
          <w:sz w:val="20"/>
          <w:szCs w:val="20"/>
        </w:rPr>
        <w:t xml:space="preserve"> </w:t>
      </w:r>
      <w:proofErr w:type="spellStart"/>
      <w:r w:rsidRPr="00451146">
        <w:rPr>
          <w:rFonts w:eastAsia="Arial Unicode MS"/>
          <w:i/>
          <w:color w:val="000000"/>
          <w:sz w:val="20"/>
          <w:szCs w:val="20"/>
          <w:u w:color="000000"/>
        </w:rPr>
        <w:t>Konstytucyjni</w:t>
      </w:r>
      <w:proofErr w:type="spellEnd"/>
      <w:r w:rsidRPr="00451146">
        <w:rPr>
          <w:rFonts w:eastAsia="Arial Unicode MS"/>
          <w:color w:val="000000"/>
          <w:sz w:val="20"/>
          <w:szCs w:val="20"/>
          <w:u w:color="000000"/>
        </w:rPr>
        <w:t>).</w:t>
      </w:r>
      <w:r w:rsidRPr="00451146">
        <w:rPr>
          <w:rFonts w:eastAsia="Arial Unicode MS"/>
          <w:color w:val="000000"/>
          <w:sz w:val="20"/>
          <w:szCs w:val="20"/>
          <w:u w:color="000000"/>
          <w:vertAlign w:val="superscript"/>
        </w:rPr>
        <w:footnoteReference w:id="91"/>
      </w:r>
      <w:r w:rsidRPr="00451146">
        <w:rPr>
          <w:rFonts w:eastAsia="Arial Unicode MS"/>
          <w:color w:val="000000"/>
          <w:sz w:val="20"/>
          <w:szCs w:val="20"/>
          <w:u w:color="000000"/>
        </w:rPr>
        <w:t xml:space="preserve"> Brzezinski observes that by 1992 the Tribunal had established and reaffirmed the rule-of-law clause as comprising, </w:t>
      </w:r>
      <w:r w:rsidRPr="00451146">
        <w:rPr>
          <w:rFonts w:eastAsia="Arial Unicode MS"/>
          <w:i/>
          <w:color w:val="000000"/>
          <w:sz w:val="20"/>
          <w:szCs w:val="20"/>
          <w:u w:color="000000"/>
        </w:rPr>
        <w:t>inter alia</w:t>
      </w:r>
      <w:r w:rsidRPr="00451146">
        <w:rPr>
          <w:rFonts w:eastAsia="Arial Unicode MS"/>
          <w:color w:val="000000"/>
          <w:sz w:val="20"/>
          <w:szCs w:val="20"/>
          <w:u w:color="000000"/>
        </w:rPr>
        <w:t>, prohibiting retroactive laws.</w:t>
      </w:r>
      <w:r w:rsidRPr="00451146">
        <w:rPr>
          <w:rFonts w:eastAsia="Arial Unicode MS"/>
          <w:color w:val="000000"/>
          <w:sz w:val="20"/>
          <w:szCs w:val="20"/>
          <w:u w:color="000000"/>
          <w:vertAlign w:val="superscript"/>
        </w:rPr>
        <w:footnoteReference w:id="92"/>
      </w:r>
      <w:r w:rsidRPr="00451146">
        <w:rPr>
          <w:rFonts w:eastAsia="Arial Unicode MS"/>
          <w:color w:val="000000"/>
          <w:sz w:val="20"/>
          <w:szCs w:val="20"/>
          <w:u w:color="000000"/>
        </w:rPr>
        <w:t xml:space="preserve"> Moreover, the Tribunal also defined certain areas not protected by the rule-of-law clause, such as rights obtained in an unjust manner and crimes committed during the Stalinist period. Since then, the Tribunal has developed additional procedural and institutional components. In sum, the</w:t>
      </w:r>
      <w:r w:rsidR="00A73461" w:rsidRPr="00451146">
        <w:rPr>
          <w:rFonts w:eastAsia="Arial Unicode MS"/>
          <w:color w:val="000000"/>
          <w:sz w:val="20"/>
          <w:szCs w:val="20"/>
          <w:u w:color="000000"/>
        </w:rPr>
        <w:t>se</w:t>
      </w:r>
      <w:r w:rsidRPr="00451146">
        <w:rPr>
          <w:rFonts w:eastAsia="Arial Unicode MS"/>
          <w:color w:val="000000"/>
          <w:sz w:val="20"/>
          <w:szCs w:val="20"/>
          <w:u w:color="000000"/>
        </w:rPr>
        <w:t xml:space="preserve"> Polish narratives </w:t>
      </w:r>
      <w:r w:rsidR="00A73461" w:rsidRPr="00451146">
        <w:rPr>
          <w:rFonts w:eastAsia="Arial Unicode MS"/>
          <w:color w:val="000000"/>
          <w:sz w:val="20"/>
          <w:szCs w:val="20"/>
          <w:u w:color="000000"/>
        </w:rPr>
        <w:t>c</w:t>
      </w:r>
      <w:r w:rsidRPr="00451146">
        <w:rPr>
          <w:rFonts w:eastAsia="Arial Unicode MS"/>
          <w:color w:val="000000"/>
          <w:sz w:val="20"/>
          <w:szCs w:val="20"/>
          <w:u w:color="000000"/>
        </w:rPr>
        <w:t>on</w:t>
      </w:r>
      <w:r w:rsidR="00A73461" w:rsidRPr="00451146">
        <w:rPr>
          <w:rFonts w:eastAsia="Arial Unicode MS"/>
          <w:color w:val="000000"/>
          <w:sz w:val="20"/>
          <w:szCs w:val="20"/>
          <w:u w:color="000000"/>
        </w:rPr>
        <w:t>cerning</w:t>
      </w:r>
      <w:r w:rsidRPr="00451146">
        <w:rPr>
          <w:rFonts w:eastAsia="Arial Unicode MS"/>
          <w:color w:val="000000"/>
          <w:sz w:val="20"/>
          <w:szCs w:val="20"/>
          <w:u w:color="000000"/>
        </w:rPr>
        <w:t xml:space="preserve"> retrospective justice show the ways in which discourses are used for different and opposite purposes. In other words, history </w:t>
      </w:r>
      <w:r w:rsidR="00C67D21">
        <w:rPr>
          <w:rFonts w:eastAsia="Arial Unicode MS"/>
          <w:color w:val="000000"/>
          <w:sz w:val="20"/>
          <w:szCs w:val="20"/>
          <w:u w:color="000000"/>
        </w:rPr>
        <w:t>a</w:t>
      </w:r>
      <w:r w:rsidR="00B50E38" w:rsidRPr="00451146">
        <w:rPr>
          <w:rFonts w:eastAsia="Arial Unicode MS"/>
          <w:color w:val="000000"/>
          <w:sz w:val="20"/>
          <w:szCs w:val="20"/>
          <w:u w:color="000000"/>
        </w:rPr>
        <w:t>ffect</w:t>
      </w:r>
      <w:r w:rsidRPr="00451146">
        <w:rPr>
          <w:rFonts w:eastAsia="Arial Unicode MS"/>
          <w:color w:val="000000"/>
          <w:sz w:val="20"/>
          <w:szCs w:val="20"/>
          <w:u w:color="000000"/>
        </w:rPr>
        <w:t xml:space="preserve">s the discourses where different historic moments influence </w:t>
      </w:r>
      <w:r w:rsidR="00B50E38" w:rsidRPr="00451146">
        <w:rPr>
          <w:rFonts w:eastAsia="Arial Unicode MS"/>
          <w:color w:val="000000"/>
          <w:sz w:val="20"/>
          <w:szCs w:val="20"/>
          <w:u w:color="000000"/>
        </w:rPr>
        <w:t>narrative</w:t>
      </w:r>
      <w:r w:rsidRPr="00451146">
        <w:rPr>
          <w:rFonts w:eastAsia="Arial Unicode MS"/>
          <w:color w:val="000000"/>
          <w:sz w:val="20"/>
          <w:szCs w:val="20"/>
          <w:u w:color="000000"/>
        </w:rPr>
        <w:t xml:space="preserve">s, or </w:t>
      </w:r>
      <w:r w:rsidR="00B50E38" w:rsidRPr="00451146">
        <w:rPr>
          <w:rFonts w:eastAsia="Arial Unicode MS"/>
          <w:color w:val="000000"/>
          <w:sz w:val="20"/>
          <w:szCs w:val="20"/>
          <w:u w:color="000000"/>
        </w:rPr>
        <w:t xml:space="preserve">even </w:t>
      </w:r>
      <w:r w:rsidRPr="00451146">
        <w:rPr>
          <w:rFonts w:eastAsia="Arial Unicode MS"/>
          <w:color w:val="000000"/>
          <w:sz w:val="20"/>
          <w:szCs w:val="20"/>
          <w:u w:color="000000"/>
        </w:rPr>
        <w:t>opt in favour of legislation that address</w:t>
      </w:r>
      <w:r w:rsidR="00B50E38" w:rsidRPr="00451146">
        <w:rPr>
          <w:rFonts w:eastAsia="Arial Unicode MS"/>
          <w:color w:val="000000"/>
          <w:sz w:val="20"/>
          <w:szCs w:val="20"/>
          <w:u w:color="000000"/>
        </w:rPr>
        <w:t>es</w:t>
      </w:r>
      <w:r w:rsidRPr="00451146">
        <w:rPr>
          <w:rFonts w:eastAsia="Arial Unicode MS"/>
          <w:color w:val="000000"/>
          <w:sz w:val="20"/>
          <w:szCs w:val="20"/>
          <w:u w:color="000000"/>
        </w:rPr>
        <w:t xml:space="preserve"> specific periods and crimes, such as Nazi or Stalinist (see </w:t>
      </w:r>
      <w:r w:rsidR="00197BDE">
        <w:rPr>
          <w:rFonts w:eastAsia="Arial Unicode MS"/>
          <w:color w:val="000000"/>
          <w:sz w:val="20"/>
          <w:szCs w:val="20"/>
          <w:u w:color="000000"/>
        </w:rPr>
        <w:t>chapter 10 for a discussion about Lithuanian developments</w:t>
      </w:r>
      <w:r w:rsidRPr="00451146">
        <w:rPr>
          <w:rFonts w:eastAsia="Arial Unicode MS"/>
          <w:color w:val="000000"/>
          <w:sz w:val="20"/>
          <w:szCs w:val="20"/>
          <w:u w:color="000000"/>
        </w:rPr>
        <w:t>). The narratives also show the consequences of unresolved grievances.</w:t>
      </w:r>
      <w:r w:rsidR="00562A40">
        <w:rPr>
          <w:rFonts w:eastAsia="Arial Unicode MS"/>
          <w:color w:val="000000"/>
          <w:sz w:val="20"/>
          <w:szCs w:val="20"/>
          <w:u w:color="000000"/>
        </w:rPr>
        <w:t xml:space="preserve"> At this juncture it is wor</w:t>
      </w:r>
      <w:r w:rsidR="004E3E95">
        <w:rPr>
          <w:rFonts w:eastAsia="Arial Unicode MS"/>
          <w:color w:val="000000"/>
          <w:sz w:val="20"/>
          <w:szCs w:val="20"/>
          <w:u w:color="000000"/>
        </w:rPr>
        <w:t>thw</w:t>
      </w:r>
      <w:r w:rsidR="00562A40">
        <w:rPr>
          <w:rFonts w:eastAsia="Arial Unicode MS"/>
          <w:color w:val="000000"/>
          <w:sz w:val="20"/>
          <w:szCs w:val="20"/>
          <w:u w:color="000000"/>
        </w:rPr>
        <w:t xml:space="preserve">hile to consider one </w:t>
      </w:r>
      <w:r w:rsidR="00B50E38" w:rsidRPr="00451146">
        <w:rPr>
          <w:rFonts w:eastAsia="Arial Unicode MS"/>
          <w:color w:val="000000"/>
          <w:sz w:val="20"/>
          <w:szCs w:val="20"/>
          <w:u w:color="000000"/>
        </w:rPr>
        <w:t xml:space="preserve">Polish </w:t>
      </w:r>
      <w:r w:rsidRPr="00451146">
        <w:rPr>
          <w:rFonts w:eastAsia="Arial Unicode MS"/>
          <w:color w:val="000000"/>
          <w:sz w:val="20"/>
          <w:szCs w:val="20"/>
          <w:u w:color="000000"/>
        </w:rPr>
        <w:t xml:space="preserve">case </w:t>
      </w:r>
      <w:r w:rsidR="00562A40">
        <w:rPr>
          <w:rFonts w:eastAsia="Arial Unicode MS"/>
          <w:color w:val="000000"/>
          <w:sz w:val="20"/>
          <w:szCs w:val="20"/>
          <w:u w:color="000000"/>
        </w:rPr>
        <w:t xml:space="preserve">that </w:t>
      </w:r>
      <w:r w:rsidRPr="00451146">
        <w:rPr>
          <w:rFonts w:eastAsia="Arial Unicode MS"/>
          <w:color w:val="000000"/>
          <w:sz w:val="20"/>
          <w:szCs w:val="20"/>
          <w:u w:color="000000"/>
        </w:rPr>
        <w:t xml:space="preserve">fits into the transitional justice narrative, in particular the relevance of the </w:t>
      </w:r>
      <w:r w:rsidRPr="00451146">
        <w:rPr>
          <w:rFonts w:eastAsia="Arial Unicode MS"/>
          <w:i/>
          <w:color w:val="000000"/>
          <w:sz w:val="20"/>
          <w:szCs w:val="20"/>
          <w:u w:color="000000"/>
        </w:rPr>
        <w:t>Border Guards</w:t>
      </w:r>
      <w:r w:rsidRPr="00451146">
        <w:rPr>
          <w:rFonts w:eastAsia="Arial Unicode MS"/>
          <w:color w:val="000000"/>
          <w:sz w:val="20"/>
          <w:szCs w:val="20"/>
          <w:u w:color="000000"/>
        </w:rPr>
        <w:t xml:space="preserve"> cases and the on</w:t>
      </w:r>
      <w:r w:rsidR="00B50E38" w:rsidRPr="00451146">
        <w:rPr>
          <w:rFonts w:eastAsia="Arial Unicode MS"/>
          <w:color w:val="000000"/>
          <w:sz w:val="20"/>
          <w:szCs w:val="20"/>
          <w:u w:color="000000"/>
        </w:rPr>
        <w:t>-</w:t>
      </w:r>
      <w:r w:rsidRPr="00451146">
        <w:rPr>
          <w:rFonts w:eastAsia="Arial Unicode MS"/>
          <w:color w:val="000000"/>
          <w:sz w:val="20"/>
          <w:szCs w:val="20"/>
          <w:u w:color="000000"/>
        </w:rPr>
        <w:t xml:space="preserve">going issues arising from the </w:t>
      </w:r>
      <w:proofErr w:type="spellStart"/>
      <w:r w:rsidRPr="00451146">
        <w:rPr>
          <w:rFonts w:eastAsia="Arial Unicode MS"/>
          <w:color w:val="000000"/>
          <w:sz w:val="20"/>
          <w:szCs w:val="20"/>
          <w:u w:color="000000"/>
        </w:rPr>
        <w:t>Radbruch</w:t>
      </w:r>
      <w:proofErr w:type="spellEnd"/>
      <w:r w:rsidRPr="00451146">
        <w:rPr>
          <w:rFonts w:eastAsia="Arial Unicode MS"/>
          <w:color w:val="000000"/>
          <w:sz w:val="20"/>
          <w:szCs w:val="20"/>
          <w:u w:color="000000"/>
        </w:rPr>
        <w:t xml:space="preserve"> formula</w:t>
      </w:r>
      <w:r w:rsidR="00E00933" w:rsidRPr="00451146">
        <w:rPr>
          <w:rFonts w:eastAsia="Arial Unicode MS"/>
          <w:color w:val="000000"/>
          <w:sz w:val="20"/>
          <w:szCs w:val="20"/>
          <w:u w:color="000000"/>
        </w:rPr>
        <w:t xml:space="preserve">. </w:t>
      </w:r>
    </w:p>
    <w:p w14:paraId="7179DBF9" w14:textId="76DE307F" w:rsidR="00AB1D24" w:rsidRPr="00451146" w:rsidRDefault="00AB1D24" w:rsidP="00562A40">
      <w:pPr>
        <w:spacing w:line="360" w:lineRule="auto"/>
        <w:ind w:firstLine="720"/>
        <w:jc w:val="both"/>
        <w:outlineLvl w:val="0"/>
        <w:rPr>
          <w:rFonts w:eastAsia="Arial Unicode MS"/>
          <w:color w:val="000000"/>
          <w:sz w:val="20"/>
          <w:szCs w:val="20"/>
          <w:u w:color="000000"/>
        </w:rPr>
      </w:pPr>
      <w:r w:rsidRPr="00451146">
        <w:rPr>
          <w:rFonts w:eastAsia="Arial Unicode MS"/>
          <w:color w:val="000000"/>
          <w:sz w:val="20"/>
          <w:szCs w:val="20"/>
          <w:u w:color="000000"/>
        </w:rPr>
        <w:t>In December 2007, the Polish Supreme Court heard a c</w:t>
      </w:r>
      <w:r w:rsidR="004860D2">
        <w:rPr>
          <w:rFonts w:eastAsia="Arial Unicode MS"/>
          <w:color w:val="000000"/>
          <w:sz w:val="20"/>
          <w:szCs w:val="20"/>
          <w:u w:color="000000"/>
        </w:rPr>
        <w:t>ase concerning a Supreme Court R</w:t>
      </w:r>
      <w:r w:rsidRPr="00451146">
        <w:rPr>
          <w:rFonts w:eastAsia="Arial Unicode MS"/>
          <w:color w:val="000000"/>
          <w:sz w:val="20"/>
          <w:szCs w:val="20"/>
          <w:u w:color="000000"/>
        </w:rPr>
        <w:t xml:space="preserve">esolution that effectively excluded criminal and disciplinary liability of judges who rendered decisions on the basis </w:t>
      </w:r>
      <w:r w:rsidR="004E3E95">
        <w:rPr>
          <w:rFonts w:eastAsia="Arial Unicode MS"/>
          <w:color w:val="000000"/>
          <w:sz w:val="20"/>
          <w:szCs w:val="20"/>
          <w:u w:color="000000"/>
        </w:rPr>
        <w:t>of the martial law decree. The R</w:t>
      </w:r>
      <w:r w:rsidRPr="00451146">
        <w:rPr>
          <w:rFonts w:eastAsia="Arial Unicode MS"/>
          <w:color w:val="000000"/>
          <w:sz w:val="20"/>
          <w:szCs w:val="20"/>
          <w:u w:color="000000"/>
        </w:rPr>
        <w:t xml:space="preserve">esolution was the result of an initiative brought by the Chief Commission for the Prosecution of Crimes against the Polish Nation </w:t>
      </w:r>
      <w:r w:rsidR="002E1BD3" w:rsidRPr="00451146">
        <w:rPr>
          <w:sz w:val="20"/>
          <w:szCs w:val="20"/>
          <w:lang w:val="en-US"/>
        </w:rPr>
        <w:t>(</w:t>
      </w:r>
      <w:proofErr w:type="spellStart"/>
      <w:r w:rsidR="002E1BD3" w:rsidRPr="00451146">
        <w:rPr>
          <w:i/>
          <w:sz w:val="20"/>
          <w:szCs w:val="20"/>
          <w:lang w:val="en-US"/>
        </w:rPr>
        <w:t>Głowna</w:t>
      </w:r>
      <w:proofErr w:type="spellEnd"/>
      <w:r w:rsidR="002E1BD3" w:rsidRPr="00451146">
        <w:rPr>
          <w:i/>
          <w:sz w:val="20"/>
          <w:szCs w:val="20"/>
          <w:lang w:val="en-US"/>
        </w:rPr>
        <w:t xml:space="preserve"> </w:t>
      </w:r>
      <w:proofErr w:type="spellStart"/>
      <w:r w:rsidR="002E1BD3" w:rsidRPr="00451146">
        <w:rPr>
          <w:i/>
          <w:sz w:val="20"/>
          <w:szCs w:val="20"/>
          <w:lang w:val="en-US"/>
        </w:rPr>
        <w:t>Komisja</w:t>
      </w:r>
      <w:proofErr w:type="spellEnd"/>
      <w:r w:rsidR="002E1BD3" w:rsidRPr="00451146">
        <w:rPr>
          <w:i/>
          <w:sz w:val="20"/>
          <w:szCs w:val="20"/>
          <w:lang w:val="en-US"/>
        </w:rPr>
        <w:t xml:space="preserve"> </w:t>
      </w:r>
      <w:proofErr w:type="spellStart"/>
      <w:r w:rsidR="002E1BD3" w:rsidRPr="00451146">
        <w:rPr>
          <w:i/>
          <w:sz w:val="20"/>
          <w:szCs w:val="20"/>
          <w:lang w:val="en-US"/>
        </w:rPr>
        <w:t>Ścigania</w:t>
      </w:r>
      <w:proofErr w:type="spellEnd"/>
      <w:r w:rsidR="002E1BD3" w:rsidRPr="00451146">
        <w:rPr>
          <w:i/>
          <w:sz w:val="20"/>
          <w:szCs w:val="20"/>
          <w:lang w:val="en-US"/>
        </w:rPr>
        <w:t xml:space="preserve"> </w:t>
      </w:r>
      <w:proofErr w:type="spellStart"/>
      <w:r w:rsidR="002E1BD3" w:rsidRPr="00451146">
        <w:rPr>
          <w:i/>
          <w:sz w:val="20"/>
          <w:szCs w:val="20"/>
          <w:lang w:val="en-US"/>
        </w:rPr>
        <w:t>Zbrodni</w:t>
      </w:r>
      <w:proofErr w:type="spellEnd"/>
      <w:r w:rsidR="00DF3325">
        <w:rPr>
          <w:i/>
          <w:sz w:val="20"/>
          <w:szCs w:val="20"/>
          <w:lang w:val="en-US"/>
        </w:rPr>
        <w:t xml:space="preserve"> </w:t>
      </w:r>
      <w:proofErr w:type="spellStart"/>
      <w:r w:rsidR="002E1BD3" w:rsidRPr="00451146">
        <w:rPr>
          <w:i/>
          <w:sz w:val="20"/>
          <w:szCs w:val="20"/>
          <w:lang w:val="en-US"/>
        </w:rPr>
        <w:t>przeciwko</w:t>
      </w:r>
      <w:proofErr w:type="spellEnd"/>
      <w:r w:rsidR="002E1BD3" w:rsidRPr="00451146">
        <w:rPr>
          <w:i/>
          <w:sz w:val="20"/>
          <w:szCs w:val="20"/>
          <w:lang w:val="en-US"/>
        </w:rPr>
        <w:t xml:space="preserve"> </w:t>
      </w:r>
      <w:proofErr w:type="spellStart"/>
      <w:r w:rsidR="002E1BD3" w:rsidRPr="00451146">
        <w:rPr>
          <w:i/>
          <w:sz w:val="20"/>
          <w:szCs w:val="20"/>
          <w:lang w:val="en-US"/>
        </w:rPr>
        <w:t>Narodowi</w:t>
      </w:r>
      <w:proofErr w:type="spellEnd"/>
      <w:r w:rsidR="002E1BD3" w:rsidRPr="00451146">
        <w:rPr>
          <w:i/>
          <w:sz w:val="20"/>
          <w:szCs w:val="20"/>
          <w:lang w:val="en-US"/>
        </w:rPr>
        <w:t xml:space="preserve"> </w:t>
      </w:r>
      <w:proofErr w:type="spellStart"/>
      <w:r w:rsidR="002E1BD3" w:rsidRPr="00451146">
        <w:rPr>
          <w:i/>
          <w:sz w:val="20"/>
          <w:szCs w:val="20"/>
          <w:lang w:val="en-US"/>
        </w:rPr>
        <w:t>Polskiemu</w:t>
      </w:r>
      <w:proofErr w:type="spellEnd"/>
      <w:r w:rsidR="002E1BD3" w:rsidRPr="00451146">
        <w:rPr>
          <w:sz w:val="20"/>
          <w:szCs w:val="20"/>
          <w:lang w:val="en-US"/>
        </w:rPr>
        <w:t xml:space="preserve">) </w:t>
      </w:r>
      <w:r w:rsidRPr="00451146">
        <w:rPr>
          <w:rFonts w:eastAsia="Arial Unicode MS"/>
          <w:color w:val="000000"/>
          <w:sz w:val="20"/>
          <w:szCs w:val="20"/>
          <w:u w:color="000000"/>
        </w:rPr>
        <w:t xml:space="preserve">at the Institute of National Remembrance </w:t>
      </w:r>
      <w:r w:rsidR="002E1BD3" w:rsidRPr="00451146">
        <w:rPr>
          <w:sz w:val="20"/>
          <w:szCs w:val="20"/>
          <w:lang w:val="en-US"/>
        </w:rPr>
        <w:t>(</w:t>
      </w:r>
      <w:proofErr w:type="spellStart"/>
      <w:r w:rsidR="002E1BD3" w:rsidRPr="00451146">
        <w:rPr>
          <w:i/>
          <w:iCs/>
          <w:sz w:val="20"/>
          <w:szCs w:val="20"/>
          <w:lang w:val="en-US"/>
        </w:rPr>
        <w:t>Instytut</w:t>
      </w:r>
      <w:proofErr w:type="spellEnd"/>
      <w:r w:rsidR="002E1BD3" w:rsidRPr="00451146">
        <w:rPr>
          <w:i/>
          <w:iCs/>
          <w:sz w:val="20"/>
          <w:szCs w:val="20"/>
          <w:lang w:val="en-US"/>
        </w:rPr>
        <w:t xml:space="preserve"> </w:t>
      </w:r>
      <w:proofErr w:type="spellStart"/>
      <w:r w:rsidR="002E1BD3" w:rsidRPr="00451146">
        <w:rPr>
          <w:i/>
          <w:iCs/>
          <w:sz w:val="20"/>
          <w:szCs w:val="20"/>
          <w:lang w:val="en-US"/>
        </w:rPr>
        <w:t>Pamięci</w:t>
      </w:r>
      <w:proofErr w:type="spellEnd"/>
      <w:r w:rsidR="002E1BD3" w:rsidRPr="00451146">
        <w:rPr>
          <w:i/>
          <w:iCs/>
          <w:sz w:val="20"/>
          <w:szCs w:val="20"/>
          <w:lang w:val="en-US"/>
        </w:rPr>
        <w:t xml:space="preserve"> </w:t>
      </w:r>
      <w:proofErr w:type="spellStart"/>
      <w:r w:rsidR="002E1BD3" w:rsidRPr="00451146">
        <w:rPr>
          <w:iCs/>
          <w:sz w:val="20"/>
          <w:szCs w:val="20"/>
          <w:lang w:val="en-US"/>
        </w:rPr>
        <w:t>Narodowej</w:t>
      </w:r>
      <w:proofErr w:type="spellEnd"/>
      <w:r w:rsidR="002E1BD3" w:rsidRPr="00451146">
        <w:rPr>
          <w:iCs/>
          <w:sz w:val="20"/>
          <w:szCs w:val="20"/>
          <w:lang w:val="en-US"/>
        </w:rPr>
        <w:t xml:space="preserve">) </w:t>
      </w:r>
      <w:r w:rsidRPr="00451146">
        <w:rPr>
          <w:rFonts w:eastAsia="Arial Unicode MS"/>
          <w:color w:val="000000"/>
          <w:sz w:val="20"/>
          <w:szCs w:val="20"/>
          <w:u w:color="000000"/>
        </w:rPr>
        <w:t>to bring criminal charges against Supreme Court judges, now retired, for the alleged commission of Communist crimes in the application of the martial law decree. Significantly, the case con</w:t>
      </w:r>
      <w:r w:rsidR="00562A40">
        <w:rPr>
          <w:rFonts w:eastAsia="Arial Unicode MS"/>
          <w:color w:val="000000"/>
          <w:sz w:val="20"/>
          <w:szCs w:val="20"/>
          <w:u w:color="000000"/>
        </w:rPr>
        <w:t>cern</w:t>
      </w:r>
      <w:r w:rsidRPr="00451146">
        <w:rPr>
          <w:rFonts w:eastAsia="Arial Unicode MS"/>
          <w:color w:val="000000"/>
          <w:sz w:val="20"/>
          <w:szCs w:val="20"/>
          <w:u w:color="000000"/>
        </w:rPr>
        <w:t xml:space="preserve">ed the retroactivity of the effect of the martial law decree, which was not published in </w:t>
      </w:r>
      <w:r w:rsidRPr="00451146">
        <w:rPr>
          <w:rFonts w:eastAsia="Arial Unicode MS"/>
          <w:color w:val="000000"/>
          <w:sz w:val="20"/>
          <w:szCs w:val="20"/>
          <w:u w:color="000000"/>
        </w:rPr>
        <w:lastRenderedPageBreak/>
        <w:t xml:space="preserve">the </w:t>
      </w:r>
      <w:proofErr w:type="spellStart"/>
      <w:r w:rsidRPr="00451146">
        <w:rPr>
          <w:rFonts w:eastAsia="Arial Unicode MS"/>
          <w:i/>
          <w:color w:val="000000"/>
          <w:sz w:val="20"/>
          <w:szCs w:val="20"/>
          <w:u w:color="000000"/>
        </w:rPr>
        <w:t>Dziennik</w:t>
      </w:r>
      <w:proofErr w:type="spellEnd"/>
      <w:r w:rsidRPr="00451146">
        <w:rPr>
          <w:rFonts w:eastAsia="Arial Unicode MS"/>
          <w:i/>
          <w:color w:val="000000"/>
          <w:sz w:val="20"/>
          <w:szCs w:val="20"/>
          <w:u w:color="000000"/>
        </w:rPr>
        <w:t xml:space="preserve"> </w:t>
      </w:r>
      <w:proofErr w:type="spellStart"/>
      <w:r w:rsidRPr="00451146">
        <w:rPr>
          <w:rFonts w:eastAsia="Arial Unicode MS"/>
          <w:i/>
          <w:color w:val="000000"/>
          <w:sz w:val="20"/>
          <w:szCs w:val="20"/>
          <w:u w:color="000000"/>
        </w:rPr>
        <w:t>Ustaw</w:t>
      </w:r>
      <w:proofErr w:type="spellEnd"/>
      <w:r w:rsidRPr="00451146">
        <w:rPr>
          <w:rFonts w:eastAsia="Arial Unicode MS"/>
          <w:color w:val="000000"/>
          <w:sz w:val="20"/>
          <w:szCs w:val="20"/>
          <w:u w:color="000000"/>
        </w:rPr>
        <w:t xml:space="preserve"> (Polish Official Gazette) until several days after it took effect. It is important to note that under Article 4 of the</w:t>
      </w:r>
      <w:r w:rsidR="000E014A" w:rsidRPr="00451146">
        <w:rPr>
          <w:rFonts w:eastAsia="Arial Unicode MS"/>
          <w:color w:val="000000"/>
          <w:sz w:val="20"/>
          <w:szCs w:val="20"/>
          <w:u w:color="000000"/>
        </w:rPr>
        <w:t xml:space="preserve"> </w:t>
      </w:r>
      <w:r w:rsidRPr="00451146">
        <w:rPr>
          <w:rFonts w:eastAsia="Arial Unicode MS"/>
          <w:color w:val="000000"/>
          <w:sz w:val="20"/>
          <w:szCs w:val="20"/>
          <w:u w:color="000000"/>
        </w:rPr>
        <w:t>ICCPR</w:t>
      </w:r>
      <w:r w:rsidR="000E014A" w:rsidRPr="00451146">
        <w:rPr>
          <w:rFonts w:eastAsia="Arial Unicode MS"/>
          <w:color w:val="000000"/>
          <w:sz w:val="20"/>
          <w:szCs w:val="20"/>
          <w:u w:color="000000"/>
        </w:rPr>
        <w:t xml:space="preserve"> </w:t>
      </w:r>
      <w:r w:rsidRPr="00451146">
        <w:rPr>
          <w:rFonts w:eastAsia="Arial Unicode MS"/>
          <w:color w:val="000000"/>
          <w:sz w:val="20"/>
          <w:szCs w:val="20"/>
          <w:u w:color="000000"/>
        </w:rPr>
        <w:t xml:space="preserve">no derogations from Article 15, even under martial law, are allowed. </w:t>
      </w:r>
      <w:r w:rsidR="004E3E95" w:rsidRPr="00451146">
        <w:rPr>
          <w:rFonts w:eastAsia="Arial Unicode MS"/>
          <w:color w:val="000000"/>
          <w:sz w:val="20"/>
          <w:szCs w:val="20"/>
          <w:u w:color="000000"/>
        </w:rPr>
        <w:t>This factor, and the relevant provisions found in the 1952 Polish Constitution, was</w:t>
      </w:r>
      <w:r w:rsidR="00B50E38" w:rsidRPr="00451146">
        <w:rPr>
          <w:rFonts w:eastAsia="Arial Unicode MS"/>
          <w:color w:val="000000"/>
          <w:sz w:val="20"/>
          <w:szCs w:val="20"/>
          <w:u w:color="000000"/>
        </w:rPr>
        <w:t xml:space="preserve"> </w:t>
      </w:r>
      <w:r w:rsidRPr="00451146">
        <w:rPr>
          <w:rFonts w:eastAsia="Arial Unicode MS"/>
          <w:color w:val="000000"/>
          <w:sz w:val="20"/>
          <w:szCs w:val="20"/>
          <w:u w:color="000000"/>
        </w:rPr>
        <w:t>considered by the Supreme Court.</w:t>
      </w:r>
      <w:r w:rsidRPr="00451146">
        <w:rPr>
          <w:rFonts w:eastAsia="Arial Unicode MS"/>
          <w:color w:val="000000"/>
          <w:sz w:val="20"/>
          <w:szCs w:val="20"/>
          <w:u w:color="000000"/>
          <w:vertAlign w:val="superscript"/>
        </w:rPr>
        <w:footnoteReference w:id="93"/>
      </w:r>
    </w:p>
    <w:p w14:paraId="6AF8E640" w14:textId="3CB20D81" w:rsidR="00AB1D24" w:rsidRPr="00451146" w:rsidRDefault="00AB1D24" w:rsidP="00685C4E">
      <w:pPr>
        <w:spacing w:line="360" w:lineRule="auto"/>
        <w:ind w:firstLine="720"/>
        <w:jc w:val="both"/>
        <w:outlineLvl w:val="0"/>
        <w:rPr>
          <w:rFonts w:eastAsia="Arial Unicode MS"/>
          <w:color w:val="000000"/>
          <w:sz w:val="20"/>
          <w:szCs w:val="20"/>
          <w:u w:color="000000"/>
        </w:rPr>
      </w:pPr>
      <w:r w:rsidRPr="00451146">
        <w:rPr>
          <w:rFonts w:eastAsia="Arial Unicode MS"/>
          <w:color w:val="000000"/>
          <w:sz w:val="20"/>
          <w:szCs w:val="20"/>
          <w:u w:color="000000"/>
        </w:rPr>
        <w:t>The Supreme Court, relying on research on supremacy of international law, argued that at that time Poland did not have</w:t>
      </w:r>
      <w:r w:rsidR="00562A40">
        <w:rPr>
          <w:rFonts w:eastAsia="Arial Unicode MS"/>
          <w:color w:val="000000"/>
          <w:sz w:val="20"/>
          <w:szCs w:val="20"/>
          <w:u w:color="000000"/>
        </w:rPr>
        <w:t xml:space="preserve"> international law obligations </w:t>
      </w:r>
      <w:r w:rsidRPr="00451146">
        <w:rPr>
          <w:rFonts w:eastAsia="Arial Unicode MS"/>
          <w:color w:val="000000"/>
          <w:sz w:val="20"/>
          <w:szCs w:val="20"/>
          <w:u w:color="000000"/>
        </w:rPr>
        <w:t>under the ICCPR</w:t>
      </w:r>
      <w:r w:rsidR="00B50E38" w:rsidRPr="00451146">
        <w:rPr>
          <w:rFonts w:eastAsia="Arial Unicode MS"/>
          <w:color w:val="000000"/>
          <w:sz w:val="20"/>
          <w:szCs w:val="20"/>
          <w:u w:color="000000"/>
        </w:rPr>
        <w:t>,</w:t>
      </w:r>
      <w:r w:rsidRPr="00451146">
        <w:rPr>
          <w:rFonts w:eastAsia="Arial Unicode MS"/>
          <w:color w:val="000000"/>
          <w:sz w:val="20"/>
          <w:szCs w:val="20"/>
          <w:u w:color="000000"/>
        </w:rPr>
        <w:t xml:space="preserve"> as it was not incorporated into the domestic law further to the Council of State (</w:t>
      </w:r>
      <w:proofErr w:type="spellStart"/>
      <w:r w:rsidRPr="00451146">
        <w:rPr>
          <w:rFonts w:eastAsia="Arial Unicode MS"/>
          <w:i/>
          <w:color w:val="000000"/>
          <w:sz w:val="20"/>
          <w:szCs w:val="20"/>
          <w:u w:color="000000"/>
        </w:rPr>
        <w:t>Rada</w:t>
      </w:r>
      <w:proofErr w:type="spellEnd"/>
      <w:r w:rsidRPr="00451146">
        <w:rPr>
          <w:rFonts w:eastAsia="Arial Unicode MS"/>
          <w:color w:val="000000"/>
          <w:sz w:val="20"/>
          <w:szCs w:val="20"/>
          <w:u w:color="000000"/>
        </w:rPr>
        <w:t xml:space="preserve"> </w:t>
      </w:r>
      <w:proofErr w:type="spellStart"/>
      <w:r w:rsidRPr="00451146">
        <w:rPr>
          <w:rFonts w:eastAsia="Arial Unicode MS"/>
          <w:i/>
          <w:color w:val="000000"/>
          <w:sz w:val="20"/>
          <w:szCs w:val="20"/>
          <w:u w:color="000000"/>
        </w:rPr>
        <w:t>Panstwa</w:t>
      </w:r>
      <w:proofErr w:type="spellEnd"/>
      <w:r w:rsidRPr="00451146">
        <w:rPr>
          <w:rFonts w:eastAsia="Arial Unicode MS"/>
          <w:color w:val="000000"/>
          <w:sz w:val="20"/>
          <w:szCs w:val="20"/>
          <w:u w:color="000000"/>
        </w:rPr>
        <w:t xml:space="preserve">), the only organ that had that competence. In the Court’s eyes, the issue of retroactivity did not exist, supported by the 1969 Criminal Code (Article 121) and the 1952 Constitution. The Court rejected the argument that judges had an obligation at that time to review the constitutionality of the provision. The 2007 decision was extensively critiqued. One key commentator in the area, Jerzy </w:t>
      </w:r>
      <w:proofErr w:type="spellStart"/>
      <w:r w:rsidRPr="00451146">
        <w:rPr>
          <w:rFonts w:eastAsia="Arial Unicode MS"/>
          <w:color w:val="000000"/>
          <w:sz w:val="20"/>
          <w:szCs w:val="20"/>
          <w:u w:color="000000"/>
        </w:rPr>
        <w:t>Zajad</w:t>
      </w:r>
      <w:r w:rsidR="00843CD0" w:rsidRPr="00451146">
        <w:rPr>
          <w:color w:val="000000"/>
          <w:sz w:val="20"/>
          <w:szCs w:val="20"/>
        </w:rPr>
        <w:t>ło</w:t>
      </w:r>
      <w:proofErr w:type="spellEnd"/>
      <w:r w:rsidRPr="00451146">
        <w:rPr>
          <w:rFonts w:eastAsia="Arial Unicode MS"/>
          <w:color w:val="000000"/>
          <w:sz w:val="20"/>
          <w:szCs w:val="20"/>
          <w:u w:color="000000"/>
        </w:rPr>
        <w:t>,</w:t>
      </w:r>
      <w:r w:rsidR="00843CD0" w:rsidRPr="00451146">
        <w:rPr>
          <w:b/>
          <w:color w:val="000000"/>
          <w:sz w:val="20"/>
          <w:szCs w:val="20"/>
        </w:rPr>
        <w:t xml:space="preserve"> </w:t>
      </w:r>
      <w:r w:rsidRPr="00451146">
        <w:rPr>
          <w:rFonts w:eastAsia="Arial Unicode MS"/>
          <w:color w:val="000000"/>
          <w:sz w:val="20"/>
          <w:szCs w:val="20"/>
          <w:u w:color="000000"/>
        </w:rPr>
        <w:t xml:space="preserve">reprimanded the Court for not taking the opportunity to rule that judges had the moral responsibility to maintain fidelity to the law and be accountable for the application of unjust laws. </w:t>
      </w:r>
      <w:r w:rsidRPr="00451146">
        <w:rPr>
          <w:rFonts w:eastAsia="Arial Unicode MS"/>
          <w:color w:val="000000"/>
          <w:sz w:val="20"/>
          <w:szCs w:val="20"/>
          <w:u w:color="000000"/>
          <w:vertAlign w:val="superscript"/>
        </w:rPr>
        <w:footnoteReference w:id="94"/>
      </w:r>
      <w:r w:rsidR="00562A40">
        <w:rPr>
          <w:rFonts w:eastAsia="Arial Unicode MS"/>
          <w:color w:val="000000"/>
          <w:sz w:val="20"/>
          <w:szCs w:val="20"/>
          <w:u w:color="000000"/>
        </w:rPr>
        <w:t xml:space="preserve"> The R</w:t>
      </w:r>
      <w:r w:rsidRPr="00451146">
        <w:rPr>
          <w:rFonts w:eastAsia="Arial Unicode MS"/>
          <w:color w:val="000000"/>
          <w:sz w:val="20"/>
          <w:szCs w:val="20"/>
          <w:u w:color="000000"/>
        </w:rPr>
        <w:t>esolution does little to restore public trust and security to ensure that laws are not arbitrary and retroactiv</w:t>
      </w:r>
      <w:r w:rsidR="00DB3EBE">
        <w:rPr>
          <w:rFonts w:eastAsia="Arial Unicode MS"/>
          <w:color w:val="000000"/>
          <w:sz w:val="20"/>
          <w:szCs w:val="20"/>
          <w:u w:color="000000"/>
        </w:rPr>
        <w:t xml:space="preserve">e. </w:t>
      </w:r>
      <w:r w:rsidR="00562A40">
        <w:rPr>
          <w:rFonts w:eastAsia="Arial Unicode MS"/>
          <w:color w:val="000000"/>
          <w:sz w:val="20"/>
          <w:szCs w:val="20"/>
          <w:u w:color="000000"/>
        </w:rPr>
        <w:t>The</w:t>
      </w:r>
      <w:r w:rsidR="00DB3EBE">
        <w:rPr>
          <w:rFonts w:eastAsia="Arial Unicode MS"/>
          <w:color w:val="000000"/>
          <w:sz w:val="20"/>
          <w:szCs w:val="20"/>
          <w:u w:color="000000"/>
        </w:rPr>
        <w:t xml:space="preserve"> R</w:t>
      </w:r>
      <w:r w:rsidRPr="00451146">
        <w:rPr>
          <w:rFonts w:eastAsia="Arial Unicode MS"/>
          <w:color w:val="000000"/>
          <w:sz w:val="20"/>
          <w:szCs w:val="20"/>
          <w:u w:color="000000"/>
        </w:rPr>
        <w:t>esolution did not form an obstacle in the criminal prosecution of judges who committed crimes against humanity in the application of the martial law decree retroactively.</w:t>
      </w:r>
      <w:r w:rsidR="00562A40">
        <w:rPr>
          <w:rFonts w:eastAsia="Arial Unicode MS"/>
          <w:color w:val="000000"/>
          <w:sz w:val="20"/>
          <w:szCs w:val="20"/>
          <w:u w:color="000000"/>
        </w:rPr>
        <w:t xml:space="preserve"> At the time of writing there have been no such prosecutions noted.</w:t>
      </w:r>
    </w:p>
    <w:p w14:paraId="69A61CC2" w14:textId="0DA0CEF8" w:rsidR="00AB1D24" w:rsidRPr="00451146" w:rsidRDefault="00AB1D24" w:rsidP="00685C4E">
      <w:pPr>
        <w:spacing w:line="360" w:lineRule="auto"/>
        <w:ind w:firstLine="720"/>
        <w:jc w:val="both"/>
        <w:outlineLvl w:val="0"/>
        <w:rPr>
          <w:rFonts w:eastAsia="Arial Unicode MS"/>
          <w:color w:val="000000"/>
          <w:sz w:val="20"/>
          <w:szCs w:val="20"/>
          <w:u w:color="000000"/>
        </w:rPr>
      </w:pPr>
      <w:r w:rsidRPr="00451146">
        <w:rPr>
          <w:rFonts w:eastAsia="Arial Unicode MS"/>
          <w:color w:val="000000"/>
          <w:sz w:val="20"/>
          <w:szCs w:val="20"/>
          <w:u w:color="000000"/>
        </w:rPr>
        <w:t xml:space="preserve">The case was eventually referred to the </w:t>
      </w:r>
      <w:r w:rsidR="00B50E38" w:rsidRPr="00451146">
        <w:rPr>
          <w:rFonts w:eastAsia="Arial Unicode MS"/>
          <w:color w:val="000000"/>
          <w:sz w:val="20"/>
          <w:szCs w:val="20"/>
          <w:u w:color="000000"/>
        </w:rPr>
        <w:t>Constitutional Tribunal</w:t>
      </w:r>
      <w:r w:rsidRPr="00451146">
        <w:rPr>
          <w:rFonts w:eastAsia="Arial Unicode MS"/>
          <w:color w:val="000000"/>
          <w:sz w:val="20"/>
          <w:szCs w:val="20"/>
          <w:u w:color="000000"/>
        </w:rPr>
        <w:t xml:space="preserve">. The ruling was far from unanimous – out of 14 judges, six dissented. The fact that almost half of the judges dissented points to the complexity and far-reaching consequence of the case. The </w:t>
      </w:r>
      <w:r w:rsidR="00B50E38" w:rsidRPr="00451146">
        <w:rPr>
          <w:rFonts w:eastAsia="Arial Unicode MS"/>
          <w:color w:val="000000"/>
          <w:sz w:val="20"/>
          <w:szCs w:val="20"/>
          <w:u w:color="000000"/>
        </w:rPr>
        <w:t>intricac</w:t>
      </w:r>
      <w:r w:rsidRPr="00451146">
        <w:rPr>
          <w:rFonts w:eastAsia="Arial Unicode MS"/>
          <w:color w:val="000000"/>
          <w:sz w:val="20"/>
          <w:szCs w:val="20"/>
          <w:u w:color="000000"/>
        </w:rPr>
        <w:t>y of the case rests with the issue of judicial immunity becoming a constitutional matter, further to the relevant procedural law, and the manner in which the case was framed as a legal question to the Tribunal. The</w:t>
      </w:r>
      <w:r w:rsidR="002E1BD3" w:rsidRPr="00451146">
        <w:rPr>
          <w:rFonts w:eastAsia="Arial Unicode MS"/>
          <w:color w:val="000000"/>
          <w:sz w:val="20"/>
          <w:szCs w:val="20"/>
          <w:u w:color="000000"/>
        </w:rPr>
        <w:t xml:space="preserve"> </w:t>
      </w:r>
      <w:r w:rsidRPr="00451146">
        <w:rPr>
          <w:rFonts w:eastAsia="Arial Unicode MS"/>
          <w:color w:val="000000"/>
          <w:sz w:val="20"/>
          <w:szCs w:val="20"/>
          <w:u w:color="000000"/>
        </w:rPr>
        <w:t xml:space="preserve">judgment </w:t>
      </w:r>
      <w:r w:rsidR="002E1BD3" w:rsidRPr="00451146">
        <w:rPr>
          <w:rFonts w:eastAsia="Arial Unicode MS"/>
          <w:color w:val="000000"/>
          <w:sz w:val="20"/>
          <w:szCs w:val="20"/>
          <w:u w:color="000000"/>
        </w:rPr>
        <w:t xml:space="preserve">is </w:t>
      </w:r>
      <w:r w:rsidRPr="00451146">
        <w:rPr>
          <w:rFonts w:eastAsia="Arial Unicode MS"/>
          <w:color w:val="000000"/>
          <w:sz w:val="20"/>
          <w:szCs w:val="20"/>
          <w:u w:color="000000"/>
        </w:rPr>
        <w:t>fascinating, owing to the political and historical context, but also because it questions the normative basis of judicial</w:t>
      </w:r>
      <w:r w:rsidR="00B50E38" w:rsidRPr="00451146">
        <w:rPr>
          <w:rFonts w:eastAsia="Arial Unicode MS"/>
          <w:color w:val="000000"/>
          <w:sz w:val="20"/>
          <w:szCs w:val="20"/>
          <w:u w:color="000000"/>
        </w:rPr>
        <w:t xml:space="preserve"> </w:t>
      </w:r>
      <w:r w:rsidRPr="00451146">
        <w:rPr>
          <w:rFonts w:eastAsia="Arial Unicode MS"/>
          <w:color w:val="000000"/>
          <w:sz w:val="20"/>
          <w:szCs w:val="20"/>
          <w:u w:color="000000"/>
        </w:rPr>
        <w:t>decisions. Scholars have maintained that judges adjudicating cases during the martial law period would not have been immune to the consequences the decision would have on the civil liberties and lives of the defendants (see Fijalkowski</w:t>
      </w:r>
      <w:r w:rsidR="0002763F">
        <w:rPr>
          <w:rFonts w:eastAsia="Arial Unicode MS"/>
          <w:color w:val="000000"/>
          <w:sz w:val="20"/>
          <w:szCs w:val="20"/>
          <w:u w:color="000000"/>
        </w:rPr>
        <w:t xml:space="preserve"> in this volume</w:t>
      </w:r>
      <w:r w:rsidRPr="00451146">
        <w:rPr>
          <w:rFonts w:eastAsia="Arial Unicode MS"/>
          <w:color w:val="000000"/>
          <w:sz w:val="20"/>
          <w:szCs w:val="20"/>
          <w:u w:color="000000"/>
        </w:rPr>
        <w:t>).</w:t>
      </w:r>
    </w:p>
    <w:p w14:paraId="24AA33E4" w14:textId="6E1B47A2" w:rsidR="00AB1D24" w:rsidRPr="00451146" w:rsidRDefault="00AB1D24" w:rsidP="00685C4E">
      <w:pPr>
        <w:pStyle w:val="Body1"/>
        <w:spacing w:line="360" w:lineRule="auto"/>
        <w:jc w:val="both"/>
        <w:rPr>
          <w:sz w:val="20"/>
          <w:lang w:val="en-GB"/>
        </w:rPr>
      </w:pPr>
      <w:r w:rsidRPr="00451146">
        <w:rPr>
          <w:sz w:val="20"/>
          <w:lang w:val="en-GB"/>
        </w:rPr>
        <w:tab/>
        <w:t xml:space="preserve">Not surprisingly the context of the case (lifting immunity of judges who broke the maxim of </w:t>
      </w:r>
      <w:proofErr w:type="spellStart"/>
      <w:r w:rsidRPr="00451146">
        <w:rPr>
          <w:i/>
          <w:sz w:val="20"/>
          <w:lang w:val="en-GB"/>
        </w:rPr>
        <w:t>lex</w:t>
      </w:r>
      <w:proofErr w:type="spellEnd"/>
      <w:r w:rsidRPr="00451146">
        <w:rPr>
          <w:i/>
          <w:sz w:val="20"/>
          <w:lang w:val="en-GB"/>
        </w:rPr>
        <w:t xml:space="preserve"> retro non </w:t>
      </w:r>
      <w:proofErr w:type="spellStart"/>
      <w:r w:rsidRPr="00451146">
        <w:rPr>
          <w:i/>
          <w:sz w:val="20"/>
          <w:lang w:val="en-GB"/>
        </w:rPr>
        <w:t>agit</w:t>
      </w:r>
      <w:proofErr w:type="spellEnd"/>
      <w:r w:rsidRPr="00451146">
        <w:rPr>
          <w:sz w:val="20"/>
          <w:lang w:val="en-GB"/>
        </w:rPr>
        <w:t>) provoked a contentious ideological and political debate. The T</w:t>
      </w:r>
      <w:r w:rsidR="00B50E38" w:rsidRPr="00451146">
        <w:rPr>
          <w:sz w:val="20"/>
          <w:lang w:val="en-GB"/>
        </w:rPr>
        <w:t>ribunal</w:t>
      </w:r>
      <w:r w:rsidRPr="00451146">
        <w:rPr>
          <w:sz w:val="20"/>
          <w:lang w:val="en-GB"/>
        </w:rPr>
        <w:t xml:space="preserve"> rendered its judgment in October 2010. For the T</w:t>
      </w:r>
      <w:r w:rsidR="00B50E38" w:rsidRPr="00451146">
        <w:rPr>
          <w:sz w:val="20"/>
          <w:lang w:val="en-GB"/>
        </w:rPr>
        <w:t>ribunal</w:t>
      </w:r>
      <w:r w:rsidRPr="00451146">
        <w:rPr>
          <w:sz w:val="20"/>
          <w:lang w:val="en-GB"/>
        </w:rPr>
        <w:t xml:space="preserve"> it was a case concerning Article 7, Article 10, and Article 42(1) of the present 1997 Constitution, and to Article 7 ECHR (Dz. U. of 1993, No. 61, item 284) and Article 15 ICCPR (Dz. U. of 1977, No. </w:t>
      </w:r>
      <w:r w:rsidR="00562A40">
        <w:rPr>
          <w:sz w:val="20"/>
          <w:lang w:val="en-GB"/>
        </w:rPr>
        <w:t>38, item 167). T</w:t>
      </w:r>
      <w:r w:rsidRPr="00451146">
        <w:rPr>
          <w:sz w:val="20"/>
          <w:lang w:val="en-GB"/>
        </w:rPr>
        <w:t>he Tribunal had to determine the conformity of Article 80(2b), first sentence, of the Act of 27 July 2001 on the Law on the Organisation of Common Courts (Journal of Laws - Dz. U. No. 98, item 1070, as amended) t</w:t>
      </w:r>
      <w:r w:rsidR="00DB3EBE">
        <w:rPr>
          <w:sz w:val="20"/>
          <w:lang w:val="en-GB"/>
        </w:rPr>
        <w:t>o the extent to which the term ‘</w:t>
      </w:r>
      <w:r w:rsidRPr="00451146">
        <w:rPr>
          <w:sz w:val="20"/>
          <w:lang w:val="en-GB"/>
        </w:rPr>
        <w:t>obviously groundless motion for permission to hold a judge criminally liab</w:t>
      </w:r>
      <w:r w:rsidR="00DB3EBE">
        <w:rPr>
          <w:sz w:val="20"/>
          <w:lang w:val="en-GB"/>
        </w:rPr>
        <w:t>le’</w:t>
      </w:r>
      <w:r w:rsidRPr="00451146">
        <w:rPr>
          <w:sz w:val="20"/>
          <w:lang w:val="en-GB"/>
        </w:rPr>
        <w:t xml:space="preserve"> includes a motion for permission to hold a judge criminally liable with regard to a judge who, while adjudicating on criminal cases at the time when the Constitution of the People's Republic of Poland of 22 July 1952 was in force </w:t>
      </w:r>
      <w:r w:rsidRPr="00451146">
        <w:rPr>
          <w:sz w:val="20"/>
          <w:lang w:val="en-GB"/>
        </w:rPr>
        <w:lastRenderedPageBreak/>
        <w:t xml:space="preserve">(Dz. U. No. 33, item 232, as amended) applied </w:t>
      </w:r>
      <w:r w:rsidR="00DB3EBE">
        <w:rPr>
          <w:sz w:val="20"/>
          <w:lang w:val="en-GB"/>
        </w:rPr>
        <w:t xml:space="preserve">retroactive criminal provisions. </w:t>
      </w:r>
      <w:r w:rsidR="002D44D9">
        <w:rPr>
          <w:sz w:val="20"/>
          <w:lang w:val="en-GB"/>
        </w:rPr>
        <w:t>T</w:t>
      </w:r>
      <w:r w:rsidRPr="00451146">
        <w:rPr>
          <w:sz w:val="20"/>
          <w:lang w:val="en-GB"/>
        </w:rPr>
        <w:t>he Tribunal held that Article 80 (2b) is inconsistent with Article 2 of the 1997 Constitution and not inconsistent with Article 7, Article 10, and Article 42(1) of the present 1997 Constitution, and to Article 7 ECHR (Dz. U. of 1993, No. 61, item 284) and Article 15 ICCPR (Dz. U. of 1977, No. 38, item 167</w:t>
      </w:r>
      <w:r w:rsidR="00DB3EBE">
        <w:rPr>
          <w:sz w:val="20"/>
          <w:lang w:val="en-GB"/>
        </w:rPr>
        <w:t>). In other words, the Tribunal’</w:t>
      </w:r>
      <w:r w:rsidRPr="00451146">
        <w:rPr>
          <w:sz w:val="20"/>
          <w:lang w:val="en-GB"/>
        </w:rPr>
        <w:t>s decision on the issue makes the challenged provision concerning competence a constitutional matter, when in fact it is an issue that has no normative content. The ruling did not c</w:t>
      </w:r>
      <w:r w:rsidR="004860D2">
        <w:rPr>
          <w:sz w:val="20"/>
          <w:lang w:val="en-GB"/>
        </w:rPr>
        <w:t>omment on the substance of the R</w:t>
      </w:r>
      <w:r w:rsidRPr="00451146">
        <w:rPr>
          <w:sz w:val="20"/>
          <w:lang w:val="en-GB"/>
        </w:rPr>
        <w:t>esolution.</w:t>
      </w:r>
    </w:p>
    <w:p w14:paraId="30957D82" w14:textId="3B800BA0" w:rsidR="00A948C9" w:rsidRPr="00451146" w:rsidRDefault="00AB1D24" w:rsidP="00A948C9">
      <w:pPr>
        <w:pStyle w:val="Body1"/>
        <w:widowControl w:val="0"/>
        <w:spacing w:after="200" w:line="360" w:lineRule="auto"/>
        <w:ind w:firstLine="720"/>
        <w:jc w:val="both"/>
        <w:rPr>
          <w:sz w:val="20"/>
          <w:lang w:val="en-GB"/>
        </w:rPr>
      </w:pPr>
      <w:r w:rsidRPr="00451146">
        <w:rPr>
          <w:sz w:val="20"/>
          <w:lang w:val="en-GB"/>
        </w:rPr>
        <w:t xml:space="preserve">One of the dissenting judges, Ewa </w:t>
      </w:r>
      <w:proofErr w:type="spellStart"/>
      <w:r w:rsidR="00843CD0" w:rsidRPr="00451146">
        <w:rPr>
          <w:sz w:val="20"/>
        </w:rPr>
        <w:t>Łet</w:t>
      </w:r>
      <w:r w:rsidRPr="00451146">
        <w:rPr>
          <w:sz w:val="20"/>
          <w:lang w:val="en-GB"/>
        </w:rPr>
        <w:t>owska</w:t>
      </w:r>
      <w:proofErr w:type="spellEnd"/>
      <w:r w:rsidRPr="00451146">
        <w:rPr>
          <w:sz w:val="20"/>
          <w:lang w:val="en-GB"/>
        </w:rPr>
        <w:t>, who was Poland's first Ombudsman</w:t>
      </w:r>
      <w:r w:rsidR="00D54710" w:rsidRPr="00451146">
        <w:rPr>
          <w:sz w:val="20"/>
          <w:lang w:val="en-GB"/>
        </w:rPr>
        <w:t xml:space="preserve"> (1987-1992)</w:t>
      </w:r>
      <w:r w:rsidRPr="00451146">
        <w:rPr>
          <w:sz w:val="20"/>
          <w:lang w:val="en-GB"/>
        </w:rPr>
        <w:t xml:space="preserve">, </w:t>
      </w:r>
      <w:r w:rsidR="00C67D21">
        <w:rPr>
          <w:sz w:val="20"/>
          <w:lang w:val="en-GB"/>
        </w:rPr>
        <w:t xml:space="preserve">argued that </w:t>
      </w:r>
      <w:r w:rsidRPr="00451146">
        <w:rPr>
          <w:sz w:val="20"/>
          <w:lang w:val="en-GB"/>
        </w:rPr>
        <w:t>an erroneous procedural decision should</w:t>
      </w:r>
      <w:r w:rsidR="00C67D21">
        <w:rPr>
          <w:sz w:val="20"/>
          <w:lang w:val="en-GB"/>
        </w:rPr>
        <w:t xml:space="preserve"> not</w:t>
      </w:r>
      <w:r w:rsidRPr="00451146">
        <w:rPr>
          <w:sz w:val="20"/>
          <w:lang w:val="en-GB"/>
        </w:rPr>
        <w:t xml:space="preserve"> be corrected by another wrong answer. </w:t>
      </w:r>
      <w:r w:rsidR="002D44D9">
        <w:rPr>
          <w:sz w:val="20"/>
          <w:lang w:val="en-GB"/>
        </w:rPr>
        <w:t>The Tribunal’</w:t>
      </w:r>
      <w:r w:rsidRPr="00451146">
        <w:rPr>
          <w:sz w:val="20"/>
          <w:lang w:val="en-GB"/>
        </w:rPr>
        <w:t xml:space="preserve">s </w:t>
      </w:r>
      <w:r w:rsidR="002D44D9">
        <w:rPr>
          <w:sz w:val="20"/>
          <w:lang w:val="en-GB"/>
        </w:rPr>
        <w:t xml:space="preserve">ruling meant that its </w:t>
      </w:r>
      <w:r w:rsidRPr="00451146">
        <w:rPr>
          <w:sz w:val="20"/>
          <w:lang w:val="en-GB"/>
        </w:rPr>
        <w:t>competence over a specific procedural issue concerning judges in the common courts</w:t>
      </w:r>
      <w:r w:rsidR="002D44D9">
        <w:rPr>
          <w:sz w:val="20"/>
          <w:lang w:val="en-GB"/>
        </w:rPr>
        <w:t xml:space="preserve"> was extended.</w:t>
      </w:r>
      <w:r w:rsidRPr="00451146">
        <w:rPr>
          <w:sz w:val="20"/>
          <w:lang w:val="en-GB"/>
        </w:rPr>
        <w:t xml:space="preserve"> </w:t>
      </w:r>
      <w:proofErr w:type="spellStart"/>
      <w:r w:rsidR="00843CD0" w:rsidRPr="00451146">
        <w:rPr>
          <w:sz w:val="20"/>
        </w:rPr>
        <w:t>Łet</w:t>
      </w:r>
      <w:r w:rsidR="00843CD0" w:rsidRPr="00451146">
        <w:rPr>
          <w:sz w:val="20"/>
          <w:lang w:val="en-GB"/>
        </w:rPr>
        <w:t>owska</w:t>
      </w:r>
      <w:proofErr w:type="spellEnd"/>
      <w:r w:rsidRPr="00451146">
        <w:rPr>
          <w:sz w:val="20"/>
          <w:lang w:val="en-GB"/>
        </w:rPr>
        <w:t xml:space="preserve"> saw </w:t>
      </w:r>
      <w:r w:rsidR="002D44D9">
        <w:rPr>
          <w:sz w:val="20"/>
          <w:lang w:val="en-GB"/>
        </w:rPr>
        <w:t>this as</w:t>
      </w:r>
      <w:r w:rsidRPr="00451146">
        <w:rPr>
          <w:sz w:val="20"/>
          <w:lang w:val="en-GB"/>
        </w:rPr>
        <w:t xml:space="preserve"> a potential infringement upon the separation of powers</w:t>
      </w:r>
      <w:r w:rsidR="002D44D9">
        <w:rPr>
          <w:sz w:val="20"/>
          <w:lang w:val="en-GB"/>
        </w:rPr>
        <w:t>. J</w:t>
      </w:r>
      <w:r w:rsidRPr="00451146">
        <w:rPr>
          <w:sz w:val="20"/>
          <w:lang w:val="en-GB"/>
        </w:rPr>
        <w:t xml:space="preserve">udicial independence </w:t>
      </w:r>
      <w:r w:rsidR="002D44D9">
        <w:rPr>
          <w:sz w:val="20"/>
          <w:lang w:val="en-GB"/>
        </w:rPr>
        <w:t>was potentially jeopardised as Supreme Court R</w:t>
      </w:r>
      <w:r w:rsidRPr="00451146">
        <w:rPr>
          <w:sz w:val="20"/>
          <w:lang w:val="en-GB"/>
        </w:rPr>
        <w:t xml:space="preserve">esolutions </w:t>
      </w:r>
      <w:r w:rsidR="002D44D9">
        <w:rPr>
          <w:sz w:val="20"/>
          <w:lang w:val="en-GB"/>
        </w:rPr>
        <w:t xml:space="preserve">were brought under </w:t>
      </w:r>
      <w:r w:rsidRPr="00451146">
        <w:rPr>
          <w:sz w:val="20"/>
          <w:lang w:val="en-GB"/>
        </w:rPr>
        <w:t>the T</w:t>
      </w:r>
      <w:r w:rsidR="00B50E38" w:rsidRPr="00451146">
        <w:rPr>
          <w:sz w:val="20"/>
          <w:lang w:val="en-GB"/>
        </w:rPr>
        <w:t>ribunal</w:t>
      </w:r>
      <w:r w:rsidR="002D44D9">
        <w:rPr>
          <w:sz w:val="20"/>
          <w:lang w:val="en-GB"/>
        </w:rPr>
        <w:t>’</w:t>
      </w:r>
      <w:r w:rsidRPr="00451146">
        <w:rPr>
          <w:sz w:val="20"/>
          <w:lang w:val="en-GB"/>
        </w:rPr>
        <w:t xml:space="preserve">s competence. In her opinion, </w:t>
      </w:r>
      <w:proofErr w:type="spellStart"/>
      <w:r w:rsidR="00843CD0" w:rsidRPr="00451146">
        <w:rPr>
          <w:sz w:val="20"/>
        </w:rPr>
        <w:t>Łet</w:t>
      </w:r>
      <w:r w:rsidR="00843CD0" w:rsidRPr="00451146">
        <w:rPr>
          <w:sz w:val="20"/>
          <w:lang w:val="en-GB"/>
        </w:rPr>
        <w:t>owska</w:t>
      </w:r>
      <w:proofErr w:type="spellEnd"/>
      <w:r w:rsidRPr="00451146">
        <w:rPr>
          <w:sz w:val="20"/>
          <w:lang w:val="en-GB"/>
        </w:rPr>
        <w:t xml:space="preserve"> bemoaned the fact that </w:t>
      </w:r>
      <w:r w:rsidR="002D44D9">
        <w:rPr>
          <w:sz w:val="20"/>
          <w:lang w:val="en-GB"/>
        </w:rPr>
        <w:t xml:space="preserve">a </w:t>
      </w:r>
      <w:r w:rsidRPr="00451146">
        <w:rPr>
          <w:sz w:val="20"/>
          <w:lang w:val="en-GB"/>
        </w:rPr>
        <w:t xml:space="preserve">bad law will force the </w:t>
      </w:r>
      <w:r w:rsidR="007317AA">
        <w:rPr>
          <w:sz w:val="20"/>
          <w:lang w:val="en-GB"/>
        </w:rPr>
        <w:t xml:space="preserve">Tribunal </w:t>
      </w:r>
      <w:r w:rsidRPr="00451146">
        <w:rPr>
          <w:sz w:val="20"/>
          <w:lang w:val="en-GB"/>
        </w:rPr>
        <w:t xml:space="preserve">to step into matters that are not in its </w:t>
      </w:r>
      <w:proofErr w:type="gramStart"/>
      <w:r w:rsidRPr="00451146">
        <w:rPr>
          <w:sz w:val="20"/>
          <w:lang w:val="en-GB"/>
        </w:rPr>
        <w:t>competence,</w:t>
      </w:r>
      <w:proofErr w:type="gramEnd"/>
      <w:r w:rsidRPr="00451146">
        <w:rPr>
          <w:sz w:val="20"/>
          <w:lang w:val="en-GB"/>
        </w:rPr>
        <w:t xml:space="preserve"> in an effort to fill in the gaps that it itself had created. Presumably, this would imply the Supreme Court was not able to make a bold move away from a positivist application of the law. The T</w:t>
      </w:r>
      <w:r w:rsidR="00B50E38" w:rsidRPr="00451146">
        <w:rPr>
          <w:sz w:val="20"/>
          <w:lang w:val="en-GB"/>
        </w:rPr>
        <w:t>ribunal</w:t>
      </w:r>
      <w:r w:rsidRPr="00451146">
        <w:rPr>
          <w:sz w:val="20"/>
          <w:lang w:val="en-GB"/>
        </w:rPr>
        <w:t xml:space="preserve"> had the opportunity to make its position clear with respect to the Supreme Court resolution, and its inability to squarely address two questions: </w:t>
      </w:r>
      <w:r w:rsidR="002D44D9">
        <w:rPr>
          <w:sz w:val="20"/>
          <w:lang w:val="en-GB"/>
        </w:rPr>
        <w:t xml:space="preserve">the first concerning </w:t>
      </w:r>
      <w:r w:rsidRPr="00451146">
        <w:rPr>
          <w:sz w:val="20"/>
          <w:lang w:val="en-GB"/>
        </w:rPr>
        <w:t xml:space="preserve">guilt and </w:t>
      </w:r>
      <w:r w:rsidR="002D44D9">
        <w:rPr>
          <w:sz w:val="20"/>
          <w:lang w:val="en-GB"/>
        </w:rPr>
        <w:t xml:space="preserve">the second relating to </w:t>
      </w:r>
      <w:r w:rsidRPr="00451146">
        <w:rPr>
          <w:sz w:val="20"/>
          <w:lang w:val="en-GB"/>
        </w:rPr>
        <w:t xml:space="preserve">unjust laws. However, the issue at hand is much simpler than the question faced by </w:t>
      </w:r>
      <w:proofErr w:type="spellStart"/>
      <w:r w:rsidRPr="00451146">
        <w:rPr>
          <w:sz w:val="20"/>
          <w:lang w:val="en-GB"/>
        </w:rPr>
        <w:t>Radbruch</w:t>
      </w:r>
      <w:proofErr w:type="spellEnd"/>
      <w:r w:rsidRPr="00451146">
        <w:rPr>
          <w:sz w:val="20"/>
          <w:lang w:val="en-GB"/>
        </w:rPr>
        <w:t xml:space="preserve">. In fact, most of the </w:t>
      </w:r>
      <w:r w:rsidR="00B50E38" w:rsidRPr="00451146">
        <w:rPr>
          <w:sz w:val="20"/>
          <w:lang w:val="en-GB"/>
        </w:rPr>
        <w:t xml:space="preserve">Tribunal’s </w:t>
      </w:r>
      <w:r w:rsidRPr="00451146">
        <w:rPr>
          <w:sz w:val="20"/>
          <w:lang w:val="en-GB"/>
        </w:rPr>
        <w:t xml:space="preserve">judges rejected the position of the Supreme Court that applying laws retroactively was a principle that did not exist at the time. </w:t>
      </w:r>
      <w:r w:rsidRPr="00451146">
        <w:rPr>
          <w:sz w:val="20"/>
          <w:vertAlign w:val="superscript"/>
          <w:lang w:val="en-GB"/>
        </w:rPr>
        <w:footnoteReference w:id="95"/>
      </w:r>
      <w:r w:rsidRPr="00451146">
        <w:rPr>
          <w:sz w:val="20"/>
          <w:lang w:val="en-GB"/>
        </w:rPr>
        <w:t xml:space="preserve"> </w:t>
      </w:r>
      <w:r w:rsidR="00843CD0" w:rsidRPr="00451146">
        <w:rPr>
          <w:sz w:val="20"/>
        </w:rPr>
        <w:t>Ł</w:t>
      </w:r>
      <w:proofErr w:type="spellStart"/>
      <w:r w:rsidRPr="00451146">
        <w:rPr>
          <w:sz w:val="20"/>
          <w:lang w:val="en-GB"/>
        </w:rPr>
        <w:t>etowska</w:t>
      </w:r>
      <w:proofErr w:type="spellEnd"/>
      <w:r w:rsidRPr="00451146">
        <w:rPr>
          <w:sz w:val="20"/>
          <w:lang w:val="en-GB"/>
        </w:rPr>
        <w:t xml:space="preserve"> is the only judge to discuss coming to terms with the past at great length. She hints at the issue becoming politicised. She calls upon using </w:t>
      </w:r>
      <w:proofErr w:type="spellStart"/>
      <w:r w:rsidRPr="00451146">
        <w:rPr>
          <w:sz w:val="20"/>
          <w:lang w:val="en-GB"/>
        </w:rPr>
        <w:t>Radbruch</w:t>
      </w:r>
      <w:proofErr w:type="spellEnd"/>
      <w:r w:rsidRPr="00451146">
        <w:rPr>
          <w:sz w:val="20"/>
          <w:lang w:val="en-GB"/>
        </w:rPr>
        <w:t xml:space="preserve"> and takes great pains to distance herself from the majority opinion and stressing that her dissent does not imply support for the decision rendered by the Supreme Court. For </w:t>
      </w:r>
      <w:proofErr w:type="spellStart"/>
      <w:r w:rsidR="00843CD0" w:rsidRPr="00451146">
        <w:rPr>
          <w:sz w:val="20"/>
        </w:rPr>
        <w:t>Łet</w:t>
      </w:r>
      <w:r w:rsidR="00843CD0" w:rsidRPr="00451146">
        <w:rPr>
          <w:sz w:val="20"/>
          <w:lang w:val="en-GB"/>
        </w:rPr>
        <w:t>owska</w:t>
      </w:r>
      <w:proofErr w:type="spellEnd"/>
      <w:r w:rsidRPr="00451146">
        <w:rPr>
          <w:sz w:val="20"/>
          <w:lang w:val="en-GB"/>
        </w:rPr>
        <w:t xml:space="preserve">, the way forward is application of </w:t>
      </w:r>
      <w:proofErr w:type="spellStart"/>
      <w:r w:rsidRPr="00451146">
        <w:rPr>
          <w:sz w:val="20"/>
          <w:lang w:val="en-GB"/>
        </w:rPr>
        <w:t>Radbruch's</w:t>
      </w:r>
      <w:proofErr w:type="spellEnd"/>
      <w:r w:rsidRPr="00451146">
        <w:rPr>
          <w:sz w:val="20"/>
          <w:lang w:val="en-GB"/>
        </w:rPr>
        <w:t xml:space="preserve"> formula in whole: as an issue of unlawfulness and an issue of the lack of guilt where</w:t>
      </w:r>
    </w:p>
    <w:p w14:paraId="71FCA93C" w14:textId="53586D4B" w:rsidR="00AB1D24" w:rsidRPr="00451146" w:rsidRDefault="00AB1D24" w:rsidP="00DB3EBE">
      <w:pPr>
        <w:pStyle w:val="Body1"/>
        <w:widowControl w:val="0"/>
        <w:spacing w:after="200" w:line="360" w:lineRule="auto"/>
        <w:ind w:left="720"/>
        <w:jc w:val="both"/>
        <w:rPr>
          <w:sz w:val="20"/>
          <w:lang w:val="en-GB"/>
        </w:rPr>
      </w:pPr>
      <w:proofErr w:type="gramStart"/>
      <w:r w:rsidRPr="00451146">
        <w:rPr>
          <w:sz w:val="20"/>
          <w:lang w:val="en-GB"/>
        </w:rPr>
        <w:t>this</w:t>
      </w:r>
      <w:proofErr w:type="gramEnd"/>
      <w:r w:rsidRPr="00451146">
        <w:rPr>
          <w:sz w:val="20"/>
          <w:lang w:val="en-GB"/>
        </w:rPr>
        <w:t xml:space="preserve"> fragment of the formula is less popular in the legal discourse. If I had grounds to believe that revoking [judicial] immunity would bring about diligent, insightful </w:t>
      </w:r>
      <w:r w:rsidR="00A948C9" w:rsidRPr="00451146">
        <w:rPr>
          <w:sz w:val="20"/>
          <w:lang w:val="en-GB"/>
        </w:rPr>
        <w:t>a</w:t>
      </w:r>
      <w:r w:rsidRPr="00451146">
        <w:rPr>
          <w:sz w:val="20"/>
          <w:lang w:val="en-GB"/>
        </w:rPr>
        <w:t>ssessment which would be free from any bias or opportunism, with regard to issues concerning immunity, I would opt, in similar situations, for a stance that would be clear-cut: revocation of immunity (due to actual unlawf</w:t>
      </w:r>
      <w:r w:rsidR="00DB3EBE">
        <w:rPr>
          <w:sz w:val="20"/>
          <w:lang w:val="en-GB"/>
        </w:rPr>
        <w:t xml:space="preserve">ulness) and the perspective of </w:t>
      </w:r>
      <w:r w:rsidRPr="00451146">
        <w:rPr>
          <w:sz w:val="20"/>
          <w:lang w:val="en-GB"/>
        </w:rPr>
        <w:t xml:space="preserve">objective and unbiased adjudication on a specific act (guilt). </w:t>
      </w:r>
      <w:proofErr w:type="gramStart"/>
      <w:r w:rsidRPr="00451146">
        <w:rPr>
          <w:sz w:val="20"/>
          <w:lang w:val="en-GB"/>
        </w:rPr>
        <w:t>Neither the Resolution of the Supreme Court, Ref. No.</w:t>
      </w:r>
      <w:proofErr w:type="gramEnd"/>
      <w:r w:rsidRPr="00451146">
        <w:rPr>
          <w:sz w:val="20"/>
          <w:lang w:val="en-GB"/>
        </w:rPr>
        <w:t xml:space="preserve"> I KZP 37/07, nor the judgment of the Constitutional Tribunal, to which I submit my dissenting opinion, incline me to believe that, in such a case, we would arrive at a balanced and fair effect of </w:t>
      </w:r>
      <w:proofErr w:type="spellStart"/>
      <w:r w:rsidRPr="00451146">
        <w:rPr>
          <w:sz w:val="20"/>
          <w:lang w:val="en-GB"/>
        </w:rPr>
        <w:t>Radbruch's</w:t>
      </w:r>
      <w:proofErr w:type="spellEnd"/>
      <w:r w:rsidRPr="00451146">
        <w:rPr>
          <w:sz w:val="20"/>
          <w:lang w:val="en-GB"/>
        </w:rPr>
        <w:t xml:space="preserve"> formula in its extensiveness.</w:t>
      </w:r>
      <w:r w:rsidRPr="00451146">
        <w:rPr>
          <w:sz w:val="20"/>
          <w:vertAlign w:val="superscript"/>
          <w:lang w:val="en-GB"/>
        </w:rPr>
        <w:footnoteReference w:id="96"/>
      </w:r>
    </w:p>
    <w:p w14:paraId="04F547CE" w14:textId="57034A47" w:rsidR="00AB1D24" w:rsidRPr="00451146" w:rsidRDefault="00AB1D24" w:rsidP="00685C4E">
      <w:pPr>
        <w:spacing w:line="360" w:lineRule="auto"/>
        <w:jc w:val="both"/>
        <w:outlineLvl w:val="0"/>
        <w:rPr>
          <w:rFonts w:eastAsia="Arial Unicode MS"/>
          <w:color w:val="000000"/>
          <w:sz w:val="20"/>
          <w:szCs w:val="20"/>
          <w:u w:color="000000"/>
        </w:rPr>
      </w:pPr>
      <w:r w:rsidRPr="00451146">
        <w:rPr>
          <w:rFonts w:eastAsia="Arial Unicode MS"/>
          <w:color w:val="000000"/>
          <w:sz w:val="20"/>
          <w:szCs w:val="20"/>
          <w:u w:color="000000"/>
        </w:rPr>
        <w:t xml:space="preserve">Some commentators argue that </w:t>
      </w:r>
      <w:r w:rsidR="002D44D9">
        <w:rPr>
          <w:rFonts w:eastAsia="Arial Unicode MS"/>
          <w:color w:val="000000"/>
          <w:sz w:val="20"/>
          <w:szCs w:val="20"/>
          <w:u w:color="000000"/>
        </w:rPr>
        <w:t>d</w:t>
      </w:r>
      <w:r w:rsidRPr="00451146">
        <w:rPr>
          <w:rFonts w:eastAsia="Arial Unicode MS"/>
          <w:color w:val="000000"/>
          <w:sz w:val="20"/>
          <w:szCs w:val="20"/>
          <w:u w:color="000000"/>
        </w:rPr>
        <w:t>ecisions such as the one rendered by the Supre</w:t>
      </w:r>
      <w:r w:rsidR="00C67D21">
        <w:rPr>
          <w:rFonts w:eastAsia="Arial Unicode MS"/>
          <w:color w:val="000000"/>
          <w:sz w:val="20"/>
          <w:szCs w:val="20"/>
          <w:u w:color="000000"/>
        </w:rPr>
        <w:t>me Court reveal an</w:t>
      </w:r>
      <w:r w:rsidRPr="00451146">
        <w:rPr>
          <w:rFonts w:eastAsia="Arial Unicode MS"/>
          <w:color w:val="000000"/>
          <w:sz w:val="20"/>
          <w:szCs w:val="20"/>
          <w:u w:color="000000"/>
        </w:rPr>
        <w:t xml:space="preserve"> old order that remains hidden away within a valid legal framework while its legitimacy is based on an old </w:t>
      </w:r>
      <w:r w:rsidRPr="00451146">
        <w:rPr>
          <w:rFonts w:eastAsia="Arial Unicode MS"/>
          <w:color w:val="000000"/>
          <w:sz w:val="20"/>
          <w:szCs w:val="20"/>
          <w:u w:color="000000"/>
        </w:rPr>
        <w:lastRenderedPageBreak/>
        <w:t>constitution and an old legal order.</w:t>
      </w:r>
      <w:r w:rsidRPr="00451146">
        <w:rPr>
          <w:rFonts w:eastAsia="Arial Unicode MS"/>
          <w:color w:val="000000"/>
          <w:sz w:val="20"/>
          <w:szCs w:val="20"/>
          <w:u w:color="000000"/>
          <w:vertAlign w:val="superscript"/>
        </w:rPr>
        <w:footnoteReference w:id="97"/>
      </w:r>
      <w:r w:rsidRPr="00451146">
        <w:rPr>
          <w:rFonts w:eastAsia="Arial Unicode MS"/>
          <w:color w:val="000000"/>
          <w:sz w:val="20"/>
          <w:szCs w:val="20"/>
          <w:u w:color="000000"/>
        </w:rPr>
        <w:t xml:space="preserve"> Nowhere are the issues more contentious than in cases dealing with retroactivity. In this vein, and as raised </w:t>
      </w:r>
      <w:r w:rsidR="00492FC4">
        <w:rPr>
          <w:rFonts w:eastAsia="Arial Unicode MS"/>
          <w:color w:val="000000"/>
          <w:sz w:val="20"/>
          <w:szCs w:val="20"/>
          <w:u w:color="000000"/>
        </w:rPr>
        <w:t xml:space="preserve">in this volume (see </w:t>
      </w:r>
      <w:r w:rsidR="00C67D21">
        <w:rPr>
          <w:rFonts w:eastAsia="Arial Unicode MS"/>
          <w:color w:val="000000"/>
          <w:sz w:val="20"/>
          <w:szCs w:val="20"/>
          <w:u w:color="000000"/>
        </w:rPr>
        <w:t xml:space="preserve">the chapters by </w:t>
      </w:r>
      <w:proofErr w:type="spellStart"/>
      <w:r w:rsidR="0002763F" w:rsidRPr="00507F56">
        <w:rPr>
          <w:color w:val="000000"/>
          <w:sz w:val="20"/>
          <w:szCs w:val="20"/>
        </w:rPr>
        <w:t>Černič</w:t>
      </w:r>
      <w:proofErr w:type="spellEnd"/>
      <w:r w:rsidR="00DB3EBE">
        <w:rPr>
          <w:rFonts w:eastAsia="Arial Unicode MS"/>
          <w:color w:val="000000"/>
          <w:sz w:val="20"/>
          <w:szCs w:val="20"/>
          <w:u w:color="000000"/>
        </w:rPr>
        <w:t xml:space="preserve"> </w:t>
      </w:r>
      <w:r w:rsidR="0002763F">
        <w:rPr>
          <w:rFonts w:eastAsia="Arial Unicode MS"/>
          <w:color w:val="000000"/>
          <w:sz w:val="20"/>
          <w:szCs w:val="20"/>
          <w:u w:color="000000"/>
        </w:rPr>
        <w:t xml:space="preserve">and </w:t>
      </w:r>
      <w:r w:rsidR="00492FC4">
        <w:rPr>
          <w:rFonts w:eastAsia="Arial Unicode MS"/>
          <w:color w:val="000000"/>
          <w:sz w:val="20"/>
          <w:szCs w:val="20"/>
          <w:u w:color="000000"/>
        </w:rPr>
        <w:t>Fijalkowski</w:t>
      </w:r>
      <w:r w:rsidR="00C67D21">
        <w:rPr>
          <w:rFonts w:eastAsia="Arial Unicode MS"/>
          <w:color w:val="000000"/>
          <w:sz w:val="20"/>
          <w:szCs w:val="20"/>
          <w:u w:color="000000"/>
        </w:rPr>
        <w:t>, respectively</w:t>
      </w:r>
      <w:r w:rsidR="00492FC4">
        <w:rPr>
          <w:rFonts w:eastAsia="Arial Unicode MS"/>
          <w:color w:val="000000"/>
          <w:sz w:val="20"/>
          <w:szCs w:val="20"/>
          <w:u w:color="000000"/>
        </w:rPr>
        <w:t>)</w:t>
      </w:r>
      <w:r w:rsidRPr="00451146">
        <w:rPr>
          <w:rFonts w:eastAsia="Arial Unicode MS"/>
          <w:color w:val="000000"/>
          <w:sz w:val="20"/>
          <w:szCs w:val="20"/>
          <w:u w:color="000000"/>
        </w:rPr>
        <w:t xml:space="preserve">, political and indeed legal discourses on the subject have indicated that judges should take responsibility of applying unjust laws. Instead, the </w:t>
      </w:r>
      <w:r w:rsidR="002D44D9">
        <w:rPr>
          <w:rFonts w:eastAsia="Arial Unicode MS"/>
          <w:color w:val="000000"/>
          <w:sz w:val="20"/>
          <w:szCs w:val="20"/>
          <w:u w:color="000000"/>
        </w:rPr>
        <w:t xml:space="preserve">Polish </w:t>
      </w:r>
      <w:r w:rsidRPr="00451146">
        <w:rPr>
          <w:rFonts w:eastAsia="Arial Unicode MS"/>
          <w:color w:val="000000"/>
          <w:sz w:val="20"/>
          <w:szCs w:val="20"/>
          <w:u w:color="000000"/>
        </w:rPr>
        <w:t>ruling creates a situation of uncertainty - it is not clear what will happen if a move is made to lift judicial immunity of a judge who had adjudicated under martial law and rendered unjust verdicts.</w:t>
      </w:r>
    </w:p>
    <w:p w14:paraId="50D0579E" w14:textId="77777777" w:rsidR="00AB1D24" w:rsidRPr="00451146" w:rsidRDefault="00AB1D24" w:rsidP="00685C4E">
      <w:pPr>
        <w:spacing w:line="360" w:lineRule="auto"/>
        <w:jc w:val="both"/>
        <w:outlineLvl w:val="0"/>
        <w:rPr>
          <w:rFonts w:eastAsia="Arial Unicode MS"/>
          <w:color w:val="000000"/>
          <w:sz w:val="20"/>
          <w:szCs w:val="20"/>
          <w:u w:color="000000"/>
        </w:rPr>
      </w:pPr>
    </w:p>
    <w:p w14:paraId="63BE2190" w14:textId="77777777" w:rsidR="00AB1D24" w:rsidRPr="00451146" w:rsidRDefault="0081708C" w:rsidP="00685C4E">
      <w:pPr>
        <w:spacing w:line="360" w:lineRule="auto"/>
        <w:jc w:val="both"/>
        <w:outlineLvl w:val="0"/>
        <w:rPr>
          <w:rFonts w:ascii="Arial" w:eastAsia="Arial Unicode MS" w:hAnsi="Arial" w:cs="Arial"/>
          <w:b/>
          <w:color w:val="000000"/>
          <w:sz w:val="22"/>
          <w:szCs w:val="22"/>
          <w:u w:color="000000"/>
        </w:rPr>
      </w:pPr>
      <w:r w:rsidRPr="00451146">
        <w:rPr>
          <w:rFonts w:ascii="Arial" w:eastAsia="Arial Unicode MS" w:hAnsi="Arial" w:cs="Arial"/>
          <w:b/>
          <w:color w:val="000000"/>
          <w:sz w:val="22"/>
          <w:szCs w:val="22"/>
          <w:u w:color="000000"/>
        </w:rPr>
        <w:t>CONCLUDING</w:t>
      </w:r>
      <w:r w:rsidRPr="00451146">
        <w:rPr>
          <w:rFonts w:ascii="Arial" w:eastAsia="Arial Unicode MS" w:hAnsi="Arial" w:cs="Arial"/>
          <w:color w:val="000000"/>
          <w:sz w:val="22"/>
          <w:szCs w:val="22"/>
          <w:u w:color="000000"/>
        </w:rPr>
        <w:t xml:space="preserve"> </w:t>
      </w:r>
      <w:r w:rsidRPr="00451146">
        <w:rPr>
          <w:rFonts w:ascii="Arial" w:eastAsia="Arial Unicode MS" w:hAnsi="Arial" w:cs="Arial"/>
          <w:b/>
          <w:color w:val="000000"/>
          <w:sz w:val="22"/>
          <w:szCs w:val="22"/>
          <w:u w:color="000000"/>
        </w:rPr>
        <w:t>REMARKS</w:t>
      </w:r>
    </w:p>
    <w:p w14:paraId="101A7100" w14:textId="669542D6" w:rsidR="00AB1D24" w:rsidRPr="00451146" w:rsidRDefault="00AB1D24" w:rsidP="00685C4E">
      <w:pPr>
        <w:pStyle w:val="Body1"/>
        <w:spacing w:line="360" w:lineRule="auto"/>
        <w:jc w:val="both"/>
        <w:rPr>
          <w:sz w:val="20"/>
          <w:lang w:val="en-GB"/>
        </w:rPr>
      </w:pPr>
      <w:r w:rsidRPr="00451146">
        <w:rPr>
          <w:sz w:val="20"/>
          <w:lang w:val="en-GB"/>
        </w:rPr>
        <w:t>The post-Communist legal systems continue to be confronted with unpunished offences of the past</w:t>
      </w:r>
      <w:r w:rsidR="00CF358D">
        <w:rPr>
          <w:sz w:val="20"/>
          <w:lang w:val="en-GB"/>
        </w:rPr>
        <w:t>. This is due to th</w:t>
      </w:r>
      <w:r w:rsidRPr="00451146">
        <w:rPr>
          <w:sz w:val="20"/>
          <w:lang w:val="en-GB"/>
        </w:rPr>
        <w:t xml:space="preserve">e usual reasons that some crimes go unpunished </w:t>
      </w:r>
      <w:r w:rsidR="00CF358D">
        <w:rPr>
          <w:sz w:val="20"/>
          <w:lang w:val="en-GB"/>
        </w:rPr>
        <w:t>in any society</w:t>
      </w:r>
      <w:r w:rsidRPr="00451146">
        <w:rPr>
          <w:sz w:val="20"/>
          <w:lang w:val="en-GB"/>
        </w:rPr>
        <w:t xml:space="preserve">, but for the specific reason that those crimes were inspired, mandated and tolerated by the state, </w:t>
      </w:r>
      <w:r w:rsidR="00CF358D">
        <w:rPr>
          <w:sz w:val="20"/>
          <w:lang w:val="en-GB"/>
        </w:rPr>
        <w:t xml:space="preserve">and </w:t>
      </w:r>
      <w:r w:rsidRPr="00451146">
        <w:rPr>
          <w:sz w:val="20"/>
          <w:lang w:val="en-GB"/>
        </w:rPr>
        <w:t>limitation periods were allowed to expire</w:t>
      </w:r>
      <w:r w:rsidR="00CF358D">
        <w:rPr>
          <w:sz w:val="20"/>
          <w:lang w:val="en-GB"/>
        </w:rPr>
        <w:t xml:space="preserve"> in order to grant impunity</w:t>
      </w:r>
      <w:r w:rsidRPr="00451146">
        <w:rPr>
          <w:sz w:val="20"/>
          <w:lang w:val="en-GB"/>
        </w:rPr>
        <w:t>.</w:t>
      </w:r>
      <w:r w:rsidRPr="00451146">
        <w:rPr>
          <w:sz w:val="20"/>
          <w:vertAlign w:val="superscript"/>
          <w:lang w:val="en-GB"/>
        </w:rPr>
        <w:footnoteReference w:id="98"/>
      </w:r>
      <w:r w:rsidRPr="00451146">
        <w:rPr>
          <w:sz w:val="20"/>
          <w:lang w:val="en-GB"/>
        </w:rPr>
        <w:t xml:space="preserve"> It is an issue that ranks as one of the most constituti</w:t>
      </w:r>
      <w:r w:rsidR="00CF358D">
        <w:rPr>
          <w:sz w:val="20"/>
          <w:lang w:val="en-GB"/>
        </w:rPr>
        <w:t>onally important and it haunts “</w:t>
      </w:r>
      <w:r w:rsidRPr="00451146">
        <w:rPr>
          <w:sz w:val="20"/>
          <w:lang w:val="en-GB"/>
        </w:rPr>
        <w:t>legislative bodies, constitutional cou</w:t>
      </w:r>
      <w:r w:rsidR="00CF358D">
        <w:rPr>
          <w:sz w:val="20"/>
          <w:lang w:val="en-GB"/>
        </w:rPr>
        <w:t>rts, politicians and the public”</w:t>
      </w:r>
      <w:r w:rsidRPr="00451146">
        <w:rPr>
          <w:sz w:val="20"/>
          <w:lang w:val="en-GB"/>
        </w:rPr>
        <w:t>.</w:t>
      </w:r>
      <w:r w:rsidRPr="00451146">
        <w:rPr>
          <w:sz w:val="20"/>
          <w:vertAlign w:val="superscript"/>
          <w:lang w:val="en-GB"/>
        </w:rPr>
        <w:footnoteReference w:id="99"/>
      </w:r>
      <w:r w:rsidRPr="00451146">
        <w:rPr>
          <w:sz w:val="20"/>
          <w:lang w:val="en-GB"/>
        </w:rPr>
        <w:t xml:space="preserve"> As shown, the classic framing of the question was conducted by </w:t>
      </w:r>
      <w:proofErr w:type="spellStart"/>
      <w:r w:rsidRPr="00451146">
        <w:rPr>
          <w:sz w:val="20"/>
          <w:lang w:val="en-GB"/>
        </w:rPr>
        <w:t>Radbruch</w:t>
      </w:r>
      <w:proofErr w:type="spellEnd"/>
      <w:r w:rsidRPr="00451146">
        <w:rPr>
          <w:sz w:val="20"/>
          <w:lang w:val="en-GB"/>
        </w:rPr>
        <w:t xml:space="preserve"> and </w:t>
      </w:r>
      <w:r w:rsidR="00AF5816" w:rsidRPr="00451146">
        <w:rPr>
          <w:sz w:val="20"/>
          <w:lang w:val="en-GB"/>
        </w:rPr>
        <w:t xml:space="preserve">later taken up </w:t>
      </w:r>
      <w:r w:rsidRPr="00451146">
        <w:rPr>
          <w:sz w:val="20"/>
          <w:lang w:val="en-GB"/>
        </w:rPr>
        <w:t>by Hart and Fuller in their famous debate from the 1950s. It was in th</w:t>
      </w:r>
      <w:r w:rsidR="00AF5816" w:rsidRPr="00451146">
        <w:rPr>
          <w:sz w:val="20"/>
          <w:lang w:val="en-GB"/>
        </w:rPr>
        <w:t>e</w:t>
      </w:r>
      <w:r w:rsidRPr="00451146">
        <w:rPr>
          <w:sz w:val="20"/>
          <w:lang w:val="en-GB"/>
        </w:rPr>
        <w:t>s</w:t>
      </w:r>
      <w:r w:rsidR="00AF5816" w:rsidRPr="00451146">
        <w:rPr>
          <w:sz w:val="20"/>
          <w:lang w:val="en-GB"/>
        </w:rPr>
        <w:t>e</w:t>
      </w:r>
      <w:r w:rsidRPr="00451146">
        <w:rPr>
          <w:sz w:val="20"/>
          <w:lang w:val="en-GB"/>
        </w:rPr>
        <w:t xml:space="preserve"> debate</w:t>
      </w:r>
      <w:r w:rsidR="00AF5816" w:rsidRPr="00451146">
        <w:rPr>
          <w:sz w:val="20"/>
          <w:lang w:val="en-GB"/>
        </w:rPr>
        <w:t>s</w:t>
      </w:r>
      <w:r w:rsidRPr="00451146">
        <w:rPr>
          <w:sz w:val="20"/>
          <w:lang w:val="en-GB"/>
        </w:rPr>
        <w:t xml:space="preserve"> that the role of law reasserted its original social function after experiencing severe damage.</w:t>
      </w:r>
      <w:r w:rsidRPr="00451146">
        <w:rPr>
          <w:sz w:val="20"/>
          <w:vertAlign w:val="superscript"/>
          <w:lang w:val="en-GB"/>
        </w:rPr>
        <w:footnoteReference w:id="100"/>
      </w:r>
      <w:r w:rsidR="00CF358D">
        <w:rPr>
          <w:sz w:val="20"/>
          <w:lang w:val="en-GB"/>
        </w:rPr>
        <w:t xml:space="preserve"> As the Polish </w:t>
      </w:r>
      <w:r w:rsidRPr="00451146">
        <w:rPr>
          <w:sz w:val="20"/>
          <w:lang w:val="en-GB"/>
        </w:rPr>
        <w:t xml:space="preserve">case has shown, another substantive legal question arises from a peculiar situation that concerns judicial immunity and the application of laws retroactively, which, as </w:t>
      </w:r>
      <w:r w:rsidR="00AF5816" w:rsidRPr="00451146">
        <w:rPr>
          <w:sz w:val="20"/>
          <w:lang w:val="en-GB"/>
        </w:rPr>
        <w:t>demonstrated</w:t>
      </w:r>
      <w:r w:rsidRPr="00451146">
        <w:rPr>
          <w:sz w:val="20"/>
          <w:lang w:val="en-GB"/>
        </w:rPr>
        <w:t xml:space="preserve"> above, goes against the cornerstone of criminal law.</w:t>
      </w:r>
    </w:p>
    <w:p w14:paraId="616DBEC0" w14:textId="34DB7C84" w:rsidR="00AB1D24" w:rsidRPr="00451146" w:rsidRDefault="00AB1D24" w:rsidP="00685C4E">
      <w:pPr>
        <w:pStyle w:val="Body1"/>
        <w:spacing w:line="360" w:lineRule="auto"/>
        <w:jc w:val="both"/>
        <w:rPr>
          <w:sz w:val="20"/>
          <w:lang w:val="en-GB"/>
        </w:rPr>
      </w:pPr>
      <w:r w:rsidRPr="00451146">
        <w:rPr>
          <w:sz w:val="20"/>
          <w:lang w:val="en-GB"/>
        </w:rPr>
        <w:tab/>
        <w:t>As part of the notion of substantive justice are international human rights norms.</w:t>
      </w:r>
      <w:r w:rsidRPr="00451146">
        <w:rPr>
          <w:sz w:val="20"/>
          <w:vertAlign w:val="superscript"/>
          <w:lang w:val="en-GB"/>
        </w:rPr>
        <w:footnoteReference w:id="101"/>
      </w:r>
      <w:r w:rsidRPr="00451146">
        <w:rPr>
          <w:sz w:val="20"/>
          <w:lang w:val="en-GB"/>
        </w:rPr>
        <w:t xml:space="preserve"> A court then is </w:t>
      </w:r>
      <w:r w:rsidR="00CF358D">
        <w:rPr>
          <w:sz w:val="20"/>
          <w:lang w:val="en-GB"/>
        </w:rPr>
        <w:t xml:space="preserve">either </w:t>
      </w:r>
      <w:r w:rsidRPr="00451146">
        <w:rPr>
          <w:sz w:val="20"/>
          <w:lang w:val="en-GB"/>
        </w:rPr>
        <w:t>faced with a justification based on how general principles of justice overrode positive law at the time the</w:t>
      </w:r>
      <w:r w:rsidR="00CF358D">
        <w:rPr>
          <w:sz w:val="20"/>
          <w:lang w:val="en-GB"/>
        </w:rPr>
        <w:t xml:space="preserve"> acts</w:t>
      </w:r>
      <w:r w:rsidRPr="00451146">
        <w:rPr>
          <w:sz w:val="20"/>
          <w:lang w:val="en-GB"/>
        </w:rPr>
        <w:t xml:space="preserve"> were committed</w:t>
      </w:r>
      <w:r w:rsidR="00956A41">
        <w:rPr>
          <w:sz w:val="20"/>
          <w:lang w:val="en-GB"/>
        </w:rPr>
        <w:t>,</w:t>
      </w:r>
      <w:r w:rsidRPr="00451146">
        <w:rPr>
          <w:sz w:val="20"/>
          <w:lang w:val="en-GB"/>
        </w:rPr>
        <w:t xml:space="preserve"> or acknowledg</w:t>
      </w:r>
      <w:r w:rsidR="00CF358D">
        <w:rPr>
          <w:sz w:val="20"/>
          <w:lang w:val="en-GB"/>
        </w:rPr>
        <w:t>ing</w:t>
      </w:r>
      <w:r w:rsidRPr="00451146">
        <w:rPr>
          <w:sz w:val="20"/>
          <w:lang w:val="en-GB"/>
        </w:rPr>
        <w:t xml:space="preserve"> that the principles of justice are applied retrospectively by the present legal framework</w:t>
      </w:r>
      <w:r w:rsidR="00956A41">
        <w:rPr>
          <w:sz w:val="20"/>
          <w:lang w:val="en-GB"/>
        </w:rPr>
        <w:t>.</w:t>
      </w:r>
      <w:r w:rsidRPr="00451146">
        <w:rPr>
          <w:sz w:val="20"/>
          <w:lang w:val="en-GB"/>
        </w:rPr>
        <w:t xml:space="preserve"> Clearly the relationship between international law and the domestic law of a state remains a highly complex question, with differing positions. A great degree depends on the rules adopted by the state itself, and on whether a state is monist or dualist. As the East German example shows, the failure to enact a statute transforming international law into domestic law does </w:t>
      </w:r>
      <w:r w:rsidR="00956A41">
        <w:rPr>
          <w:sz w:val="20"/>
          <w:lang w:val="en-GB"/>
        </w:rPr>
        <w:t xml:space="preserve">not </w:t>
      </w:r>
      <w:r w:rsidRPr="00451146">
        <w:rPr>
          <w:sz w:val="20"/>
          <w:lang w:val="en-GB"/>
        </w:rPr>
        <w:t xml:space="preserve">necessarily reach the expected conclusion that the norms do not apply. However, as shown in the Polish case, the answer is not entirely straightforward. </w:t>
      </w:r>
    </w:p>
    <w:p w14:paraId="70CD3B2D" w14:textId="58A66B7E" w:rsidR="00AB1D24" w:rsidRPr="00451146" w:rsidRDefault="00AB1D24" w:rsidP="00956A41">
      <w:pPr>
        <w:pStyle w:val="Body1"/>
        <w:spacing w:line="360" w:lineRule="auto"/>
        <w:jc w:val="both"/>
        <w:rPr>
          <w:sz w:val="20"/>
          <w:lang w:val="en-GB"/>
        </w:rPr>
      </w:pPr>
      <w:r w:rsidRPr="00451146">
        <w:rPr>
          <w:sz w:val="20"/>
          <w:lang w:val="en-GB"/>
        </w:rPr>
        <w:tab/>
      </w:r>
      <w:r w:rsidR="00C67D21">
        <w:rPr>
          <w:sz w:val="20"/>
          <w:lang w:val="en-GB"/>
        </w:rPr>
        <w:t>Quint notes “</w:t>
      </w:r>
      <w:r w:rsidRPr="00451146">
        <w:rPr>
          <w:sz w:val="20"/>
          <w:lang w:val="en-GB"/>
        </w:rPr>
        <w:t xml:space="preserve">the greatest clarity and </w:t>
      </w:r>
      <w:proofErr w:type="spellStart"/>
      <w:r w:rsidRPr="00451146">
        <w:rPr>
          <w:sz w:val="20"/>
          <w:lang w:val="en-GB"/>
        </w:rPr>
        <w:t>candor</w:t>
      </w:r>
      <w:proofErr w:type="spellEnd"/>
      <w:r w:rsidRPr="00451146">
        <w:rPr>
          <w:sz w:val="20"/>
          <w:lang w:val="en-GB"/>
        </w:rPr>
        <w:t xml:space="preserve"> are achieved when it is acknowledged that it is not really possible to go into past legal systems and change the principles of </w:t>
      </w:r>
      <w:proofErr w:type="gramStart"/>
      <w:r w:rsidRPr="00451146">
        <w:rPr>
          <w:sz w:val="20"/>
          <w:lang w:val="en-GB"/>
        </w:rPr>
        <w:t>those legal system</w:t>
      </w:r>
      <w:proofErr w:type="gramEnd"/>
      <w:r w:rsidRPr="00451146">
        <w:rPr>
          <w:sz w:val="20"/>
          <w:lang w:val="en-GB"/>
        </w:rPr>
        <w:t xml:space="preserve"> for the purposes of achieving a parti</w:t>
      </w:r>
      <w:r w:rsidR="00C67D21">
        <w:rPr>
          <w:sz w:val="20"/>
          <w:lang w:val="en-GB"/>
        </w:rPr>
        <w:t>cular result today”</w:t>
      </w:r>
      <w:r w:rsidRPr="00451146">
        <w:rPr>
          <w:sz w:val="20"/>
          <w:lang w:val="en-GB"/>
        </w:rPr>
        <w:t>.</w:t>
      </w:r>
      <w:r w:rsidRPr="00451146">
        <w:rPr>
          <w:sz w:val="20"/>
          <w:vertAlign w:val="superscript"/>
          <w:lang w:val="en-GB"/>
        </w:rPr>
        <w:footnoteReference w:id="102"/>
      </w:r>
      <w:r w:rsidR="00DF3325">
        <w:rPr>
          <w:sz w:val="20"/>
          <w:lang w:val="en-GB"/>
        </w:rPr>
        <w:t xml:space="preserve"> </w:t>
      </w:r>
      <w:r w:rsidRPr="00451146">
        <w:rPr>
          <w:sz w:val="20"/>
          <w:lang w:val="en-GB"/>
        </w:rPr>
        <w:t xml:space="preserve">According such reinterpretations that would likely not have been allowed under dictatorships should be rejected. The compelling position is one that is taken by </w:t>
      </w:r>
      <w:proofErr w:type="spellStart"/>
      <w:r w:rsidRPr="00451146">
        <w:rPr>
          <w:sz w:val="20"/>
          <w:lang w:val="en-GB"/>
        </w:rPr>
        <w:t>Radbruch</w:t>
      </w:r>
      <w:proofErr w:type="spellEnd"/>
      <w:r w:rsidR="00956A41">
        <w:rPr>
          <w:sz w:val="20"/>
          <w:lang w:val="en-GB"/>
        </w:rPr>
        <w:t>: th</w:t>
      </w:r>
      <w:r w:rsidRPr="00451146">
        <w:rPr>
          <w:sz w:val="20"/>
          <w:lang w:val="en-GB"/>
        </w:rPr>
        <w:t xml:space="preserve">ere are certain values that are more important than the retroactivity principle. This position, as noted by Quint, is the most candid as it focuses on present day legal principles. </w:t>
      </w:r>
    </w:p>
    <w:p w14:paraId="0C641953" w14:textId="7BA581B5" w:rsidR="00AB1D24" w:rsidRPr="00451146" w:rsidRDefault="00AB1D24" w:rsidP="00685C4E">
      <w:pPr>
        <w:spacing w:line="360" w:lineRule="auto"/>
        <w:jc w:val="both"/>
        <w:outlineLvl w:val="0"/>
        <w:rPr>
          <w:sz w:val="20"/>
          <w:szCs w:val="20"/>
        </w:rPr>
      </w:pPr>
      <w:r w:rsidRPr="00451146">
        <w:rPr>
          <w:rFonts w:eastAsia="Arial Unicode MS"/>
          <w:color w:val="000000"/>
          <w:sz w:val="20"/>
          <w:szCs w:val="20"/>
          <w:u w:color="000000"/>
        </w:rPr>
        <w:tab/>
        <w:t>In this vein it is important to note the power that political officials in a nascent and evolving political arena</w:t>
      </w:r>
      <w:r w:rsidR="00C67D21">
        <w:rPr>
          <w:rFonts w:eastAsia="Arial Unicode MS"/>
          <w:color w:val="000000"/>
          <w:sz w:val="20"/>
          <w:szCs w:val="20"/>
          <w:u w:color="000000"/>
        </w:rPr>
        <w:t xml:space="preserve"> possess</w:t>
      </w:r>
      <w:r w:rsidRPr="00451146">
        <w:rPr>
          <w:rFonts w:eastAsia="Arial Unicode MS"/>
          <w:color w:val="000000"/>
          <w:sz w:val="20"/>
          <w:szCs w:val="20"/>
          <w:u w:color="000000"/>
        </w:rPr>
        <w:t xml:space="preserve">. How far the public is allowed into the public debate about legal processes </w:t>
      </w:r>
      <w:r w:rsidRPr="00451146">
        <w:rPr>
          <w:rFonts w:eastAsia="Arial Unicode MS"/>
          <w:color w:val="000000"/>
          <w:sz w:val="20"/>
          <w:szCs w:val="20"/>
          <w:u w:color="000000"/>
        </w:rPr>
        <w:lastRenderedPageBreak/>
        <w:t xml:space="preserve">dealing with the past forms part of the </w:t>
      </w:r>
      <w:r w:rsidR="00956A41">
        <w:rPr>
          <w:rFonts w:eastAsia="Arial Unicode MS"/>
          <w:color w:val="000000"/>
          <w:sz w:val="20"/>
          <w:szCs w:val="20"/>
          <w:u w:color="000000"/>
        </w:rPr>
        <w:t>developing</w:t>
      </w:r>
      <w:r w:rsidRPr="00451146">
        <w:rPr>
          <w:rFonts w:eastAsia="Arial Unicode MS"/>
          <w:color w:val="000000"/>
          <w:sz w:val="20"/>
          <w:szCs w:val="20"/>
          <w:u w:color="000000"/>
        </w:rPr>
        <w:t xml:space="preserve"> sphere of freedom of speech</w:t>
      </w:r>
      <w:r w:rsidR="00C67D21">
        <w:rPr>
          <w:rFonts w:eastAsia="Arial Unicode MS"/>
          <w:color w:val="000000"/>
          <w:sz w:val="20"/>
          <w:szCs w:val="20"/>
          <w:u w:color="000000"/>
        </w:rPr>
        <w:t xml:space="preserve"> and may shape relevant policy.</w:t>
      </w:r>
      <w:r w:rsidRPr="00451146">
        <w:rPr>
          <w:rFonts w:eastAsia="Arial Unicode MS"/>
          <w:color w:val="000000"/>
          <w:sz w:val="20"/>
          <w:szCs w:val="20"/>
          <w:u w:color="000000"/>
          <w:vertAlign w:val="superscript"/>
        </w:rPr>
        <w:footnoteReference w:id="103"/>
      </w:r>
      <w:r w:rsidRPr="00451146">
        <w:rPr>
          <w:rFonts w:eastAsia="Arial Unicode MS"/>
          <w:color w:val="000000"/>
          <w:sz w:val="20"/>
          <w:szCs w:val="20"/>
          <w:u w:color="000000"/>
        </w:rPr>
        <w:t xml:space="preserve"> While the Court places the historic debates under the protective umbrella of the freedom of speech, emphasising the ‘plurality of voices’, the national debate might reposition a judgment to suit its reading of the past, as shown in more recent developments, such as in </w:t>
      </w:r>
      <w:proofErr w:type="spellStart"/>
      <w:r w:rsidRPr="00451146">
        <w:rPr>
          <w:rFonts w:eastAsia="Arial Unicode MS"/>
          <w:i/>
          <w:color w:val="000000"/>
          <w:sz w:val="20"/>
          <w:szCs w:val="20"/>
          <w:u w:color="000000"/>
        </w:rPr>
        <w:t>Konono</w:t>
      </w:r>
      <w:r w:rsidR="00DF3325" w:rsidRPr="00DF3325">
        <w:rPr>
          <w:rFonts w:eastAsia="Arial Unicode MS"/>
          <w:i/>
          <w:color w:val="000000"/>
          <w:sz w:val="20"/>
          <w:szCs w:val="20"/>
          <w:u w:color="000000"/>
        </w:rPr>
        <w:t>v</w:t>
      </w:r>
      <w:proofErr w:type="spellEnd"/>
      <w:r w:rsidR="004C6078">
        <w:rPr>
          <w:rFonts w:eastAsia="Arial Unicode MS"/>
          <w:i/>
          <w:color w:val="000000"/>
          <w:sz w:val="20"/>
          <w:szCs w:val="20"/>
          <w:u w:color="000000"/>
        </w:rPr>
        <w:t>.</w:t>
      </w:r>
    </w:p>
    <w:sectPr w:rsidR="00AB1D24" w:rsidRPr="00451146" w:rsidSect="00355FEF">
      <w:footerReference w:type="default" r:id="rId9"/>
      <w:footerReference w:type="first" r:id="rId10"/>
      <w:pgSz w:w="11900" w:h="16840"/>
      <w:pgMar w:top="1440" w:right="1800" w:bottom="1440" w:left="1800"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2CD31D" w14:textId="77777777" w:rsidR="00DB3EBE" w:rsidRDefault="00DB3EBE">
      <w:r>
        <w:separator/>
      </w:r>
    </w:p>
  </w:endnote>
  <w:endnote w:type="continuationSeparator" w:id="0">
    <w:p w14:paraId="65D585FB" w14:textId="77777777" w:rsidR="00DB3EBE" w:rsidRDefault="00DB3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Grande">
    <w:altName w:val="Times New Roman"/>
    <w:charset w:val="00"/>
    <w:family w:val="auto"/>
    <w:pitch w:val="variable"/>
    <w:sig w:usb0="00000000" w:usb1="5000A1FF" w:usb2="00000000" w:usb3="00000000" w:csb0="000001B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5A23C" w14:textId="77777777" w:rsidR="00DB3EBE" w:rsidRDefault="00DB3EBE">
    <w:pPr>
      <w:tabs>
        <w:tab w:val="left" w:pos="0"/>
        <w:tab w:val="left" w:pos="0"/>
        <w:tab w:val="center" w:pos="4150"/>
        <w:tab w:val="center" w:pos="4150"/>
        <w:tab w:val="center" w:pos="4153"/>
        <w:tab w:val="right" w:pos="8280"/>
        <w:tab w:val="right" w:pos="8280"/>
        <w:tab w:val="right" w:pos="8300"/>
      </w:tabs>
      <w:outlineLvl w:val="0"/>
      <w:rPr>
        <w:sz w:val="20"/>
      </w:rPr>
    </w:pPr>
    <w:r>
      <w:rPr>
        <w:rFonts w:eastAsia="Arial Unicode MS"/>
        <w:color w:val="000000"/>
        <w:u w:color="000000"/>
      </w:rPr>
      <w:fldChar w:fldCharType="begin"/>
    </w:r>
    <w:r>
      <w:rPr>
        <w:rFonts w:eastAsia="Arial Unicode MS" w:hAnsi="Arial Unicode MS"/>
        <w:color w:val="000000"/>
        <w:u w:color="000000"/>
      </w:rPr>
      <w:instrText xml:space="preserve"> PAGE </w:instrText>
    </w:r>
    <w:r>
      <w:rPr>
        <w:rFonts w:eastAsia="Arial Unicode MS"/>
        <w:color w:val="000000"/>
        <w:u w:color="000000"/>
      </w:rPr>
      <w:fldChar w:fldCharType="separate"/>
    </w:r>
    <w:r w:rsidR="00C5004A">
      <w:rPr>
        <w:rFonts w:eastAsia="Arial Unicode MS" w:hAnsi="Arial Unicode MS"/>
        <w:noProof/>
        <w:color w:val="000000"/>
        <w:u w:color="000000"/>
      </w:rPr>
      <w:t>20</w:t>
    </w:r>
    <w:r>
      <w:rPr>
        <w:rFonts w:eastAsia="Arial Unicode MS"/>
        <w:color w:val="000000"/>
        <w:u w:color="00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950407"/>
      <w:docPartObj>
        <w:docPartGallery w:val="Page Numbers (Bottom of Page)"/>
        <w:docPartUnique/>
      </w:docPartObj>
    </w:sdtPr>
    <w:sdtEndPr/>
    <w:sdtContent>
      <w:p w14:paraId="4C309227" w14:textId="77777777" w:rsidR="00DB3EBE" w:rsidRDefault="00DB3EBE">
        <w:pPr>
          <w:pStyle w:val="Footer"/>
          <w:jc w:val="right"/>
        </w:pPr>
        <w:r>
          <w:fldChar w:fldCharType="begin"/>
        </w:r>
        <w:r>
          <w:instrText xml:space="preserve"> PAGE   \* MERGEFORMAT </w:instrText>
        </w:r>
        <w:r>
          <w:fldChar w:fldCharType="separate"/>
        </w:r>
        <w:r w:rsidR="00C5004A">
          <w:rPr>
            <w:noProof/>
          </w:rPr>
          <w:t>1</w:t>
        </w:r>
        <w:r>
          <w:rPr>
            <w:noProof/>
          </w:rPr>
          <w:fldChar w:fldCharType="end"/>
        </w:r>
      </w:p>
    </w:sdtContent>
  </w:sdt>
  <w:p w14:paraId="7E63AD2B" w14:textId="77777777" w:rsidR="00DB3EBE" w:rsidRDefault="00DB3E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2C2EE2" w14:textId="77777777" w:rsidR="00DB3EBE" w:rsidRDefault="00DB3EBE">
      <w:r>
        <w:separator/>
      </w:r>
    </w:p>
  </w:footnote>
  <w:footnote w:type="continuationSeparator" w:id="0">
    <w:p w14:paraId="72B91A7F" w14:textId="77777777" w:rsidR="00DB3EBE" w:rsidRDefault="00DB3EBE">
      <w:r>
        <w:continuationSeparator/>
      </w:r>
    </w:p>
  </w:footnote>
  <w:footnote w:id="1">
    <w:p w14:paraId="39A16F7E" w14:textId="33DFDBF5" w:rsidR="00DB3EBE" w:rsidRPr="000B4CF2" w:rsidRDefault="00DB3EBE">
      <w:pPr>
        <w:pStyle w:val="FootnoteText"/>
        <w:rPr>
          <w:sz w:val="16"/>
          <w:szCs w:val="16"/>
        </w:rPr>
      </w:pPr>
      <w:r w:rsidRPr="000B4CF2">
        <w:rPr>
          <w:rStyle w:val="FootnoteReference"/>
        </w:rPr>
        <w:sym w:font="Symbol" w:char="F02A"/>
      </w:r>
      <w:r w:rsidRPr="000B4CF2">
        <w:t xml:space="preserve"> </w:t>
      </w:r>
      <w:r w:rsidRPr="000B4CF2">
        <w:rPr>
          <w:sz w:val="16"/>
          <w:szCs w:val="16"/>
        </w:rPr>
        <w:t>This chapter has been adapted from ‘Retroactive Laws and Notions o</w:t>
      </w:r>
      <w:r>
        <w:rPr>
          <w:sz w:val="16"/>
          <w:szCs w:val="16"/>
        </w:rPr>
        <w:t>f Retrospective Justice: key as</w:t>
      </w:r>
      <w:r w:rsidRPr="000B4CF2">
        <w:rPr>
          <w:sz w:val="16"/>
          <w:szCs w:val="16"/>
        </w:rPr>
        <w:t xml:space="preserve">pects of the German and Polish experiences’, </w:t>
      </w:r>
      <w:r w:rsidRPr="000B4CF2">
        <w:rPr>
          <w:i/>
          <w:sz w:val="16"/>
          <w:szCs w:val="16"/>
        </w:rPr>
        <w:t>Frontiers of Legal Research</w:t>
      </w:r>
      <w:r>
        <w:rPr>
          <w:sz w:val="16"/>
          <w:szCs w:val="16"/>
        </w:rPr>
        <w:t>, vol. 1, 2013, pp. 1-24</w:t>
      </w:r>
      <w:r w:rsidRPr="000B4CF2">
        <w:rPr>
          <w:sz w:val="16"/>
          <w:szCs w:val="16"/>
        </w:rPr>
        <w:t>.</w:t>
      </w:r>
      <w:r w:rsidR="00886305">
        <w:rPr>
          <w:sz w:val="16"/>
          <w:szCs w:val="16"/>
        </w:rPr>
        <w:t xml:space="preserve"> I am grateful to Sigrun Larsen for her invaluable comments.</w:t>
      </w:r>
    </w:p>
  </w:footnote>
  <w:footnote w:id="2">
    <w:p w14:paraId="013F0746" w14:textId="77777777" w:rsidR="00DB3EBE" w:rsidRPr="000B4CF2" w:rsidRDefault="00DB3EBE">
      <w:pPr>
        <w:outlineLvl w:val="0"/>
        <w:rPr>
          <w:sz w:val="16"/>
          <w:szCs w:val="16"/>
        </w:rPr>
      </w:pPr>
      <w:r w:rsidRPr="000B4CF2">
        <w:rPr>
          <w:rFonts w:eastAsia="Arial Unicode MS"/>
          <w:i/>
          <w:color w:val="000000"/>
          <w:sz w:val="16"/>
          <w:szCs w:val="16"/>
          <w:u w:color="000000"/>
          <w:vertAlign w:val="superscript"/>
        </w:rPr>
        <w:footnoteRef/>
      </w:r>
      <w:r w:rsidRPr="000B4CF2">
        <w:rPr>
          <w:rFonts w:eastAsia="Arial Unicode MS"/>
          <w:color w:val="000000"/>
          <w:sz w:val="16"/>
          <w:szCs w:val="16"/>
          <w:u w:color="000000"/>
        </w:rPr>
        <w:t xml:space="preserve"> </w:t>
      </w:r>
      <w:proofErr w:type="gramStart"/>
      <w:r w:rsidRPr="000B4CF2">
        <w:rPr>
          <w:rFonts w:eastAsia="Arial Unicode MS"/>
          <w:color w:val="000000"/>
          <w:sz w:val="16"/>
          <w:szCs w:val="16"/>
          <w:u w:color="000000"/>
        </w:rPr>
        <w:t>[1974] 59 Cr App Rep 149, 151 and 152.</w:t>
      </w:r>
      <w:proofErr w:type="gramEnd"/>
    </w:p>
  </w:footnote>
  <w:footnote w:id="3">
    <w:p w14:paraId="6A06BB61" w14:textId="21293C57" w:rsidR="00DB3EBE" w:rsidRPr="000B4CF2" w:rsidRDefault="00DB3EBE">
      <w:pPr>
        <w:outlineLvl w:val="0"/>
        <w:rPr>
          <w:sz w:val="16"/>
          <w:szCs w:val="16"/>
        </w:rPr>
      </w:pPr>
      <w:r w:rsidRPr="000B4CF2">
        <w:rPr>
          <w:rFonts w:eastAsia="Arial Unicode MS"/>
          <w:i/>
          <w:color w:val="000000"/>
          <w:sz w:val="16"/>
          <w:szCs w:val="16"/>
          <w:u w:color="000000"/>
          <w:vertAlign w:val="superscript"/>
        </w:rPr>
        <w:footnoteRef/>
      </w:r>
      <w:r w:rsidRPr="000B4CF2">
        <w:rPr>
          <w:rFonts w:eastAsia="Arial Unicode MS"/>
          <w:color w:val="000000"/>
          <w:sz w:val="16"/>
          <w:szCs w:val="16"/>
          <w:u w:color="000000"/>
        </w:rPr>
        <w:t xml:space="preserve"> </w:t>
      </w:r>
      <w:r>
        <w:rPr>
          <w:rFonts w:eastAsia="Arial Unicode MS"/>
          <w:smallCaps/>
          <w:sz w:val="16"/>
          <w:szCs w:val="16"/>
        </w:rPr>
        <w:t xml:space="preserve">Rev </w:t>
      </w:r>
      <w:proofErr w:type="spellStart"/>
      <w:r>
        <w:rPr>
          <w:rFonts w:eastAsia="Arial Unicode MS"/>
          <w:smallCaps/>
          <w:sz w:val="16"/>
          <w:szCs w:val="16"/>
        </w:rPr>
        <w:t>Istvan</w:t>
      </w:r>
      <w:proofErr w:type="spellEnd"/>
      <w:r w:rsidRPr="000B4CF2">
        <w:rPr>
          <w:rFonts w:eastAsia="Arial Unicode MS"/>
          <w:color w:val="000000"/>
          <w:sz w:val="16"/>
          <w:szCs w:val="16"/>
          <w:u w:color="000000"/>
        </w:rPr>
        <w:t xml:space="preserve">, </w:t>
      </w:r>
      <w:r w:rsidRPr="000B4CF2">
        <w:rPr>
          <w:rFonts w:eastAsia="Arial Unicode MS"/>
          <w:i/>
          <w:color w:val="000000"/>
          <w:sz w:val="16"/>
          <w:szCs w:val="16"/>
          <w:u w:color="000000"/>
        </w:rPr>
        <w:t xml:space="preserve">Retroactive Justice, </w:t>
      </w:r>
      <w:r w:rsidRPr="000B4CF2">
        <w:rPr>
          <w:rFonts w:eastAsia="Arial Unicode MS"/>
          <w:color w:val="000000"/>
          <w:sz w:val="16"/>
          <w:szCs w:val="16"/>
          <w:u w:color="000000"/>
        </w:rPr>
        <w:t>Stanford, CA, USA, Stanford University Press, 2005, p. 3.</w:t>
      </w:r>
    </w:p>
  </w:footnote>
  <w:footnote w:id="4">
    <w:p w14:paraId="1F4F65DD" w14:textId="77777777" w:rsidR="00DB3EBE" w:rsidRPr="000B4CF2" w:rsidRDefault="00DB3EBE">
      <w:pPr>
        <w:pStyle w:val="Body1"/>
        <w:rPr>
          <w:rFonts w:eastAsia="Times New Roman"/>
          <w:color w:val="auto"/>
          <w:sz w:val="16"/>
          <w:szCs w:val="16"/>
          <w:lang w:val="en-GB"/>
        </w:rPr>
      </w:pPr>
      <w:r w:rsidRPr="000B4CF2">
        <w:rPr>
          <w:sz w:val="16"/>
          <w:szCs w:val="16"/>
          <w:vertAlign w:val="superscript"/>
          <w:lang w:val="en-GB"/>
        </w:rPr>
        <w:footnoteRef/>
      </w:r>
      <w:r w:rsidRPr="000B4CF2">
        <w:rPr>
          <w:sz w:val="16"/>
          <w:szCs w:val="16"/>
          <w:lang w:val="en-GB"/>
        </w:rPr>
        <w:t xml:space="preserve"> </w:t>
      </w:r>
      <w:r w:rsidRPr="000B4CF2">
        <w:rPr>
          <w:smallCaps/>
          <w:sz w:val="16"/>
          <w:szCs w:val="16"/>
          <w:lang w:val="en-GB"/>
        </w:rPr>
        <w:t>Anderson Steve F.</w:t>
      </w:r>
      <w:r w:rsidRPr="000B4CF2">
        <w:rPr>
          <w:sz w:val="16"/>
          <w:szCs w:val="16"/>
          <w:lang w:val="en-GB"/>
        </w:rPr>
        <w:t xml:space="preserve">, </w:t>
      </w:r>
      <w:r w:rsidRPr="000B4CF2">
        <w:rPr>
          <w:i/>
          <w:sz w:val="16"/>
          <w:szCs w:val="16"/>
          <w:lang w:val="en-GB"/>
        </w:rPr>
        <w:t xml:space="preserve">Technologies of History: Visual Media and the Eccentricity of the Past, </w:t>
      </w:r>
      <w:r w:rsidRPr="000B4CF2">
        <w:rPr>
          <w:sz w:val="16"/>
          <w:szCs w:val="16"/>
          <w:lang w:val="en-GB"/>
        </w:rPr>
        <w:t>Hanover, NH, USA, Dartmouth College Press, 2011, p. 3.</w:t>
      </w:r>
    </w:p>
  </w:footnote>
  <w:footnote w:id="5">
    <w:p w14:paraId="44038442" w14:textId="77777777" w:rsidR="00DB3EBE" w:rsidRPr="000B4CF2" w:rsidRDefault="00DB3EBE">
      <w:pPr>
        <w:outlineLvl w:val="0"/>
        <w:rPr>
          <w:sz w:val="16"/>
          <w:szCs w:val="16"/>
        </w:rPr>
      </w:pPr>
      <w:r w:rsidRPr="000B4CF2">
        <w:rPr>
          <w:rFonts w:eastAsia="Arial Unicode MS"/>
          <w:color w:val="000000"/>
          <w:sz w:val="16"/>
          <w:szCs w:val="16"/>
          <w:u w:color="000000"/>
          <w:vertAlign w:val="superscript"/>
        </w:rPr>
        <w:footnoteRef/>
      </w:r>
      <w:r w:rsidRPr="000B4CF2">
        <w:rPr>
          <w:rFonts w:eastAsia="Arial Unicode MS"/>
          <w:color w:val="000000"/>
          <w:sz w:val="16"/>
          <w:szCs w:val="16"/>
          <w:u w:color="000000"/>
        </w:rPr>
        <w:t xml:space="preserve"> </w:t>
      </w:r>
      <w:proofErr w:type="spellStart"/>
      <w:proofErr w:type="gramStart"/>
      <w:r w:rsidRPr="000B4CF2">
        <w:rPr>
          <w:rFonts w:eastAsia="Arial Unicode MS"/>
          <w:smallCaps/>
          <w:color w:val="000000"/>
          <w:sz w:val="16"/>
          <w:szCs w:val="16"/>
          <w:u w:color="000000"/>
        </w:rPr>
        <w:t>Etkind</w:t>
      </w:r>
      <w:proofErr w:type="spellEnd"/>
      <w:r w:rsidRPr="000B4CF2">
        <w:rPr>
          <w:rFonts w:eastAsia="Arial Unicode MS"/>
          <w:smallCaps/>
          <w:color w:val="000000"/>
          <w:sz w:val="16"/>
          <w:szCs w:val="16"/>
          <w:u w:color="000000"/>
        </w:rPr>
        <w:t xml:space="preserve"> Alexander</w:t>
      </w:r>
      <w:r w:rsidRPr="000B4CF2">
        <w:rPr>
          <w:rFonts w:eastAsia="Arial Unicode MS"/>
          <w:color w:val="000000"/>
          <w:sz w:val="16"/>
          <w:szCs w:val="16"/>
          <w:u w:color="000000"/>
        </w:rPr>
        <w:t xml:space="preserve"> et al., </w:t>
      </w:r>
      <w:r w:rsidRPr="000B4CF2">
        <w:rPr>
          <w:rFonts w:eastAsia="Arial Unicode MS"/>
          <w:i/>
          <w:color w:val="000000"/>
          <w:sz w:val="16"/>
          <w:szCs w:val="16"/>
          <w:u w:color="000000"/>
        </w:rPr>
        <w:t xml:space="preserve">Remembering </w:t>
      </w:r>
      <w:proofErr w:type="spellStart"/>
      <w:r w:rsidRPr="000B4CF2">
        <w:rPr>
          <w:rFonts w:eastAsia="Arial Unicode MS"/>
          <w:i/>
          <w:color w:val="000000"/>
          <w:sz w:val="16"/>
          <w:szCs w:val="16"/>
          <w:u w:color="000000"/>
        </w:rPr>
        <w:t>Katyn</w:t>
      </w:r>
      <w:proofErr w:type="spellEnd"/>
      <w:r w:rsidRPr="000B4CF2">
        <w:rPr>
          <w:rFonts w:eastAsia="Arial Unicode MS"/>
          <w:color w:val="000000"/>
          <w:sz w:val="16"/>
          <w:szCs w:val="16"/>
          <w:u w:color="000000"/>
        </w:rPr>
        <w:t>, London, Polity, 2012, pp. 8–9.</w:t>
      </w:r>
      <w:proofErr w:type="gramEnd"/>
    </w:p>
  </w:footnote>
  <w:footnote w:id="6">
    <w:p w14:paraId="55F5C1ED" w14:textId="77777777" w:rsidR="00DB3EBE" w:rsidRPr="000B4CF2" w:rsidRDefault="00DB3EBE">
      <w:pPr>
        <w:outlineLvl w:val="0"/>
        <w:rPr>
          <w:sz w:val="16"/>
          <w:szCs w:val="16"/>
        </w:rPr>
      </w:pPr>
      <w:r w:rsidRPr="000B4CF2">
        <w:rPr>
          <w:rFonts w:eastAsia="Arial Unicode MS"/>
          <w:color w:val="000000"/>
          <w:sz w:val="16"/>
          <w:szCs w:val="16"/>
          <w:u w:color="000000"/>
          <w:vertAlign w:val="superscript"/>
        </w:rPr>
        <w:footnoteRef/>
      </w:r>
      <w:r w:rsidRPr="000B4CF2">
        <w:rPr>
          <w:rFonts w:eastAsia="Arial Unicode MS"/>
          <w:color w:val="000000"/>
          <w:sz w:val="16"/>
          <w:szCs w:val="16"/>
          <w:u w:color="000000"/>
        </w:rPr>
        <w:t xml:space="preserve"> </w:t>
      </w:r>
      <w:r w:rsidRPr="000B4CF2">
        <w:rPr>
          <w:rFonts w:eastAsia="Arial Unicode MS"/>
          <w:smallCaps/>
          <w:color w:val="000000"/>
          <w:sz w:val="16"/>
          <w:szCs w:val="16"/>
          <w:u w:color="000000"/>
        </w:rPr>
        <w:t>Foucault</w:t>
      </w:r>
      <w:r w:rsidRPr="000B4CF2">
        <w:rPr>
          <w:rFonts w:eastAsia="Arial Unicode MS"/>
          <w:color w:val="000000"/>
          <w:sz w:val="16"/>
          <w:szCs w:val="16"/>
          <w:u w:color="000000"/>
        </w:rPr>
        <w:t xml:space="preserve"> </w:t>
      </w:r>
      <w:r w:rsidRPr="000B4CF2">
        <w:rPr>
          <w:rFonts w:eastAsia="Arial Unicode MS"/>
          <w:smallCaps/>
          <w:color w:val="000000"/>
          <w:sz w:val="16"/>
          <w:szCs w:val="16"/>
          <w:u w:color="000000"/>
        </w:rPr>
        <w:t>Michel,</w:t>
      </w:r>
      <w:r w:rsidRPr="000B4CF2">
        <w:rPr>
          <w:rFonts w:eastAsia="Arial Unicode MS"/>
          <w:color w:val="000000"/>
          <w:sz w:val="16"/>
          <w:szCs w:val="16"/>
          <w:u w:color="000000"/>
        </w:rPr>
        <w:t xml:space="preserve"> </w:t>
      </w:r>
      <w:proofErr w:type="gramStart"/>
      <w:r w:rsidRPr="000B4CF2">
        <w:rPr>
          <w:rFonts w:eastAsia="Arial Unicode MS"/>
          <w:i/>
          <w:color w:val="000000"/>
          <w:sz w:val="16"/>
          <w:szCs w:val="16"/>
          <w:u w:color="000000"/>
        </w:rPr>
        <w:t>The</w:t>
      </w:r>
      <w:proofErr w:type="gramEnd"/>
      <w:r w:rsidRPr="000B4CF2">
        <w:rPr>
          <w:rFonts w:eastAsia="Arial Unicode MS"/>
          <w:i/>
          <w:color w:val="000000"/>
          <w:sz w:val="16"/>
          <w:szCs w:val="16"/>
          <w:u w:color="000000"/>
        </w:rPr>
        <w:t xml:space="preserve"> Archaeology of Knowledge</w:t>
      </w:r>
      <w:r w:rsidRPr="000B4CF2">
        <w:rPr>
          <w:rFonts w:eastAsia="Arial Unicode MS"/>
          <w:color w:val="000000"/>
          <w:sz w:val="16"/>
          <w:szCs w:val="16"/>
          <w:u w:color="000000"/>
        </w:rPr>
        <w:t>, London, Tavistock, 1969.</w:t>
      </w:r>
    </w:p>
  </w:footnote>
  <w:footnote w:id="7">
    <w:p w14:paraId="501D74CB" w14:textId="77777777" w:rsidR="00DB3EBE" w:rsidRPr="000B4CF2" w:rsidRDefault="00DB3EBE">
      <w:pPr>
        <w:outlineLvl w:val="0"/>
        <w:rPr>
          <w:sz w:val="16"/>
          <w:szCs w:val="16"/>
        </w:rPr>
      </w:pPr>
      <w:r w:rsidRPr="000B4CF2">
        <w:rPr>
          <w:rFonts w:eastAsia="Arial Unicode MS"/>
          <w:color w:val="000000"/>
          <w:sz w:val="16"/>
          <w:szCs w:val="16"/>
          <w:u w:color="000000"/>
          <w:vertAlign w:val="superscript"/>
        </w:rPr>
        <w:footnoteRef/>
      </w:r>
      <w:r w:rsidRPr="000B4CF2">
        <w:rPr>
          <w:rFonts w:eastAsia="Arial Unicode MS"/>
          <w:color w:val="000000"/>
          <w:sz w:val="16"/>
          <w:szCs w:val="16"/>
          <w:u w:color="000000"/>
        </w:rPr>
        <w:t xml:space="preserve"> </w:t>
      </w:r>
      <w:proofErr w:type="gramStart"/>
      <w:r w:rsidRPr="000B4CF2">
        <w:rPr>
          <w:rFonts w:eastAsia="Arial Unicode MS"/>
          <w:color w:val="000000"/>
          <w:sz w:val="16"/>
          <w:szCs w:val="16"/>
          <w:u w:color="000000"/>
        </w:rPr>
        <w:t>[1974] 59 Cr App Rep 149, 151 and 152.</w:t>
      </w:r>
      <w:proofErr w:type="gramEnd"/>
    </w:p>
  </w:footnote>
  <w:footnote w:id="8">
    <w:p w14:paraId="15166578" w14:textId="0B829A0F" w:rsidR="00DB3EBE" w:rsidRPr="000B4CF2" w:rsidRDefault="00DB3EBE">
      <w:pPr>
        <w:outlineLvl w:val="0"/>
        <w:rPr>
          <w:sz w:val="16"/>
          <w:szCs w:val="16"/>
        </w:rPr>
      </w:pPr>
      <w:r w:rsidRPr="00AC0304">
        <w:rPr>
          <w:rFonts w:eastAsia="Arial Unicode MS"/>
          <w:color w:val="000000"/>
          <w:sz w:val="16"/>
          <w:szCs w:val="16"/>
          <w:u w:color="000000"/>
          <w:vertAlign w:val="superscript"/>
        </w:rPr>
        <w:footnoteRef/>
      </w:r>
      <w:r w:rsidRPr="00AC0304">
        <w:rPr>
          <w:rFonts w:eastAsia="Arial Unicode MS"/>
          <w:color w:val="000000"/>
          <w:sz w:val="16"/>
          <w:szCs w:val="16"/>
          <w:u w:color="000000"/>
        </w:rPr>
        <w:t xml:space="preserve"> See </w:t>
      </w:r>
      <w:hyperlink r:id="rId1" w:history="1">
        <w:r w:rsidRPr="00AC0304">
          <w:rPr>
            <w:rStyle w:val="Hyperlink"/>
            <w:rFonts w:eastAsia="Arial Unicode MS"/>
            <w:sz w:val="16"/>
            <w:szCs w:val="16"/>
            <w:u w:color="000000"/>
          </w:rPr>
          <w:t>http://human-rights-convention.org/the-texts/</w:t>
        </w:r>
      </w:hyperlink>
      <w:r w:rsidRPr="00AC0304">
        <w:rPr>
          <w:rFonts w:eastAsia="Arial Unicode MS"/>
          <w:color w:val="000000"/>
          <w:sz w:val="16"/>
          <w:szCs w:val="16"/>
          <w:u w:color="000000"/>
        </w:rPr>
        <w:t xml:space="preserve"> (last accessed </w:t>
      </w:r>
      <w:r w:rsidR="00AC0304" w:rsidRPr="00AC0304">
        <w:rPr>
          <w:rFonts w:eastAsia="Arial Unicode MS"/>
          <w:color w:val="000000"/>
          <w:sz w:val="16"/>
          <w:szCs w:val="16"/>
          <w:u w:color="000000"/>
        </w:rPr>
        <w:t>10 April 2014</w:t>
      </w:r>
      <w:r w:rsidRPr="00AC0304">
        <w:rPr>
          <w:rFonts w:eastAsia="Arial Unicode MS"/>
          <w:color w:val="000000"/>
          <w:sz w:val="16"/>
          <w:szCs w:val="16"/>
          <w:u w:color="000000"/>
        </w:rPr>
        <w:t>). Article 15 of the International Covenant on Civil and Political Rights contains similar provisions. See</w:t>
      </w:r>
      <w:r w:rsidRPr="000B4CF2">
        <w:rPr>
          <w:rFonts w:eastAsia="Arial Unicode MS"/>
          <w:color w:val="000000"/>
          <w:sz w:val="16"/>
          <w:szCs w:val="16"/>
          <w:u w:color="000000"/>
        </w:rPr>
        <w:t xml:space="preserve"> </w:t>
      </w:r>
      <w:r w:rsidR="00AC0304" w:rsidRPr="00AC0304">
        <w:rPr>
          <w:rFonts w:eastAsia="Arial Unicode MS"/>
          <w:color w:val="000000"/>
          <w:sz w:val="16"/>
          <w:szCs w:val="16"/>
          <w:u w:color="000000"/>
        </w:rPr>
        <w:t>International Covenant on Civil and Political Rights</w:t>
      </w:r>
      <w:r w:rsidR="00AC0304">
        <w:rPr>
          <w:rFonts w:eastAsia="Arial Unicode MS"/>
          <w:color w:val="000000"/>
          <w:sz w:val="16"/>
          <w:szCs w:val="16"/>
          <w:u w:color="000000"/>
        </w:rPr>
        <w:t xml:space="preserve"> available at </w:t>
      </w:r>
      <w:hyperlink r:id="rId2" w:history="1">
        <w:r w:rsidR="00AC0304" w:rsidRPr="005859C9">
          <w:rPr>
            <w:rStyle w:val="Hyperlink"/>
            <w:rFonts w:eastAsia="Arial Unicode MS"/>
            <w:sz w:val="16"/>
            <w:szCs w:val="16"/>
            <w:u w:color="000000"/>
          </w:rPr>
          <w:t>http://www.ohchr.org/en/professionalinterest/pages/ccpr.aspx</w:t>
        </w:r>
      </w:hyperlink>
      <w:r w:rsidR="00AC0304">
        <w:rPr>
          <w:rFonts w:eastAsia="Arial Unicode MS"/>
          <w:color w:val="000000"/>
          <w:sz w:val="16"/>
          <w:szCs w:val="16"/>
          <w:u w:color="000000"/>
        </w:rPr>
        <w:t xml:space="preserve"> </w:t>
      </w:r>
      <w:r w:rsidRPr="000B4CF2">
        <w:rPr>
          <w:rFonts w:eastAsia="Arial Unicode MS"/>
          <w:color w:val="000000"/>
          <w:sz w:val="16"/>
          <w:szCs w:val="16"/>
          <w:u w:color="000000"/>
        </w:rPr>
        <w:t xml:space="preserve">(last accessed </w:t>
      </w:r>
      <w:r w:rsidR="00AC0304">
        <w:rPr>
          <w:rFonts w:eastAsia="Arial Unicode MS"/>
          <w:color w:val="000000"/>
          <w:sz w:val="16"/>
          <w:szCs w:val="16"/>
          <w:u w:color="000000"/>
        </w:rPr>
        <w:t>10 April 2014</w:t>
      </w:r>
      <w:r w:rsidRPr="000B4CF2">
        <w:rPr>
          <w:rFonts w:eastAsia="Arial Unicode MS"/>
          <w:color w:val="000000"/>
          <w:sz w:val="16"/>
          <w:szCs w:val="16"/>
          <w:u w:color="000000"/>
        </w:rPr>
        <w:t>).</w:t>
      </w:r>
    </w:p>
  </w:footnote>
  <w:footnote w:id="9">
    <w:p w14:paraId="173F5848" w14:textId="258EB9E8" w:rsidR="00DB3EBE" w:rsidRPr="000B4CF2" w:rsidRDefault="00DB3EBE">
      <w:pPr>
        <w:outlineLvl w:val="0"/>
        <w:rPr>
          <w:sz w:val="16"/>
          <w:szCs w:val="16"/>
        </w:rPr>
      </w:pPr>
      <w:r w:rsidRPr="000B4CF2">
        <w:rPr>
          <w:rFonts w:eastAsia="Arial Unicode MS"/>
          <w:color w:val="000000"/>
          <w:sz w:val="16"/>
          <w:szCs w:val="16"/>
          <w:u w:color="000000"/>
          <w:vertAlign w:val="superscript"/>
        </w:rPr>
        <w:footnoteRef/>
      </w:r>
      <w:r w:rsidRPr="000B4CF2">
        <w:rPr>
          <w:rFonts w:eastAsia="Arial Unicode MS"/>
          <w:color w:val="000000"/>
          <w:sz w:val="16"/>
          <w:szCs w:val="16"/>
          <w:u w:color="000000"/>
        </w:rPr>
        <w:t xml:space="preserve"> </w:t>
      </w:r>
      <w:proofErr w:type="gramStart"/>
      <w:r w:rsidR="00217D46">
        <w:rPr>
          <w:rFonts w:eastAsia="Arial Unicode MS"/>
          <w:color w:val="000000"/>
          <w:sz w:val="16"/>
          <w:szCs w:val="16"/>
          <w:u w:color="000000"/>
        </w:rPr>
        <w:t>Application n</w:t>
      </w:r>
      <w:r w:rsidR="00AC0304">
        <w:rPr>
          <w:rFonts w:eastAsia="Arial Unicode MS"/>
          <w:color w:val="000000"/>
          <w:sz w:val="16"/>
          <w:szCs w:val="16"/>
          <w:u w:color="000000"/>
        </w:rPr>
        <w:t>o</w:t>
      </w:r>
      <w:r w:rsidR="00217D46">
        <w:rPr>
          <w:rFonts w:eastAsia="Arial Unicode MS"/>
          <w:color w:val="000000"/>
          <w:sz w:val="16"/>
          <w:szCs w:val="16"/>
          <w:u w:color="000000"/>
        </w:rPr>
        <w:t xml:space="preserve">. 67335/01, </w:t>
      </w:r>
      <w:r w:rsidRPr="000B4CF2">
        <w:rPr>
          <w:rFonts w:eastAsia="Arial Unicode MS"/>
          <w:color w:val="000000"/>
          <w:sz w:val="16"/>
          <w:szCs w:val="16"/>
          <w:u w:color="000000"/>
        </w:rPr>
        <w:t>[2007] 45 EHRR 9</w:t>
      </w:r>
      <w:r w:rsidR="00217D46">
        <w:rPr>
          <w:rFonts w:eastAsia="Arial Unicode MS"/>
          <w:color w:val="000000"/>
          <w:sz w:val="16"/>
          <w:szCs w:val="16"/>
          <w:u w:color="000000"/>
        </w:rPr>
        <w:t xml:space="preserve"> (29 March 2006)</w:t>
      </w:r>
      <w:r w:rsidRPr="000B4CF2">
        <w:rPr>
          <w:rFonts w:eastAsia="Arial Unicode MS"/>
          <w:color w:val="000000"/>
          <w:sz w:val="16"/>
          <w:szCs w:val="16"/>
          <w:u w:color="000000"/>
        </w:rPr>
        <w:t>, para.</w:t>
      </w:r>
      <w:proofErr w:type="gramEnd"/>
      <w:r w:rsidRPr="000B4CF2">
        <w:rPr>
          <w:rFonts w:eastAsia="Arial Unicode MS"/>
          <w:color w:val="000000"/>
          <w:sz w:val="16"/>
          <w:szCs w:val="16"/>
          <w:u w:color="000000"/>
        </w:rPr>
        <w:t xml:space="preserve"> 41.</w:t>
      </w:r>
    </w:p>
  </w:footnote>
  <w:footnote w:id="10">
    <w:p w14:paraId="742A71A8" w14:textId="2C5CEE4B" w:rsidR="00DB3EBE" w:rsidRPr="000B4CF2" w:rsidRDefault="00DB3EBE">
      <w:pPr>
        <w:outlineLvl w:val="0"/>
        <w:rPr>
          <w:sz w:val="16"/>
          <w:szCs w:val="16"/>
        </w:rPr>
      </w:pPr>
      <w:r w:rsidRPr="000B4CF2">
        <w:rPr>
          <w:rFonts w:eastAsia="Arial Unicode MS"/>
          <w:color w:val="000000"/>
          <w:sz w:val="16"/>
          <w:szCs w:val="16"/>
          <w:u w:color="000000"/>
          <w:vertAlign w:val="superscript"/>
        </w:rPr>
        <w:footnoteRef/>
      </w:r>
      <w:r w:rsidRPr="000B4CF2">
        <w:rPr>
          <w:rFonts w:eastAsia="Arial Unicode MS"/>
          <w:color w:val="000000"/>
          <w:sz w:val="16"/>
          <w:szCs w:val="16"/>
          <w:u w:color="000000"/>
        </w:rPr>
        <w:t xml:space="preserve"> </w:t>
      </w:r>
      <w:proofErr w:type="gramStart"/>
      <w:r w:rsidRPr="000B4CF2">
        <w:rPr>
          <w:rFonts w:eastAsia="Arial Unicode MS"/>
          <w:i/>
          <w:color w:val="000000"/>
          <w:sz w:val="16"/>
          <w:szCs w:val="16"/>
          <w:u w:color="000000"/>
        </w:rPr>
        <w:t xml:space="preserve">Engel &amp; Others </w:t>
      </w:r>
      <w:r w:rsidRPr="00AC0304">
        <w:rPr>
          <w:rFonts w:eastAsia="Arial Unicode MS"/>
          <w:color w:val="000000"/>
          <w:sz w:val="16"/>
          <w:szCs w:val="16"/>
          <w:u w:color="000000"/>
        </w:rPr>
        <w:t>v</w:t>
      </w:r>
      <w:r w:rsidR="00AC0304">
        <w:rPr>
          <w:rFonts w:eastAsia="Arial Unicode MS"/>
          <w:color w:val="000000"/>
          <w:sz w:val="16"/>
          <w:szCs w:val="16"/>
          <w:u w:color="000000"/>
        </w:rPr>
        <w:t>.</w:t>
      </w:r>
      <w:proofErr w:type="gramEnd"/>
      <w:r w:rsidRPr="000B4CF2">
        <w:rPr>
          <w:rFonts w:eastAsia="Arial Unicode MS"/>
          <w:color w:val="000000"/>
          <w:sz w:val="16"/>
          <w:szCs w:val="16"/>
          <w:u w:color="000000"/>
        </w:rPr>
        <w:t xml:space="preserve"> </w:t>
      </w:r>
      <w:r w:rsidRPr="000B4CF2">
        <w:rPr>
          <w:rFonts w:eastAsia="Arial Unicode MS"/>
          <w:i/>
          <w:color w:val="000000"/>
          <w:sz w:val="16"/>
          <w:szCs w:val="16"/>
          <w:u w:color="000000"/>
        </w:rPr>
        <w:t>The Netherlands</w:t>
      </w:r>
      <w:r w:rsidRPr="000B4CF2">
        <w:rPr>
          <w:rFonts w:eastAsia="Arial Unicode MS"/>
          <w:color w:val="000000"/>
          <w:sz w:val="16"/>
          <w:szCs w:val="16"/>
          <w:u w:color="000000"/>
        </w:rPr>
        <w:t>, app</w:t>
      </w:r>
      <w:r w:rsidR="00217D46">
        <w:rPr>
          <w:rFonts w:eastAsia="Arial Unicode MS"/>
          <w:color w:val="000000"/>
          <w:sz w:val="16"/>
          <w:szCs w:val="16"/>
          <w:u w:color="000000"/>
        </w:rPr>
        <w:t>lication no</w:t>
      </w:r>
      <w:r w:rsidRPr="000B4CF2">
        <w:rPr>
          <w:rFonts w:eastAsia="Arial Unicode MS"/>
          <w:color w:val="000000"/>
          <w:sz w:val="16"/>
          <w:szCs w:val="16"/>
          <w:u w:color="000000"/>
        </w:rPr>
        <w:t xml:space="preserve">s. 5100/71, 5101/71, 5102/71, 5354/72, and 5370/72), 8 June 1976, Series </w:t>
      </w:r>
      <w:proofErr w:type="gramStart"/>
      <w:r w:rsidRPr="000B4CF2">
        <w:rPr>
          <w:rFonts w:eastAsia="Arial Unicode MS"/>
          <w:color w:val="000000"/>
          <w:sz w:val="16"/>
          <w:szCs w:val="16"/>
          <w:u w:color="000000"/>
        </w:rPr>
        <w:t>A</w:t>
      </w:r>
      <w:proofErr w:type="gramEnd"/>
      <w:r w:rsidRPr="000B4CF2">
        <w:rPr>
          <w:rFonts w:eastAsia="Arial Unicode MS"/>
          <w:color w:val="000000"/>
          <w:sz w:val="16"/>
          <w:szCs w:val="16"/>
          <w:u w:color="000000"/>
        </w:rPr>
        <w:t xml:space="preserve"> no. 22 [1979–1980] 1 EHRR 647</w:t>
      </w:r>
      <w:r w:rsidR="00217D46">
        <w:rPr>
          <w:rFonts w:eastAsia="Arial Unicode MS"/>
          <w:color w:val="000000"/>
          <w:sz w:val="16"/>
          <w:szCs w:val="16"/>
          <w:u w:color="000000"/>
        </w:rPr>
        <w:t xml:space="preserve"> (8 June 1976)</w:t>
      </w:r>
      <w:r w:rsidRPr="000B4CF2">
        <w:rPr>
          <w:rFonts w:eastAsia="Arial Unicode MS"/>
          <w:color w:val="000000"/>
          <w:sz w:val="16"/>
          <w:szCs w:val="16"/>
          <w:u w:color="000000"/>
        </w:rPr>
        <w:t>.</w:t>
      </w:r>
    </w:p>
  </w:footnote>
  <w:footnote w:id="11">
    <w:p w14:paraId="1B574061" w14:textId="05FBF84B" w:rsidR="00DB3EBE" w:rsidRPr="000B4CF2" w:rsidRDefault="00DB3EBE">
      <w:pPr>
        <w:outlineLvl w:val="0"/>
        <w:rPr>
          <w:sz w:val="16"/>
          <w:szCs w:val="16"/>
        </w:rPr>
      </w:pPr>
      <w:r w:rsidRPr="000B4CF2">
        <w:rPr>
          <w:rFonts w:eastAsia="Arial Unicode MS"/>
          <w:color w:val="000000"/>
          <w:sz w:val="16"/>
          <w:szCs w:val="16"/>
          <w:u w:color="000000"/>
          <w:vertAlign w:val="superscript"/>
        </w:rPr>
        <w:footnoteRef/>
      </w:r>
      <w:r w:rsidRPr="000B4CF2">
        <w:rPr>
          <w:rFonts w:eastAsia="Arial Unicode MS"/>
          <w:color w:val="000000"/>
          <w:sz w:val="16"/>
          <w:szCs w:val="16"/>
          <w:u w:color="000000"/>
        </w:rPr>
        <w:t xml:space="preserve"> </w:t>
      </w:r>
      <w:proofErr w:type="gramStart"/>
      <w:r w:rsidRPr="000B4CF2">
        <w:rPr>
          <w:rFonts w:eastAsia="Arial Unicode MS"/>
          <w:color w:val="000000"/>
          <w:sz w:val="16"/>
          <w:szCs w:val="16"/>
          <w:u w:color="000000"/>
        </w:rPr>
        <w:t xml:space="preserve">See </w:t>
      </w:r>
      <w:r w:rsidRPr="000B4CF2">
        <w:rPr>
          <w:rFonts w:eastAsia="Arial Unicode MS"/>
          <w:i/>
          <w:color w:val="000000"/>
          <w:sz w:val="16"/>
          <w:szCs w:val="16"/>
          <w:u w:color="000000"/>
        </w:rPr>
        <w:t>Lawless v</w:t>
      </w:r>
      <w:r w:rsidRPr="000B4CF2">
        <w:rPr>
          <w:rFonts w:eastAsia="Arial Unicode MS"/>
          <w:color w:val="000000"/>
          <w:sz w:val="16"/>
          <w:szCs w:val="16"/>
          <w:u w:color="000000"/>
        </w:rPr>
        <w:t xml:space="preserve"> </w:t>
      </w:r>
      <w:r w:rsidR="00217D46">
        <w:rPr>
          <w:rFonts w:eastAsia="Arial Unicode MS"/>
          <w:i/>
          <w:color w:val="000000"/>
          <w:sz w:val="16"/>
          <w:szCs w:val="16"/>
          <w:u w:color="000000"/>
        </w:rPr>
        <w:t>United Kingdom (No. 3)</w:t>
      </w:r>
      <w:r w:rsidR="00217D46">
        <w:rPr>
          <w:rFonts w:eastAsia="Arial Unicode MS"/>
          <w:color w:val="000000"/>
          <w:sz w:val="16"/>
          <w:szCs w:val="16"/>
          <w:u w:color="000000"/>
        </w:rPr>
        <w:t>, application n</w:t>
      </w:r>
      <w:r w:rsidR="00AC0304">
        <w:rPr>
          <w:rFonts w:eastAsia="Arial Unicode MS"/>
          <w:color w:val="000000"/>
          <w:sz w:val="16"/>
          <w:szCs w:val="16"/>
          <w:u w:color="000000"/>
        </w:rPr>
        <w:t>o</w:t>
      </w:r>
      <w:r w:rsidR="00217D46">
        <w:rPr>
          <w:rFonts w:eastAsia="Arial Unicode MS"/>
          <w:color w:val="000000"/>
          <w:sz w:val="16"/>
          <w:szCs w:val="16"/>
          <w:u w:color="000000"/>
        </w:rPr>
        <w:t xml:space="preserve">. 33257 </w:t>
      </w:r>
      <w:r w:rsidRPr="000B4CF2">
        <w:rPr>
          <w:rFonts w:eastAsia="Arial Unicode MS"/>
          <w:color w:val="000000"/>
          <w:sz w:val="16"/>
          <w:szCs w:val="16"/>
          <w:u w:color="000000"/>
        </w:rPr>
        <w:t>[1979–1980] 1 EHRR 15</w:t>
      </w:r>
      <w:r w:rsidR="00217D46">
        <w:rPr>
          <w:rFonts w:eastAsia="Arial Unicode MS"/>
          <w:color w:val="000000"/>
          <w:sz w:val="16"/>
          <w:szCs w:val="16"/>
          <w:u w:color="000000"/>
        </w:rPr>
        <w:t xml:space="preserve"> (1 July 1961)</w:t>
      </w:r>
      <w:r w:rsidRPr="000B4CF2">
        <w:rPr>
          <w:rFonts w:eastAsia="Arial Unicode MS"/>
          <w:color w:val="000000"/>
          <w:sz w:val="16"/>
          <w:szCs w:val="16"/>
          <w:u w:color="000000"/>
        </w:rPr>
        <w:t>.</w:t>
      </w:r>
      <w:proofErr w:type="gramEnd"/>
    </w:p>
  </w:footnote>
  <w:footnote w:id="12">
    <w:p w14:paraId="7D4D96EF" w14:textId="77777777" w:rsidR="00DB3EBE" w:rsidRPr="000B4CF2" w:rsidRDefault="00DB3EBE">
      <w:pPr>
        <w:outlineLvl w:val="0"/>
        <w:rPr>
          <w:sz w:val="16"/>
          <w:szCs w:val="16"/>
        </w:rPr>
      </w:pPr>
      <w:r w:rsidRPr="000B4CF2">
        <w:rPr>
          <w:rFonts w:eastAsia="Arial Unicode MS"/>
          <w:color w:val="000000"/>
          <w:sz w:val="16"/>
          <w:szCs w:val="16"/>
          <w:u w:color="000000"/>
          <w:vertAlign w:val="superscript"/>
        </w:rPr>
        <w:footnoteRef/>
      </w:r>
      <w:r w:rsidRPr="000B4CF2">
        <w:rPr>
          <w:rFonts w:eastAsia="Arial Unicode MS"/>
          <w:color w:val="000000"/>
          <w:sz w:val="16"/>
          <w:szCs w:val="16"/>
          <w:u w:color="000000"/>
        </w:rPr>
        <w:t xml:space="preserve"> </w:t>
      </w:r>
      <w:proofErr w:type="gramStart"/>
      <w:r w:rsidRPr="000B4CF2">
        <w:rPr>
          <w:rFonts w:eastAsia="Arial Unicode MS"/>
          <w:color w:val="000000"/>
          <w:sz w:val="16"/>
          <w:szCs w:val="16"/>
          <w:u w:color="000000"/>
        </w:rPr>
        <w:t>[2010] 1 Cr App R 19.</w:t>
      </w:r>
      <w:proofErr w:type="gramEnd"/>
    </w:p>
  </w:footnote>
  <w:footnote w:id="13">
    <w:p w14:paraId="24A45CE4" w14:textId="47797248" w:rsidR="00DB3EBE" w:rsidRPr="000B4CF2" w:rsidRDefault="00DB3EBE">
      <w:pPr>
        <w:outlineLvl w:val="0"/>
        <w:rPr>
          <w:sz w:val="16"/>
          <w:szCs w:val="16"/>
        </w:rPr>
      </w:pPr>
      <w:r w:rsidRPr="000B4CF2">
        <w:rPr>
          <w:rFonts w:eastAsia="Arial Unicode MS"/>
          <w:color w:val="000000"/>
          <w:sz w:val="16"/>
          <w:szCs w:val="16"/>
          <w:u w:color="000000"/>
          <w:vertAlign w:val="superscript"/>
        </w:rPr>
        <w:footnoteRef/>
      </w:r>
      <w:r w:rsidRPr="000B4CF2">
        <w:rPr>
          <w:rFonts w:eastAsia="Arial Unicode MS"/>
          <w:color w:val="000000"/>
          <w:sz w:val="16"/>
          <w:szCs w:val="16"/>
          <w:u w:color="000000"/>
        </w:rPr>
        <w:t xml:space="preserve"> </w:t>
      </w:r>
      <w:r w:rsidRPr="000B4CF2">
        <w:rPr>
          <w:rFonts w:eastAsia="Arial Unicode MS"/>
          <w:i/>
          <w:color w:val="000000"/>
          <w:sz w:val="16"/>
          <w:szCs w:val="16"/>
          <w:u w:color="000000"/>
        </w:rPr>
        <w:t xml:space="preserve">Welch </w:t>
      </w:r>
      <w:r w:rsidRPr="00AC0304">
        <w:rPr>
          <w:rFonts w:eastAsia="Arial Unicode MS"/>
          <w:color w:val="000000"/>
          <w:sz w:val="16"/>
          <w:szCs w:val="16"/>
          <w:u w:color="000000"/>
        </w:rPr>
        <w:t>v</w:t>
      </w:r>
      <w:r w:rsidR="00AC0304">
        <w:rPr>
          <w:rFonts w:eastAsia="Arial Unicode MS"/>
          <w:color w:val="000000"/>
          <w:sz w:val="16"/>
          <w:szCs w:val="16"/>
          <w:u w:color="000000"/>
        </w:rPr>
        <w:t>.</w:t>
      </w:r>
      <w:r w:rsidRPr="000B4CF2">
        <w:rPr>
          <w:rFonts w:eastAsia="Arial Unicode MS"/>
          <w:color w:val="000000"/>
          <w:sz w:val="16"/>
          <w:szCs w:val="16"/>
          <w:u w:color="000000"/>
        </w:rPr>
        <w:t xml:space="preserve"> </w:t>
      </w:r>
      <w:r w:rsidRPr="000B4CF2">
        <w:rPr>
          <w:rFonts w:eastAsia="Arial Unicode MS"/>
          <w:i/>
          <w:color w:val="000000"/>
          <w:sz w:val="16"/>
          <w:szCs w:val="16"/>
          <w:u w:color="000000"/>
        </w:rPr>
        <w:t>United Kingdom</w:t>
      </w:r>
      <w:r w:rsidRPr="000B4CF2">
        <w:rPr>
          <w:rFonts w:eastAsia="Arial Unicode MS"/>
          <w:color w:val="000000"/>
          <w:sz w:val="16"/>
          <w:szCs w:val="16"/>
          <w:u w:color="000000"/>
        </w:rPr>
        <w:t>, app</w:t>
      </w:r>
      <w:r w:rsidR="00AC0304">
        <w:rPr>
          <w:rFonts w:eastAsia="Arial Unicode MS"/>
          <w:color w:val="000000"/>
          <w:sz w:val="16"/>
          <w:szCs w:val="16"/>
          <w:u w:color="000000"/>
        </w:rPr>
        <w:t>lication no</w:t>
      </w:r>
      <w:r w:rsidRPr="000B4CF2">
        <w:rPr>
          <w:rFonts w:eastAsia="Arial Unicode MS"/>
          <w:color w:val="000000"/>
          <w:sz w:val="16"/>
          <w:szCs w:val="16"/>
          <w:u w:color="000000"/>
        </w:rPr>
        <w:t>. 17440/90</w:t>
      </w:r>
      <w:proofErr w:type="gramStart"/>
      <w:r w:rsidRPr="000B4CF2">
        <w:rPr>
          <w:rFonts w:eastAsia="Arial Unicode MS"/>
          <w:color w:val="000000"/>
          <w:sz w:val="16"/>
          <w:szCs w:val="16"/>
          <w:u w:color="000000"/>
        </w:rPr>
        <w:t>,</w:t>
      </w:r>
      <w:r w:rsidR="006C19E3">
        <w:rPr>
          <w:rFonts w:eastAsia="Arial Unicode MS"/>
          <w:color w:val="000000"/>
          <w:sz w:val="16"/>
          <w:szCs w:val="16"/>
          <w:u w:color="000000"/>
        </w:rPr>
        <w:t>[</w:t>
      </w:r>
      <w:proofErr w:type="gramEnd"/>
      <w:r w:rsidR="006C19E3">
        <w:rPr>
          <w:rFonts w:eastAsia="Arial Unicode MS"/>
          <w:color w:val="000000"/>
          <w:sz w:val="16"/>
          <w:szCs w:val="16"/>
          <w:u w:color="000000"/>
        </w:rPr>
        <w:t>1995] ECHR 4</w:t>
      </w:r>
      <w:r w:rsidRPr="000B4CF2">
        <w:rPr>
          <w:rFonts w:eastAsia="Arial Unicode MS"/>
          <w:color w:val="000000"/>
          <w:sz w:val="16"/>
          <w:szCs w:val="16"/>
          <w:u w:color="000000"/>
        </w:rPr>
        <w:t xml:space="preserve"> </w:t>
      </w:r>
      <w:r w:rsidR="00AC0304">
        <w:rPr>
          <w:rFonts w:eastAsia="Arial Unicode MS"/>
          <w:color w:val="000000"/>
          <w:sz w:val="16"/>
          <w:szCs w:val="16"/>
          <w:u w:color="000000"/>
        </w:rPr>
        <w:t>(</w:t>
      </w:r>
      <w:r w:rsidRPr="000B4CF2">
        <w:rPr>
          <w:rFonts w:eastAsia="Arial Unicode MS"/>
          <w:color w:val="000000"/>
          <w:sz w:val="16"/>
          <w:szCs w:val="16"/>
          <w:u w:color="000000"/>
        </w:rPr>
        <w:t>9 February 1993</w:t>
      </w:r>
      <w:r w:rsidR="00AC0304">
        <w:rPr>
          <w:rFonts w:eastAsia="Arial Unicode MS"/>
          <w:color w:val="000000"/>
          <w:sz w:val="16"/>
          <w:szCs w:val="16"/>
          <w:u w:color="000000"/>
        </w:rPr>
        <w:t>)</w:t>
      </w:r>
      <w:r w:rsidRPr="000B4CF2">
        <w:rPr>
          <w:rFonts w:eastAsia="Arial Unicode MS"/>
          <w:color w:val="000000"/>
          <w:sz w:val="16"/>
          <w:szCs w:val="16"/>
          <w:u w:color="000000"/>
        </w:rPr>
        <w:t>.</w:t>
      </w:r>
    </w:p>
  </w:footnote>
  <w:footnote w:id="14">
    <w:p w14:paraId="508C594A" w14:textId="4BBED2F4" w:rsidR="00DB3EBE" w:rsidRPr="000B4CF2" w:rsidRDefault="00DB3EBE">
      <w:pPr>
        <w:outlineLvl w:val="0"/>
        <w:rPr>
          <w:sz w:val="16"/>
          <w:szCs w:val="16"/>
        </w:rPr>
      </w:pPr>
      <w:r w:rsidRPr="000B4CF2">
        <w:rPr>
          <w:rFonts w:eastAsia="Arial Unicode MS"/>
          <w:color w:val="000000"/>
          <w:sz w:val="16"/>
          <w:szCs w:val="16"/>
          <w:u w:color="000000"/>
          <w:vertAlign w:val="superscript"/>
        </w:rPr>
        <w:footnoteRef/>
      </w:r>
      <w:r w:rsidRPr="000B4CF2">
        <w:rPr>
          <w:rFonts w:eastAsia="Arial Unicode MS"/>
          <w:color w:val="000000"/>
          <w:sz w:val="16"/>
          <w:szCs w:val="16"/>
          <w:u w:color="000000"/>
        </w:rPr>
        <w:t xml:space="preserve"> </w:t>
      </w:r>
      <w:proofErr w:type="gramStart"/>
      <w:r w:rsidRPr="000B4CF2">
        <w:rPr>
          <w:rFonts w:eastAsia="Arial Unicode MS"/>
          <w:i/>
          <w:color w:val="000000"/>
          <w:sz w:val="16"/>
          <w:szCs w:val="16"/>
          <w:u w:color="000000"/>
        </w:rPr>
        <w:t>Adamson</w:t>
      </w:r>
      <w:r w:rsidRPr="000B4CF2">
        <w:rPr>
          <w:rFonts w:eastAsia="Arial Unicode MS"/>
          <w:color w:val="000000"/>
          <w:sz w:val="16"/>
          <w:szCs w:val="16"/>
          <w:u w:color="000000"/>
        </w:rPr>
        <w:t xml:space="preserve"> </w:t>
      </w:r>
      <w:r w:rsidRPr="00AC0304">
        <w:rPr>
          <w:rFonts w:eastAsia="Arial Unicode MS"/>
          <w:color w:val="000000"/>
          <w:sz w:val="16"/>
          <w:szCs w:val="16"/>
          <w:u w:color="000000"/>
        </w:rPr>
        <w:t>v</w:t>
      </w:r>
      <w:r w:rsidR="00AC0304">
        <w:rPr>
          <w:rFonts w:eastAsia="Arial Unicode MS"/>
          <w:color w:val="000000"/>
          <w:sz w:val="16"/>
          <w:szCs w:val="16"/>
          <w:u w:color="000000"/>
        </w:rPr>
        <w:t>.</w:t>
      </w:r>
      <w:r w:rsidRPr="00AC0304">
        <w:rPr>
          <w:rFonts w:eastAsia="Arial Unicode MS"/>
          <w:color w:val="000000"/>
          <w:sz w:val="16"/>
          <w:szCs w:val="16"/>
          <w:u w:color="000000"/>
        </w:rPr>
        <w:t xml:space="preserve"> </w:t>
      </w:r>
      <w:r w:rsidRPr="000B4CF2">
        <w:rPr>
          <w:rFonts w:eastAsia="Arial Unicode MS"/>
          <w:i/>
          <w:color w:val="000000"/>
          <w:sz w:val="16"/>
          <w:szCs w:val="16"/>
          <w:u w:color="000000"/>
        </w:rPr>
        <w:t>United Kingdom</w:t>
      </w:r>
      <w:r w:rsidRPr="000B4CF2">
        <w:rPr>
          <w:rFonts w:eastAsia="Arial Unicode MS"/>
          <w:color w:val="000000"/>
          <w:sz w:val="16"/>
          <w:szCs w:val="16"/>
          <w:u w:color="000000"/>
        </w:rPr>
        <w:t>, app</w:t>
      </w:r>
      <w:r w:rsidR="00AC0304">
        <w:rPr>
          <w:rFonts w:eastAsia="Arial Unicode MS"/>
          <w:color w:val="000000"/>
          <w:sz w:val="16"/>
          <w:szCs w:val="16"/>
          <w:u w:color="000000"/>
        </w:rPr>
        <w:t>lication no</w:t>
      </w:r>
      <w:r w:rsidRPr="000B4CF2">
        <w:rPr>
          <w:rFonts w:eastAsia="Arial Unicode MS"/>
          <w:color w:val="000000"/>
          <w:sz w:val="16"/>
          <w:szCs w:val="16"/>
          <w:u w:color="000000"/>
        </w:rPr>
        <w:t xml:space="preserve">. 42293/98, </w:t>
      </w:r>
      <w:r w:rsidR="006C19E3">
        <w:rPr>
          <w:rFonts w:eastAsia="Arial Unicode MS"/>
          <w:color w:val="000000"/>
          <w:sz w:val="16"/>
          <w:szCs w:val="16"/>
          <w:u w:color="000000"/>
        </w:rPr>
        <w:t xml:space="preserve">[1999] ECHR 192 </w:t>
      </w:r>
      <w:r w:rsidR="00AC0304">
        <w:rPr>
          <w:rFonts w:eastAsia="Arial Unicode MS"/>
          <w:color w:val="000000"/>
          <w:sz w:val="16"/>
          <w:szCs w:val="16"/>
          <w:u w:color="000000"/>
        </w:rPr>
        <w:t>(</w:t>
      </w:r>
      <w:r w:rsidRPr="000B4CF2">
        <w:rPr>
          <w:rFonts w:eastAsia="Arial Unicode MS"/>
          <w:color w:val="000000"/>
          <w:sz w:val="16"/>
          <w:szCs w:val="16"/>
          <w:u w:color="000000"/>
        </w:rPr>
        <w:t>26 January 1999</w:t>
      </w:r>
      <w:r w:rsidR="00AC0304">
        <w:rPr>
          <w:rFonts w:eastAsia="Arial Unicode MS"/>
          <w:color w:val="000000"/>
          <w:sz w:val="16"/>
          <w:szCs w:val="16"/>
          <w:u w:color="000000"/>
        </w:rPr>
        <w:t>)</w:t>
      </w:r>
      <w:r w:rsidRPr="000B4CF2">
        <w:rPr>
          <w:rFonts w:eastAsia="Arial Unicode MS"/>
          <w:color w:val="000000"/>
          <w:sz w:val="16"/>
          <w:szCs w:val="16"/>
          <w:u w:color="000000"/>
        </w:rPr>
        <w:t>.</w:t>
      </w:r>
      <w:proofErr w:type="gramEnd"/>
    </w:p>
  </w:footnote>
  <w:footnote w:id="15">
    <w:p w14:paraId="334A4A25" w14:textId="77777777" w:rsidR="00DB3EBE" w:rsidRPr="000B4CF2" w:rsidRDefault="00DB3EBE">
      <w:pPr>
        <w:outlineLvl w:val="0"/>
        <w:rPr>
          <w:sz w:val="16"/>
          <w:szCs w:val="16"/>
        </w:rPr>
      </w:pPr>
      <w:r w:rsidRPr="000B4CF2">
        <w:rPr>
          <w:rFonts w:eastAsia="Arial Unicode MS"/>
          <w:color w:val="000000"/>
          <w:sz w:val="16"/>
          <w:szCs w:val="16"/>
          <w:u w:color="000000"/>
          <w:vertAlign w:val="superscript"/>
        </w:rPr>
        <w:footnoteRef/>
      </w:r>
      <w:r w:rsidRPr="000B4CF2">
        <w:rPr>
          <w:rFonts w:eastAsia="Arial Unicode MS"/>
          <w:color w:val="000000"/>
          <w:sz w:val="16"/>
          <w:szCs w:val="16"/>
          <w:u w:color="000000"/>
        </w:rPr>
        <w:t xml:space="preserve"> </w:t>
      </w:r>
      <w:proofErr w:type="gramStart"/>
      <w:r w:rsidRPr="000B4CF2">
        <w:rPr>
          <w:rFonts w:eastAsia="Arial Unicode MS"/>
          <w:color w:val="000000"/>
          <w:sz w:val="16"/>
          <w:szCs w:val="16"/>
          <w:u w:color="000000"/>
        </w:rPr>
        <w:t>[1998] EHRLR 90.</w:t>
      </w:r>
      <w:proofErr w:type="gramEnd"/>
    </w:p>
  </w:footnote>
  <w:footnote w:id="16">
    <w:p w14:paraId="440B3440" w14:textId="77777777" w:rsidR="00DB3EBE" w:rsidRPr="000B4CF2" w:rsidRDefault="00DB3EBE">
      <w:pPr>
        <w:outlineLvl w:val="0"/>
        <w:rPr>
          <w:sz w:val="16"/>
          <w:szCs w:val="16"/>
        </w:rPr>
      </w:pPr>
      <w:r w:rsidRPr="000B4CF2">
        <w:rPr>
          <w:rFonts w:eastAsia="Arial Unicode MS"/>
          <w:color w:val="000000"/>
          <w:sz w:val="16"/>
          <w:szCs w:val="16"/>
          <w:u w:color="000000"/>
          <w:vertAlign w:val="superscript"/>
        </w:rPr>
        <w:footnoteRef/>
      </w:r>
      <w:r w:rsidRPr="000B4CF2">
        <w:rPr>
          <w:rFonts w:eastAsia="Arial Unicode MS"/>
          <w:color w:val="000000"/>
          <w:sz w:val="16"/>
          <w:szCs w:val="16"/>
          <w:u w:color="000000"/>
        </w:rPr>
        <w:t xml:space="preserve"> </w:t>
      </w:r>
      <w:proofErr w:type="gramStart"/>
      <w:r w:rsidRPr="000B4CF2">
        <w:rPr>
          <w:rFonts w:eastAsia="Arial Unicode MS"/>
          <w:color w:val="000000"/>
          <w:sz w:val="16"/>
          <w:szCs w:val="16"/>
          <w:u w:color="000000"/>
        </w:rPr>
        <w:t>[2004] 1 WLR 2278.</w:t>
      </w:r>
      <w:proofErr w:type="gramEnd"/>
    </w:p>
  </w:footnote>
  <w:footnote w:id="17">
    <w:p w14:paraId="7CE047AC" w14:textId="77777777" w:rsidR="00DB3EBE" w:rsidRPr="000B4CF2" w:rsidRDefault="00DB3EBE">
      <w:pPr>
        <w:outlineLvl w:val="0"/>
        <w:rPr>
          <w:sz w:val="16"/>
          <w:szCs w:val="16"/>
        </w:rPr>
      </w:pPr>
      <w:r w:rsidRPr="000B4CF2">
        <w:rPr>
          <w:rFonts w:eastAsia="Arial Unicode MS"/>
          <w:color w:val="000000"/>
          <w:sz w:val="16"/>
          <w:szCs w:val="16"/>
          <w:u w:color="000000"/>
          <w:vertAlign w:val="superscript"/>
        </w:rPr>
        <w:footnoteRef/>
      </w:r>
      <w:r w:rsidRPr="000B4CF2">
        <w:rPr>
          <w:rFonts w:eastAsia="Arial Unicode MS"/>
          <w:color w:val="000000"/>
          <w:sz w:val="16"/>
          <w:szCs w:val="16"/>
          <w:u w:color="000000"/>
        </w:rPr>
        <w:t xml:space="preserve"> </w:t>
      </w:r>
      <w:proofErr w:type="gramStart"/>
      <w:r w:rsidRPr="000B4CF2">
        <w:rPr>
          <w:rFonts w:eastAsia="Arial Unicode MS"/>
          <w:color w:val="000000"/>
          <w:sz w:val="16"/>
          <w:szCs w:val="16"/>
          <w:u w:color="000000"/>
        </w:rPr>
        <w:t xml:space="preserve">[2007] EWCA </w:t>
      </w:r>
      <w:proofErr w:type="spellStart"/>
      <w:r w:rsidRPr="000B4CF2">
        <w:rPr>
          <w:rFonts w:eastAsia="Arial Unicode MS"/>
          <w:color w:val="000000"/>
          <w:sz w:val="16"/>
          <w:szCs w:val="16"/>
          <w:u w:color="000000"/>
        </w:rPr>
        <w:t>Crim</w:t>
      </w:r>
      <w:proofErr w:type="spellEnd"/>
      <w:r w:rsidRPr="000B4CF2">
        <w:rPr>
          <w:rFonts w:eastAsia="Arial Unicode MS"/>
          <w:color w:val="000000"/>
          <w:sz w:val="16"/>
          <w:szCs w:val="16"/>
          <w:u w:color="000000"/>
        </w:rPr>
        <w:t xml:space="preserve"> 1608.</w:t>
      </w:r>
      <w:proofErr w:type="gramEnd"/>
    </w:p>
  </w:footnote>
  <w:footnote w:id="18">
    <w:p w14:paraId="432A9C2D" w14:textId="55B344EE" w:rsidR="00DB3EBE" w:rsidRPr="000B4CF2" w:rsidRDefault="00DB3EBE">
      <w:pPr>
        <w:outlineLvl w:val="0"/>
        <w:rPr>
          <w:sz w:val="16"/>
          <w:szCs w:val="16"/>
        </w:rPr>
      </w:pPr>
      <w:r w:rsidRPr="000B4CF2">
        <w:rPr>
          <w:rFonts w:eastAsia="Arial Unicode MS"/>
          <w:color w:val="000000"/>
          <w:sz w:val="16"/>
          <w:szCs w:val="16"/>
          <w:u w:color="000000"/>
          <w:vertAlign w:val="superscript"/>
        </w:rPr>
        <w:footnoteRef/>
      </w:r>
      <w:r w:rsidRPr="000B4CF2">
        <w:rPr>
          <w:rFonts w:eastAsia="Arial Unicode MS"/>
          <w:color w:val="000000"/>
          <w:sz w:val="16"/>
          <w:szCs w:val="16"/>
          <w:u w:color="000000"/>
        </w:rPr>
        <w:t xml:space="preserve"> </w:t>
      </w:r>
      <w:proofErr w:type="gramStart"/>
      <w:r w:rsidR="006C19E3">
        <w:rPr>
          <w:rFonts w:eastAsia="Arial Unicode MS"/>
          <w:color w:val="000000"/>
          <w:sz w:val="16"/>
          <w:szCs w:val="16"/>
          <w:u w:color="000000"/>
        </w:rPr>
        <w:t>Application  no</w:t>
      </w:r>
      <w:proofErr w:type="gramEnd"/>
      <w:r w:rsidR="006C19E3">
        <w:rPr>
          <w:rFonts w:eastAsia="Arial Unicode MS"/>
          <w:color w:val="000000"/>
          <w:sz w:val="16"/>
          <w:szCs w:val="16"/>
          <w:u w:color="000000"/>
        </w:rPr>
        <w:t>. 2196/04, [2008</w:t>
      </w:r>
      <w:r w:rsidRPr="000B4CF2">
        <w:rPr>
          <w:rFonts w:eastAsia="Arial Unicode MS"/>
          <w:color w:val="000000"/>
          <w:sz w:val="16"/>
          <w:szCs w:val="16"/>
          <w:u w:color="000000"/>
        </w:rPr>
        <w:t xml:space="preserve">] </w:t>
      </w:r>
      <w:r w:rsidR="006C19E3">
        <w:rPr>
          <w:rFonts w:eastAsia="Arial Unicode MS"/>
          <w:color w:val="000000"/>
          <w:sz w:val="16"/>
          <w:szCs w:val="16"/>
          <w:u w:color="000000"/>
        </w:rPr>
        <w:t>ECHR 143(12 February 2008)</w:t>
      </w:r>
      <w:r w:rsidRPr="000B4CF2">
        <w:rPr>
          <w:rFonts w:eastAsia="Arial Unicode MS"/>
          <w:color w:val="000000"/>
          <w:sz w:val="16"/>
          <w:szCs w:val="16"/>
          <w:u w:color="000000"/>
        </w:rPr>
        <w:t>.</w:t>
      </w:r>
    </w:p>
  </w:footnote>
  <w:footnote w:id="19">
    <w:p w14:paraId="54B64C94" w14:textId="3AF4F678" w:rsidR="00DB3EBE" w:rsidRPr="000B4CF2" w:rsidRDefault="00DB3EBE">
      <w:pPr>
        <w:pStyle w:val="Body1"/>
        <w:rPr>
          <w:rFonts w:eastAsia="Times New Roman"/>
          <w:color w:val="auto"/>
          <w:sz w:val="16"/>
          <w:szCs w:val="16"/>
          <w:lang w:val="en-GB"/>
        </w:rPr>
      </w:pPr>
      <w:r w:rsidRPr="000B4CF2">
        <w:rPr>
          <w:sz w:val="16"/>
          <w:szCs w:val="16"/>
          <w:vertAlign w:val="superscript"/>
          <w:lang w:val="en-GB"/>
        </w:rPr>
        <w:footnoteRef/>
      </w:r>
      <w:r w:rsidRPr="000B4CF2">
        <w:rPr>
          <w:sz w:val="16"/>
          <w:szCs w:val="16"/>
          <w:lang w:val="en-GB"/>
        </w:rPr>
        <w:t xml:space="preserve"> </w:t>
      </w:r>
      <w:proofErr w:type="spellStart"/>
      <w:r w:rsidRPr="000B4CF2">
        <w:rPr>
          <w:i/>
          <w:sz w:val="16"/>
          <w:szCs w:val="16"/>
          <w:lang w:val="en-GB"/>
        </w:rPr>
        <w:t>Tyrer</w:t>
      </w:r>
      <w:proofErr w:type="spellEnd"/>
      <w:r w:rsidRPr="000B4CF2">
        <w:rPr>
          <w:i/>
          <w:sz w:val="16"/>
          <w:szCs w:val="16"/>
          <w:lang w:val="en-GB"/>
        </w:rPr>
        <w:t xml:space="preserve"> </w:t>
      </w:r>
      <w:r w:rsidRPr="00AC0304">
        <w:rPr>
          <w:sz w:val="16"/>
          <w:szCs w:val="16"/>
          <w:lang w:val="en-GB"/>
        </w:rPr>
        <w:t>v</w:t>
      </w:r>
      <w:r w:rsidR="00AC0304">
        <w:rPr>
          <w:sz w:val="16"/>
          <w:szCs w:val="16"/>
          <w:lang w:val="en-GB"/>
        </w:rPr>
        <w:t>.</w:t>
      </w:r>
      <w:r w:rsidRPr="00AC0304">
        <w:rPr>
          <w:sz w:val="16"/>
          <w:szCs w:val="16"/>
          <w:lang w:val="en-GB"/>
        </w:rPr>
        <w:t xml:space="preserve"> </w:t>
      </w:r>
      <w:r w:rsidRPr="000B4CF2">
        <w:rPr>
          <w:i/>
          <w:sz w:val="16"/>
          <w:szCs w:val="16"/>
          <w:lang w:val="en-GB"/>
        </w:rPr>
        <w:t>United Kingdom</w:t>
      </w:r>
      <w:r w:rsidRPr="000B4CF2">
        <w:rPr>
          <w:sz w:val="16"/>
          <w:szCs w:val="16"/>
          <w:lang w:val="en-GB"/>
        </w:rPr>
        <w:t>, 5856/72</w:t>
      </w:r>
      <w:r w:rsidRPr="000B4CF2">
        <w:rPr>
          <w:i/>
          <w:sz w:val="16"/>
          <w:szCs w:val="16"/>
          <w:lang w:val="en-GB"/>
        </w:rPr>
        <w:t xml:space="preserve"> </w:t>
      </w:r>
      <w:r w:rsidRPr="000B4CF2">
        <w:rPr>
          <w:sz w:val="16"/>
          <w:szCs w:val="16"/>
          <w:lang w:val="en-GB"/>
        </w:rPr>
        <w:t>[1978] ECHR 2</w:t>
      </w:r>
      <w:r w:rsidR="00197BDE">
        <w:rPr>
          <w:sz w:val="16"/>
          <w:szCs w:val="16"/>
          <w:lang w:val="en-GB"/>
        </w:rPr>
        <w:t xml:space="preserve"> (25 April 1978)</w:t>
      </w:r>
      <w:r w:rsidRPr="000B4CF2">
        <w:rPr>
          <w:sz w:val="16"/>
          <w:szCs w:val="16"/>
          <w:lang w:val="en-GB"/>
        </w:rPr>
        <w:t>.</w:t>
      </w:r>
    </w:p>
  </w:footnote>
  <w:footnote w:id="20">
    <w:p w14:paraId="70A4A89F" w14:textId="50C59D35" w:rsidR="00DB3EBE" w:rsidRPr="000B4CF2" w:rsidRDefault="00DB3EBE">
      <w:pPr>
        <w:pStyle w:val="Body1"/>
        <w:rPr>
          <w:rFonts w:eastAsia="Times New Roman"/>
          <w:color w:val="auto"/>
          <w:sz w:val="16"/>
          <w:szCs w:val="16"/>
          <w:lang w:val="en-GB"/>
        </w:rPr>
      </w:pPr>
      <w:r w:rsidRPr="000B4CF2">
        <w:rPr>
          <w:sz w:val="16"/>
          <w:szCs w:val="16"/>
          <w:vertAlign w:val="superscript"/>
          <w:lang w:val="en-GB"/>
        </w:rPr>
        <w:footnoteRef/>
      </w:r>
      <w:r>
        <w:rPr>
          <w:sz w:val="16"/>
          <w:szCs w:val="16"/>
          <w:lang w:val="en-GB"/>
        </w:rPr>
        <w:t xml:space="preserve"> </w:t>
      </w:r>
      <w:r>
        <w:rPr>
          <w:smallCaps/>
          <w:sz w:val="16"/>
          <w:szCs w:val="16"/>
          <w:lang w:val="en-GB"/>
        </w:rPr>
        <w:t>HAR</w:t>
      </w:r>
      <w:r w:rsidRPr="00720536">
        <w:rPr>
          <w:smallCaps/>
          <w:sz w:val="16"/>
          <w:szCs w:val="16"/>
          <w:lang w:val="en-GB"/>
        </w:rPr>
        <w:t>T H.L.A</w:t>
      </w:r>
      <w:r w:rsidRPr="000B4CF2">
        <w:rPr>
          <w:sz w:val="16"/>
          <w:szCs w:val="16"/>
          <w:lang w:val="en-GB"/>
        </w:rPr>
        <w:t xml:space="preserve">., </w:t>
      </w:r>
      <w:proofErr w:type="gramStart"/>
      <w:r w:rsidRPr="000B4CF2">
        <w:rPr>
          <w:i/>
          <w:sz w:val="16"/>
          <w:szCs w:val="16"/>
          <w:lang w:val="en-GB"/>
        </w:rPr>
        <w:t>The</w:t>
      </w:r>
      <w:proofErr w:type="gramEnd"/>
      <w:r w:rsidRPr="000B4CF2">
        <w:rPr>
          <w:i/>
          <w:sz w:val="16"/>
          <w:szCs w:val="16"/>
          <w:lang w:val="en-GB"/>
        </w:rPr>
        <w:t xml:space="preserve"> Concept of </w:t>
      </w:r>
      <w:r>
        <w:rPr>
          <w:sz w:val="16"/>
          <w:szCs w:val="16"/>
          <w:lang w:val="en-GB"/>
        </w:rPr>
        <w:t xml:space="preserve">Law, Oxford, Clarendon, </w:t>
      </w:r>
      <w:r w:rsidRPr="000B4CF2">
        <w:rPr>
          <w:sz w:val="16"/>
          <w:szCs w:val="16"/>
          <w:lang w:val="en-GB"/>
        </w:rPr>
        <w:t>1961.</w:t>
      </w:r>
    </w:p>
  </w:footnote>
  <w:footnote w:id="21">
    <w:p w14:paraId="77E5DA50" w14:textId="7F17BCD4" w:rsidR="00DB3EBE" w:rsidRPr="000B4CF2" w:rsidRDefault="00DB3EBE">
      <w:pPr>
        <w:outlineLvl w:val="0"/>
        <w:rPr>
          <w:sz w:val="16"/>
          <w:szCs w:val="16"/>
        </w:rPr>
      </w:pPr>
      <w:r w:rsidRPr="000B4CF2">
        <w:rPr>
          <w:rFonts w:eastAsia="Arial Unicode MS"/>
          <w:color w:val="000000"/>
          <w:sz w:val="16"/>
          <w:szCs w:val="16"/>
          <w:u w:color="000000"/>
          <w:vertAlign w:val="superscript"/>
        </w:rPr>
        <w:footnoteRef/>
      </w:r>
      <w:r w:rsidRPr="000B4CF2">
        <w:rPr>
          <w:rFonts w:eastAsia="Arial Unicode MS"/>
          <w:color w:val="000000"/>
          <w:sz w:val="16"/>
          <w:szCs w:val="16"/>
          <w:u w:color="000000"/>
        </w:rPr>
        <w:t xml:space="preserve"> </w:t>
      </w:r>
      <w:proofErr w:type="gramStart"/>
      <w:r w:rsidRPr="000B4CF2">
        <w:rPr>
          <w:rFonts w:eastAsia="Arial Unicode MS"/>
          <w:color w:val="000000"/>
          <w:sz w:val="16"/>
          <w:szCs w:val="16"/>
          <w:u w:color="000000"/>
        </w:rPr>
        <w:t>[1996] 21 EHRR 363, paras.</w:t>
      </w:r>
      <w:proofErr w:type="gramEnd"/>
      <w:r w:rsidRPr="000B4CF2">
        <w:rPr>
          <w:rFonts w:eastAsia="Arial Unicode MS"/>
          <w:color w:val="000000"/>
          <w:sz w:val="16"/>
          <w:szCs w:val="16"/>
          <w:u w:color="000000"/>
        </w:rPr>
        <w:t xml:space="preserve"> </w:t>
      </w:r>
      <w:proofErr w:type="gramStart"/>
      <w:r w:rsidRPr="000B4CF2">
        <w:rPr>
          <w:rFonts w:eastAsia="Arial Unicode MS"/>
          <w:color w:val="000000"/>
          <w:sz w:val="16"/>
          <w:szCs w:val="16"/>
          <w:u w:color="000000"/>
        </w:rPr>
        <w:t>36/34.</w:t>
      </w:r>
      <w:proofErr w:type="gramEnd"/>
    </w:p>
  </w:footnote>
  <w:footnote w:id="22">
    <w:p w14:paraId="47F52752" w14:textId="59B873F8" w:rsidR="00DB3EBE" w:rsidRPr="000B4CF2" w:rsidRDefault="00DB3EBE" w:rsidP="00720536">
      <w:pPr>
        <w:outlineLvl w:val="0"/>
        <w:rPr>
          <w:sz w:val="16"/>
          <w:szCs w:val="16"/>
        </w:rPr>
      </w:pPr>
      <w:r w:rsidRPr="000B4CF2">
        <w:rPr>
          <w:sz w:val="16"/>
          <w:szCs w:val="16"/>
          <w:vertAlign w:val="superscript"/>
        </w:rPr>
        <w:footnoteRef/>
      </w:r>
      <w:r w:rsidRPr="000B4CF2">
        <w:rPr>
          <w:sz w:val="16"/>
          <w:szCs w:val="16"/>
        </w:rPr>
        <w:t xml:space="preserve"> </w:t>
      </w:r>
      <w:proofErr w:type="gramStart"/>
      <w:r w:rsidRPr="000B4CF2">
        <w:rPr>
          <w:sz w:val="16"/>
          <w:szCs w:val="16"/>
        </w:rPr>
        <w:t xml:space="preserve">See </w:t>
      </w:r>
      <w:r>
        <w:rPr>
          <w:smallCaps/>
          <w:sz w:val="16"/>
          <w:szCs w:val="16"/>
        </w:rPr>
        <w:t xml:space="preserve">White R.C.A. </w:t>
      </w:r>
      <w:r>
        <w:rPr>
          <w:rFonts w:eastAsia="Arial Unicode MS"/>
          <w:color w:val="000000"/>
          <w:sz w:val="16"/>
          <w:szCs w:val="16"/>
          <w:u w:color="000000"/>
        </w:rPr>
        <w:t>and</w:t>
      </w:r>
      <w:r w:rsidRPr="000B4CF2">
        <w:rPr>
          <w:smallCaps/>
          <w:sz w:val="16"/>
          <w:szCs w:val="16"/>
        </w:rPr>
        <w:t xml:space="preserve"> </w:t>
      </w:r>
      <w:proofErr w:type="spellStart"/>
      <w:r w:rsidRPr="000B4CF2">
        <w:rPr>
          <w:smallCaps/>
          <w:sz w:val="16"/>
          <w:szCs w:val="16"/>
        </w:rPr>
        <w:t>Ovey</w:t>
      </w:r>
      <w:proofErr w:type="spellEnd"/>
      <w:r w:rsidRPr="000B4CF2">
        <w:rPr>
          <w:smallCaps/>
          <w:sz w:val="16"/>
          <w:szCs w:val="16"/>
        </w:rPr>
        <w:t xml:space="preserve"> C.</w:t>
      </w:r>
      <w:r w:rsidRPr="000B4CF2">
        <w:rPr>
          <w:sz w:val="16"/>
          <w:szCs w:val="16"/>
        </w:rPr>
        <w:t xml:space="preserve">, </w:t>
      </w:r>
      <w:r w:rsidRPr="000B4CF2">
        <w:rPr>
          <w:i/>
          <w:sz w:val="16"/>
          <w:szCs w:val="16"/>
        </w:rPr>
        <w:t xml:space="preserve">Jacobs, White and </w:t>
      </w:r>
      <w:proofErr w:type="spellStart"/>
      <w:r w:rsidRPr="000B4CF2">
        <w:rPr>
          <w:i/>
          <w:sz w:val="16"/>
          <w:szCs w:val="16"/>
        </w:rPr>
        <w:t>Ovey</w:t>
      </w:r>
      <w:proofErr w:type="spellEnd"/>
      <w:r w:rsidRPr="000B4CF2">
        <w:rPr>
          <w:i/>
          <w:sz w:val="16"/>
          <w:szCs w:val="16"/>
        </w:rPr>
        <w:t xml:space="preserve">: The European Convention on Human </w:t>
      </w:r>
      <w:r>
        <w:rPr>
          <w:sz w:val="16"/>
          <w:szCs w:val="16"/>
        </w:rPr>
        <w:t xml:space="preserve">Rights, Oxford, </w:t>
      </w:r>
      <w:r w:rsidRPr="000B4CF2">
        <w:rPr>
          <w:sz w:val="16"/>
          <w:szCs w:val="16"/>
        </w:rPr>
        <w:t>Oxford University Press, 2010.</w:t>
      </w:r>
      <w:proofErr w:type="gramEnd"/>
    </w:p>
  </w:footnote>
  <w:footnote w:id="23">
    <w:p w14:paraId="22F26329" w14:textId="77777777" w:rsidR="00DB3EBE" w:rsidRPr="000B4CF2" w:rsidRDefault="00DB3EBE">
      <w:pPr>
        <w:pStyle w:val="Body1"/>
        <w:rPr>
          <w:rFonts w:eastAsia="Times New Roman"/>
          <w:color w:val="auto"/>
          <w:sz w:val="16"/>
          <w:szCs w:val="16"/>
          <w:lang w:val="en-GB"/>
        </w:rPr>
      </w:pPr>
      <w:r w:rsidRPr="000B4CF2">
        <w:rPr>
          <w:sz w:val="16"/>
          <w:szCs w:val="16"/>
          <w:vertAlign w:val="superscript"/>
          <w:lang w:val="en-GB"/>
        </w:rPr>
        <w:footnoteRef/>
      </w:r>
      <w:r w:rsidRPr="000B4CF2">
        <w:rPr>
          <w:sz w:val="16"/>
          <w:szCs w:val="16"/>
          <w:lang w:val="en-GB"/>
        </w:rPr>
        <w:t xml:space="preserve"> </w:t>
      </w:r>
      <w:proofErr w:type="gramStart"/>
      <w:r w:rsidRPr="000B4CF2">
        <w:rPr>
          <w:smallCaps/>
          <w:sz w:val="16"/>
          <w:szCs w:val="16"/>
          <w:lang w:val="en-GB"/>
        </w:rPr>
        <w:t>Fijalkowski Agata</w:t>
      </w:r>
      <w:r w:rsidRPr="000B4CF2">
        <w:rPr>
          <w:sz w:val="16"/>
          <w:szCs w:val="16"/>
          <w:lang w:val="en-GB"/>
        </w:rPr>
        <w:t xml:space="preserve">, </w:t>
      </w:r>
      <w:r w:rsidRPr="000B4CF2">
        <w:rPr>
          <w:i/>
          <w:sz w:val="16"/>
          <w:szCs w:val="16"/>
          <w:lang w:val="en-GB"/>
        </w:rPr>
        <w:t>From Old Times to New Europe</w:t>
      </w:r>
      <w:r>
        <w:rPr>
          <w:sz w:val="16"/>
          <w:szCs w:val="16"/>
          <w:lang w:val="en-GB"/>
        </w:rPr>
        <w:t xml:space="preserve">, Aldershot, </w:t>
      </w:r>
      <w:proofErr w:type="spellStart"/>
      <w:r w:rsidRPr="000B4CF2">
        <w:rPr>
          <w:sz w:val="16"/>
          <w:szCs w:val="16"/>
          <w:lang w:val="en-GB"/>
        </w:rPr>
        <w:t>Ashgate</w:t>
      </w:r>
      <w:proofErr w:type="spellEnd"/>
      <w:r w:rsidRPr="000B4CF2">
        <w:rPr>
          <w:sz w:val="16"/>
          <w:szCs w:val="16"/>
          <w:lang w:val="en-GB"/>
        </w:rPr>
        <w:t>, 2010.</w:t>
      </w:r>
      <w:proofErr w:type="gramEnd"/>
    </w:p>
  </w:footnote>
  <w:footnote w:id="24">
    <w:p w14:paraId="47D2E4BA" w14:textId="062DD71E" w:rsidR="00DB3EBE" w:rsidRPr="000B4CF2" w:rsidRDefault="00DB3EBE">
      <w:pPr>
        <w:outlineLvl w:val="0"/>
        <w:rPr>
          <w:sz w:val="16"/>
          <w:szCs w:val="16"/>
        </w:rPr>
      </w:pPr>
      <w:r w:rsidRPr="000B4CF2">
        <w:rPr>
          <w:rFonts w:eastAsia="Arial Unicode MS"/>
          <w:color w:val="000000"/>
          <w:sz w:val="16"/>
          <w:szCs w:val="16"/>
          <w:u w:color="000000"/>
          <w:vertAlign w:val="superscript"/>
        </w:rPr>
        <w:footnoteRef/>
      </w:r>
      <w:r w:rsidRPr="000B4CF2">
        <w:rPr>
          <w:rFonts w:eastAsia="Arial Unicode MS"/>
          <w:color w:val="000000"/>
          <w:sz w:val="16"/>
          <w:szCs w:val="16"/>
          <w:u w:color="000000"/>
        </w:rPr>
        <w:t xml:space="preserve"> App</w:t>
      </w:r>
      <w:r w:rsidR="00197BDE">
        <w:rPr>
          <w:rFonts w:eastAsia="Arial Unicode MS"/>
          <w:color w:val="000000"/>
          <w:sz w:val="16"/>
          <w:szCs w:val="16"/>
          <w:u w:color="000000"/>
        </w:rPr>
        <w:t>lication no. 54210/00, (</w:t>
      </w:r>
      <w:r w:rsidRPr="000B4CF2">
        <w:rPr>
          <w:rFonts w:eastAsia="Arial Unicode MS"/>
          <w:color w:val="000000"/>
          <w:sz w:val="16"/>
          <w:szCs w:val="16"/>
          <w:u w:color="000000"/>
        </w:rPr>
        <w:t>15 November 2001</w:t>
      </w:r>
      <w:r w:rsidR="00197BDE">
        <w:rPr>
          <w:rFonts w:eastAsia="Arial Unicode MS"/>
          <w:color w:val="000000"/>
          <w:sz w:val="16"/>
          <w:szCs w:val="16"/>
          <w:u w:color="000000"/>
        </w:rPr>
        <w:t>)</w:t>
      </w:r>
      <w:r w:rsidRPr="000B4CF2">
        <w:rPr>
          <w:rFonts w:eastAsia="Arial Unicode MS"/>
          <w:color w:val="000000"/>
          <w:sz w:val="16"/>
          <w:szCs w:val="16"/>
          <w:u w:color="000000"/>
        </w:rPr>
        <w:t xml:space="preserve">. See also </w:t>
      </w:r>
      <w:proofErr w:type="spellStart"/>
      <w:r w:rsidRPr="000B4CF2">
        <w:rPr>
          <w:rFonts w:eastAsia="Arial Unicode MS"/>
          <w:i/>
          <w:color w:val="000000"/>
          <w:sz w:val="16"/>
          <w:szCs w:val="16"/>
          <w:u w:color="000000"/>
        </w:rPr>
        <w:t>Konovov</w:t>
      </w:r>
      <w:proofErr w:type="spellEnd"/>
      <w:r w:rsidRPr="000B4CF2">
        <w:rPr>
          <w:rFonts w:eastAsia="Arial Unicode MS"/>
          <w:i/>
          <w:color w:val="000000"/>
          <w:sz w:val="16"/>
          <w:szCs w:val="16"/>
          <w:u w:color="000000"/>
        </w:rPr>
        <w:t xml:space="preserve"> v</w:t>
      </w:r>
      <w:r w:rsidRPr="000B4CF2">
        <w:rPr>
          <w:rFonts w:eastAsia="Arial Unicode MS"/>
          <w:color w:val="000000"/>
          <w:sz w:val="16"/>
          <w:szCs w:val="16"/>
          <w:u w:color="000000"/>
        </w:rPr>
        <w:t xml:space="preserve"> </w:t>
      </w:r>
      <w:r w:rsidRPr="000B4CF2">
        <w:rPr>
          <w:rFonts w:eastAsia="Arial Unicode MS"/>
          <w:i/>
          <w:color w:val="000000"/>
          <w:sz w:val="16"/>
          <w:szCs w:val="16"/>
          <w:u w:color="000000"/>
        </w:rPr>
        <w:t>Latvia</w:t>
      </w:r>
      <w:r w:rsidR="00197BDE">
        <w:rPr>
          <w:rFonts w:eastAsia="Arial Unicode MS"/>
          <w:color w:val="000000"/>
          <w:sz w:val="16"/>
          <w:szCs w:val="16"/>
          <w:u w:color="000000"/>
        </w:rPr>
        <w:t>, application nos.</w:t>
      </w:r>
      <w:r w:rsidRPr="000B4CF2">
        <w:rPr>
          <w:rFonts w:eastAsia="Arial Unicode MS"/>
          <w:color w:val="000000"/>
          <w:sz w:val="16"/>
          <w:szCs w:val="16"/>
          <w:u w:color="000000"/>
        </w:rPr>
        <w:t xml:space="preserve"> 36376/04, </w:t>
      </w:r>
      <w:r w:rsidR="00197BDE">
        <w:rPr>
          <w:rFonts w:eastAsia="Arial Unicode MS"/>
          <w:color w:val="000000"/>
          <w:sz w:val="16"/>
          <w:szCs w:val="16"/>
          <w:u w:color="000000"/>
        </w:rPr>
        <w:t>(</w:t>
      </w:r>
      <w:r w:rsidRPr="000B4CF2">
        <w:rPr>
          <w:rFonts w:eastAsia="Arial Unicode MS"/>
          <w:color w:val="000000"/>
          <w:sz w:val="16"/>
          <w:szCs w:val="16"/>
          <w:u w:color="000000"/>
        </w:rPr>
        <w:t>24 July 2008</w:t>
      </w:r>
      <w:r w:rsidR="00197BDE">
        <w:rPr>
          <w:rFonts w:eastAsia="Arial Unicode MS"/>
          <w:color w:val="000000"/>
          <w:sz w:val="16"/>
          <w:szCs w:val="16"/>
          <w:u w:color="000000"/>
        </w:rPr>
        <w:t>)</w:t>
      </w:r>
      <w:r w:rsidRPr="000B4CF2">
        <w:rPr>
          <w:rFonts w:eastAsia="Arial Unicode MS"/>
          <w:color w:val="000000"/>
          <w:sz w:val="16"/>
          <w:szCs w:val="16"/>
          <w:u w:color="000000"/>
        </w:rPr>
        <w:t>.</w:t>
      </w:r>
    </w:p>
  </w:footnote>
  <w:footnote w:id="25">
    <w:p w14:paraId="009D7C54" w14:textId="77777777" w:rsidR="00DB3EBE" w:rsidRPr="000B4CF2" w:rsidRDefault="00DB3EBE">
      <w:pPr>
        <w:outlineLvl w:val="0"/>
        <w:rPr>
          <w:sz w:val="16"/>
          <w:szCs w:val="16"/>
        </w:rPr>
      </w:pPr>
      <w:r w:rsidRPr="000B4CF2">
        <w:rPr>
          <w:rFonts w:eastAsia="Arial Unicode MS"/>
          <w:color w:val="000000"/>
          <w:sz w:val="16"/>
          <w:szCs w:val="16"/>
          <w:u w:color="000000"/>
          <w:vertAlign w:val="superscript"/>
        </w:rPr>
        <w:footnoteRef/>
      </w:r>
      <w:r w:rsidRPr="000B4CF2">
        <w:rPr>
          <w:rFonts w:eastAsia="Arial Unicode MS"/>
          <w:color w:val="000000"/>
          <w:sz w:val="16"/>
          <w:szCs w:val="16"/>
          <w:u w:color="000000"/>
        </w:rPr>
        <w:t xml:space="preserve"> </w:t>
      </w:r>
      <w:r w:rsidRPr="000B4CF2">
        <w:rPr>
          <w:rFonts w:eastAsia="Arial Unicode MS"/>
          <w:i/>
          <w:color w:val="000000"/>
          <w:sz w:val="16"/>
          <w:szCs w:val="16"/>
          <w:u w:color="000000"/>
        </w:rPr>
        <w:t>Questions on German History: ideas, forces, decisions from 1800 to the present</w:t>
      </w:r>
      <w:r w:rsidRPr="000B4CF2">
        <w:rPr>
          <w:rFonts w:eastAsia="Arial Unicode MS"/>
          <w:color w:val="000000"/>
          <w:sz w:val="16"/>
          <w:szCs w:val="16"/>
          <w:u w:color="000000"/>
        </w:rPr>
        <w:t>, Bonn: Bundestag Publications' Section, 1992.</w:t>
      </w:r>
    </w:p>
  </w:footnote>
  <w:footnote w:id="26">
    <w:p w14:paraId="34B7644E" w14:textId="77777777" w:rsidR="00DB3EBE" w:rsidRPr="000B4CF2" w:rsidRDefault="00DB3EBE">
      <w:pPr>
        <w:outlineLvl w:val="0"/>
        <w:rPr>
          <w:sz w:val="16"/>
          <w:szCs w:val="16"/>
        </w:rPr>
      </w:pPr>
      <w:r w:rsidRPr="000B4CF2">
        <w:rPr>
          <w:rFonts w:eastAsia="Arial Unicode MS"/>
          <w:color w:val="000000"/>
          <w:sz w:val="16"/>
          <w:szCs w:val="16"/>
          <w:u w:color="000000"/>
          <w:vertAlign w:val="superscript"/>
        </w:rPr>
        <w:footnoteRef/>
      </w:r>
      <w:r w:rsidRPr="000B4CF2">
        <w:rPr>
          <w:rFonts w:eastAsia="Arial Unicode MS"/>
          <w:color w:val="000000"/>
          <w:sz w:val="16"/>
          <w:szCs w:val="16"/>
          <w:u w:color="000000"/>
        </w:rPr>
        <w:t xml:space="preserve"> See </w:t>
      </w:r>
      <w:r w:rsidRPr="000B4CF2">
        <w:rPr>
          <w:rFonts w:eastAsia="Arial Unicode MS"/>
          <w:smallCaps/>
          <w:color w:val="000000"/>
          <w:sz w:val="16"/>
          <w:szCs w:val="16"/>
          <w:u w:color="000000"/>
        </w:rPr>
        <w:t>Rosenberg Tina</w:t>
      </w:r>
      <w:r w:rsidRPr="000B4CF2">
        <w:rPr>
          <w:rFonts w:eastAsia="Arial Unicode MS"/>
          <w:color w:val="000000"/>
          <w:sz w:val="16"/>
          <w:szCs w:val="16"/>
          <w:u w:color="000000"/>
        </w:rPr>
        <w:t xml:space="preserve">, </w:t>
      </w:r>
      <w:r w:rsidRPr="000B4CF2">
        <w:rPr>
          <w:rFonts w:eastAsia="Arial Unicode MS"/>
          <w:i/>
          <w:color w:val="000000"/>
          <w:sz w:val="16"/>
          <w:szCs w:val="16"/>
          <w:u w:color="000000"/>
        </w:rPr>
        <w:t xml:space="preserve">The Haunted Land: Facing Europe's Ghosts After Communism, </w:t>
      </w:r>
      <w:r w:rsidRPr="000B4CF2">
        <w:rPr>
          <w:rFonts w:eastAsia="Arial Unicode MS"/>
          <w:color w:val="000000"/>
          <w:sz w:val="16"/>
          <w:szCs w:val="16"/>
          <w:u w:color="000000"/>
        </w:rPr>
        <w:t>New York: Vintage Books, 1996.</w:t>
      </w:r>
    </w:p>
  </w:footnote>
  <w:footnote w:id="27">
    <w:p w14:paraId="7A8FCA3E" w14:textId="0FFA0196" w:rsidR="00DB3EBE" w:rsidRPr="000B4CF2" w:rsidRDefault="00DB3EBE">
      <w:pPr>
        <w:outlineLvl w:val="0"/>
        <w:rPr>
          <w:sz w:val="16"/>
          <w:szCs w:val="16"/>
        </w:rPr>
      </w:pPr>
      <w:r w:rsidRPr="000B4CF2">
        <w:rPr>
          <w:rFonts w:eastAsia="Arial Unicode MS"/>
          <w:color w:val="000000"/>
          <w:sz w:val="16"/>
          <w:szCs w:val="16"/>
          <w:u w:color="000000"/>
          <w:vertAlign w:val="superscript"/>
        </w:rPr>
        <w:footnoteRef/>
      </w:r>
      <w:r w:rsidRPr="000B4CF2">
        <w:rPr>
          <w:rFonts w:eastAsia="Arial Unicode MS"/>
          <w:color w:val="000000"/>
          <w:sz w:val="16"/>
          <w:szCs w:val="16"/>
          <w:u w:color="000000"/>
        </w:rPr>
        <w:t xml:space="preserve"> </w:t>
      </w:r>
      <w:proofErr w:type="spellStart"/>
      <w:proofErr w:type="gramStart"/>
      <w:r w:rsidRPr="00197BDE">
        <w:rPr>
          <w:rFonts w:eastAsia="Arial Unicode MS"/>
          <w:i/>
          <w:color w:val="000000"/>
          <w:sz w:val="16"/>
          <w:szCs w:val="16"/>
          <w:u w:color="000000"/>
        </w:rPr>
        <w:t>Ibidem</w:t>
      </w:r>
      <w:proofErr w:type="spellEnd"/>
      <w:r w:rsidRPr="00ED5C26">
        <w:rPr>
          <w:rFonts w:eastAsia="Arial Unicode MS"/>
          <w:color w:val="000000"/>
          <w:sz w:val="16"/>
          <w:szCs w:val="16"/>
          <w:u w:color="000000"/>
        </w:rPr>
        <w:t>.</w:t>
      </w:r>
      <w:proofErr w:type="gramEnd"/>
    </w:p>
  </w:footnote>
  <w:footnote w:id="28">
    <w:p w14:paraId="794EA3EB" w14:textId="699989AA" w:rsidR="00DB3EBE" w:rsidRPr="000B4CF2" w:rsidRDefault="00DB3EBE">
      <w:pPr>
        <w:outlineLvl w:val="0"/>
        <w:rPr>
          <w:sz w:val="16"/>
          <w:szCs w:val="16"/>
        </w:rPr>
      </w:pPr>
      <w:r w:rsidRPr="000B4CF2">
        <w:rPr>
          <w:rFonts w:eastAsia="Arial Unicode MS"/>
          <w:color w:val="000000"/>
          <w:sz w:val="16"/>
          <w:szCs w:val="16"/>
          <w:u w:color="000000"/>
          <w:vertAlign w:val="superscript"/>
        </w:rPr>
        <w:footnoteRef/>
      </w:r>
      <w:r w:rsidRPr="000B4CF2">
        <w:rPr>
          <w:rFonts w:eastAsia="Arial Unicode MS"/>
          <w:color w:val="000000"/>
          <w:sz w:val="16"/>
          <w:szCs w:val="16"/>
          <w:u w:color="000000"/>
        </w:rPr>
        <w:t xml:space="preserve"> See </w:t>
      </w:r>
      <w:r w:rsidRPr="000B4CF2">
        <w:rPr>
          <w:rFonts w:eastAsia="Arial Unicode MS"/>
          <w:smallCaps/>
          <w:color w:val="000000"/>
          <w:sz w:val="16"/>
          <w:szCs w:val="16"/>
          <w:u w:color="000000"/>
        </w:rPr>
        <w:t>Quint Peter E.</w:t>
      </w:r>
      <w:r w:rsidRPr="000B4CF2">
        <w:rPr>
          <w:rFonts w:eastAsia="Arial Unicode MS"/>
          <w:color w:val="000000"/>
          <w:sz w:val="16"/>
          <w:szCs w:val="16"/>
          <w:u w:color="000000"/>
        </w:rPr>
        <w:t xml:space="preserve">, 'Judging the Past: The Prosecution of East German Border Guards and the GDR Chain of Command', </w:t>
      </w:r>
      <w:proofErr w:type="gramStart"/>
      <w:r w:rsidRPr="000B4CF2">
        <w:rPr>
          <w:rFonts w:eastAsia="Arial Unicode MS"/>
          <w:i/>
          <w:color w:val="000000"/>
          <w:sz w:val="16"/>
          <w:szCs w:val="16"/>
          <w:u w:color="000000"/>
        </w:rPr>
        <w:t>The</w:t>
      </w:r>
      <w:proofErr w:type="gramEnd"/>
      <w:r w:rsidRPr="000B4CF2">
        <w:rPr>
          <w:rFonts w:eastAsia="Arial Unicode MS"/>
          <w:i/>
          <w:color w:val="000000"/>
          <w:sz w:val="16"/>
          <w:szCs w:val="16"/>
          <w:u w:color="000000"/>
        </w:rPr>
        <w:t xml:space="preserve"> Review of Politics</w:t>
      </w:r>
      <w:r w:rsidRPr="000B4CF2">
        <w:rPr>
          <w:rFonts w:eastAsia="Arial Unicode MS"/>
          <w:color w:val="000000"/>
          <w:sz w:val="16"/>
          <w:szCs w:val="16"/>
          <w:u w:color="000000"/>
        </w:rPr>
        <w:t xml:space="preserve">, </w:t>
      </w:r>
      <w:r w:rsidR="008A2E6C">
        <w:rPr>
          <w:rFonts w:eastAsia="Arial Unicode MS"/>
          <w:color w:val="000000"/>
          <w:sz w:val="16"/>
          <w:szCs w:val="16"/>
          <w:u w:color="000000"/>
        </w:rPr>
        <w:t>vol. 61/</w:t>
      </w:r>
      <w:r>
        <w:rPr>
          <w:rFonts w:eastAsia="Arial Unicode MS"/>
          <w:color w:val="000000"/>
          <w:sz w:val="16"/>
          <w:szCs w:val="16"/>
          <w:u w:color="000000"/>
        </w:rPr>
        <w:t xml:space="preserve">1999, </w:t>
      </w:r>
      <w:r w:rsidRPr="000B4CF2">
        <w:rPr>
          <w:rFonts w:eastAsia="Arial Unicode MS"/>
          <w:color w:val="000000"/>
          <w:sz w:val="16"/>
          <w:szCs w:val="16"/>
          <w:u w:color="000000"/>
        </w:rPr>
        <w:t>pp. 303–329.</w:t>
      </w:r>
    </w:p>
  </w:footnote>
  <w:footnote w:id="29">
    <w:p w14:paraId="58F36C79" w14:textId="0F1C01D6" w:rsidR="00DB3EBE" w:rsidRPr="003C3C11" w:rsidRDefault="00DB3EBE" w:rsidP="003C3C11">
      <w:pPr>
        <w:pStyle w:val="Body"/>
        <w:rPr>
          <w:rFonts w:eastAsia="Times New Roman"/>
          <w:color w:val="auto"/>
          <w:sz w:val="16"/>
          <w:szCs w:val="16"/>
          <w:lang w:val="en-GB" w:eastAsia="en-GB"/>
        </w:rPr>
      </w:pPr>
      <w:r w:rsidRPr="000B4CF2">
        <w:rPr>
          <w:rFonts w:eastAsia="Arial Unicode MS"/>
          <w:sz w:val="16"/>
          <w:szCs w:val="16"/>
          <w:vertAlign w:val="superscript"/>
        </w:rPr>
        <w:footnoteRef/>
      </w:r>
      <w:r w:rsidRPr="000B4CF2">
        <w:rPr>
          <w:rFonts w:eastAsia="Arial Unicode MS"/>
          <w:sz w:val="16"/>
          <w:szCs w:val="16"/>
        </w:rPr>
        <w:t xml:space="preserve"> </w:t>
      </w:r>
      <w:proofErr w:type="spellStart"/>
      <w:proofErr w:type="gramStart"/>
      <w:r w:rsidRPr="00197BDE">
        <w:rPr>
          <w:rFonts w:eastAsia="Arial Unicode MS"/>
          <w:i/>
          <w:sz w:val="16"/>
          <w:szCs w:val="16"/>
        </w:rPr>
        <w:t>Ibidem</w:t>
      </w:r>
      <w:proofErr w:type="spellEnd"/>
      <w:r w:rsidRPr="00ED5C26">
        <w:rPr>
          <w:rFonts w:eastAsia="Arial Unicode MS"/>
          <w:sz w:val="16"/>
          <w:szCs w:val="16"/>
        </w:rPr>
        <w:t>.</w:t>
      </w:r>
      <w:proofErr w:type="gramEnd"/>
      <w:r w:rsidRPr="000B4CF2">
        <w:rPr>
          <w:rFonts w:eastAsia="Arial Unicode MS"/>
          <w:sz w:val="16"/>
          <w:szCs w:val="16"/>
        </w:rPr>
        <w:t xml:space="preserve"> See also </w:t>
      </w:r>
      <w:r w:rsidRPr="000B4CF2">
        <w:rPr>
          <w:rFonts w:eastAsia="Arial Unicode MS"/>
          <w:smallCaps/>
          <w:sz w:val="16"/>
          <w:szCs w:val="16"/>
        </w:rPr>
        <w:t>Quint Peter E.</w:t>
      </w:r>
      <w:r w:rsidRPr="000B4CF2">
        <w:rPr>
          <w:rFonts w:eastAsia="Arial Unicode MS"/>
          <w:sz w:val="16"/>
          <w:szCs w:val="16"/>
        </w:rPr>
        <w:t xml:space="preserve">, </w:t>
      </w:r>
      <w:r w:rsidRPr="000B4CF2">
        <w:rPr>
          <w:rFonts w:eastAsia="Arial Unicode MS"/>
          <w:i/>
          <w:sz w:val="16"/>
          <w:szCs w:val="16"/>
        </w:rPr>
        <w:t xml:space="preserve">The Imperfect Union: Constitutional Structures of German Unification, </w:t>
      </w:r>
      <w:r w:rsidRPr="000B4CF2">
        <w:rPr>
          <w:rFonts w:eastAsia="Arial Unicode MS"/>
          <w:sz w:val="16"/>
          <w:szCs w:val="16"/>
        </w:rPr>
        <w:t>Princeton: Princeton University Press, 1997.</w:t>
      </w:r>
      <w:r w:rsidRPr="003C3C11">
        <w:rPr>
          <w:sz w:val="20"/>
        </w:rPr>
        <w:t xml:space="preserve"> </w:t>
      </w:r>
      <w:r w:rsidRPr="003C3C11">
        <w:rPr>
          <w:sz w:val="16"/>
          <w:szCs w:val="16"/>
          <w:lang w:val="en-GB"/>
        </w:rPr>
        <w:t xml:space="preserve">Concerning West German constitutional law and doctrine see </w:t>
      </w:r>
      <w:proofErr w:type="spellStart"/>
      <w:r>
        <w:rPr>
          <w:rFonts w:eastAsia="Arial Unicode MS"/>
          <w:smallCaps/>
          <w:sz w:val="16"/>
          <w:szCs w:val="16"/>
        </w:rPr>
        <w:t>Kommers</w:t>
      </w:r>
      <w:proofErr w:type="spellEnd"/>
      <w:r>
        <w:rPr>
          <w:rFonts w:eastAsia="Arial Unicode MS"/>
          <w:smallCaps/>
          <w:sz w:val="16"/>
          <w:szCs w:val="16"/>
        </w:rPr>
        <w:t xml:space="preserve"> </w:t>
      </w:r>
      <w:proofErr w:type="spellStart"/>
      <w:r>
        <w:rPr>
          <w:rFonts w:eastAsia="Arial Unicode MS"/>
          <w:smallCaps/>
          <w:sz w:val="16"/>
          <w:szCs w:val="16"/>
        </w:rPr>
        <w:t>david</w:t>
      </w:r>
      <w:proofErr w:type="spellEnd"/>
      <w:r>
        <w:rPr>
          <w:rFonts w:eastAsia="Arial Unicode MS"/>
          <w:smallCaps/>
          <w:sz w:val="16"/>
          <w:szCs w:val="16"/>
        </w:rPr>
        <w:t xml:space="preserve"> p., </w:t>
      </w:r>
      <w:r w:rsidRPr="003C3C11">
        <w:rPr>
          <w:i/>
          <w:sz w:val="16"/>
          <w:szCs w:val="16"/>
          <w:lang w:val="en-GB"/>
        </w:rPr>
        <w:t xml:space="preserve">The Constitutional Jurisprudence of </w:t>
      </w:r>
      <w:r>
        <w:rPr>
          <w:i/>
          <w:sz w:val="16"/>
          <w:szCs w:val="16"/>
          <w:lang w:val="en-GB"/>
        </w:rPr>
        <w:t>the Federal Republic of Germany</w:t>
      </w:r>
      <w:r>
        <w:rPr>
          <w:sz w:val="16"/>
          <w:szCs w:val="16"/>
          <w:lang w:val="en-GB"/>
        </w:rPr>
        <w:t>. Durham, NC, Duke University Press, 1989</w:t>
      </w:r>
      <w:r w:rsidRPr="003C3C11">
        <w:rPr>
          <w:sz w:val="16"/>
          <w:szCs w:val="16"/>
          <w:lang w:val="en-GB"/>
        </w:rPr>
        <w:t>.</w:t>
      </w:r>
    </w:p>
  </w:footnote>
  <w:footnote w:id="30">
    <w:p w14:paraId="0D9552C6" w14:textId="77777777" w:rsidR="00DB3EBE" w:rsidRPr="000B4CF2" w:rsidRDefault="00DB3EBE">
      <w:pPr>
        <w:outlineLvl w:val="0"/>
        <w:rPr>
          <w:sz w:val="16"/>
          <w:szCs w:val="16"/>
        </w:rPr>
      </w:pPr>
      <w:r w:rsidRPr="000B4CF2">
        <w:rPr>
          <w:rFonts w:eastAsia="Arial Unicode MS"/>
          <w:color w:val="000000"/>
          <w:sz w:val="16"/>
          <w:szCs w:val="16"/>
          <w:u w:color="000000"/>
          <w:vertAlign w:val="superscript"/>
        </w:rPr>
        <w:footnoteRef/>
      </w:r>
      <w:r w:rsidRPr="000B4CF2">
        <w:rPr>
          <w:rFonts w:eastAsia="Arial Unicode MS"/>
          <w:color w:val="000000"/>
          <w:sz w:val="16"/>
          <w:szCs w:val="16"/>
          <w:u w:color="000000"/>
        </w:rPr>
        <w:t xml:space="preserve"> See </w:t>
      </w:r>
      <w:r w:rsidRPr="000B4CF2">
        <w:rPr>
          <w:rFonts w:eastAsia="Arial Unicode MS"/>
          <w:smallCaps/>
          <w:color w:val="000000"/>
          <w:sz w:val="16"/>
          <w:szCs w:val="16"/>
          <w:u w:color="000000"/>
        </w:rPr>
        <w:t>Funder Anna</w:t>
      </w:r>
      <w:r w:rsidRPr="000B4CF2">
        <w:rPr>
          <w:rFonts w:eastAsia="Arial Unicode MS"/>
          <w:color w:val="000000"/>
          <w:sz w:val="16"/>
          <w:szCs w:val="16"/>
          <w:u w:color="000000"/>
        </w:rPr>
        <w:t xml:space="preserve">, </w:t>
      </w:r>
      <w:proofErr w:type="spellStart"/>
      <w:r w:rsidRPr="000B4CF2">
        <w:rPr>
          <w:rFonts w:eastAsia="Arial Unicode MS"/>
          <w:i/>
          <w:color w:val="000000"/>
          <w:sz w:val="16"/>
          <w:szCs w:val="16"/>
          <w:u w:color="000000"/>
        </w:rPr>
        <w:t>Stasiland</w:t>
      </w:r>
      <w:proofErr w:type="spellEnd"/>
      <w:r w:rsidRPr="000B4CF2">
        <w:rPr>
          <w:rFonts w:eastAsia="Arial Unicode MS"/>
          <w:color w:val="000000"/>
          <w:sz w:val="16"/>
          <w:szCs w:val="16"/>
          <w:u w:color="000000"/>
        </w:rPr>
        <w:t xml:space="preserve">, </w:t>
      </w:r>
      <w:proofErr w:type="gramStart"/>
      <w:r w:rsidRPr="000B4CF2">
        <w:rPr>
          <w:rFonts w:eastAsia="Arial Unicode MS"/>
          <w:color w:val="000000"/>
          <w:sz w:val="16"/>
          <w:szCs w:val="16"/>
          <w:u w:color="000000"/>
        </w:rPr>
        <w:t>London</w:t>
      </w:r>
      <w:proofErr w:type="gramEnd"/>
      <w:r w:rsidRPr="000B4CF2">
        <w:rPr>
          <w:rFonts w:eastAsia="Arial Unicode MS"/>
          <w:color w:val="000000"/>
          <w:sz w:val="16"/>
          <w:szCs w:val="16"/>
          <w:u w:color="000000"/>
        </w:rPr>
        <w:t xml:space="preserve">: </w:t>
      </w:r>
      <w:proofErr w:type="spellStart"/>
      <w:r w:rsidRPr="000B4CF2">
        <w:rPr>
          <w:rFonts w:eastAsia="Arial Unicode MS"/>
          <w:color w:val="000000"/>
          <w:sz w:val="16"/>
          <w:szCs w:val="16"/>
          <w:u w:color="000000"/>
        </w:rPr>
        <w:t>Granta</w:t>
      </w:r>
      <w:proofErr w:type="spellEnd"/>
      <w:r w:rsidRPr="000B4CF2">
        <w:rPr>
          <w:rFonts w:eastAsia="Arial Unicode MS"/>
          <w:color w:val="000000"/>
          <w:sz w:val="16"/>
          <w:szCs w:val="16"/>
          <w:u w:color="000000"/>
        </w:rPr>
        <w:t xml:space="preserve">, 2003 and </w:t>
      </w:r>
      <w:r w:rsidRPr="000B4CF2">
        <w:rPr>
          <w:rFonts w:eastAsia="Arial Unicode MS"/>
          <w:i/>
          <w:color w:val="000000"/>
          <w:sz w:val="16"/>
          <w:szCs w:val="16"/>
          <w:u w:color="000000"/>
        </w:rPr>
        <w:t>The</w:t>
      </w:r>
      <w:r w:rsidRPr="000B4CF2">
        <w:rPr>
          <w:rFonts w:eastAsia="Arial Unicode MS"/>
          <w:color w:val="000000"/>
          <w:sz w:val="16"/>
          <w:szCs w:val="16"/>
          <w:u w:color="000000"/>
        </w:rPr>
        <w:t xml:space="preserve"> </w:t>
      </w:r>
      <w:r w:rsidRPr="000B4CF2">
        <w:rPr>
          <w:rFonts w:eastAsia="Arial Unicode MS"/>
          <w:i/>
          <w:color w:val="000000"/>
          <w:sz w:val="16"/>
          <w:szCs w:val="16"/>
          <w:u w:color="000000"/>
        </w:rPr>
        <w:t>Lives</w:t>
      </w:r>
      <w:r w:rsidRPr="000B4CF2">
        <w:rPr>
          <w:rFonts w:eastAsia="Arial Unicode MS"/>
          <w:color w:val="000000"/>
          <w:sz w:val="16"/>
          <w:szCs w:val="16"/>
          <w:u w:color="000000"/>
        </w:rPr>
        <w:t xml:space="preserve"> </w:t>
      </w:r>
      <w:r w:rsidRPr="000B4CF2">
        <w:rPr>
          <w:rFonts w:eastAsia="Arial Unicode MS"/>
          <w:i/>
          <w:color w:val="000000"/>
          <w:sz w:val="16"/>
          <w:szCs w:val="16"/>
          <w:u w:color="000000"/>
        </w:rPr>
        <w:t>of</w:t>
      </w:r>
      <w:r w:rsidRPr="000B4CF2">
        <w:rPr>
          <w:rFonts w:eastAsia="Arial Unicode MS"/>
          <w:color w:val="000000"/>
          <w:sz w:val="16"/>
          <w:szCs w:val="16"/>
          <w:u w:color="000000"/>
        </w:rPr>
        <w:t xml:space="preserve"> </w:t>
      </w:r>
      <w:r w:rsidRPr="000B4CF2">
        <w:rPr>
          <w:rFonts w:eastAsia="Arial Unicode MS"/>
          <w:i/>
          <w:color w:val="000000"/>
          <w:sz w:val="16"/>
          <w:szCs w:val="16"/>
          <w:u w:color="000000"/>
        </w:rPr>
        <w:t>Others</w:t>
      </w:r>
      <w:r w:rsidRPr="000B4CF2">
        <w:rPr>
          <w:rFonts w:eastAsia="Arial Unicode MS"/>
          <w:color w:val="000000"/>
          <w:sz w:val="16"/>
          <w:szCs w:val="16"/>
          <w:u w:color="000000"/>
        </w:rPr>
        <w:t xml:space="preserve"> (directed by Florian </w:t>
      </w:r>
      <w:proofErr w:type="spellStart"/>
      <w:r w:rsidRPr="000B4CF2">
        <w:rPr>
          <w:rFonts w:eastAsia="Arial Unicode MS"/>
          <w:color w:val="000000"/>
          <w:sz w:val="16"/>
          <w:szCs w:val="16"/>
          <w:u w:color="000000"/>
        </w:rPr>
        <w:t>Henckel</w:t>
      </w:r>
      <w:proofErr w:type="spellEnd"/>
      <w:r w:rsidRPr="000B4CF2">
        <w:rPr>
          <w:rFonts w:eastAsia="Arial Unicode MS"/>
          <w:color w:val="000000"/>
          <w:sz w:val="16"/>
          <w:szCs w:val="16"/>
          <w:u w:color="000000"/>
        </w:rPr>
        <w:t xml:space="preserve"> von </w:t>
      </w:r>
      <w:proofErr w:type="spellStart"/>
      <w:r w:rsidRPr="000B4CF2">
        <w:rPr>
          <w:rFonts w:eastAsia="Arial Unicode MS"/>
          <w:color w:val="000000"/>
          <w:sz w:val="16"/>
          <w:szCs w:val="16"/>
          <w:u w:color="000000"/>
        </w:rPr>
        <w:t>Donnersmarck</w:t>
      </w:r>
      <w:proofErr w:type="spellEnd"/>
      <w:r w:rsidRPr="000B4CF2">
        <w:rPr>
          <w:rFonts w:eastAsia="Arial Unicode MS"/>
          <w:color w:val="000000"/>
          <w:sz w:val="16"/>
          <w:szCs w:val="16"/>
          <w:u w:color="000000"/>
        </w:rPr>
        <w:t>, 2006).</w:t>
      </w:r>
    </w:p>
  </w:footnote>
  <w:footnote w:id="31">
    <w:p w14:paraId="3495303A" w14:textId="77777777" w:rsidR="00DB3EBE" w:rsidRPr="000B4CF2" w:rsidRDefault="00DB3EBE">
      <w:pPr>
        <w:outlineLvl w:val="0"/>
        <w:rPr>
          <w:sz w:val="16"/>
          <w:szCs w:val="16"/>
        </w:rPr>
      </w:pPr>
      <w:r w:rsidRPr="000B4CF2">
        <w:rPr>
          <w:rFonts w:eastAsia="Arial Unicode MS"/>
          <w:color w:val="000000"/>
          <w:sz w:val="16"/>
          <w:szCs w:val="16"/>
          <w:u w:color="000000"/>
          <w:vertAlign w:val="superscript"/>
        </w:rPr>
        <w:footnoteRef/>
      </w:r>
      <w:r w:rsidRPr="000B4CF2">
        <w:rPr>
          <w:rFonts w:eastAsia="Arial Unicode MS"/>
          <w:color w:val="000000"/>
          <w:sz w:val="16"/>
          <w:szCs w:val="16"/>
          <w:u w:color="000000"/>
        </w:rPr>
        <w:t xml:space="preserve"> </w:t>
      </w:r>
      <w:r w:rsidRPr="000B4CF2">
        <w:rPr>
          <w:rFonts w:eastAsia="Arial Unicode MS"/>
          <w:smallCaps/>
          <w:color w:val="000000"/>
          <w:sz w:val="16"/>
          <w:szCs w:val="16"/>
          <w:u w:color="000000"/>
        </w:rPr>
        <w:t>Quint Peter E.,</w:t>
      </w:r>
      <w:r w:rsidRPr="000B4CF2">
        <w:rPr>
          <w:rFonts w:eastAsia="Arial Unicode MS"/>
          <w:color w:val="000000"/>
          <w:sz w:val="16"/>
          <w:szCs w:val="16"/>
          <w:u w:color="000000"/>
        </w:rPr>
        <w:t xml:space="preserve"> ‘Judging the Past’, </w:t>
      </w:r>
      <w:r w:rsidRPr="000B4CF2">
        <w:rPr>
          <w:rFonts w:eastAsia="Arial Unicode MS"/>
          <w:i/>
          <w:color w:val="000000"/>
          <w:sz w:val="16"/>
          <w:szCs w:val="16"/>
          <w:u w:color="000000"/>
        </w:rPr>
        <w:t>loc. cit</w:t>
      </w:r>
      <w:r w:rsidRPr="000B4CF2">
        <w:rPr>
          <w:rFonts w:eastAsia="Arial Unicode MS"/>
          <w:color w:val="000000"/>
          <w:sz w:val="16"/>
          <w:szCs w:val="16"/>
          <w:u w:color="000000"/>
        </w:rPr>
        <w:t>.</w:t>
      </w:r>
    </w:p>
  </w:footnote>
  <w:footnote w:id="32">
    <w:p w14:paraId="5A67E0AF" w14:textId="407F19FA" w:rsidR="00DB3EBE" w:rsidRPr="00ED5C26" w:rsidRDefault="00DB3EBE">
      <w:pPr>
        <w:outlineLvl w:val="0"/>
        <w:rPr>
          <w:sz w:val="16"/>
          <w:szCs w:val="16"/>
        </w:rPr>
      </w:pPr>
      <w:r w:rsidRPr="000B4CF2">
        <w:rPr>
          <w:rFonts w:eastAsia="Arial Unicode MS"/>
          <w:color w:val="000000"/>
          <w:sz w:val="16"/>
          <w:szCs w:val="16"/>
          <w:u w:color="000000"/>
          <w:vertAlign w:val="superscript"/>
        </w:rPr>
        <w:footnoteRef/>
      </w:r>
      <w:r w:rsidRPr="000B4CF2">
        <w:rPr>
          <w:rFonts w:eastAsia="Arial Unicode MS"/>
          <w:color w:val="000000"/>
          <w:sz w:val="16"/>
          <w:szCs w:val="16"/>
          <w:u w:color="000000"/>
        </w:rPr>
        <w:t xml:space="preserve"> </w:t>
      </w:r>
      <w:proofErr w:type="spellStart"/>
      <w:proofErr w:type="gramStart"/>
      <w:r w:rsidRPr="00197BDE">
        <w:rPr>
          <w:rFonts w:eastAsia="Arial Unicode MS"/>
          <w:i/>
          <w:color w:val="000000"/>
          <w:sz w:val="16"/>
          <w:szCs w:val="16"/>
          <w:u w:color="000000"/>
        </w:rPr>
        <w:t>Ibidem</w:t>
      </w:r>
      <w:proofErr w:type="spellEnd"/>
      <w:r w:rsidRPr="00ED5C26">
        <w:rPr>
          <w:rFonts w:eastAsia="Arial Unicode MS"/>
          <w:color w:val="000000"/>
          <w:sz w:val="16"/>
          <w:szCs w:val="16"/>
          <w:u w:color="000000"/>
        </w:rPr>
        <w:t>, p. 310.</w:t>
      </w:r>
      <w:proofErr w:type="gramEnd"/>
    </w:p>
  </w:footnote>
  <w:footnote w:id="33">
    <w:p w14:paraId="5E237B94" w14:textId="67145E3D" w:rsidR="00DB3EBE" w:rsidRPr="000B4CF2" w:rsidRDefault="00DB3EBE">
      <w:pPr>
        <w:outlineLvl w:val="0"/>
        <w:rPr>
          <w:sz w:val="16"/>
          <w:szCs w:val="16"/>
        </w:rPr>
      </w:pPr>
      <w:r w:rsidRPr="00ED5C26">
        <w:rPr>
          <w:rFonts w:eastAsia="Arial Unicode MS"/>
          <w:color w:val="000000"/>
          <w:sz w:val="16"/>
          <w:szCs w:val="16"/>
          <w:u w:color="000000"/>
          <w:vertAlign w:val="superscript"/>
        </w:rPr>
        <w:footnoteRef/>
      </w:r>
      <w:r w:rsidRPr="00ED5C26">
        <w:rPr>
          <w:rFonts w:eastAsia="Arial Unicode MS"/>
          <w:color w:val="000000"/>
          <w:sz w:val="16"/>
          <w:szCs w:val="16"/>
          <w:u w:color="000000"/>
        </w:rPr>
        <w:t xml:space="preserve"> </w:t>
      </w:r>
      <w:proofErr w:type="spellStart"/>
      <w:proofErr w:type="gramStart"/>
      <w:r w:rsidRPr="00197BDE">
        <w:rPr>
          <w:rFonts w:eastAsia="Arial Unicode MS"/>
          <w:i/>
          <w:color w:val="000000"/>
          <w:sz w:val="16"/>
          <w:szCs w:val="16"/>
          <w:u w:color="000000"/>
        </w:rPr>
        <w:t>Ibidem</w:t>
      </w:r>
      <w:proofErr w:type="spellEnd"/>
      <w:r w:rsidRPr="00ED5C26">
        <w:rPr>
          <w:rFonts w:eastAsia="Arial Unicode MS"/>
          <w:color w:val="000000"/>
          <w:sz w:val="16"/>
          <w:szCs w:val="16"/>
          <w:u w:color="000000"/>
        </w:rPr>
        <w:t>.</w:t>
      </w:r>
      <w:proofErr w:type="gramEnd"/>
    </w:p>
  </w:footnote>
  <w:footnote w:id="34">
    <w:p w14:paraId="1248CD16" w14:textId="494B630B" w:rsidR="00DB3EBE" w:rsidRPr="000B4CF2" w:rsidRDefault="00DB3EBE">
      <w:pPr>
        <w:outlineLvl w:val="0"/>
        <w:rPr>
          <w:sz w:val="16"/>
          <w:szCs w:val="16"/>
        </w:rPr>
      </w:pPr>
      <w:r w:rsidRPr="000B4CF2">
        <w:rPr>
          <w:rFonts w:eastAsia="Arial Unicode MS"/>
          <w:color w:val="000000"/>
          <w:sz w:val="16"/>
          <w:szCs w:val="16"/>
          <w:u w:color="000000"/>
          <w:vertAlign w:val="superscript"/>
        </w:rPr>
        <w:footnoteRef/>
      </w:r>
      <w:r w:rsidRPr="000B4CF2">
        <w:rPr>
          <w:rFonts w:eastAsia="Arial Unicode MS"/>
          <w:color w:val="000000"/>
          <w:sz w:val="16"/>
          <w:szCs w:val="16"/>
          <w:u w:color="000000"/>
        </w:rPr>
        <w:t xml:space="preserve"> See </w:t>
      </w:r>
      <w:proofErr w:type="spellStart"/>
      <w:r w:rsidRPr="000B4CF2">
        <w:rPr>
          <w:rFonts w:eastAsia="Arial Unicode MS"/>
          <w:smallCaps/>
          <w:color w:val="000000"/>
          <w:sz w:val="16"/>
          <w:szCs w:val="16"/>
          <w:u w:color="000000"/>
        </w:rPr>
        <w:t>K</w:t>
      </w:r>
      <w:r w:rsidRPr="000B4CF2">
        <w:rPr>
          <w:smallCaps/>
          <w:color w:val="000000"/>
          <w:sz w:val="16"/>
          <w:szCs w:val="16"/>
        </w:rPr>
        <w:t>ün</w:t>
      </w:r>
      <w:r w:rsidRPr="000B4CF2">
        <w:rPr>
          <w:rFonts w:eastAsia="Arial Unicode MS"/>
          <w:smallCaps/>
          <w:color w:val="000000"/>
          <w:sz w:val="16"/>
          <w:szCs w:val="16"/>
          <w:u w:color="000000"/>
        </w:rPr>
        <w:t>zler</w:t>
      </w:r>
      <w:proofErr w:type="spellEnd"/>
      <w:r w:rsidRPr="000B4CF2">
        <w:rPr>
          <w:rFonts w:eastAsia="Arial Unicode MS"/>
          <w:smallCaps/>
          <w:color w:val="000000"/>
          <w:sz w:val="16"/>
          <w:szCs w:val="16"/>
          <w:u w:color="000000"/>
        </w:rPr>
        <w:t xml:space="preserve"> Adam</w:t>
      </w:r>
      <w:r w:rsidRPr="000B4CF2">
        <w:rPr>
          <w:rFonts w:eastAsia="Arial Unicode MS"/>
          <w:color w:val="000000"/>
          <w:sz w:val="16"/>
          <w:szCs w:val="16"/>
          <w:u w:color="000000"/>
        </w:rPr>
        <w:t xml:space="preserve">, 'Judicial Legitimacy and the Role of Courts: Explaining the Transitional Context of the German Border Guard Cases', </w:t>
      </w:r>
      <w:r w:rsidRPr="000B4CF2">
        <w:rPr>
          <w:rFonts w:eastAsia="Arial Unicode MS"/>
          <w:i/>
          <w:color w:val="000000"/>
          <w:sz w:val="16"/>
          <w:szCs w:val="16"/>
          <w:u w:color="000000"/>
        </w:rPr>
        <w:t xml:space="preserve">Oxford Journal of Legal Studies, </w:t>
      </w:r>
      <w:r w:rsidR="008A2E6C">
        <w:rPr>
          <w:rFonts w:eastAsia="Arial Unicode MS"/>
          <w:color w:val="000000"/>
          <w:sz w:val="16"/>
          <w:szCs w:val="16"/>
          <w:u w:color="000000"/>
        </w:rPr>
        <w:t>vol. 32/</w:t>
      </w:r>
      <w:r>
        <w:rPr>
          <w:rFonts w:eastAsia="Arial Unicode MS"/>
          <w:color w:val="000000"/>
          <w:sz w:val="16"/>
          <w:szCs w:val="16"/>
          <w:u w:color="000000"/>
        </w:rPr>
        <w:t>2012</w:t>
      </w:r>
      <w:r w:rsidRPr="000B4CF2">
        <w:rPr>
          <w:rFonts w:eastAsia="Arial Unicode MS"/>
          <w:color w:val="000000"/>
          <w:sz w:val="16"/>
          <w:szCs w:val="16"/>
          <w:u w:color="000000"/>
        </w:rPr>
        <w:t xml:space="preserve">, </w:t>
      </w:r>
      <w:proofErr w:type="gramStart"/>
      <w:r w:rsidRPr="000B4CF2">
        <w:rPr>
          <w:rFonts w:eastAsia="Arial Unicode MS"/>
          <w:color w:val="000000"/>
          <w:sz w:val="16"/>
          <w:szCs w:val="16"/>
          <w:u w:color="000000"/>
        </w:rPr>
        <w:t>pp</w:t>
      </w:r>
      <w:proofErr w:type="gramEnd"/>
      <w:r w:rsidRPr="000B4CF2">
        <w:rPr>
          <w:rFonts w:eastAsia="Arial Unicode MS"/>
          <w:color w:val="000000"/>
          <w:sz w:val="16"/>
          <w:szCs w:val="16"/>
          <w:u w:color="000000"/>
        </w:rPr>
        <w:t xml:space="preserve">. 1–33. </w:t>
      </w:r>
    </w:p>
  </w:footnote>
  <w:footnote w:id="35">
    <w:p w14:paraId="0DF08330" w14:textId="4768304B" w:rsidR="00DB3EBE" w:rsidRPr="000B4CF2" w:rsidRDefault="00DB3EBE">
      <w:pPr>
        <w:outlineLvl w:val="0"/>
        <w:rPr>
          <w:sz w:val="16"/>
          <w:szCs w:val="16"/>
        </w:rPr>
      </w:pPr>
      <w:r w:rsidRPr="000B4CF2">
        <w:rPr>
          <w:rFonts w:eastAsia="Arial Unicode MS"/>
          <w:color w:val="000000"/>
          <w:sz w:val="16"/>
          <w:szCs w:val="16"/>
          <w:u w:color="000000"/>
          <w:vertAlign w:val="superscript"/>
        </w:rPr>
        <w:footnoteRef/>
      </w:r>
      <w:r w:rsidRPr="000B4CF2">
        <w:rPr>
          <w:rFonts w:eastAsia="Arial Unicode MS"/>
          <w:color w:val="000000"/>
          <w:sz w:val="16"/>
          <w:szCs w:val="16"/>
          <w:u w:color="000000"/>
        </w:rPr>
        <w:t xml:space="preserve"> </w:t>
      </w:r>
      <w:r w:rsidRPr="000B4CF2">
        <w:rPr>
          <w:rFonts w:eastAsia="Arial Unicode MS"/>
          <w:smallCaps/>
          <w:color w:val="000000"/>
          <w:sz w:val="16"/>
          <w:szCs w:val="16"/>
          <w:u w:color="000000"/>
        </w:rPr>
        <w:t>Rudolf Geiger</w:t>
      </w:r>
      <w:r w:rsidRPr="000B4CF2">
        <w:rPr>
          <w:rFonts w:eastAsia="Arial Unicode MS"/>
          <w:color w:val="000000"/>
          <w:sz w:val="16"/>
          <w:szCs w:val="16"/>
          <w:u w:color="000000"/>
        </w:rPr>
        <w:t xml:space="preserve">, ‘The </w:t>
      </w:r>
      <w:r w:rsidRPr="000B4CF2">
        <w:rPr>
          <w:rFonts w:eastAsia="Arial Unicode MS"/>
          <w:i/>
          <w:color w:val="000000"/>
          <w:sz w:val="16"/>
          <w:szCs w:val="16"/>
          <w:u w:color="000000"/>
        </w:rPr>
        <w:t>German Border Guards Cases</w:t>
      </w:r>
      <w:r w:rsidRPr="000B4CF2">
        <w:rPr>
          <w:rFonts w:eastAsia="Arial Unicode MS"/>
          <w:color w:val="000000"/>
          <w:sz w:val="16"/>
          <w:szCs w:val="16"/>
          <w:u w:color="000000"/>
        </w:rPr>
        <w:t xml:space="preserve"> and International Human Rights’, </w:t>
      </w:r>
      <w:r w:rsidRPr="000B4CF2">
        <w:rPr>
          <w:rFonts w:eastAsia="Arial Unicode MS"/>
          <w:i/>
          <w:color w:val="000000"/>
          <w:sz w:val="16"/>
          <w:szCs w:val="16"/>
          <w:u w:color="000000"/>
        </w:rPr>
        <w:t>European Journal of International Law</w:t>
      </w:r>
      <w:r w:rsidR="008A2E6C">
        <w:rPr>
          <w:rFonts w:eastAsia="Arial Unicode MS"/>
          <w:color w:val="000000"/>
          <w:sz w:val="16"/>
          <w:szCs w:val="16"/>
          <w:u w:color="000000"/>
        </w:rPr>
        <w:t>, vol. 9/</w:t>
      </w:r>
      <w:r>
        <w:rPr>
          <w:rFonts w:eastAsia="Arial Unicode MS"/>
          <w:color w:val="000000"/>
          <w:sz w:val="16"/>
          <w:szCs w:val="16"/>
          <w:u w:color="000000"/>
        </w:rPr>
        <w:t xml:space="preserve">1998, </w:t>
      </w:r>
      <w:r w:rsidRPr="000B4CF2">
        <w:rPr>
          <w:rFonts w:eastAsia="Arial Unicode MS"/>
          <w:color w:val="000000"/>
          <w:sz w:val="16"/>
          <w:szCs w:val="16"/>
          <w:u w:color="000000"/>
        </w:rPr>
        <w:t>pp. 540–549.</w:t>
      </w:r>
    </w:p>
  </w:footnote>
  <w:footnote w:id="36">
    <w:p w14:paraId="5EE572C5" w14:textId="77777777" w:rsidR="00DB3EBE" w:rsidRPr="000B4CF2" w:rsidRDefault="00DB3EBE">
      <w:pPr>
        <w:outlineLvl w:val="0"/>
        <w:rPr>
          <w:sz w:val="16"/>
          <w:szCs w:val="16"/>
        </w:rPr>
      </w:pPr>
      <w:r w:rsidRPr="000B4CF2">
        <w:rPr>
          <w:rFonts w:eastAsia="Arial Unicode MS"/>
          <w:color w:val="000000"/>
          <w:sz w:val="16"/>
          <w:szCs w:val="16"/>
          <w:u w:color="000000"/>
          <w:vertAlign w:val="superscript"/>
        </w:rPr>
        <w:footnoteRef/>
      </w:r>
      <w:r w:rsidRPr="000B4CF2">
        <w:rPr>
          <w:rFonts w:eastAsia="Arial Unicode MS"/>
          <w:color w:val="000000"/>
          <w:sz w:val="16"/>
          <w:szCs w:val="16"/>
          <w:u w:color="000000"/>
        </w:rPr>
        <w:t xml:space="preserve"> </w:t>
      </w:r>
      <w:r w:rsidRPr="000B4CF2">
        <w:rPr>
          <w:rFonts w:eastAsia="Arial Unicode MS"/>
          <w:smallCaps/>
          <w:color w:val="000000"/>
          <w:sz w:val="16"/>
          <w:szCs w:val="16"/>
          <w:u w:color="000000"/>
        </w:rPr>
        <w:t>Quint Peter E.</w:t>
      </w:r>
      <w:r w:rsidRPr="000B4CF2">
        <w:rPr>
          <w:rFonts w:eastAsia="Arial Unicode MS"/>
          <w:color w:val="000000"/>
          <w:sz w:val="16"/>
          <w:szCs w:val="16"/>
          <w:u w:color="000000"/>
        </w:rPr>
        <w:t xml:space="preserve">, </w:t>
      </w:r>
      <w:r w:rsidRPr="000B4CF2">
        <w:rPr>
          <w:rFonts w:eastAsia="Arial Unicode MS"/>
          <w:i/>
          <w:color w:val="000000"/>
          <w:sz w:val="16"/>
          <w:szCs w:val="16"/>
          <w:u w:color="000000"/>
        </w:rPr>
        <w:t>loc. cit.</w:t>
      </w:r>
      <w:r w:rsidRPr="000B4CF2">
        <w:rPr>
          <w:rFonts w:eastAsia="Arial Unicode MS"/>
          <w:color w:val="000000"/>
          <w:sz w:val="16"/>
          <w:szCs w:val="16"/>
          <w:u w:color="000000"/>
        </w:rPr>
        <w:t>, ‘Judging the Past’, p. 309.</w:t>
      </w:r>
    </w:p>
  </w:footnote>
  <w:footnote w:id="37">
    <w:p w14:paraId="2370E176" w14:textId="4C16F0AD" w:rsidR="00DB3EBE" w:rsidRPr="003C3C11" w:rsidRDefault="00DB3EBE" w:rsidP="003C3C11">
      <w:pPr>
        <w:pStyle w:val="Body"/>
        <w:rPr>
          <w:rFonts w:eastAsia="Times New Roman"/>
          <w:color w:val="auto"/>
          <w:sz w:val="16"/>
          <w:szCs w:val="16"/>
          <w:lang w:val="en-GB" w:eastAsia="en-GB"/>
        </w:rPr>
      </w:pPr>
      <w:r w:rsidRPr="003C3C11">
        <w:rPr>
          <w:sz w:val="16"/>
          <w:szCs w:val="16"/>
          <w:vertAlign w:val="superscript"/>
          <w:lang w:val="en-GB"/>
        </w:rPr>
        <w:footnoteRef/>
      </w:r>
      <w:r w:rsidRPr="003C3C11">
        <w:rPr>
          <w:sz w:val="16"/>
          <w:szCs w:val="16"/>
          <w:lang w:val="en-GB"/>
        </w:rPr>
        <w:t xml:space="preserve"> </w:t>
      </w:r>
      <w:proofErr w:type="spellStart"/>
      <w:proofErr w:type="gramStart"/>
      <w:r w:rsidRPr="00197BDE">
        <w:rPr>
          <w:i/>
          <w:sz w:val="16"/>
          <w:szCs w:val="16"/>
          <w:lang w:val="en-GB"/>
        </w:rPr>
        <w:t>Ibidem</w:t>
      </w:r>
      <w:proofErr w:type="spellEnd"/>
      <w:r w:rsidRPr="003C3C11">
        <w:rPr>
          <w:sz w:val="16"/>
          <w:szCs w:val="16"/>
          <w:lang w:val="en-GB"/>
        </w:rPr>
        <w:t>.</w:t>
      </w:r>
      <w:proofErr w:type="gramEnd"/>
      <w:r w:rsidRPr="003C3C11">
        <w:rPr>
          <w:sz w:val="16"/>
          <w:szCs w:val="16"/>
          <w:lang w:val="en-GB"/>
        </w:rPr>
        <w:t xml:space="preserve"> See </w:t>
      </w:r>
      <w:proofErr w:type="spellStart"/>
      <w:r>
        <w:rPr>
          <w:rFonts w:eastAsia="Arial Unicode MS"/>
          <w:smallCaps/>
          <w:sz w:val="16"/>
          <w:szCs w:val="16"/>
        </w:rPr>
        <w:t>Jakobs</w:t>
      </w:r>
      <w:proofErr w:type="spellEnd"/>
      <w:r>
        <w:rPr>
          <w:rFonts w:eastAsia="Arial Unicode MS"/>
          <w:smallCaps/>
          <w:sz w:val="16"/>
          <w:szCs w:val="16"/>
        </w:rPr>
        <w:t xml:space="preserve"> G</w:t>
      </w:r>
      <w:r w:rsidRPr="003C3C11">
        <w:rPr>
          <w:sz w:val="16"/>
          <w:szCs w:val="16"/>
          <w:lang w:val="en-GB"/>
        </w:rPr>
        <w:t>ü</w:t>
      </w:r>
      <w:proofErr w:type="spellStart"/>
      <w:r>
        <w:rPr>
          <w:rFonts w:eastAsia="Arial Unicode MS"/>
          <w:smallCaps/>
          <w:sz w:val="16"/>
          <w:szCs w:val="16"/>
        </w:rPr>
        <w:t>nthe</w:t>
      </w:r>
      <w:r w:rsidRPr="000B4CF2">
        <w:rPr>
          <w:rFonts w:eastAsia="Arial Unicode MS"/>
          <w:smallCaps/>
          <w:sz w:val="16"/>
          <w:szCs w:val="16"/>
        </w:rPr>
        <w:t>r</w:t>
      </w:r>
      <w:proofErr w:type="spellEnd"/>
      <w:r w:rsidRPr="003C3C11">
        <w:rPr>
          <w:sz w:val="16"/>
          <w:szCs w:val="16"/>
          <w:lang w:val="en-GB"/>
        </w:rPr>
        <w:t>, ‘</w:t>
      </w:r>
      <w:proofErr w:type="spellStart"/>
      <w:r w:rsidRPr="003C3C11">
        <w:rPr>
          <w:sz w:val="16"/>
          <w:szCs w:val="16"/>
          <w:lang w:val="en-GB"/>
        </w:rPr>
        <w:t>Vergangenheitsbewältigung</w:t>
      </w:r>
      <w:proofErr w:type="spellEnd"/>
      <w:r w:rsidRPr="003C3C11">
        <w:rPr>
          <w:sz w:val="16"/>
          <w:szCs w:val="16"/>
          <w:lang w:val="en-GB"/>
        </w:rPr>
        <w:t xml:space="preserve"> </w:t>
      </w:r>
      <w:proofErr w:type="spellStart"/>
      <w:r w:rsidRPr="003C3C11">
        <w:rPr>
          <w:sz w:val="16"/>
          <w:szCs w:val="16"/>
          <w:lang w:val="en-GB"/>
        </w:rPr>
        <w:t>durch</w:t>
      </w:r>
      <w:proofErr w:type="spellEnd"/>
      <w:r w:rsidRPr="003C3C11">
        <w:rPr>
          <w:sz w:val="16"/>
          <w:szCs w:val="16"/>
          <w:lang w:val="en-GB"/>
        </w:rPr>
        <w:t xml:space="preserve"> </w:t>
      </w:r>
      <w:proofErr w:type="spellStart"/>
      <w:r w:rsidRPr="003C3C11">
        <w:rPr>
          <w:sz w:val="16"/>
          <w:szCs w:val="16"/>
          <w:lang w:val="en-GB"/>
        </w:rPr>
        <w:t>Strafrecht</w:t>
      </w:r>
      <w:proofErr w:type="spellEnd"/>
      <w:r w:rsidRPr="003C3C11">
        <w:rPr>
          <w:sz w:val="16"/>
          <w:szCs w:val="16"/>
          <w:lang w:val="en-GB"/>
        </w:rPr>
        <w:t xml:space="preserve">? </w:t>
      </w:r>
      <w:proofErr w:type="spellStart"/>
      <w:r w:rsidRPr="003C3C11">
        <w:rPr>
          <w:sz w:val="16"/>
          <w:szCs w:val="16"/>
          <w:lang w:val="en-GB"/>
        </w:rPr>
        <w:t>Zur</w:t>
      </w:r>
      <w:proofErr w:type="spellEnd"/>
      <w:r w:rsidRPr="003C3C11">
        <w:rPr>
          <w:sz w:val="16"/>
          <w:szCs w:val="16"/>
          <w:lang w:val="en-GB"/>
        </w:rPr>
        <w:t xml:space="preserve"> </w:t>
      </w:r>
      <w:proofErr w:type="spellStart"/>
      <w:r w:rsidRPr="003C3C11">
        <w:rPr>
          <w:sz w:val="16"/>
          <w:szCs w:val="16"/>
          <w:lang w:val="en-GB"/>
        </w:rPr>
        <w:t>Leitungsfähigkeit</w:t>
      </w:r>
      <w:proofErr w:type="spellEnd"/>
      <w:r w:rsidRPr="003C3C11">
        <w:rPr>
          <w:sz w:val="16"/>
          <w:szCs w:val="16"/>
          <w:lang w:val="en-GB"/>
        </w:rPr>
        <w:t xml:space="preserve"> des </w:t>
      </w:r>
      <w:proofErr w:type="spellStart"/>
      <w:r w:rsidRPr="003C3C11">
        <w:rPr>
          <w:sz w:val="16"/>
          <w:szCs w:val="16"/>
          <w:lang w:val="en-GB"/>
        </w:rPr>
        <w:t>Strafrechts</w:t>
      </w:r>
      <w:proofErr w:type="spellEnd"/>
      <w:r w:rsidRPr="003C3C11">
        <w:rPr>
          <w:sz w:val="16"/>
          <w:szCs w:val="16"/>
          <w:lang w:val="en-GB"/>
        </w:rPr>
        <w:t xml:space="preserve"> </w:t>
      </w:r>
      <w:proofErr w:type="spellStart"/>
      <w:r w:rsidRPr="003C3C11">
        <w:rPr>
          <w:sz w:val="16"/>
          <w:szCs w:val="16"/>
          <w:lang w:val="en-GB"/>
        </w:rPr>
        <w:t>nach</w:t>
      </w:r>
      <w:proofErr w:type="spellEnd"/>
      <w:r w:rsidRPr="003C3C11">
        <w:rPr>
          <w:sz w:val="16"/>
          <w:szCs w:val="16"/>
          <w:lang w:val="en-GB"/>
        </w:rPr>
        <w:t xml:space="preserve"> </w:t>
      </w:r>
      <w:proofErr w:type="spellStart"/>
      <w:r w:rsidRPr="003C3C11">
        <w:rPr>
          <w:sz w:val="16"/>
          <w:szCs w:val="16"/>
          <w:lang w:val="en-GB"/>
        </w:rPr>
        <w:t>ei</w:t>
      </w:r>
      <w:r>
        <w:rPr>
          <w:sz w:val="16"/>
          <w:szCs w:val="16"/>
          <w:lang w:val="en-GB"/>
        </w:rPr>
        <w:t>men</w:t>
      </w:r>
      <w:proofErr w:type="spellEnd"/>
      <w:r>
        <w:rPr>
          <w:sz w:val="16"/>
          <w:szCs w:val="16"/>
          <w:lang w:val="en-GB"/>
        </w:rPr>
        <w:t xml:space="preserve"> </w:t>
      </w:r>
      <w:proofErr w:type="spellStart"/>
      <w:r>
        <w:rPr>
          <w:sz w:val="16"/>
          <w:szCs w:val="16"/>
          <w:lang w:val="en-GB"/>
        </w:rPr>
        <w:t>politischen</w:t>
      </w:r>
      <w:proofErr w:type="spellEnd"/>
      <w:r>
        <w:rPr>
          <w:sz w:val="16"/>
          <w:szCs w:val="16"/>
          <w:lang w:val="en-GB"/>
        </w:rPr>
        <w:t xml:space="preserve"> </w:t>
      </w:r>
      <w:proofErr w:type="spellStart"/>
      <w:r>
        <w:rPr>
          <w:sz w:val="16"/>
          <w:szCs w:val="16"/>
          <w:lang w:val="en-GB"/>
        </w:rPr>
        <w:t>Umbruch</w:t>
      </w:r>
      <w:proofErr w:type="spellEnd"/>
      <w:r>
        <w:rPr>
          <w:sz w:val="16"/>
          <w:szCs w:val="16"/>
          <w:lang w:val="en-GB"/>
        </w:rPr>
        <w:t xml:space="preserve">,’, in </w:t>
      </w:r>
      <w:proofErr w:type="spellStart"/>
      <w:r>
        <w:rPr>
          <w:rFonts w:eastAsia="Arial Unicode MS"/>
          <w:smallCaps/>
          <w:sz w:val="16"/>
          <w:szCs w:val="16"/>
        </w:rPr>
        <w:t>Isensee</w:t>
      </w:r>
      <w:proofErr w:type="spellEnd"/>
      <w:r>
        <w:rPr>
          <w:rFonts w:eastAsia="Arial Unicode MS"/>
          <w:smallCaps/>
          <w:sz w:val="16"/>
          <w:szCs w:val="16"/>
        </w:rPr>
        <w:t xml:space="preserve"> Josef, (</w:t>
      </w:r>
      <w:r w:rsidRPr="003C3C11">
        <w:rPr>
          <w:sz w:val="16"/>
          <w:szCs w:val="16"/>
          <w:lang w:val="en-GB"/>
        </w:rPr>
        <w:t xml:space="preserve"> ed.</w:t>
      </w:r>
      <w:r>
        <w:rPr>
          <w:sz w:val="16"/>
          <w:szCs w:val="16"/>
          <w:lang w:val="en-GB"/>
        </w:rPr>
        <w:t>)</w:t>
      </w:r>
      <w:r w:rsidRPr="003C3C11">
        <w:rPr>
          <w:sz w:val="16"/>
          <w:szCs w:val="16"/>
          <w:lang w:val="en-GB"/>
        </w:rPr>
        <w:t xml:space="preserve">, </w:t>
      </w:r>
      <w:proofErr w:type="spellStart"/>
      <w:r w:rsidRPr="003C3C11">
        <w:rPr>
          <w:i/>
          <w:sz w:val="16"/>
          <w:szCs w:val="16"/>
          <w:lang w:val="en-GB"/>
        </w:rPr>
        <w:t>Vergangenheitsbewältigung</w:t>
      </w:r>
      <w:proofErr w:type="spellEnd"/>
      <w:r w:rsidRPr="003C3C11">
        <w:rPr>
          <w:i/>
          <w:sz w:val="16"/>
          <w:szCs w:val="16"/>
          <w:lang w:val="en-GB"/>
        </w:rPr>
        <w:t xml:space="preserve"> </w:t>
      </w:r>
      <w:proofErr w:type="spellStart"/>
      <w:r w:rsidRPr="003C3C11">
        <w:rPr>
          <w:i/>
          <w:sz w:val="16"/>
          <w:szCs w:val="16"/>
          <w:lang w:val="en-GB"/>
        </w:rPr>
        <w:t>durch</w:t>
      </w:r>
      <w:proofErr w:type="spellEnd"/>
      <w:r w:rsidRPr="003C3C11">
        <w:rPr>
          <w:i/>
          <w:sz w:val="16"/>
          <w:szCs w:val="16"/>
          <w:lang w:val="en-GB"/>
        </w:rPr>
        <w:t xml:space="preserve"> </w:t>
      </w:r>
      <w:proofErr w:type="spellStart"/>
      <w:r w:rsidRPr="003C3C11">
        <w:rPr>
          <w:i/>
          <w:sz w:val="16"/>
          <w:szCs w:val="16"/>
          <w:lang w:val="en-GB"/>
        </w:rPr>
        <w:t>Recht</w:t>
      </w:r>
      <w:proofErr w:type="spellEnd"/>
      <w:r>
        <w:rPr>
          <w:sz w:val="16"/>
          <w:szCs w:val="16"/>
          <w:lang w:val="en-GB"/>
        </w:rPr>
        <w:t xml:space="preserve">, </w:t>
      </w:r>
      <w:r w:rsidRPr="003C3C11">
        <w:rPr>
          <w:sz w:val="16"/>
          <w:szCs w:val="16"/>
          <w:lang w:val="en-GB"/>
        </w:rPr>
        <w:t>Ber</w:t>
      </w:r>
      <w:r w:rsidR="008A2E6C">
        <w:rPr>
          <w:sz w:val="16"/>
          <w:szCs w:val="16"/>
          <w:lang w:val="en-GB"/>
        </w:rPr>
        <w:t>lin,</w:t>
      </w:r>
      <w:r>
        <w:rPr>
          <w:sz w:val="16"/>
          <w:szCs w:val="16"/>
          <w:lang w:val="en-GB"/>
        </w:rPr>
        <w:t xml:space="preserve"> </w:t>
      </w:r>
      <w:proofErr w:type="spellStart"/>
      <w:r>
        <w:rPr>
          <w:sz w:val="16"/>
          <w:szCs w:val="16"/>
          <w:lang w:val="en-GB"/>
        </w:rPr>
        <w:t>Duncker</w:t>
      </w:r>
      <w:proofErr w:type="spellEnd"/>
      <w:r>
        <w:rPr>
          <w:sz w:val="16"/>
          <w:szCs w:val="16"/>
          <w:lang w:val="en-GB"/>
        </w:rPr>
        <w:t xml:space="preserve"> and Humboldt, 1992, pp. 37-64; </w:t>
      </w:r>
      <w:proofErr w:type="spellStart"/>
      <w:r>
        <w:rPr>
          <w:rFonts w:eastAsia="Arial Unicode MS"/>
          <w:smallCaps/>
          <w:sz w:val="16"/>
          <w:szCs w:val="16"/>
        </w:rPr>
        <w:t>Laskowski</w:t>
      </w:r>
      <w:proofErr w:type="spellEnd"/>
      <w:r>
        <w:rPr>
          <w:rFonts w:eastAsia="Arial Unicode MS"/>
          <w:smallCaps/>
          <w:sz w:val="16"/>
          <w:szCs w:val="16"/>
        </w:rPr>
        <w:t xml:space="preserve"> </w:t>
      </w:r>
      <w:proofErr w:type="spellStart"/>
      <w:r>
        <w:rPr>
          <w:rFonts w:eastAsia="Arial Unicode MS"/>
          <w:smallCaps/>
          <w:sz w:val="16"/>
          <w:szCs w:val="16"/>
        </w:rPr>
        <w:t>Silke</w:t>
      </w:r>
      <w:proofErr w:type="spellEnd"/>
      <w:r w:rsidRPr="003C3C11">
        <w:rPr>
          <w:sz w:val="16"/>
          <w:szCs w:val="16"/>
          <w:lang w:val="en-GB"/>
        </w:rPr>
        <w:t>, ‘</w:t>
      </w:r>
      <w:proofErr w:type="spellStart"/>
      <w:r w:rsidRPr="003C3C11">
        <w:rPr>
          <w:sz w:val="16"/>
          <w:szCs w:val="16"/>
          <w:lang w:val="en-GB"/>
        </w:rPr>
        <w:t>Unrecht</w:t>
      </w:r>
      <w:proofErr w:type="spellEnd"/>
      <w:r w:rsidRPr="003C3C11">
        <w:rPr>
          <w:sz w:val="16"/>
          <w:szCs w:val="16"/>
          <w:lang w:val="en-GB"/>
        </w:rPr>
        <w:t xml:space="preserve"> – </w:t>
      </w:r>
      <w:proofErr w:type="spellStart"/>
      <w:r w:rsidRPr="003C3C11">
        <w:rPr>
          <w:sz w:val="16"/>
          <w:szCs w:val="16"/>
          <w:lang w:val="en-GB"/>
        </w:rPr>
        <w:t>Strafrecht</w:t>
      </w:r>
      <w:proofErr w:type="spellEnd"/>
      <w:r w:rsidRPr="003C3C11">
        <w:rPr>
          <w:sz w:val="16"/>
          <w:szCs w:val="16"/>
          <w:lang w:val="en-GB"/>
        </w:rPr>
        <w:t xml:space="preserve"> – </w:t>
      </w:r>
      <w:proofErr w:type="spellStart"/>
      <w:r w:rsidRPr="003C3C11">
        <w:rPr>
          <w:sz w:val="16"/>
          <w:szCs w:val="16"/>
          <w:lang w:val="en-GB"/>
        </w:rPr>
        <w:t>Gerechtigkeit</w:t>
      </w:r>
      <w:proofErr w:type="spellEnd"/>
      <w:r w:rsidRPr="003C3C11">
        <w:rPr>
          <w:sz w:val="16"/>
          <w:szCs w:val="16"/>
          <w:lang w:val="en-GB"/>
        </w:rPr>
        <w:t xml:space="preserve">: Die </w:t>
      </w:r>
      <w:proofErr w:type="spellStart"/>
      <w:r w:rsidRPr="003C3C11">
        <w:rPr>
          <w:sz w:val="16"/>
          <w:szCs w:val="16"/>
          <w:lang w:val="en-GB"/>
        </w:rPr>
        <w:t>Probleme</w:t>
      </w:r>
      <w:proofErr w:type="spellEnd"/>
      <w:r w:rsidRPr="003C3C11">
        <w:rPr>
          <w:sz w:val="16"/>
          <w:szCs w:val="16"/>
          <w:lang w:val="en-GB"/>
        </w:rPr>
        <w:t xml:space="preserve"> des </w:t>
      </w:r>
      <w:proofErr w:type="spellStart"/>
      <w:r w:rsidRPr="003C3C11">
        <w:rPr>
          <w:sz w:val="16"/>
          <w:szCs w:val="16"/>
          <w:lang w:val="en-GB"/>
        </w:rPr>
        <w:t>Rechtsstaats</w:t>
      </w:r>
      <w:proofErr w:type="spellEnd"/>
      <w:r w:rsidRPr="003C3C11">
        <w:rPr>
          <w:sz w:val="16"/>
          <w:szCs w:val="16"/>
          <w:lang w:val="en-GB"/>
        </w:rPr>
        <w:t xml:space="preserve"> </w:t>
      </w:r>
      <w:proofErr w:type="spellStart"/>
      <w:r w:rsidRPr="003C3C11">
        <w:rPr>
          <w:sz w:val="16"/>
          <w:szCs w:val="16"/>
          <w:lang w:val="en-GB"/>
        </w:rPr>
        <w:t>mit</w:t>
      </w:r>
      <w:proofErr w:type="spellEnd"/>
      <w:r w:rsidRPr="003C3C11">
        <w:rPr>
          <w:sz w:val="16"/>
          <w:szCs w:val="16"/>
          <w:lang w:val="en-GB"/>
        </w:rPr>
        <w:t xml:space="preserve"> </w:t>
      </w:r>
      <w:proofErr w:type="spellStart"/>
      <w:r w:rsidRPr="003C3C11">
        <w:rPr>
          <w:sz w:val="16"/>
          <w:szCs w:val="16"/>
          <w:lang w:val="en-GB"/>
        </w:rPr>
        <w:t>dem</w:t>
      </w:r>
      <w:proofErr w:type="spellEnd"/>
      <w:r w:rsidRPr="003C3C11">
        <w:rPr>
          <w:sz w:val="16"/>
          <w:szCs w:val="16"/>
          <w:lang w:val="en-GB"/>
        </w:rPr>
        <w:t xml:space="preserve"> DDR-</w:t>
      </w:r>
      <w:proofErr w:type="spellStart"/>
      <w:r w:rsidRPr="003C3C11">
        <w:rPr>
          <w:sz w:val="16"/>
          <w:szCs w:val="16"/>
          <w:lang w:val="en-GB"/>
        </w:rPr>
        <w:t>Unrecht</w:t>
      </w:r>
      <w:proofErr w:type="spellEnd"/>
      <w:r w:rsidRPr="003C3C11">
        <w:rPr>
          <w:sz w:val="16"/>
          <w:szCs w:val="16"/>
          <w:lang w:val="en-GB"/>
        </w:rPr>
        <w:t xml:space="preserve">’, </w:t>
      </w:r>
      <w:proofErr w:type="spellStart"/>
      <w:r w:rsidRPr="003C3C11">
        <w:rPr>
          <w:i/>
          <w:sz w:val="16"/>
          <w:szCs w:val="16"/>
          <w:lang w:val="en-GB"/>
        </w:rPr>
        <w:t>Juristische</w:t>
      </w:r>
      <w:proofErr w:type="spellEnd"/>
      <w:r w:rsidRPr="003C3C11">
        <w:rPr>
          <w:i/>
          <w:sz w:val="16"/>
          <w:szCs w:val="16"/>
          <w:lang w:val="en-GB"/>
        </w:rPr>
        <w:t xml:space="preserve"> </w:t>
      </w:r>
      <w:proofErr w:type="spellStart"/>
      <w:r w:rsidRPr="003C3C11">
        <w:rPr>
          <w:i/>
          <w:sz w:val="16"/>
          <w:szCs w:val="16"/>
          <w:lang w:val="en-GB"/>
        </w:rPr>
        <w:t>Arbeitsblätter</w:t>
      </w:r>
      <w:proofErr w:type="spellEnd"/>
      <w:r w:rsidR="008A2E6C">
        <w:rPr>
          <w:sz w:val="16"/>
          <w:szCs w:val="16"/>
          <w:lang w:val="en-GB"/>
        </w:rPr>
        <w:t>, vol. 26/</w:t>
      </w:r>
      <w:r>
        <w:rPr>
          <w:sz w:val="16"/>
          <w:szCs w:val="16"/>
          <w:lang w:val="en-GB"/>
        </w:rPr>
        <w:t xml:space="preserve">1994, pp. 151-166; </w:t>
      </w:r>
      <w:r w:rsidRPr="003C3C11">
        <w:rPr>
          <w:sz w:val="16"/>
          <w:szCs w:val="16"/>
          <w:lang w:val="en-GB"/>
        </w:rPr>
        <w:t xml:space="preserve"> and </w:t>
      </w:r>
      <w:r>
        <w:rPr>
          <w:rFonts w:eastAsia="Arial Unicode MS"/>
          <w:smallCaps/>
          <w:sz w:val="16"/>
          <w:szCs w:val="16"/>
        </w:rPr>
        <w:t xml:space="preserve">Dreier Horst, </w:t>
      </w:r>
      <w:r w:rsidRPr="003C3C11">
        <w:rPr>
          <w:sz w:val="16"/>
          <w:szCs w:val="16"/>
          <w:lang w:val="en-GB"/>
        </w:rPr>
        <w:t xml:space="preserve">‘Gustav </w:t>
      </w:r>
      <w:proofErr w:type="spellStart"/>
      <w:r w:rsidRPr="003C3C11">
        <w:rPr>
          <w:sz w:val="16"/>
          <w:szCs w:val="16"/>
          <w:lang w:val="en-GB"/>
        </w:rPr>
        <w:t>Radbruch</w:t>
      </w:r>
      <w:proofErr w:type="spellEnd"/>
      <w:r w:rsidRPr="003C3C11">
        <w:rPr>
          <w:sz w:val="16"/>
          <w:szCs w:val="16"/>
          <w:lang w:val="en-GB"/>
        </w:rPr>
        <w:t xml:space="preserve"> und die </w:t>
      </w:r>
      <w:proofErr w:type="spellStart"/>
      <w:r w:rsidRPr="003C3C11">
        <w:rPr>
          <w:sz w:val="16"/>
          <w:szCs w:val="16"/>
          <w:lang w:val="en-GB"/>
        </w:rPr>
        <w:t>Mauerschützen</w:t>
      </w:r>
      <w:proofErr w:type="spellEnd"/>
      <w:r w:rsidRPr="003C3C11">
        <w:rPr>
          <w:sz w:val="16"/>
          <w:szCs w:val="16"/>
          <w:lang w:val="en-GB"/>
        </w:rPr>
        <w:t xml:space="preserve">’, </w:t>
      </w:r>
      <w:proofErr w:type="spellStart"/>
      <w:r w:rsidRPr="003C3C11">
        <w:rPr>
          <w:i/>
          <w:sz w:val="16"/>
          <w:szCs w:val="16"/>
          <w:lang w:val="en-GB"/>
        </w:rPr>
        <w:t>Juristen</w:t>
      </w:r>
      <w:proofErr w:type="spellEnd"/>
      <w:r w:rsidRPr="003C3C11">
        <w:rPr>
          <w:i/>
          <w:sz w:val="16"/>
          <w:szCs w:val="16"/>
          <w:lang w:val="en-GB"/>
        </w:rPr>
        <w:t xml:space="preserve"> </w:t>
      </w:r>
      <w:proofErr w:type="spellStart"/>
      <w:r w:rsidRPr="003C3C11">
        <w:rPr>
          <w:i/>
          <w:sz w:val="16"/>
          <w:szCs w:val="16"/>
          <w:lang w:val="en-GB"/>
        </w:rPr>
        <w:t>Zeitung</w:t>
      </w:r>
      <w:proofErr w:type="spellEnd"/>
      <w:r w:rsidR="008A2E6C">
        <w:rPr>
          <w:sz w:val="16"/>
          <w:szCs w:val="16"/>
          <w:lang w:val="en-GB"/>
        </w:rPr>
        <w:t>, vol. 52/</w:t>
      </w:r>
      <w:r>
        <w:rPr>
          <w:sz w:val="16"/>
          <w:szCs w:val="16"/>
          <w:lang w:val="en-GB"/>
        </w:rPr>
        <w:t>1997</w:t>
      </w:r>
      <w:r w:rsidR="008A2E6C">
        <w:rPr>
          <w:sz w:val="16"/>
          <w:szCs w:val="16"/>
          <w:lang w:val="en-GB"/>
        </w:rPr>
        <w:t xml:space="preserve">, </w:t>
      </w:r>
      <w:r w:rsidRPr="003C3C11">
        <w:rPr>
          <w:sz w:val="16"/>
          <w:szCs w:val="16"/>
          <w:lang w:val="en-GB"/>
        </w:rPr>
        <w:t>pp. 421-434.</w:t>
      </w:r>
    </w:p>
  </w:footnote>
  <w:footnote w:id="38">
    <w:p w14:paraId="3C8622F1" w14:textId="38C73BD4" w:rsidR="00DB3EBE" w:rsidRPr="00ED5C26" w:rsidRDefault="00DB3EBE">
      <w:pPr>
        <w:outlineLvl w:val="0"/>
        <w:rPr>
          <w:sz w:val="16"/>
          <w:szCs w:val="16"/>
        </w:rPr>
      </w:pPr>
      <w:r w:rsidRPr="009372B7">
        <w:rPr>
          <w:rFonts w:eastAsia="Arial Unicode MS"/>
          <w:color w:val="000000"/>
          <w:sz w:val="16"/>
          <w:szCs w:val="16"/>
          <w:u w:color="000000"/>
          <w:vertAlign w:val="superscript"/>
        </w:rPr>
        <w:footnoteRef/>
      </w:r>
      <w:r w:rsidRPr="009372B7">
        <w:rPr>
          <w:rFonts w:eastAsia="Arial Unicode MS"/>
          <w:color w:val="000000"/>
          <w:sz w:val="16"/>
          <w:szCs w:val="16"/>
          <w:u w:color="000000"/>
        </w:rPr>
        <w:t xml:space="preserve"> </w:t>
      </w:r>
      <w:proofErr w:type="spellStart"/>
      <w:proofErr w:type="gramStart"/>
      <w:r w:rsidRPr="00197BDE">
        <w:rPr>
          <w:rFonts w:eastAsia="Arial Unicode MS"/>
          <w:i/>
          <w:color w:val="000000"/>
          <w:sz w:val="16"/>
          <w:szCs w:val="16"/>
          <w:u w:color="000000"/>
        </w:rPr>
        <w:t>Ibidem</w:t>
      </w:r>
      <w:proofErr w:type="spellEnd"/>
      <w:r w:rsidRPr="00ED5C26">
        <w:rPr>
          <w:rFonts w:eastAsia="Arial Unicode MS"/>
          <w:color w:val="000000"/>
          <w:sz w:val="16"/>
          <w:szCs w:val="16"/>
          <w:u w:color="000000"/>
        </w:rPr>
        <w:t>.</w:t>
      </w:r>
      <w:proofErr w:type="gramEnd"/>
    </w:p>
  </w:footnote>
  <w:footnote w:id="39">
    <w:p w14:paraId="00F73E70" w14:textId="4E4F0324" w:rsidR="00DB3EBE" w:rsidRPr="00ED5C26" w:rsidRDefault="00DB3EBE">
      <w:pPr>
        <w:outlineLvl w:val="0"/>
        <w:rPr>
          <w:sz w:val="16"/>
          <w:szCs w:val="16"/>
        </w:rPr>
      </w:pPr>
      <w:r w:rsidRPr="00ED5C26">
        <w:rPr>
          <w:rFonts w:eastAsia="Arial Unicode MS"/>
          <w:color w:val="000000"/>
          <w:sz w:val="16"/>
          <w:szCs w:val="16"/>
          <w:u w:color="000000"/>
          <w:vertAlign w:val="superscript"/>
        </w:rPr>
        <w:footnoteRef/>
      </w:r>
      <w:r w:rsidRPr="00ED5C26">
        <w:rPr>
          <w:rFonts w:eastAsia="Arial Unicode MS"/>
          <w:color w:val="000000"/>
          <w:sz w:val="16"/>
          <w:szCs w:val="16"/>
          <w:u w:color="000000"/>
        </w:rPr>
        <w:t xml:space="preserve"> </w:t>
      </w:r>
      <w:proofErr w:type="spellStart"/>
      <w:proofErr w:type="gramStart"/>
      <w:r w:rsidRPr="00197BDE">
        <w:rPr>
          <w:rFonts w:eastAsia="Arial Unicode MS"/>
          <w:i/>
          <w:color w:val="000000"/>
          <w:sz w:val="16"/>
          <w:szCs w:val="16"/>
          <w:u w:color="000000"/>
        </w:rPr>
        <w:t>Ibidem</w:t>
      </w:r>
      <w:proofErr w:type="spellEnd"/>
      <w:r w:rsidRPr="00ED5C26">
        <w:rPr>
          <w:rFonts w:eastAsia="Arial Unicode MS"/>
          <w:color w:val="000000"/>
          <w:sz w:val="16"/>
          <w:szCs w:val="16"/>
          <w:u w:color="000000"/>
        </w:rPr>
        <w:t>, p. 310.</w:t>
      </w:r>
      <w:proofErr w:type="gramEnd"/>
    </w:p>
  </w:footnote>
  <w:footnote w:id="40">
    <w:p w14:paraId="2822FBB9" w14:textId="7A54BF91" w:rsidR="00DB3EBE" w:rsidRPr="009372B7" w:rsidRDefault="00DB3EBE" w:rsidP="00593A5B">
      <w:pPr>
        <w:pStyle w:val="FootnoteText"/>
        <w:rPr>
          <w:sz w:val="16"/>
          <w:szCs w:val="16"/>
        </w:rPr>
      </w:pPr>
      <w:r w:rsidRPr="00ED5C26">
        <w:rPr>
          <w:rStyle w:val="FootnoteReference"/>
          <w:sz w:val="16"/>
          <w:szCs w:val="16"/>
        </w:rPr>
        <w:footnoteRef/>
      </w:r>
      <w:r w:rsidRPr="00ED5C26">
        <w:rPr>
          <w:sz w:val="16"/>
          <w:szCs w:val="16"/>
        </w:rPr>
        <w:t xml:space="preserve"> See ‘</w:t>
      </w:r>
      <w:r w:rsidRPr="009372B7">
        <w:rPr>
          <w:sz w:val="16"/>
          <w:szCs w:val="16"/>
        </w:rPr>
        <w:t xml:space="preserve">Shootings at the Berlin Wall Case’, </w:t>
      </w:r>
      <w:proofErr w:type="spellStart"/>
      <w:r w:rsidRPr="009372B7">
        <w:rPr>
          <w:sz w:val="16"/>
          <w:szCs w:val="16"/>
        </w:rPr>
        <w:t>BGHst</w:t>
      </w:r>
      <w:proofErr w:type="spellEnd"/>
      <w:r w:rsidRPr="009372B7">
        <w:rPr>
          <w:sz w:val="16"/>
          <w:szCs w:val="16"/>
        </w:rPr>
        <w:t xml:space="preserve"> Band 39 S.1. The judgment can be found with an English translation along with the origi</w:t>
      </w:r>
      <w:r w:rsidR="008A2E6C">
        <w:rPr>
          <w:sz w:val="16"/>
          <w:szCs w:val="16"/>
        </w:rPr>
        <w:t xml:space="preserve">nal German case transcript in </w:t>
      </w:r>
      <w:proofErr w:type="spellStart"/>
      <w:r w:rsidRPr="009372B7">
        <w:rPr>
          <w:rFonts w:eastAsia="Arial Unicode MS"/>
          <w:smallCaps/>
          <w:sz w:val="16"/>
          <w:szCs w:val="16"/>
        </w:rPr>
        <w:t>Youngs</w:t>
      </w:r>
      <w:proofErr w:type="spellEnd"/>
      <w:r w:rsidRPr="009372B7">
        <w:rPr>
          <w:rFonts w:eastAsia="Arial Unicode MS"/>
          <w:smallCaps/>
          <w:sz w:val="16"/>
          <w:szCs w:val="16"/>
        </w:rPr>
        <w:t xml:space="preserve"> Raymond, </w:t>
      </w:r>
      <w:r w:rsidRPr="009372B7">
        <w:rPr>
          <w:i/>
          <w:sz w:val="16"/>
          <w:szCs w:val="16"/>
        </w:rPr>
        <w:t>Sourcebook on German Law</w:t>
      </w:r>
      <w:r w:rsidRPr="009372B7">
        <w:rPr>
          <w:sz w:val="16"/>
          <w:szCs w:val="16"/>
        </w:rPr>
        <w:t>, London</w:t>
      </w:r>
      <w:proofErr w:type="gramStart"/>
      <w:r w:rsidRPr="009372B7">
        <w:rPr>
          <w:sz w:val="16"/>
          <w:szCs w:val="16"/>
        </w:rPr>
        <w:t>,  Cavendish</w:t>
      </w:r>
      <w:proofErr w:type="gramEnd"/>
      <w:r w:rsidRPr="009372B7">
        <w:rPr>
          <w:sz w:val="16"/>
          <w:szCs w:val="16"/>
        </w:rPr>
        <w:t>, 2002 , pp. 620-681.</w:t>
      </w:r>
      <w:r>
        <w:rPr>
          <w:sz w:val="16"/>
          <w:szCs w:val="16"/>
        </w:rPr>
        <w:t xml:space="preserve"> </w:t>
      </w:r>
    </w:p>
  </w:footnote>
  <w:footnote w:id="41">
    <w:p w14:paraId="611FA20D" w14:textId="48384EB9" w:rsidR="00DB3EBE" w:rsidRPr="00ED5C26" w:rsidRDefault="00DB3EBE" w:rsidP="00593A5B">
      <w:pPr>
        <w:pStyle w:val="FootnoteText"/>
        <w:rPr>
          <w:sz w:val="16"/>
          <w:szCs w:val="16"/>
        </w:rPr>
      </w:pPr>
      <w:r w:rsidRPr="009372B7">
        <w:rPr>
          <w:rStyle w:val="FootnoteReference"/>
          <w:sz w:val="16"/>
          <w:szCs w:val="16"/>
        </w:rPr>
        <w:footnoteRef/>
      </w:r>
      <w:r w:rsidRPr="009372B7">
        <w:rPr>
          <w:sz w:val="16"/>
          <w:szCs w:val="16"/>
        </w:rPr>
        <w:t xml:space="preserve"> </w:t>
      </w:r>
      <w:proofErr w:type="spellStart"/>
      <w:proofErr w:type="gramStart"/>
      <w:r w:rsidRPr="00197BDE">
        <w:rPr>
          <w:i/>
          <w:sz w:val="16"/>
          <w:szCs w:val="16"/>
        </w:rPr>
        <w:t>Ibidem</w:t>
      </w:r>
      <w:proofErr w:type="spellEnd"/>
      <w:r w:rsidRPr="00ED5C26">
        <w:rPr>
          <w:sz w:val="16"/>
          <w:szCs w:val="16"/>
        </w:rPr>
        <w:t>.</w:t>
      </w:r>
      <w:proofErr w:type="gramEnd"/>
    </w:p>
  </w:footnote>
  <w:footnote w:id="42">
    <w:p w14:paraId="1598BAC2" w14:textId="02FCFC8D" w:rsidR="00DB3EBE" w:rsidRPr="009372B7" w:rsidRDefault="00DB3EBE" w:rsidP="009372B7">
      <w:pPr>
        <w:pStyle w:val="Body"/>
        <w:rPr>
          <w:rFonts w:eastAsia="Times New Roman"/>
          <w:color w:val="auto"/>
          <w:sz w:val="16"/>
          <w:szCs w:val="16"/>
          <w:lang w:val="en-GB" w:eastAsia="en-GB"/>
        </w:rPr>
      </w:pPr>
      <w:r w:rsidRPr="00ED5C26">
        <w:rPr>
          <w:sz w:val="16"/>
          <w:szCs w:val="16"/>
          <w:vertAlign w:val="superscript"/>
          <w:lang w:val="en-GB"/>
        </w:rPr>
        <w:footnoteRef/>
      </w:r>
      <w:r w:rsidRPr="00ED5C26">
        <w:rPr>
          <w:sz w:val="16"/>
          <w:szCs w:val="16"/>
          <w:lang w:val="en-GB"/>
        </w:rPr>
        <w:t xml:space="preserve"> </w:t>
      </w:r>
      <w:proofErr w:type="spellStart"/>
      <w:proofErr w:type="gramStart"/>
      <w:r w:rsidRPr="00197BDE">
        <w:rPr>
          <w:i/>
          <w:sz w:val="16"/>
          <w:szCs w:val="16"/>
          <w:lang w:val="en-GB"/>
        </w:rPr>
        <w:t>Ibidem</w:t>
      </w:r>
      <w:proofErr w:type="spellEnd"/>
      <w:r w:rsidRPr="00ED5C26">
        <w:rPr>
          <w:sz w:val="16"/>
          <w:szCs w:val="16"/>
          <w:lang w:val="en-GB"/>
        </w:rPr>
        <w:t>, p</w:t>
      </w:r>
      <w:r w:rsidRPr="009372B7">
        <w:rPr>
          <w:sz w:val="16"/>
          <w:szCs w:val="16"/>
          <w:lang w:val="en-GB"/>
        </w:rPr>
        <w:t xml:space="preserve">. 312 and </w:t>
      </w:r>
      <w:proofErr w:type="spellStart"/>
      <w:r w:rsidRPr="000B4CF2">
        <w:rPr>
          <w:rFonts w:eastAsia="Arial Unicode MS"/>
          <w:smallCaps/>
          <w:sz w:val="16"/>
          <w:szCs w:val="16"/>
        </w:rPr>
        <w:t>K</w:t>
      </w:r>
      <w:r w:rsidRPr="000B4CF2">
        <w:rPr>
          <w:smallCaps/>
          <w:sz w:val="16"/>
          <w:szCs w:val="16"/>
        </w:rPr>
        <w:t>ün</w:t>
      </w:r>
      <w:r w:rsidRPr="000B4CF2">
        <w:rPr>
          <w:rFonts w:eastAsia="Arial Unicode MS"/>
          <w:smallCaps/>
          <w:sz w:val="16"/>
          <w:szCs w:val="16"/>
        </w:rPr>
        <w:t>zler</w:t>
      </w:r>
      <w:proofErr w:type="spellEnd"/>
      <w:r w:rsidRPr="000B4CF2">
        <w:rPr>
          <w:rFonts w:eastAsia="Arial Unicode MS"/>
          <w:smallCaps/>
          <w:sz w:val="16"/>
          <w:szCs w:val="16"/>
        </w:rPr>
        <w:t xml:space="preserve"> Adam</w:t>
      </w:r>
      <w:r>
        <w:rPr>
          <w:rFonts w:eastAsia="Arial Unicode MS"/>
          <w:smallCaps/>
          <w:sz w:val="16"/>
          <w:szCs w:val="16"/>
        </w:rPr>
        <w:t xml:space="preserve">, </w:t>
      </w:r>
      <w:r w:rsidRPr="007277A0">
        <w:rPr>
          <w:i/>
          <w:sz w:val="16"/>
          <w:szCs w:val="16"/>
          <w:lang w:val="en-GB"/>
        </w:rPr>
        <w:t>loc. cit</w:t>
      </w:r>
      <w:r>
        <w:rPr>
          <w:sz w:val="16"/>
          <w:szCs w:val="16"/>
          <w:lang w:val="en-GB"/>
        </w:rPr>
        <w:t>.</w:t>
      </w:r>
      <w:proofErr w:type="gramEnd"/>
    </w:p>
  </w:footnote>
  <w:footnote w:id="43">
    <w:p w14:paraId="1F41612C" w14:textId="786BCBE1" w:rsidR="00DB3EBE" w:rsidRPr="00ED5C26" w:rsidRDefault="00DB3EBE" w:rsidP="009372B7">
      <w:pPr>
        <w:pStyle w:val="Body"/>
        <w:tabs>
          <w:tab w:val="left" w:pos="5860"/>
        </w:tabs>
        <w:rPr>
          <w:rFonts w:eastAsia="Times New Roman"/>
          <w:color w:val="auto"/>
          <w:sz w:val="16"/>
          <w:szCs w:val="16"/>
          <w:lang w:val="en-GB" w:eastAsia="en-GB"/>
        </w:rPr>
      </w:pPr>
      <w:r w:rsidRPr="009372B7">
        <w:rPr>
          <w:sz w:val="16"/>
          <w:szCs w:val="16"/>
          <w:vertAlign w:val="superscript"/>
          <w:lang w:val="en-GB"/>
        </w:rPr>
        <w:footnoteRef/>
      </w:r>
      <w:r w:rsidRPr="009372B7">
        <w:rPr>
          <w:sz w:val="16"/>
          <w:szCs w:val="16"/>
          <w:lang w:val="en-GB"/>
        </w:rPr>
        <w:t xml:space="preserve"> </w:t>
      </w:r>
      <w:proofErr w:type="spellStart"/>
      <w:proofErr w:type="gramStart"/>
      <w:r w:rsidRPr="00197BDE">
        <w:rPr>
          <w:i/>
          <w:sz w:val="16"/>
          <w:szCs w:val="16"/>
          <w:lang w:val="en-GB"/>
        </w:rPr>
        <w:t>Ibidem</w:t>
      </w:r>
      <w:proofErr w:type="spellEnd"/>
      <w:r w:rsidRPr="00ED5C26">
        <w:rPr>
          <w:sz w:val="16"/>
          <w:szCs w:val="16"/>
          <w:lang w:val="en-GB"/>
        </w:rPr>
        <w:t>.</w:t>
      </w:r>
      <w:proofErr w:type="gramEnd"/>
    </w:p>
  </w:footnote>
  <w:footnote w:id="44">
    <w:p w14:paraId="2A398D68" w14:textId="77777777" w:rsidR="00DB3EBE" w:rsidRPr="0063636D" w:rsidRDefault="00DB3EBE" w:rsidP="009372B7">
      <w:pPr>
        <w:pStyle w:val="Body"/>
        <w:rPr>
          <w:rFonts w:eastAsia="Times New Roman"/>
          <w:color w:val="auto"/>
          <w:sz w:val="20"/>
          <w:lang w:val="en-GB" w:eastAsia="en-GB"/>
        </w:rPr>
      </w:pPr>
      <w:r w:rsidRPr="0063636D">
        <w:rPr>
          <w:sz w:val="20"/>
          <w:vertAlign w:val="superscript"/>
          <w:lang w:val="en-GB"/>
        </w:rPr>
        <w:footnoteRef/>
      </w:r>
      <w:r>
        <w:rPr>
          <w:sz w:val="20"/>
          <w:lang w:val="en-GB"/>
        </w:rPr>
        <w:t xml:space="preserve"> </w:t>
      </w:r>
      <w:proofErr w:type="spellStart"/>
      <w:r w:rsidRPr="000B4CF2">
        <w:rPr>
          <w:rFonts w:eastAsia="Arial Unicode MS"/>
          <w:smallCaps/>
          <w:sz w:val="16"/>
          <w:szCs w:val="16"/>
        </w:rPr>
        <w:t>K</w:t>
      </w:r>
      <w:r w:rsidRPr="000B4CF2">
        <w:rPr>
          <w:smallCaps/>
          <w:sz w:val="16"/>
          <w:szCs w:val="16"/>
        </w:rPr>
        <w:t>ün</w:t>
      </w:r>
      <w:r w:rsidRPr="000B4CF2">
        <w:rPr>
          <w:rFonts w:eastAsia="Arial Unicode MS"/>
          <w:smallCaps/>
          <w:sz w:val="16"/>
          <w:szCs w:val="16"/>
        </w:rPr>
        <w:t>zler</w:t>
      </w:r>
      <w:proofErr w:type="spellEnd"/>
      <w:r w:rsidRPr="000B4CF2">
        <w:rPr>
          <w:rFonts w:eastAsia="Arial Unicode MS"/>
          <w:smallCaps/>
          <w:sz w:val="16"/>
          <w:szCs w:val="16"/>
        </w:rPr>
        <w:t xml:space="preserve"> Adam</w:t>
      </w:r>
      <w:r>
        <w:rPr>
          <w:rFonts w:eastAsia="Arial Unicode MS"/>
          <w:smallCaps/>
          <w:sz w:val="16"/>
          <w:szCs w:val="16"/>
        </w:rPr>
        <w:t xml:space="preserve">, </w:t>
      </w:r>
      <w:r w:rsidRPr="007277A0">
        <w:rPr>
          <w:i/>
          <w:sz w:val="16"/>
          <w:szCs w:val="16"/>
          <w:lang w:val="en-GB"/>
        </w:rPr>
        <w:t>loc. cit</w:t>
      </w:r>
      <w:r w:rsidRPr="0063636D">
        <w:rPr>
          <w:sz w:val="20"/>
          <w:lang w:val="en-GB"/>
        </w:rPr>
        <w:t>.</w:t>
      </w:r>
    </w:p>
  </w:footnote>
  <w:footnote w:id="45">
    <w:p w14:paraId="7CF2A000" w14:textId="77777777" w:rsidR="00DB3EBE" w:rsidRPr="0063636D" w:rsidRDefault="00DB3EBE" w:rsidP="009372B7">
      <w:pPr>
        <w:pStyle w:val="FootnoteText"/>
        <w:rPr>
          <w:sz w:val="20"/>
          <w:szCs w:val="20"/>
        </w:rPr>
      </w:pPr>
      <w:r w:rsidRPr="0063636D">
        <w:rPr>
          <w:rStyle w:val="FootnoteReference"/>
          <w:sz w:val="20"/>
          <w:szCs w:val="20"/>
        </w:rPr>
        <w:footnoteRef/>
      </w:r>
      <w:r w:rsidRPr="0063636D">
        <w:rPr>
          <w:sz w:val="20"/>
          <w:szCs w:val="20"/>
        </w:rPr>
        <w:t xml:space="preserve"> </w:t>
      </w:r>
      <w:r w:rsidRPr="000B4CF2">
        <w:rPr>
          <w:rFonts w:eastAsia="Arial Unicode MS"/>
          <w:smallCaps/>
          <w:color w:val="000000"/>
          <w:sz w:val="16"/>
          <w:szCs w:val="16"/>
          <w:u w:color="000000"/>
        </w:rPr>
        <w:t>Quint Peter E.</w:t>
      </w:r>
      <w:r w:rsidRPr="000B4CF2">
        <w:rPr>
          <w:rFonts w:eastAsia="Arial Unicode MS"/>
          <w:color w:val="000000"/>
          <w:sz w:val="16"/>
          <w:szCs w:val="16"/>
          <w:u w:color="000000"/>
        </w:rPr>
        <w:t xml:space="preserve">, </w:t>
      </w:r>
      <w:r w:rsidRPr="000B4CF2">
        <w:rPr>
          <w:rFonts w:eastAsia="Arial Unicode MS"/>
          <w:i/>
          <w:color w:val="000000"/>
          <w:sz w:val="16"/>
          <w:szCs w:val="16"/>
          <w:u w:color="000000"/>
        </w:rPr>
        <w:t>loc. cit.</w:t>
      </w:r>
      <w:r w:rsidRPr="000B4CF2">
        <w:rPr>
          <w:rFonts w:eastAsia="Arial Unicode MS"/>
          <w:color w:val="000000"/>
          <w:sz w:val="16"/>
          <w:szCs w:val="16"/>
          <w:u w:color="000000"/>
        </w:rPr>
        <w:t>, ‘Judging the Past’</w:t>
      </w:r>
      <w:r w:rsidRPr="0063636D">
        <w:rPr>
          <w:sz w:val="20"/>
          <w:szCs w:val="20"/>
        </w:rPr>
        <w:t>.</w:t>
      </w:r>
    </w:p>
  </w:footnote>
  <w:footnote w:id="46">
    <w:p w14:paraId="02F11C4F" w14:textId="7FDBB50B" w:rsidR="00DB3EBE" w:rsidRPr="0000403A" w:rsidRDefault="00DB3EBE" w:rsidP="009372B7">
      <w:pPr>
        <w:pStyle w:val="Body"/>
        <w:rPr>
          <w:rFonts w:eastAsia="Times New Roman"/>
          <w:color w:val="auto"/>
          <w:sz w:val="16"/>
          <w:szCs w:val="16"/>
          <w:lang w:val="en-GB" w:eastAsia="en-GB"/>
        </w:rPr>
      </w:pPr>
      <w:r w:rsidRPr="0063636D">
        <w:rPr>
          <w:sz w:val="20"/>
          <w:vertAlign w:val="superscript"/>
          <w:lang w:val="en-GB"/>
        </w:rPr>
        <w:footnoteRef/>
      </w:r>
      <w:r w:rsidRPr="0063636D">
        <w:rPr>
          <w:sz w:val="20"/>
          <w:lang w:val="en-GB"/>
        </w:rPr>
        <w:t xml:space="preserve"> </w:t>
      </w:r>
      <w:r w:rsidRPr="000B4CF2">
        <w:rPr>
          <w:rFonts w:eastAsia="Arial Unicode MS"/>
          <w:smallCaps/>
          <w:sz w:val="16"/>
          <w:szCs w:val="16"/>
        </w:rPr>
        <w:t>Quint Peter E.</w:t>
      </w:r>
      <w:r w:rsidRPr="000B4CF2">
        <w:rPr>
          <w:rFonts w:eastAsia="Arial Unicode MS"/>
          <w:sz w:val="16"/>
          <w:szCs w:val="16"/>
        </w:rPr>
        <w:t xml:space="preserve">, </w:t>
      </w:r>
      <w:r w:rsidRPr="000B4CF2">
        <w:rPr>
          <w:rFonts w:eastAsia="Arial Unicode MS"/>
          <w:i/>
          <w:sz w:val="16"/>
          <w:szCs w:val="16"/>
        </w:rPr>
        <w:t>loc. cit.</w:t>
      </w:r>
      <w:r w:rsidRPr="000B4CF2">
        <w:rPr>
          <w:rFonts w:eastAsia="Arial Unicode MS"/>
          <w:sz w:val="16"/>
          <w:szCs w:val="16"/>
        </w:rPr>
        <w:t>, ‘Judging the Past’</w:t>
      </w:r>
      <w:r>
        <w:rPr>
          <w:rFonts w:eastAsia="Arial Unicode MS"/>
          <w:sz w:val="16"/>
          <w:szCs w:val="16"/>
        </w:rPr>
        <w:t xml:space="preserve"> and </w:t>
      </w:r>
      <w:r>
        <w:rPr>
          <w:rFonts w:eastAsia="Arial Unicode MS"/>
          <w:smallCaps/>
          <w:sz w:val="16"/>
          <w:szCs w:val="16"/>
        </w:rPr>
        <w:t xml:space="preserve">Paulson Stanley L., </w:t>
      </w:r>
      <w:r w:rsidRPr="007277A0">
        <w:rPr>
          <w:sz w:val="16"/>
          <w:szCs w:val="16"/>
          <w:lang w:val="en-GB"/>
        </w:rPr>
        <w:t xml:space="preserve">‘Lon L. Fuller, Gustav </w:t>
      </w:r>
      <w:proofErr w:type="spellStart"/>
      <w:r w:rsidRPr="007277A0">
        <w:rPr>
          <w:sz w:val="16"/>
          <w:szCs w:val="16"/>
          <w:lang w:val="en-GB"/>
        </w:rPr>
        <w:t>Radbruch</w:t>
      </w:r>
      <w:proofErr w:type="spellEnd"/>
      <w:r w:rsidRPr="007277A0">
        <w:rPr>
          <w:sz w:val="16"/>
          <w:szCs w:val="16"/>
          <w:lang w:val="en-GB"/>
        </w:rPr>
        <w:t xml:space="preserve"> and the “Positivist Theses”, </w:t>
      </w:r>
      <w:r w:rsidRPr="007277A0">
        <w:rPr>
          <w:i/>
          <w:sz w:val="16"/>
          <w:szCs w:val="16"/>
          <w:lang w:val="en-GB"/>
        </w:rPr>
        <w:t>Law and Philosophy</w:t>
      </w:r>
      <w:r w:rsidR="008A2E6C">
        <w:rPr>
          <w:sz w:val="16"/>
          <w:szCs w:val="16"/>
          <w:lang w:val="en-GB"/>
        </w:rPr>
        <w:t>, vol. 13/</w:t>
      </w:r>
      <w:r>
        <w:rPr>
          <w:sz w:val="16"/>
          <w:szCs w:val="16"/>
          <w:lang w:val="en-GB"/>
        </w:rPr>
        <w:t>1994, pp. 313-359</w:t>
      </w:r>
      <w:r w:rsidRPr="0063636D">
        <w:rPr>
          <w:sz w:val="20"/>
          <w:lang w:val="en-GB"/>
        </w:rPr>
        <w:t>.</w:t>
      </w:r>
    </w:p>
  </w:footnote>
  <w:footnote w:id="47">
    <w:p w14:paraId="76D7C35C" w14:textId="77777777" w:rsidR="00DB3EBE" w:rsidRPr="0000403A" w:rsidRDefault="00DB3EBE" w:rsidP="0000403A">
      <w:pPr>
        <w:pStyle w:val="FootnoteText"/>
        <w:jc w:val="both"/>
        <w:rPr>
          <w:sz w:val="16"/>
          <w:szCs w:val="16"/>
        </w:rPr>
      </w:pPr>
      <w:r w:rsidRPr="0000403A">
        <w:rPr>
          <w:sz w:val="16"/>
          <w:szCs w:val="16"/>
          <w:vertAlign w:val="superscript"/>
        </w:rPr>
        <w:footnoteRef/>
      </w:r>
      <w:r>
        <w:rPr>
          <w:sz w:val="16"/>
          <w:szCs w:val="16"/>
        </w:rPr>
        <w:t xml:space="preserve"> See </w:t>
      </w:r>
      <w:r>
        <w:rPr>
          <w:smallCaps/>
          <w:sz w:val="16"/>
          <w:szCs w:val="16"/>
        </w:rPr>
        <w:t>Sadurski</w:t>
      </w:r>
      <w:r w:rsidRPr="00A90B0A">
        <w:rPr>
          <w:smallCaps/>
          <w:sz w:val="16"/>
          <w:szCs w:val="16"/>
        </w:rPr>
        <w:t xml:space="preserve"> </w:t>
      </w:r>
      <w:r w:rsidRPr="00A90B0A">
        <w:rPr>
          <w:rStyle w:val="addmd"/>
          <w:smallCaps/>
          <w:sz w:val="16"/>
          <w:szCs w:val="16"/>
        </w:rPr>
        <w:t>Wojciech</w:t>
      </w:r>
      <w:r w:rsidRPr="00A90B0A">
        <w:rPr>
          <w:rStyle w:val="addmd"/>
          <w:sz w:val="16"/>
          <w:szCs w:val="16"/>
        </w:rPr>
        <w:t xml:space="preserve">, </w:t>
      </w:r>
      <w:r w:rsidRPr="00A90B0A">
        <w:rPr>
          <w:rStyle w:val="addmd"/>
          <w:i/>
          <w:sz w:val="16"/>
          <w:szCs w:val="16"/>
        </w:rPr>
        <w:t xml:space="preserve">Rights Before Courts: </w:t>
      </w:r>
      <w:r w:rsidRPr="00A90B0A">
        <w:rPr>
          <w:i/>
          <w:sz w:val="16"/>
          <w:szCs w:val="16"/>
        </w:rPr>
        <w:t xml:space="preserve">A Study of Constitutional Courts in </w:t>
      </w:r>
      <w:proofErr w:type="spellStart"/>
      <w:r w:rsidRPr="00A90B0A">
        <w:rPr>
          <w:i/>
          <w:sz w:val="16"/>
          <w:szCs w:val="16"/>
        </w:rPr>
        <w:t>Postcommunist</w:t>
      </w:r>
      <w:proofErr w:type="spellEnd"/>
      <w:r w:rsidRPr="00A90B0A">
        <w:rPr>
          <w:i/>
          <w:sz w:val="16"/>
          <w:szCs w:val="16"/>
        </w:rPr>
        <w:t xml:space="preserve"> States of Central and Eastern Europe</w:t>
      </w:r>
      <w:r>
        <w:rPr>
          <w:sz w:val="16"/>
          <w:szCs w:val="16"/>
        </w:rPr>
        <w:t>, Dordrecht, Springer, 2005</w:t>
      </w:r>
      <w:r w:rsidRPr="0063636D">
        <w:rPr>
          <w:sz w:val="20"/>
        </w:rPr>
        <w:t>.</w:t>
      </w:r>
    </w:p>
  </w:footnote>
  <w:footnote w:id="48">
    <w:p w14:paraId="4E6E9743" w14:textId="667C09DE" w:rsidR="00DB3EBE" w:rsidRPr="0000403A" w:rsidRDefault="00DB3EBE" w:rsidP="009372B7">
      <w:pPr>
        <w:pStyle w:val="Body"/>
        <w:rPr>
          <w:rFonts w:eastAsia="Arial Unicode MS"/>
          <w:smallCaps/>
          <w:sz w:val="16"/>
          <w:szCs w:val="16"/>
        </w:rPr>
      </w:pPr>
      <w:r w:rsidRPr="0063636D">
        <w:rPr>
          <w:sz w:val="20"/>
          <w:vertAlign w:val="superscript"/>
          <w:lang w:val="en-GB"/>
        </w:rPr>
        <w:footnoteRef/>
      </w:r>
      <w:r w:rsidRPr="0063636D">
        <w:rPr>
          <w:sz w:val="20"/>
          <w:lang w:val="en-GB"/>
        </w:rPr>
        <w:t xml:space="preserve"> </w:t>
      </w:r>
      <w:r w:rsidRPr="000B4CF2">
        <w:rPr>
          <w:rFonts w:eastAsia="Arial Unicode MS"/>
          <w:smallCaps/>
          <w:sz w:val="16"/>
          <w:szCs w:val="16"/>
        </w:rPr>
        <w:t>Quint Peter E.</w:t>
      </w:r>
      <w:r w:rsidRPr="000B4CF2">
        <w:rPr>
          <w:rFonts w:eastAsia="Arial Unicode MS"/>
          <w:sz w:val="16"/>
          <w:szCs w:val="16"/>
        </w:rPr>
        <w:t xml:space="preserve">, </w:t>
      </w:r>
      <w:r w:rsidRPr="000B4CF2">
        <w:rPr>
          <w:rFonts w:eastAsia="Arial Unicode MS"/>
          <w:i/>
          <w:sz w:val="16"/>
          <w:szCs w:val="16"/>
        </w:rPr>
        <w:t>loc. cit.</w:t>
      </w:r>
      <w:r w:rsidRPr="000B4CF2">
        <w:rPr>
          <w:rFonts w:eastAsia="Arial Unicode MS"/>
          <w:sz w:val="16"/>
          <w:szCs w:val="16"/>
        </w:rPr>
        <w:t xml:space="preserve">, ‘Judging the </w:t>
      </w:r>
      <w:proofErr w:type="spellStart"/>
      <w:r w:rsidRPr="000B4CF2">
        <w:rPr>
          <w:rFonts w:eastAsia="Arial Unicode MS"/>
          <w:sz w:val="16"/>
          <w:szCs w:val="16"/>
        </w:rPr>
        <w:t>Past’</w:t>
      </w:r>
      <w:r>
        <w:rPr>
          <w:rFonts w:eastAsia="Arial Unicode MS"/>
          <w:sz w:val="16"/>
          <w:szCs w:val="16"/>
        </w:rPr>
        <w:t>and</w:t>
      </w:r>
      <w:proofErr w:type="spellEnd"/>
      <w:r>
        <w:rPr>
          <w:rFonts w:eastAsia="Arial Unicode MS"/>
          <w:sz w:val="16"/>
          <w:szCs w:val="16"/>
        </w:rPr>
        <w:t xml:space="preserve"> </w:t>
      </w:r>
      <w:r w:rsidR="008A2E6C" w:rsidRPr="008A2E6C">
        <w:rPr>
          <w:rFonts w:eastAsia="Arial Unicode MS"/>
          <w:sz w:val="16"/>
          <w:szCs w:val="16"/>
        </w:rPr>
        <w:t>by the same author</w:t>
      </w:r>
      <w:r>
        <w:rPr>
          <w:rFonts w:eastAsia="Arial Unicode MS"/>
          <w:sz w:val="16"/>
          <w:szCs w:val="16"/>
        </w:rPr>
        <w:t xml:space="preserve">, </w:t>
      </w:r>
      <w:r>
        <w:rPr>
          <w:sz w:val="16"/>
          <w:szCs w:val="16"/>
          <w:lang w:val="en-GB"/>
        </w:rPr>
        <w:t>‘</w:t>
      </w:r>
      <w:r w:rsidRPr="007277A0">
        <w:rPr>
          <w:sz w:val="16"/>
          <w:szCs w:val="16"/>
          <w:lang w:val="en-GB"/>
        </w:rPr>
        <w:t>The Border Guards Trials and the Eas</w:t>
      </w:r>
      <w:r>
        <w:rPr>
          <w:sz w:val="16"/>
          <w:szCs w:val="16"/>
          <w:lang w:val="en-GB"/>
        </w:rPr>
        <w:t>t German Past - Seven Arguments’</w:t>
      </w:r>
      <w:r w:rsidRPr="007277A0">
        <w:rPr>
          <w:sz w:val="16"/>
          <w:szCs w:val="16"/>
          <w:lang w:val="en-GB"/>
        </w:rPr>
        <w:t xml:space="preserve">, </w:t>
      </w:r>
      <w:r w:rsidRPr="007277A0">
        <w:rPr>
          <w:i/>
          <w:sz w:val="16"/>
          <w:szCs w:val="16"/>
          <w:lang w:val="en-GB"/>
        </w:rPr>
        <w:t>American Journal of Comparative Law</w:t>
      </w:r>
      <w:r w:rsidR="008A2E6C">
        <w:rPr>
          <w:sz w:val="16"/>
          <w:szCs w:val="16"/>
          <w:lang w:val="en-GB"/>
        </w:rPr>
        <w:t>, vol. 48/</w:t>
      </w:r>
      <w:r>
        <w:rPr>
          <w:sz w:val="16"/>
          <w:szCs w:val="16"/>
          <w:lang w:val="en-GB"/>
        </w:rPr>
        <w:t>2000</w:t>
      </w:r>
      <w:r w:rsidRPr="007277A0">
        <w:rPr>
          <w:sz w:val="16"/>
          <w:szCs w:val="16"/>
          <w:lang w:val="en-GB"/>
        </w:rPr>
        <w:t>,</w:t>
      </w:r>
      <w:r>
        <w:rPr>
          <w:sz w:val="16"/>
          <w:szCs w:val="16"/>
          <w:lang w:val="en-GB"/>
        </w:rPr>
        <w:t xml:space="preserve"> </w:t>
      </w:r>
      <w:r w:rsidRPr="007277A0">
        <w:rPr>
          <w:sz w:val="16"/>
          <w:szCs w:val="16"/>
          <w:lang w:val="en-GB"/>
        </w:rPr>
        <w:t xml:space="preserve">pp. 541-572. See also </w:t>
      </w:r>
      <w:r>
        <w:rPr>
          <w:rFonts w:eastAsia="Arial Unicode MS"/>
          <w:smallCaps/>
          <w:sz w:val="16"/>
          <w:szCs w:val="16"/>
        </w:rPr>
        <w:t>Paulson Stanley L.,</w:t>
      </w:r>
      <w:r w:rsidRPr="0000403A">
        <w:rPr>
          <w:i/>
          <w:sz w:val="16"/>
          <w:szCs w:val="16"/>
          <w:lang w:val="en-GB"/>
        </w:rPr>
        <w:t xml:space="preserve"> </w:t>
      </w:r>
      <w:r w:rsidRPr="007277A0">
        <w:rPr>
          <w:i/>
          <w:sz w:val="16"/>
          <w:szCs w:val="16"/>
          <w:lang w:val="en-GB"/>
        </w:rPr>
        <w:t>loc. cit</w:t>
      </w:r>
      <w:r w:rsidRPr="0063636D">
        <w:rPr>
          <w:sz w:val="20"/>
          <w:lang w:val="en-GB"/>
        </w:rPr>
        <w:t>.</w:t>
      </w:r>
    </w:p>
  </w:footnote>
  <w:footnote w:id="49">
    <w:p w14:paraId="03ADB30B" w14:textId="4186BF31" w:rsidR="00DB3EBE" w:rsidRPr="007277A0" w:rsidRDefault="00DB3EBE" w:rsidP="009372B7">
      <w:pPr>
        <w:pStyle w:val="FootnoteText"/>
        <w:rPr>
          <w:sz w:val="16"/>
          <w:szCs w:val="16"/>
        </w:rPr>
      </w:pPr>
      <w:r w:rsidRPr="007277A0">
        <w:rPr>
          <w:rStyle w:val="FootnoteReference"/>
          <w:sz w:val="16"/>
          <w:szCs w:val="16"/>
        </w:rPr>
        <w:footnoteRef/>
      </w:r>
      <w:r w:rsidRPr="007277A0">
        <w:rPr>
          <w:sz w:val="16"/>
          <w:szCs w:val="16"/>
        </w:rPr>
        <w:t xml:space="preserve"> </w:t>
      </w:r>
      <w:r>
        <w:rPr>
          <w:sz w:val="16"/>
          <w:szCs w:val="16"/>
        </w:rPr>
        <w:t xml:space="preserve">See, for example, </w:t>
      </w:r>
      <w:r>
        <w:rPr>
          <w:rFonts w:eastAsia="Arial Unicode MS"/>
          <w:smallCaps/>
          <w:color w:val="000000"/>
          <w:sz w:val="16"/>
          <w:szCs w:val="16"/>
          <w:u w:color="000000"/>
        </w:rPr>
        <w:t>Caldwell P.C.</w:t>
      </w:r>
      <w:proofErr w:type="gramStart"/>
      <w:r>
        <w:rPr>
          <w:rFonts w:eastAsia="Arial Unicode MS"/>
          <w:smallCaps/>
          <w:color w:val="000000"/>
          <w:sz w:val="16"/>
          <w:szCs w:val="16"/>
          <w:u w:color="000000"/>
        </w:rPr>
        <w:t xml:space="preserve">, </w:t>
      </w:r>
      <w:r w:rsidRPr="007277A0">
        <w:rPr>
          <w:sz w:val="16"/>
          <w:szCs w:val="16"/>
        </w:rPr>
        <w:t xml:space="preserve"> </w:t>
      </w:r>
      <w:r w:rsidRPr="007277A0">
        <w:rPr>
          <w:i/>
          <w:sz w:val="16"/>
          <w:szCs w:val="16"/>
        </w:rPr>
        <w:t>Popular</w:t>
      </w:r>
      <w:proofErr w:type="gramEnd"/>
      <w:r w:rsidRPr="007277A0">
        <w:rPr>
          <w:i/>
          <w:sz w:val="16"/>
          <w:szCs w:val="16"/>
        </w:rPr>
        <w:t xml:space="preserve"> Sovereignty and the Crisis of German Constitutional Law: The Theory and Practice of Weimar Constitutionalism</w:t>
      </w:r>
      <w:r>
        <w:rPr>
          <w:sz w:val="16"/>
          <w:szCs w:val="16"/>
        </w:rPr>
        <w:t xml:space="preserve">, </w:t>
      </w:r>
      <w:r w:rsidRPr="007277A0">
        <w:rPr>
          <w:sz w:val="16"/>
          <w:szCs w:val="16"/>
        </w:rPr>
        <w:t>Durham, NC</w:t>
      </w:r>
      <w:r>
        <w:rPr>
          <w:sz w:val="16"/>
          <w:szCs w:val="16"/>
        </w:rPr>
        <w:t>, Duke University Press, 1997</w:t>
      </w:r>
      <w:r w:rsidRPr="007277A0">
        <w:rPr>
          <w:sz w:val="16"/>
          <w:szCs w:val="16"/>
        </w:rPr>
        <w:t xml:space="preserve">; </w:t>
      </w:r>
      <w:r>
        <w:rPr>
          <w:rFonts w:eastAsia="Arial Unicode MS"/>
          <w:smallCaps/>
          <w:color w:val="000000"/>
          <w:sz w:val="16"/>
          <w:szCs w:val="16"/>
          <w:u w:color="000000"/>
        </w:rPr>
        <w:t xml:space="preserve">Jacobsen A. </w:t>
      </w:r>
      <w:r w:rsidRPr="007277A0">
        <w:rPr>
          <w:sz w:val="16"/>
          <w:szCs w:val="16"/>
        </w:rPr>
        <w:t xml:space="preserve"> and </w:t>
      </w:r>
      <w:proofErr w:type="spellStart"/>
      <w:r>
        <w:rPr>
          <w:rFonts w:eastAsia="Arial Unicode MS"/>
          <w:smallCaps/>
          <w:color w:val="000000"/>
          <w:sz w:val="16"/>
          <w:szCs w:val="16"/>
          <w:u w:color="000000"/>
        </w:rPr>
        <w:t>Schlinck</w:t>
      </w:r>
      <w:proofErr w:type="spellEnd"/>
      <w:r>
        <w:rPr>
          <w:rFonts w:eastAsia="Arial Unicode MS"/>
          <w:smallCaps/>
          <w:color w:val="000000"/>
          <w:sz w:val="16"/>
          <w:szCs w:val="16"/>
          <w:u w:color="000000"/>
        </w:rPr>
        <w:t xml:space="preserve"> B. (</w:t>
      </w:r>
      <w:r w:rsidRPr="007277A0">
        <w:rPr>
          <w:sz w:val="16"/>
          <w:szCs w:val="16"/>
        </w:rPr>
        <w:t xml:space="preserve"> eds.</w:t>
      </w:r>
      <w:r>
        <w:rPr>
          <w:sz w:val="16"/>
          <w:szCs w:val="16"/>
        </w:rPr>
        <w:t>)</w:t>
      </w:r>
      <w:r w:rsidRPr="007277A0">
        <w:rPr>
          <w:sz w:val="16"/>
          <w:szCs w:val="16"/>
        </w:rPr>
        <w:t xml:space="preserve">, </w:t>
      </w:r>
      <w:r w:rsidRPr="007277A0">
        <w:rPr>
          <w:i/>
          <w:sz w:val="16"/>
          <w:szCs w:val="16"/>
        </w:rPr>
        <w:t>Weimar: A Jurisprudence of Crisis</w:t>
      </w:r>
      <w:r>
        <w:rPr>
          <w:sz w:val="16"/>
          <w:szCs w:val="16"/>
        </w:rPr>
        <w:t xml:space="preserve">, trans. B Cooper., Berkeley, CA, </w:t>
      </w:r>
      <w:r w:rsidRPr="007277A0">
        <w:rPr>
          <w:sz w:val="16"/>
          <w:szCs w:val="16"/>
        </w:rPr>
        <w:t>Univer</w:t>
      </w:r>
      <w:r>
        <w:rPr>
          <w:sz w:val="16"/>
          <w:szCs w:val="16"/>
        </w:rPr>
        <w:t>sity of California Press, 2000</w:t>
      </w:r>
      <w:r w:rsidRPr="007277A0">
        <w:rPr>
          <w:sz w:val="16"/>
          <w:szCs w:val="16"/>
        </w:rPr>
        <w:t xml:space="preserve">, in particular pp. 1-39, 41-65; and </w:t>
      </w:r>
      <w:r>
        <w:rPr>
          <w:rFonts w:eastAsia="Arial Unicode MS"/>
          <w:smallCaps/>
          <w:color w:val="000000"/>
          <w:sz w:val="16"/>
          <w:szCs w:val="16"/>
          <w:u w:color="000000"/>
        </w:rPr>
        <w:t xml:space="preserve">Nicholls, </w:t>
      </w:r>
      <w:r>
        <w:rPr>
          <w:sz w:val="16"/>
          <w:szCs w:val="16"/>
        </w:rPr>
        <w:t>.J.</w:t>
      </w:r>
      <w:r w:rsidRPr="007277A0">
        <w:rPr>
          <w:sz w:val="16"/>
          <w:szCs w:val="16"/>
        </w:rPr>
        <w:t xml:space="preserve">, </w:t>
      </w:r>
      <w:r w:rsidRPr="007277A0">
        <w:rPr>
          <w:i/>
          <w:sz w:val="16"/>
          <w:szCs w:val="16"/>
        </w:rPr>
        <w:t>Weimar and the Rise of Hitler</w:t>
      </w:r>
      <w:r w:rsidRPr="007277A0">
        <w:rPr>
          <w:sz w:val="16"/>
          <w:szCs w:val="16"/>
        </w:rPr>
        <w:t>, 3</w:t>
      </w:r>
      <w:r w:rsidRPr="007277A0">
        <w:rPr>
          <w:sz w:val="16"/>
          <w:szCs w:val="16"/>
          <w:vertAlign w:val="superscript"/>
        </w:rPr>
        <w:t>rd</w:t>
      </w:r>
      <w:r>
        <w:rPr>
          <w:sz w:val="16"/>
          <w:szCs w:val="16"/>
        </w:rPr>
        <w:t xml:space="preserve"> </w:t>
      </w:r>
      <w:proofErr w:type="spellStart"/>
      <w:r>
        <w:rPr>
          <w:sz w:val="16"/>
          <w:szCs w:val="16"/>
        </w:rPr>
        <w:t>edn</w:t>
      </w:r>
      <w:proofErr w:type="spellEnd"/>
      <w:r>
        <w:rPr>
          <w:sz w:val="16"/>
          <w:szCs w:val="16"/>
        </w:rPr>
        <w:t xml:space="preserve">., </w:t>
      </w:r>
      <w:proofErr w:type="spellStart"/>
      <w:r>
        <w:rPr>
          <w:sz w:val="16"/>
          <w:szCs w:val="16"/>
        </w:rPr>
        <w:t>Houndmills</w:t>
      </w:r>
      <w:proofErr w:type="spellEnd"/>
      <w:r w:rsidR="00484F5A">
        <w:rPr>
          <w:sz w:val="16"/>
          <w:szCs w:val="16"/>
        </w:rPr>
        <w:t>,</w:t>
      </w:r>
      <w:r>
        <w:rPr>
          <w:sz w:val="16"/>
          <w:szCs w:val="16"/>
        </w:rPr>
        <w:t xml:space="preserve"> Macmillan, 1991</w:t>
      </w:r>
      <w:r w:rsidRPr="007277A0">
        <w:rPr>
          <w:sz w:val="16"/>
          <w:szCs w:val="16"/>
        </w:rPr>
        <w:t>.</w:t>
      </w:r>
    </w:p>
  </w:footnote>
  <w:footnote w:id="50">
    <w:p w14:paraId="39BA6E56" w14:textId="51F04254" w:rsidR="00DB3EBE" w:rsidRPr="0063636D" w:rsidRDefault="00DB3EBE" w:rsidP="009372B7">
      <w:pPr>
        <w:pStyle w:val="Body"/>
        <w:rPr>
          <w:rFonts w:eastAsia="Times New Roman"/>
          <w:color w:val="auto"/>
          <w:sz w:val="20"/>
          <w:lang w:val="en-GB" w:eastAsia="en-GB"/>
        </w:rPr>
      </w:pPr>
      <w:r w:rsidRPr="0063636D">
        <w:rPr>
          <w:sz w:val="20"/>
          <w:vertAlign w:val="superscript"/>
          <w:lang w:val="en-GB"/>
        </w:rPr>
        <w:footnoteRef/>
      </w:r>
      <w:r w:rsidRPr="0063636D">
        <w:rPr>
          <w:sz w:val="20"/>
          <w:lang w:val="en-GB"/>
        </w:rPr>
        <w:t xml:space="preserve"> </w:t>
      </w:r>
      <w:r w:rsidRPr="000B4CF2">
        <w:rPr>
          <w:rFonts w:eastAsia="Arial Unicode MS"/>
          <w:smallCaps/>
          <w:sz w:val="16"/>
          <w:szCs w:val="16"/>
        </w:rPr>
        <w:t>Quint Peter E.</w:t>
      </w:r>
      <w:r w:rsidRPr="000B4CF2">
        <w:rPr>
          <w:rFonts w:eastAsia="Arial Unicode MS"/>
          <w:sz w:val="16"/>
          <w:szCs w:val="16"/>
        </w:rPr>
        <w:t xml:space="preserve">, </w:t>
      </w:r>
      <w:r w:rsidRPr="000B4CF2">
        <w:rPr>
          <w:rFonts w:eastAsia="Arial Unicode MS"/>
          <w:i/>
          <w:sz w:val="16"/>
          <w:szCs w:val="16"/>
        </w:rPr>
        <w:t>loc. cit.</w:t>
      </w:r>
      <w:r w:rsidRPr="000B4CF2">
        <w:rPr>
          <w:rFonts w:eastAsia="Arial Unicode MS"/>
          <w:sz w:val="16"/>
          <w:szCs w:val="16"/>
        </w:rPr>
        <w:t>, ‘Judging the Past’</w:t>
      </w:r>
      <w:r w:rsidR="008A2E6C">
        <w:rPr>
          <w:rFonts w:eastAsia="Arial Unicode MS"/>
          <w:sz w:val="16"/>
          <w:szCs w:val="16"/>
        </w:rPr>
        <w:t xml:space="preserve"> </w:t>
      </w:r>
      <w:r>
        <w:rPr>
          <w:rFonts w:eastAsia="Arial Unicode MS"/>
          <w:sz w:val="16"/>
          <w:szCs w:val="16"/>
        </w:rPr>
        <w:t xml:space="preserve">and </w:t>
      </w:r>
      <w:r>
        <w:rPr>
          <w:sz w:val="16"/>
          <w:szCs w:val="16"/>
          <w:lang w:val="en-GB"/>
        </w:rPr>
        <w:t>‘</w:t>
      </w:r>
      <w:r w:rsidRPr="007277A0">
        <w:rPr>
          <w:sz w:val="16"/>
          <w:szCs w:val="16"/>
          <w:lang w:val="en-GB"/>
        </w:rPr>
        <w:t>The Border Guards Trials</w:t>
      </w:r>
      <w:r>
        <w:rPr>
          <w:sz w:val="16"/>
          <w:szCs w:val="16"/>
          <w:lang w:val="en-GB"/>
        </w:rPr>
        <w:t>’</w:t>
      </w:r>
      <w:r w:rsidRPr="0063636D">
        <w:rPr>
          <w:sz w:val="20"/>
          <w:lang w:val="en-GB"/>
        </w:rPr>
        <w:t>.</w:t>
      </w:r>
    </w:p>
  </w:footnote>
  <w:footnote w:id="51">
    <w:p w14:paraId="40279BB4" w14:textId="77777777" w:rsidR="00DB3EBE" w:rsidRPr="0000403A" w:rsidRDefault="00DB3EBE" w:rsidP="009372B7">
      <w:pPr>
        <w:pStyle w:val="FootnoteText"/>
        <w:rPr>
          <w:sz w:val="16"/>
          <w:szCs w:val="16"/>
        </w:rPr>
      </w:pPr>
      <w:r w:rsidRPr="0000403A">
        <w:rPr>
          <w:rStyle w:val="FootnoteReference"/>
          <w:sz w:val="16"/>
          <w:szCs w:val="16"/>
        </w:rPr>
        <w:footnoteRef/>
      </w:r>
      <w:r w:rsidRPr="0000403A">
        <w:rPr>
          <w:sz w:val="16"/>
          <w:szCs w:val="16"/>
        </w:rPr>
        <w:t xml:space="preserve"> See </w:t>
      </w:r>
      <w:proofErr w:type="spellStart"/>
      <w:r>
        <w:rPr>
          <w:rFonts w:eastAsia="Arial Unicode MS"/>
          <w:smallCaps/>
          <w:sz w:val="16"/>
          <w:szCs w:val="16"/>
        </w:rPr>
        <w:t>Alexy</w:t>
      </w:r>
      <w:proofErr w:type="spellEnd"/>
      <w:r>
        <w:rPr>
          <w:rFonts w:eastAsia="Arial Unicode MS"/>
          <w:smallCaps/>
          <w:sz w:val="16"/>
          <w:szCs w:val="16"/>
        </w:rPr>
        <w:t xml:space="preserve"> Robert, </w:t>
      </w:r>
      <w:r w:rsidRPr="0000403A">
        <w:rPr>
          <w:sz w:val="16"/>
          <w:szCs w:val="16"/>
        </w:rPr>
        <w:t>‘In Defe</w:t>
      </w:r>
      <w:r>
        <w:rPr>
          <w:sz w:val="16"/>
          <w:szCs w:val="16"/>
        </w:rPr>
        <w:t xml:space="preserve">nce of </w:t>
      </w:r>
      <w:proofErr w:type="spellStart"/>
      <w:r>
        <w:rPr>
          <w:sz w:val="16"/>
          <w:szCs w:val="16"/>
        </w:rPr>
        <w:t>Radbruch’s</w:t>
      </w:r>
      <w:proofErr w:type="spellEnd"/>
      <w:r>
        <w:rPr>
          <w:sz w:val="16"/>
          <w:szCs w:val="16"/>
        </w:rPr>
        <w:t xml:space="preserve"> Formula’, in </w:t>
      </w:r>
      <w:proofErr w:type="spellStart"/>
      <w:r>
        <w:rPr>
          <w:rFonts w:eastAsia="Arial Unicode MS"/>
          <w:smallCaps/>
          <w:sz w:val="16"/>
          <w:szCs w:val="16"/>
        </w:rPr>
        <w:t>Dyzenhaus</w:t>
      </w:r>
      <w:proofErr w:type="spellEnd"/>
      <w:r>
        <w:rPr>
          <w:rFonts w:eastAsia="Arial Unicode MS"/>
          <w:smallCaps/>
          <w:sz w:val="16"/>
          <w:szCs w:val="16"/>
        </w:rPr>
        <w:t xml:space="preserve"> </w:t>
      </w:r>
      <w:proofErr w:type="spellStart"/>
      <w:r>
        <w:rPr>
          <w:rFonts w:eastAsia="Arial Unicode MS"/>
          <w:smallCaps/>
          <w:sz w:val="16"/>
          <w:szCs w:val="16"/>
        </w:rPr>
        <w:t>david</w:t>
      </w:r>
      <w:proofErr w:type="spellEnd"/>
      <w:r>
        <w:rPr>
          <w:rFonts w:eastAsia="Arial Unicode MS"/>
          <w:smallCaps/>
          <w:sz w:val="16"/>
          <w:szCs w:val="16"/>
        </w:rPr>
        <w:t xml:space="preserve"> (</w:t>
      </w:r>
      <w:r w:rsidRPr="0000403A">
        <w:rPr>
          <w:sz w:val="16"/>
          <w:szCs w:val="16"/>
        </w:rPr>
        <w:t>ed.</w:t>
      </w:r>
      <w:r>
        <w:rPr>
          <w:sz w:val="16"/>
          <w:szCs w:val="16"/>
        </w:rPr>
        <w:t>)</w:t>
      </w:r>
      <w:r w:rsidRPr="0000403A">
        <w:rPr>
          <w:sz w:val="16"/>
          <w:szCs w:val="16"/>
        </w:rPr>
        <w:t xml:space="preserve">, </w:t>
      </w:r>
      <w:proofErr w:type="spellStart"/>
      <w:proofErr w:type="gramStart"/>
      <w:r w:rsidRPr="0000403A">
        <w:rPr>
          <w:i/>
          <w:sz w:val="16"/>
          <w:szCs w:val="16"/>
        </w:rPr>
        <w:t>Recrafting</w:t>
      </w:r>
      <w:proofErr w:type="spellEnd"/>
      <w:proofErr w:type="gramEnd"/>
      <w:r w:rsidRPr="0000403A">
        <w:rPr>
          <w:i/>
          <w:sz w:val="16"/>
          <w:szCs w:val="16"/>
        </w:rPr>
        <w:t xml:space="preserve"> the Rule of Law: The Limits of Lega</w:t>
      </w:r>
      <w:r>
        <w:rPr>
          <w:i/>
          <w:sz w:val="16"/>
          <w:szCs w:val="16"/>
        </w:rPr>
        <w:t xml:space="preserve">l </w:t>
      </w:r>
      <w:r w:rsidRPr="0000403A">
        <w:rPr>
          <w:sz w:val="16"/>
          <w:szCs w:val="16"/>
        </w:rPr>
        <w:t>Order</w:t>
      </w:r>
      <w:r>
        <w:rPr>
          <w:sz w:val="16"/>
          <w:szCs w:val="16"/>
        </w:rPr>
        <w:t xml:space="preserve">, </w:t>
      </w:r>
      <w:r w:rsidRPr="0000403A">
        <w:rPr>
          <w:sz w:val="16"/>
          <w:szCs w:val="16"/>
        </w:rPr>
        <w:t>Oxford</w:t>
      </w:r>
      <w:r>
        <w:rPr>
          <w:sz w:val="16"/>
          <w:szCs w:val="16"/>
        </w:rPr>
        <w:t>, Hart, 1999</w:t>
      </w:r>
      <w:r w:rsidRPr="0000403A">
        <w:rPr>
          <w:sz w:val="16"/>
          <w:szCs w:val="16"/>
        </w:rPr>
        <w:t>, p. 16.</w:t>
      </w:r>
    </w:p>
  </w:footnote>
  <w:footnote w:id="52">
    <w:p w14:paraId="4A8D26A6" w14:textId="508A1680" w:rsidR="00DB3EBE" w:rsidRPr="0000403A" w:rsidRDefault="00DB3EBE" w:rsidP="009372B7">
      <w:pPr>
        <w:pStyle w:val="FootnoteText"/>
        <w:rPr>
          <w:sz w:val="16"/>
          <w:szCs w:val="16"/>
        </w:rPr>
      </w:pPr>
      <w:r w:rsidRPr="0000403A">
        <w:rPr>
          <w:rStyle w:val="FootnoteReference"/>
          <w:sz w:val="16"/>
          <w:szCs w:val="16"/>
        </w:rPr>
        <w:footnoteRef/>
      </w:r>
      <w:r>
        <w:rPr>
          <w:sz w:val="16"/>
          <w:szCs w:val="16"/>
        </w:rPr>
        <w:t xml:space="preserve"> </w:t>
      </w:r>
      <w:proofErr w:type="spellStart"/>
      <w:r w:rsidRPr="000B4CF2">
        <w:rPr>
          <w:smallCaps/>
          <w:sz w:val="16"/>
          <w:szCs w:val="16"/>
        </w:rPr>
        <w:t>P</w:t>
      </w:r>
      <w:r w:rsidRPr="000B4CF2">
        <w:rPr>
          <w:smallCaps/>
          <w:color w:val="000000"/>
          <w:sz w:val="16"/>
          <w:szCs w:val="16"/>
        </w:rPr>
        <w:t>ř</w:t>
      </w:r>
      <w:r w:rsidRPr="000B4CF2">
        <w:rPr>
          <w:smallCaps/>
          <w:sz w:val="16"/>
          <w:szCs w:val="16"/>
        </w:rPr>
        <w:t>ib</w:t>
      </w:r>
      <w:r w:rsidRPr="000B4CF2">
        <w:rPr>
          <w:smallCaps/>
          <w:color w:val="000000"/>
          <w:sz w:val="16"/>
          <w:szCs w:val="16"/>
        </w:rPr>
        <w:t>áň</w:t>
      </w:r>
      <w:proofErr w:type="spellEnd"/>
      <w:r w:rsidRPr="000B4CF2">
        <w:rPr>
          <w:rFonts w:eastAsia="Arial Unicode MS"/>
          <w:smallCaps/>
          <w:color w:val="000000"/>
          <w:sz w:val="16"/>
          <w:szCs w:val="16"/>
          <w:u w:color="000000"/>
        </w:rPr>
        <w:t xml:space="preserve"> </w:t>
      </w:r>
      <w:proofErr w:type="spellStart"/>
      <w:r w:rsidRPr="000B4CF2">
        <w:rPr>
          <w:rFonts w:eastAsia="Arial Unicode MS"/>
          <w:smallCaps/>
          <w:color w:val="000000"/>
          <w:sz w:val="16"/>
          <w:szCs w:val="16"/>
          <w:u w:color="000000"/>
        </w:rPr>
        <w:t>Ji</w:t>
      </w:r>
      <w:r w:rsidRPr="000B4CF2">
        <w:rPr>
          <w:smallCaps/>
          <w:color w:val="000000"/>
          <w:sz w:val="16"/>
          <w:szCs w:val="16"/>
        </w:rPr>
        <w:t>ří</w:t>
      </w:r>
      <w:proofErr w:type="spellEnd"/>
      <w:r w:rsidRPr="000B4CF2">
        <w:rPr>
          <w:rFonts w:eastAsia="Arial Unicode MS"/>
          <w:color w:val="000000"/>
          <w:sz w:val="16"/>
          <w:szCs w:val="16"/>
          <w:u w:color="000000"/>
        </w:rPr>
        <w:t xml:space="preserve">, </w:t>
      </w:r>
      <w:r w:rsidRPr="000B4CF2">
        <w:rPr>
          <w:rFonts w:eastAsia="Arial Unicode MS"/>
          <w:i/>
          <w:color w:val="000000"/>
          <w:sz w:val="16"/>
          <w:szCs w:val="16"/>
          <w:u w:color="000000"/>
        </w:rPr>
        <w:t>Legal Symbolism: On Law, Time and European Identity</w:t>
      </w:r>
      <w:r>
        <w:rPr>
          <w:rFonts w:eastAsia="Arial Unicode MS"/>
          <w:color w:val="000000"/>
          <w:sz w:val="16"/>
          <w:szCs w:val="16"/>
          <w:u w:color="000000"/>
        </w:rPr>
        <w:t xml:space="preserve">, Aldershot: </w:t>
      </w:r>
      <w:proofErr w:type="spellStart"/>
      <w:r>
        <w:rPr>
          <w:rFonts w:eastAsia="Arial Unicode MS"/>
          <w:color w:val="000000"/>
          <w:sz w:val="16"/>
          <w:szCs w:val="16"/>
          <w:u w:color="000000"/>
        </w:rPr>
        <w:t>Ashgate</w:t>
      </w:r>
      <w:proofErr w:type="spellEnd"/>
      <w:r>
        <w:rPr>
          <w:rFonts w:eastAsia="Arial Unicode MS"/>
          <w:color w:val="000000"/>
          <w:sz w:val="16"/>
          <w:szCs w:val="16"/>
          <w:u w:color="000000"/>
        </w:rPr>
        <w:t>, 2007</w:t>
      </w:r>
      <w:r w:rsidRPr="000B4CF2">
        <w:rPr>
          <w:rFonts w:eastAsia="Arial Unicode MS"/>
          <w:color w:val="000000"/>
          <w:sz w:val="16"/>
          <w:szCs w:val="16"/>
          <w:u w:color="000000"/>
        </w:rPr>
        <w:t>,</w:t>
      </w:r>
      <w:r>
        <w:rPr>
          <w:sz w:val="16"/>
          <w:szCs w:val="16"/>
        </w:rPr>
        <w:t xml:space="preserve"> </w:t>
      </w:r>
      <w:r w:rsidR="008643BB">
        <w:rPr>
          <w:sz w:val="16"/>
          <w:szCs w:val="16"/>
        </w:rPr>
        <w:t>p. 151.</w:t>
      </w:r>
    </w:p>
  </w:footnote>
  <w:footnote w:id="53">
    <w:p w14:paraId="24109B7A" w14:textId="571994B4" w:rsidR="00DB3EBE" w:rsidRPr="006B09AB" w:rsidRDefault="00DB3EBE" w:rsidP="006B09AB">
      <w:pPr>
        <w:jc w:val="both"/>
        <w:outlineLvl w:val="0"/>
        <w:rPr>
          <w:sz w:val="16"/>
          <w:szCs w:val="16"/>
          <w:lang w:eastAsia="en-GB"/>
        </w:rPr>
      </w:pPr>
      <w:r w:rsidRPr="006B09AB">
        <w:rPr>
          <w:sz w:val="16"/>
          <w:szCs w:val="16"/>
          <w:vertAlign w:val="superscript"/>
        </w:rPr>
        <w:footnoteRef/>
      </w:r>
      <w:r w:rsidRPr="006B09AB">
        <w:rPr>
          <w:sz w:val="16"/>
          <w:szCs w:val="16"/>
        </w:rPr>
        <w:t xml:space="preserve"> </w:t>
      </w:r>
      <w:r>
        <w:rPr>
          <w:rFonts w:eastAsia="Arial Unicode MS"/>
          <w:smallCaps/>
          <w:color w:val="000000"/>
          <w:sz w:val="16"/>
          <w:szCs w:val="16"/>
          <w:u w:color="000000"/>
        </w:rPr>
        <w:t>Hart</w:t>
      </w:r>
      <w:r w:rsidRPr="00720536">
        <w:rPr>
          <w:rFonts w:eastAsia="Arial Unicode MS"/>
          <w:smallCaps/>
          <w:color w:val="000000"/>
          <w:sz w:val="16"/>
          <w:szCs w:val="16"/>
          <w:u w:color="000000"/>
        </w:rPr>
        <w:t xml:space="preserve"> Herbert L.A</w:t>
      </w:r>
      <w:r w:rsidRPr="006B09AB">
        <w:rPr>
          <w:rFonts w:eastAsia="Arial Unicode MS"/>
          <w:color w:val="000000"/>
          <w:sz w:val="16"/>
          <w:szCs w:val="16"/>
          <w:u w:color="000000"/>
        </w:rPr>
        <w:t xml:space="preserve">, “Positivism and the Separation of Law and Morals”, </w:t>
      </w:r>
      <w:r w:rsidRPr="006B09AB">
        <w:rPr>
          <w:rFonts w:eastAsia="Arial Unicode MS"/>
          <w:i/>
          <w:color w:val="000000"/>
          <w:sz w:val="16"/>
          <w:szCs w:val="16"/>
          <w:u w:color="000000"/>
        </w:rPr>
        <w:t>Harvard Law Review</w:t>
      </w:r>
      <w:r w:rsidR="008A2E6C">
        <w:rPr>
          <w:rFonts w:eastAsia="Arial Unicode MS"/>
          <w:color w:val="000000"/>
          <w:sz w:val="16"/>
          <w:szCs w:val="16"/>
          <w:u w:color="000000"/>
        </w:rPr>
        <w:t>, vol. 71/ n</w:t>
      </w:r>
      <w:r w:rsidRPr="006B09AB">
        <w:rPr>
          <w:rFonts w:eastAsia="Arial Unicode MS"/>
          <w:color w:val="000000"/>
          <w:sz w:val="16"/>
          <w:szCs w:val="16"/>
          <w:u w:color="000000"/>
        </w:rPr>
        <w:t xml:space="preserve">. 4 / 1958, pp. 593-629; </w:t>
      </w:r>
      <w:r>
        <w:rPr>
          <w:rFonts w:eastAsia="Arial Unicode MS"/>
          <w:smallCaps/>
          <w:color w:val="000000"/>
          <w:sz w:val="16"/>
          <w:szCs w:val="16"/>
          <w:u w:color="000000"/>
        </w:rPr>
        <w:t>Fuller</w:t>
      </w:r>
      <w:r w:rsidRPr="00720536">
        <w:rPr>
          <w:rFonts w:eastAsia="Arial Unicode MS"/>
          <w:smallCaps/>
          <w:color w:val="000000"/>
          <w:sz w:val="16"/>
          <w:szCs w:val="16"/>
          <w:u w:color="000000"/>
        </w:rPr>
        <w:t xml:space="preserve"> Lon L</w:t>
      </w:r>
      <w:r w:rsidRPr="006B09AB">
        <w:rPr>
          <w:rFonts w:eastAsia="Arial Unicode MS"/>
          <w:color w:val="000000"/>
          <w:sz w:val="16"/>
          <w:szCs w:val="16"/>
          <w:u w:color="000000"/>
        </w:rPr>
        <w:t xml:space="preserve">., “Positivism and Fidelity to Law – A Replay to Professor Hart”, </w:t>
      </w:r>
      <w:r w:rsidRPr="006B09AB">
        <w:rPr>
          <w:rFonts w:eastAsia="Arial Unicode MS"/>
          <w:i/>
          <w:color w:val="000000"/>
          <w:sz w:val="16"/>
          <w:szCs w:val="16"/>
          <w:u w:color="000000"/>
        </w:rPr>
        <w:t>Harvard Law Review</w:t>
      </w:r>
      <w:r w:rsidR="008A2E6C">
        <w:rPr>
          <w:rFonts w:eastAsia="Arial Unicode MS"/>
          <w:color w:val="000000"/>
          <w:sz w:val="16"/>
          <w:szCs w:val="16"/>
          <w:u w:color="000000"/>
        </w:rPr>
        <w:t>, vol. 71/ n</w:t>
      </w:r>
      <w:r w:rsidRPr="006B09AB">
        <w:rPr>
          <w:rFonts w:eastAsia="Arial Unicode MS"/>
          <w:color w:val="000000"/>
          <w:sz w:val="16"/>
          <w:szCs w:val="16"/>
          <w:u w:color="000000"/>
        </w:rPr>
        <w:t xml:space="preserve">. 4 / 1958, pp. 630 – 672.  See also </w:t>
      </w:r>
      <w:r>
        <w:rPr>
          <w:rFonts w:eastAsia="Arial Unicode MS"/>
          <w:smallCaps/>
          <w:color w:val="000000"/>
          <w:sz w:val="16"/>
          <w:szCs w:val="16"/>
          <w:u w:color="000000"/>
        </w:rPr>
        <w:t>Fuller Lon</w:t>
      </w:r>
      <w:r w:rsidRPr="006B09AB">
        <w:rPr>
          <w:rFonts w:eastAsia="Arial Unicode MS"/>
          <w:color w:val="000000"/>
          <w:sz w:val="16"/>
          <w:szCs w:val="16"/>
          <w:u w:color="000000"/>
        </w:rPr>
        <w:t xml:space="preserve">, </w:t>
      </w:r>
      <w:r w:rsidRPr="006B09AB">
        <w:rPr>
          <w:rFonts w:eastAsia="Arial Unicode MS"/>
          <w:i/>
          <w:color w:val="000000"/>
          <w:sz w:val="16"/>
          <w:szCs w:val="16"/>
          <w:u w:color="000000"/>
        </w:rPr>
        <w:t>The Morality of Law</w:t>
      </w:r>
      <w:r>
        <w:rPr>
          <w:rFonts w:eastAsia="Arial Unicode MS"/>
          <w:color w:val="000000"/>
          <w:sz w:val="16"/>
          <w:szCs w:val="16"/>
          <w:u w:color="000000"/>
        </w:rPr>
        <w:t xml:space="preserve">, Yale University Press, 1969;  </w:t>
      </w:r>
      <w:r>
        <w:rPr>
          <w:rFonts w:eastAsia="Arial Unicode MS"/>
          <w:smallCaps/>
          <w:color w:val="000000"/>
          <w:sz w:val="16"/>
          <w:szCs w:val="16"/>
          <w:u w:color="000000"/>
        </w:rPr>
        <w:t>Hart</w:t>
      </w:r>
      <w:r w:rsidRPr="00720536">
        <w:rPr>
          <w:rFonts w:eastAsia="Arial Unicode MS"/>
          <w:smallCaps/>
          <w:color w:val="000000"/>
          <w:sz w:val="16"/>
          <w:szCs w:val="16"/>
          <w:u w:color="000000"/>
        </w:rPr>
        <w:t xml:space="preserve"> Herbert L.A</w:t>
      </w:r>
      <w:r>
        <w:rPr>
          <w:rFonts w:eastAsia="Arial Unicode MS"/>
          <w:color w:val="000000"/>
          <w:sz w:val="16"/>
          <w:szCs w:val="16"/>
          <w:u w:color="000000"/>
        </w:rPr>
        <w:t>.</w:t>
      </w:r>
      <w:r w:rsidRPr="006B09AB">
        <w:rPr>
          <w:rFonts w:eastAsia="Arial Unicode MS"/>
          <w:color w:val="000000"/>
          <w:sz w:val="16"/>
          <w:szCs w:val="16"/>
          <w:u w:color="000000"/>
        </w:rPr>
        <w:t xml:space="preserve">, </w:t>
      </w:r>
      <w:r w:rsidRPr="006B09AB">
        <w:rPr>
          <w:rFonts w:eastAsia="Arial Unicode MS"/>
          <w:i/>
          <w:color w:val="000000"/>
          <w:sz w:val="16"/>
          <w:szCs w:val="16"/>
          <w:u w:color="000000"/>
        </w:rPr>
        <w:t>The Concept of Law</w:t>
      </w:r>
      <w:r w:rsidRPr="006B09AB">
        <w:rPr>
          <w:rFonts w:eastAsia="Arial Unicode MS"/>
          <w:color w:val="000000"/>
          <w:sz w:val="16"/>
          <w:szCs w:val="16"/>
          <w:u w:color="000000"/>
        </w:rPr>
        <w:t>,</w:t>
      </w:r>
      <w:r w:rsidR="00C5004A">
        <w:rPr>
          <w:rFonts w:eastAsia="Arial Unicode MS"/>
          <w:color w:val="000000"/>
          <w:sz w:val="16"/>
          <w:szCs w:val="16"/>
          <w:u w:color="000000"/>
        </w:rPr>
        <w:t xml:space="preserve"> Oxford, </w:t>
      </w:r>
      <w:r w:rsidRPr="006B09AB">
        <w:rPr>
          <w:rFonts w:eastAsia="Arial Unicode MS"/>
          <w:color w:val="000000"/>
          <w:sz w:val="16"/>
          <w:szCs w:val="16"/>
          <w:u w:color="000000"/>
        </w:rPr>
        <w:t>Oxford University Press, 1997</w:t>
      </w:r>
      <w:r w:rsidRPr="006B09AB">
        <w:rPr>
          <w:sz w:val="16"/>
          <w:szCs w:val="16"/>
        </w:rPr>
        <w:t>.</w:t>
      </w:r>
    </w:p>
  </w:footnote>
  <w:footnote w:id="54">
    <w:p w14:paraId="2C2963C0" w14:textId="6F60D368" w:rsidR="00DB3EBE" w:rsidRPr="0000403A" w:rsidRDefault="00DB3EBE" w:rsidP="009372B7">
      <w:pPr>
        <w:pStyle w:val="FootnoteText"/>
        <w:rPr>
          <w:i/>
          <w:sz w:val="16"/>
          <w:szCs w:val="16"/>
        </w:rPr>
      </w:pPr>
      <w:r w:rsidRPr="0000403A">
        <w:rPr>
          <w:rStyle w:val="FootnoteReference"/>
          <w:sz w:val="16"/>
          <w:szCs w:val="16"/>
        </w:rPr>
        <w:footnoteRef/>
      </w:r>
      <w:r w:rsidRPr="0000403A">
        <w:rPr>
          <w:sz w:val="16"/>
          <w:szCs w:val="16"/>
        </w:rPr>
        <w:t xml:space="preserve"> </w:t>
      </w:r>
      <w:proofErr w:type="spellStart"/>
      <w:proofErr w:type="gramStart"/>
      <w:r w:rsidRPr="00197BDE">
        <w:rPr>
          <w:i/>
          <w:sz w:val="16"/>
          <w:szCs w:val="16"/>
        </w:rPr>
        <w:t>Ibidem</w:t>
      </w:r>
      <w:proofErr w:type="spellEnd"/>
      <w:r w:rsidRPr="00ED5C26">
        <w:rPr>
          <w:sz w:val="16"/>
          <w:szCs w:val="16"/>
        </w:rPr>
        <w:t>.</w:t>
      </w:r>
      <w:proofErr w:type="gramEnd"/>
    </w:p>
  </w:footnote>
  <w:footnote w:id="55">
    <w:p w14:paraId="4AE47AB7" w14:textId="5F11EFEB" w:rsidR="00DB3EBE" w:rsidRPr="0000403A" w:rsidRDefault="00DB3EBE" w:rsidP="009372B7">
      <w:pPr>
        <w:pStyle w:val="FootnoteText"/>
        <w:rPr>
          <w:sz w:val="16"/>
          <w:szCs w:val="16"/>
        </w:rPr>
      </w:pPr>
      <w:r w:rsidRPr="0000403A">
        <w:rPr>
          <w:rStyle w:val="FootnoteReference"/>
          <w:sz w:val="16"/>
          <w:szCs w:val="16"/>
        </w:rPr>
        <w:footnoteRef/>
      </w:r>
      <w:r w:rsidRPr="0000403A">
        <w:rPr>
          <w:sz w:val="16"/>
          <w:szCs w:val="16"/>
        </w:rPr>
        <w:t xml:space="preserve"> </w:t>
      </w:r>
      <w:proofErr w:type="spellStart"/>
      <w:r w:rsidRPr="000B4CF2">
        <w:rPr>
          <w:smallCaps/>
          <w:sz w:val="16"/>
          <w:szCs w:val="16"/>
        </w:rPr>
        <w:t>P</w:t>
      </w:r>
      <w:r w:rsidRPr="000B4CF2">
        <w:rPr>
          <w:smallCaps/>
          <w:color w:val="000000"/>
          <w:sz w:val="16"/>
          <w:szCs w:val="16"/>
        </w:rPr>
        <w:t>ř</w:t>
      </w:r>
      <w:r w:rsidRPr="000B4CF2">
        <w:rPr>
          <w:smallCaps/>
          <w:sz w:val="16"/>
          <w:szCs w:val="16"/>
        </w:rPr>
        <w:t>ib</w:t>
      </w:r>
      <w:r w:rsidRPr="000B4CF2">
        <w:rPr>
          <w:smallCaps/>
          <w:color w:val="000000"/>
          <w:sz w:val="16"/>
          <w:szCs w:val="16"/>
        </w:rPr>
        <w:t>áň</w:t>
      </w:r>
      <w:proofErr w:type="spellEnd"/>
      <w:r w:rsidRPr="000B4CF2">
        <w:rPr>
          <w:rFonts w:eastAsia="Arial Unicode MS"/>
          <w:smallCaps/>
          <w:color w:val="000000"/>
          <w:sz w:val="16"/>
          <w:szCs w:val="16"/>
          <w:u w:color="000000"/>
        </w:rPr>
        <w:t xml:space="preserve"> </w:t>
      </w:r>
      <w:proofErr w:type="spellStart"/>
      <w:r w:rsidRPr="000B4CF2">
        <w:rPr>
          <w:rFonts w:eastAsia="Arial Unicode MS"/>
          <w:smallCaps/>
          <w:color w:val="000000"/>
          <w:sz w:val="16"/>
          <w:szCs w:val="16"/>
          <w:u w:color="000000"/>
        </w:rPr>
        <w:t>Ji</w:t>
      </w:r>
      <w:r w:rsidRPr="000B4CF2">
        <w:rPr>
          <w:smallCaps/>
          <w:color w:val="000000"/>
          <w:sz w:val="16"/>
          <w:szCs w:val="16"/>
        </w:rPr>
        <w:t>ří</w:t>
      </w:r>
      <w:proofErr w:type="spellEnd"/>
      <w:r w:rsidRPr="000B4CF2">
        <w:rPr>
          <w:rFonts w:eastAsia="Arial Unicode MS"/>
          <w:color w:val="000000"/>
          <w:sz w:val="16"/>
          <w:szCs w:val="16"/>
          <w:u w:color="000000"/>
        </w:rPr>
        <w:t xml:space="preserve">, </w:t>
      </w:r>
      <w:r w:rsidRPr="002668BE">
        <w:rPr>
          <w:rFonts w:eastAsia="Arial Unicode MS"/>
          <w:i/>
          <w:color w:val="000000"/>
          <w:sz w:val="16"/>
          <w:szCs w:val="16"/>
          <w:u w:color="000000"/>
        </w:rPr>
        <w:t>op. cit</w:t>
      </w:r>
      <w:r>
        <w:rPr>
          <w:rFonts w:eastAsia="Arial Unicode MS"/>
          <w:color w:val="000000"/>
          <w:sz w:val="16"/>
          <w:szCs w:val="16"/>
          <w:u w:color="000000"/>
        </w:rPr>
        <w:t>.</w:t>
      </w:r>
      <w:r w:rsidRPr="000B4CF2">
        <w:rPr>
          <w:rFonts w:eastAsia="Arial Unicode MS"/>
          <w:color w:val="000000"/>
          <w:sz w:val="16"/>
          <w:szCs w:val="16"/>
          <w:u w:color="000000"/>
        </w:rPr>
        <w:t>,</w:t>
      </w:r>
      <w:r>
        <w:rPr>
          <w:sz w:val="16"/>
          <w:szCs w:val="16"/>
        </w:rPr>
        <w:t xml:space="preserve"> </w:t>
      </w:r>
      <w:r w:rsidRPr="0000403A">
        <w:rPr>
          <w:sz w:val="16"/>
          <w:szCs w:val="16"/>
        </w:rPr>
        <w:t>p. 151.</w:t>
      </w:r>
    </w:p>
  </w:footnote>
  <w:footnote w:id="56">
    <w:p w14:paraId="3A44A0A3" w14:textId="709B3B7B" w:rsidR="00DB3EBE" w:rsidRPr="00177F0B" w:rsidRDefault="00DB3EBE" w:rsidP="009372B7">
      <w:pPr>
        <w:pStyle w:val="FootnoteText"/>
        <w:rPr>
          <w:sz w:val="16"/>
          <w:szCs w:val="16"/>
        </w:rPr>
      </w:pPr>
      <w:r w:rsidRPr="0000403A">
        <w:rPr>
          <w:rStyle w:val="FootnoteReference"/>
          <w:sz w:val="16"/>
          <w:szCs w:val="16"/>
        </w:rPr>
        <w:footnoteRef/>
      </w:r>
      <w:r w:rsidRPr="0000403A">
        <w:rPr>
          <w:sz w:val="16"/>
          <w:szCs w:val="16"/>
        </w:rPr>
        <w:t xml:space="preserve"> </w:t>
      </w:r>
      <w:proofErr w:type="spellStart"/>
      <w:r w:rsidRPr="00197BDE">
        <w:rPr>
          <w:i/>
          <w:sz w:val="16"/>
          <w:szCs w:val="16"/>
        </w:rPr>
        <w:t>Ibidem</w:t>
      </w:r>
      <w:proofErr w:type="spellEnd"/>
      <w:r>
        <w:rPr>
          <w:i/>
          <w:sz w:val="16"/>
          <w:szCs w:val="16"/>
        </w:rPr>
        <w:t>.</w:t>
      </w:r>
      <w:r w:rsidRPr="0000403A">
        <w:rPr>
          <w:i/>
          <w:sz w:val="16"/>
          <w:szCs w:val="16"/>
        </w:rPr>
        <w:t>.</w:t>
      </w:r>
      <w:r w:rsidRPr="0000403A">
        <w:rPr>
          <w:sz w:val="16"/>
          <w:szCs w:val="16"/>
        </w:rPr>
        <w:t>, p. 152</w:t>
      </w:r>
      <w:r>
        <w:rPr>
          <w:sz w:val="16"/>
          <w:szCs w:val="16"/>
        </w:rPr>
        <w:t>.</w:t>
      </w:r>
    </w:p>
  </w:footnote>
  <w:footnote w:id="57">
    <w:p w14:paraId="75D3651A" w14:textId="092D7F30" w:rsidR="00DB3EBE" w:rsidRPr="0000403A" w:rsidRDefault="00DB3EBE" w:rsidP="009372B7">
      <w:pPr>
        <w:pStyle w:val="Body"/>
        <w:rPr>
          <w:rFonts w:eastAsia="Times New Roman"/>
          <w:color w:val="auto"/>
          <w:sz w:val="16"/>
          <w:szCs w:val="16"/>
          <w:lang w:val="en-GB" w:eastAsia="en-GB"/>
        </w:rPr>
      </w:pPr>
      <w:r w:rsidRPr="0000403A">
        <w:rPr>
          <w:sz w:val="16"/>
          <w:szCs w:val="16"/>
          <w:vertAlign w:val="superscript"/>
          <w:lang w:val="en-GB"/>
        </w:rPr>
        <w:footnoteRef/>
      </w:r>
      <w:r w:rsidRPr="0000403A">
        <w:rPr>
          <w:sz w:val="16"/>
          <w:szCs w:val="16"/>
          <w:lang w:val="en-GB"/>
        </w:rPr>
        <w:t xml:space="preserve"> </w:t>
      </w:r>
      <w:r w:rsidRPr="000B4CF2">
        <w:rPr>
          <w:rFonts w:eastAsia="Arial Unicode MS"/>
          <w:smallCaps/>
          <w:sz w:val="16"/>
          <w:szCs w:val="16"/>
        </w:rPr>
        <w:t>Quint Peter E.</w:t>
      </w:r>
      <w:r w:rsidRPr="000B4CF2">
        <w:rPr>
          <w:rFonts w:eastAsia="Arial Unicode MS"/>
          <w:sz w:val="16"/>
          <w:szCs w:val="16"/>
        </w:rPr>
        <w:t xml:space="preserve">, </w:t>
      </w:r>
      <w:r w:rsidRPr="000B4CF2">
        <w:rPr>
          <w:rFonts w:eastAsia="Arial Unicode MS"/>
          <w:i/>
          <w:sz w:val="16"/>
          <w:szCs w:val="16"/>
        </w:rPr>
        <w:t>loc.</w:t>
      </w:r>
      <w:r w:rsidR="008A2E6C">
        <w:rPr>
          <w:rFonts w:eastAsia="Arial Unicode MS"/>
          <w:i/>
          <w:sz w:val="16"/>
          <w:szCs w:val="16"/>
        </w:rPr>
        <w:t xml:space="preserve"> </w:t>
      </w:r>
      <w:r>
        <w:rPr>
          <w:rFonts w:eastAsia="Arial Unicode MS"/>
          <w:i/>
          <w:sz w:val="16"/>
          <w:szCs w:val="16"/>
        </w:rPr>
        <w:t>cit.,</w:t>
      </w:r>
      <w:r w:rsidRPr="0000403A">
        <w:rPr>
          <w:rFonts w:eastAsia="Arial Unicode MS"/>
          <w:sz w:val="16"/>
          <w:szCs w:val="16"/>
        </w:rPr>
        <w:t xml:space="preserve"> </w:t>
      </w:r>
      <w:r w:rsidRPr="000B4CF2">
        <w:rPr>
          <w:rFonts w:eastAsia="Arial Unicode MS"/>
          <w:sz w:val="16"/>
          <w:szCs w:val="16"/>
        </w:rPr>
        <w:t>‘Judging the Past</w:t>
      </w:r>
      <w:r>
        <w:rPr>
          <w:rFonts w:eastAsia="Arial Unicode MS"/>
          <w:sz w:val="16"/>
          <w:szCs w:val="16"/>
        </w:rPr>
        <w:t>’.</w:t>
      </w:r>
    </w:p>
  </w:footnote>
  <w:footnote w:id="58">
    <w:p w14:paraId="49DA991F" w14:textId="0E45E3E2" w:rsidR="00DB3EBE" w:rsidRPr="0000403A" w:rsidRDefault="00DB3EBE" w:rsidP="009372B7">
      <w:pPr>
        <w:pStyle w:val="FootnoteText"/>
        <w:rPr>
          <w:i/>
          <w:sz w:val="16"/>
          <w:szCs w:val="16"/>
        </w:rPr>
      </w:pPr>
      <w:r w:rsidRPr="0000403A">
        <w:rPr>
          <w:rStyle w:val="FootnoteReference"/>
          <w:sz w:val="16"/>
          <w:szCs w:val="16"/>
        </w:rPr>
        <w:footnoteRef/>
      </w:r>
      <w:r w:rsidRPr="0000403A">
        <w:rPr>
          <w:sz w:val="16"/>
          <w:szCs w:val="16"/>
        </w:rPr>
        <w:t xml:space="preserve"> </w:t>
      </w:r>
      <w:proofErr w:type="spellStart"/>
      <w:proofErr w:type="gramStart"/>
      <w:r w:rsidRPr="00197BDE">
        <w:rPr>
          <w:i/>
          <w:sz w:val="16"/>
          <w:szCs w:val="16"/>
        </w:rPr>
        <w:t>Ibidem</w:t>
      </w:r>
      <w:proofErr w:type="spellEnd"/>
      <w:r w:rsidRPr="0000403A">
        <w:rPr>
          <w:i/>
          <w:sz w:val="16"/>
          <w:szCs w:val="16"/>
        </w:rPr>
        <w:t>.</w:t>
      </w:r>
      <w:proofErr w:type="gramEnd"/>
    </w:p>
  </w:footnote>
  <w:footnote w:id="59">
    <w:p w14:paraId="62310BB5" w14:textId="2A4414DE" w:rsidR="00DB3EBE" w:rsidRPr="008579F4" w:rsidRDefault="00DB3EBE" w:rsidP="009372B7">
      <w:pPr>
        <w:pStyle w:val="Body"/>
        <w:rPr>
          <w:rFonts w:eastAsia="Times New Roman"/>
          <w:color w:val="auto"/>
          <w:sz w:val="16"/>
          <w:szCs w:val="16"/>
          <w:lang w:val="en-GB" w:eastAsia="en-GB"/>
        </w:rPr>
      </w:pPr>
      <w:r w:rsidRPr="008579F4">
        <w:rPr>
          <w:sz w:val="16"/>
          <w:szCs w:val="16"/>
          <w:vertAlign w:val="superscript"/>
          <w:lang w:val="en-GB"/>
        </w:rPr>
        <w:footnoteRef/>
      </w:r>
      <w:r w:rsidRPr="008579F4">
        <w:rPr>
          <w:sz w:val="16"/>
          <w:szCs w:val="16"/>
          <w:lang w:val="en-GB"/>
        </w:rPr>
        <w:t xml:space="preserve"> </w:t>
      </w:r>
      <w:proofErr w:type="spellStart"/>
      <w:proofErr w:type="gramStart"/>
      <w:r w:rsidRPr="00197BDE">
        <w:rPr>
          <w:i/>
          <w:sz w:val="16"/>
          <w:szCs w:val="16"/>
          <w:lang w:val="en-GB"/>
        </w:rPr>
        <w:t>Ibidem</w:t>
      </w:r>
      <w:proofErr w:type="spellEnd"/>
      <w:r w:rsidRPr="008579F4">
        <w:rPr>
          <w:sz w:val="16"/>
          <w:szCs w:val="16"/>
          <w:lang w:val="en-GB"/>
        </w:rPr>
        <w:t>.</w:t>
      </w:r>
      <w:proofErr w:type="gramEnd"/>
    </w:p>
  </w:footnote>
  <w:footnote w:id="60">
    <w:p w14:paraId="0E9B099B" w14:textId="0004A280" w:rsidR="00DB3EBE" w:rsidRPr="008579F4" w:rsidRDefault="00DB3EBE" w:rsidP="009372B7">
      <w:pPr>
        <w:pStyle w:val="Body"/>
        <w:rPr>
          <w:rFonts w:eastAsia="Times New Roman"/>
          <w:color w:val="auto"/>
          <w:sz w:val="20"/>
          <w:lang w:val="en-GB" w:eastAsia="en-GB"/>
        </w:rPr>
      </w:pPr>
      <w:r w:rsidRPr="008579F4">
        <w:rPr>
          <w:sz w:val="16"/>
          <w:szCs w:val="16"/>
          <w:vertAlign w:val="superscript"/>
          <w:lang w:val="en-GB"/>
        </w:rPr>
        <w:footnoteRef/>
      </w:r>
      <w:r w:rsidRPr="008579F4">
        <w:rPr>
          <w:sz w:val="16"/>
          <w:szCs w:val="16"/>
          <w:lang w:val="en-GB"/>
        </w:rPr>
        <w:t xml:space="preserve"> </w:t>
      </w:r>
      <w:r w:rsidRPr="009372B7">
        <w:rPr>
          <w:sz w:val="16"/>
          <w:szCs w:val="16"/>
        </w:rPr>
        <w:t xml:space="preserve">See ‘Shootings at the Berlin Wall Case’, </w:t>
      </w:r>
      <w:proofErr w:type="spellStart"/>
      <w:r w:rsidRPr="009372B7">
        <w:rPr>
          <w:sz w:val="16"/>
          <w:szCs w:val="16"/>
        </w:rPr>
        <w:t>BGHst</w:t>
      </w:r>
      <w:proofErr w:type="spellEnd"/>
      <w:r w:rsidRPr="009372B7">
        <w:rPr>
          <w:sz w:val="16"/>
          <w:szCs w:val="16"/>
        </w:rPr>
        <w:t xml:space="preserve"> Band 39 S.1. The judgment can be found with an English translation along with the original German case transcript in</w:t>
      </w:r>
      <w:r w:rsidRPr="009372B7">
        <w:rPr>
          <w:sz w:val="16"/>
          <w:szCs w:val="16"/>
          <w:lang w:val="en-GB"/>
        </w:rPr>
        <w:t xml:space="preserve"> </w:t>
      </w:r>
      <w:r w:rsidRPr="009372B7">
        <w:rPr>
          <w:rFonts w:eastAsia="Arial Unicode MS"/>
          <w:smallCaps/>
          <w:sz w:val="16"/>
          <w:szCs w:val="16"/>
          <w:lang w:val="en-GB"/>
        </w:rPr>
        <w:t>Young</w:t>
      </w:r>
      <w:r w:rsidRPr="009372B7">
        <w:rPr>
          <w:rFonts w:eastAsia="Arial Unicode MS"/>
          <w:smallCaps/>
          <w:sz w:val="16"/>
          <w:szCs w:val="16"/>
        </w:rPr>
        <w:t>s</w:t>
      </w:r>
      <w:r w:rsidRPr="009372B7">
        <w:rPr>
          <w:rFonts w:eastAsia="Arial Unicode MS"/>
          <w:smallCaps/>
          <w:sz w:val="16"/>
          <w:szCs w:val="16"/>
          <w:lang w:val="en-GB"/>
        </w:rPr>
        <w:t xml:space="preserve"> Raymond, </w:t>
      </w:r>
      <w:r w:rsidRPr="009372B7">
        <w:rPr>
          <w:i/>
          <w:sz w:val="16"/>
          <w:szCs w:val="16"/>
        </w:rPr>
        <w:t>Sourcebook on German Law</w:t>
      </w:r>
      <w:r w:rsidRPr="009372B7">
        <w:rPr>
          <w:sz w:val="16"/>
          <w:szCs w:val="16"/>
          <w:lang w:val="en-GB"/>
        </w:rPr>
        <w:t xml:space="preserve">, </w:t>
      </w:r>
      <w:r w:rsidRPr="009372B7">
        <w:rPr>
          <w:sz w:val="16"/>
          <w:szCs w:val="16"/>
        </w:rPr>
        <w:t>London</w:t>
      </w:r>
      <w:r w:rsidRPr="009372B7">
        <w:rPr>
          <w:sz w:val="16"/>
          <w:szCs w:val="16"/>
          <w:lang w:val="en-GB"/>
        </w:rPr>
        <w:t xml:space="preserve">, </w:t>
      </w:r>
      <w:r w:rsidRPr="009372B7">
        <w:rPr>
          <w:sz w:val="16"/>
          <w:szCs w:val="16"/>
        </w:rPr>
        <w:t xml:space="preserve"> Cavendish, 2002 , </w:t>
      </w:r>
      <w:r w:rsidRPr="008579F4">
        <w:rPr>
          <w:sz w:val="16"/>
          <w:szCs w:val="16"/>
          <w:lang w:val="en-GB"/>
        </w:rPr>
        <w:t xml:space="preserve">and </w:t>
      </w:r>
      <w:r w:rsidRPr="000B4CF2">
        <w:rPr>
          <w:rFonts w:eastAsia="Arial Unicode MS"/>
          <w:smallCaps/>
          <w:sz w:val="16"/>
          <w:szCs w:val="16"/>
        </w:rPr>
        <w:t>Quint Peter E.</w:t>
      </w:r>
      <w:r w:rsidRPr="000B4CF2">
        <w:rPr>
          <w:rFonts w:eastAsia="Arial Unicode MS"/>
          <w:sz w:val="16"/>
          <w:szCs w:val="16"/>
        </w:rPr>
        <w:t xml:space="preserve">, </w:t>
      </w:r>
      <w:r w:rsidRPr="000B4CF2">
        <w:rPr>
          <w:rFonts w:eastAsia="Arial Unicode MS"/>
          <w:i/>
          <w:sz w:val="16"/>
          <w:szCs w:val="16"/>
        </w:rPr>
        <w:t>loc. cit.</w:t>
      </w:r>
      <w:r w:rsidRPr="000B4CF2">
        <w:rPr>
          <w:rFonts w:eastAsia="Arial Unicode MS"/>
          <w:sz w:val="16"/>
          <w:szCs w:val="16"/>
        </w:rPr>
        <w:t xml:space="preserve">, ‘Judging the </w:t>
      </w:r>
      <w:proofErr w:type="spellStart"/>
      <w:r w:rsidRPr="000B4CF2">
        <w:rPr>
          <w:rFonts w:eastAsia="Arial Unicode MS"/>
          <w:sz w:val="16"/>
          <w:szCs w:val="16"/>
        </w:rPr>
        <w:t>Past’</w:t>
      </w:r>
      <w:r>
        <w:rPr>
          <w:rFonts w:eastAsia="Arial Unicode MS"/>
          <w:sz w:val="16"/>
          <w:szCs w:val="16"/>
        </w:rPr>
        <w:t>and</w:t>
      </w:r>
      <w:proofErr w:type="spellEnd"/>
      <w:r>
        <w:rPr>
          <w:rFonts w:eastAsia="Arial Unicode MS"/>
          <w:sz w:val="16"/>
          <w:szCs w:val="16"/>
        </w:rPr>
        <w:t xml:space="preserve"> </w:t>
      </w:r>
      <w:r>
        <w:rPr>
          <w:rFonts w:eastAsia="Arial Unicode MS"/>
          <w:i/>
          <w:sz w:val="16"/>
          <w:szCs w:val="16"/>
        </w:rPr>
        <w:t>idem</w:t>
      </w:r>
      <w:r>
        <w:rPr>
          <w:rFonts w:eastAsia="Arial Unicode MS"/>
          <w:sz w:val="16"/>
          <w:szCs w:val="16"/>
        </w:rPr>
        <w:t xml:space="preserve">, </w:t>
      </w:r>
      <w:r>
        <w:rPr>
          <w:sz w:val="16"/>
          <w:szCs w:val="16"/>
          <w:lang w:val="en-GB"/>
        </w:rPr>
        <w:t>‘</w:t>
      </w:r>
      <w:r w:rsidRPr="007277A0">
        <w:rPr>
          <w:sz w:val="16"/>
          <w:szCs w:val="16"/>
          <w:lang w:val="en-GB"/>
        </w:rPr>
        <w:t>The Border Guards Trials</w:t>
      </w:r>
      <w:r>
        <w:rPr>
          <w:sz w:val="16"/>
          <w:szCs w:val="16"/>
          <w:lang w:val="en-GB"/>
        </w:rPr>
        <w:t>’</w:t>
      </w:r>
      <w:r w:rsidRPr="0063636D">
        <w:rPr>
          <w:sz w:val="20"/>
          <w:lang w:val="en-GB"/>
        </w:rPr>
        <w:t>.</w:t>
      </w:r>
    </w:p>
  </w:footnote>
  <w:footnote w:id="61">
    <w:p w14:paraId="6CCC3388" w14:textId="4BA739B7" w:rsidR="00DB3EBE" w:rsidRPr="008579F4" w:rsidRDefault="00DB3EBE" w:rsidP="009372B7">
      <w:pPr>
        <w:pStyle w:val="Body"/>
        <w:rPr>
          <w:rFonts w:eastAsia="Times New Roman"/>
          <w:color w:val="auto"/>
          <w:sz w:val="16"/>
          <w:szCs w:val="16"/>
          <w:lang w:val="en-GB" w:eastAsia="en-GB"/>
        </w:rPr>
      </w:pPr>
      <w:r w:rsidRPr="008579F4">
        <w:rPr>
          <w:sz w:val="16"/>
          <w:szCs w:val="16"/>
          <w:vertAlign w:val="superscript"/>
          <w:lang w:val="en-GB"/>
        </w:rPr>
        <w:footnoteRef/>
      </w:r>
      <w:r w:rsidRPr="008579F4">
        <w:rPr>
          <w:sz w:val="16"/>
          <w:szCs w:val="16"/>
          <w:lang w:val="en-GB"/>
        </w:rPr>
        <w:t xml:space="preserve"> See </w:t>
      </w:r>
      <w:r w:rsidR="008643BB" w:rsidRPr="000B4CF2">
        <w:rPr>
          <w:rFonts w:eastAsia="Arial Unicode MS"/>
          <w:smallCaps/>
          <w:sz w:val="16"/>
          <w:szCs w:val="16"/>
        </w:rPr>
        <w:t>Rosenberg Tina</w:t>
      </w:r>
      <w:r w:rsidR="008643BB">
        <w:rPr>
          <w:rFonts w:eastAsia="Arial Unicode MS"/>
          <w:smallCaps/>
          <w:sz w:val="16"/>
          <w:szCs w:val="16"/>
        </w:rPr>
        <w:t xml:space="preserve">, </w:t>
      </w:r>
      <w:r w:rsidR="008643BB" w:rsidRPr="008643BB">
        <w:rPr>
          <w:rFonts w:eastAsia="Arial Unicode MS"/>
          <w:i/>
          <w:sz w:val="16"/>
          <w:szCs w:val="16"/>
        </w:rPr>
        <w:t xml:space="preserve">op. </w:t>
      </w:r>
      <w:proofErr w:type="spellStart"/>
      <w:r w:rsidR="008643BB" w:rsidRPr="008643BB">
        <w:rPr>
          <w:rFonts w:eastAsia="Arial Unicode MS"/>
          <w:i/>
          <w:sz w:val="16"/>
          <w:szCs w:val="16"/>
        </w:rPr>
        <w:t>cit</w:t>
      </w:r>
      <w:proofErr w:type="spellEnd"/>
      <w:r w:rsidRPr="008579F4">
        <w:rPr>
          <w:sz w:val="16"/>
          <w:szCs w:val="16"/>
          <w:lang w:val="en-GB"/>
        </w:rPr>
        <w:t>.</w:t>
      </w:r>
    </w:p>
  </w:footnote>
  <w:footnote w:id="62">
    <w:p w14:paraId="70E1D965" w14:textId="695DF2ED" w:rsidR="00DB3EBE" w:rsidRPr="008579F4" w:rsidRDefault="00DB3EBE" w:rsidP="009372B7">
      <w:pPr>
        <w:pStyle w:val="Body"/>
        <w:rPr>
          <w:rFonts w:eastAsia="Times New Roman"/>
          <w:color w:val="auto"/>
          <w:sz w:val="16"/>
          <w:szCs w:val="16"/>
          <w:lang w:val="en-GB" w:eastAsia="en-GB"/>
        </w:rPr>
      </w:pPr>
      <w:r w:rsidRPr="008579F4">
        <w:rPr>
          <w:sz w:val="16"/>
          <w:szCs w:val="16"/>
          <w:vertAlign w:val="superscript"/>
          <w:lang w:val="en-GB"/>
        </w:rPr>
        <w:footnoteRef/>
      </w:r>
      <w:r w:rsidRPr="008579F4">
        <w:rPr>
          <w:sz w:val="16"/>
          <w:szCs w:val="16"/>
          <w:lang w:val="en-GB"/>
        </w:rPr>
        <w:t xml:space="preserve"> </w:t>
      </w:r>
      <w:r w:rsidR="009C50CF">
        <w:rPr>
          <w:sz w:val="16"/>
          <w:szCs w:val="16"/>
          <w:lang w:val="en-GB"/>
        </w:rPr>
        <w:t>Application nos.</w:t>
      </w:r>
      <w:r w:rsidR="008643BB">
        <w:rPr>
          <w:sz w:val="16"/>
          <w:szCs w:val="16"/>
          <w:lang w:val="en-GB"/>
        </w:rPr>
        <w:t xml:space="preserve"> </w:t>
      </w:r>
      <w:r w:rsidR="009C50CF">
        <w:rPr>
          <w:sz w:val="16"/>
          <w:szCs w:val="16"/>
          <w:lang w:val="en-GB"/>
        </w:rPr>
        <w:t>34044/96; 44801/98</w:t>
      </w:r>
      <w:r w:rsidR="008643BB">
        <w:rPr>
          <w:sz w:val="16"/>
          <w:szCs w:val="16"/>
          <w:lang w:val="en-GB"/>
        </w:rPr>
        <w:t>,</w:t>
      </w:r>
      <w:r w:rsidR="009C50CF">
        <w:rPr>
          <w:sz w:val="16"/>
          <w:szCs w:val="16"/>
          <w:lang w:val="en-GB"/>
        </w:rPr>
        <w:t xml:space="preserve"> </w:t>
      </w:r>
      <w:r w:rsidRPr="008579F4">
        <w:rPr>
          <w:sz w:val="16"/>
          <w:szCs w:val="16"/>
          <w:lang w:val="en-GB"/>
        </w:rPr>
        <w:t xml:space="preserve">[2001] </w:t>
      </w:r>
      <w:r w:rsidR="009C50CF">
        <w:rPr>
          <w:sz w:val="16"/>
          <w:szCs w:val="16"/>
          <w:lang w:val="en-GB"/>
        </w:rPr>
        <w:t>ECHR 230 (22 March 2001).</w:t>
      </w:r>
    </w:p>
  </w:footnote>
  <w:footnote w:id="63">
    <w:p w14:paraId="235DF499" w14:textId="702C5188" w:rsidR="00DB3EBE" w:rsidRPr="008579F4" w:rsidRDefault="00DB3EBE" w:rsidP="009372B7">
      <w:pPr>
        <w:pStyle w:val="Body"/>
        <w:rPr>
          <w:rFonts w:eastAsia="Times New Roman"/>
          <w:color w:val="auto"/>
          <w:sz w:val="16"/>
          <w:szCs w:val="16"/>
          <w:lang w:val="en-GB" w:eastAsia="en-GB"/>
        </w:rPr>
      </w:pPr>
      <w:r w:rsidRPr="008579F4">
        <w:rPr>
          <w:sz w:val="16"/>
          <w:szCs w:val="16"/>
          <w:vertAlign w:val="superscript"/>
          <w:lang w:val="en-GB"/>
        </w:rPr>
        <w:footnoteRef/>
      </w:r>
      <w:r w:rsidR="008643BB">
        <w:rPr>
          <w:sz w:val="16"/>
          <w:szCs w:val="16"/>
          <w:lang w:val="en-GB"/>
        </w:rPr>
        <w:t xml:space="preserve"> Application no. 37201/97, [2001]</w:t>
      </w:r>
      <w:r w:rsidRPr="008579F4">
        <w:rPr>
          <w:sz w:val="16"/>
          <w:szCs w:val="16"/>
          <w:lang w:val="en-GB"/>
        </w:rPr>
        <w:t xml:space="preserve"> </w:t>
      </w:r>
      <w:r w:rsidR="008643BB">
        <w:rPr>
          <w:sz w:val="16"/>
          <w:szCs w:val="16"/>
          <w:lang w:val="en-GB"/>
        </w:rPr>
        <w:t>ECHR 229 (22 March 2001).</w:t>
      </w:r>
    </w:p>
  </w:footnote>
  <w:footnote w:id="64">
    <w:p w14:paraId="667D63A0" w14:textId="24951958" w:rsidR="00DB3EBE" w:rsidRPr="008579F4" w:rsidRDefault="00DB3EBE" w:rsidP="009372B7">
      <w:pPr>
        <w:pStyle w:val="FootnoteText"/>
        <w:rPr>
          <w:sz w:val="16"/>
          <w:szCs w:val="16"/>
        </w:rPr>
      </w:pPr>
      <w:r w:rsidRPr="008579F4">
        <w:rPr>
          <w:rStyle w:val="FootnoteReference"/>
          <w:sz w:val="16"/>
          <w:szCs w:val="16"/>
        </w:rPr>
        <w:footnoteRef/>
      </w:r>
      <w:r w:rsidRPr="008579F4">
        <w:rPr>
          <w:sz w:val="16"/>
          <w:szCs w:val="16"/>
        </w:rPr>
        <w:t xml:space="preserve"> </w:t>
      </w:r>
      <w:r w:rsidRPr="009372B7">
        <w:rPr>
          <w:sz w:val="16"/>
          <w:szCs w:val="16"/>
        </w:rPr>
        <w:t xml:space="preserve">See ‘Shootings at the Berlin Wall Case’, </w:t>
      </w:r>
      <w:proofErr w:type="spellStart"/>
      <w:r w:rsidRPr="009372B7">
        <w:rPr>
          <w:sz w:val="16"/>
          <w:szCs w:val="16"/>
        </w:rPr>
        <w:t>BGHst</w:t>
      </w:r>
      <w:proofErr w:type="spellEnd"/>
      <w:r w:rsidRPr="009372B7">
        <w:rPr>
          <w:sz w:val="16"/>
          <w:szCs w:val="16"/>
        </w:rPr>
        <w:t xml:space="preserve"> Band 39 S.1. The judgment can be found with an English translation along with the origi</w:t>
      </w:r>
      <w:r w:rsidR="00DD6408">
        <w:rPr>
          <w:sz w:val="16"/>
          <w:szCs w:val="16"/>
        </w:rPr>
        <w:t xml:space="preserve">nal German case transcript in </w:t>
      </w:r>
      <w:proofErr w:type="spellStart"/>
      <w:r w:rsidRPr="009372B7">
        <w:rPr>
          <w:rFonts w:eastAsia="Arial Unicode MS"/>
          <w:smallCaps/>
          <w:sz w:val="16"/>
          <w:szCs w:val="16"/>
        </w:rPr>
        <w:t>Youngs</w:t>
      </w:r>
      <w:proofErr w:type="spellEnd"/>
      <w:r w:rsidRPr="009372B7">
        <w:rPr>
          <w:rFonts w:eastAsia="Arial Unicode MS"/>
          <w:smallCaps/>
          <w:sz w:val="16"/>
          <w:szCs w:val="16"/>
        </w:rPr>
        <w:t xml:space="preserve"> Raymond, </w:t>
      </w:r>
      <w:r w:rsidRPr="009372B7">
        <w:rPr>
          <w:i/>
          <w:sz w:val="16"/>
          <w:szCs w:val="16"/>
        </w:rPr>
        <w:t>Sourcebook on German Law</w:t>
      </w:r>
      <w:r w:rsidRPr="009372B7">
        <w:rPr>
          <w:sz w:val="16"/>
          <w:szCs w:val="16"/>
        </w:rPr>
        <w:t>, London</w:t>
      </w:r>
      <w:proofErr w:type="gramStart"/>
      <w:r w:rsidRPr="009372B7">
        <w:rPr>
          <w:sz w:val="16"/>
          <w:szCs w:val="16"/>
        </w:rPr>
        <w:t>,  Cavendish</w:t>
      </w:r>
      <w:proofErr w:type="gramEnd"/>
      <w:r w:rsidRPr="009372B7">
        <w:rPr>
          <w:sz w:val="16"/>
          <w:szCs w:val="16"/>
        </w:rPr>
        <w:t>, 2002</w:t>
      </w:r>
      <w:r w:rsidRPr="008579F4">
        <w:rPr>
          <w:sz w:val="16"/>
          <w:szCs w:val="16"/>
        </w:rPr>
        <w:t>, p. 621.</w:t>
      </w:r>
    </w:p>
  </w:footnote>
  <w:footnote w:id="65">
    <w:p w14:paraId="7363ED5A" w14:textId="77777777" w:rsidR="00DB3EBE" w:rsidRPr="008579F4" w:rsidRDefault="00DB3EBE" w:rsidP="009372B7">
      <w:pPr>
        <w:pStyle w:val="Body"/>
        <w:rPr>
          <w:rFonts w:eastAsia="Times New Roman"/>
          <w:color w:val="auto"/>
          <w:sz w:val="16"/>
          <w:szCs w:val="16"/>
          <w:lang w:val="en-GB" w:eastAsia="en-GB"/>
        </w:rPr>
      </w:pPr>
      <w:r w:rsidRPr="008579F4">
        <w:rPr>
          <w:sz w:val="16"/>
          <w:szCs w:val="16"/>
          <w:vertAlign w:val="superscript"/>
          <w:lang w:val="en-GB"/>
        </w:rPr>
        <w:footnoteRef/>
      </w:r>
      <w:r w:rsidRPr="008579F4">
        <w:rPr>
          <w:sz w:val="16"/>
          <w:szCs w:val="16"/>
          <w:lang w:val="en-GB"/>
        </w:rPr>
        <w:t xml:space="preserve"> Ratification was another point of contention. It was argued that the ICCPR was not law, as it was never ratified.</w:t>
      </w:r>
    </w:p>
  </w:footnote>
  <w:footnote w:id="66">
    <w:p w14:paraId="5B959C0A" w14:textId="3F3A6520" w:rsidR="00DB3EBE" w:rsidRPr="008579F4" w:rsidRDefault="00DB3EBE" w:rsidP="009372B7">
      <w:pPr>
        <w:pStyle w:val="FootnoteText"/>
        <w:rPr>
          <w:sz w:val="16"/>
          <w:szCs w:val="16"/>
        </w:rPr>
      </w:pPr>
      <w:r w:rsidRPr="008579F4">
        <w:rPr>
          <w:rStyle w:val="FootnoteReference"/>
          <w:sz w:val="16"/>
          <w:szCs w:val="16"/>
        </w:rPr>
        <w:footnoteRef/>
      </w:r>
      <w:r w:rsidRPr="008579F4">
        <w:rPr>
          <w:sz w:val="16"/>
          <w:szCs w:val="16"/>
        </w:rPr>
        <w:t xml:space="preserve"> </w:t>
      </w:r>
      <w:r w:rsidRPr="009372B7">
        <w:rPr>
          <w:sz w:val="16"/>
          <w:szCs w:val="16"/>
        </w:rPr>
        <w:t xml:space="preserve">See ‘Shootings at the Berlin Wall Case’, </w:t>
      </w:r>
      <w:proofErr w:type="spellStart"/>
      <w:r w:rsidRPr="009372B7">
        <w:rPr>
          <w:sz w:val="16"/>
          <w:szCs w:val="16"/>
        </w:rPr>
        <w:t>BGHst</w:t>
      </w:r>
      <w:proofErr w:type="spellEnd"/>
      <w:r w:rsidRPr="009372B7">
        <w:rPr>
          <w:sz w:val="16"/>
          <w:szCs w:val="16"/>
        </w:rPr>
        <w:t xml:space="preserve"> Band 39 S.1. The judgment can be found with an English translation along with the origi</w:t>
      </w:r>
      <w:r w:rsidR="00DD6408">
        <w:rPr>
          <w:sz w:val="16"/>
          <w:szCs w:val="16"/>
        </w:rPr>
        <w:t xml:space="preserve">nal German case transcript in </w:t>
      </w:r>
      <w:proofErr w:type="spellStart"/>
      <w:r w:rsidRPr="009372B7">
        <w:rPr>
          <w:rFonts w:eastAsia="Arial Unicode MS"/>
          <w:smallCaps/>
          <w:sz w:val="16"/>
          <w:szCs w:val="16"/>
        </w:rPr>
        <w:t>Youngs</w:t>
      </w:r>
      <w:proofErr w:type="spellEnd"/>
      <w:r w:rsidRPr="009372B7">
        <w:rPr>
          <w:rFonts w:eastAsia="Arial Unicode MS"/>
          <w:smallCaps/>
          <w:sz w:val="16"/>
          <w:szCs w:val="16"/>
        </w:rPr>
        <w:t xml:space="preserve"> Raymond, </w:t>
      </w:r>
      <w:r w:rsidRPr="009372B7">
        <w:rPr>
          <w:i/>
          <w:sz w:val="16"/>
          <w:szCs w:val="16"/>
        </w:rPr>
        <w:t>Sourcebook on German Law</w:t>
      </w:r>
      <w:r w:rsidRPr="009372B7">
        <w:rPr>
          <w:sz w:val="16"/>
          <w:szCs w:val="16"/>
        </w:rPr>
        <w:t>, London</w:t>
      </w:r>
      <w:proofErr w:type="gramStart"/>
      <w:r w:rsidRPr="009372B7">
        <w:rPr>
          <w:sz w:val="16"/>
          <w:szCs w:val="16"/>
        </w:rPr>
        <w:t>,  Cavendish</w:t>
      </w:r>
      <w:proofErr w:type="gramEnd"/>
      <w:r w:rsidRPr="009372B7">
        <w:rPr>
          <w:sz w:val="16"/>
          <w:szCs w:val="16"/>
        </w:rPr>
        <w:t>, 2002</w:t>
      </w:r>
      <w:r w:rsidRPr="008579F4">
        <w:rPr>
          <w:sz w:val="16"/>
          <w:szCs w:val="16"/>
        </w:rPr>
        <w:t>, p. 649.</w:t>
      </w:r>
    </w:p>
  </w:footnote>
  <w:footnote w:id="67">
    <w:p w14:paraId="15901FB3" w14:textId="06FA1B5D" w:rsidR="00DB3EBE" w:rsidRPr="008579F4" w:rsidRDefault="00DB3EBE" w:rsidP="009372B7">
      <w:pPr>
        <w:pStyle w:val="Body"/>
        <w:rPr>
          <w:rFonts w:eastAsia="Times New Roman"/>
          <w:color w:val="auto"/>
          <w:sz w:val="16"/>
          <w:szCs w:val="16"/>
          <w:lang w:val="en-GB" w:eastAsia="en-GB"/>
        </w:rPr>
      </w:pPr>
      <w:r w:rsidRPr="008579F4">
        <w:rPr>
          <w:sz w:val="16"/>
          <w:szCs w:val="16"/>
          <w:vertAlign w:val="superscript"/>
          <w:lang w:val="en-GB"/>
        </w:rPr>
        <w:footnoteRef/>
      </w:r>
      <w:r w:rsidR="00DD6408" w:rsidRPr="00DD6408">
        <w:rPr>
          <w:sz w:val="16"/>
          <w:szCs w:val="16"/>
          <w:lang w:val="en-GB"/>
        </w:rPr>
        <w:t xml:space="preserve"> </w:t>
      </w:r>
      <w:proofErr w:type="gramStart"/>
      <w:r w:rsidR="00DD6408" w:rsidRPr="008579F4">
        <w:rPr>
          <w:sz w:val="16"/>
          <w:szCs w:val="16"/>
          <w:lang w:val="en-GB"/>
        </w:rPr>
        <w:t xml:space="preserve">[2001] </w:t>
      </w:r>
      <w:r w:rsidR="00DD6408">
        <w:rPr>
          <w:sz w:val="16"/>
          <w:szCs w:val="16"/>
          <w:lang w:val="en-GB"/>
        </w:rPr>
        <w:t>ECHR 230</w:t>
      </w:r>
      <w:r w:rsidR="00DD6408">
        <w:rPr>
          <w:sz w:val="16"/>
          <w:szCs w:val="16"/>
          <w:lang w:val="en-GB"/>
        </w:rPr>
        <w:t>.</w:t>
      </w:r>
      <w:proofErr w:type="gramEnd"/>
    </w:p>
  </w:footnote>
  <w:footnote w:id="68">
    <w:p w14:paraId="551CD75D" w14:textId="7025AF11" w:rsidR="00DB3EBE" w:rsidRPr="008579F4" w:rsidRDefault="00DB3EBE" w:rsidP="009372B7">
      <w:pPr>
        <w:pStyle w:val="FootnoteText"/>
        <w:rPr>
          <w:sz w:val="16"/>
          <w:szCs w:val="16"/>
        </w:rPr>
      </w:pPr>
      <w:r w:rsidRPr="008579F4">
        <w:rPr>
          <w:rStyle w:val="FootnoteReference"/>
          <w:sz w:val="16"/>
          <w:szCs w:val="16"/>
        </w:rPr>
        <w:footnoteRef/>
      </w:r>
      <w:r w:rsidRPr="008579F4">
        <w:rPr>
          <w:sz w:val="16"/>
          <w:szCs w:val="16"/>
        </w:rPr>
        <w:t xml:space="preserve"> </w:t>
      </w:r>
      <w:proofErr w:type="gramStart"/>
      <w:r w:rsidR="00DD6408">
        <w:rPr>
          <w:sz w:val="16"/>
          <w:szCs w:val="16"/>
        </w:rPr>
        <w:t>[2001]</w:t>
      </w:r>
      <w:r w:rsidR="00DD6408" w:rsidRPr="008579F4">
        <w:rPr>
          <w:sz w:val="16"/>
          <w:szCs w:val="16"/>
        </w:rPr>
        <w:t xml:space="preserve"> </w:t>
      </w:r>
      <w:r w:rsidR="00DD6408">
        <w:rPr>
          <w:sz w:val="16"/>
          <w:szCs w:val="16"/>
        </w:rPr>
        <w:t>ECHR 229</w:t>
      </w:r>
      <w:r w:rsidR="00DD6408">
        <w:rPr>
          <w:sz w:val="16"/>
          <w:szCs w:val="16"/>
        </w:rPr>
        <w:t>.</w:t>
      </w:r>
      <w:proofErr w:type="gramEnd"/>
      <w:r w:rsidR="00DD6408">
        <w:rPr>
          <w:sz w:val="16"/>
          <w:szCs w:val="16"/>
        </w:rPr>
        <w:t xml:space="preserve"> </w:t>
      </w:r>
      <w:r w:rsidRPr="009372B7">
        <w:rPr>
          <w:sz w:val="16"/>
          <w:szCs w:val="16"/>
        </w:rPr>
        <w:t xml:space="preserve">See </w:t>
      </w:r>
      <w:r w:rsidR="00DD6408">
        <w:rPr>
          <w:sz w:val="16"/>
          <w:szCs w:val="16"/>
        </w:rPr>
        <w:t xml:space="preserve">also </w:t>
      </w:r>
      <w:r w:rsidRPr="009372B7">
        <w:rPr>
          <w:sz w:val="16"/>
          <w:szCs w:val="16"/>
        </w:rPr>
        <w:t xml:space="preserve">‘Shootings at the Berlin Wall Case’, </w:t>
      </w:r>
      <w:proofErr w:type="spellStart"/>
      <w:r w:rsidRPr="009372B7">
        <w:rPr>
          <w:sz w:val="16"/>
          <w:szCs w:val="16"/>
        </w:rPr>
        <w:t>BGHst</w:t>
      </w:r>
      <w:proofErr w:type="spellEnd"/>
      <w:r w:rsidRPr="009372B7">
        <w:rPr>
          <w:sz w:val="16"/>
          <w:szCs w:val="16"/>
        </w:rPr>
        <w:t xml:space="preserve"> Band 39 S.1. The judgment can be found with an English translation along with the origi</w:t>
      </w:r>
      <w:r w:rsidR="00DD6408">
        <w:rPr>
          <w:sz w:val="16"/>
          <w:szCs w:val="16"/>
        </w:rPr>
        <w:t xml:space="preserve">nal German case transcript in </w:t>
      </w:r>
      <w:proofErr w:type="spellStart"/>
      <w:r w:rsidRPr="009372B7">
        <w:rPr>
          <w:rFonts w:eastAsia="Arial Unicode MS"/>
          <w:smallCaps/>
          <w:sz w:val="16"/>
          <w:szCs w:val="16"/>
        </w:rPr>
        <w:t>Youngs</w:t>
      </w:r>
      <w:proofErr w:type="spellEnd"/>
      <w:r w:rsidRPr="009372B7">
        <w:rPr>
          <w:rFonts w:eastAsia="Arial Unicode MS"/>
          <w:smallCaps/>
          <w:sz w:val="16"/>
          <w:szCs w:val="16"/>
        </w:rPr>
        <w:t xml:space="preserve"> Raymond, </w:t>
      </w:r>
      <w:r w:rsidRPr="009372B7">
        <w:rPr>
          <w:i/>
          <w:sz w:val="16"/>
          <w:szCs w:val="16"/>
        </w:rPr>
        <w:t>Sourcebook on German Law</w:t>
      </w:r>
      <w:r w:rsidRPr="009372B7">
        <w:rPr>
          <w:sz w:val="16"/>
          <w:szCs w:val="16"/>
        </w:rPr>
        <w:t>, London</w:t>
      </w:r>
      <w:proofErr w:type="gramStart"/>
      <w:r w:rsidRPr="009372B7">
        <w:rPr>
          <w:sz w:val="16"/>
          <w:szCs w:val="16"/>
        </w:rPr>
        <w:t>,  Cavendish</w:t>
      </w:r>
      <w:proofErr w:type="gramEnd"/>
      <w:r w:rsidRPr="009372B7">
        <w:rPr>
          <w:sz w:val="16"/>
          <w:szCs w:val="16"/>
        </w:rPr>
        <w:t>, 2002</w:t>
      </w:r>
      <w:r w:rsidRPr="008579F4">
        <w:rPr>
          <w:sz w:val="16"/>
          <w:szCs w:val="16"/>
        </w:rPr>
        <w:t>, p. 625.</w:t>
      </w:r>
    </w:p>
  </w:footnote>
  <w:footnote w:id="69">
    <w:p w14:paraId="4E7EF39C" w14:textId="77777777" w:rsidR="00DB3EBE" w:rsidRPr="008579F4" w:rsidRDefault="00DB3EBE" w:rsidP="009372B7">
      <w:pPr>
        <w:pStyle w:val="Body"/>
        <w:rPr>
          <w:rFonts w:eastAsia="Times New Roman"/>
          <w:color w:val="auto"/>
          <w:sz w:val="16"/>
          <w:szCs w:val="16"/>
          <w:lang w:val="en-GB" w:eastAsia="en-GB"/>
        </w:rPr>
      </w:pPr>
      <w:r w:rsidRPr="008579F4">
        <w:rPr>
          <w:sz w:val="16"/>
          <w:szCs w:val="16"/>
          <w:vertAlign w:val="superscript"/>
          <w:lang w:val="en-GB"/>
        </w:rPr>
        <w:footnoteRef/>
      </w:r>
      <w:r w:rsidRPr="008579F4">
        <w:rPr>
          <w:sz w:val="16"/>
          <w:szCs w:val="16"/>
          <w:lang w:val="en-GB"/>
        </w:rPr>
        <w:t xml:space="preserve"> </w:t>
      </w:r>
      <w:proofErr w:type="gramStart"/>
      <w:r w:rsidRPr="008579F4">
        <w:rPr>
          <w:sz w:val="16"/>
          <w:szCs w:val="16"/>
          <w:lang w:val="en-GB"/>
        </w:rPr>
        <w:t>Para.</w:t>
      </w:r>
      <w:proofErr w:type="gramEnd"/>
      <w:r w:rsidRPr="008579F4">
        <w:rPr>
          <w:sz w:val="16"/>
          <w:szCs w:val="16"/>
          <w:lang w:val="en-GB"/>
        </w:rPr>
        <w:t xml:space="preserve"> 75.</w:t>
      </w:r>
    </w:p>
  </w:footnote>
  <w:footnote w:id="70">
    <w:p w14:paraId="775485EE" w14:textId="4EB9268D" w:rsidR="00DB3EBE" w:rsidRPr="002114BE" w:rsidRDefault="00DB3EBE" w:rsidP="009372B7">
      <w:pPr>
        <w:outlineLvl w:val="0"/>
        <w:rPr>
          <w:i/>
          <w:sz w:val="16"/>
          <w:szCs w:val="16"/>
          <w:lang w:eastAsia="en-GB"/>
        </w:rPr>
      </w:pPr>
      <w:r w:rsidRPr="002114BE">
        <w:rPr>
          <w:rFonts w:eastAsia="ヒラギノ角ゴ Pro W3"/>
          <w:color w:val="000000"/>
          <w:sz w:val="16"/>
          <w:szCs w:val="16"/>
          <w:u w:color="000000"/>
          <w:vertAlign w:val="superscript"/>
        </w:rPr>
        <w:footnoteRef/>
      </w:r>
      <w:r w:rsidRPr="002114BE">
        <w:rPr>
          <w:rFonts w:eastAsia="ヒラギノ角ゴ Pro W3"/>
          <w:color w:val="000000"/>
          <w:sz w:val="16"/>
          <w:szCs w:val="16"/>
          <w:u w:color="000000"/>
        </w:rPr>
        <w:t xml:space="preserve"> </w:t>
      </w:r>
      <w:proofErr w:type="gramStart"/>
      <w:r w:rsidR="00DD6408">
        <w:rPr>
          <w:sz w:val="16"/>
          <w:szCs w:val="16"/>
        </w:rPr>
        <w:t>[2001]</w:t>
      </w:r>
      <w:r w:rsidR="00DD6408" w:rsidRPr="008579F4">
        <w:rPr>
          <w:sz w:val="16"/>
          <w:szCs w:val="16"/>
        </w:rPr>
        <w:t xml:space="preserve"> </w:t>
      </w:r>
      <w:r w:rsidR="00DD6408">
        <w:rPr>
          <w:sz w:val="16"/>
          <w:szCs w:val="16"/>
        </w:rPr>
        <w:t>ECHR 229</w:t>
      </w:r>
      <w:r w:rsidR="00DD6408">
        <w:rPr>
          <w:sz w:val="16"/>
          <w:szCs w:val="16"/>
        </w:rPr>
        <w:t xml:space="preserve">, concurring opinion </w:t>
      </w:r>
      <w:proofErr w:type="spellStart"/>
      <w:r w:rsidR="00DD6408">
        <w:rPr>
          <w:sz w:val="16"/>
          <w:szCs w:val="16"/>
        </w:rPr>
        <w:t>Bratza</w:t>
      </w:r>
      <w:proofErr w:type="spellEnd"/>
      <w:r w:rsidRPr="002114BE">
        <w:rPr>
          <w:sz w:val="16"/>
          <w:szCs w:val="16"/>
        </w:rPr>
        <w:t>.</w:t>
      </w:r>
      <w:proofErr w:type="gramEnd"/>
    </w:p>
  </w:footnote>
  <w:footnote w:id="71">
    <w:p w14:paraId="00A2E8A3" w14:textId="6D660BB8" w:rsidR="00DB3EBE" w:rsidRPr="002114BE" w:rsidRDefault="00DB3EBE" w:rsidP="00973795">
      <w:pPr>
        <w:pStyle w:val="FootnoteText"/>
        <w:rPr>
          <w:sz w:val="16"/>
          <w:szCs w:val="16"/>
          <w:lang w:val="en-US"/>
        </w:rPr>
      </w:pPr>
      <w:r w:rsidRPr="002114BE">
        <w:rPr>
          <w:rStyle w:val="FootnoteReference"/>
          <w:sz w:val="16"/>
          <w:szCs w:val="16"/>
        </w:rPr>
        <w:footnoteRef/>
      </w:r>
      <w:r w:rsidRPr="002114BE">
        <w:rPr>
          <w:sz w:val="16"/>
          <w:szCs w:val="16"/>
        </w:rPr>
        <w:t xml:space="preserve"> </w:t>
      </w:r>
      <w:proofErr w:type="gramStart"/>
      <w:r w:rsidR="00DD6408" w:rsidRPr="008579F4">
        <w:rPr>
          <w:sz w:val="16"/>
          <w:szCs w:val="16"/>
        </w:rPr>
        <w:t xml:space="preserve">[2001] </w:t>
      </w:r>
      <w:r w:rsidR="00DD6408">
        <w:rPr>
          <w:sz w:val="16"/>
          <w:szCs w:val="16"/>
        </w:rPr>
        <w:t>ECHR 230</w:t>
      </w:r>
      <w:r w:rsidRPr="002114BE">
        <w:rPr>
          <w:sz w:val="16"/>
          <w:szCs w:val="16"/>
        </w:rPr>
        <w:t xml:space="preserve">, </w:t>
      </w:r>
      <w:r>
        <w:rPr>
          <w:sz w:val="16"/>
          <w:szCs w:val="16"/>
          <w:lang w:val="en-US"/>
        </w:rPr>
        <w:t xml:space="preserve">concurring opinion </w:t>
      </w:r>
      <w:proofErr w:type="spellStart"/>
      <w:r>
        <w:rPr>
          <w:sz w:val="16"/>
          <w:szCs w:val="16"/>
          <w:lang w:val="en-US"/>
        </w:rPr>
        <w:t>Loucaides</w:t>
      </w:r>
      <w:proofErr w:type="spellEnd"/>
      <w:r>
        <w:rPr>
          <w:sz w:val="16"/>
          <w:szCs w:val="16"/>
          <w:lang w:val="en-US"/>
        </w:rPr>
        <w:t>.</w:t>
      </w:r>
      <w:proofErr w:type="gramEnd"/>
    </w:p>
  </w:footnote>
  <w:footnote w:id="72">
    <w:p w14:paraId="1EA38A37" w14:textId="2F1C6326" w:rsidR="00DB3EBE" w:rsidRPr="002114BE" w:rsidRDefault="00DB3EBE">
      <w:pPr>
        <w:pStyle w:val="FootnoteText"/>
        <w:rPr>
          <w:sz w:val="16"/>
          <w:szCs w:val="16"/>
          <w:lang w:val="en-US"/>
        </w:rPr>
      </w:pPr>
      <w:r w:rsidRPr="002114BE">
        <w:rPr>
          <w:rStyle w:val="FootnoteReference"/>
          <w:sz w:val="16"/>
          <w:szCs w:val="16"/>
        </w:rPr>
        <w:footnoteRef/>
      </w:r>
      <w:r w:rsidRPr="002114BE">
        <w:rPr>
          <w:sz w:val="16"/>
          <w:szCs w:val="16"/>
        </w:rPr>
        <w:t xml:space="preserve"> </w:t>
      </w:r>
      <w:proofErr w:type="spellStart"/>
      <w:proofErr w:type="gramStart"/>
      <w:r w:rsidRPr="00197BDE">
        <w:rPr>
          <w:i/>
          <w:sz w:val="16"/>
          <w:szCs w:val="16"/>
        </w:rPr>
        <w:t>Ibidem</w:t>
      </w:r>
      <w:proofErr w:type="spellEnd"/>
      <w:r w:rsidRPr="002114BE">
        <w:rPr>
          <w:sz w:val="16"/>
          <w:szCs w:val="16"/>
        </w:rPr>
        <w:t>.</w:t>
      </w:r>
      <w:proofErr w:type="gramEnd"/>
    </w:p>
  </w:footnote>
  <w:footnote w:id="73">
    <w:p w14:paraId="559476FE" w14:textId="527E9EB2" w:rsidR="00DB3EBE" w:rsidRPr="002114BE" w:rsidRDefault="00DB3EBE" w:rsidP="00973795">
      <w:pPr>
        <w:pStyle w:val="FootnoteText"/>
        <w:rPr>
          <w:sz w:val="16"/>
          <w:szCs w:val="16"/>
          <w:lang w:val="en-US"/>
        </w:rPr>
      </w:pPr>
      <w:r w:rsidRPr="002114BE">
        <w:rPr>
          <w:rStyle w:val="FootnoteReference"/>
          <w:sz w:val="16"/>
          <w:szCs w:val="16"/>
        </w:rPr>
        <w:footnoteRef/>
      </w:r>
      <w:r w:rsidRPr="002114BE">
        <w:rPr>
          <w:sz w:val="16"/>
          <w:szCs w:val="16"/>
        </w:rPr>
        <w:t xml:space="preserve"> </w:t>
      </w:r>
      <w:proofErr w:type="spellStart"/>
      <w:r w:rsidRPr="00197BDE">
        <w:rPr>
          <w:i/>
          <w:sz w:val="16"/>
          <w:szCs w:val="16"/>
          <w:lang w:val="en-US"/>
        </w:rPr>
        <w:t>Ibidem</w:t>
      </w:r>
      <w:proofErr w:type="spellEnd"/>
      <w:r>
        <w:rPr>
          <w:sz w:val="16"/>
          <w:szCs w:val="16"/>
          <w:lang w:val="en-US"/>
        </w:rPr>
        <w:t xml:space="preserve">, </w:t>
      </w:r>
      <w:proofErr w:type="gramStart"/>
      <w:r w:rsidRPr="002114BE">
        <w:rPr>
          <w:sz w:val="16"/>
          <w:szCs w:val="16"/>
          <w:lang w:val="en-US"/>
        </w:rPr>
        <w:t>concurring</w:t>
      </w:r>
      <w:proofErr w:type="gramEnd"/>
      <w:r w:rsidRPr="002114BE">
        <w:rPr>
          <w:sz w:val="16"/>
          <w:szCs w:val="16"/>
          <w:lang w:val="en-US"/>
        </w:rPr>
        <w:t xml:space="preserve"> opinion </w:t>
      </w:r>
      <w:proofErr w:type="spellStart"/>
      <w:r w:rsidRPr="002114BE">
        <w:rPr>
          <w:sz w:val="16"/>
          <w:szCs w:val="16"/>
          <w:lang w:val="en-US"/>
        </w:rPr>
        <w:t>Levits</w:t>
      </w:r>
      <w:proofErr w:type="spellEnd"/>
      <w:r w:rsidRPr="002114BE">
        <w:rPr>
          <w:sz w:val="16"/>
          <w:szCs w:val="16"/>
          <w:lang w:val="en-US"/>
        </w:rPr>
        <w:t>.</w:t>
      </w:r>
    </w:p>
  </w:footnote>
  <w:footnote w:id="74">
    <w:p w14:paraId="767FF6D1" w14:textId="7A868A7A" w:rsidR="00DB3EBE" w:rsidRPr="002114BE" w:rsidRDefault="00DB3EBE">
      <w:pPr>
        <w:pStyle w:val="FootnoteText"/>
        <w:rPr>
          <w:sz w:val="16"/>
          <w:szCs w:val="16"/>
          <w:lang w:val="en-US"/>
        </w:rPr>
      </w:pPr>
      <w:r w:rsidRPr="002114BE">
        <w:rPr>
          <w:rStyle w:val="FootnoteReference"/>
          <w:sz w:val="16"/>
          <w:szCs w:val="16"/>
        </w:rPr>
        <w:footnoteRef/>
      </w:r>
      <w:r w:rsidRPr="002114BE">
        <w:rPr>
          <w:sz w:val="16"/>
          <w:szCs w:val="16"/>
        </w:rPr>
        <w:t xml:space="preserve"> </w:t>
      </w:r>
      <w:proofErr w:type="spellStart"/>
      <w:r w:rsidRPr="00197BDE">
        <w:rPr>
          <w:i/>
          <w:sz w:val="16"/>
          <w:szCs w:val="16"/>
        </w:rPr>
        <w:t>Ibidem</w:t>
      </w:r>
      <w:proofErr w:type="spellEnd"/>
      <w:r>
        <w:rPr>
          <w:sz w:val="16"/>
          <w:szCs w:val="16"/>
        </w:rPr>
        <w:t xml:space="preserve">, </w:t>
      </w:r>
      <w:proofErr w:type="gramStart"/>
      <w:r w:rsidRPr="002114BE">
        <w:rPr>
          <w:sz w:val="16"/>
          <w:szCs w:val="16"/>
          <w:lang w:val="en-US"/>
        </w:rPr>
        <w:t>concurring</w:t>
      </w:r>
      <w:proofErr w:type="gramEnd"/>
      <w:r w:rsidRPr="002114BE">
        <w:rPr>
          <w:sz w:val="16"/>
          <w:szCs w:val="16"/>
          <w:lang w:val="en-US"/>
        </w:rPr>
        <w:t xml:space="preserve"> opinion </w:t>
      </w:r>
      <w:proofErr w:type="spellStart"/>
      <w:r w:rsidRPr="002114BE">
        <w:rPr>
          <w:sz w:val="16"/>
          <w:szCs w:val="16"/>
          <w:lang w:val="en-US"/>
        </w:rPr>
        <w:t>Loucaides</w:t>
      </w:r>
      <w:proofErr w:type="spellEnd"/>
      <w:r w:rsidRPr="002114BE">
        <w:rPr>
          <w:sz w:val="16"/>
          <w:szCs w:val="16"/>
          <w:lang w:val="en-US"/>
        </w:rPr>
        <w:t>.</w:t>
      </w:r>
    </w:p>
  </w:footnote>
  <w:footnote w:id="75">
    <w:p w14:paraId="01886A2D" w14:textId="42D25E41" w:rsidR="00DB3EBE" w:rsidRPr="002114BE" w:rsidRDefault="00DB3EBE">
      <w:pPr>
        <w:pStyle w:val="FootnoteText"/>
        <w:rPr>
          <w:sz w:val="16"/>
          <w:szCs w:val="16"/>
          <w:lang w:val="en-US"/>
        </w:rPr>
      </w:pPr>
      <w:r w:rsidRPr="002114BE">
        <w:rPr>
          <w:rStyle w:val="FootnoteReference"/>
          <w:sz w:val="16"/>
          <w:szCs w:val="16"/>
        </w:rPr>
        <w:footnoteRef/>
      </w:r>
      <w:r w:rsidRPr="002114BE">
        <w:rPr>
          <w:sz w:val="16"/>
          <w:szCs w:val="16"/>
        </w:rPr>
        <w:t xml:space="preserve"> </w:t>
      </w:r>
      <w:r>
        <w:rPr>
          <w:smallCaps/>
          <w:sz w:val="16"/>
          <w:szCs w:val="16"/>
        </w:rPr>
        <w:t xml:space="preserve">Shelton Dinah, </w:t>
      </w:r>
      <w:r w:rsidRPr="002114BE">
        <w:rPr>
          <w:i/>
          <w:sz w:val="16"/>
          <w:szCs w:val="16"/>
          <w:lang w:val="en-US"/>
        </w:rPr>
        <w:t>Regional Protection of Human Rights, Vol. 1</w:t>
      </w:r>
      <w:r>
        <w:rPr>
          <w:sz w:val="16"/>
          <w:szCs w:val="16"/>
          <w:lang w:val="en-US"/>
        </w:rPr>
        <w:t>, Oxford, Oxford University Press, p. 456.</w:t>
      </w:r>
    </w:p>
  </w:footnote>
  <w:footnote w:id="76">
    <w:p w14:paraId="6454D925" w14:textId="2617AF80" w:rsidR="00DB3EBE" w:rsidRPr="00ED5C26" w:rsidRDefault="00DB3EBE" w:rsidP="00973795">
      <w:pPr>
        <w:pStyle w:val="FootnoteText"/>
        <w:rPr>
          <w:i/>
          <w:sz w:val="16"/>
          <w:szCs w:val="16"/>
        </w:rPr>
      </w:pPr>
      <w:r w:rsidRPr="002668BE">
        <w:rPr>
          <w:rStyle w:val="FootnoteReference"/>
          <w:sz w:val="16"/>
          <w:szCs w:val="16"/>
        </w:rPr>
        <w:footnoteRef/>
      </w:r>
      <w:r w:rsidRPr="002668BE">
        <w:rPr>
          <w:sz w:val="16"/>
          <w:szCs w:val="16"/>
        </w:rPr>
        <w:t xml:space="preserve"> </w:t>
      </w:r>
      <w:proofErr w:type="gramStart"/>
      <w:r w:rsidR="00DD6408">
        <w:rPr>
          <w:sz w:val="16"/>
          <w:szCs w:val="16"/>
        </w:rPr>
        <w:t>[2001]</w:t>
      </w:r>
      <w:r w:rsidR="00DD6408" w:rsidRPr="008579F4">
        <w:rPr>
          <w:sz w:val="16"/>
          <w:szCs w:val="16"/>
        </w:rPr>
        <w:t xml:space="preserve"> </w:t>
      </w:r>
      <w:r w:rsidR="00DD6408">
        <w:rPr>
          <w:sz w:val="16"/>
          <w:szCs w:val="16"/>
        </w:rPr>
        <w:t>ECHR 229</w:t>
      </w:r>
      <w:r>
        <w:rPr>
          <w:sz w:val="16"/>
          <w:szCs w:val="16"/>
        </w:rPr>
        <w:t>,</w:t>
      </w:r>
      <w:r w:rsidRPr="002668BE">
        <w:rPr>
          <w:sz w:val="16"/>
          <w:szCs w:val="16"/>
          <w:lang w:val="en-US"/>
        </w:rPr>
        <w:t xml:space="preserve"> para.</w:t>
      </w:r>
      <w:proofErr w:type="gramEnd"/>
      <w:r w:rsidRPr="002668BE">
        <w:rPr>
          <w:sz w:val="16"/>
          <w:szCs w:val="16"/>
          <w:lang w:val="en-US"/>
        </w:rPr>
        <w:t xml:space="preserve"> 4.</w:t>
      </w:r>
    </w:p>
  </w:footnote>
  <w:footnote w:id="77">
    <w:p w14:paraId="261B3C15" w14:textId="6B76A584" w:rsidR="00DB3EBE" w:rsidRPr="002668BE" w:rsidRDefault="00DB3EBE" w:rsidP="00973795">
      <w:pPr>
        <w:pStyle w:val="FootnoteText"/>
        <w:rPr>
          <w:sz w:val="16"/>
          <w:szCs w:val="16"/>
          <w:lang w:val="en-US"/>
        </w:rPr>
      </w:pPr>
      <w:r w:rsidRPr="002668BE">
        <w:rPr>
          <w:rStyle w:val="FootnoteReference"/>
          <w:sz w:val="16"/>
          <w:szCs w:val="16"/>
        </w:rPr>
        <w:footnoteRef/>
      </w:r>
      <w:r w:rsidRPr="002668BE">
        <w:rPr>
          <w:sz w:val="16"/>
          <w:szCs w:val="16"/>
        </w:rPr>
        <w:t xml:space="preserve"> </w:t>
      </w:r>
      <w:proofErr w:type="spellStart"/>
      <w:proofErr w:type="gramStart"/>
      <w:r w:rsidRPr="00197BDE">
        <w:rPr>
          <w:i/>
          <w:sz w:val="16"/>
          <w:szCs w:val="16"/>
          <w:lang w:val="en-US"/>
        </w:rPr>
        <w:t>Ibidem</w:t>
      </w:r>
      <w:proofErr w:type="spellEnd"/>
      <w:r>
        <w:rPr>
          <w:sz w:val="16"/>
          <w:szCs w:val="16"/>
          <w:lang w:val="en-US"/>
        </w:rPr>
        <w:t xml:space="preserve">, </w:t>
      </w:r>
      <w:r w:rsidRPr="002668BE">
        <w:rPr>
          <w:sz w:val="16"/>
          <w:szCs w:val="16"/>
          <w:lang w:val="en-US"/>
        </w:rPr>
        <w:t>para.</w:t>
      </w:r>
      <w:proofErr w:type="gramEnd"/>
      <w:r w:rsidRPr="002668BE">
        <w:rPr>
          <w:sz w:val="16"/>
          <w:szCs w:val="16"/>
          <w:lang w:val="en-US"/>
        </w:rPr>
        <w:t xml:space="preserve"> 6</w:t>
      </w:r>
    </w:p>
  </w:footnote>
  <w:footnote w:id="78">
    <w:p w14:paraId="7DDCAAB9" w14:textId="6528BDEC" w:rsidR="00DB3EBE" w:rsidRPr="002668BE" w:rsidRDefault="00DB3EBE" w:rsidP="00973795">
      <w:pPr>
        <w:pStyle w:val="FootnoteText"/>
        <w:rPr>
          <w:sz w:val="16"/>
          <w:szCs w:val="16"/>
          <w:lang w:val="en-US"/>
        </w:rPr>
      </w:pPr>
      <w:r w:rsidRPr="002668BE">
        <w:rPr>
          <w:rStyle w:val="FootnoteReference"/>
          <w:sz w:val="16"/>
          <w:szCs w:val="16"/>
        </w:rPr>
        <w:footnoteRef/>
      </w:r>
      <w:r w:rsidRPr="002668BE">
        <w:rPr>
          <w:sz w:val="16"/>
          <w:szCs w:val="16"/>
        </w:rPr>
        <w:t xml:space="preserve"> </w:t>
      </w:r>
      <w:proofErr w:type="spellStart"/>
      <w:proofErr w:type="gramStart"/>
      <w:r w:rsidRPr="00217D46">
        <w:rPr>
          <w:i/>
          <w:sz w:val="16"/>
          <w:szCs w:val="16"/>
        </w:rPr>
        <w:t>Ibidem</w:t>
      </w:r>
      <w:proofErr w:type="spellEnd"/>
      <w:r w:rsidRPr="002668BE">
        <w:rPr>
          <w:color w:val="000000"/>
          <w:sz w:val="16"/>
          <w:szCs w:val="16"/>
        </w:rPr>
        <w:t>.</w:t>
      </w:r>
      <w:proofErr w:type="gramEnd"/>
    </w:p>
  </w:footnote>
  <w:footnote w:id="79">
    <w:p w14:paraId="158E64C9" w14:textId="4CDAC079" w:rsidR="00DB3EBE" w:rsidRPr="00ED5C26" w:rsidRDefault="00DB3EBE" w:rsidP="00973795">
      <w:pPr>
        <w:pStyle w:val="FootnoteText"/>
        <w:rPr>
          <w:sz w:val="16"/>
          <w:szCs w:val="16"/>
          <w:lang w:val="en-US"/>
        </w:rPr>
      </w:pPr>
      <w:r w:rsidRPr="00ED5C26">
        <w:rPr>
          <w:rStyle w:val="FootnoteReference"/>
          <w:sz w:val="16"/>
          <w:szCs w:val="16"/>
        </w:rPr>
        <w:footnoteRef/>
      </w:r>
      <w:r w:rsidRPr="00ED5C26">
        <w:rPr>
          <w:sz w:val="16"/>
          <w:szCs w:val="16"/>
        </w:rPr>
        <w:t xml:space="preserve"> </w:t>
      </w:r>
      <w:proofErr w:type="spellStart"/>
      <w:proofErr w:type="gramStart"/>
      <w:r w:rsidRPr="00217D46">
        <w:rPr>
          <w:i/>
          <w:sz w:val="16"/>
          <w:szCs w:val="16"/>
          <w:lang w:val="en-US"/>
        </w:rPr>
        <w:t>Ibidem</w:t>
      </w:r>
      <w:proofErr w:type="spellEnd"/>
      <w:r w:rsidRPr="00ED5C26">
        <w:rPr>
          <w:sz w:val="16"/>
          <w:szCs w:val="16"/>
          <w:lang w:val="en-US"/>
        </w:rPr>
        <w:t>.</w:t>
      </w:r>
      <w:proofErr w:type="gramEnd"/>
      <w:r w:rsidRPr="00ED5C26">
        <w:rPr>
          <w:color w:val="FF0000"/>
          <w:sz w:val="16"/>
          <w:szCs w:val="16"/>
        </w:rPr>
        <w:t xml:space="preserve"> The </w:t>
      </w:r>
      <w:proofErr w:type="spellStart"/>
      <w:r w:rsidRPr="00ED5C26">
        <w:rPr>
          <w:color w:val="FF0000"/>
          <w:sz w:val="16"/>
          <w:szCs w:val="16"/>
        </w:rPr>
        <w:t>ECtHR</w:t>
      </w:r>
      <w:proofErr w:type="spellEnd"/>
      <w:r w:rsidRPr="00ED5C26">
        <w:rPr>
          <w:color w:val="FF0000"/>
          <w:sz w:val="16"/>
          <w:szCs w:val="16"/>
        </w:rPr>
        <w:t xml:space="preserve"> referred to a</w:t>
      </w:r>
      <w:r w:rsidR="00C5004A">
        <w:rPr>
          <w:color w:val="FF0000"/>
          <w:sz w:val="16"/>
          <w:szCs w:val="16"/>
        </w:rPr>
        <w:t xml:space="preserve"> </w:t>
      </w:r>
      <w:r w:rsidRPr="00ED5C26">
        <w:rPr>
          <w:color w:val="FF0000"/>
          <w:sz w:val="16"/>
          <w:szCs w:val="16"/>
        </w:rPr>
        <w:t>1988 decision (</w:t>
      </w:r>
      <w:proofErr w:type="spellStart"/>
      <w:r w:rsidRPr="00ED5C26">
        <w:rPr>
          <w:color w:val="FF0000"/>
          <w:sz w:val="16"/>
          <w:szCs w:val="16"/>
        </w:rPr>
        <w:t>BGHSt</w:t>
      </w:r>
      <w:proofErr w:type="spellEnd"/>
      <w:r w:rsidRPr="00ED5C26">
        <w:rPr>
          <w:color w:val="FF0000"/>
          <w:sz w:val="16"/>
          <w:szCs w:val="16"/>
        </w:rPr>
        <w:t xml:space="preserve"> 35, 379) rendered by the German Federal Court of </w:t>
      </w:r>
      <w:proofErr w:type="gramStart"/>
      <w:r w:rsidRPr="00ED5C26">
        <w:rPr>
          <w:color w:val="FF0000"/>
          <w:sz w:val="16"/>
          <w:szCs w:val="16"/>
        </w:rPr>
        <w:t xml:space="preserve">Justice </w:t>
      </w:r>
      <w:r>
        <w:rPr>
          <w:color w:val="FF0000"/>
          <w:sz w:val="16"/>
          <w:szCs w:val="16"/>
        </w:rPr>
        <w:t>,</w:t>
      </w:r>
      <w:proofErr w:type="gramEnd"/>
      <w:r>
        <w:rPr>
          <w:color w:val="FF0000"/>
          <w:sz w:val="16"/>
          <w:szCs w:val="16"/>
        </w:rPr>
        <w:t xml:space="preserve"> which </w:t>
      </w:r>
      <w:r w:rsidRPr="00ED5C26">
        <w:rPr>
          <w:color w:val="FF0000"/>
          <w:sz w:val="16"/>
          <w:szCs w:val="16"/>
        </w:rPr>
        <w:t>acquitted a customs officer who had fired in a life-threatening manner at a person on a motorcycle trying to escape controls at the German-Dutch border, on the ground that he was objectively entitled to suspect that the persons fleeing were serious drug offenders or had a comparable reason for fleeing.</w:t>
      </w:r>
    </w:p>
  </w:footnote>
  <w:footnote w:id="80">
    <w:p w14:paraId="3581C660" w14:textId="77777777" w:rsidR="00562A40" w:rsidRPr="002E0124" w:rsidRDefault="00562A40" w:rsidP="00562A40">
      <w:pPr>
        <w:pStyle w:val="FootnoteText"/>
        <w:rPr>
          <w:sz w:val="16"/>
          <w:szCs w:val="16"/>
        </w:rPr>
      </w:pPr>
      <w:r w:rsidRPr="002E0124">
        <w:rPr>
          <w:rStyle w:val="FootnoteReference"/>
          <w:sz w:val="16"/>
          <w:szCs w:val="16"/>
        </w:rPr>
        <w:footnoteRef/>
      </w:r>
      <w:r>
        <w:rPr>
          <w:sz w:val="16"/>
          <w:szCs w:val="16"/>
        </w:rPr>
        <w:t xml:space="preserve"> </w:t>
      </w:r>
      <w:proofErr w:type="spellStart"/>
      <w:r>
        <w:rPr>
          <w:rFonts w:eastAsia="Arial Unicode MS"/>
          <w:smallCaps/>
          <w:sz w:val="16"/>
          <w:szCs w:val="16"/>
        </w:rPr>
        <w:t>Radbruch</w:t>
      </w:r>
      <w:proofErr w:type="spellEnd"/>
      <w:r>
        <w:rPr>
          <w:rFonts w:eastAsia="Arial Unicode MS"/>
          <w:smallCaps/>
          <w:sz w:val="16"/>
          <w:szCs w:val="16"/>
        </w:rPr>
        <w:t xml:space="preserve"> Gustav, </w:t>
      </w:r>
      <w:r w:rsidRPr="002E0124">
        <w:rPr>
          <w:sz w:val="16"/>
          <w:szCs w:val="16"/>
        </w:rPr>
        <w:t xml:space="preserve">‘Five Minutes of Legal Philosophy (1945)’, trans. </w:t>
      </w:r>
      <w:proofErr w:type="spellStart"/>
      <w:r>
        <w:rPr>
          <w:rFonts w:eastAsia="Arial Unicode MS"/>
          <w:smallCaps/>
          <w:sz w:val="16"/>
          <w:szCs w:val="16"/>
        </w:rPr>
        <w:t>Litschewski</w:t>
      </w:r>
      <w:proofErr w:type="spellEnd"/>
      <w:r>
        <w:rPr>
          <w:rFonts w:eastAsia="Arial Unicode MS"/>
          <w:smallCaps/>
          <w:sz w:val="16"/>
          <w:szCs w:val="16"/>
        </w:rPr>
        <w:t xml:space="preserve"> Bonnie </w:t>
      </w:r>
      <w:r w:rsidRPr="002E0124">
        <w:rPr>
          <w:sz w:val="16"/>
          <w:szCs w:val="16"/>
        </w:rPr>
        <w:t xml:space="preserve">and </w:t>
      </w:r>
      <w:r>
        <w:rPr>
          <w:rFonts w:eastAsia="Arial Unicode MS"/>
          <w:smallCaps/>
          <w:sz w:val="16"/>
          <w:szCs w:val="16"/>
        </w:rPr>
        <w:t>Paulson Stanley L.</w:t>
      </w:r>
      <w:r w:rsidRPr="002E0124">
        <w:rPr>
          <w:sz w:val="16"/>
          <w:szCs w:val="16"/>
        </w:rPr>
        <w:t xml:space="preserve">, </w:t>
      </w:r>
      <w:r w:rsidRPr="002E0124">
        <w:rPr>
          <w:i/>
          <w:sz w:val="16"/>
          <w:szCs w:val="16"/>
        </w:rPr>
        <w:t>Oxford Journal of Legal Studies</w:t>
      </w:r>
      <w:r>
        <w:rPr>
          <w:sz w:val="16"/>
          <w:szCs w:val="16"/>
        </w:rPr>
        <w:t>, vol. 1/2006</w:t>
      </w:r>
      <w:r w:rsidRPr="002E0124">
        <w:rPr>
          <w:sz w:val="16"/>
          <w:szCs w:val="16"/>
        </w:rPr>
        <w:t>,  pp. 13-15, at p. 13</w:t>
      </w:r>
    </w:p>
  </w:footnote>
  <w:footnote w:id="81">
    <w:p w14:paraId="7D18EC34" w14:textId="2B8F0873" w:rsidR="00DB3EBE" w:rsidRPr="002E0124" w:rsidRDefault="00DB3EBE" w:rsidP="009372B7">
      <w:pPr>
        <w:pStyle w:val="Body"/>
        <w:rPr>
          <w:rFonts w:eastAsia="Times New Roman"/>
          <w:color w:val="auto"/>
          <w:sz w:val="16"/>
          <w:szCs w:val="16"/>
          <w:lang w:val="en-GB" w:eastAsia="en-GB"/>
        </w:rPr>
      </w:pPr>
      <w:r w:rsidRPr="002E0124">
        <w:rPr>
          <w:sz w:val="16"/>
          <w:szCs w:val="16"/>
          <w:vertAlign w:val="superscript"/>
          <w:lang w:val="en-GB"/>
        </w:rPr>
        <w:footnoteRef/>
      </w:r>
      <w:r w:rsidRPr="002E0124">
        <w:rPr>
          <w:sz w:val="16"/>
          <w:szCs w:val="16"/>
          <w:lang w:val="en-GB"/>
        </w:rPr>
        <w:t xml:space="preserve"> </w:t>
      </w:r>
      <w:proofErr w:type="spellStart"/>
      <w:proofErr w:type="gramStart"/>
      <w:r w:rsidRPr="00197BDE">
        <w:rPr>
          <w:i/>
          <w:sz w:val="16"/>
          <w:szCs w:val="16"/>
          <w:lang w:val="en-GB"/>
        </w:rPr>
        <w:t>Ibidem</w:t>
      </w:r>
      <w:proofErr w:type="spellEnd"/>
      <w:r w:rsidRPr="00DB3EBE">
        <w:rPr>
          <w:sz w:val="16"/>
          <w:szCs w:val="16"/>
          <w:lang w:val="en-GB"/>
        </w:rPr>
        <w:t>.</w:t>
      </w:r>
      <w:proofErr w:type="gramEnd"/>
      <w:r w:rsidRPr="00DB3EBE">
        <w:rPr>
          <w:sz w:val="16"/>
          <w:szCs w:val="16"/>
          <w:lang w:val="en-GB"/>
        </w:rPr>
        <w:t xml:space="preserve"> </w:t>
      </w:r>
      <w:r w:rsidRPr="002E0124">
        <w:rPr>
          <w:sz w:val="16"/>
          <w:szCs w:val="16"/>
          <w:lang w:val="en-GB"/>
        </w:rPr>
        <w:t xml:space="preserve">See </w:t>
      </w:r>
      <w:proofErr w:type="spellStart"/>
      <w:r>
        <w:rPr>
          <w:rFonts w:eastAsia="Arial Unicode MS"/>
          <w:smallCaps/>
          <w:sz w:val="16"/>
          <w:szCs w:val="16"/>
        </w:rPr>
        <w:t>Antrill</w:t>
      </w:r>
      <w:proofErr w:type="spellEnd"/>
      <w:r>
        <w:rPr>
          <w:rFonts w:eastAsia="Arial Unicode MS"/>
          <w:smallCaps/>
          <w:sz w:val="16"/>
          <w:szCs w:val="16"/>
        </w:rPr>
        <w:t xml:space="preserve"> Simon, ‘</w:t>
      </w:r>
      <w:proofErr w:type="spellStart"/>
      <w:r w:rsidRPr="002E0124">
        <w:rPr>
          <w:sz w:val="16"/>
          <w:szCs w:val="16"/>
          <w:lang w:val="en-GB"/>
        </w:rPr>
        <w:t>Nulla</w:t>
      </w:r>
      <w:proofErr w:type="spellEnd"/>
      <w:r w:rsidRPr="002E0124">
        <w:rPr>
          <w:sz w:val="16"/>
          <w:szCs w:val="16"/>
          <w:lang w:val="en-GB"/>
        </w:rPr>
        <w:t xml:space="preserve"> </w:t>
      </w:r>
      <w:proofErr w:type="spellStart"/>
      <w:r w:rsidRPr="002E0124">
        <w:rPr>
          <w:sz w:val="16"/>
          <w:szCs w:val="16"/>
          <w:lang w:val="en-GB"/>
        </w:rPr>
        <w:t>Poena</w:t>
      </w:r>
      <w:proofErr w:type="spellEnd"/>
      <w:r w:rsidRPr="002E0124">
        <w:rPr>
          <w:sz w:val="16"/>
          <w:szCs w:val="16"/>
          <w:lang w:val="en-GB"/>
        </w:rPr>
        <w:t xml:space="preserve"> Sine </w:t>
      </w:r>
      <w:proofErr w:type="spellStart"/>
      <w:r w:rsidRPr="002E0124">
        <w:rPr>
          <w:sz w:val="16"/>
          <w:szCs w:val="16"/>
          <w:lang w:val="en-GB"/>
        </w:rPr>
        <w:t>Lege</w:t>
      </w:r>
      <w:proofErr w:type="spellEnd"/>
      <w:r w:rsidRPr="002E0124">
        <w:rPr>
          <w:sz w:val="16"/>
          <w:szCs w:val="16"/>
          <w:lang w:val="en-GB"/>
        </w:rPr>
        <w:t xml:space="preserve"> in Comparative Perspective', </w:t>
      </w:r>
      <w:r w:rsidRPr="002E0124">
        <w:rPr>
          <w:i/>
          <w:sz w:val="16"/>
          <w:szCs w:val="16"/>
          <w:lang w:val="en-GB"/>
        </w:rPr>
        <w:t>Public Law</w:t>
      </w:r>
      <w:r>
        <w:rPr>
          <w:sz w:val="16"/>
          <w:szCs w:val="16"/>
          <w:lang w:val="en-GB"/>
        </w:rPr>
        <w:t xml:space="preserve">, </w:t>
      </w:r>
      <w:r w:rsidRPr="002E0124">
        <w:rPr>
          <w:sz w:val="16"/>
          <w:szCs w:val="16"/>
          <w:lang w:val="en-GB"/>
        </w:rPr>
        <w:t>2005, pp. 107-131.</w:t>
      </w:r>
    </w:p>
  </w:footnote>
  <w:footnote w:id="82">
    <w:p w14:paraId="402A794E" w14:textId="3E66C2E5" w:rsidR="00DB3EBE" w:rsidRPr="005725E7" w:rsidRDefault="00DB3EBE" w:rsidP="005725E7">
      <w:pPr>
        <w:pStyle w:val="FootnoteText"/>
        <w:jc w:val="both"/>
      </w:pPr>
      <w:r w:rsidRPr="002E0124">
        <w:rPr>
          <w:sz w:val="16"/>
          <w:szCs w:val="16"/>
          <w:vertAlign w:val="superscript"/>
        </w:rPr>
        <w:footnoteRef/>
      </w:r>
      <w:r w:rsidRPr="002E0124">
        <w:rPr>
          <w:sz w:val="16"/>
          <w:szCs w:val="16"/>
        </w:rPr>
        <w:t xml:space="preserve"> </w:t>
      </w:r>
      <w:proofErr w:type="spellStart"/>
      <w:proofErr w:type="gramStart"/>
      <w:r w:rsidR="005725E7" w:rsidRPr="006E267A">
        <w:rPr>
          <w:bCs/>
          <w:i/>
          <w:iCs/>
          <w:sz w:val="16"/>
          <w:szCs w:val="16"/>
        </w:rPr>
        <w:t>Kononov</w:t>
      </w:r>
      <w:proofErr w:type="spellEnd"/>
      <w:r w:rsidR="005725E7" w:rsidRPr="006E267A">
        <w:rPr>
          <w:bCs/>
          <w:i/>
          <w:iCs/>
          <w:sz w:val="16"/>
          <w:szCs w:val="16"/>
        </w:rPr>
        <w:t xml:space="preserve"> </w:t>
      </w:r>
      <w:r w:rsidR="005725E7" w:rsidRPr="006E267A">
        <w:rPr>
          <w:bCs/>
          <w:iCs/>
          <w:sz w:val="16"/>
          <w:szCs w:val="16"/>
        </w:rPr>
        <w:t>.</w:t>
      </w:r>
      <w:r w:rsidR="005725E7" w:rsidRPr="006E267A">
        <w:rPr>
          <w:bCs/>
          <w:i/>
          <w:iCs/>
          <w:sz w:val="16"/>
          <w:szCs w:val="16"/>
        </w:rPr>
        <w:t>Latvia</w:t>
      </w:r>
      <w:r w:rsidR="005725E7" w:rsidRPr="006E267A">
        <w:rPr>
          <w:bCs/>
          <w:sz w:val="16"/>
          <w:szCs w:val="16"/>
          <w:lang w:val="en-US"/>
        </w:rPr>
        <w:t xml:space="preserve">, </w:t>
      </w:r>
      <w:r w:rsidR="005725E7">
        <w:rPr>
          <w:bCs/>
          <w:sz w:val="16"/>
          <w:szCs w:val="16"/>
          <w:lang w:val="en-US"/>
        </w:rPr>
        <w:t>a</w:t>
      </w:r>
      <w:r w:rsidR="005725E7" w:rsidRPr="006E267A">
        <w:rPr>
          <w:bCs/>
          <w:sz w:val="16"/>
          <w:szCs w:val="16"/>
          <w:lang w:val="en-US"/>
        </w:rPr>
        <w:t xml:space="preserve">pplication no. 36376/04, </w:t>
      </w:r>
      <w:r w:rsidR="005725E7">
        <w:rPr>
          <w:bCs/>
          <w:sz w:val="16"/>
          <w:szCs w:val="16"/>
          <w:lang w:val="en-US"/>
        </w:rPr>
        <w:t>[2008] ECHR 695 (24 July 2008).</w:t>
      </w:r>
      <w:proofErr w:type="gramEnd"/>
      <w:r w:rsidR="005725E7">
        <w:rPr>
          <w:bCs/>
          <w:sz w:val="16"/>
          <w:szCs w:val="16"/>
          <w:lang w:val="en-US"/>
        </w:rPr>
        <w:t xml:space="preserve"> </w:t>
      </w:r>
      <w:proofErr w:type="gramStart"/>
      <w:r w:rsidR="005725E7" w:rsidRPr="006E267A">
        <w:rPr>
          <w:bCs/>
          <w:sz w:val="16"/>
          <w:szCs w:val="16"/>
          <w:lang w:val="en-US"/>
        </w:rPr>
        <w:t xml:space="preserve">Joint dissenting opinion of judges </w:t>
      </w:r>
      <w:proofErr w:type="spellStart"/>
      <w:r w:rsidR="005725E7" w:rsidRPr="006E267A">
        <w:rPr>
          <w:bCs/>
          <w:sz w:val="16"/>
          <w:szCs w:val="16"/>
          <w:lang w:val="en-US"/>
        </w:rPr>
        <w:t>Fura-Sandstr</w:t>
      </w:r>
      <w:r w:rsidR="005725E7" w:rsidRPr="006E267A">
        <w:rPr>
          <w:bCs/>
          <w:sz w:val="16"/>
          <w:szCs w:val="16"/>
        </w:rPr>
        <w:t>őm</w:t>
      </w:r>
      <w:proofErr w:type="spellEnd"/>
      <w:r w:rsidR="005725E7" w:rsidRPr="006E267A">
        <w:rPr>
          <w:bCs/>
          <w:sz w:val="16"/>
          <w:szCs w:val="16"/>
        </w:rPr>
        <w:t xml:space="preserve">, </w:t>
      </w:r>
      <w:proofErr w:type="spellStart"/>
      <w:r w:rsidR="005725E7" w:rsidRPr="006E267A">
        <w:rPr>
          <w:bCs/>
          <w:sz w:val="16"/>
          <w:szCs w:val="16"/>
        </w:rPr>
        <w:t>Daví</w:t>
      </w:r>
      <w:proofErr w:type="spellEnd"/>
      <w:r w:rsidR="005725E7" w:rsidRPr="006E267A">
        <w:rPr>
          <w:bCs/>
          <w:sz w:val="16"/>
          <w:szCs w:val="16"/>
          <w:lang w:val="en-US"/>
        </w:rPr>
        <w:t xml:space="preserve">d </w:t>
      </w:r>
      <w:proofErr w:type="spellStart"/>
      <w:r w:rsidR="005725E7" w:rsidRPr="006E267A">
        <w:rPr>
          <w:bCs/>
          <w:sz w:val="16"/>
          <w:szCs w:val="16"/>
          <w:lang w:val="en-US"/>
        </w:rPr>
        <w:t>Th</w:t>
      </w:r>
      <w:r w:rsidR="005725E7" w:rsidRPr="006E267A">
        <w:rPr>
          <w:bCs/>
          <w:sz w:val="16"/>
          <w:szCs w:val="16"/>
        </w:rPr>
        <w:t>ór</w:t>
      </w:r>
      <w:proofErr w:type="spellEnd"/>
      <w:r w:rsidR="005725E7" w:rsidRPr="006E267A">
        <w:rPr>
          <w:bCs/>
          <w:sz w:val="16"/>
          <w:szCs w:val="16"/>
        </w:rPr>
        <w:t xml:space="preserve"> </w:t>
      </w:r>
      <w:proofErr w:type="spellStart"/>
      <w:r w:rsidR="005725E7" w:rsidRPr="006E267A">
        <w:rPr>
          <w:bCs/>
          <w:sz w:val="16"/>
          <w:szCs w:val="16"/>
        </w:rPr>
        <w:t>Bjő</w:t>
      </w:r>
      <w:r w:rsidR="005725E7" w:rsidRPr="006E267A">
        <w:rPr>
          <w:bCs/>
          <w:sz w:val="16"/>
          <w:szCs w:val="16"/>
          <w:lang w:val="en-US"/>
        </w:rPr>
        <w:t>rgvinsson</w:t>
      </w:r>
      <w:proofErr w:type="spellEnd"/>
      <w:r w:rsidR="005725E7" w:rsidRPr="006E267A">
        <w:rPr>
          <w:bCs/>
          <w:sz w:val="16"/>
          <w:szCs w:val="16"/>
          <w:lang w:val="en-US"/>
        </w:rPr>
        <w:t xml:space="preserve"> and </w:t>
      </w:r>
      <w:proofErr w:type="spellStart"/>
      <w:r w:rsidR="005725E7" w:rsidRPr="006E267A">
        <w:rPr>
          <w:bCs/>
          <w:sz w:val="16"/>
          <w:szCs w:val="16"/>
          <w:lang w:val="en-US"/>
        </w:rPr>
        <w:t>Ziemele</w:t>
      </w:r>
      <w:proofErr w:type="spellEnd"/>
      <w:r w:rsidR="005725E7" w:rsidRPr="006E267A">
        <w:rPr>
          <w:bCs/>
          <w:sz w:val="16"/>
          <w:szCs w:val="16"/>
          <w:lang w:val="en-US"/>
        </w:rPr>
        <w:t>, para.</w:t>
      </w:r>
      <w:proofErr w:type="gramEnd"/>
      <w:r w:rsidR="005725E7" w:rsidRPr="006E267A">
        <w:rPr>
          <w:bCs/>
          <w:sz w:val="16"/>
          <w:szCs w:val="16"/>
          <w:lang w:val="en-US"/>
        </w:rPr>
        <w:t xml:space="preserve"> 3.</w:t>
      </w:r>
      <w:r w:rsidR="005725E7">
        <w:rPr>
          <w:bCs/>
          <w:sz w:val="16"/>
          <w:szCs w:val="16"/>
          <w:lang w:val="en-US"/>
        </w:rPr>
        <w:t xml:space="preserve"> Note Grand Chamber decision [2010] ECHR 667 (27 January 2011) that reversed the Chamber’s ruling. </w:t>
      </w:r>
      <w:r w:rsidR="00217D46">
        <w:rPr>
          <w:bCs/>
          <w:sz w:val="16"/>
          <w:szCs w:val="16"/>
        </w:rPr>
        <w:t>Also</w:t>
      </w:r>
      <w:r w:rsidRPr="002E0124">
        <w:rPr>
          <w:sz w:val="16"/>
          <w:szCs w:val="16"/>
        </w:rPr>
        <w:t xml:space="preserve"> </w:t>
      </w:r>
      <w:proofErr w:type="spellStart"/>
      <w:r w:rsidRPr="002E0124">
        <w:rPr>
          <w:i/>
          <w:sz w:val="16"/>
          <w:szCs w:val="16"/>
        </w:rPr>
        <w:t>Korberly</w:t>
      </w:r>
      <w:proofErr w:type="spellEnd"/>
      <w:r w:rsidRPr="002E0124">
        <w:rPr>
          <w:sz w:val="16"/>
          <w:szCs w:val="16"/>
        </w:rPr>
        <w:t xml:space="preserve"> v. </w:t>
      </w:r>
      <w:r w:rsidRPr="002E0124">
        <w:rPr>
          <w:i/>
          <w:sz w:val="16"/>
          <w:szCs w:val="16"/>
        </w:rPr>
        <w:t>Hungary</w:t>
      </w:r>
      <w:r w:rsidRPr="002E0124">
        <w:rPr>
          <w:sz w:val="16"/>
          <w:szCs w:val="16"/>
        </w:rPr>
        <w:t>, app</w:t>
      </w:r>
      <w:r w:rsidR="00217D46">
        <w:rPr>
          <w:sz w:val="16"/>
          <w:szCs w:val="16"/>
        </w:rPr>
        <w:t>lication n</w:t>
      </w:r>
      <w:r w:rsidR="00197BDE">
        <w:rPr>
          <w:sz w:val="16"/>
          <w:szCs w:val="16"/>
        </w:rPr>
        <w:t>o</w:t>
      </w:r>
      <w:r w:rsidRPr="002E0124">
        <w:rPr>
          <w:sz w:val="16"/>
          <w:szCs w:val="16"/>
        </w:rPr>
        <w:t xml:space="preserve">. 9174/02, </w:t>
      </w:r>
      <w:r w:rsidR="00217D46">
        <w:rPr>
          <w:sz w:val="16"/>
          <w:szCs w:val="16"/>
        </w:rPr>
        <w:t>[2007] ECHR 848 (</w:t>
      </w:r>
      <w:r w:rsidRPr="002E0124">
        <w:rPr>
          <w:sz w:val="16"/>
          <w:szCs w:val="16"/>
        </w:rPr>
        <w:t>19 September 2008</w:t>
      </w:r>
      <w:r w:rsidR="00217D46">
        <w:rPr>
          <w:sz w:val="16"/>
          <w:szCs w:val="16"/>
        </w:rPr>
        <w:t>)</w:t>
      </w:r>
      <w:r w:rsidRPr="002E0124">
        <w:rPr>
          <w:sz w:val="16"/>
          <w:szCs w:val="16"/>
        </w:rPr>
        <w:t xml:space="preserve"> and </w:t>
      </w:r>
      <w:proofErr w:type="spellStart"/>
      <w:r w:rsidRPr="002E0124">
        <w:rPr>
          <w:i/>
          <w:sz w:val="16"/>
          <w:szCs w:val="16"/>
        </w:rPr>
        <w:t>Jorgic</w:t>
      </w:r>
      <w:proofErr w:type="spellEnd"/>
      <w:r w:rsidRPr="002E0124">
        <w:rPr>
          <w:sz w:val="16"/>
          <w:szCs w:val="16"/>
        </w:rPr>
        <w:t xml:space="preserve"> v. </w:t>
      </w:r>
      <w:r w:rsidRPr="002E0124">
        <w:rPr>
          <w:i/>
          <w:sz w:val="16"/>
          <w:szCs w:val="16"/>
        </w:rPr>
        <w:t>Germany</w:t>
      </w:r>
      <w:r w:rsidR="00217D46">
        <w:rPr>
          <w:sz w:val="16"/>
          <w:szCs w:val="16"/>
        </w:rPr>
        <w:t>, application n</w:t>
      </w:r>
      <w:r w:rsidR="00197BDE">
        <w:rPr>
          <w:sz w:val="16"/>
          <w:szCs w:val="16"/>
        </w:rPr>
        <w:t>o</w:t>
      </w:r>
      <w:r w:rsidR="00217D46">
        <w:rPr>
          <w:sz w:val="16"/>
          <w:szCs w:val="16"/>
        </w:rPr>
        <w:t>.</w:t>
      </w:r>
      <w:r w:rsidRPr="002E0124">
        <w:rPr>
          <w:sz w:val="16"/>
          <w:szCs w:val="16"/>
        </w:rPr>
        <w:t xml:space="preserve"> 74613/01</w:t>
      </w:r>
      <w:r w:rsidR="00217D46">
        <w:rPr>
          <w:sz w:val="16"/>
          <w:szCs w:val="16"/>
        </w:rPr>
        <w:t xml:space="preserve"> [</w:t>
      </w:r>
      <w:proofErr w:type="gramStart"/>
      <w:r w:rsidR="00217D46">
        <w:rPr>
          <w:sz w:val="16"/>
          <w:szCs w:val="16"/>
        </w:rPr>
        <w:t>2007 ]</w:t>
      </w:r>
      <w:proofErr w:type="gramEnd"/>
      <w:r w:rsidR="00217D46">
        <w:rPr>
          <w:sz w:val="16"/>
          <w:szCs w:val="16"/>
        </w:rPr>
        <w:t xml:space="preserve"> ECHR 583 (12 July 2007)</w:t>
      </w:r>
      <w:r w:rsidRPr="002E0124">
        <w:rPr>
          <w:sz w:val="16"/>
          <w:szCs w:val="16"/>
        </w:rPr>
        <w:t>.</w:t>
      </w:r>
    </w:p>
  </w:footnote>
  <w:footnote w:id="83">
    <w:p w14:paraId="7536FC51" w14:textId="66FF1A3E" w:rsidR="00217D46" w:rsidRDefault="00217D46">
      <w:pPr>
        <w:pStyle w:val="FootnoteText"/>
      </w:pPr>
      <w:r w:rsidRPr="00217D46">
        <w:rPr>
          <w:rStyle w:val="FootnoteReference"/>
          <w:sz w:val="16"/>
          <w:szCs w:val="16"/>
        </w:rPr>
        <w:footnoteRef/>
      </w:r>
      <w:r w:rsidRPr="00217D46">
        <w:rPr>
          <w:sz w:val="16"/>
          <w:szCs w:val="16"/>
        </w:rPr>
        <w:t xml:space="preserve"> </w:t>
      </w:r>
      <w:proofErr w:type="gramStart"/>
      <w:r w:rsidRPr="00217D46">
        <w:rPr>
          <w:bCs/>
          <w:sz w:val="16"/>
          <w:szCs w:val="16"/>
          <w:lang w:val="en-US"/>
        </w:rPr>
        <w:t>[</w:t>
      </w:r>
      <w:r>
        <w:rPr>
          <w:bCs/>
          <w:sz w:val="16"/>
          <w:szCs w:val="16"/>
          <w:lang w:val="en-US"/>
        </w:rPr>
        <w:t>2010] ECHR 667 (27 January 2011) that reversed the Chamber’s ruling.</w:t>
      </w:r>
      <w:proofErr w:type="gramEnd"/>
    </w:p>
  </w:footnote>
  <w:footnote w:id="84">
    <w:p w14:paraId="387C8D43" w14:textId="4DFCDAF0" w:rsidR="00DB3EBE" w:rsidRPr="00177F0B" w:rsidRDefault="00DB3EBE" w:rsidP="00177F0B">
      <w:pPr>
        <w:pStyle w:val="FootnoteText"/>
        <w:jc w:val="both"/>
        <w:rPr>
          <w:sz w:val="16"/>
          <w:szCs w:val="16"/>
          <w:lang w:val="en-US"/>
        </w:rPr>
      </w:pPr>
      <w:r w:rsidRPr="00177F0B">
        <w:rPr>
          <w:sz w:val="16"/>
          <w:szCs w:val="16"/>
          <w:vertAlign w:val="superscript"/>
        </w:rPr>
        <w:footnoteRef/>
      </w:r>
      <w:r w:rsidRPr="00177F0B">
        <w:rPr>
          <w:sz w:val="16"/>
          <w:szCs w:val="16"/>
        </w:rPr>
        <w:t xml:space="preserve"> </w:t>
      </w:r>
      <w:r w:rsidRPr="00004A16">
        <w:rPr>
          <w:smallCaps/>
          <w:sz w:val="16"/>
          <w:szCs w:val="16"/>
          <w:lang w:val="ro-RO"/>
        </w:rPr>
        <w:t xml:space="preserve">Buyse </w:t>
      </w:r>
      <w:r w:rsidRPr="00004A16">
        <w:rPr>
          <w:rFonts w:eastAsia="Arial Unicode MS"/>
          <w:smallCaps/>
          <w:color w:val="000000"/>
          <w:sz w:val="16"/>
          <w:szCs w:val="16"/>
        </w:rPr>
        <w:t>Antoine</w:t>
      </w:r>
      <w:r w:rsidR="009C50CF">
        <w:rPr>
          <w:rFonts w:eastAsia="Arial Unicode MS"/>
          <w:color w:val="000000"/>
          <w:sz w:val="16"/>
          <w:szCs w:val="16"/>
          <w:lang w:val="ro-RO"/>
        </w:rPr>
        <w:t xml:space="preserve"> and</w:t>
      </w:r>
      <w:r w:rsidRPr="00A90B0A">
        <w:rPr>
          <w:rFonts w:eastAsia="Arial Unicode MS"/>
          <w:color w:val="000000"/>
          <w:sz w:val="16"/>
          <w:szCs w:val="16"/>
          <w:lang w:val="ro-RO"/>
        </w:rPr>
        <w:t xml:space="preserve"> </w:t>
      </w:r>
      <w:r w:rsidRPr="00004A16">
        <w:rPr>
          <w:rFonts w:eastAsia="Arial Unicode MS"/>
          <w:smallCaps/>
          <w:color w:val="000000"/>
          <w:sz w:val="16"/>
          <w:szCs w:val="16"/>
          <w:lang w:val="ro-RO"/>
        </w:rPr>
        <w:t xml:space="preserve">Hamilton </w:t>
      </w:r>
      <w:r w:rsidRPr="00004A16">
        <w:rPr>
          <w:rFonts w:eastAsia="Arial Unicode MS"/>
          <w:smallCaps/>
          <w:color w:val="000000"/>
          <w:sz w:val="16"/>
          <w:szCs w:val="16"/>
        </w:rPr>
        <w:t>Michael</w:t>
      </w:r>
      <w:r w:rsidRPr="00A90B0A">
        <w:rPr>
          <w:rFonts w:eastAsia="Arial Unicode MS"/>
          <w:color w:val="000000"/>
          <w:sz w:val="16"/>
          <w:szCs w:val="16"/>
        </w:rPr>
        <w:t xml:space="preserve"> </w:t>
      </w:r>
      <w:r w:rsidRPr="00A90B0A">
        <w:rPr>
          <w:rFonts w:eastAsia="Arial Unicode MS"/>
          <w:color w:val="000000"/>
          <w:sz w:val="16"/>
          <w:szCs w:val="16"/>
          <w:lang w:val="ro-RO"/>
        </w:rPr>
        <w:t>(</w:t>
      </w:r>
      <w:r w:rsidRPr="00A90B0A">
        <w:rPr>
          <w:rFonts w:eastAsia="Arial Unicode MS"/>
          <w:color w:val="000000"/>
          <w:sz w:val="16"/>
          <w:szCs w:val="16"/>
        </w:rPr>
        <w:t>eds</w:t>
      </w:r>
      <w:r w:rsidR="009C50CF">
        <w:rPr>
          <w:rFonts w:eastAsia="Arial Unicode MS"/>
          <w:color w:val="000000"/>
          <w:sz w:val="16"/>
          <w:szCs w:val="16"/>
        </w:rPr>
        <w:t>.</w:t>
      </w:r>
      <w:r w:rsidRPr="00A90B0A">
        <w:rPr>
          <w:rFonts w:eastAsia="Arial Unicode MS"/>
          <w:color w:val="000000"/>
          <w:sz w:val="16"/>
          <w:szCs w:val="16"/>
          <w:lang w:val="ro-RO"/>
        </w:rPr>
        <w:t>)</w:t>
      </w:r>
      <w:r w:rsidRPr="00A90B0A">
        <w:rPr>
          <w:rFonts w:eastAsia="Arial Unicode MS"/>
          <w:color w:val="000000"/>
          <w:sz w:val="16"/>
          <w:szCs w:val="16"/>
        </w:rPr>
        <w:t xml:space="preserve">, </w:t>
      </w:r>
      <w:r w:rsidRPr="00A90B0A">
        <w:rPr>
          <w:rFonts w:eastAsia="Arial Unicode MS"/>
          <w:i/>
          <w:color w:val="000000"/>
          <w:sz w:val="16"/>
          <w:szCs w:val="16"/>
        </w:rPr>
        <w:t>Transitional Jurisprudence and th</w:t>
      </w:r>
      <w:r>
        <w:rPr>
          <w:rFonts w:eastAsia="Arial Unicode MS"/>
          <w:i/>
          <w:color w:val="000000"/>
          <w:sz w:val="16"/>
          <w:szCs w:val="16"/>
        </w:rPr>
        <w:t>e ECHR: Justice, Politics and R</w:t>
      </w:r>
      <w:r w:rsidRPr="00A90B0A">
        <w:rPr>
          <w:rFonts w:eastAsia="Arial Unicode MS"/>
          <w:i/>
          <w:color w:val="000000"/>
          <w:sz w:val="16"/>
          <w:szCs w:val="16"/>
        </w:rPr>
        <w:t>ights</w:t>
      </w:r>
      <w:r w:rsidRPr="00A90B0A">
        <w:rPr>
          <w:rFonts w:eastAsia="Arial Unicode MS"/>
          <w:i/>
          <w:color w:val="000000"/>
          <w:sz w:val="16"/>
          <w:szCs w:val="16"/>
          <w:lang w:val="ro-RO"/>
        </w:rPr>
        <w:t xml:space="preserve">, </w:t>
      </w:r>
      <w:r w:rsidRPr="00A90B0A">
        <w:rPr>
          <w:rFonts w:eastAsia="Arial Unicode MS"/>
          <w:color w:val="000000"/>
          <w:sz w:val="16"/>
          <w:szCs w:val="16"/>
          <w:lang w:val="ro-RO"/>
        </w:rPr>
        <w:t>Cambridge,</w:t>
      </w:r>
      <w:r w:rsidRPr="00A90B0A">
        <w:rPr>
          <w:rFonts w:eastAsia="Arial Unicode MS"/>
          <w:i/>
          <w:color w:val="000000"/>
          <w:sz w:val="16"/>
          <w:szCs w:val="16"/>
          <w:lang w:val="ro-RO"/>
        </w:rPr>
        <w:t xml:space="preserve"> </w:t>
      </w:r>
      <w:r w:rsidRPr="00A90B0A">
        <w:rPr>
          <w:rFonts w:eastAsia="Arial Unicode MS"/>
          <w:color w:val="000000"/>
          <w:sz w:val="16"/>
          <w:szCs w:val="16"/>
        </w:rPr>
        <w:t>C</w:t>
      </w:r>
      <w:r>
        <w:rPr>
          <w:rFonts w:eastAsia="Arial Unicode MS"/>
          <w:color w:val="000000"/>
          <w:sz w:val="16"/>
          <w:szCs w:val="16"/>
        </w:rPr>
        <w:t xml:space="preserve">ambridge University Press, 2011, </w:t>
      </w:r>
      <w:r w:rsidRPr="00177F0B">
        <w:rPr>
          <w:sz w:val="16"/>
          <w:szCs w:val="16"/>
        </w:rPr>
        <w:t>pp. 131-170.</w:t>
      </w:r>
    </w:p>
  </w:footnote>
  <w:footnote w:id="85">
    <w:p w14:paraId="1D441AB5" w14:textId="638B991D" w:rsidR="00DB3EBE" w:rsidRPr="00177F0B" w:rsidRDefault="00DB3EBE" w:rsidP="009372B7">
      <w:pPr>
        <w:pStyle w:val="Body"/>
        <w:rPr>
          <w:rFonts w:eastAsia="Times New Roman"/>
          <w:color w:val="auto"/>
          <w:sz w:val="16"/>
          <w:szCs w:val="16"/>
          <w:lang w:val="en-GB" w:eastAsia="en-GB"/>
        </w:rPr>
      </w:pPr>
      <w:r w:rsidRPr="00177F0B">
        <w:rPr>
          <w:sz w:val="16"/>
          <w:szCs w:val="16"/>
          <w:vertAlign w:val="superscript"/>
          <w:lang w:val="en-GB"/>
        </w:rPr>
        <w:footnoteRef/>
      </w:r>
      <w:r w:rsidRPr="00177F0B">
        <w:rPr>
          <w:sz w:val="16"/>
          <w:szCs w:val="16"/>
          <w:lang w:val="en-GB"/>
        </w:rPr>
        <w:t xml:space="preserve"> </w:t>
      </w:r>
      <w:proofErr w:type="spellStart"/>
      <w:proofErr w:type="gramStart"/>
      <w:r w:rsidRPr="00177F0B">
        <w:rPr>
          <w:i/>
          <w:sz w:val="16"/>
          <w:szCs w:val="16"/>
          <w:lang w:val="en-GB"/>
        </w:rPr>
        <w:t>Korbely</w:t>
      </w:r>
      <w:proofErr w:type="spellEnd"/>
      <w:r w:rsidRPr="00177F0B">
        <w:rPr>
          <w:sz w:val="16"/>
          <w:szCs w:val="16"/>
          <w:lang w:val="en-GB"/>
        </w:rPr>
        <w:t xml:space="preserve"> v. </w:t>
      </w:r>
      <w:r w:rsidRPr="00177F0B">
        <w:rPr>
          <w:i/>
          <w:sz w:val="16"/>
          <w:szCs w:val="16"/>
          <w:lang w:val="en-GB"/>
        </w:rPr>
        <w:t>Hungary</w:t>
      </w:r>
      <w:r w:rsidRPr="00177F0B">
        <w:rPr>
          <w:sz w:val="16"/>
          <w:szCs w:val="16"/>
          <w:lang w:val="en-GB"/>
        </w:rPr>
        <w:t>.</w:t>
      </w:r>
      <w:proofErr w:type="gramEnd"/>
      <w:r w:rsidRPr="00177F0B">
        <w:rPr>
          <w:sz w:val="16"/>
          <w:szCs w:val="16"/>
          <w:lang w:val="en-GB"/>
        </w:rPr>
        <w:t xml:space="preserve"> See also </w:t>
      </w:r>
      <w:proofErr w:type="spellStart"/>
      <w:proofErr w:type="gramStart"/>
      <w:r w:rsidR="00217D46">
        <w:rPr>
          <w:i/>
          <w:sz w:val="16"/>
          <w:szCs w:val="16"/>
          <w:lang w:val="en-GB"/>
        </w:rPr>
        <w:t>Ibide</w:t>
      </w:r>
      <w:r w:rsidRPr="001A2E0C">
        <w:rPr>
          <w:i/>
          <w:sz w:val="16"/>
          <w:szCs w:val="16"/>
          <w:lang w:val="en-GB"/>
        </w:rPr>
        <w:t>m</w:t>
      </w:r>
      <w:proofErr w:type="spellEnd"/>
      <w:proofErr w:type="gramEnd"/>
      <w:r>
        <w:rPr>
          <w:i/>
          <w:sz w:val="16"/>
          <w:szCs w:val="16"/>
          <w:lang w:val="en-GB"/>
        </w:rPr>
        <w:t>.</w:t>
      </w:r>
    </w:p>
  </w:footnote>
  <w:footnote w:id="86">
    <w:p w14:paraId="600BFD91" w14:textId="25B84EBB" w:rsidR="00562A40" w:rsidRPr="000B4CF2" w:rsidRDefault="00562A40" w:rsidP="00562A40">
      <w:pPr>
        <w:pStyle w:val="FootnoteText"/>
        <w:jc w:val="both"/>
        <w:rPr>
          <w:sz w:val="16"/>
          <w:szCs w:val="16"/>
        </w:rPr>
      </w:pPr>
      <w:r w:rsidRPr="000B4CF2">
        <w:rPr>
          <w:rStyle w:val="FootnoteReference"/>
          <w:b/>
          <w:sz w:val="16"/>
          <w:szCs w:val="16"/>
        </w:rPr>
        <w:footnoteRef/>
      </w:r>
      <w:r w:rsidRPr="000B4CF2">
        <w:rPr>
          <w:b/>
          <w:sz w:val="16"/>
          <w:szCs w:val="16"/>
        </w:rPr>
        <w:t xml:space="preserve"> </w:t>
      </w:r>
      <w:proofErr w:type="spellStart"/>
      <w:r w:rsidRPr="000B4CF2">
        <w:rPr>
          <w:smallCaps/>
          <w:sz w:val="16"/>
          <w:szCs w:val="16"/>
        </w:rPr>
        <w:t>Zajad</w:t>
      </w:r>
      <w:r w:rsidRPr="000B4CF2">
        <w:rPr>
          <w:smallCaps/>
          <w:color w:val="000000"/>
          <w:sz w:val="16"/>
          <w:szCs w:val="16"/>
        </w:rPr>
        <w:t>ło</w:t>
      </w:r>
      <w:proofErr w:type="spellEnd"/>
      <w:r w:rsidRPr="000B4CF2">
        <w:rPr>
          <w:smallCaps/>
          <w:sz w:val="16"/>
          <w:szCs w:val="16"/>
        </w:rPr>
        <w:t xml:space="preserve"> Jerzy</w:t>
      </w:r>
      <w:r w:rsidRPr="000B4CF2">
        <w:rPr>
          <w:color w:val="000000"/>
          <w:sz w:val="16"/>
          <w:szCs w:val="16"/>
        </w:rPr>
        <w:t>, ‘</w:t>
      </w:r>
      <w:proofErr w:type="spellStart"/>
      <w:r w:rsidRPr="000B4CF2">
        <w:rPr>
          <w:i/>
          <w:color w:val="000000"/>
          <w:sz w:val="16"/>
          <w:szCs w:val="16"/>
        </w:rPr>
        <w:t>Ius</w:t>
      </w:r>
      <w:proofErr w:type="spellEnd"/>
      <w:r w:rsidRPr="000B4CF2">
        <w:rPr>
          <w:i/>
          <w:color w:val="000000"/>
          <w:sz w:val="16"/>
          <w:szCs w:val="16"/>
        </w:rPr>
        <w:t xml:space="preserve">, </w:t>
      </w:r>
      <w:proofErr w:type="spellStart"/>
      <w:r w:rsidRPr="000B4CF2">
        <w:rPr>
          <w:i/>
          <w:color w:val="000000"/>
          <w:sz w:val="16"/>
          <w:szCs w:val="16"/>
        </w:rPr>
        <w:t>lex</w:t>
      </w:r>
      <w:proofErr w:type="spellEnd"/>
      <w:r w:rsidRPr="000B4CF2">
        <w:rPr>
          <w:i/>
          <w:color w:val="000000"/>
          <w:sz w:val="16"/>
          <w:szCs w:val="16"/>
        </w:rPr>
        <w:t xml:space="preserve"> </w:t>
      </w:r>
      <w:proofErr w:type="spellStart"/>
      <w:r w:rsidRPr="000B4CF2">
        <w:rPr>
          <w:color w:val="000000"/>
          <w:sz w:val="16"/>
          <w:szCs w:val="16"/>
        </w:rPr>
        <w:t>i</w:t>
      </w:r>
      <w:proofErr w:type="spellEnd"/>
      <w:r w:rsidRPr="000B4CF2">
        <w:rPr>
          <w:color w:val="000000"/>
          <w:sz w:val="16"/>
          <w:szCs w:val="16"/>
        </w:rPr>
        <w:t xml:space="preserve"> </w:t>
      </w:r>
      <w:proofErr w:type="spellStart"/>
      <w:r w:rsidRPr="000B4CF2">
        <w:rPr>
          <w:color w:val="000000"/>
          <w:sz w:val="16"/>
          <w:szCs w:val="16"/>
        </w:rPr>
        <w:t>Tybunał</w:t>
      </w:r>
      <w:proofErr w:type="spellEnd"/>
      <w:r w:rsidRPr="000B4CF2">
        <w:rPr>
          <w:color w:val="000000"/>
          <w:sz w:val="16"/>
          <w:szCs w:val="16"/>
        </w:rPr>
        <w:t xml:space="preserve"> </w:t>
      </w:r>
      <w:proofErr w:type="spellStart"/>
      <w:r w:rsidRPr="000B4CF2">
        <w:rPr>
          <w:color w:val="000000"/>
          <w:sz w:val="16"/>
          <w:szCs w:val="16"/>
        </w:rPr>
        <w:t>Konstytucyjny</w:t>
      </w:r>
      <w:proofErr w:type="spellEnd"/>
      <w:r w:rsidRPr="000B4CF2">
        <w:rPr>
          <w:color w:val="000000"/>
          <w:sz w:val="16"/>
          <w:szCs w:val="16"/>
        </w:rPr>
        <w:t>’ (</w:t>
      </w:r>
      <w:proofErr w:type="spellStart"/>
      <w:r w:rsidRPr="000B4CF2">
        <w:rPr>
          <w:i/>
          <w:color w:val="000000"/>
          <w:sz w:val="16"/>
          <w:szCs w:val="16"/>
        </w:rPr>
        <w:t>Ius</w:t>
      </w:r>
      <w:proofErr w:type="spellEnd"/>
      <w:r w:rsidRPr="000B4CF2">
        <w:rPr>
          <w:color w:val="000000"/>
          <w:sz w:val="16"/>
          <w:szCs w:val="16"/>
        </w:rPr>
        <w:t xml:space="preserve">, </w:t>
      </w:r>
      <w:proofErr w:type="spellStart"/>
      <w:r w:rsidRPr="000B4CF2">
        <w:rPr>
          <w:i/>
          <w:color w:val="000000"/>
          <w:sz w:val="16"/>
          <w:szCs w:val="16"/>
        </w:rPr>
        <w:t>lex</w:t>
      </w:r>
      <w:proofErr w:type="spellEnd"/>
      <w:r w:rsidRPr="000B4CF2">
        <w:rPr>
          <w:i/>
          <w:color w:val="000000"/>
          <w:sz w:val="16"/>
          <w:szCs w:val="16"/>
        </w:rPr>
        <w:t xml:space="preserve"> </w:t>
      </w:r>
      <w:r w:rsidRPr="000B4CF2">
        <w:rPr>
          <w:color w:val="000000"/>
          <w:sz w:val="16"/>
          <w:szCs w:val="16"/>
        </w:rPr>
        <w:t xml:space="preserve">and the Constitutional Tribunal’, in </w:t>
      </w:r>
      <w:proofErr w:type="spellStart"/>
      <w:r w:rsidRPr="000B4CF2">
        <w:rPr>
          <w:i/>
          <w:color w:val="000000"/>
          <w:sz w:val="16"/>
          <w:szCs w:val="16"/>
        </w:rPr>
        <w:t>Współczesne</w:t>
      </w:r>
      <w:proofErr w:type="spellEnd"/>
      <w:r w:rsidRPr="000B4CF2">
        <w:rPr>
          <w:i/>
          <w:color w:val="000000"/>
          <w:sz w:val="16"/>
          <w:szCs w:val="16"/>
        </w:rPr>
        <w:t xml:space="preserve"> </w:t>
      </w:r>
      <w:proofErr w:type="spellStart"/>
      <w:r w:rsidRPr="000B4CF2">
        <w:rPr>
          <w:i/>
          <w:color w:val="000000"/>
          <w:sz w:val="16"/>
          <w:szCs w:val="16"/>
        </w:rPr>
        <w:t>problemy</w:t>
      </w:r>
      <w:proofErr w:type="spellEnd"/>
      <w:r w:rsidRPr="000B4CF2">
        <w:rPr>
          <w:i/>
          <w:color w:val="000000"/>
          <w:sz w:val="16"/>
          <w:szCs w:val="16"/>
        </w:rPr>
        <w:t xml:space="preserve"> </w:t>
      </w:r>
      <w:proofErr w:type="spellStart"/>
      <w:r w:rsidRPr="000B4CF2">
        <w:rPr>
          <w:i/>
          <w:color w:val="000000"/>
          <w:sz w:val="16"/>
          <w:szCs w:val="16"/>
        </w:rPr>
        <w:t>prawa</w:t>
      </w:r>
      <w:proofErr w:type="spellEnd"/>
      <w:r w:rsidRPr="000B4CF2">
        <w:rPr>
          <w:color w:val="000000"/>
          <w:sz w:val="16"/>
          <w:szCs w:val="16"/>
        </w:rPr>
        <w:t xml:space="preserve"> (Contemporary Legal Problems), collection dedicated to </w:t>
      </w:r>
      <w:proofErr w:type="spellStart"/>
      <w:r w:rsidRPr="000B4CF2">
        <w:rPr>
          <w:smallCaps/>
          <w:color w:val="000000"/>
          <w:sz w:val="16"/>
          <w:szCs w:val="16"/>
        </w:rPr>
        <w:t>Prof</w:t>
      </w:r>
      <w:r>
        <w:rPr>
          <w:smallCaps/>
          <w:color w:val="000000"/>
          <w:sz w:val="16"/>
          <w:szCs w:val="16"/>
        </w:rPr>
        <w:t>.</w:t>
      </w:r>
      <w:proofErr w:type="spellEnd"/>
      <w:r w:rsidRPr="000B4CF2">
        <w:rPr>
          <w:smallCaps/>
          <w:color w:val="000000"/>
          <w:sz w:val="16"/>
          <w:szCs w:val="16"/>
        </w:rPr>
        <w:t xml:space="preserve"> Jerzy </w:t>
      </w:r>
      <w:proofErr w:type="spellStart"/>
      <w:r w:rsidRPr="000B4CF2">
        <w:rPr>
          <w:smallCaps/>
          <w:color w:val="000000"/>
          <w:sz w:val="16"/>
          <w:szCs w:val="16"/>
        </w:rPr>
        <w:t>Młynarczyk</w:t>
      </w:r>
      <w:proofErr w:type="spellEnd"/>
      <w:r w:rsidRPr="000B4CF2">
        <w:rPr>
          <w:color w:val="000000"/>
          <w:sz w:val="16"/>
          <w:szCs w:val="16"/>
        </w:rPr>
        <w:t xml:space="preserve">, </w:t>
      </w:r>
      <w:r w:rsidRPr="000B4CF2">
        <w:rPr>
          <w:smallCaps/>
          <w:color w:val="000000"/>
          <w:sz w:val="16"/>
          <w:szCs w:val="16"/>
        </w:rPr>
        <w:t xml:space="preserve">A. </w:t>
      </w:r>
      <w:proofErr w:type="spellStart"/>
      <w:r w:rsidRPr="000B4CF2">
        <w:rPr>
          <w:smallCaps/>
          <w:color w:val="000000"/>
          <w:sz w:val="16"/>
          <w:szCs w:val="16"/>
        </w:rPr>
        <w:t>Polańska</w:t>
      </w:r>
      <w:proofErr w:type="spellEnd"/>
      <w:r w:rsidRPr="000B4CF2">
        <w:rPr>
          <w:color w:val="000000"/>
          <w:sz w:val="16"/>
          <w:szCs w:val="16"/>
        </w:rPr>
        <w:t xml:space="preserve"> et al.,</w:t>
      </w:r>
      <w:r>
        <w:rPr>
          <w:color w:val="000000"/>
          <w:sz w:val="16"/>
          <w:szCs w:val="16"/>
        </w:rPr>
        <w:t>(</w:t>
      </w:r>
      <w:r w:rsidRPr="000B4CF2">
        <w:rPr>
          <w:color w:val="000000"/>
          <w:sz w:val="16"/>
          <w:szCs w:val="16"/>
        </w:rPr>
        <w:t xml:space="preserve"> eds.</w:t>
      </w:r>
      <w:r>
        <w:rPr>
          <w:color w:val="000000"/>
          <w:sz w:val="16"/>
          <w:szCs w:val="16"/>
        </w:rPr>
        <w:t>)</w:t>
      </w:r>
      <w:r w:rsidR="00C5004A">
        <w:rPr>
          <w:color w:val="000000"/>
          <w:sz w:val="16"/>
          <w:szCs w:val="16"/>
        </w:rPr>
        <w:t xml:space="preserve">, </w:t>
      </w:r>
      <w:r w:rsidRPr="000B4CF2">
        <w:rPr>
          <w:color w:val="000000"/>
          <w:sz w:val="16"/>
          <w:szCs w:val="16"/>
        </w:rPr>
        <w:t>Gdynia</w:t>
      </w:r>
      <w:r w:rsidR="00C5004A">
        <w:rPr>
          <w:color w:val="000000"/>
          <w:sz w:val="16"/>
          <w:szCs w:val="16"/>
        </w:rPr>
        <w:t>,</w:t>
      </w:r>
      <w:r w:rsidRPr="000B4CF2">
        <w:rPr>
          <w:color w:val="000000"/>
          <w:sz w:val="16"/>
          <w:szCs w:val="16"/>
        </w:rPr>
        <w:t xml:space="preserve"> Higher School of Administration and Business, 2011, p. 87</w:t>
      </w:r>
    </w:p>
  </w:footnote>
  <w:footnote w:id="87">
    <w:p w14:paraId="58C163A6" w14:textId="24C96315" w:rsidR="00DB3EBE" w:rsidRPr="000B4CF2" w:rsidRDefault="00DB3EBE">
      <w:pPr>
        <w:outlineLvl w:val="0"/>
        <w:rPr>
          <w:sz w:val="16"/>
          <w:szCs w:val="16"/>
        </w:rPr>
      </w:pPr>
      <w:r w:rsidRPr="000B4CF2">
        <w:rPr>
          <w:rFonts w:eastAsia="Arial Unicode MS"/>
          <w:color w:val="000000"/>
          <w:sz w:val="16"/>
          <w:szCs w:val="16"/>
          <w:u w:color="000000"/>
          <w:vertAlign w:val="superscript"/>
        </w:rPr>
        <w:footnoteRef/>
      </w:r>
      <w:r w:rsidRPr="000B4CF2">
        <w:rPr>
          <w:rFonts w:eastAsia="Arial Unicode MS"/>
          <w:color w:val="000000"/>
          <w:sz w:val="16"/>
          <w:szCs w:val="16"/>
          <w:u w:color="000000"/>
        </w:rPr>
        <w:t xml:space="preserve"> The development could be attributed to the increasing important of international human rights in Latin and South America. See </w:t>
      </w:r>
      <w:proofErr w:type="spellStart"/>
      <w:r w:rsidRPr="000B4CF2">
        <w:rPr>
          <w:rFonts w:eastAsia="Arial Unicode MS"/>
          <w:smallCaps/>
          <w:color w:val="000000"/>
          <w:sz w:val="16"/>
          <w:szCs w:val="16"/>
          <w:u w:color="000000"/>
        </w:rPr>
        <w:t>Skaar</w:t>
      </w:r>
      <w:proofErr w:type="spellEnd"/>
      <w:r w:rsidRPr="00177F0B">
        <w:rPr>
          <w:rFonts w:eastAsia="Arial Unicode MS"/>
          <w:smallCaps/>
          <w:color w:val="000000"/>
          <w:sz w:val="16"/>
          <w:szCs w:val="16"/>
          <w:u w:color="000000"/>
        </w:rPr>
        <w:t xml:space="preserve"> </w:t>
      </w:r>
      <w:r w:rsidRPr="000B4CF2">
        <w:rPr>
          <w:rFonts w:eastAsia="Arial Unicode MS"/>
          <w:smallCaps/>
          <w:color w:val="000000"/>
          <w:sz w:val="16"/>
          <w:szCs w:val="16"/>
          <w:u w:color="000000"/>
        </w:rPr>
        <w:t>Elin</w:t>
      </w:r>
      <w:r w:rsidRPr="000B4CF2">
        <w:rPr>
          <w:rFonts w:eastAsia="Arial Unicode MS"/>
          <w:color w:val="000000"/>
          <w:sz w:val="16"/>
          <w:szCs w:val="16"/>
          <w:u w:color="000000"/>
        </w:rPr>
        <w:t xml:space="preserve">, </w:t>
      </w:r>
      <w:r w:rsidRPr="000B4CF2">
        <w:rPr>
          <w:rFonts w:eastAsia="Arial Unicode MS"/>
          <w:i/>
          <w:color w:val="000000"/>
          <w:sz w:val="16"/>
          <w:szCs w:val="16"/>
          <w:u w:color="000000"/>
        </w:rPr>
        <w:t>Judicial Independence and Human Rights in Latin American: Violat</w:t>
      </w:r>
      <w:r w:rsidR="00C5004A">
        <w:rPr>
          <w:rFonts w:eastAsia="Arial Unicode MS"/>
          <w:i/>
          <w:color w:val="000000"/>
          <w:sz w:val="16"/>
          <w:szCs w:val="16"/>
          <w:u w:color="000000"/>
        </w:rPr>
        <w:t>ions, Politics, and Prosecution</w:t>
      </w:r>
      <w:proofErr w:type="gramStart"/>
      <w:r w:rsidR="004E3E95">
        <w:rPr>
          <w:rFonts w:eastAsia="Arial Unicode MS"/>
          <w:color w:val="000000"/>
          <w:sz w:val="16"/>
          <w:szCs w:val="16"/>
          <w:u w:color="000000"/>
        </w:rPr>
        <w:t>,</w:t>
      </w:r>
      <w:r w:rsidR="00C5004A">
        <w:rPr>
          <w:rFonts w:eastAsia="Arial Unicode MS"/>
          <w:color w:val="000000"/>
          <w:sz w:val="16"/>
          <w:szCs w:val="16"/>
          <w:u w:color="000000"/>
        </w:rPr>
        <w:t xml:space="preserve"> </w:t>
      </w:r>
      <w:r w:rsidR="004E3E95">
        <w:rPr>
          <w:rFonts w:eastAsia="Arial Unicode MS"/>
          <w:color w:val="000000"/>
          <w:sz w:val="16"/>
          <w:szCs w:val="16"/>
          <w:u w:color="000000"/>
        </w:rPr>
        <w:t xml:space="preserve"> </w:t>
      </w:r>
      <w:r w:rsidRPr="000B4CF2">
        <w:rPr>
          <w:rFonts w:eastAsia="Arial Unicode MS"/>
          <w:color w:val="000000"/>
          <w:sz w:val="16"/>
          <w:szCs w:val="16"/>
          <w:u w:color="000000"/>
        </w:rPr>
        <w:t>New</w:t>
      </w:r>
      <w:proofErr w:type="gramEnd"/>
      <w:r w:rsidRPr="000B4CF2">
        <w:rPr>
          <w:rFonts w:eastAsia="Arial Unicode MS"/>
          <w:color w:val="000000"/>
          <w:sz w:val="16"/>
          <w:szCs w:val="16"/>
          <w:u w:color="000000"/>
        </w:rPr>
        <w:t xml:space="preserve"> York</w:t>
      </w:r>
      <w:r w:rsidR="004E3E95">
        <w:rPr>
          <w:rFonts w:eastAsia="Arial Unicode MS"/>
          <w:color w:val="000000"/>
          <w:sz w:val="16"/>
          <w:szCs w:val="16"/>
          <w:u w:color="000000"/>
        </w:rPr>
        <w:t>,</w:t>
      </w:r>
      <w:r w:rsidRPr="000B4CF2">
        <w:rPr>
          <w:rFonts w:eastAsia="Arial Unicode MS"/>
          <w:color w:val="000000"/>
          <w:sz w:val="16"/>
          <w:szCs w:val="16"/>
          <w:u w:color="000000"/>
        </w:rPr>
        <w:t xml:space="preserve"> Palgrave M</w:t>
      </w:r>
      <w:r w:rsidR="004E3E95">
        <w:rPr>
          <w:rFonts w:eastAsia="Arial Unicode MS"/>
          <w:color w:val="000000"/>
          <w:sz w:val="16"/>
          <w:szCs w:val="16"/>
          <w:u w:color="000000"/>
        </w:rPr>
        <w:t>acmillan, 2011</w:t>
      </w:r>
      <w:r w:rsidRPr="000B4CF2">
        <w:rPr>
          <w:rFonts w:eastAsia="Arial Unicode MS"/>
          <w:color w:val="000000"/>
          <w:sz w:val="16"/>
          <w:szCs w:val="16"/>
          <w:u w:color="000000"/>
        </w:rPr>
        <w:t>.</w:t>
      </w:r>
    </w:p>
  </w:footnote>
  <w:footnote w:id="88">
    <w:p w14:paraId="0E18C59A" w14:textId="77777777" w:rsidR="00DB3EBE" w:rsidRPr="000B4CF2" w:rsidRDefault="00DB3EBE">
      <w:pPr>
        <w:pStyle w:val="Body1"/>
        <w:rPr>
          <w:rFonts w:eastAsia="Times New Roman"/>
          <w:color w:val="auto"/>
          <w:sz w:val="16"/>
          <w:szCs w:val="16"/>
          <w:lang w:val="en-GB"/>
        </w:rPr>
      </w:pPr>
      <w:r w:rsidRPr="000B4CF2">
        <w:rPr>
          <w:sz w:val="16"/>
          <w:szCs w:val="16"/>
          <w:vertAlign w:val="superscript"/>
          <w:lang w:val="en-GB"/>
        </w:rPr>
        <w:footnoteRef/>
      </w:r>
      <w:r w:rsidRPr="000B4CF2">
        <w:rPr>
          <w:sz w:val="16"/>
          <w:szCs w:val="16"/>
          <w:lang w:val="en-GB"/>
        </w:rPr>
        <w:t xml:space="preserve"> </w:t>
      </w:r>
      <w:r w:rsidRPr="000B4CF2">
        <w:rPr>
          <w:smallCaps/>
          <w:sz w:val="16"/>
          <w:szCs w:val="16"/>
          <w:lang w:val="en-GB"/>
        </w:rPr>
        <w:t>Fijalkowsk</w:t>
      </w:r>
      <w:r>
        <w:rPr>
          <w:smallCaps/>
          <w:sz w:val="16"/>
          <w:szCs w:val="16"/>
          <w:lang w:val="en-GB"/>
        </w:rPr>
        <w:t xml:space="preserve">i Agata, </w:t>
      </w:r>
      <w:proofErr w:type="spellStart"/>
      <w:r>
        <w:rPr>
          <w:i/>
          <w:sz w:val="16"/>
          <w:szCs w:val="16"/>
        </w:rPr>
        <w:t>op.cit</w:t>
      </w:r>
      <w:proofErr w:type="spellEnd"/>
      <w:r w:rsidRPr="000B4CF2">
        <w:rPr>
          <w:sz w:val="16"/>
          <w:szCs w:val="16"/>
          <w:lang w:val="en-GB"/>
        </w:rPr>
        <w:t>.</w:t>
      </w:r>
    </w:p>
  </w:footnote>
  <w:footnote w:id="89">
    <w:p w14:paraId="676166CE" w14:textId="77777777" w:rsidR="00DB3EBE" w:rsidRPr="000B4CF2" w:rsidRDefault="00DB3EBE">
      <w:pPr>
        <w:outlineLvl w:val="0"/>
        <w:rPr>
          <w:i/>
          <w:sz w:val="16"/>
          <w:szCs w:val="16"/>
        </w:rPr>
      </w:pPr>
      <w:r w:rsidRPr="000B4CF2">
        <w:rPr>
          <w:rFonts w:eastAsia="Arial Unicode MS"/>
          <w:color w:val="000000"/>
          <w:sz w:val="16"/>
          <w:szCs w:val="16"/>
          <w:u w:color="000000"/>
          <w:vertAlign w:val="superscript"/>
        </w:rPr>
        <w:footnoteRef/>
      </w:r>
      <w:r w:rsidRPr="000B4CF2">
        <w:rPr>
          <w:rFonts w:eastAsia="Arial Unicode MS"/>
          <w:color w:val="000000"/>
          <w:sz w:val="16"/>
          <w:szCs w:val="16"/>
          <w:u w:color="000000"/>
        </w:rPr>
        <w:t xml:space="preserve"> </w:t>
      </w:r>
      <w:proofErr w:type="spellStart"/>
      <w:r w:rsidRPr="000B4CF2">
        <w:rPr>
          <w:smallCaps/>
          <w:sz w:val="16"/>
          <w:szCs w:val="16"/>
        </w:rPr>
        <w:t>P</w:t>
      </w:r>
      <w:r w:rsidRPr="000B4CF2">
        <w:rPr>
          <w:smallCaps/>
          <w:color w:val="000000"/>
          <w:sz w:val="16"/>
          <w:szCs w:val="16"/>
        </w:rPr>
        <w:t>ř</w:t>
      </w:r>
      <w:r w:rsidRPr="000B4CF2">
        <w:rPr>
          <w:smallCaps/>
          <w:sz w:val="16"/>
          <w:szCs w:val="16"/>
        </w:rPr>
        <w:t>ib</w:t>
      </w:r>
      <w:r w:rsidRPr="000B4CF2">
        <w:rPr>
          <w:smallCaps/>
          <w:color w:val="000000"/>
          <w:sz w:val="16"/>
          <w:szCs w:val="16"/>
        </w:rPr>
        <w:t>áň</w:t>
      </w:r>
      <w:proofErr w:type="spellEnd"/>
      <w:r w:rsidRPr="000B4CF2">
        <w:rPr>
          <w:rFonts w:eastAsia="Arial Unicode MS"/>
          <w:smallCaps/>
          <w:color w:val="000000"/>
          <w:sz w:val="16"/>
          <w:szCs w:val="16"/>
          <w:u w:color="000000"/>
        </w:rPr>
        <w:t xml:space="preserve"> </w:t>
      </w:r>
      <w:proofErr w:type="spellStart"/>
      <w:r w:rsidRPr="000B4CF2">
        <w:rPr>
          <w:rFonts w:eastAsia="Arial Unicode MS"/>
          <w:smallCaps/>
          <w:color w:val="000000"/>
          <w:sz w:val="16"/>
          <w:szCs w:val="16"/>
          <w:u w:color="000000"/>
        </w:rPr>
        <w:t>Ji</w:t>
      </w:r>
      <w:r w:rsidRPr="000B4CF2">
        <w:rPr>
          <w:smallCaps/>
          <w:color w:val="000000"/>
          <w:sz w:val="16"/>
          <w:szCs w:val="16"/>
        </w:rPr>
        <w:t>ří</w:t>
      </w:r>
      <w:proofErr w:type="spellEnd"/>
      <w:r w:rsidRPr="000B4CF2">
        <w:rPr>
          <w:rFonts w:eastAsia="Arial Unicode MS"/>
          <w:color w:val="000000"/>
          <w:sz w:val="16"/>
          <w:szCs w:val="16"/>
          <w:u w:color="000000"/>
        </w:rPr>
        <w:t xml:space="preserve">, </w:t>
      </w:r>
      <w:r>
        <w:rPr>
          <w:rFonts w:eastAsia="Arial Unicode MS"/>
          <w:i/>
          <w:color w:val="000000"/>
          <w:sz w:val="16"/>
          <w:szCs w:val="16"/>
          <w:u w:color="000000"/>
        </w:rPr>
        <w:t>op. cit</w:t>
      </w:r>
      <w:r w:rsidRPr="000B4CF2">
        <w:rPr>
          <w:rFonts w:eastAsia="Arial Unicode MS"/>
          <w:color w:val="000000"/>
          <w:sz w:val="16"/>
          <w:szCs w:val="16"/>
          <w:u w:color="000000"/>
        </w:rPr>
        <w:t>. 143.</w:t>
      </w:r>
      <w:r>
        <w:rPr>
          <w:rFonts w:eastAsia="Arial Unicode MS"/>
          <w:color w:val="000000"/>
          <w:sz w:val="16"/>
          <w:szCs w:val="16"/>
          <w:u w:color="000000"/>
        </w:rPr>
        <w:t xml:space="preserve"> </w:t>
      </w:r>
    </w:p>
  </w:footnote>
  <w:footnote w:id="90">
    <w:p w14:paraId="1EB1E014" w14:textId="2D6B81B3" w:rsidR="00DB3EBE" w:rsidRPr="000B4CF2" w:rsidRDefault="00DB3EBE">
      <w:pPr>
        <w:outlineLvl w:val="0"/>
        <w:rPr>
          <w:sz w:val="16"/>
          <w:szCs w:val="16"/>
        </w:rPr>
      </w:pPr>
      <w:r w:rsidRPr="000B4CF2">
        <w:rPr>
          <w:rFonts w:eastAsia="Arial Unicode MS"/>
          <w:color w:val="000000"/>
          <w:sz w:val="16"/>
          <w:szCs w:val="16"/>
          <w:u w:color="000000"/>
          <w:vertAlign w:val="superscript"/>
        </w:rPr>
        <w:footnoteRef/>
      </w:r>
      <w:r w:rsidRPr="000B4CF2">
        <w:rPr>
          <w:rFonts w:eastAsia="Arial Unicode MS"/>
          <w:color w:val="000000"/>
          <w:sz w:val="16"/>
          <w:szCs w:val="16"/>
          <w:u w:color="000000"/>
        </w:rPr>
        <w:t xml:space="preserve"> </w:t>
      </w:r>
      <w:proofErr w:type="spellStart"/>
      <w:proofErr w:type="gramStart"/>
      <w:r w:rsidR="00217D46">
        <w:rPr>
          <w:rFonts w:eastAsia="Arial Unicode MS"/>
          <w:i/>
          <w:color w:val="000000"/>
          <w:sz w:val="16"/>
          <w:szCs w:val="16"/>
          <w:u w:color="000000"/>
        </w:rPr>
        <w:t>Ibid</w:t>
      </w:r>
      <w:r w:rsidRPr="000B4CF2">
        <w:rPr>
          <w:rFonts w:eastAsia="Arial Unicode MS"/>
          <w:i/>
          <w:color w:val="000000"/>
          <w:sz w:val="16"/>
          <w:szCs w:val="16"/>
          <w:u w:color="000000"/>
        </w:rPr>
        <w:t>em</w:t>
      </w:r>
      <w:proofErr w:type="spellEnd"/>
      <w:r w:rsidRPr="000B4CF2">
        <w:rPr>
          <w:rFonts w:eastAsia="Arial Unicode MS"/>
          <w:i/>
          <w:color w:val="000000"/>
          <w:sz w:val="16"/>
          <w:szCs w:val="16"/>
          <w:u w:color="000000"/>
        </w:rPr>
        <w:t>.</w:t>
      </w:r>
      <w:proofErr w:type="gramEnd"/>
      <w:r w:rsidRPr="000B4CF2">
        <w:rPr>
          <w:rFonts w:eastAsia="Arial Unicode MS"/>
          <w:i/>
          <w:color w:val="000000"/>
          <w:sz w:val="16"/>
          <w:szCs w:val="16"/>
          <w:u w:color="000000"/>
        </w:rPr>
        <w:t xml:space="preserve"> </w:t>
      </w:r>
      <w:r w:rsidRPr="000B4CF2">
        <w:rPr>
          <w:rFonts w:eastAsia="Arial Unicode MS"/>
          <w:color w:val="000000"/>
          <w:sz w:val="16"/>
          <w:szCs w:val="16"/>
          <w:u w:color="000000"/>
        </w:rPr>
        <w:t xml:space="preserve">See also </w:t>
      </w:r>
      <w:proofErr w:type="spellStart"/>
      <w:r w:rsidR="009C50CF">
        <w:rPr>
          <w:rFonts w:eastAsia="Arial Unicode MS"/>
          <w:smallCaps/>
          <w:color w:val="000000"/>
          <w:sz w:val="16"/>
          <w:szCs w:val="16"/>
          <w:u w:color="000000"/>
        </w:rPr>
        <w:t>Bozó</w:t>
      </w:r>
      <w:r w:rsidRPr="000B4CF2">
        <w:rPr>
          <w:rFonts w:eastAsia="Arial Unicode MS"/>
          <w:smallCaps/>
          <w:color w:val="000000"/>
          <w:sz w:val="16"/>
          <w:szCs w:val="16"/>
          <w:u w:color="000000"/>
        </w:rPr>
        <w:t>ki</w:t>
      </w:r>
      <w:proofErr w:type="spellEnd"/>
      <w:r w:rsidRPr="000B4CF2">
        <w:rPr>
          <w:rFonts w:eastAsia="Arial Unicode MS"/>
          <w:color w:val="000000"/>
          <w:sz w:val="16"/>
          <w:szCs w:val="16"/>
          <w:u w:color="000000"/>
        </w:rPr>
        <w:t>,</w:t>
      </w:r>
      <w:r w:rsidRPr="000B4CF2">
        <w:rPr>
          <w:rFonts w:eastAsia="Arial Unicode MS"/>
          <w:smallCaps/>
          <w:color w:val="000000"/>
          <w:sz w:val="16"/>
          <w:szCs w:val="16"/>
          <w:u w:color="000000"/>
        </w:rPr>
        <w:t xml:space="preserve"> </w:t>
      </w:r>
      <w:proofErr w:type="spellStart"/>
      <w:proofErr w:type="gramStart"/>
      <w:r w:rsidRPr="000B4CF2">
        <w:rPr>
          <w:rFonts w:eastAsia="Arial Unicode MS"/>
          <w:smallCaps/>
          <w:color w:val="000000"/>
          <w:sz w:val="16"/>
          <w:szCs w:val="16"/>
          <w:u w:color="000000"/>
        </w:rPr>
        <w:t>A</w:t>
      </w:r>
      <w:r w:rsidR="009C50CF">
        <w:rPr>
          <w:rFonts w:eastAsia="Arial Unicode MS"/>
          <w:smallCaps/>
          <w:color w:val="000000"/>
          <w:sz w:val="16"/>
          <w:szCs w:val="16"/>
          <w:u w:color="000000"/>
        </w:rPr>
        <w:t>ndrás</w:t>
      </w:r>
      <w:proofErr w:type="spellEnd"/>
      <w:r w:rsidRPr="000B4CF2">
        <w:rPr>
          <w:rFonts w:eastAsia="Arial Unicode MS"/>
          <w:smallCaps/>
          <w:color w:val="000000"/>
          <w:sz w:val="16"/>
          <w:szCs w:val="16"/>
          <w:u w:color="000000"/>
        </w:rPr>
        <w:t xml:space="preserve"> </w:t>
      </w:r>
      <w:r w:rsidRPr="000B4CF2">
        <w:rPr>
          <w:rFonts w:eastAsia="Arial Unicode MS"/>
          <w:color w:val="000000"/>
          <w:sz w:val="16"/>
          <w:szCs w:val="16"/>
          <w:u w:color="000000"/>
        </w:rPr>
        <w:t xml:space="preserve"> </w:t>
      </w:r>
      <w:r>
        <w:rPr>
          <w:rFonts w:eastAsia="Arial Unicode MS"/>
          <w:color w:val="000000"/>
          <w:sz w:val="16"/>
          <w:szCs w:val="16"/>
          <w:u w:color="000000"/>
        </w:rPr>
        <w:t>(</w:t>
      </w:r>
      <w:proofErr w:type="gramEnd"/>
      <w:r w:rsidRPr="000B4CF2">
        <w:rPr>
          <w:rFonts w:eastAsia="Arial Unicode MS"/>
          <w:color w:val="000000"/>
          <w:sz w:val="16"/>
          <w:szCs w:val="16"/>
          <w:u w:color="000000"/>
        </w:rPr>
        <w:t>ed.</w:t>
      </w:r>
      <w:r>
        <w:rPr>
          <w:rFonts w:eastAsia="Arial Unicode MS"/>
          <w:color w:val="000000"/>
          <w:sz w:val="16"/>
          <w:szCs w:val="16"/>
          <w:u w:color="000000"/>
        </w:rPr>
        <w:t>)</w:t>
      </w:r>
      <w:r w:rsidRPr="000B4CF2">
        <w:rPr>
          <w:rFonts w:eastAsia="Arial Unicode MS"/>
          <w:color w:val="000000"/>
          <w:sz w:val="16"/>
          <w:szCs w:val="16"/>
          <w:u w:color="000000"/>
        </w:rPr>
        <w:t xml:space="preserve">, </w:t>
      </w:r>
      <w:r w:rsidRPr="000B4CF2">
        <w:rPr>
          <w:rFonts w:eastAsia="Arial Unicode MS"/>
          <w:i/>
          <w:color w:val="000000"/>
          <w:sz w:val="16"/>
          <w:szCs w:val="16"/>
          <w:u w:color="000000"/>
        </w:rPr>
        <w:t xml:space="preserve">The Round Table Talks of 1989: the Genesis of Hungarian Democracy </w:t>
      </w:r>
      <w:r w:rsidRPr="000B4CF2">
        <w:rPr>
          <w:rFonts w:eastAsia="Arial Unicode MS"/>
          <w:color w:val="000000"/>
          <w:sz w:val="16"/>
          <w:szCs w:val="16"/>
          <w:u w:color="000000"/>
        </w:rPr>
        <w:t>(Budapest: CEU Press, 2002).</w:t>
      </w:r>
    </w:p>
  </w:footnote>
  <w:footnote w:id="91">
    <w:p w14:paraId="28EE20AE" w14:textId="0CDD34E6" w:rsidR="00DB3EBE" w:rsidRPr="000B4CF2" w:rsidRDefault="00DB3EBE" w:rsidP="008F643F">
      <w:pPr>
        <w:jc w:val="both"/>
        <w:outlineLvl w:val="0"/>
        <w:rPr>
          <w:sz w:val="16"/>
          <w:szCs w:val="16"/>
        </w:rPr>
      </w:pPr>
      <w:r w:rsidRPr="000B4CF2">
        <w:rPr>
          <w:rFonts w:eastAsia="Arial Unicode MS"/>
          <w:color w:val="000000"/>
          <w:sz w:val="16"/>
          <w:szCs w:val="16"/>
          <w:u w:color="000000"/>
          <w:vertAlign w:val="superscript"/>
        </w:rPr>
        <w:footnoteRef/>
      </w:r>
      <w:r w:rsidRPr="000B4CF2">
        <w:rPr>
          <w:rFonts w:eastAsia="Arial Unicode MS"/>
          <w:color w:val="000000"/>
          <w:sz w:val="16"/>
          <w:szCs w:val="16"/>
          <w:u w:color="000000"/>
        </w:rPr>
        <w:t xml:space="preserve"> Judgment </w:t>
      </w:r>
      <w:r w:rsidR="00197BDE">
        <w:rPr>
          <w:rFonts w:eastAsia="Arial Unicode MS"/>
          <w:color w:val="000000"/>
          <w:sz w:val="16"/>
          <w:szCs w:val="16"/>
          <w:u w:color="000000"/>
        </w:rPr>
        <w:t>from</w:t>
      </w:r>
      <w:r w:rsidRPr="000B4CF2">
        <w:rPr>
          <w:rFonts w:eastAsia="Arial Unicode MS"/>
          <w:color w:val="000000"/>
          <w:sz w:val="16"/>
          <w:szCs w:val="16"/>
          <w:u w:color="000000"/>
        </w:rPr>
        <w:t xml:space="preserve"> 22 August 1990, K 7/90, pp. 50–51.</w:t>
      </w:r>
    </w:p>
  </w:footnote>
  <w:footnote w:id="92">
    <w:p w14:paraId="52687CA4" w14:textId="18F28A25" w:rsidR="00DB3EBE" w:rsidRPr="000B4CF2" w:rsidRDefault="00DB3EBE" w:rsidP="008F643F">
      <w:pPr>
        <w:jc w:val="both"/>
        <w:outlineLvl w:val="0"/>
        <w:rPr>
          <w:sz w:val="16"/>
          <w:szCs w:val="16"/>
        </w:rPr>
      </w:pPr>
      <w:r w:rsidRPr="000B4CF2">
        <w:rPr>
          <w:rFonts w:eastAsia="Arial Unicode MS"/>
          <w:color w:val="000000"/>
          <w:sz w:val="16"/>
          <w:szCs w:val="16"/>
          <w:u w:color="000000"/>
          <w:vertAlign w:val="superscript"/>
        </w:rPr>
        <w:footnoteRef/>
      </w:r>
      <w:r w:rsidRPr="000B4CF2">
        <w:rPr>
          <w:rFonts w:eastAsia="Arial Unicode MS"/>
          <w:color w:val="000000"/>
          <w:sz w:val="16"/>
          <w:szCs w:val="16"/>
          <w:u w:color="000000"/>
        </w:rPr>
        <w:t xml:space="preserve"> </w:t>
      </w:r>
      <w:r w:rsidRPr="000B4CF2">
        <w:rPr>
          <w:rFonts w:eastAsia="Arial Unicode MS"/>
          <w:smallCaps/>
          <w:color w:val="000000"/>
          <w:sz w:val="16"/>
          <w:szCs w:val="16"/>
          <w:u w:color="000000"/>
        </w:rPr>
        <w:t>Brzezinski</w:t>
      </w:r>
      <w:r>
        <w:rPr>
          <w:rFonts w:eastAsia="Arial Unicode MS"/>
          <w:color w:val="000000"/>
          <w:sz w:val="16"/>
          <w:szCs w:val="16"/>
          <w:u w:color="000000"/>
        </w:rPr>
        <w:t xml:space="preserve"> </w:t>
      </w:r>
      <w:r w:rsidRPr="000B4CF2">
        <w:rPr>
          <w:rFonts w:eastAsia="Arial Unicode MS"/>
          <w:smallCaps/>
          <w:color w:val="000000"/>
          <w:sz w:val="16"/>
          <w:szCs w:val="16"/>
          <w:u w:color="000000"/>
        </w:rPr>
        <w:t>Mark</w:t>
      </w:r>
      <w:r>
        <w:rPr>
          <w:rFonts w:eastAsia="Arial Unicode MS"/>
          <w:smallCaps/>
          <w:color w:val="000000"/>
          <w:sz w:val="16"/>
          <w:szCs w:val="16"/>
          <w:u w:color="000000"/>
        </w:rPr>
        <w:t>,</w:t>
      </w:r>
      <w:r w:rsidRPr="000B4CF2">
        <w:rPr>
          <w:rFonts w:eastAsia="Arial Unicode MS"/>
          <w:color w:val="000000"/>
          <w:sz w:val="16"/>
          <w:szCs w:val="16"/>
          <w:u w:color="000000"/>
        </w:rPr>
        <w:t xml:space="preserve"> </w:t>
      </w:r>
      <w:r w:rsidRPr="000B4CF2">
        <w:rPr>
          <w:rFonts w:eastAsia="Arial Unicode MS"/>
          <w:i/>
          <w:color w:val="000000"/>
          <w:sz w:val="16"/>
          <w:szCs w:val="16"/>
          <w:u w:color="000000"/>
        </w:rPr>
        <w:t xml:space="preserve">The Struggle </w:t>
      </w:r>
      <w:r w:rsidR="004E3E95">
        <w:rPr>
          <w:rFonts w:eastAsia="Arial Unicode MS"/>
          <w:i/>
          <w:color w:val="000000"/>
          <w:sz w:val="16"/>
          <w:szCs w:val="16"/>
          <w:u w:color="000000"/>
        </w:rPr>
        <w:t>for Constitutionalism in Poland</w:t>
      </w:r>
      <w:r w:rsidR="004E3E95">
        <w:rPr>
          <w:rFonts w:eastAsia="Arial Unicode MS"/>
          <w:color w:val="000000"/>
          <w:sz w:val="16"/>
          <w:szCs w:val="16"/>
          <w:u w:color="000000"/>
        </w:rPr>
        <w:t xml:space="preserve">, </w:t>
      </w:r>
      <w:r w:rsidRPr="000B4CF2">
        <w:rPr>
          <w:rFonts w:eastAsia="Arial Unicode MS"/>
          <w:color w:val="000000"/>
          <w:sz w:val="16"/>
          <w:szCs w:val="16"/>
          <w:u w:color="000000"/>
        </w:rPr>
        <w:t>(New York</w:t>
      </w:r>
      <w:proofErr w:type="gramStart"/>
      <w:r w:rsidR="004E3E95">
        <w:rPr>
          <w:rFonts w:eastAsia="Arial Unicode MS"/>
          <w:color w:val="000000"/>
          <w:sz w:val="16"/>
          <w:szCs w:val="16"/>
          <w:u w:color="000000"/>
        </w:rPr>
        <w:t>,</w:t>
      </w:r>
      <w:r w:rsidRPr="000B4CF2">
        <w:rPr>
          <w:rFonts w:eastAsia="Arial Unicode MS"/>
          <w:color w:val="000000"/>
          <w:sz w:val="16"/>
          <w:szCs w:val="16"/>
          <w:u w:color="000000"/>
        </w:rPr>
        <w:t>:</w:t>
      </w:r>
      <w:proofErr w:type="gramEnd"/>
      <w:r w:rsidRPr="000B4CF2">
        <w:rPr>
          <w:rFonts w:eastAsia="Arial Unicode MS"/>
          <w:color w:val="000000"/>
          <w:sz w:val="16"/>
          <w:szCs w:val="16"/>
          <w:u w:color="000000"/>
        </w:rPr>
        <w:t xml:space="preserve"> St Martin’s Press, 1998, p. 171.</w:t>
      </w:r>
    </w:p>
  </w:footnote>
  <w:footnote w:id="93">
    <w:p w14:paraId="61844F06" w14:textId="77777777" w:rsidR="00DB3EBE" w:rsidRPr="000B4CF2" w:rsidRDefault="00DB3EBE" w:rsidP="00D22464">
      <w:pPr>
        <w:jc w:val="both"/>
        <w:outlineLvl w:val="0"/>
        <w:rPr>
          <w:sz w:val="16"/>
          <w:szCs w:val="16"/>
        </w:rPr>
      </w:pPr>
      <w:r w:rsidRPr="000B4CF2">
        <w:rPr>
          <w:rFonts w:eastAsia="Arial Unicode MS"/>
          <w:color w:val="000000"/>
          <w:sz w:val="16"/>
          <w:szCs w:val="16"/>
          <w:u w:color="000000"/>
          <w:vertAlign w:val="superscript"/>
        </w:rPr>
        <w:footnoteRef/>
      </w:r>
      <w:r w:rsidRPr="000B4CF2">
        <w:rPr>
          <w:rFonts w:eastAsia="Arial Unicode MS"/>
          <w:color w:val="000000"/>
          <w:sz w:val="16"/>
          <w:szCs w:val="16"/>
          <w:u w:color="000000"/>
        </w:rPr>
        <w:t xml:space="preserve"> The Court revisited a question raised in 1992, when hearings were initiated against </w:t>
      </w:r>
      <w:proofErr w:type="spellStart"/>
      <w:r w:rsidRPr="000B4CF2">
        <w:rPr>
          <w:rFonts w:eastAsia="Arial Unicode MS"/>
          <w:color w:val="000000"/>
          <w:sz w:val="16"/>
          <w:szCs w:val="16"/>
          <w:u w:color="000000"/>
        </w:rPr>
        <w:t>Jaruzelski</w:t>
      </w:r>
      <w:proofErr w:type="spellEnd"/>
      <w:r w:rsidRPr="000B4CF2">
        <w:rPr>
          <w:rFonts w:eastAsia="Arial Unicode MS"/>
          <w:color w:val="000000"/>
          <w:sz w:val="16"/>
          <w:szCs w:val="16"/>
          <w:u w:color="000000"/>
        </w:rPr>
        <w:t xml:space="preserve">. Imposing martial law was not a crime, as the Polish Constitution allowed martial law when the security of the state was endangered. The question was whether the state was indeed in danger; thus the charges were based on technicalities. The first charge found that only Parliament could call martial law, not the State Council, as had been done. </w:t>
      </w:r>
      <w:r w:rsidRPr="000B4CF2">
        <w:rPr>
          <w:rFonts w:eastAsia="Arial Unicode MS"/>
          <w:i/>
          <w:color w:val="000000"/>
          <w:sz w:val="16"/>
          <w:szCs w:val="16"/>
          <w:u w:color="000000"/>
        </w:rPr>
        <w:t xml:space="preserve">The second charge found that the decree was not published in the </w:t>
      </w:r>
      <w:proofErr w:type="spellStart"/>
      <w:r w:rsidRPr="000B4CF2">
        <w:rPr>
          <w:rFonts w:eastAsia="Arial Unicode MS"/>
          <w:i/>
          <w:color w:val="000000"/>
          <w:sz w:val="16"/>
          <w:szCs w:val="16"/>
          <w:u w:color="000000"/>
        </w:rPr>
        <w:t>Dziennik</w:t>
      </w:r>
      <w:proofErr w:type="spellEnd"/>
      <w:r w:rsidRPr="000B4CF2">
        <w:rPr>
          <w:rFonts w:eastAsia="Arial Unicode MS"/>
          <w:i/>
          <w:color w:val="000000"/>
          <w:sz w:val="16"/>
          <w:szCs w:val="16"/>
          <w:u w:color="000000"/>
        </w:rPr>
        <w:t xml:space="preserve"> </w:t>
      </w:r>
      <w:proofErr w:type="spellStart"/>
      <w:r w:rsidRPr="000B4CF2">
        <w:rPr>
          <w:rFonts w:eastAsia="Arial Unicode MS"/>
          <w:i/>
          <w:color w:val="000000"/>
          <w:sz w:val="16"/>
          <w:szCs w:val="16"/>
          <w:u w:color="000000"/>
        </w:rPr>
        <w:t>Ustaw</w:t>
      </w:r>
      <w:proofErr w:type="spellEnd"/>
      <w:r w:rsidRPr="000B4CF2">
        <w:rPr>
          <w:rFonts w:eastAsia="Arial Unicode MS"/>
          <w:i/>
          <w:color w:val="000000"/>
          <w:sz w:val="16"/>
          <w:szCs w:val="16"/>
          <w:u w:color="000000"/>
        </w:rPr>
        <w:t xml:space="preserve"> (Polish Official Gazette) until several days after it took effect</w:t>
      </w:r>
      <w:r w:rsidRPr="000B4CF2">
        <w:rPr>
          <w:rFonts w:eastAsia="Arial Unicode MS"/>
          <w:color w:val="000000"/>
          <w:sz w:val="16"/>
          <w:szCs w:val="16"/>
          <w:u w:color="000000"/>
        </w:rPr>
        <w:t>.</w:t>
      </w:r>
    </w:p>
  </w:footnote>
  <w:footnote w:id="94">
    <w:p w14:paraId="2CF77381" w14:textId="77777777" w:rsidR="00DB3EBE" w:rsidRPr="000B4CF2" w:rsidRDefault="00DB3EBE" w:rsidP="00D22464">
      <w:pPr>
        <w:jc w:val="both"/>
        <w:outlineLvl w:val="0"/>
        <w:rPr>
          <w:sz w:val="16"/>
          <w:szCs w:val="16"/>
        </w:rPr>
      </w:pPr>
      <w:r w:rsidRPr="000B4CF2">
        <w:rPr>
          <w:rFonts w:eastAsia="Arial Unicode MS"/>
          <w:color w:val="000000"/>
          <w:sz w:val="16"/>
          <w:szCs w:val="16"/>
          <w:u w:color="000000"/>
          <w:vertAlign w:val="superscript"/>
        </w:rPr>
        <w:footnoteRef/>
      </w:r>
      <w:r w:rsidRPr="000B4CF2">
        <w:rPr>
          <w:rFonts w:eastAsia="Arial Unicode MS"/>
          <w:color w:val="000000"/>
          <w:sz w:val="16"/>
          <w:szCs w:val="16"/>
          <w:u w:color="000000"/>
        </w:rPr>
        <w:t xml:space="preserve"> See </w:t>
      </w:r>
      <w:proofErr w:type="spellStart"/>
      <w:r w:rsidRPr="000B4CF2">
        <w:rPr>
          <w:rFonts w:eastAsia="Arial Unicode MS"/>
          <w:smallCaps/>
          <w:color w:val="000000"/>
          <w:sz w:val="16"/>
          <w:szCs w:val="16"/>
          <w:u w:color="000000"/>
        </w:rPr>
        <w:t>Grabowska</w:t>
      </w:r>
      <w:proofErr w:type="spellEnd"/>
      <w:r w:rsidRPr="000B4CF2">
        <w:rPr>
          <w:rFonts w:eastAsia="Arial Unicode MS"/>
          <w:smallCaps/>
          <w:color w:val="000000"/>
          <w:sz w:val="16"/>
          <w:szCs w:val="16"/>
          <w:u w:color="000000"/>
        </w:rPr>
        <w:t xml:space="preserve"> Barbara</w:t>
      </w:r>
      <w:r w:rsidRPr="000B4CF2">
        <w:rPr>
          <w:rFonts w:eastAsia="Arial Unicode MS"/>
          <w:color w:val="000000"/>
          <w:sz w:val="16"/>
          <w:szCs w:val="16"/>
          <w:u w:color="000000"/>
        </w:rPr>
        <w:t>, '</w:t>
      </w:r>
      <w:proofErr w:type="spellStart"/>
      <w:r w:rsidRPr="000B4CF2">
        <w:rPr>
          <w:rFonts w:eastAsia="Arial Unicode MS"/>
          <w:color w:val="000000"/>
          <w:sz w:val="16"/>
          <w:szCs w:val="16"/>
          <w:u w:color="000000"/>
        </w:rPr>
        <w:t>Bezprawie</w:t>
      </w:r>
      <w:proofErr w:type="spellEnd"/>
      <w:r w:rsidRPr="000B4CF2">
        <w:rPr>
          <w:rFonts w:eastAsia="Arial Unicode MS"/>
          <w:color w:val="000000"/>
          <w:sz w:val="16"/>
          <w:szCs w:val="16"/>
          <w:u w:color="000000"/>
        </w:rPr>
        <w:t xml:space="preserve"> </w:t>
      </w:r>
      <w:proofErr w:type="spellStart"/>
      <w:r w:rsidRPr="000B4CF2">
        <w:rPr>
          <w:rFonts w:eastAsia="Arial Unicode MS"/>
          <w:color w:val="000000"/>
          <w:sz w:val="16"/>
          <w:szCs w:val="16"/>
          <w:u w:color="000000"/>
        </w:rPr>
        <w:t>normatywne</w:t>
      </w:r>
      <w:proofErr w:type="spellEnd"/>
      <w:r w:rsidRPr="000B4CF2">
        <w:rPr>
          <w:rFonts w:eastAsia="Arial Unicode MS"/>
          <w:color w:val="000000"/>
          <w:sz w:val="16"/>
          <w:szCs w:val="16"/>
          <w:u w:color="000000"/>
        </w:rPr>
        <w:t>' (Unjust Norms), at prawczlowieka.edu.pl (last accessed 8 January 2013).</w:t>
      </w:r>
    </w:p>
  </w:footnote>
  <w:footnote w:id="95">
    <w:p w14:paraId="2C16D988" w14:textId="77777777" w:rsidR="00DB3EBE" w:rsidRPr="000B4CF2" w:rsidRDefault="00DB3EBE">
      <w:pPr>
        <w:outlineLvl w:val="0"/>
        <w:rPr>
          <w:sz w:val="16"/>
          <w:szCs w:val="16"/>
        </w:rPr>
      </w:pPr>
      <w:r w:rsidRPr="000B4CF2">
        <w:rPr>
          <w:rFonts w:eastAsia="Arial Unicode MS"/>
          <w:color w:val="000000"/>
          <w:sz w:val="16"/>
          <w:szCs w:val="16"/>
          <w:u w:color="000000"/>
          <w:vertAlign w:val="superscript"/>
        </w:rPr>
        <w:footnoteRef/>
      </w:r>
      <w:r w:rsidRPr="000B4CF2">
        <w:rPr>
          <w:rFonts w:eastAsia="Arial Unicode MS"/>
          <w:color w:val="000000"/>
          <w:sz w:val="16"/>
          <w:szCs w:val="16"/>
          <w:u w:color="000000"/>
        </w:rPr>
        <w:t xml:space="preserve"> The dissenting judges were Ewa </w:t>
      </w:r>
      <w:proofErr w:type="spellStart"/>
      <w:r w:rsidRPr="000B4CF2">
        <w:rPr>
          <w:color w:val="000000"/>
          <w:sz w:val="16"/>
          <w:szCs w:val="16"/>
        </w:rPr>
        <w:t>Ł</w:t>
      </w:r>
      <w:r w:rsidRPr="000B4CF2">
        <w:rPr>
          <w:sz w:val="16"/>
          <w:szCs w:val="16"/>
        </w:rPr>
        <w:t>etowska</w:t>
      </w:r>
      <w:proofErr w:type="spellEnd"/>
      <w:r w:rsidRPr="000B4CF2">
        <w:rPr>
          <w:rFonts w:eastAsia="Arial Unicode MS"/>
          <w:color w:val="000000"/>
          <w:sz w:val="16"/>
          <w:szCs w:val="16"/>
          <w:u w:color="000000"/>
        </w:rPr>
        <w:t xml:space="preserve">, </w:t>
      </w:r>
      <w:proofErr w:type="spellStart"/>
      <w:r w:rsidRPr="000B4CF2">
        <w:rPr>
          <w:rFonts w:eastAsia="Arial Unicode MS"/>
          <w:color w:val="000000"/>
          <w:sz w:val="16"/>
          <w:szCs w:val="16"/>
          <w:u w:color="000000"/>
        </w:rPr>
        <w:t>Bohdan</w:t>
      </w:r>
      <w:proofErr w:type="spellEnd"/>
      <w:r w:rsidRPr="000B4CF2">
        <w:rPr>
          <w:rFonts w:eastAsia="Arial Unicode MS"/>
          <w:color w:val="000000"/>
          <w:sz w:val="16"/>
          <w:szCs w:val="16"/>
          <w:u w:color="000000"/>
        </w:rPr>
        <w:t xml:space="preserve"> </w:t>
      </w:r>
      <w:proofErr w:type="spellStart"/>
      <w:r w:rsidRPr="000B4CF2">
        <w:rPr>
          <w:rFonts w:eastAsia="Arial Unicode MS"/>
          <w:color w:val="000000"/>
          <w:sz w:val="16"/>
          <w:szCs w:val="16"/>
          <w:u w:color="000000"/>
        </w:rPr>
        <w:t>Zdziennicki</w:t>
      </w:r>
      <w:proofErr w:type="spellEnd"/>
      <w:r w:rsidRPr="000B4CF2">
        <w:rPr>
          <w:rFonts w:eastAsia="Arial Unicode MS"/>
          <w:color w:val="000000"/>
          <w:sz w:val="16"/>
          <w:szCs w:val="16"/>
          <w:u w:color="000000"/>
        </w:rPr>
        <w:t xml:space="preserve">, </w:t>
      </w:r>
      <w:proofErr w:type="spellStart"/>
      <w:r w:rsidRPr="000B4CF2">
        <w:rPr>
          <w:rFonts w:eastAsia="Arial Unicode MS"/>
          <w:color w:val="000000"/>
          <w:sz w:val="16"/>
          <w:szCs w:val="16"/>
          <w:u w:color="000000"/>
        </w:rPr>
        <w:t>Stanis</w:t>
      </w:r>
      <w:r w:rsidRPr="000B4CF2">
        <w:rPr>
          <w:b/>
          <w:color w:val="000000"/>
          <w:sz w:val="16"/>
          <w:szCs w:val="16"/>
        </w:rPr>
        <w:t>ła</w:t>
      </w:r>
      <w:r w:rsidRPr="000B4CF2">
        <w:rPr>
          <w:rFonts w:eastAsia="Arial Unicode MS"/>
          <w:color w:val="000000"/>
          <w:sz w:val="16"/>
          <w:szCs w:val="16"/>
          <w:u w:color="000000"/>
        </w:rPr>
        <w:t>w</w:t>
      </w:r>
      <w:proofErr w:type="spellEnd"/>
      <w:r w:rsidRPr="000B4CF2">
        <w:rPr>
          <w:rFonts w:eastAsia="Arial Unicode MS"/>
          <w:color w:val="000000"/>
          <w:sz w:val="16"/>
          <w:szCs w:val="16"/>
          <w:u w:color="000000"/>
        </w:rPr>
        <w:t xml:space="preserve"> </w:t>
      </w:r>
      <w:proofErr w:type="spellStart"/>
      <w:r w:rsidRPr="000B4CF2">
        <w:rPr>
          <w:rFonts w:eastAsia="Arial Unicode MS"/>
          <w:color w:val="000000"/>
          <w:sz w:val="16"/>
          <w:szCs w:val="16"/>
          <w:u w:color="000000"/>
        </w:rPr>
        <w:t>Biernat</w:t>
      </w:r>
      <w:proofErr w:type="spellEnd"/>
      <w:r w:rsidRPr="000B4CF2">
        <w:rPr>
          <w:rFonts w:eastAsia="Arial Unicode MS"/>
          <w:color w:val="000000"/>
          <w:sz w:val="16"/>
          <w:szCs w:val="16"/>
          <w:u w:color="000000"/>
        </w:rPr>
        <w:t xml:space="preserve">, Adam </w:t>
      </w:r>
      <w:proofErr w:type="spellStart"/>
      <w:r w:rsidRPr="000B4CF2">
        <w:rPr>
          <w:rFonts w:eastAsia="Arial Unicode MS"/>
          <w:color w:val="000000"/>
          <w:sz w:val="16"/>
          <w:szCs w:val="16"/>
          <w:u w:color="000000"/>
        </w:rPr>
        <w:t>Jamroz</w:t>
      </w:r>
      <w:proofErr w:type="spellEnd"/>
      <w:r w:rsidRPr="000B4CF2">
        <w:rPr>
          <w:rFonts w:eastAsia="Arial Unicode MS"/>
          <w:color w:val="000000"/>
          <w:sz w:val="16"/>
          <w:szCs w:val="16"/>
          <w:u w:color="000000"/>
        </w:rPr>
        <w:t xml:space="preserve">, Marek </w:t>
      </w:r>
      <w:proofErr w:type="spellStart"/>
      <w:r w:rsidRPr="000B4CF2">
        <w:rPr>
          <w:rFonts w:eastAsia="Arial Unicode MS"/>
          <w:color w:val="000000"/>
          <w:sz w:val="16"/>
          <w:szCs w:val="16"/>
          <w:u w:color="000000"/>
        </w:rPr>
        <w:t>Mazurkiewicz</w:t>
      </w:r>
      <w:proofErr w:type="spellEnd"/>
      <w:r w:rsidRPr="000B4CF2">
        <w:rPr>
          <w:rFonts w:eastAsia="Arial Unicode MS"/>
          <w:color w:val="000000"/>
          <w:sz w:val="16"/>
          <w:szCs w:val="16"/>
          <w:u w:color="000000"/>
        </w:rPr>
        <w:t xml:space="preserve">, and </w:t>
      </w:r>
      <w:proofErr w:type="spellStart"/>
      <w:r w:rsidRPr="000B4CF2">
        <w:rPr>
          <w:rFonts w:eastAsia="Arial Unicode MS"/>
          <w:color w:val="000000"/>
          <w:sz w:val="16"/>
          <w:szCs w:val="16"/>
          <w:u w:color="000000"/>
        </w:rPr>
        <w:t>Miros</w:t>
      </w:r>
      <w:r w:rsidRPr="000B4CF2">
        <w:rPr>
          <w:color w:val="000000"/>
          <w:sz w:val="16"/>
          <w:szCs w:val="16"/>
        </w:rPr>
        <w:t>ław</w:t>
      </w:r>
      <w:proofErr w:type="spellEnd"/>
      <w:r w:rsidRPr="000B4CF2">
        <w:rPr>
          <w:rFonts w:eastAsia="Arial Unicode MS"/>
          <w:color w:val="000000"/>
          <w:sz w:val="16"/>
          <w:szCs w:val="16"/>
          <w:u w:color="000000"/>
        </w:rPr>
        <w:t xml:space="preserve"> </w:t>
      </w:r>
      <w:proofErr w:type="spellStart"/>
      <w:r w:rsidRPr="000B4CF2">
        <w:rPr>
          <w:rFonts w:eastAsia="Arial Unicode MS"/>
          <w:color w:val="000000"/>
          <w:sz w:val="16"/>
          <w:szCs w:val="16"/>
          <w:u w:color="000000"/>
        </w:rPr>
        <w:t>Wyrzykowski</w:t>
      </w:r>
      <w:proofErr w:type="spellEnd"/>
      <w:r w:rsidRPr="000B4CF2">
        <w:rPr>
          <w:rFonts w:eastAsia="Arial Unicode MS"/>
          <w:color w:val="000000"/>
          <w:sz w:val="16"/>
          <w:szCs w:val="16"/>
          <w:u w:color="000000"/>
        </w:rPr>
        <w:t>.</w:t>
      </w:r>
    </w:p>
  </w:footnote>
  <w:footnote w:id="96">
    <w:p w14:paraId="03A3FCB1" w14:textId="77777777" w:rsidR="00DB3EBE" w:rsidRPr="000B4CF2" w:rsidRDefault="00DB3EBE">
      <w:pPr>
        <w:outlineLvl w:val="0"/>
        <w:rPr>
          <w:sz w:val="16"/>
          <w:szCs w:val="16"/>
        </w:rPr>
      </w:pPr>
      <w:r w:rsidRPr="000B4CF2">
        <w:rPr>
          <w:rFonts w:eastAsia="Arial Unicode MS"/>
          <w:color w:val="000000"/>
          <w:sz w:val="16"/>
          <w:szCs w:val="16"/>
          <w:u w:color="000000"/>
          <w:vertAlign w:val="superscript"/>
        </w:rPr>
        <w:footnoteRef/>
      </w:r>
      <w:r w:rsidRPr="000B4CF2">
        <w:rPr>
          <w:rFonts w:eastAsia="Arial Unicode MS"/>
          <w:color w:val="000000"/>
          <w:sz w:val="16"/>
          <w:szCs w:val="16"/>
          <w:u w:color="000000"/>
        </w:rPr>
        <w:t xml:space="preserve"> </w:t>
      </w:r>
      <w:proofErr w:type="gramStart"/>
      <w:r w:rsidRPr="000B4CF2">
        <w:rPr>
          <w:rFonts w:eastAsia="Arial Unicode MS"/>
          <w:color w:val="000000"/>
          <w:sz w:val="16"/>
          <w:szCs w:val="16"/>
          <w:u w:color="000000"/>
        </w:rPr>
        <w:t>K 10/08, judgment 27 October 2010, para.</w:t>
      </w:r>
      <w:proofErr w:type="gramEnd"/>
      <w:r w:rsidRPr="000B4CF2">
        <w:rPr>
          <w:rFonts w:eastAsia="Arial Unicode MS"/>
          <w:color w:val="000000"/>
          <w:sz w:val="16"/>
          <w:szCs w:val="16"/>
          <w:u w:color="000000"/>
        </w:rPr>
        <w:t xml:space="preserve"> 18. </w:t>
      </w:r>
    </w:p>
  </w:footnote>
  <w:footnote w:id="97">
    <w:p w14:paraId="4521D450" w14:textId="38EABA36" w:rsidR="00DB3EBE" w:rsidRPr="000B4CF2" w:rsidRDefault="00DB3EBE">
      <w:pPr>
        <w:outlineLvl w:val="0"/>
        <w:rPr>
          <w:sz w:val="16"/>
          <w:szCs w:val="16"/>
        </w:rPr>
      </w:pPr>
      <w:r w:rsidRPr="000B4CF2">
        <w:rPr>
          <w:rFonts w:eastAsia="Arial Unicode MS"/>
          <w:color w:val="000000"/>
          <w:sz w:val="16"/>
          <w:szCs w:val="16"/>
          <w:u w:color="000000"/>
          <w:vertAlign w:val="superscript"/>
        </w:rPr>
        <w:footnoteRef/>
      </w:r>
      <w:r w:rsidRPr="000B4CF2">
        <w:rPr>
          <w:rFonts w:eastAsia="Arial Unicode MS"/>
          <w:color w:val="000000"/>
          <w:sz w:val="16"/>
          <w:szCs w:val="16"/>
          <w:u w:color="000000"/>
        </w:rPr>
        <w:t xml:space="preserve"> </w:t>
      </w:r>
      <w:proofErr w:type="spellStart"/>
      <w:proofErr w:type="gramStart"/>
      <w:r w:rsidRPr="000B4CF2">
        <w:rPr>
          <w:rFonts w:eastAsia="Arial Unicode MS"/>
          <w:smallCaps/>
          <w:color w:val="000000"/>
          <w:sz w:val="16"/>
          <w:szCs w:val="16"/>
          <w:u w:color="000000"/>
        </w:rPr>
        <w:t>Podgorecki</w:t>
      </w:r>
      <w:proofErr w:type="spellEnd"/>
      <w:r w:rsidRPr="000B4CF2">
        <w:rPr>
          <w:rFonts w:eastAsia="Arial Unicode MS"/>
          <w:smallCaps/>
          <w:color w:val="000000"/>
          <w:sz w:val="16"/>
          <w:szCs w:val="16"/>
          <w:u w:color="000000"/>
        </w:rPr>
        <w:t xml:space="preserve"> Adam </w:t>
      </w:r>
      <w:r w:rsidRPr="009C50CF">
        <w:rPr>
          <w:rFonts w:eastAsia="Arial Unicode MS"/>
          <w:color w:val="000000"/>
          <w:sz w:val="16"/>
          <w:szCs w:val="16"/>
          <w:u w:color="000000"/>
        </w:rPr>
        <w:t>and</w:t>
      </w:r>
      <w:r w:rsidRPr="000B4CF2">
        <w:rPr>
          <w:rFonts w:eastAsia="Arial Unicode MS"/>
          <w:smallCaps/>
          <w:color w:val="000000"/>
          <w:sz w:val="16"/>
          <w:szCs w:val="16"/>
          <w:u w:color="000000"/>
        </w:rPr>
        <w:t xml:space="preserve"> </w:t>
      </w:r>
      <w:proofErr w:type="spellStart"/>
      <w:r w:rsidRPr="000B4CF2">
        <w:rPr>
          <w:rFonts w:eastAsia="Arial Unicode MS"/>
          <w:smallCaps/>
          <w:color w:val="000000"/>
          <w:sz w:val="16"/>
          <w:szCs w:val="16"/>
          <w:u w:color="000000"/>
        </w:rPr>
        <w:t>Olgiati</w:t>
      </w:r>
      <w:proofErr w:type="spellEnd"/>
      <w:r>
        <w:rPr>
          <w:rFonts w:eastAsia="Arial Unicode MS"/>
          <w:color w:val="000000"/>
          <w:sz w:val="16"/>
          <w:szCs w:val="16"/>
          <w:u w:color="000000"/>
        </w:rPr>
        <w:t xml:space="preserve"> </w:t>
      </w:r>
      <w:r w:rsidRPr="000B4CF2">
        <w:rPr>
          <w:rFonts w:eastAsia="Arial Unicode MS"/>
          <w:smallCaps/>
          <w:color w:val="000000"/>
          <w:sz w:val="16"/>
          <w:szCs w:val="16"/>
          <w:u w:color="000000"/>
        </w:rPr>
        <w:t>Vittorio</w:t>
      </w:r>
      <w:r>
        <w:rPr>
          <w:rFonts w:eastAsia="Arial Unicode MS"/>
          <w:smallCaps/>
          <w:color w:val="000000"/>
          <w:sz w:val="16"/>
          <w:szCs w:val="16"/>
          <w:u w:color="000000"/>
        </w:rPr>
        <w:t>, (</w:t>
      </w:r>
      <w:r w:rsidRPr="000B4CF2">
        <w:rPr>
          <w:rFonts w:eastAsia="Arial Unicode MS"/>
          <w:color w:val="000000"/>
          <w:sz w:val="16"/>
          <w:szCs w:val="16"/>
          <w:u w:color="000000"/>
        </w:rPr>
        <w:t>eds.</w:t>
      </w:r>
      <w:r>
        <w:rPr>
          <w:rFonts w:eastAsia="Arial Unicode MS"/>
          <w:color w:val="000000"/>
          <w:sz w:val="16"/>
          <w:szCs w:val="16"/>
          <w:u w:color="000000"/>
        </w:rPr>
        <w:t>)</w:t>
      </w:r>
      <w:r w:rsidRPr="000B4CF2">
        <w:rPr>
          <w:rFonts w:eastAsia="Arial Unicode MS"/>
          <w:color w:val="000000"/>
          <w:sz w:val="16"/>
          <w:szCs w:val="16"/>
          <w:u w:color="000000"/>
        </w:rPr>
        <w:t xml:space="preserve">, </w:t>
      </w:r>
      <w:r w:rsidRPr="000B4CF2">
        <w:rPr>
          <w:rFonts w:eastAsia="Arial Unicode MS"/>
          <w:i/>
          <w:color w:val="000000"/>
          <w:sz w:val="16"/>
          <w:szCs w:val="16"/>
          <w:u w:color="000000"/>
        </w:rPr>
        <w:t xml:space="preserve">Totalitarian and Post-Totalitarian </w:t>
      </w:r>
      <w:r w:rsidRPr="000B4CF2">
        <w:rPr>
          <w:rFonts w:eastAsia="Arial Unicode MS"/>
          <w:color w:val="000000"/>
          <w:sz w:val="16"/>
          <w:szCs w:val="16"/>
          <w:u w:color="000000"/>
        </w:rPr>
        <w:t>Law</w:t>
      </w:r>
      <w:r>
        <w:rPr>
          <w:rFonts w:eastAsia="Arial Unicode MS"/>
          <w:color w:val="000000"/>
          <w:sz w:val="16"/>
          <w:szCs w:val="16"/>
          <w:u w:color="000000"/>
        </w:rPr>
        <w:t xml:space="preserve">, </w:t>
      </w:r>
      <w:r w:rsidRPr="000B4CF2">
        <w:rPr>
          <w:rFonts w:eastAsia="Arial Unicode MS"/>
          <w:color w:val="000000"/>
          <w:sz w:val="16"/>
          <w:szCs w:val="16"/>
          <w:u w:color="000000"/>
        </w:rPr>
        <w:t>Dartmouth</w:t>
      </w:r>
      <w:r w:rsidR="00C67D21">
        <w:rPr>
          <w:rFonts w:eastAsia="Arial Unicode MS"/>
          <w:color w:val="000000"/>
          <w:sz w:val="16"/>
          <w:szCs w:val="16"/>
          <w:u w:color="000000"/>
        </w:rPr>
        <w:t>,</w:t>
      </w:r>
      <w:r w:rsidR="00C5004A">
        <w:rPr>
          <w:rFonts w:eastAsia="Arial Unicode MS"/>
          <w:color w:val="000000"/>
          <w:sz w:val="16"/>
          <w:szCs w:val="16"/>
          <w:u w:color="000000"/>
        </w:rPr>
        <w:t xml:space="preserve"> </w:t>
      </w:r>
      <w:proofErr w:type="spellStart"/>
      <w:r w:rsidRPr="000B4CF2">
        <w:rPr>
          <w:rFonts w:eastAsia="Arial Unicode MS"/>
          <w:color w:val="000000"/>
          <w:sz w:val="16"/>
          <w:szCs w:val="16"/>
          <w:u w:color="000000"/>
        </w:rPr>
        <w:t>Ashgate</w:t>
      </w:r>
      <w:proofErr w:type="spellEnd"/>
      <w:r w:rsidRPr="000B4CF2">
        <w:rPr>
          <w:rFonts w:eastAsia="Arial Unicode MS"/>
          <w:color w:val="000000"/>
          <w:sz w:val="16"/>
          <w:szCs w:val="16"/>
          <w:u w:color="000000"/>
        </w:rPr>
        <w:t>, 1996</w:t>
      </w:r>
      <w:r>
        <w:rPr>
          <w:rFonts w:eastAsia="Arial Unicode MS"/>
          <w:color w:val="000000"/>
          <w:sz w:val="16"/>
          <w:szCs w:val="16"/>
          <w:u w:color="000000"/>
        </w:rPr>
        <w:t>.</w:t>
      </w:r>
      <w:proofErr w:type="gramEnd"/>
    </w:p>
  </w:footnote>
  <w:footnote w:id="98">
    <w:p w14:paraId="3DDADBE0" w14:textId="55B9A064" w:rsidR="00DB3EBE" w:rsidRPr="000B4CF2" w:rsidRDefault="00DB3EBE">
      <w:pPr>
        <w:outlineLvl w:val="0"/>
        <w:rPr>
          <w:sz w:val="16"/>
          <w:szCs w:val="16"/>
        </w:rPr>
      </w:pPr>
      <w:r w:rsidRPr="000B4CF2">
        <w:rPr>
          <w:rFonts w:eastAsia="Arial Unicode MS"/>
          <w:color w:val="000000"/>
          <w:sz w:val="16"/>
          <w:szCs w:val="16"/>
          <w:u w:color="000000"/>
          <w:vertAlign w:val="superscript"/>
        </w:rPr>
        <w:footnoteRef/>
      </w:r>
      <w:r w:rsidRPr="000B4CF2">
        <w:rPr>
          <w:rFonts w:eastAsia="Arial Unicode MS"/>
          <w:color w:val="000000"/>
          <w:sz w:val="16"/>
          <w:szCs w:val="16"/>
          <w:u w:color="000000"/>
        </w:rPr>
        <w:t xml:space="preserve"> See </w:t>
      </w:r>
      <w:r w:rsidRPr="000B4CF2">
        <w:rPr>
          <w:rFonts w:eastAsia="Arial Unicode MS"/>
          <w:smallCaps/>
          <w:color w:val="000000"/>
          <w:sz w:val="16"/>
          <w:szCs w:val="16"/>
          <w:u w:color="000000"/>
        </w:rPr>
        <w:t>Sadurski Wojciech</w:t>
      </w:r>
      <w:r w:rsidRPr="000B4CF2">
        <w:rPr>
          <w:rFonts w:eastAsia="Arial Unicode MS"/>
          <w:color w:val="000000"/>
          <w:sz w:val="16"/>
          <w:szCs w:val="16"/>
          <w:u w:color="000000"/>
        </w:rPr>
        <w:t xml:space="preserve"> </w:t>
      </w:r>
      <w:r w:rsidRPr="000B4CF2">
        <w:rPr>
          <w:rFonts w:eastAsia="Arial Unicode MS"/>
          <w:i/>
          <w:color w:val="000000"/>
          <w:sz w:val="16"/>
          <w:szCs w:val="16"/>
          <w:u w:color="000000"/>
        </w:rPr>
        <w:t>op. cit</w:t>
      </w:r>
      <w:r w:rsidRPr="000B4CF2">
        <w:rPr>
          <w:rFonts w:eastAsia="Arial Unicode MS"/>
          <w:color w:val="000000"/>
          <w:sz w:val="16"/>
          <w:szCs w:val="16"/>
          <w:u w:color="000000"/>
        </w:rPr>
        <w:t>.</w:t>
      </w:r>
    </w:p>
  </w:footnote>
  <w:footnote w:id="99">
    <w:p w14:paraId="1031FFE9" w14:textId="77777777" w:rsidR="00DB3EBE" w:rsidRPr="000B4CF2" w:rsidRDefault="00DB3EBE">
      <w:pPr>
        <w:outlineLvl w:val="0"/>
        <w:rPr>
          <w:sz w:val="16"/>
          <w:szCs w:val="16"/>
        </w:rPr>
      </w:pPr>
      <w:r w:rsidRPr="000B4CF2">
        <w:rPr>
          <w:rFonts w:eastAsia="Arial Unicode MS"/>
          <w:color w:val="000000"/>
          <w:sz w:val="16"/>
          <w:szCs w:val="16"/>
          <w:u w:color="000000"/>
          <w:vertAlign w:val="superscript"/>
        </w:rPr>
        <w:footnoteRef/>
      </w:r>
      <w:r w:rsidRPr="000B4CF2">
        <w:rPr>
          <w:rFonts w:eastAsia="Arial Unicode MS"/>
          <w:color w:val="000000"/>
          <w:sz w:val="16"/>
          <w:szCs w:val="16"/>
          <w:u w:color="000000"/>
        </w:rPr>
        <w:t xml:space="preserve"> </w:t>
      </w:r>
      <w:proofErr w:type="spellStart"/>
      <w:r w:rsidRPr="000B4CF2">
        <w:rPr>
          <w:smallCaps/>
          <w:sz w:val="16"/>
          <w:szCs w:val="16"/>
        </w:rPr>
        <w:t>P</w:t>
      </w:r>
      <w:r w:rsidRPr="000B4CF2">
        <w:rPr>
          <w:smallCaps/>
          <w:color w:val="000000"/>
          <w:sz w:val="16"/>
          <w:szCs w:val="16"/>
        </w:rPr>
        <w:t>ř</w:t>
      </w:r>
      <w:r w:rsidRPr="000B4CF2">
        <w:rPr>
          <w:smallCaps/>
          <w:sz w:val="16"/>
          <w:szCs w:val="16"/>
        </w:rPr>
        <w:t>ib</w:t>
      </w:r>
      <w:r w:rsidRPr="000B4CF2">
        <w:rPr>
          <w:smallCaps/>
          <w:color w:val="000000"/>
          <w:sz w:val="16"/>
          <w:szCs w:val="16"/>
        </w:rPr>
        <w:t>áň</w:t>
      </w:r>
      <w:proofErr w:type="spellEnd"/>
      <w:r w:rsidRPr="000B4CF2">
        <w:rPr>
          <w:rFonts w:eastAsia="Arial Unicode MS"/>
          <w:color w:val="000000"/>
          <w:sz w:val="16"/>
          <w:szCs w:val="16"/>
          <w:u w:color="000000"/>
        </w:rPr>
        <w:t xml:space="preserve"> </w:t>
      </w:r>
      <w:proofErr w:type="spellStart"/>
      <w:proofErr w:type="gramStart"/>
      <w:r w:rsidRPr="000B4CF2">
        <w:rPr>
          <w:rFonts w:eastAsia="Arial Unicode MS"/>
          <w:i/>
          <w:color w:val="000000"/>
          <w:sz w:val="16"/>
          <w:szCs w:val="16"/>
          <w:u w:color="000000"/>
        </w:rPr>
        <w:t>op.cit</w:t>
      </w:r>
      <w:proofErr w:type="spellEnd"/>
      <w:r w:rsidRPr="000B4CF2">
        <w:rPr>
          <w:rFonts w:eastAsia="Arial Unicode MS"/>
          <w:i/>
          <w:color w:val="000000"/>
          <w:sz w:val="16"/>
          <w:szCs w:val="16"/>
          <w:u w:color="000000"/>
        </w:rPr>
        <w:t>.</w:t>
      </w:r>
      <w:r w:rsidRPr="000B4CF2">
        <w:rPr>
          <w:rFonts w:eastAsia="Arial Unicode MS"/>
          <w:color w:val="000000"/>
          <w:sz w:val="16"/>
          <w:szCs w:val="16"/>
          <w:u w:color="000000"/>
        </w:rPr>
        <w:t>,</w:t>
      </w:r>
      <w:proofErr w:type="gramEnd"/>
      <w:r w:rsidRPr="000B4CF2">
        <w:rPr>
          <w:rFonts w:eastAsia="Arial Unicode MS"/>
          <w:color w:val="000000"/>
          <w:sz w:val="16"/>
          <w:szCs w:val="16"/>
          <w:u w:color="000000"/>
        </w:rPr>
        <w:t xml:space="preserve"> </w:t>
      </w:r>
      <w:r>
        <w:rPr>
          <w:rFonts w:eastAsia="Arial Unicode MS"/>
          <w:color w:val="000000"/>
          <w:sz w:val="16"/>
          <w:szCs w:val="16"/>
          <w:u w:color="000000"/>
        </w:rPr>
        <w:t xml:space="preserve">at </w:t>
      </w:r>
      <w:r w:rsidRPr="000B4CF2">
        <w:rPr>
          <w:rFonts w:eastAsia="Arial Unicode MS"/>
          <w:color w:val="000000"/>
          <w:sz w:val="16"/>
          <w:szCs w:val="16"/>
          <w:u w:color="000000"/>
        </w:rPr>
        <w:t>p. 150.</w:t>
      </w:r>
    </w:p>
  </w:footnote>
  <w:footnote w:id="100">
    <w:p w14:paraId="693357D2" w14:textId="1BBE5D4A" w:rsidR="00DB3EBE" w:rsidRPr="000B4CF2" w:rsidRDefault="00DB3EBE">
      <w:pPr>
        <w:outlineLvl w:val="0"/>
        <w:rPr>
          <w:sz w:val="16"/>
          <w:szCs w:val="16"/>
        </w:rPr>
      </w:pPr>
      <w:r w:rsidRPr="000B4CF2">
        <w:rPr>
          <w:rFonts w:eastAsia="Arial Unicode MS"/>
          <w:color w:val="000000"/>
          <w:sz w:val="16"/>
          <w:szCs w:val="16"/>
          <w:u w:color="000000"/>
          <w:vertAlign w:val="superscript"/>
        </w:rPr>
        <w:footnoteRef/>
      </w:r>
      <w:r w:rsidRPr="000B4CF2">
        <w:rPr>
          <w:rFonts w:eastAsia="Arial Unicode MS"/>
          <w:color w:val="000000"/>
          <w:sz w:val="16"/>
          <w:szCs w:val="16"/>
          <w:u w:color="000000"/>
        </w:rPr>
        <w:t xml:space="preserve"> </w:t>
      </w:r>
      <w:proofErr w:type="spellStart"/>
      <w:proofErr w:type="gramStart"/>
      <w:r>
        <w:rPr>
          <w:rFonts w:eastAsia="Arial Unicode MS"/>
          <w:i/>
          <w:color w:val="000000"/>
          <w:sz w:val="16"/>
          <w:szCs w:val="16"/>
          <w:u w:color="000000"/>
        </w:rPr>
        <w:t>Ibidem</w:t>
      </w:r>
      <w:proofErr w:type="spellEnd"/>
      <w:r w:rsidR="00217D46">
        <w:rPr>
          <w:rFonts w:eastAsia="Arial Unicode MS"/>
          <w:i/>
          <w:color w:val="000000"/>
          <w:sz w:val="16"/>
          <w:szCs w:val="16"/>
          <w:u w:color="000000"/>
        </w:rPr>
        <w:t>.</w:t>
      </w:r>
      <w:proofErr w:type="gramEnd"/>
    </w:p>
  </w:footnote>
  <w:footnote w:id="101">
    <w:p w14:paraId="71BD0CBF" w14:textId="77777777" w:rsidR="00DB3EBE" w:rsidRPr="00177F0B" w:rsidRDefault="00DB3EBE">
      <w:pPr>
        <w:outlineLvl w:val="0"/>
        <w:rPr>
          <w:rFonts w:eastAsia="Arial Unicode MS"/>
          <w:color w:val="000000"/>
          <w:sz w:val="16"/>
          <w:szCs w:val="16"/>
          <w:u w:color="000000"/>
        </w:rPr>
      </w:pPr>
      <w:r w:rsidRPr="000B4CF2">
        <w:rPr>
          <w:rFonts w:eastAsia="Arial Unicode MS"/>
          <w:color w:val="000000"/>
          <w:sz w:val="16"/>
          <w:szCs w:val="16"/>
          <w:u w:color="000000"/>
          <w:vertAlign w:val="superscript"/>
        </w:rPr>
        <w:footnoteRef/>
      </w:r>
      <w:r w:rsidRPr="000B4CF2">
        <w:rPr>
          <w:rFonts w:eastAsia="Arial Unicode MS"/>
          <w:color w:val="000000"/>
          <w:sz w:val="16"/>
          <w:szCs w:val="16"/>
          <w:u w:color="000000"/>
        </w:rPr>
        <w:t xml:space="preserve"> </w:t>
      </w:r>
      <w:r w:rsidRPr="000B4CF2">
        <w:rPr>
          <w:rFonts w:eastAsia="Arial Unicode MS"/>
          <w:smallCaps/>
          <w:color w:val="000000"/>
          <w:sz w:val="16"/>
          <w:szCs w:val="16"/>
          <w:u w:color="000000"/>
        </w:rPr>
        <w:t>Quint Peter E.,</w:t>
      </w:r>
      <w:r w:rsidRPr="000B4CF2">
        <w:rPr>
          <w:rFonts w:eastAsia="Arial Unicode MS"/>
          <w:color w:val="000000"/>
          <w:sz w:val="16"/>
          <w:szCs w:val="16"/>
          <w:u w:color="000000"/>
        </w:rPr>
        <w:t xml:space="preserve"> ‘Judging the Past,’ </w:t>
      </w:r>
      <w:r w:rsidRPr="000B4CF2">
        <w:rPr>
          <w:rFonts w:eastAsia="Arial Unicode MS"/>
          <w:i/>
          <w:color w:val="000000"/>
          <w:sz w:val="16"/>
          <w:szCs w:val="16"/>
          <w:u w:color="000000"/>
        </w:rPr>
        <w:t>loc. cit.</w:t>
      </w:r>
    </w:p>
  </w:footnote>
  <w:footnote w:id="102">
    <w:p w14:paraId="7C9EE615" w14:textId="40EBF03A" w:rsidR="00DB3EBE" w:rsidRPr="000B4CF2" w:rsidRDefault="00DB3EBE">
      <w:pPr>
        <w:outlineLvl w:val="0"/>
        <w:rPr>
          <w:sz w:val="16"/>
          <w:szCs w:val="16"/>
        </w:rPr>
      </w:pPr>
      <w:r w:rsidRPr="000B4CF2">
        <w:rPr>
          <w:rFonts w:eastAsia="Arial Unicode MS"/>
          <w:color w:val="000000"/>
          <w:sz w:val="16"/>
          <w:szCs w:val="16"/>
          <w:u w:color="000000"/>
          <w:vertAlign w:val="superscript"/>
        </w:rPr>
        <w:footnoteRef/>
      </w:r>
      <w:r w:rsidRPr="000B4CF2">
        <w:rPr>
          <w:rFonts w:eastAsia="Arial Unicode MS"/>
          <w:color w:val="000000"/>
          <w:sz w:val="16"/>
          <w:szCs w:val="16"/>
          <w:u w:color="000000"/>
        </w:rPr>
        <w:t xml:space="preserve"> </w:t>
      </w:r>
      <w:proofErr w:type="spellStart"/>
      <w:proofErr w:type="gramStart"/>
      <w:r w:rsidR="00197BDE">
        <w:rPr>
          <w:rFonts w:eastAsia="Arial Unicode MS"/>
          <w:i/>
          <w:color w:val="000000"/>
          <w:sz w:val="16"/>
          <w:szCs w:val="16"/>
          <w:u w:color="000000"/>
        </w:rPr>
        <w:t>Ibid</w:t>
      </w:r>
      <w:r w:rsidRPr="000B4CF2">
        <w:rPr>
          <w:rFonts w:eastAsia="Arial Unicode MS"/>
          <w:i/>
          <w:color w:val="000000"/>
          <w:sz w:val="16"/>
          <w:szCs w:val="16"/>
          <w:u w:color="000000"/>
        </w:rPr>
        <w:t>em</w:t>
      </w:r>
      <w:proofErr w:type="spellEnd"/>
      <w:r>
        <w:rPr>
          <w:rFonts w:eastAsia="Arial Unicode MS"/>
          <w:i/>
          <w:color w:val="000000"/>
          <w:sz w:val="16"/>
          <w:szCs w:val="16"/>
          <w:u w:color="000000"/>
        </w:rPr>
        <w:t>.</w:t>
      </w:r>
      <w:r w:rsidRPr="000B4CF2">
        <w:rPr>
          <w:rFonts w:eastAsia="Arial Unicode MS"/>
          <w:color w:val="000000"/>
          <w:sz w:val="16"/>
          <w:szCs w:val="16"/>
          <w:u w:color="000000"/>
        </w:rPr>
        <w:t>,</w:t>
      </w:r>
      <w:proofErr w:type="gramEnd"/>
      <w:r w:rsidRPr="000B4CF2">
        <w:rPr>
          <w:rFonts w:eastAsia="Arial Unicode MS"/>
          <w:color w:val="000000"/>
          <w:sz w:val="16"/>
          <w:szCs w:val="16"/>
          <w:u w:color="000000"/>
        </w:rPr>
        <w:t xml:space="preserve"> ‘The Border Guards Trials’, </w:t>
      </w:r>
      <w:r w:rsidRPr="000B4CF2">
        <w:rPr>
          <w:rFonts w:eastAsia="Arial Unicode MS"/>
          <w:i/>
          <w:color w:val="000000"/>
          <w:sz w:val="16"/>
          <w:szCs w:val="16"/>
          <w:u w:color="000000"/>
        </w:rPr>
        <w:t>loc. cit.</w:t>
      </w:r>
      <w:r w:rsidRPr="000B4CF2">
        <w:rPr>
          <w:rFonts w:eastAsia="Arial Unicode MS"/>
          <w:color w:val="000000"/>
          <w:sz w:val="16"/>
          <w:szCs w:val="16"/>
          <w:u w:color="000000"/>
        </w:rPr>
        <w:t xml:space="preserve">, </w:t>
      </w:r>
      <w:r>
        <w:rPr>
          <w:rFonts w:eastAsia="Arial Unicode MS"/>
          <w:color w:val="000000"/>
          <w:sz w:val="16"/>
          <w:szCs w:val="16"/>
          <w:u w:color="000000"/>
        </w:rPr>
        <w:t xml:space="preserve">at </w:t>
      </w:r>
      <w:r w:rsidRPr="000B4CF2">
        <w:rPr>
          <w:rFonts w:eastAsia="Arial Unicode MS"/>
          <w:color w:val="000000"/>
          <w:sz w:val="16"/>
          <w:szCs w:val="16"/>
          <w:u w:color="000000"/>
        </w:rPr>
        <w:t>p. 563.</w:t>
      </w:r>
    </w:p>
  </w:footnote>
  <w:footnote w:id="103">
    <w:p w14:paraId="76EDA6A4" w14:textId="77777777" w:rsidR="00DB3EBE" w:rsidRPr="000B4CF2" w:rsidRDefault="00DB3EBE">
      <w:pPr>
        <w:outlineLvl w:val="0"/>
        <w:rPr>
          <w:sz w:val="20"/>
        </w:rPr>
      </w:pPr>
      <w:r w:rsidRPr="000B4CF2">
        <w:rPr>
          <w:rFonts w:eastAsia="Arial Unicode MS"/>
          <w:color w:val="000000"/>
          <w:sz w:val="16"/>
          <w:szCs w:val="16"/>
          <w:u w:color="000000"/>
          <w:vertAlign w:val="superscript"/>
        </w:rPr>
        <w:footnoteRef/>
      </w:r>
      <w:r w:rsidRPr="000B4CF2">
        <w:rPr>
          <w:rFonts w:eastAsia="Arial Unicode MS"/>
          <w:color w:val="000000"/>
          <w:sz w:val="16"/>
          <w:szCs w:val="16"/>
          <w:u w:color="000000"/>
        </w:rPr>
        <w:t xml:space="preserve"> The Court has recognised that the public’s interest must be considered when the restricting a debate about the past as an important element of transition. See </w:t>
      </w:r>
      <w:proofErr w:type="spellStart"/>
      <w:r w:rsidRPr="000B4CF2">
        <w:rPr>
          <w:rFonts w:eastAsia="Arial Unicode MS"/>
          <w:smallCaps/>
          <w:color w:val="000000"/>
          <w:sz w:val="16"/>
          <w:szCs w:val="16"/>
          <w:u w:color="000000"/>
        </w:rPr>
        <w:t>Buyse</w:t>
      </w:r>
      <w:proofErr w:type="spellEnd"/>
      <w:r w:rsidRPr="000B4CF2">
        <w:rPr>
          <w:rFonts w:eastAsia="Arial Unicode MS"/>
          <w:smallCaps/>
          <w:color w:val="000000"/>
          <w:sz w:val="16"/>
          <w:szCs w:val="16"/>
          <w:u w:color="000000"/>
        </w:rPr>
        <w:t xml:space="preserve"> </w:t>
      </w:r>
      <w:r w:rsidRPr="00C67D21">
        <w:rPr>
          <w:rFonts w:eastAsia="Arial Unicode MS"/>
          <w:color w:val="000000"/>
          <w:sz w:val="16"/>
          <w:szCs w:val="16"/>
          <w:u w:color="000000"/>
        </w:rPr>
        <w:t>and</w:t>
      </w:r>
      <w:r w:rsidRPr="000B4CF2">
        <w:rPr>
          <w:rFonts w:eastAsia="Arial Unicode MS"/>
          <w:smallCaps/>
          <w:color w:val="000000"/>
          <w:sz w:val="16"/>
          <w:szCs w:val="16"/>
          <w:u w:color="000000"/>
        </w:rPr>
        <w:t xml:space="preserve"> Hamilton</w:t>
      </w:r>
      <w:r w:rsidRPr="000B4CF2">
        <w:rPr>
          <w:rFonts w:eastAsia="Arial Unicode MS"/>
          <w:color w:val="000000"/>
          <w:sz w:val="16"/>
          <w:szCs w:val="16"/>
          <w:u w:color="000000"/>
        </w:rPr>
        <w:t xml:space="preserve">, </w:t>
      </w:r>
      <w:r w:rsidRPr="000B4CF2">
        <w:rPr>
          <w:rFonts w:eastAsia="Arial Unicode MS"/>
          <w:i/>
          <w:color w:val="000000"/>
          <w:sz w:val="16"/>
          <w:szCs w:val="16"/>
          <w:u w:color="000000"/>
        </w:rPr>
        <w:t>op. cit.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902E2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894EE873"/>
    <w:lvl w:ilvl="0">
      <w:start w:val="1"/>
      <w:numFmt w:val="decimal"/>
      <w:pStyle w:val="List0"/>
      <w:lvlText w:val="%1."/>
      <w:lvlJc w:val="left"/>
      <w:pPr>
        <w:tabs>
          <w:tab w:val="num" w:pos="360"/>
        </w:tabs>
        <w:ind w:left="360" w:firstLine="360"/>
      </w:pPr>
      <w:rPr>
        <w:rFonts w:hint="default"/>
        <w:position w:val="0"/>
      </w:rPr>
    </w:lvl>
    <w:lvl w:ilvl="1">
      <w:start w:val="1"/>
      <w:numFmt w:val="decimal"/>
      <w:suff w:val="nothing"/>
      <w:lvlText w:val="%2."/>
      <w:lvlJc w:val="left"/>
      <w:pPr>
        <w:ind w:left="0" w:firstLine="1440"/>
      </w:pPr>
      <w:rPr>
        <w:rFonts w:hint="default"/>
        <w:position w:val="0"/>
      </w:rPr>
    </w:lvl>
    <w:lvl w:ilvl="2">
      <w:start w:val="1"/>
      <w:numFmt w:val="decimal"/>
      <w:suff w:val="nothing"/>
      <w:lvlText w:val="%3."/>
      <w:lvlJc w:val="left"/>
      <w:pPr>
        <w:ind w:left="0" w:firstLine="2160"/>
      </w:pPr>
      <w:rPr>
        <w:rFonts w:hint="default"/>
        <w:position w:val="0"/>
      </w:rPr>
    </w:lvl>
    <w:lvl w:ilvl="3">
      <w:start w:val="1"/>
      <w:numFmt w:val="decimal"/>
      <w:suff w:val="nothing"/>
      <w:lvlText w:val="%4."/>
      <w:lvlJc w:val="left"/>
      <w:pPr>
        <w:ind w:left="0" w:firstLine="2880"/>
      </w:pPr>
      <w:rPr>
        <w:rFonts w:hint="default"/>
        <w:position w:val="0"/>
      </w:rPr>
    </w:lvl>
    <w:lvl w:ilvl="4">
      <w:start w:val="1"/>
      <w:numFmt w:val="decimal"/>
      <w:suff w:val="nothing"/>
      <w:lvlText w:val="%5."/>
      <w:lvlJc w:val="left"/>
      <w:pPr>
        <w:ind w:left="0" w:firstLine="3600"/>
      </w:pPr>
      <w:rPr>
        <w:rFonts w:hint="default"/>
        <w:position w:val="0"/>
      </w:rPr>
    </w:lvl>
    <w:lvl w:ilvl="5">
      <w:start w:val="1"/>
      <w:numFmt w:val="decimal"/>
      <w:suff w:val="nothing"/>
      <w:lvlText w:val="%6."/>
      <w:lvlJc w:val="left"/>
      <w:pPr>
        <w:ind w:left="0" w:firstLine="4320"/>
      </w:pPr>
      <w:rPr>
        <w:rFonts w:hint="default"/>
        <w:position w:val="0"/>
      </w:rPr>
    </w:lvl>
    <w:lvl w:ilvl="6">
      <w:start w:val="1"/>
      <w:numFmt w:val="decimal"/>
      <w:suff w:val="nothing"/>
      <w:lvlText w:val="%7."/>
      <w:lvlJc w:val="left"/>
      <w:pPr>
        <w:ind w:left="0" w:firstLine="5040"/>
      </w:pPr>
      <w:rPr>
        <w:rFonts w:hint="default"/>
        <w:position w:val="0"/>
      </w:rPr>
    </w:lvl>
    <w:lvl w:ilvl="7">
      <w:start w:val="1"/>
      <w:numFmt w:val="decimal"/>
      <w:suff w:val="nothing"/>
      <w:lvlText w:val="%8."/>
      <w:lvlJc w:val="left"/>
      <w:pPr>
        <w:ind w:left="0" w:firstLine="5760"/>
      </w:pPr>
      <w:rPr>
        <w:rFonts w:hint="default"/>
        <w:position w:val="0"/>
      </w:rPr>
    </w:lvl>
    <w:lvl w:ilvl="8">
      <w:start w:val="1"/>
      <w:numFmt w:val="decimal"/>
      <w:suff w:val="nothing"/>
      <w:lvlText w:val="%9."/>
      <w:lvlJc w:val="left"/>
      <w:pPr>
        <w:ind w:left="0" w:firstLine="6480"/>
      </w:pPr>
      <w:rPr>
        <w:rFonts w:hint="default"/>
        <w:position w:val="0"/>
      </w:rPr>
    </w:lvl>
  </w:abstractNum>
  <w:abstractNum w:abstractNumId="2">
    <w:nsid w:val="00000002"/>
    <w:multiLevelType w:val="multilevel"/>
    <w:tmpl w:val="894EE874"/>
    <w:lvl w:ilvl="0">
      <w:start w:val="1"/>
      <w:numFmt w:val="decimal"/>
      <w:pStyle w:val="ImportWordListStyleDefinition3"/>
      <w:suff w:val="nothing"/>
      <w:lvlText w:val="%1."/>
      <w:lvlJc w:val="left"/>
      <w:pPr>
        <w:ind w:left="0" w:firstLine="7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rPr>
    </w:lvl>
    <w:lvl w:ilvl="1">
      <w:start w:val="1"/>
      <w:numFmt w:val="decimal"/>
      <w:suff w:val="nothing"/>
      <w:lvlText w:val="%2."/>
      <w:lvlJc w:val="left"/>
      <w:pPr>
        <w:ind w:left="0" w:firstLine="14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rPr>
    </w:lvl>
    <w:lvl w:ilvl="2">
      <w:start w:val="1"/>
      <w:numFmt w:val="decimal"/>
      <w:suff w:val="nothing"/>
      <w:lvlText w:val="%3."/>
      <w:lvlJc w:val="left"/>
      <w:pPr>
        <w:ind w:left="0" w:firstLine="21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rPr>
    </w:lvl>
    <w:lvl w:ilvl="3">
      <w:start w:val="1"/>
      <w:numFmt w:val="decimal"/>
      <w:suff w:val="nothing"/>
      <w:lvlText w:val="%4."/>
      <w:lvlJc w:val="left"/>
      <w:pPr>
        <w:ind w:left="0" w:firstLine="28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rPr>
    </w:lvl>
    <w:lvl w:ilvl="4">
      <w:start w:val="1"/>
      <w:numFmt w:val="decimal"/>
      <w:suff w:val="nothing"/>
      <w:lvlText w:val="%5."/>
      <w:lvlJc w:val="left"/>
      <w:pPr>
        <w:ind w:left="0" w:firstLine="36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rPr>
    </w:lvl>
    <w:lvl w:ilvl="5">
      <w:start w:val="1"/>
      <w:numFmt w:val="decimal"/>
      <w:suff w:val="nothing"/>
      <w:lvlText w:val="%6."/>
      <w:lvlJc w:val="left"/>
      <w:pPr>
        <w:ind w:left="0" w:firstLine="43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rPr>
    </w:lvl>
    <w:lvl w:ilvl="6">
      <w:start w:val="1"/>
      <w:numFmt w:val="decimal"/>
      <w:suff w:val="nothing"/>
      <w:lvlText w:val="%7."/>
      <w:lvlJc w:val="left"/>
      <w:pPr>
        <w:ind w:left="0" w:firstLine="50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rPr>
    </w:lvl>
    <w:lvl w:ilvl="7">
      <w:start w:val="1"/>
      <w:numFmt w:val="decimal"/>
      <w:suff w:val="nothing"/>
      <w:lvlText w:val="%8."/>
      <w:lvlJc w:val="left"/>
      <w:pPr>
        <w:ind w:left="0" w:firstLine="57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rPr>
    </w:lvl>
    <w:lvl w:ilvl="8">
      <w:start w:val="1"/>
      <w:numFmt w:val="decimal"/>
      <w:suff w:val="nothing"/>
      <w:lvlText w:val="%9."/>
      <w:lvlJc w:val="left"/>
      <w:pPr>
        <w:ind w:left="0" w:firstLine="64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rPr>
    </w:lvl>
  </w:abstractNum>
  <w:abstractNum w:abstractNumId="3">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609"/>
    <w:rsid w:val="0000403A"/>
    <w:rsid w:val="0002115E"/>
    <w:rsid w:val="0002763F"/>
    <w:rsid w:val="00032084"/>
    <w:rsid w:val="000411CF"/>
    <w:rsid w:val="00051B1C"/>
    <w:rsid w:val="00063224"/>
    <w:rsid w:val="00087AC8"/>
    <w:rsid w:val="000B39A2"/>
    <w:rsid w:val="000B4CF2"/>
    <w:rsid w:val="000E014A"/>
    <w:rsid w:val="00102A24"/>
    <w:rsid w:val="0014156A"/>
    <w:rsid w:val="00170D27"/>
    <w:rsid w:val="00177F0B"/>
    <w:rsid w:val="001844EA"/>
    <w:rsid w:val="00197BDE"/>
    <w:rsid w:val="001A1EC6"/>
    <w:rsid w:val="001A2E0C"/>
    <w:rsid w:val="001C5088"/>
    <w:rsid w:val="001F4473"/>
    <w:rsid w:val="0020775E"/>
    <w:rsid w:val="002114BE"/>
    <w:rsid w:val="00217D46"/>
    <w:rsid w:val="0024592B"/>
    <w:rsid w:val="0024756D"/>
    <w:rsid w:val="00255D8E"/>
    <w:rsid w:val="002668BE"/>
    <w:rsid w:val="00285163"/>
    <w:rsid w:val="002A2AD7"/>
    <w:rsid w:val="002A3A54"/>
    <w:rsid w:val="002D13A2"/>
    <w:rsid w:val="002D44D9"/>
    <w:rsid w:val="002D61DB"/>
    <w:rsid w:val="002D6AAF"/>
    <w:rsid w:val="002E0124"/>
    <w:rsid w:val="002E1BD3"/>
    <w:rsid w:val="00302043"/>
    <w:rsid w:val="0033360B"/>
    <w:rsid w:val="00341B22"/>
    <w:rsid w:val="00355FEF"/>
    <w:rsid w:val="003C3C11"/>
    <w:rsid w:val="003E504B"/>
    <w:rsid w:val="003F027F"/>
    <w:rsid w:val="00440894"/>
    <w:rsid w:val="004462C4"/>
    <w:rsid w:val="00451146"/>
    <w:rsid w:val="00465E02"/>
    <w:rsid w:val="00484F5A"/>
    <w:rsid w:val="004860D2"/>
    <w:rsid w:val="00492FC4"/>
    <w:rsid w:val="004A538D"/>
    <w:rsid w:val="004A6F68"/>
    <w:rsid w:val="004C6078"/>
    <w:rsid w:val="004E3E95"/>
    <w:rsid w:val="005266C8"/>
    <w:rsid w:val="00562A40"/>
    <w:rsid w:val="00572310"/>
    <w:rsid w:val="005725E7"/>
    <w:rsid w:val="00580B21"/>
    <w:rsid w:val="00593A5B"/>
    <w:rsid w:val="005C64D1"/>
    <w:rsid w:val="00615609"/>
    <w:rsid w:val="0066296C"/>
    <w:rsid w:val="00685C4E"/>
    <w:rsid w:val="006A5317"/>
    <w:rsid w:val="006B048F"/>
    <w:rsid w:val="006B09AB"/>
    <w:rsid w:val="006C0688"/>
    <w:rsid w:val="006C19E3"/>
    <w:rsid w:val="006F1ADA"/>
    <w:rsid w:val="00714E1C"/>
    <w:rsid w:val="00720536"/>
    <w:rsid w:val="007277A0"/>
    <w:rsid w:val="007317AA"/>
    <w:rsid w:val="00733410"/>
    <w:rsid w:val="00735F6D"/>
    <w:rsid w:val="007B3D93"/>
    <w:rsid w:val="0081708C"/>
    <w:rsid w:val="00830F50"/>
    <w:rsid w:val="00843CD0"/>
    <w:rsid w:val="0084755B"/>
    <w:rsid w:val="0085023E"/>
    <w:rsid w:val="008579F4"/>
    <w:rsid w:val="008643BB"/>
    <w:rsid w:val="00874CAE"/>
    <w:rsid w:val="0088568E"/>
    <w:rsid w:val="00886305"/>
    <w:rsid w:val="008A1EDE"/>
    <w:rsid w:val="008A2E6C"/>
    <w:rsid w:val="008A7383"/>
    <w:rsid w:val="008B11BD"/>
    <w:rsid w:val="008B11EC"/>
    <w:rsid w:val="008B3C6D"/>
    <w:rsid w:val="008E7A4F"/>
    <w:rsid w:val="008F643F"/>
    <w:rsid w:val="00904DD7"/>
    <w:rsid w:val="00920BEA"/>
    <w:rsid w:val="00922622"/>
    <w:rsid w:val="00932AC8"/>
    <w:rsid w:val="009372B7"/>
    <w:rsid w:val="00956A41"/>
    <w:rsid w:val="0096016D"/>
    <w:rsid w:val="00967616"/>
    <w:rsid w:val="00972084"/>
    <w:rsid w:val="00973795"/>
    <w:rsid w:val="009A1E7B"/>
    <w:rsid w:val="009B5E92"/>
    <w:rsid w:val="009C50CF"/>
    <w:rsid w:val="009C628B"/>
    <w:rsid w:val="009F090C"/>
    <w:rsid w:val="00A73461"/>
    <w:rsid w:val="00A83179"/>
    <w:rsid w:val="00A948C9"/>
    <w:rsid w:val="00AB1D24"/>
    <w:rsid w:val="00AC0304"/>
    <w:rsid w:val="00AD2297"/>
    <w:rsid w:val="00AE2169"/>
    <w:rsid w:val="00AF2916"/>
    <w:rsid w:val="00AF5816"/>
    <w:rsid w:val="00B24579"/>
    <w:rsid w:val="00B4114C"/>
    <w:rsid w:val="00B50E38"/>
    <w:rsid w:val="00BA46D6"/>
    <w:rsid w:val="00C0149D"/>
    <w:rsid w:val="00C5004A"/>
    <w:rsid w:val="00C67D21"/>
    <w:rsid w:val="00C84563"/>
    <w:rsid w:val="00C93860"/>
    <w:rsid w:val="00C9716C"/>
    <w:rsid w:val="00CC35A3"/>
    <w:rsid w:val="00CF358D"/>
    <w:rsid w:val="00D22464"/>
    <w:rsid w:val="00D503CE"/>
    <w:rsid w:val="00D54710"/>
    <w:rsid w:val="00D74160"/>
    <w:rsid w:val="00DB088F"/>
    <w:rsid w:val="00DB3EBE"/>
    <w:rsid w:val="00DB7248"/>
    <w:rsid w:val="00DD6408"/>
    <w:rsid w:val="00DD6A22"/>
    <w:rsid w:val="00DE00B1"/>
    <w:rsid w:val="00DE3A69"/>
    <w:rsid w:val="00DF3325"/>
    <w:rsid w:val="00E00933"/>
    <w:rsid w:val="00E014EF"/>
    <w:rsid w:val="00E05D83"/>
    <w:rsid w:val="00E07CC2"/>
    <w:rsid w:val="00E33881"/>
    <w:rsid w:val="00E61799"/>
    <w:rsid w:val="00E91CC9"/>
    <w:rsid w:val="00EC4CE0"/>
    <w:rsid w:val="00ED5C26"/>
    <w:rsid w:val="00EF6F69"/>
    <w:rsid w:val="00F17E37"/>
    <w:rsid w:val="00F2272D"/>
    <w:rsid w:val="00F35118"/>
    <w:rsid w:val="00F93FFC"/>
    <w:rsid w:val="00FB491C"/>
    <w:rsid w:val="00FD13A3"/>
    <w:rsid w:val="00FF11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style="mso-wrap-style:none">
      <v:stroke weight="0" endcap="round"/>
      <v:textbox inset="0,0,0,0"/>
    </o:shapedefaults>
    <o:shapelayout v:ext="edit">
      <o:idmap v:ext="edit" data="1"/>
    </o:shapelayout>
  </w:shapeDefaults>
  <w:doNotEmbedSmartTags/>
  <w:decimalSymbol w:val="."/>
  <w:listSeparator w:val=","/>
  <w14:docId w14:val="3BB14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locked="0" w:uiPriority="67"/>
    <w:lsdException w:name="No Spacing" w:locked="0" w:uiPriority="68"/>
    <w:lsdException w:name="Light Shading" w:locked="0" w:uiPriority="69"/>
    <w:lsdException w:name="Light List" w:locked="0" w:uiPriority="70"/>
    <w:lsdException w:name="Light Grid" w:locked="0" w:uiPriority="71"/>
    <w:lsdException w:name="Medium Shading 1" w:locked="0" w:uiPriority="72"/>
    <w:lsdException w:name="Medium Shading 2" w:locked="0" w:uiPriority="73"/>
    <w:lsdException w:name="Medium List 1" w:locked="0" w:uiPriority="60"/>
    <w:lsdException w:name="Medium List 2" w:locked="0" w:uiPriority="61"/>
    <w:lsdException w:name="Medium Grid 1" w:locked="0" w:uiPriority="62"/>
    <w:lsdException w:name="Medium Grid 2" w:locked="0" w:uiPriority="63"/>
    <w:lsdException w:name="Medium Grid 3" w:locked="0" w:uiPriority="64"/>
    <w:lsdException w:name="Dark List" w:locked="0" w:uiPriority="65"/>
    <w:lsdException w:name="Colorful Shading" w:locked="0" w:semiHidden="1" w:uiPriority="99"/>
    <w:lsdException w:name="Colorful List" w:locked="0" w:uiPriority="34" w:qFormat="1"/>
    <w:lsdException w:name="Colorful Grid" w:locked="0" w:uiPriority="29" w:qFormat="1"/>
    <w:lsdException w:name="Light Shading Accent 1" w:locked="0" w:uiPriority="30" w:qFormat="1"/>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lsdException w:name="Quote" w:locked="0" w:uiPriority="73"/>
    <w:lsdException w:name="Intense Quote" w:locked="0" w:uiPriority="60"/>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uiPriority="66"/>
    <w:lsdException w:name="Colorful List Accent 1" w:locked="0" w:uiPriority="67"/>
    <w:lsdException w:name="Colorful Grid Accent 1" w:locked="0" w:uiPriority="68"/>
    <w:lsdException w:name="Light Shading Accent 2" w:locked="0" w:uiPriority="69"/>
    <w:lsdException w:name="Light List Accent 2" w:locked="0" w:uiPriority="70"/>
    <w:lsdException w:name="Light Grid Accent 2" w:locked="0" w:uiPriority="71"/>
    <w:lsdException w:name="Medium Shading 1 Accent 2" w:locked="0" w:uiPriority="72"/>
    <w:lsdException w:name="Medium Shading 2 Accent 2" w:locked="0" w:uiPriority="73"/>
    <w:lsdException w:name="Medium List 1 Accent 2" w:locked="0" w:uiPriority="60"/>
    <w:lsdException w:name="Medium List 2 Accent 2" w:locked="0" w:uiPriority="61"/>
    <w:lsdException w:name="Medium Grid 1 Accent 2" w:locked="0" w:uiPriority="62"/>
    <w:lsdException w:name="Medium Grid 2 Accent 2" w:locked="0" w:uiPriority="63"/>
    <w:lsdException w:name="Medium Grid 3 Accent 2" w:locked="0" w:uiPriority="64"/>
    <w:lsdException w:name="Dark List Accent 2" w:locked="0" w:uiPriority="65"/>
    <w:lsdException w:name="Colorful Shading Accent 2" w:locked="0" w:uiPriority="66"/>
    <w:lsdException w:name="Colorful List Accent 2" w:locked="0" w:uiPriority="67"/>
    <w:lsdException w:name="Colorful Grid Accent 2" w:locked="0" w:uiPriority="68"/>
    <w:lsdException w:name="Light Shading Accent 3" w:locked="0" w:uiPriority="69"/>
    <w:lsdException w:name="Light List Accent 3" w:locked="0" w:uiPriority="70"/>
    <w:lsdException w:name="Light Grid Accent 3" w:locked="0" w:uiPriority="71"/>
    <w:lsdException w:name="Medium Shading 1 Accent 3" w:locked="0" w:uiPriority="72"/>
    <w:lsdException w:name="Medium Shading 2 Accent 3" w:locked="0" w:uiPriority="73"/>
    <w:lsdException w:name="Medium List 1 Accent 3" w:locked="0" w:uiPriority="60"/>
    <w:lsdException w:name="Medium List 2 Accent 3" w:locked="0" w:uiPriority="61"/>
    <w:lsdException w:name="Medium Grid 1 Accent 3" w:locked="0" w:uiPriority="62"/>
    <w:lsdException w:name="Medium Grid 2 Accent 3" w:locked="0" w:uiPriority="63"/>
    <w:lsdException w:name="Medium Grid 3 Accent 3" w:locked="0" w:uiPriority="64"/>
    <w:lsdException w:name="Dark List Accent 3" w:locked="0" w:uiPriority="65"/>
    <w:lsdException w:name="Colorful Shading Accent 3" w:locked="0" w:uiPriority="66"/>
    <w:lsdException w:name="Colorful List Accent 3" w:locked="0" w:uiPriority="67"/>
    <w:lsdException w:name="Colorful Grid Accent 3" w:locked="0" w:uiPriority="68"/>
    <w:lsdException w:name="Light Shading Accent 4" w:locked="0" w:uiPriority="69"/>
    <w:lsdException w:name="Light List Accent 4" w:locked="0" w:uiPriority="70"/>
    <w:lsdException w:name="Light Grid Accent 4" w:locked="0" w:uiPriority="71"/>
    <w:lsdException w:name="Medium Shading 1 Accent 4" w:locked="0" w:uiPriority="72"/>
    <w:lsdException w:name="Medium Shading 2 Accent 4" w:locked="0" w:uiPriority="73"/>
    <w:lsdException w:name="Medium List 1 Accent 4" w:locked="0" w:uiPriority="60"/>
    <w:lsdException w:name="Medium List 2 Accent 4" w:locked="0" w:uiPriority="61"/>
    <w:lsdException w:name="Medium Grid 1 Accent 4" w:locked="0" w:uiPriority="62"/>
    <w:lsdException w:name="Medium Grid 2 Accent 4" w:locked="0" w:uiPriority="63"/>
    <w:lsdException w:name="Medium Grid 3 Accent 4" w:locked="0" w:uiPriority="64"/>
    <w:lsdException w:name="Dark List Accent 4" w:locked="0" w:uiPriority="65"/>
    <w:lsdException w:name="Colorful Shading Accent 4" w:locked="0" w:uiPriority="66"/>
    <w:lsdException w:name="Colorful List Accent 4" w:locked="0" w:uiPriority="67"/>
    <w:lsdException w:name="Colorful Grid Accent 4" w:locked="0" w:uiPriority="68"/>
    <w:lsdException w:name="Light Shading Accent 5" w:locked="0" w:uiPriority="69"/>
    <w:lsdException w:name="Light List Accent 5" w:locked="0" w:uiPriority="70"/>
    <w:lsdException w:name="Light Grid Accent 5" w:locked="0" w:uiPriority="71"/>
    <w:lsdException w:name="Medium Shading 1 Accent 5" w:locked="0" w:uiPriority="72"/>
    <w:lsdException w:name="Medium Shading 2 Accent 5" w:locked="0" w:uiPriority="73"/>
    <w:lsdException w:name="Medium List 1 Accent 5" w:locked="0" w:uiPriority="60"/>
    <w:lsdException w:name="Medium List 2 Accent 5" w:locked="0" w:uiPriority="61"/>
    <w:lsdException w:name="Medium Grid 1 Accent 5" w:locked="0" w:uiPriority="62"/>
    <w:lsdException w:name="Medium Grid 2 Accent 5" w:locked="0" w:uiPriority="63"/>
    <w:lsdException w:name="Medium Grid 3 Accent 5" w:locked="0" w:uiPriority="64"/>
    <w:lsdException w:name="Dark List Accent 5" w:locked="0" w:uiPriority="65"/>
    <w:lsdException w:name="Colorful Shading Accent 5" w:locked="0" w:uiPriority="66"/>
    <w:lsdException w:name="Colorful List Accent 5" w:locked="0" w:uiPriority="67"/>
    <w:lsdException w:name="Colorful Grid Accent 5" w:locked="0" w:uiPriority="68"/>
    <w:lsdException w:name="Light Shading Accent 6" w:locked="0" w:uiPriority="69"/>
    <w:lsdException w:name="Light List Accent 6" w:locked="0" w:uiPriority="70"/>
    <w:lsdException w:name="Light Grid Accent 6" w:locked="0" w:uiPriority="71"/>
    <w:lsdException w:name="Medium Shading 1 Accent 6" w:locked="0" w:uiPriority="72"/>
    <w:lsdException w:name="Medium Shading 2 Accent 6" w:locked="0" w:uiPriority="73"/>
    <w:lsdException w:name="Medium List 1 Accent 6" w:locked="0" w:uiPriority="19" w:qFormat="1"/>
    <w:lsdException w:name="Medium List 2 Accent 6" w:locked="0" w:uiPriority="21" w:qFormat="1"/>
    <w:lsdException w:name="Medium Grid 1 Accent 6" w:locked="0" w:uiPriority="31" w:qFormat="1"/>
    <w:lsdException w:name="Medium Grid 2 Accent 6" w:locked="0" w:uiPriority="32" w:qFormat="1"/>
    <w:lsdException w:name="Medium Grid 3 Accent 6" w:locked="0" w:uiPriority="33" w:qFormat="1"/>
    <w:lsdException w:name="Dark List Accent 6" w:locked="0" w:semiHidden="1" w:uiPriority="37" w:unhideWhenUsed="1"/>
    <w:lsdException w:name="Colorful Shading Accent 6" w:locked="0" w:semiHidden="1" w:uiPriority="39" w:unhideWhenUsed="1" w:qFormat="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355F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355FEF"/>
    <w:pPr>
      <w:outlineLvl w:val="0"/>
    </w:pPr>
    <w:rPr>
      <w:rFonts w:eastAsia="Arial Unicode MS"/>
      <w:color w:val="000000"/>
      <w:sz w:val="24"/>
      <w:u w:color="000000"/>
      <w:lang w:val="en-US"/>
    </w:rPr>
  </w:style>
  <w:style w:type="character" w:styleId="Hyperlink">
    <w:name w:val="Hyperlink"/>
    <w:rsid w:val="00355FEF"/>
    <w:rPr>
      <w:sz w:val="20"/>
    </w:rPr>
  </w:style>
  <w:style w:type="paragraph" w:customStyle="1" w:styleId="List0">
    <w:name w:val="List 0"/>
    <w:basedOn w:val="ImportWordListStyleDefinition3"/>
    <w:semiHidden/>
    <w:rsid w:val="00355FEF"/>
    <w:pPr>
      <w:numPr>
        <w:numId w:val="1"/>
      </w:numPr>
      <w:ind w:left="0" w:firstLine="720"/>
    </w:pPr>
  </w:style>
  <w:style w:type="paragraph" w:customStyle="1" w:styleId="ImportWordListStyleDefinition3">
    <w:name w:val="Import Word List Style Definition 3"/>
    <w:rsid w:val="00355FEF"/>
    <w:pPr>
      <w:numPr>
        <w:numId w:val="2"/>
      </w:numPr>
    </w:pPr>
    <w:rPr>
      <w:lang w:val="en-US"/>
    </w:rPr>
  </w:style>
  <w:style w:type="paragraph" w:styleId="BalloonText">
    <w:name w:val="Balloon Text"/>
    <w:basedOn w:val="Normal"/>
    <w:link w:val="BalloonTextChar"/>
    <w:locked/>
    <w:rsid w:val="00A73461"/>
    <w:rPr>
      <w:rFonts w:ascii="Lucida Grande" w:hAnsi="Lucida Grande"/>
      <w:sz w:val="18"/>
      <w:szCs w:val="18"/>
    </w:rPr>
  </w:style>
  <w:style w:type="character" w:customStyle="1" w:styleId="BalloonTextChar">
    <w:name w:val="Balloon Text Char"/>
    <w:link w:val="BalloonText"/>
    <w:rsid w:val="00A73461"/>
    <w:rPr>
      <w:rFonts w:ascii="Lucida Grande" w:hAnsi="Lucida Grande"/>
      <w:sz w:val="18"/>
      <w:szCs w:val="18"/>
    </w:rPr>
  </w:style>
  <w:style w:type="paragraph" w:styleId="FootnoteText">
    <w:name w:val="footnote text"/>
    <w:aliases w:val="Voetnoottekst Char1,Voetnoottekst Char Char,Footnote Text Char Char Char Char Char Char,Voetnoottekst Char1 Char,Footnote Text Char Char Char Char Char1 Char,Voetnoottekst Char Char Char,fn"/>
    <w:basedOn w:val="Normal"/>
    <w:link w:val="FootnoteTextChar"/>
    <w:locked/>
    <w:rsid w:val="00B50E38"/>
  </w:style>
  <w:style w:type="character" w:customStyle="1" w:styleId="FootnoteTextChar">
    <w:name w:val="Footnote Text Char"/>
    <w:aliases w:val="Voetnoottekst Char1 Char1,Voetnoottekst Char Char Char1,Footnote Text Char Char Char Char Char Char Char,Voetnoottekst Char1 Char Char,Footnote Text Char Char Char Char Char1 Char Char,Voetnoottekst Char Char Char Char,fn Char"/>
    <w:link w:val="FootnoteText"/>
    <w:uiPriority w:val="99"/>
    <w:rsid w:val="00B50E38"/>
    <w:rPr>
      <w:sz w:val="24"/>
      <w:szCs w:val="24"/>
    </w:rPr>
  </w:style>
  <w:style w:type="character" w:styleId="FootnoteReference">
    <w:name w:val="footnote reference"/>
    <w:uiPriority w:val="99"/>
    <w:locked/>
    <w:rsid w:val="00B50E38"/>
    <w:rPr>
      <w:vertAlign w:val="superscript"/>
    </w:rPr>
  </w:style>
  <w:style w:type="character" w:styleId="FollowedHyperlink">
    <w:name w:val="FollowedHyperlink"/>
    <w:locked/>
    <w:rsid w:val="00E61799"/>
    <w:rPr>
      <w:color w:val="800080"/>
      <w:u w:val="single"/>
    </w:rPr>
  </w:style>
  <w:style w:type="paragraph" w:customStyle="1" w:styleId="Body">
    <w:name w:val="Body"/>
    <w:rsid w:val="003C3C11"/>
    <w:rPr>
      <w:rFonts w:eastAsia="ヒラギノ角ゴ Pro W3"/>
      <w:color w:val="000000"/>
      <w:sz w:val="24"/>
      <w:u w:color="000000"/>
      <w:lang w:val="en-US"/>
    </w:rPr>
  </w:style>
  <w:style w:type="character" w:customStyle="1" w:styleId="addmd">
    <w:name w:val="addmd"/>
    <w:basedOn w:val="DefaultParagraphFont"/>
    <w:rsid w:val="0000403A"/>
  </w:style>
  <w:style w:type="paragraph" w:styleId="Header">
    <w:name w:val="header"/>
    <w:basedOn w:val="Normal"/>
    <w:link w:val="HeaderChar"/>
    <w:locked/>
    <w:rsid w:val="00580B21"/>
    <w:pPr>
      <w:tabs>
        <w:tab w:val="center" w:pos="4513"/>
        <w:tab w:val="right" w:pos="9026"/>
      </w:tabs>
    </w:pPr>
  </w:style>
  <w:style w:type="character" w:customStyle="1" w:styleId="HeaderChar">
    <w:name w:val="Header Char"/>
    <w:basedOn w:val="DefaultParagraphFont"/>
    <w:link w:val="Header"/>
    <w:rsid w:val="00580B21"/>
    <w:rPr>
      <w:sz w:val="24"/>
      <w:szCs w:val="24"/>
    </w:rPr>
  </w:style>
  <w:style w:type="paragraph" w:styleId="Footer">
    <w:name w:val="footer"/>
    <w:basedOn w:val="Normal"/>
    <w:link w:val="FooterChar"/>
    <w:uiPriority w:val="99"/>
    <w:locked/>
    <w:rsid w:val="00580B21"/>
    <w:pPr>
      <w:tabs>
        <w:tab w:val="center" w:pos="4513"/>
        <w:tab w:val="right" w:pos="9026"/>
      </w:tabs>
    </w:pPr>
  </w:style>
  <w:style w:type="character" w:customStyle="1" w:styleId="FooterChar">
    <w:name w:val="Footer Char"/>
    <w:basedOn w:val="DefaultParagraphFont"/>
    <w:link w:val="Footer"/>
    <w:uiPriority w:val="99"/>
    <w:rsid w:val="00580B21"/>
    <w:rPr>
      <w:sz w:val="24"/>
      <w:szCs w:val="24"/>
    </w:rPr>
  </w:style>
  <w:style w:type="paragraph" w:customStyle="1" w:styleId="OpiPara">
    <w:name w:val="Opi_Para"/>
    <w:basedOn w:val="Normal"/>
    <w:rsid w:val="00973795"/>
    <w:pPr>
      <w:suppressAutoHyphens/>
      <w:ind w:firstLine="284"/>
      <w:jc w:val="both"/>
    </w:pPr>
    <w:rPr>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locked="0" w:uiPriority="67"/>
    <w:lsdException w:name="No Spacing" w:locked="0" w:uiPriority="68"/>
    <w:lsdException w:name="Light Shading" w:locked="0" w:uiPriority="69"/>
    <w:lsdException w:name="Light List" w:locked="0" w:uiPriority="70"/>
    <w:lsdException w:name="Light Grid" w:locked="0" w:uiPriority="71"/>
    <w:lsdException w:name="Medium Shading 1" w:locked="0" w:uiPriority="72"/>
    <w:lsdException w:name="Medium Shading 2" w:locked="0" w:uiPriority="73"/>
    <w:lsdException w:name="Medium List 1" w:locked="0" w:uiPriority="60"/>
    <w:lsdException w:name="Medium List 2" w:locked="0" w:uiPriority="61"/>
    <w:lsdException w:name="Medium Grid 1" w:locked="0" w:uiPriority="62"/>
    <w:lsdException w:name="Medium Grid 2" w:locked="0" w:uiPriority="63"/>
    <w:lsdException w:name="Medium Grid 3" w:locked="0" w:uiPriority="64"/>
    <w:lsdException w:name="Dark List" w:locked="0" w:uiPriority="65"/>
    <w:lsdException w:name="Colorful Shading" w:locked="0" w:semiHidden="1" w:uiPriority="99"/>
    <w:lsdException w:name="Colorful List" w:locked="0" w:uiPriority="34" w:qFormat="1"/>
    <w:lsdException w:name="Colorful Grid" w:locked="0" w:uiPriority="29" w:qFormat="1"/>
    <w:lsdException w:name="Light Shading Accent 1" w:locked="0" w:uiPriority="30" w:qFormat="1"/>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lsdException w:name="Quote" w:locked="0" w:uiPriority="73"/>
    <w:lsdException w:name="Intense Quote" w:locked="0" w:uiPriority="60"/>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uiPriority="66"/>
    <w:lsdException w:name="Colorful List Accent 1" w:locked="0" w:uiPriority="67"/>
    <w:lsdException w:name="Colorful Grid Accent 1" w:locked="0" w:uiPriority="68"/>
    <w:lsdException w:name="Light Shading Accent 2" w:locked="0" w:uiPriority="69"/>
    <w:lsdException w:name="Light List Accent 2" w:locked="0" w:uiPriority="70"/>
    <w:lsdException w:name="Light Grid Accent 2" w:locked="0" w:uiPriority="71"/>
    <w:lsdException w:name="Medium Shading 1 Accent 2" w:locked="0" w:uiPriority="72"/>
    <w:lsdException w:name="Medium Shading 2 Accent 2" w:locked="0" w:uiPriority="73"/>
    <w:lsdException w:name="Medium List 1 Accent 2" w:locked="0" w:uiPriority="60"/>
    <w:lsdException w:name="Medium List 2 Accent 2" w:locked="0" w:uiPriority="61"/>
    <w:lsdException w:name="Medium Grid 1 Accent 2" w:locked="0" w:uiPriority="62"/>
    <w:lsdException w:name="Medium Grid 2 Accent 2" w:locked="0" w:uiPriority="63"/>
    <w:lsdException w:name="Medium Grid 3 Accent 2" w:locked="0" w:uiPriority="64"/>
    <w:lsdException w:name="Dark List Accent 2" w:locked="0" w:uiPriority="65"/>
    <w:lsdException w:name="Colorful Shading Accent 2" w:locked="0" w:uiPriority="66"/>
    <w:lsdException w:name="Colorful List Accent 2" w:locked="0" w:uiPriority="67"/>
    <w:lsdException w:name="Colorful Grid Accent 2" w:locked="0" w:uiPriority="68"/>
    <w:lsdException w:name="Light Shading Accent 3" w:locked="0" w:uiPriority="69"/>
    <w:lsdException w:name="Light List Accent 3" w:locked="0" w:uiPriority="70"/>
    <w:lsdException w:name="Light Grid Accent 3" w:locked="0" w:uiPriority="71"/>
    <w:lsdException w:name="Medium Shading 1 Accent 3" w:locked="0" w:uiPriority="72"/>
    <w:lsdException w:name="Medium Shading 2 Accent 3" w:locked="0" w:uiPriority="73"/>
    <w:lsdException w:name="Medium List 1 Accent 3" w:locked="0" w:uiPriority="60"/>
    <w:lsdException w:name="Medium List 2 Accent 3" w:locked="0" w:uiPriority="61"/>
    <w:lsdException w:name="Medium Grid 1 Accent 3" w:locked="0" w:uiPriority="62"/>
    <w:lsdException w:name="Medium Grid 2 Accent 3" w:locked="0" w:uiPriority="63"/>
    <w:lsdException w:name="Medium Grid 3 Accent 3" w:locked="0" w:uiPriority="64"/>
    <w:lsdException w:name="Dark List Accent 3" w:locked="0" w:uiPriority="65"/>
    <w:lsdException w:name="Colorful Shading Accent 3" w:locked="0" w:uiPriority="66"/>
    <w:lsdException w:name="Colorful List Accent 3" w:locked="0" w:uiPriority="67"/>
    <w:lsdException w:name="Colorful Grid Accent 3" w:locked="0" w:uiPriority="68"/>
    <w:lsdException w:name="Light Shading Accent 4" w:locked="0" w:uiPriority="69"/>
    <w:lsdException w:name="Light List Accent 4" w:locked="0" w:uiPriority="70"/>
    <w:lsdException w:name="Light Grid Accent 4" w:locked="0" w:uiPriority="71"/>
    <w:lsdException w:name="Medium Shading 1 Accent 4" w:locked="0" w:uiPriority="72"/>
    <w:lsdException w:name="Medium Shading 2 Accent 4" w:locked="0" w:uiPriority="73"/>
    <w:lsdException w:name="Medium List 1 Accent 4" w:locked="0" w:uiPriority="60"/>
    <w:lsdException w:name="Medium List 2 Accent 4" w:locked="0" w:uiPriority="61"/>
    <w:lsdException w:name="Medium Grid 1 Accent 4" w:locked="0" w:uiPriority="62"/>
    <w:lsdException w:name="Medium Grid 2 Accent 4" w:locked="0" w:uiPriority="63"/>
    <w:lsdException w:name="Medium Grid 3 Accent 4" w:locked="0" w:uiPriority="64"/>
    <w:lsdException w:name="Dark List Accent 4" w:locked="0" w:uiPriority="65"/>
    <w:lsdException w:name="Colorful Shading Accent 4" w:locked="0" w:uiPriority="66"/>
    <w:lsdException w:name="Colorful List Accent 4" w:locked="0" w:uiPriority="67"/>
    <w:lsdException w:name="Colorful Grid Accent 4" w:locked="0" w:uiPriority="68"/>
    <w:lsdException w:name="Light Shading Accent 5" w:locked="0" w:uiPriority="69"/>
    <w:lsdException w:name="Light List Accent 5" w:locked="0" w:uiPriority="70"/>
    <w:lsdException w:name="Light Grid Accent 5" w:locked="0" w:uiPriority="71"/>
    <w:lsdException w:name="Medium Shading 1 Accent 5" w:locked="0" w:uiPriority="72"/>
    <w:lsdException w:name="Medium Shading 2 Accent 5" w:locked="0" w:uiPriority="73"/>
    <w:lsdException w:name="Medium List 1 Accent 5" w:locked="0" w:uiPriority="60"/>
    <w:lsdException w:name="Medium List 2 Accent 5" w:locked="0" w:uiPriority="61"/>
    <w:lsdException w:name="Medium Grid 1 Accent 5" w:locked="0" w:uiPriority="62"/>
    <w:lsdException w:name="Medium Grid 2 Accent 5" w:locked="0" w:uiPriority="63"/>
    <w:lsdException w:name="Medium Grid 3 Accent 5" w:locked="0" w:uiPriority="64"/>
    <w:lsdException w:name="Dark List Accent 5" w:locked="0" w:uiPriority="65"/>
    <w:lsdException w:name="Colorful Shading Accent 5" w:locked="0" w:uiPriority="66"/>
    <w:lsdException w:name="Colorful List Accent 5" w:locked="0" w:uiPriority="67"/>
    <w:lsdException w:name="Colorful Grid Accent 5" w:locked="0" w:uiPriority="68"/>
    <w:lsdException w:name="Light Shading Accent 6" w:locked="0" w:uiPriority="69"/>
    <w:lsdException w:name="Light List Accent 6" w:locked="0" w:uiPriority="70"/>
    <w:lsdException w:name="Light Grid Accent 6" w:locked="0" w:uiPriority="71"/>
    <w:lsdException w:name="Medium Shading 1 Accent 6" w:locked="0" w:uiPriority="72"/>
    <w:lsdException w:name="Medium Shading 2 Accent 6" w:locked="0" w:uiPriority="73"/>
    <w:lsdException w:name="Medium List 1 Accent 6" w:locked="0" w:uiPriority="19" w:qFormat="1"/>
    <w:lsdException w:name="Medium List 2 Accent 6" w:locked="0" w:uiPriority="21" w:qFormat="1"/>
    <w:lsdException w:name="Medium Grid 1 Accent 6" w:locked="0" w:uiPriority="31" w:qFormat="1"/>
    <w:lsdException w:name="Medium Grid 2 Accent 6" w:locked="0" w:uiPriority="32" w:qFormat="1"/>
    <w:lsdException w:name="Medium Grid 3 Accent 6" w:locked="0" w:uiPriority="33" w:qFormat="1"/>
    <w:lsdException w:name="Dark List Accent 6" w:locked="0" w:semiHidden="1" w:uiPriority="37" w:unhideWhenUsed="1"/>
    <w:lsdException w:name="Colorful Shading Accent 6" w:locked="0" w:semiHidden="1" w:uiPriority="39" w:unhideWhenUsed="1" w:qFormat="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355F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355FEF"/>
    <w:pPr>
      <w:outlineLvl w:val="0"/>
    </w:pPr>
    <w:rPr>
      <w:rFonts w:eastAsia="Arial Unicode MS"/>
      <w:color w:val="000000"/>
      <w:sz w:val="24"/>
      <w:u w:color="000000"/>
      <w:lang w:val="en-US"/>
    </w:rPr>
  </w:style>
  <w:style w:type="character" w:styleId="Hyperlink">
    <w:name w:val="Hyperlink"/>
    <w:rsid w:val="00355FEF"/>
    <w:rPr>
      <w:sz w:val="20"/>
    </w:rPr>
  </w:style>
  <w:style w:type="paragraph" w:customStyle="1" w:styleId="List0">
    <w:name w:val="List 0"/>
    <w:basedOn w:val="ImportWordListStyleDefinition3"/>
    <w:semiHidden/>
    <w:rsid w:val="00355FEF"/>
    <w:pPr>
      <w:numPr>
        <w:numId w:val="1"/>
      </w:numPr>
      <w:ind w:left="0" w:firstLine="720"/>
    </w:pPr>
  </w:style>
  <w:style w:type="paragraph" w:customStyle="1" w:styleId="ImportWordListStyleDefinition3">
    <w:name w:val="Import Word List Style Definition 3"/>
    <w:rsid w:val="00355FEF"/>
    <w:pPr>
      <w:numPr>
        <w:numId w:val="2"/>
      </w:numPr>
    </w:pPr>
    <w:rPr>
      <w:lang w:val="en-US"/>
    </w:rPr>
  </w:style>
  <w:style w:type="paragraph" w:styleId="BalloonText">
    <w:name w:val="Balloon Text"/>
    <w:basedOn w:val="Normal"/>
    <w:link w:val="BalloonTextChar"/>
    <w:locked/>
    <w:rsid w:val="00A73461"/>
    <w:rPr>
      <w:rFonts w:ascii="Lucida Grande" w:hAnsi="Lucida Grande"/>
      <w:sz w:val="18"/>
      <w:szCs w:val="18"/>
    </w:rPr>
  </w:style>
  <w:style w:type="character" w:customStyle="1" w:styleId="BalloonTextChar">
    <w:name w:val="Balloon Text Char"/>
    <w:link w:val="BalloonText"/>
    <w:rsid w:val="00A73461"/>
    <w:rPr>
      <w:rFonts w:ascii="Lucida Grande" w:hAnsi="Lucida Grande"/>
      <w:sz w:val="18"/>
      <w:szCs w:val="18"/>
    </w:rPr>
  </w:style>
  <w:style w:type="paragraph" w:styleId="FootnoteText">
    <w:name w:val="footnote text"/>
    <w:aliases w:val="Voetnoottekst Char1,Voetnoottekst Char Char,Footnote Text Char Char Char Char Char Char,Voetnoottekst Char1 Char,Footnote Text Char Char Char Char Char1 Char,Voetnoottekst Char Char Char,fn"/>
    <w:basedOn w:val="Normal"/>
    <w:link w:val="FootnoteTextChar"/>
    <w:locked/>
    <w:rsid w:val="00B50E38"/>
  </w:style>
  <w:style w:type="character" w:customStyle="1" w:styleId="FootnoteTextChar">
    <w:name w:val="Footnote Text Char"/>
    <w:aliases w:val="Voetnoottekst Char1 Char1,Voetnoottekst Char Char Char1,Footnote Text Char Char Char Char Char Char Char,Voetnoottekst Char1 Char Char,Footnote Text Char Char Char Char Char1 Char Char,Voetnoottekst Char Char Char Char,fn Char"/>
    <w:link w:val="FootnoteText"/>
    <w:uiPriority w:val="99"/>
    <w:rsid w:val="00B50E38"/>
    <w:rPr>
      <w:sz w:val="24"/>
      <w:szCs w:val="24"/>
    </w:rPr>
  </w:style>
  <w:style w:type="character" w:styleId="FootnoteReference">
    <w:name w:val="footnote reference"/>
    <w:uiPriority w:val="99"/>
    <w:locked/>
    <w:rsid w:val="00B50E38"/>
    <w:rPr>
      <w:vertAlign w:val="superscript"/>
    </w:rPr>
  </w:style>
  <w:style w:type="character" w:styleId="FollowedHyperlink">
    <w:name w:val="FollowedHyperlink"/>
    <w:locked/>
    <w:rsid w:val="00E61799"/>
    <w:rPr>
      <w:color w:val="800080"/>
      <w:u w:val="single"/>
    </w:rPr>
  </w:style>
  <w:style w:type="paragraph" w:customStyle="1" w:styleId="Body">
    <w:name w:val="Body"/>
    <w:rsid w:val="003C3C11"/>
    <w:rPr>
      <w:rFonts w:eastAsia="ヒラギノ角ゴ Pro W3"/>
      <w:color w:val="000000"/>
      <w:sz w:val="24"/>
      <w:u w:color="000000"/>
      <w:lang w:val="en-US"/>
    </w:rPr>
  </w:style>
  <w:style w:type="character" w:customStyle="1" w:styleId="addmd">
    <w:name w:val="addmd"/>
    <w:basedOn w:val="DefaultParagraphFont"/>
    <w:rsid w:val="0000403A"/>
  </w:style>
  <w:style w:type="paragraph" w:styleId="Header">
    <w:name w:val="header"/>
    <w:basedOn w:val="Normal"/>
    <w:link w:val="HeaderChar"/>
    <w:locked/>
    <w:rsid w:val="00580B21"/>
    <w:pPr>
      <w:tabs>
        <w:tab w:val="center" w:pos="4513"/>
        <w:tab w:val="right" w:pos="9026"/>
      </w:tabs>
    </w:pPr>
  </w:style>
  <w:style w:type="character" w:customStyle="1" w:styleId="HeaderChar">
    <w:name w:val="Header Char"/>
    <w:basedOn w:val="DefaultParagraphFont"/>
    <w:link w:val="Header"/>
    <w:rsid w:val="00580B21"/>
    <w:rPr>
      <w:sz w:val="24"/>
      <w:szCs w:val="24"/>
    </w:rPr>
  </w:style>
  <w:style w:type="paragraph" w:styleId="Footer">
    <w:name w:val="footer"/>
    <w:basedOn w:val="Normal"/>
    <w:link w:val="FooterChar"/>
    <w:uiPriority w:val="99"/>
    <w:locked/>
    <w:rsid w:val="00580B21"/>
    <w:pPr>
      <w:tabs>
        <w:tab w:val="center" w:pos="4513"/>
        <w:tab w:val="right" w:pos="9026"/>
      </w:tabs>
    </w:pPr>
  </w:style>
  <w:style w:type="character" w:customStyle="1" w:styleId="FooterChar">
    <w:name w:val="Footer Char"/>
    <w:basedOn w:val="DefaultParagraphFont"/>
    <w:link w:val="Footer"/>
    <w:uiPriority w:val="99"/>
    <w:rsid w:val="00580B21"/>
    <w:rPr>
      <w:sz w:val="24"/>
      <w:szCs w:val="24"/>
    </w:rPr>
  </w:style>
  <w:style w:type="paragraph" w:customStyle="1" w:styleId="OpiPara">
    <w:name w:val="Opi_Para"/>
    <w:basedOn w:val="Normal"/>
    <w:rsid w:val="00973795"/>
    <w:pPr>
      <w:suppressAutoHyphens/>
      <w:ind w:firstLine="284"/>
      <w:jc w:val="both"/>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ohchr.org/en/professionalinterest/pages/ccpr.aspx" TargetMode="External"/><Relationship Id="rId1" Type="http://schemas.openxmlformats.org/officeDocument/2006/relationships/hyperlink" Target="http://human-rights-convention.org/the-tex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A1562E-C350-4944-B133-1AD1D163D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10282</Words>
  <Characters>53470</Characters>
  <Application>Microsoft Office Word</Application>
  <DocSecurity>0</DocSecurity>
  <Lines>445</Lines>
  <Paragraphs>127</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63625</CharactersWithSpaces>
  <SharedDoc>false</SharedDoc>
  <HLinks>
    <vt:vector size="18" baseType="variant">
      <vt:variant>
        <vt:i4>3407903</vt:i4>
      </vt:variant>
      <vt:variant>
        <vt:i4>6</vt:i4>
      </vt:variant>
      <vt:variant>
        <vt:i4>0</vt:i4>
      </vt:variant>
      <vt:variant>
        <vt:i4>5</vt:i4>
      </vt:variant>
      <vt:variant>
        <vt:lpwstr>http://treaties.un.org/pages/treaties.aspx?id=4&amp;subid=a&amp;lang=en</vt:lpwstr>
      </vt:variant>
      <vt:variant>
        <vt:lpwstr/>
      </vt:variant>
      <vt:variant>
        <vt:i4>7471211</vt:i4>
      </vt:variant>
      <vt:variant>
        <vt:i4>3</vt:i4>
      </vt:variant>
      <vt:variant>
        <vt:i4>0</vt:i4>
      </vt:variant>
      <vt:variant>
        <vt:i4>5</vt:i4>
      </vt:variant>
      <vt:variant>
        <vt:lpwstr>http://www2.ohchr.org/english/law/ccpr.htm</vt:lpwstr>
      </vt:variant>
      <vt:variant>
        <vt:lpwstr/>
      </vt:variant>
      <vt:variant>
        <vt:i4>1703993</vt:i4>
      </vt:variant>
      <vt:variant>
        <vt:i4>0</vt:i4>
      </vt:variant>
      <vt:variant>
        <vt:i4>0</vt:i4>
      </vt:variant>
      <vt:variant>
        <vt:i4>5</vt:i4>
      </vt:variant>
      <vt:variant>
        <vt:lpwstr>http://human-rights-convention.org/the-texts/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dc:creator>
  <cp:lastModifiedBy>Fijalkowski, Agata</cp:lastModifiedBy>
  <cp:revision>2</cp:revision>
  <dcterms:created xsi:type="dcterms:W3CDTF">2014-04-23T14:01:00Z</dcterms:created>
  <dcterms:modified xsi:type="dcterms:W3CDTF">2014-04-23T14:01:00Z</dcterms:modified>
</cp:coreProperties>
</file>