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E5F" w:rsidRDefault="006F4E5F" w:rsidP="00796925">
      <w:pPr>
        <w:spacing w:line="240" w:lineRule="auto"/>
        <w:rPr>
          <w:rFonts w:ascii="Calibri" w:eastAsia="Times New Roman" w:hAnsi="Calibri" w:cs="Calibri"/>
          <w:b/>
          <w:sz w:val="40"/>
          <w:szCs w:val="40"/>
          <w:lang w:eastAsia="en-GB"/>
        </w:rPr>
      </w:pPr>
      <w:bookmarkStart w:id="0" w:name="_GoBack"/>
      <w:bookmarkEnd w:id="0"/>
      <w:r w:rsidRPr="00B11341">
        <w:rPr>
          <w:rFonts w:ascii="Calibri" w:eastAsia="Times New Roman" w:hAnsi="Calibri" w:cs="Calibri"/>
          <w:b/>
          <w:sz w:val="40"/>
          <w:szCs w:val="40"/>
          <w:lang w:eastAsia="en-GB"/>
        </w:rPr>
        <w:t xml:space="preserve">SBME: </w:t>
      </w:r>
      <w:r w:rsidR="00B11341" w:rsidRPr="00B11341">
        <w:rPr>
          <w:rFonts w:ascii="Calibri" w:eastAsia="Times New Roman" w:hAnsi="Calibri" w:cs="Calibri"/>
          <w:b/>
          <w:sz w:val="40"/>
          <w:szCs w:val="40"/>
          <w:lang w:eastAsia="en-GB"/>
        </w:rPr>
        <w:t xml:space="preserve">Exploring </w:t>
      </w:r>
      <w:r w:rsidRPr="00B11341">
        <w:rPr>
          <w:rFonts w:ascii="Calibri" w:eastAsia="Times New Roman" w:hAnsi="Calibri" w:cs="Calibri"/>
          <w:b/>
          <w:sz w:val="40"/>
          <w:szCs w:val="40"/>
          <w:lang w:eastAsia="en-GB"/>
        </w:rPr>
        <w:t>boundaries between formal, non-formal, and informal learning</w:t>
      </w:r>
    </w:p>
    <w:p w:rsidR="004A2917" w:rsidRPr="004A2917" w:rsidRDefault="004A2917" w:rsidP="00F515B2">
      <w:pPr>
        <w:spacing w:line="240" w:lineRule="auto"/>
        <w:rPr>
          <w:rFonts w:ascii="Calibri" w:eastAsia="Times New Roman" w:hAnsi="Calibri" w:cs="Calibri"/>
          <w:b/>
          <w:lang w:eastAsia="en-GB"/>
        </w:rPr>
      </w:pPr>
      <w:r w:rsidRPr="00B11341">
        <w:rPr>
          <w:rFonts w:ascii="Calibri" w:eastAsia="Times New Roman" w:hAnsi="Calibri" w:cs="Calibri"/>
          <w:b/>
          <w:lang w:eastAsia="en-GB"/>
        </w:rPr>
        <w:t>Armineh Shahoumian, Lancaster University, Gale Parchoma, University of Calgary,       Murray Saunders, Lancaster University, Jacky Hanson, Mike Dickinson, Mark Pimblett, Lancashire Teaching Hospitals</w:t>
      </w:r>
    </w:p>
    <w:p w:rsidR="006F4E5F" w:rsidRPr="00615D1E" w:rsidRDefault="006F4E5F" w:rsidP="00F515B2">
      <w:pPr>
        <w:spacing w:line="240" w:lineRule="auto"/>
        <w:rPr>
          <w:b/>
          <w:bCs/>
        </w:rPr>
      </w:pPr>
      <w:r>
        <w:rPr>
          <w:b/>
          <w:bCs/>
        </w:rPr>
        <w:t>Background/Context</w:t>
      </w:r>
    </w:p>
    <w:p w:rsidR="006F4E5F" w:rsidRPr="001E379A" w:rsidRDefault="006F4E5F" w:rsidP="00F515B2">
      <w:pPr>
        <w:spacing w:line="240" w:lineRule="auto"/>
      </w:pPr>
      <w:r>
        <w:t>In medical education learning extends beyond university settings into practice. Non-formal and informal learning support learners’ efforts</w:t>
      </w:r>
      <w:r w:rsidRPr="001E379A">
        <w:t xml:space="preserve"> to meet </w:t>
      </w:r>
      <w:r>
        <w:t xml:space="preserve">externally set and learner-identified </w:t>
      </w:r>
      <w:r w:rsidRPr="001E379A">
        <w:t>objective</w:t>
      </w:r>
      <w:r>
        <w:t>s.</w:t>
      </w:r>
      <w:r w:rsidRPr="001E379A">
        <w:t xml:space="preserve"> In SBME research, </w:t>
      </w:r>
      <w:r>
        <w:t>boundaries between formal, non-formal, and informal learning have not</w:t>
      </w:r>
      <w:r w:rsidRPr="001E379A">
        <w:t xml:space="preserve"> been widely explored</w:t>
      </w:r>
      <w:r>
        <w:t>. Whether SBME fits within or challenges these categories can make</w:t>
      </w:r>
      <w:r w:rsidRPr="001E379A">
        <w:t xml:space="preserve"> a </w:t>
      </w:r>
      <w:r>
        <w:t>contribution</w:t>
      </w:r>
      <w:r w:rsidRPr="001E379A">
        <w:t>.</w:t>
      </w:r>
    </w:p>
    <w:p w:rsidR="006F4E5F" w:rsidRDefault="001A6C88" w:rsidP="00F515B2">
      <w:pPr>
        <w:spacing w:line="240" w:lineRule="auto"/>
      </w:pPr>
      <w:r>
        <w:t xml:space="preserve">Formal learning is described in relation to </w:t>
      </w:r>
      <w:r w:rsidR="006F4E5F">
        <w:t>educational</w:t>
      </w:r>
      <w:r w:rsidR="006F4E5F" w:rsidRPr="00B0694A">
        <w:t xml:space="preserve"> </w:t>
      </w:r>
      <w:r w:rsidR="006F4E5F">
        <w:t xml:space="preserve">settings, </w:t>
      </w:r>
      <w:r w:rsidR="006F4E5F" w:rsidRPr="00B0694A">
        <w:t xml:space="preserve">planning, </w:t>
      </w:r>
      <w:r w:rsidR="006F4E5F">
        <w:t xml:space="preserve">assessment, and accreditation. Informal learning results from workplace-, home- and community-based activities (Werquin, 2012), often lacks assessment, and can include incidental learning as an unanticipated consequence </w:t>
      </w:r>
      <w:r w:rsidR="006F4E5F" w:rsidRPr="00B3125B">
        <w:rPr>
          <w:noProof/>
        </w:rPr>
        <w:t>(Marsick &amp; Watkins, 1990)</w:t>
      </w:r>
      <w:r w:rsidR="00143CA3">
        <w:t xml:space="preserve">. Non-formal learning is </w:t>
      </w:r>
      <w:r w:rsidR="006F4E5F">
        <w:t xml:space="preserve">structured in terms of learning objectives, time, and support </w:t>
      </w:r>
      <w:r w:rsidR="006F4E5F" w:rsidRPr="001E379A">
        <w:t>(</w:t>
      </w:r>
      <w:r w:rsidR="006F4E5F">
        <w:t>Colley et al., 2002</w:t>
      </w:r>
      <w:r w:rsidR="006F4E5F" w:rsidRPr="001E379A">
        <w:t>)</w:t>
      </w:r>
      <w:r w:rsidR="006F4E5F">
        <w:t xml:space="preserve">, but focused on formative assessment within practical experience. </w:t>
      </w:r>
    </w:p>
    <w:p w:rsidR="006F4E5F" w:rsidRDefault="006F4E5F" w:rsidP="00F515B2">
      <w:pPr>
        <w:spacing w:line="240" w:lineRule="auto"/>
      </w:pPr>
      <w:r>
        <w:t xml:space="preserve">This study investigates practices </w:t>
      </w:r>
      <w:r w:rsidRPr="006770E4">
        <w:t xml:space="preserve">in </w:t>
      </w:r>
      <w:r>
        <w:t>a simulation centre, where SBME attempts to address “</w:t>
      </w:r>
      <w:r w:rsidRPr="003E2306">
        <w:t>quality and risk</w:t>
      </w:r>
      <w:r>
        <w:t xml:space="preserve"> </w:t>
      </w:r>
      <w:r w:rsidRPr="003E2306">
        <w:t>management activities” (Gaba, 2004</w:t>
      </w:r>
      <w:r>
        <w:t>, p.i3</w:t>
      </w:r>
      <w:r w:rsidRPr="003E2306">
        <w:t>)</w:t>
      </w:r>
      <w:r>
        <w:t>.</w:t>
      </w:r>
    </w:p>
    <w:p w:rsidR="006F4E5F" w:rsidRPr="00AC3E89" w:rsidRDefault="006F4E5F" w:rsidP="00F515B2">
      <w:pPr>
        <w:spacing w:line="240" w:lineRule="auto"/>
        <w:rPr>
          <w:b/>
          <w:bCs/>
        </w:rPr>
      </w:pPr>
      <w:r w:rsidRPr="00AC3E89">
        <w:rPr>
          <w:b/>
          <w:bCs/>
        </w:rPr>
        <w:t>Research Question</w:t>
      </w:r>
      <w:r>
        <w:rPr>
          <w:b/>
          <w:bCs/>
        </w:rPr>
        <w:t>s</w:t>
      </w:r>
      <w:r w:rsidRPr="00AC3E89">
        <w:rPr>
          <w:b/>
          <w:bCs/>
        </w:rPr>
        <w:t>:</w:t>
      </w:r>
    </w:p>
    <w:p w:rsidR="006F4E5F" w:rsidRDefault="006F4E5F" w:rsidP="00F515B2">
      <w:pPr>
        <w:numPr>
          <w:ilvl w:val="0"/>
          <w:numId w:val="2"/>
        </w:numPr>
        <w:spacing w:line="240" w:lineRule="auto"/>
      </w:pPr>
      <w:r>
        <w:t>To what extent do SBME activities fit into the categories of formal, informal and non-formal learning?</w:t>
      </w:r>
    </w:p>
    <w:p w:rsidR="006F4E5F" w:rsidRPr="00932787" w:rsidRDefault="00143CA3" w:rsidP="00F515B2">
      <w:pPr>
        <w:numPr>
          <w:ilvl w:val="0"/>
          <w:numId w:val="2"/>
        </w:numPr>
        <w:spacing w:line="240" w:lineRule="auto"/>
      </w:pPr>
      <w:r>
        <w:t>What are learners’</w:t>
      </w:r>
      <w:r w:rsidR="004A2917">
        <w:t>/</w:t>
      </w:r>
      <w:r w:rsidR="006F4E5F">
        <w:t>facilitators’ perceptions of learning taking place across briefing, simulation, and debriefing activities?</w:t>
      </w:r>
      <w:r w:rsidR="006F4E5F" w:rsidRPr="00615D1E">
        <w:rPr>
          <w:b/>
          <w:bCs/>
        </w:rPr>
        <w:t xml:space="preserve"> </w:t>
      </w:r>
    </w:p>
    <w:p w:rsidR="006F4E5F" w:rsidRDefault="006F4E5F" w:rsidP="00F515B2">
      <w:pPr>
        <w:spacing w:line="240" w:lineRule="auto"/>
        <w:rPr>
          <w:b/>
          <w:bCs/>
        </w:rPr>
      </w:pPr>
      <w:r w:rsidRPr="00615D1E">
        <w:rPr>
          <w:b/>
          <w:bCs/>
        </w:rPr>
        <w:t>Methods</w:t>
      </w:r>
    </w:p>
    <w:p w:rsidR="006F4E5F" w:rsidRPr="007F4DC8" w:rsidRDefault="006F4E5F" w:rsidP="00F515B2">
      <w:pPr>
        <w:pStyle w:val="Default"/>
        <w:rPr>
          <w:rFonts w:ascii="Times New Roman" w:hAnsi="Times New Roman" w:cs="Times New Roman"/>
          <w:color w:val="auto"/>
          <w:lang w:eastAsia="en-US"/>
        </w:rPr>
      </w:pPr>
      <w:r w:rsidRPr="007F4DC8">
        <w:rPr>
          <w:rFonts w:ascii="Times New Roman" w:hAnsi="Times New Roman" w:cs="Times New Roman"/>
          <w:color w:val="auto"/>
          <w:lang w:eastAsia="en-US"/>
        </w:rPr>
        <w:t xml:space="preserve">This qualitative case study examines SBME </w:t>
      </w:r>
      <w:r>
        <w:rPr>
          <w:rFonts w:ascii="Times New Roman" w:hAnsi="Times New Roman" w:cs="Times New Roman"/>
          <w:color w:val="auto"/>
          <w:lang w:eastAsia="en-US"/>
        </w:rPr>
        <w:t>in practice</w:t>
      </w:r>
      <w:r w:rsidRPr="007F4DC8">
        <w:rPr>
          <w:rFonts w:ascii="Times New Roman" w:hAnsi="Times New Roman" w:cs="Times New Roman"/>
          <w:color w:val="auto"/>
          <w:lang w:eastAsia="en-US"/>
        </w:rPr>
        <w:t xml:space="preserve"> through </w:t>
      </w:r>
      <w:r>
        <w:rPr>
          <w:rFonts w:ascii="Times New Roman" w:hAnsi="Times New Roman" w:cs="Times New Roman"/>
          <w:color w:val="auto"/>
          <w:lang w:eastAsia="en-US"/>
        </w:rPr>
        <w:t>observations and interviews</w:t>
      </w:r>
      <w:r w:rsidRPr="007F4DC8">
        <w:rPr>
          <w:rFonts w:ascii="Times New Roman" w:hAnsi="Times New Roman" w:cs="Times New Roman"/>
          <w:color w:val="auto"/>
          <w:lang w:eastAsia="en-US"/>
        </w:rPr>
        <w:t xml:space="preserve">. </w:t>
      </w:r>
      <w:r>
        <w:rPr>
          <w:rFonts w:ascii="Times New Roman" w:hAnsi="Times New Roman" w:cs="Times New Roman"/>
          <w:color w:val="auto"/>
          <w:lang w:eastAsia="en-US"/>
        </w:rPr>
        <w:t>Ninety third-</w:t>
      </w:r>
      <w:r w:rsidRPr="007F4DC8">
        <w:rPr>
          <w:rFonts w:ascii="Times New Roman" w:hAnsi="Times New Roman" w:cs="Times New Roman"/>
          <w:color w:val="auto"/>
          <w:lang w:eastAsia="en-US"/>
        </w:rPr>
        <w:t>year medical students</w:t>
      </w:r>
      <w:r>
        <w:rPr>
          <w:rFonts w:ascii="Times New Roman" w:hAnsi="Times New Roman" w:cs="Times New Roman"/>
          <w:color w:val="auto"/>
          <w:lang w:eastAsia="en-US"/>
        </w:rPr>
        <w:t xml:space="preserve"> participated: fourteen were</w:t>
      </w:r>
      <w:r w:rsidR="00796925">
        <w:rPr>
          <w:rFonts w:ascii="Times New Roman" w:hAnsi="Times New Roman" w:cs="Times New Roman"/>
          <w:color w:val="auto"/>
          <w:lang w:eastAsia="en-US"/>
        </w:rPr>
        <w:t xml:space="preserve"> interviewed. Eighteen sessions </w:t>
      </w:r>
      <w:r>
        <w:rPr>
          <w:rFonts w:ascii="Times New Roman" w:hAnsi="Times New Roman" w:cs="Times New Roman"/>
          <w:color w:val="auto"/>
          <w:lang w:eastAsia="en-US"/>
        </w:rPr>
        <w:t xml:space="preserve">were observed. </w:t>
      </w:r>
      <w:r w:rsidRPr="007F4DC8">
        <w:rPr>
          <w:rFonts w:ascii="Times New Roman" w:hAnsi="Times New Roman" w:cs="Times New Roman"/>
          <w:color w:val="auto"/>
          <w:lang w:eastAsia="en-US"/>
        </w:rPr>
        <w:t xml:space="preserve">Data analysis </w:t>
      </w:r>
      <w:r>
        <w:rPr>
          <w:rFonts w:ascii="Times New Roman" w:hAnsi="Times New Roman" w:cs="Times New Roman"/>
          <w:color w:val="auto"/>
          <w:lang w:eastAsia="en-US"/>
        </w:rPr>
        <w:t>was conducted in a five-phase</w:t>
      </w:r>
      <w:r w:rsidR="004A2917">
        <w:rPr>
          <w:rFonts w:ascii="Times New Roman" w:hAnsi="Times New Roman" w:cs="Times New Roman"/>
          <w:color w:val="auto"/>
          <w:lang w:eastAsia="en-US"/>
        </w:rPr>
        <w:t xml:space="preserve"> cycle </w:t>
      </w:r>
      <w:r w:rsidRPr="007F4DC8">
        <w:rPr>
          <w:rFonts w:ascii="Times New Roman" w:hAnsi="Times New Roman" w:cs="Times New Roman"/>
          <w:color w:val="auto"/>
          <w:lang w:eastAsia="en-US"/>
        </w:rPr>
        <w:t xml:space="preserve">including compiling, disassembling, reassembling, interpreting, and concluding. </w:t>
      </w:r>
    </w:p>
    <w:p w:rsidR="006F4E5F" w:rsidRDefault="006F4E5F" w:rsidP="00F515B2">
      <w:pPr>
        <w:spacing w:line="240" w:lineRule="auto"/>
        <w:rPr>
          <w:b/>
          <w:bCs/>
        </w:rPr>
      </w:pPr>
    </w:p>
    <w:p w:rsidR="006F4E5F" w:rsidRDefault="006F4E5F" w:rsidP="00F515B2">
      <w:pPr>
        <w:spacing w:line="240" w:lineRule="auto"/>
        <w:rPr>
          <w:b/>
          <w:bCs/>
        </w:rPr>
      </w:pPr>
      <w:r w:rsidRPr="007F4DC8">
        <w:rPr>
          <w:b/>
          <w:bCs/>
        </w:rPr>
        <w:t>Results</w:t>
      </w:r>
    </w:p>
    <w:p w:rsidR="00B11341" w:rsidRPr="00143CA3" w:rsidRDefault="006F4E5F" w:rsidP="00F515B2">
      <w:pPr>
        <w:spacing w:line="240" w:lineRule="auto"/>
      </w:pPr>
      <w:r>
        <w:t>While students discuss SBME support for achieving formal outcomes, observations reveal hidden learning within the context. Although there are set objectives for SBME sessions, a significant amount of taken-for-granted learning may indirectly improve lear</w:t>
      </w:r>
      <w:r w:rsidR="004A2917">
        <w:t>ners’ clinical and</w:t>
      </w:r>
      <w:r>
        <w:t xml:space="preserve"> human factor performances. </w:t>
      </w:r>
    </w:p>
    <w:p w:rsidR="004A2917" w:rsidRDefault="004A2917" w:rsidP="00F515B2">
      <w:pPr>
        <w:spacing w:line="240" w:lineRule="auto"/>
        <w:rPr>
          <w:b/>
          <w:bCs/>
        </w:rPr>
      </w:pPr>
    </w:p>
    <w:p w:rsidR="004A2917" w:rsidRDefault="004A2917" w:rsidP="00F515B2">
      <w:pPr>
        <w:spacing w:line="240" w:lineRule="auto"/>
        <w:rPr>
          <w:b/>
          <w:bCs/>
        </w:rPr>
      </w:pPr>
    </w:p>
    <w:p w:rsidR="006F4E5F" w:rsidRPr="00560F97" w:rsidRDefault="006F4E5F" w:rsidP="00F515B2">
      <w:pPr>
        <w:spacing w:line="240" w:lineRule="auto"/>
      </w:pPr>
      <w:r>
        <w:rPr>
          <w:b/>
          <w:bCs/>
        </w:rPr>
        <w:lastRenderedPageBreak/>
        <w:t>Discussion</w:t>
      </w:r>
    </w:p>
    <w:p w:rsidR="006F4E5F" w:rsidRDefault="006F4E5F" w:rsidP="00F515B2">
      <w:pPr>
        <w:spacing w:line="240" w:lineRule="auto"/>
      </w:pPr>
      <w:r>
        <w:t xml:space="preserve">Whilst non-formal learning is valued by facilitators for providing nearly risk-free opportunities for “trial and error experimentation” (Marsick &amp; Watkins, 1990, p.12), preliminary results suggest </w:t>
      </w:r>
      <w:r w:rsidR="004A2917">
        <w:t xml:space="preserve">examining </w:t>
      </w:r>
      <w:r>
        <w:t>i</w:t>
      </w:r>
      <w:r w:rsidR="004A2917">
        <w:t xml:space="preserve">nformal and incidental learning will also </w:t>
      </w:r>
      <w:r>
        <w:t xml:space="preserve">provide a </w:t>
      </w:r>
      <w:r w:rsidR="00143CA3">
        <w:t>comprehensive</w:t>
      </w:r>
      <w:r w:rsidR="004A2917">
        <w:t xml:space="preserve"> understanding of </w:t>
      </w:r>
      <w:r>
        <w:t>SBME.</w:t>
      </w:r>
    </w:p>
    <w:p w:rsidR="006F4E5F" w:rsidRPr="00C838EA" w:rsidRDefault="006F4E5F" w:rsidP="00462D5D">
      <w:pPr>
        <w:spacing w:line="360" w:lineRule="auto"/>
        <w:rPr>
          <w:b/>
          <w:bCs/>
        </w:rPr>
      </w:pPr>
      <w:r w:rsidRPr="00C838EA">
        <w:rPr>
          <w:b/>
          <w:bCs/>
        </w:rPr>
        <w:t>Ref</w:t>
      </w:r>
      <w:r>
        <w:rPr>
          <w:b/>
          <w:bCs/>
        </w:rPr>
        <w:t>e</w:t>
      </w:r>
      <w:r w:rsidRPr="00C838EA">
        <w:rPr>
          <w:b/>
          <w:bCs/>
        </w:rPr>
        <w:t>rences</w:t>
      </w:r>
      <w:r>
        <w:rPr>
          <w:b/>
          <w:bCs/>
        </w:rPr>
        <w:t>:</w:t>
      </w:r>
    </w:p>
    <w:p w:rsidR="006F4E5F" w:rsidRDefault="006F4E5F" w:rsidP="00462D5D">
      <w:pPr>
        <w:spacing w:line="240" w:lineRule="auto"/>
        <w:ind w:left="567" w:hanging="567"/>
        <w:rPr>
          <w:lang w:val="en-US"/>
        </w:rPr>
      </w:pPr>
      <w:r>
        <w:t xml:space="preserve">Colley, H., Hodkinson, P. and Malcolm, J. (2002). Non-formal learning: Mapping the conceptual terrain: A consultation report. Leeds: Lifelong Learning Institute. </w:t>
      </w:r>
    </w:p>
    <w:p w:rsidR="006F4E5F" w:rsidRDefault="006F4E5F" w:rsidP="00462D5D">
      <w:pPr>
        <w:spacing w:line="240" w:lineRule="auto"/>
        <w:ind w:left="567" w:hanging="567"/>
      </w:pPr>
      <w:r>
        <w:rPr>
          <w:lang w:val="en-US"/>
        </w:rPr>
        <w:t xml:space="preserve">Gaba, D.M. </w:t>
      </w:r>
      <w:r w:rsidRPr="008B1625">
        <w:rPr>
          <w:lang w:val="en-US"/>
        </w:rPr>
        <w:t xml:space="preserve">(2004). The future vision of simulation in health care. </w:t>
      </w:r>
      <w:r>
        <w:rPr>
          <w:i/>
          <w:iCs/>
          <w:lang w:val="en-US"/>
        </w:rPr>
        <w:t xml:space="preserve">Quality </w:t>
      </w:r>
      <w:r w:rsidRPr="008B1625">
        <w:rPr>
          <w:i/>
          <w:iCs/>
          <w:lang w:val="en-US"/>
        </w:rPr>
        <w:t>Saf</w:t>
      </w:r>
      <w:r>
        <w:rPr>
          <w:i/>
          <w:iCs/>
          <w:lang w:val="en-US"/>
        </w:rPr>
        <w:t xml:space="preserve">ety Health </w:t>
      </w:r>
      <w:r w:rsidRPr="008B1625">
        <w:rPr>
          <w:i/>
          <w:iCs/>
          <w:lang w:val="en-US"/>
        </w:rPr>
        <w:t>Care;</w:t>
      </w:r>
      <w:r>
        <w:rPr>
          <w:lang w:val="en-US"/>
        </w:rPr>
        <w:t xml:space="preserve"> 13 (Supplement 1), i2–i10</w:t>
      </w:r>
      <w:r w:rsidRPr="008B1625">
        <w:rPr>
          <w:lang w:val="en-US"/>
        </w:rPr>
        <w:t>.</w:t>
      </w:r>
    </w:p>
    <w:p w:rsidR="006F4E5F" w:rsidRDefault="006F4E5F" w:rsidP="00462D5D">
      <w:pPr>
        <w:spacing w:line="240" w:lineRule="auto"/>
        <w:ind w:left="567" w:hanging="567"/>
        <w:rPr>
          <w:lang w:val="en-US"/>
        </w:rPr>
      </w:pPr>
      <w:r>
        <w:rPr>
          <w:lang w:val="en-US"/>
        </w:rPr>
        <w:t xml:space="preserve">Marsick, V.J., &amp; Watkins, K.E. (1990). </w:t>
      </w:r>
      <w:r w:rsidRPr="00893660">
        <w:rPr>
          <w:lang w:val="en-US"/>
        </w:rPr>
        <w:t xml:space="preserve">Informal and </w:t>
      </w:r>
      <w:r>
        <w:rPr>
          <w:lang w:val="en-US"/>
        </w:rPr>
        <w:t>i</w:t>
      </w:r>
      <w:r w:rsidRPr="00893660">
        <w:rPr>
          <w:lang w:val="en-US"/>
        </w:rPr>
        <w:t xml:space="preserve">ncidental </w:t>
      </w:r>
      <w:r>
        <w:rPr>
          <w:lang w:val="en-US"/>
        </w:rPr>
        <w:t>l</w:t>
      </w:r>
      <w:r w:rsidRPr="00893660">
        <w:rPr>
          <w:lang w:val="en-US"/>
        </w:rPr>
        <w:t xml:space="preserve">earning in the </w:t>
      </w:r>
      <w:r>
        <w:rPr>
          <w:lang w:val="en-US"/>
        </w:rPr>
        <w:t>w</w:t>
      </w:r>
      <w:r w:rsidRPr="00893660">
        <w:rPr>
          <w:lang w:val="en-US"/>
        </w:rPr>
        <w:t>orkplace</w:t>
      </w:r>
      <w:r>
        <w:rPr>
          <w:lang w:val="en-US"/>
        </w:rPr>
        <w:t>. New York: Routledge.</w:t>
      </w:r>
    </w:p>
    <w:p w:rsidR="006F4E5F" w:rsidRDefault="006F4E5F" w:rsidP="00462D5D">
      <w:pPr>
        <w:spacing w:line="240" w:lineRule="auto"/>
        <w:ind w:left="567" w:hanging="567"/>
        <w:rPr>
          <w:lang w:val="en-US"/>
        </w:rPr>
      </w:pPr>
      <w:r w:rsidRPr="00924B1F">
        <w:rPr>
          <w:lang w:val="en-US"/>
        </w:rPr>
        <w:t>Werquin</w:t>
      </w:r>
      <w:r>
        <w:rPr>
          <w:lang w:val="en-US"/>
        </w:rPr>
        <w:t xml:space="preserve">, P., (2012). </w:t>
      </w:r>
      <w:r w:rsidRPr="00924B1F">
        <w:rPr>
          <w:lang w:val="en-US"/>
        </w:rPr>
        <w:t>The missing link to connect education and</w:t>
      </w:r>
      <w:r>
        <w:rPr>
          <w:lang w:val="en-US"/>
        </w:rPr>
        <w:t xml:space="preserve"> </w:t>
      </w:r>
      <w:r w:rsidRPr="00924B1F">
        <w:rPr>
          <w:lang w:val="en-US"/>
        </w:rPr>
        <w:t xml:space="preserve">employment: </w:t>
      </w:r>
      <w:r>
        <w:rPr>
          <w:lang w:val="en-US"/>
        </w:rPr>
        <w:t>R</w:t>
      </w:r>
      <w:r w:rsidRPr="00924B1F">
        <w:rPr>
          <w:lang w:val="en-US"/>
        </w:rPr>
        <w:t>ecognition of non-formal</w:t>
      </w:r>
      <w:r>
        <w:rPr>
          <w:lang w:val="en-US"/>
        </w:rPr>
        <w:t xml:space="preserve"> and informal learning outcomes</w:t>
      </w:r>
      <w:r w:rsidRPr="00924B1F">
        <w:rPr>
          <w:lang w:val="en-US"/>
        </w:rPr>
        <w:t xml:space="preserve">, </w:t>
      </w:r>
      <w:r w:rsidRPr="00924B1F">
        <w:rPr>
          <w:i/>
          <w:iCs/>
          <w:lang w:val="en-US"/>
        </w:rPr>
        <w:t>Journal of Education and Work</w:t>
      </w:r>
      <w:r w:rsidRPr="00924B1F">
        <w:rPr>
          <w:lang w:val="en-US"/>
        </w:rPr>
        <w:t>, 25</w:t>
      </w:r>
      <w:r>
        <w:rPr>
          <w:lang w:val="en-US"/>
        </w:rPr>
        <w:t>(</w:t>
      </w:r>
      <w:r w:rsidRPr="00924B1F">
        <w:rPr>
          <w:lang w:val="en-US"/>
        </w:rPr>
        <w:t>3</w:t>
      </w:r>
      <w:r>
        <w:rPr>
          <w:lang w:val="en-US"/>
        </w:rPr>
        <w:t xml:space="preserve">), </w:t>
      </w:r>
      <w:r w:rsidRPr="00924B1F">
        <w:rPr>
          <w:lang w:val="en-US"/>
        </w:rPr>
        <w:t>259-278</w:t>
      </w:r>
      <w:r>
        <w:rPr>
          <w:lang w:val="en-US"/>
        </w:rPr>
        <w:t>.</w:t>
      </w:r>
    </w:p>
    <w:p w:rsidR="006F4E5F" w:rsidRDefault="006F4E5F"/>
    <w:sectPr w:rsidR="006F4E5F" w:rsidSect="00E1702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19D9" w:rsidRDefault="003419D9" w:rsidP="00C30550">
      <w:pPr>
        <w:spacing w:after="0" w:line="240" w:lineRule="auto"/>
      </w:pPr>
      <w:r>
        <w:separator/>
      </w:r>
    </w:p>
  </w:endnote>
  <w:endnote w:type="continuationSeparator" w:id="0">
    <w:p w:rsidR="003419D9" w:rsidRDefault="003419D9" w:rsidP="00C30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yriad Pro">
    <w:altName w:val="Myriad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4E5F" w:rsidRDefault="003419D9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6754C">
      <w:rPr>
        <w:noProof/>
      </w:rPr>
      <w:t>1</w:t>
    </w:r>
    <w:r>
      <w:rPr>
        <w:noProof/>
      </w:rPr>
      <w:fldChar w:fldCharType="end"/>
    </w:r>
  </w:p>
  <w:p w:rsidR="006F4E5F" w:rsidRDefault="006F4E5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19D9" w:rsidRDefault="003419D9" w:rsidP="00C30550">
      <w:pPr>
        <w:spacing w:after="0" w:line="240" w:lineRule="auto"/>
      </w:pPr>
      <w:r>
        <w:separator/>
      </w:r>
    </w:p>
  </w:footnote>
  <w:footnote w:type="continuationSeparator" w:id="0">
    <w:p w:rsidR="003419D9" w:rsidRDefault="003419D9" w:rsidP="00C305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4E5F" w:rsidRDefault="006F4E5F">
    <w:pPr>
      <w:pStyle w:val="Header"/>
    </w:pPr>
    <w:r>
      <w:t>ASPiH Conference 2013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BB7ACFC6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cs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cs="Wingdings" w:hint="default"/>
      </w:rPr>
    </w:lvl>
  </w:abstractNum>
  <w:abstractNum w:abstractNumId="1">
    <w:nsid w:val="47112196"/>
    <w:multiLevelType w:val="hybridMultilevel"/>
    <w:tmpl w:val="0152E9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D5D"/>
    <w:rsid w:val="00064491"/>
    <w:rsid w:val="000665EC"/>
    <w:rsid w:val="0007193F"/>
    <w:rsid w:val="000946B5"/>
    <w:rsid w:val="000D6A53"/>
    <w:rsid w:val="00143CA3"/>
    <w:rsid w:val="001A6C88"/>
    <w:rsid w:val="001D1BD8"/>
    <w:rsid w:val="001E379A"/>
    <w:rsid w:val="00227E66"/>
    <w:rsid w:val="00280C9A"/>
    <w:rsid w:val="002C1C4D"/>
    <w:rsid w:val="003419D9"/>
    <w:rsid w:val="00345D4E"/>
    <w:rsid w:val="00371567"/>
    <w:rsid w:val="003B499D"/>
    <w:rsid w:val="003B4ED4"/>
    <w:rsid w:val="003E2306"/>
    <w:rsid w:val="003E7E76"/>
    <w:rsid w:val="003F122C"/>
    <w:rsid w:val="00462D5D"/>
    <w:rsid w:val="004A2917"/>
    <w:rsid w:val="004B5D70"/>
    <w:rsid w:val="004D3527"/>
    <w:rsid w:val="005228EA"/>
    <w:rsid w:val="00530485"/>
    <w:rsid w:val="00544A27"/>
    <w:rsid w:val="00560F97"/>
    <w:rsid w:val="00591419"/>
    <w:rsid w:val="005A06D1"/>
    <w:rsid w:val="00615D1E"/>
    <w:rsid w:val="00664B43"/>
    <w:rsid w:val="006770E4"/>
    <w:rsid w:val="006C0436"/>
    <w:rsid w:val="006D1861"/>
    <w:rsid w:val="006F4E5F"/>
    <w:rsid w:val="00710202"/>
    <w:rsid w:val="00722E72"/>
    <w:rsid w:val="00732661"/>
    <w:rsid w:val="00742139"/>
    <w:rsid w:val="00796925"/>
    <w:rsid w:val="007D05E5"/>
    <w:rsid w:val="007E4998"/>
    <w:rsid w:val="007F4DC8"/>
    <w:rsid w:val="00807DFE"/>
    <w:rsid w:val="00862F5C"/>
    <w:rsid w:val="00893660"/>
    <w:rsid w:val="008B1625"/>
    <w:rsid w:val="008B72A3"/>
    <w:rsid w:val="009005C4"/>
    <w:rsid w:val="00924B1F"/>
    <w:rsid w:val="00932787"/>
    <w:rsid w:val="0096754C"/>
    <w:rsid w:val="00984AA2"/>
    <w:rsid w:val="009975F3"/>
    <w:rsid w:val="009A4418"/>
    <w:rsid w:val="009C0227"/>
    <w:rsid w:val="009C6B3F"/>
    <w:rsid w:val="009C7895"/>
    <w:rsid w:val="00A1192B"/>
    <w:rsid w:val="00A357B4"/>
    <w:rsid w:val="00A53A4F"/>
    <w:rsid w:val="00AC3E89"/>
    <w:rsid w:val="00AC5185"/>
    <w:rsid w:val="00B0694A"/>
    <w:rsid w:val="00B11341"/>
    <w:rsid w:val="00B3125B"/>
    <w:rsid w:val="00B41754"/>
    <w:rsid w:val="00BE1902"/>
    <w:rsid w:val="00C30550"/>
    <w:rsid w:val="00C52296"/>
    <w:rsid w:val="00C5272C"/>
    <w:rsid w:val="00C838EA"/>
    <w:rsid w:val="00CF5678"/>
    <w:rsid w:val="00CF7563"/>
    <w:rsid w:val="00D073FA"/>
    <w:rsid w:val="00D07EDD"/>
    <w:rsid w:val="00D67820"/>
    <w:rsid w:val="00D73362"/>
    <w:rsid w:val="00D85017"/>
    <w:rsid w:val="00D911B6"/>
    <w:rsid w:val="00DE7BDD"/>
    <w:rsid w:val="00E17026"/>
    <w:rsid w:val="00E2764E"/>
    <w:rsid w:val="00E4238A"/>
    <w:rsid w:val="00E77BAD"/>
    <w:rsid w:val="00E859D6"/>
    <w:rsid w:val="00EC33E1"/>
    <w:rsid w:val="00ED0976"/>
    <w:rsid w:val="00EE2A2E"/>
    <w:rsid w:val="00F42C55"/>
    <w:rsid w:val="00F515B2"/>
    <w:rsid w:val="00FB5BF8"/>
    <w:rsid w:val="00FC6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B3B4485-C4B4-4EBF-AB5B-70F97650A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D5D"/>
    <w:pPr>
      <w:spacing w:after="200" w:line="276" w:lineRule="auto"/>
      <w:jc w:val="both"/>
    </w:pPr>
    <w:rPr>
      <w:rFonts w:ascii="Times New Roman" w:hAnsi="Times New Roman"/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462D5D"/>
    <w:pPr>
      <w:autoSpaceDE w:val="0"/>
      <w:autoSpaceDN w:val="0"/>
      <w:adjustRightInd w:val="0"/>
    </w:pPr>
    <w:rPr>
      <w:rFonts w:ascii="Myriad Pro" w:eastAsia="Times New Roman" w:hAnsi="Myriad Pro" w:cs="Myriad Pro"/>
      <w:color w:val="000000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semiHidden/>
    <w:rsid w:val="00C30550"/>
    <w:pPr>
      <w:tabs>
        <w:tab w:val="center" w:pos="4513"/>
        <w:tab w:val="right" w:pos="9026"/>
      </w:tabs>
    </w:pPr>
    <w:rPr>
      <w:lang w:val="en-CA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30550"/>
    <w:rPr>
      <w:rFonts w:ascii="Times New Roman" w:hAnsi="Times New Roman" w:cs="Times New Roman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rsid w:val="00C30550"/>
    <w:pPr>
      <w:tabs>
        <w:tab w:val="center" w:pos="4513"/>
        <w:tab w:val="right" w:pos="9026"/>
      </w:tabs>
    </w:pPr>
    <w:rPr>
      <w:lang w:val="en-CA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30550"/>
    <w:rPr>
      <w:rFonts w:ascii="Times New Roman" w:hAnsi="Times New Roman" w:cs="Times New Roman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AC3E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C3E89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31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467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SBME: Problematizing boundaries between formal, non-formal, informal, and incidental learning</vt:lpstr>
    </vt:vector>
  </TitlesOfParts>
  <Company>Lancaster University</Company>
  <LinksUpToDate>false</LinksUpToDate>
  <CharactersWithSpaces>3123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SBME: Problematizing boundaries between formal, non-formal, informal, and incidental learning</dc:title>
  <dc:subject/>
  <dc:creator>Armineh</dc:creator>
  <cp:keywords/>
  <dc:description/>
  <cp:lastModifiedBy>Armineh</cp:lastModifiedBy>
  <cp:revision>2</cp:revision>
  <dcterms:created xsi:type="dcterms:W3CDTF">2014-07-31T22:38:00Z</dcterms:created>
  <dcterms:modified xsi:type="dcterms:W3CDTF">2014-07-31T22:38:00Z</dcterms:modified>
</cp:coreProperties>
</file>