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E92" w:rsidRPr="00493757" w:rsidRDefault="00286E92" w:rsidP="00493757">
      <w:pPr>
        <w:jc w:val="center"/>
        <w:rPr>
          <w:sz w:val="28"/>
          <w:szCs w:val="28"/>
        </w:rPr>
      </w:pPr>
      <w:r w:rsidRPr="00493757">
        <w:rPr>
          <w:sz w:val="28"/>
          <w:szCs w:val="28"/>
        </w:rPr>
        <w:t>Editorial</w:t>
      </w:r>
    </w:p>
    <w:p w:rsidR="00286E92" w:rsidRPr="00493757" w:rsidRDefault="00286E92" w:rsidP="00493757">
      <w:pPr>
        <w:jc w:val="center"/>
      </w:pPr>
    </w:p>
    <w:p w:rsidR="00286E92" w:rsidRDefault="00286E92" w:rsidP="00493757">
      <w:pPr>
        <w:jc w:val="center"/>
      </w:pPr>
      <w:r w:rsidRPr="00493757">
        <w:t>Common Law World Review, British Association for Canadian Studies, Lega</w:t>
      </w:r>
      <w:r>
        <w:t>l Studies Group Special Edition</w:t>
      </w:r>
    </w:p>
    <w:p w:rsidR="00286E92" w:rsidRDefault="00286E92" w:rsidP="00493757">
      <w:pPr>
        <w:jc w:val="center"/>
      </w:pPr>
    </w:p>
    <w:p w:rsidR="00286E92" w:rsidRDefault="00286E92" w:rsidP="00493757">
      <w:pPr>
        <w:jc w:val="center"/>
      </w:pPr>
      <w:r>
        <w:t>Bela Chatterjee*</w:t>
      </w:r>
    </w:p>
    <w:p w:rsidR="00286E92" w:rsidRDefault="00286E92" w:rsidP="00493757">
      <w:pPr>
        <w:jc w:val="center"/>
      </w:pPr>
    </w:p>
    <w:p w:rsidR="00286E92" w:rsidRDefault="00286E92" w:rsidP="00493757">
      <w:r>
        <w:tab/>
        <w:t xml:space="preserve">In 1998, as a postgraduate student in </w:t>
      </w:r>
      <w:smartTag w:uri="urn:schemas-microsoft-com:office:smarttags" w:element="City">
        <w:smartTag w:uri="urn:schemas-microsoft-com:office:smarttags" w:element="place">
          <w:r>
            <w:t>London</w:t>
          </w:r>
        </w:smartTag>
      </w:smartTag>
      <w:r>
        <w:t xml:space="preserve">, I had my first encounter with the Canadian Charter of Rights and Freedoms. I seem to remember that the entire document fits – just – on a single sheet of A4 paper. A document so light that it threatened to skate off the desk when I opened my textbooks. Yet what this Charter contained was anything but lightweight. Even now, a decade later, I am only just beginning to appreciate its enormity. </w:t>
      </w:r>
    </w:p>
    <w:p w:rsidR="00286E92" w:rsidRDefault="00286E92" w:rsidP="00493757"/>
    <w:p w:rsidR="00286E92" w:rsidRDefault="00286E92" w:rsidP="00493757">
      <w:r>
        <w:t>Comparison of the Charter to the newly-issued Human Rights Act 1998 was irresistible and inevitable on so many levels (not least of all length…) and I found that I was by no means alone in my desire to further explore what appeared to me to be an exciting, critical and politicised jurisprudence. Fortunately for me, an entire organisation existed – the BACS Legal Studies Group – which sympathised completely, and following an invitation from the Secretary of the group, I joined as a member of their executive committee, later to be elected as Chair.</w:t>
      </w:r>
      <w:r>
        <w:rPr>
          <w:rStyle w:val="FootnoteReference"/>
        </w:rPr>
        <w:footnoteReference w:id="1"/>
      </w:r>
      <w:r>
        <w:t xml:space="preserve"> </w:t>
      </w:r>
    </w:p>
    <w:p w:rsidR="00286E92" w:rsidRDefault="00286E92" w:rsidP="00493757"/>
    <w:p w:rsidR="00286E92" w:rsidRDefault="00286E92" w:rsidP="00493757">
      <w:r>
        <w:t>Founded in 1987 as a specialist group of the larger British Association for Canadian Studies, the Legal Studies Group acts as a focus for comparative work in the field.</w:t>
      </w:r>
      <w:r>
        <w:rPr>
          <w:rStyle w:val="FootnoteReference"/>
        </w:rPr>
        <w:footnoteReference w:id="2"/>
      </w:r>
      <w:r>
        <w:t xml:space="preserve"> The Group's constitution states that it exists 'to advance and actively promote education, learning, research and the dissemination of knowledge focusing on comparative work between </w:t>
      </w:r>
      <w:smartTag w:uri="urn:schemas-microsoft-com:office:smarttags" w:element="country-region">
        <w:r>
          <w:t>Canada</w:t>
        </w:r>
      </w:smartTag>
      <w:r>
        <w:t xml:space="preserve"> and the </w:t>
      </w:r>
      <w:smartTag w:uri="urn:schemas-microsoft-com:office:smarttags" w:element="country-region">
        <w:smartTag w:uri="urn:schemas-microsoft-com:office:smarttags" w:element="place">
          <w:r>
            <w:t>UK</w:t>
          </w:r>
        </w:smartTag>
      </w:smartTag>
      <w:r>
        <w:t xml:space="preserve"> in the field of legal studies'.</w:t>
      </w:r>
      <w:r>
        <w:rPr>
          <w:rStyle w:val="FootnoteReference"/>
        </w:rPr>
        <w:footnoteReference w:id="3"/>
      </w:r>
      <w:r>
        <w:t xml:space="preserve"> The Legal Studies Group is one of the most active of all the BACS specialist groups and in pursuing its aims it has successfully organised a number of interdisciplinary, comparative conferences hosted by the Canadian High Commission in </w:t>
      </w:r>
      <w:smartTag w:uri="urn:schemas-microsoft-com:office:smarttags" w:element="City">
        <w:smartTag w:uri="urn:schemas-microsoft-com:office:smarttags" w:element="place">
          <w:r>
            <w:t>London</w:t>
          </w:r>
        </w:smartTag>
      </w:smartTag>
      <w:r>
        <w:t>.</w:t>
      </w:r>
      <w:r>
        <w:rPr>
          <w:rStyle w:val="FootnoteReference"/>
        </w:rPr>
        <w:footnoteReference w:id="4"/>
      </w:r>
      <w:r>
        <w:t xml:space="preserve"> These conferences have been attended by a wide range of lawyers, policy makers, academics and other professionals. Over the years, our conferences have attracted a number of prestigious keynote speakers, including Professor Brice Dickson and Professor Peter Russell (Human Rights Culture Conference 2001); Chief Justice Beverley McLachlin and Professor Basil Markesinis (Comparative Issues in Tort Conference 2003); Professor Brenda Cossman (Gender, Sexuality and the Law </w:t>
      </w:r>
      <w:r>
        <w:lastRenderedPageBreak/>
        <w:t>Conference 2004); Professor Stephen Toope (Comparative Perspectives on Public International Law Conference 2005); Professor Stephen Waddams (Contract, Unjust Enrichment and Restitution Conference 2006); Professor Wesley Pue (Legal History Conference 2007) and Professor Martha Jackman (Health, Law and Policy Conference 2008). These dedicated, specialist conferences have provided a distinctive and prominent contribution to Anglo-Canadian Legal Scholarship, further evidenced by a number of publications.</w:t>
      </w:r>
      <w:r>
        <w:rPr>
          <w:rStyle w:val="FootnoteReference"/>
        </w:rPr>
        <w:footnoteReference w:id="5"/>
      </w:r>
      <w:r>
        <w:t xml:space="preserve"> In this regard, the work done by the BACS Legal Studies group in pushing forward the boundaries of knowledge and creating an active and dynamic research culture has been singular. Behind the scenes, these achievements are the culmination of many hours of effort, and fulfilling the objectives of the constitution has meant weeks of background preparation by the small but dedicated executive committee; this breaks down into miles of travelling, hundreds of emails, what must surely be a small (Canadian?) forest's worth of paper and a frankly worrying volume of caffeine. Such effort – the academic work of organising, filing, copying, editing, faxing and general administration – seldom gets any public or enduring recognition, but I wish to pay tribute to it here, as it is in large part this very background effort that enables the BACS Legal Studies group to be the central research interchange for comparative Canadian legal studies in the UK, and facilitates such initiatives as the conference which gave rise to this current special edition. Such specialist groups can also provide a lifeline for the colleagues who run them, and the role of such supra-institutional networks in academic survival should not be underestimated.</w:t>
      </w:r>
      <w:r>
        <w:rPr>
          <w:rStyle w:val="FootnoteReference"/>
        </w:rPr>
        <w:footnoteReference w:id="6"/>
      </w:r>
      <w:r>
        <w:t xml:space="preserve"> </w:t>
      </w:r>
    </w:p>
    <w:p w:rsidR="00286E92" w:rsidRDefault="00286E92" w:rsidP="00493757"/>
    <w:p w:rsidR="00286E92" w:rsidRDefault="00E202B1" w:rsidP="00493757">
      <w:r>
        <w:t>The articles included in this volume are bas</w:t>
      </w:r>
      <w:r w:rsidR="009462D7">
        <w:t xml:space="preserve">ed on papers first delivered at a conference in 2009 </w:t>
      </w:r>
      <w:r w:rsidR="00286E92">
        <w:t>organised around the concepts of multiculturalism, diversity and social inclusion in modern Canada</w:t>
      </w:r>
      <w:r w:rsidR="00937305">
        <w:t>. This</w:t>
      </w:r>
      <w:r w:rsidR="00286E92">
        <w:t xml:space="preserve"> was a new initiative for the LSG.</w:t>
      </w:r>
      <w:r w:rsidR="00286E92">
        <w:rPr>
          <w:rStyle w:val="FootnoteReference"/>
        </w:rPr>
        <w:footnoteReference w:id="7"/>
      </w:r>
      <w:r w:rsidR="00286E92">
        <w:t xml:space="preserve"> </w:t>
      </w:r>
      <w:r>
        <w:t>I</w:t>
      </w:r>
      <w:r w:rsidR="00286E92">
        <w:t>nstead of holding our usual specialist (but separate) conference, we joined forces with our mother organisation BACS with the aim of bringing law and legal issues to the very heart of Canadian Studies.</w:t>
      </w:r>
      <w:r w:rsidR="00286E92" w:rsidRPr="00787181">
        <w:t xml:space="preserve"> </w:t>
      </w:r>
      <w:r w:rsidR="00286E92">
        <w:t xml:space="preserve">Whilst not downplaying the key aim of bringing legal studies to the fore, it should be noted that this decision was also motivated in part by a change in funding for the LSG and I hope that this special edition serves as clear evidence that the work of such specialist groups and scholarly organisations is vital to pushing forward the boundaries of knowledge. In serving on previous conference committees in my capacity as a member of the BACS Council, I recall that there had been several legal papers submitted to various collaborative conferences but the suggestion was put forward (perhaps even by myself…) that if all the lawyers were put together on one panel there would be a risk that nobody in the audience would understand them. Yet the focus on the joint conference's three keywords, 'Being, Becoming and Belonging' </w:t>
      </w:r>
      <w:r w:rsidR="004874FC">
        <w:t>strongly</w:t>
      </w:r>
      <w:r w:rsidR="004874FC">
        <w:t xml:space="preserve"> </w:t>
      </w:r>
      <w:r w:rsidR="00286E92">
        <w:t xml:space="preserve">underlined the ineluctable relevance of law to the conference theme, and the real need to show that legal academics and commentators had something of great value to contribute. Being, becoming and belonging is a </w:t>
      </w:r>
      <w:r w:rsidR="00286E92">
        <w:lastRenderedPageBreak/>
        <w:t>process partly of translation, and law's role as a prime translator of speaking identity to power is critical. Our invited plenary speaker, The Honourable Madam Justice Rosalie Abella, vividly illustrated to the entire conference, lawyers and non-lawyers alike, how law was central to our understandings of social inclusion, representing both lock and key to questions of diversity and multiculturalism. The papers from the conference that are included in this special edition unequivocally bear witness to the fact that legal scholarship plays a pivotal role in figuring contemporary Canada, and that the lessons we can learn from such comparative scholarship have great relevance to the most fundamental aspects of our existence: who/how we are, how we (come to) belong, how we relate to our environment and one another. In no particular order, I am privileged to introduce this special edition's contributions below.</w:t>
      </w:r>
    </w:p>
    <w:p w:rsidR="00286E92" w:rsidRDefault="00286E92" w:rsidP="00493757"/>
    <w:p w:rsidR="00286E92" w:rsidRDefault="00286E92" w:rsidP="00493757">
      <w:r>
        <w:t xml:space="preserve">Bob Tarantino's article addresses the theme of being, becoming and belonging by taking us on a bar crawl with a difference. Normally, a bar is a place of welcome for all, a universal traveller's rest, but in the article's two case studies of </w:t>
      </w:r>
      <w:r w:rsidRPr="000F0C88">
        <w:rPr>
          <w:i/>
        </w:rPr>
        <w:t>Christie</w:t>
      </w:r>
      <w:r>
        <w:t xml:space="preserve"> and </w:t>
      </w:r>
      <w:r w:rsidRPr="000F0C88">
        <w:rPr>
          <w:i/>
        </w:rPr>
        <w:t>Diallo</w:t>
      </w:r>
      <w:r>
        <w:t>,</w:t>
      </w:r>
      <w:r>
        <w:rPr>
          <w:rStyle w:val="FootnoteReference"/>
        </w:rPr>
        <w:footnoteReference w:id="8"/>
      </w:r>
      <w:r>
        <w:t xml:space="preserve"> separated </w:t>
      </w:r>
      <w:r w:rsidR="002763E1">
        <w:t>by several</w:t>
      </w:r>
      <w:r>
        <w:t xml:space="preserve"> decades, individuals are both refused service due to the colour of their skin. The outcomes are diametric; in the first case the bar is entitled to refuse service whereas in the second the drinker is awarded damages for his discriminatory treatment. In tracing the structural and rhetorical discourse surrounding these cases, Tarantino argues that a paradigm shift is discernable, where the law moves from a frame of freedom of commerce to one of antidiscrimination. In order to obtain multiculturalism, Tarantino asserts that the suppression of the common law doctrine of freedom of contract was essential to give effect to the legal recognition of equality and to facilitate antidiscrimination policies. It is the suppression of freedom of contract, Tarantino argues, which can be seen to account for the change in legal direction. </w:t>
      </w:r>
    </w:p>
    <w:p w:rsidR="00286E92" w:rsidRDefault="00286E92" w:rsidP="00493757"/>
    <w:p w:rsidR="00286E92" w:rsidRDefault="00286E92" w:rsidP="00493757">
      <w:r>
        <w:t xml:space="preserve">A similar exercise in historical analysis can be seen in Lisa Vanhala's article, which looks at the interpretation of disability rights in the Supreme Court of Canada in the last quarter-century. Drawing on a range of empirical sources and case studies, Vanhala systematically interrogates the interaction between individual and collective social movement actors and the law to consider the differing models of disability which have emerged over time. By exploring the dynamics of disability rights campaigns and test cases, Vanhala is able to offer a unique view of the development of the law which manages to ground and contextualise it in a way which the traditional studies are unable to achieve. Overall, Vanhala concludes that the history of disability rights is a chequered one, of gains and setbacks, hopes and frustrations, a paradoxical process whereby the slow pace of change, whilst being seen as a problem by activists, can also be used to bring the need for more effective legislation and enforcement mechanisms to the fore. </w:t>
      </w:r>
    </w:p>
    <w:p w:rsidR="00286E92" w:rsidRDefault="00286E92" w:rsidP="00493757"/>
    <w:p w:rsidR="00286E92" w:rsidRDefault="00286E92" w:rsidP="00493757">
      <w:r>
        <w:t>On the theme of hopes and frustrations, the article by Bradford Morse and Michelle Zakriston addressing the impact on the Inuit of the environmental degradation of their  Canadian Arctic home is a clear manifesto for specific legal attention to be paid to the now chronic effects of climate change. Arguing that internal regional and federal government</w:t>
      </w:r>
      <w:r w:rsidR="00436CA0">
        <w:t>s</w:t>
      </w:r>
      <w:r>
        <w:t xml:space="preserve"> do not have the full capability to address the ravaging effects of environmental destruction on indigenous Canadian peoples, Morse and Zakriston look </w:t>
      </w:r>
      <w:r>
        <w:lastRenderedPageBreak/>
        <w:t xml:space="preserve">to an international environmental and human rights framework for solutions. The authors argue that indigenous Canadians are significantly more affected by climate change than other groups, in that their close connection with the land and sea makes their ability to interpret and depend on their landscape unpredictable. Changes in hydrology and migratory patterns touch their most basic of needs for water, food and clothing, whereas their spiritual and emotional needs are disturbed by their increased inability to protect their environment due to climate change. Literally and figuratively, the indigenous Canadians exist, become and belong through their homelands, and the destruction of one can </w:t>
      </w:r>
      <w:r w:rsidR="00A84502">
        <w:t>only cause irreversible damage to the</w:t>
      </w:r>
      <w:r>
        <w:t xml:space="preserve"> other. Hope might be found in a turn to International conventions, agreements and enforcement mechanisms in order to address the unique issues facing the indigenous Canadians, which Morse and Zakriston forcefully argue should not go without notice. </w:t>
      </w:r>
    </w:p>
    <w:p w:rsidR="00286E92" w:rsidRDefault="00286E92" w:rsidP="00493757"/>
    <w:p w:rsidR="00286E92" w:rsidRDefault="00286E92" w:rsidP="00493757">
      <w:r>
        <w:t>Another pressing and equally destructive problem in the dynamic of being, becoming and belonging is the matter of hate speech, which is explored by Kathleen Mahoney in her analysis of this topic in the context of Equality and Citizenship in Canada. Noting that the issue of hate speech is now an increasingly global phenomenon, the challenges faced by Canada in confronting the new faces of radical vitriolic dissent are manifold. Hate speech works in part by isolating and stigmatising certain sections of the population, effectively denying them their citizenship in one form or another, thus the problematic of being, becoming and belonging is squarely marked in this article. The proliferation of hate speech through digital media has only compounded the issue, and Mahoney locates hate speech in a wider social, cultural and technical matrix where it becomes clear that the endurance of citizenship in a free and democratic society is mortally threatened. Evaluating the tensions between rights and hate propagandists, the author argues that the way forward must be a robust condemnation and criminalisation of hate speech in a way which is constitutionally viable and which also contributes to a larger project of respect and equality.</w:t>
      </w:r>
    </w:p>
    <w:p w:rsidR="00286E92" w:rsidRDefault="00286E92" w:rsidP="00493757"/>
    <w:p w:rsidR="00286E92" w:rsidRDefault="00286E92" w:rsidP="00493757">
      <w:r>
        <w:t xml:space="preserve">Constitutionality is a theme pursued by our fifth contributor, Charles Maxime Panaccio, who interrogates the arguments made in the debates over constitutional rights judicial review. In Canada, the debates over the legitimacy of such review have been complex and spirited, and Pannacio clearly shows us that they are worthy of closer analysis. Turning to a historical review, Panaccio charts the public debate between key interlocutors such as Pierre Elliot-Trudeau, Mr Justice James McRuer, Sterling Lyon and Allan Blakeney. Panaccio also focuses on the philosophical debate about constitutional rights </w:t>
      </w:r>
      <w:r w:rsidR="00990420">
        <w:t xml:space="preserve">judicial </w:t>
      </w:r>
      <w:r>
        <w:t xml:space="preserve">review, noting the work of Ronald Dworkin and Jeremy Waldron in particular.  Questions are raised over the legitimacy of the Charter's constitutional rights judicial review regime, and the role of the Canadian judiciary in reviewing legislation. </w:t>
      </w:r>
    </w:p>
    <w:p w:rsidR="00286E92" w:rsidRDefault="00286E92" w:rsidP="00493757"/>
    <w:p w:rsidR="00286E92" w:rsidRDefault="00286E92" w:rsidP="00493757">
      <w:r>
        <w:t xml:space="preserve">Being, becoming and belonging, as can be seen from the articles herein, describes both a product and a process, a journey and a destination, simultaneous points of ending and beginning - points which could not better conclude this editorial and my association with BACS LSG. At the time of writing, the LSG looks forward to a new phase of its development, considering new collaborations, styles of conference and colloquia, academic networks and outputs. I, in my turn, enjoy the prospect of attending their future conferences as a participant as opposed to an organiser and seeing LSG scholarship from a different perspective. I thank my contributors for sharing their understandings of what it might mean to be, become and belong, and my </w:t>
      </w:r>
      <w:r>
        <w:lastRenderedPageBreak/>
        <w:t xml:space="preserve">former colleagues at the LSG both past and present, for making the process of being, becoming and belonging in Anglo-Canadian Legal Studies such a fine experience.  </w:t>
      </w:r>
    </w:p>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p w:rsidR="00286E92" w:rsidRDefault="00286E92" w:rsidP="00493757"/>
    <w:sectPr w:rsidR="00286E92" w:rsidSect="00550744">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63E1" w:rsidRDefault="002763E1" w:rsidP="00685608">
      <w:r>
        <w:separator/>
      </w:r>
    </w:p>
  </w:endnote>
  <w:endnote w:type="continuationSeparator" w:id="0">
    <w:p w:rsidR="002763E1" w:rsidRDefault="002763E1" w:rsidP="006856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63E1" w:rsidRDefault="002763E1" w:rsidP="00685608">
      <w:r>
        <w:separator/>
      </w:r>
    </w:p>
  </w:footnote>
  <w:footnote w:type="continuationSeparator" w:id="0">
    <w:p w:rsidR="002763E1" w:rsidRDefault="002763E1" w:rsidP="00685608">
      <w:r>
        <w:continuationSeparator/>
      </w:r>
    </w:p>
  </w:footnote>
  <w:footnote w:id="1">
    <w:p w:rsidR="002763E1" w:rsidRDefault="002763E1" w:rsidP="001E5032">
      <w:pPr>
        <w:pStyle w:val="FootnoteText"/>
      </w:pPr>
      <w:r>
        <w:t xml:space="preserve">*Lecturer in Law, </w:t>
      </w:r>
      <w:smartTag w:uri="urn:schemas-microsoft-com:office:smarttags" w:element="PlaceType">
        <w:r>
          <w:t>School</w:t>
        </w:r>
      </w:smartTag>
      <w:r>
        <w:t xml:space="preserve"> of </w:t>
      </w:r>
      <w:smartTag w:uri="urn:schemas-microsoft-com:office:smarttags" w:element="PlaceName">
        <w:r>
          <w:t>Law</w:t>
        </w:r>
      </w:smartTag>
      <w:r>
        <w:t xml:space="preserve">, </w:t>
      </w:r>
      <w:smartTag w:uri="urn:schemas-microsoft-com:office:smarttags" w:element="City">
        <w:smartTag w:uri="urn:schemas-microsoft-com:office:smarttags" w:element="place">
          <w:smartTag w:uri="urn:schemas-microsoft-com:office:smarttags" w:element="City">
            <w:r>
              <w:t>Lancaster University</w:t>
            </w:r>
          </w:smartTag>
          <w:r>
            <w:t xml:space="preserve">, </w:t>
          </w:r>
          <w:smartTag w:uri="urn:schemas-microsoft-com:office:smarttags" w:element="PostalCode">
            <w:r>
              <w:t>LA1 4YN</w:t>
            </w:r>
          </w:smartTag>
          <w:r>
            <w:t xml:space="preserve">, </w:t>
          </w:r>
          <w:smartTag w:uri="urn:schemas-microsoft-com:office:smarttags" w:element="country-region">
            <w:r>
              <w:t>UK</w:t>
            </w:r>
          </w:smartTag>
        </w:smartTag>
      </w:smartTag>
      <w:r>
        <w:t>. Email b.chatterjee@lancaster.ac.uk. I wish to thank the contributors to this Special Edition for their patience and scholarship; the Editorial Board at the CLWR, particularly Professor Paula Giliker, for enabling this project to go ahead; my former colleagues at BACS LSG and finally I express my gratitude to Professor Gillian Morris for putting up with me in her seminars on Human Rights at Brunel University.</w:t>
      </w:r>
    </w:p>
    <w:p w:rsidR="002763E1" w:rsidRDefault="002763E1">
      <w:pPr>
        <w:pStyle w:val="FootnoteText"/>
      </w:pPr>
      <w:r>
        <w:rPr>
          <w:rStyle w:val="FootnoteReference"/>
        </w:rPr>
        <w:footnoteRef/>
      </w:r>
      <w:r>
        <w:t xml:space="preserve"> I relinquished this role in 2009 due to personal commitments and have been succeeded by Dr Keith Syrett.</w:t>
      </w:r>
    </w:p>
  </w:footnote>
  <w:footnote w:id="2">
    <w:p w:rsidR="002763E1" w:rsidRDefault="002763E1">
      <w:pPr>
        <w:pStyle w:val="FootnoteText"/>
      </w:pPr>
      <w:r>
        <w:rPr>
          <w:rStyle w:val="FootnoteReference"/>
        </w:rPr>
        <w:footnoteRef/>
      </w:r>
      <w:r>
        <w:t xml:space="preserve"> A more detailed account of BACS and the LSG can be found in T. Rooth</w:t>
      </w:r>
      <w:r>
        <w:rPr>
          <w:i/>
        </w:rPr>
        <w:t xml:space="preserve"> Canadian Studies in </w:t>
      </w:r>
      <w:smartTag w:uri="urn:schemas-microsoft-com:office:smarttags" w:element="country-region">
        <w:smartTag w:uri="urn:schemas-microsoft-com:office:smarttags" w:element="place">
          <w:r>
            <w:rPr>
              <w:i/>
            </w:rPr>
            <w:t>Britain</w:t>
          </w:r>
        </w:smartTag>
      </w:smartTag>
      <w:r>
        <w:rPr>
          <w:i/>
        </w:rPr>
        <w:t>, 1970-2010</w:t>
      </w:r>
      <w:r>
        <w:t xml:space="preserve"> (BACS, 2007) available online at </w:t>
      </w:r>
    </w:p>
    <w:p w:rsidR="002763E1" w:rsidRDefault="002763E1">
      <w:pPr>
        <w:pStyle w:val="FootnoteText"/>
      </w:pPr>
      <w:r w:rsidRPr="001A12E5">
        <w:t>http://www.canadian-studies.info/main/content/view/154/30/</w:t>
      </w:r>
      <w:r>
        <w:t xml:space="preserve">  </w:t>
      </w:r>
    </w:p>
    <w:p w:rsidR="002763E1" w:rsidRDefault="002763E1">
      <w:pPr>
        <w:pStyle w:val="FootnoteText"/>
      </w:pPr>
      <w:r>
        <w:t xml:space="preserve">Rooth notes (at 61) that the group lapsed but was re-invigorated by Professor Fiona Cownie who built in the current strategy for its continued renewal. </w:t>
      </w:r>
    </w:p>
  </w:footnote>
  <w:footnote w:id="3">
    <w:p w:rsidR="002763E1" w:rsidRDefault="002763E1">
      <w:pPr>
        <w:pStyle w:val="FootnoteText"/>
      </w:pPr>
      <w:r>
        <w:rPr>
          <w:rStyle w:val="FootnoteReference"/>
        </w:rPr>
        <w:footnoteRef/>
      </w:r>
      <w:r>
        <w:t xml:space="preserve"> BACS Legal Studies Group Constitution 2006 as quoted in Rooth, above n. 2 at 60.</w:t>
      </w:r>
    </w:p>
  </w:footnote>
  <w:footnote w:id="4">
    <w:p w:rsidR="002763E1" w:rsidRDefault="002763E1">
      <w:pPr>
        <w:pStyle w:val="FootnoteText"/>
      </w:pPr>
      <w:r>
        <w:rPr>
          <w:rStyle w:val="FootnoteReference"/>
        </w:rPr>
        <w:footnoteRef/>
      </w:r>
      <w:r>
        <w:t xml:space="preserve"> I would like to take this opportunity to formally thank the staff of Canada House, </w:t>
      </w:r>
      <w:smartTag w:uri="urn:schemas-microsoft-com:office:smarttags" w:element="address">
        <w:smartTag w:uri="urn:schemas-microsoft-com:office:smarttags" w:element="Street">
          <w:r>
            <w:t>Trafalgar Square</w:t>
          </w:r>
        </w:smartTag>
      </w:smartTag>
      <w:r>
        <w:t xml:space="preserve">, and also the staff at Macdonald House, </w:t>
      </w:r>
      <w:smartTag w:uri="urn:schemas-microsoft-com:office:smarttags" w:element="address">
        <w:smartTag w:uri="urn:schemas-microsoft-com:office:smarttags" w:element="Street">
          <w:r>
            <w:t>Grosvenor Square</w:t>
          </w:r>
        </w:smartTag>
      </w:smartTag>
      <w:r>
        <w:t>, for all their efforts in hosting our conferences and executive committees.</w:t>
      </w:r>
    </w:p>
  </w:footnote>
  <w:footnote w:id="5">
    <w:p w:rsidR="002763E1" w:rsidRDefault="002763E1">
      <w:pPr>
        <w:pStyle w:val="FootnoteText"/>
      </w:pPr>
      <w:r>
        <w:rPr>
          <w:rStyle w:val="FootnoteReference"/>
        </w:rPr>
        <w:footnoteRef/>
      </w:r>
      <w:r>
        <w:t xml:space="preserve"> See P. Torremans (ed.), </w:t>
      </w:r>
      <w:r>
        <w:rPr>
          <w:i/>
        </w:rPr>
        <w:t xml:space="preserve">Copyright and Human Rights: Freedom of Expression, Intellectual Property, Privacy </w:t>
      </w:r>
      <w:r>
        <w:t xml:space="preserve">(Kluwer Law International: </w:t>
      </w:r>
      <w:smartTag w:uri="urn:schemas-microsoft-com:office:smarttags" w:element="City">
        <w:r>
          <w:t>The Hague</w:t>
        </w:r>
      </w:smartTag>
      <w:r>
        <w:t xml:space="preserve">, 2004); C. P. M. Waters (ed.), </w:t>
      </w:r>
      <w:r>
        <w:rPr>
          <w:i/>
        </w:rPr>
        <w:t>British and Canadian Perspectives on International Law</w:t>
      </w:r>
      <w:r>
        <w:t xml:space="preserve"> (Brill/Martinus Nijhoff: </w:t>
      </w:r>
      <w:smartTag w:uri="urn:schemas-microsoft-com:office:smarttags" w:element="City">
        <w:r>
          <w:t>Leiden</w:t>
        </w:r>
      </w:smartTag>
      <w:r>
        <w:t xml:space="preserve">, 2006); P. Giliker (ed.), </w:t>
      </w:r>
      <w:r w:rsidRPr="007F40F5">
        <w:rPr>
          <w:i/>
        </w:rPr>
        <w:t xml:space="preserve">Re-Examining Contract and Unjust Enrichment: Anglo-Canadian Perspectives </w:t>
      </w:r>
      <w:r>
        <w:t xml:space="preserve">(Martinus Nijhoff: </w:t>
      </w:r>
      <w:smartTag w:uri="urn:schemas-microsoft-com:office:smarttags" w:element="City">
        <w:r>
          <w:t>Leiden</w:t>
        </w:r>
      </w:smartTag>
      <w:r>
        <w:t xml:space="preserve">, </w:t>
      </w:r>
      <w:smartTag w:uri="urn:schemas-microsoft-com:office:smarttags" w:element="City">
        <w:smartTag w:uri="urn:schemas-microsoft-com:office:smarttags" w:element="place">
          <w:r>
            <w:t>Boston</w:t>
          </w:r>
        </w:smartTag>
      </w:smartTag>
      <w:r>
        <w:t>, 2007).</w:t>
      </w:r>
    </w:p>
  </w:footnote>
  <w:footnote w:id="6">
    <w:p w:rsidR="002763E1" w:rsidRPr="00762BB4" w:rsidRDefault="002763E1" w:rsidP="00B94A6B">
      <w:r>
        <w:rPr>
          <w:rStyle w:val="FootnoteReference"/>
        </w:rPr>
        <w:footnoteRef/>
      </w:r>
      <w:r>
        <w:t xml:space="preserve"> </w:t>
      </w:r>
      <w:r w:rsidR="00762BB4" w:rsidRPr="00762BB4">
        <w:rPr>
          <w:sz w:val="20"/>
          <w:szCs w:val="20"/>
        </w:rPr>
        <w:t xml:space="preserve">I thank </w:t>
      </w:r>
      <w:r w:rsidR="008C7CA9">
        <w:rPr>
          <w:sz w:val="20"/>
          <w:szCs w:val="20"/>
        </w:rPr>
        <w:t xml:space="preserve">Prof. </w:t>
      </w:r>
      <w:r w:rsidR="00762BB4" w:rsidRPr="00762BB4">
        <w:rPr>
          <w:sz w:val="20"/>
          <w:szCs w:val="20"/>
        </w:rPr>
        <w:t xml:space="preserve">Cownie for </w:t>
      </w:r>
      <w:r w:rsidR="00762BB4">
        <w:rPr>
          <w:sz w:val="20"/>
          <w:szCs w:val="20"/>
        </w:rPr>
        <w:t xml:space="preserve">bringing this consideration to my attention. </w:t>
      </w:r>
      <w:r w:rsidRPr="00B94A6B">
        <w:rPr>
          <w:sz w:val="20"/>
          <w:szCs w:val="20"/>
        </w:rPr>
        <w:t xml:space="preserve">There is also the hidden effort behind what it takes to get a volume to publication – the patience of the authors as a project is mapped out, the countless revisions to manuscripts, </w:t>
      </w:r>
      <w:r w:rsidR="0087578C">
        <w:rPr>
          <w:sz w:val="20"/>
          <w:szCs w:val="20"/>
        </w:rPr>
        <w:t xml:space="preserve">the patience of the copy editor </w:t>
      </w:r>
      <w:r w:rsidRPr="00B94A6B">
        <w:rPr>
          <w:sz w:val="20"/>
          <w:szCs w:val="20"/>
        </w:rPr>
        <w:t>and the</w:t>
      </w:r>
      <w:r w:rsidR="0087578C">
        <w:rPr>
          <w:sz w:val="20"/>
          <w:szCs w:val="20"/>
        </w:rPr>
        <w:t xml:space="preserve"> general</w:t>
      </w:r>
      <w:r w:rsidRPr="00B94A6B">
        <w:rPr>
          <w:sz w:val="20"/>
          <w:szCs w:val="20"/>
        </w:rPr>
        <w:t xml:space="preserve"> network of communication and goodwill that is needed to launch such an ende</w:t>
      </w:r>
      <w:r>
        <w:rPr>
          <w:sz w:val="20"/>
          <w:szCs w:val="20"/>
        </w:rPr>
        <w:t>avour successfully</w:t>
      </w:r>
      <w:r w:rsidRPr="00762BB4">
        <w:rPr>
          <w:sz w:val="20"/>
          <w:szCs w:val="20"/>
        </w:rPr>
        <w:t xml:space="preserve">. </w:t>
      </w:r>
    </w:p>
  </w:footnote>
  <w:footnote w:id="7">
    <w:p w:rsidR="002763E1" w:rsidRDefault="002763E1" w:rsidP="00820641">
      <w:pPr>
        <w:pStyle w:val="FootnoteText"/>
      </w:pPr>
      <w:r w:rsidRPr="00B94A6B">
        <w:rPr>
          <w:rStyle w:val="FootnoteReference"/>
        </w:rPr>
        <w:footnoteRef/>
      </w:r>
      <w:r w:rsidRPr="00B94A6B">
        <w:t xml:space="preserve"> Held at St Anne's College</w:t>
      </w:r>
      <w:r>
        <w:t xml:space="preserve">, University of Oxford, </w:t>
      </w:r>
      <w:proofErr w:type="gramStart"/>
      <w:r>
        <w:t>28</w:t>
      </w:r>
      <w:proofErr w:type="gramEnd"/>
      <w:r w:rsidR="00131420">
        <w:t>-</w:t>
      </w:r>
      <w:r w:rsidR="00453691">
        <w:t xml:space="preserve">30 </w:t>
      </w:r>
      <w:r>
        <w:t xml:space="preserve">March 2009. </w:t>
      </w:r>
    </w:p>
  </w:footnote>
  <w:footnote w:id="8">
    <w:p w:rsidR="002763E1" w:rsidRDefault="002763E1">
      <w:pPr>
        <w:pStyle w:val="FootnoteText"/>
      </w:pPr>
      <w:r>
        <w:rPr>
          <w:rStyle w:val="FootnoteReference"/>
        </w:rPr>
        <w:footnoteRef/>
      </w:r>
      <w:r w:rsidRPr="00A92478">
        <w:rPr>
          <w:lang w:val="fr-FR"/>
        </w:rPr>
        <w:t xml:space="preserve"> </w:t>
      </w:r>
      <w:r w:rsidRPr="00A92478">
        <w:rPr>
          <w:i/>
          <w:lang w:val="fr-FR"/>
        </w:rPr>
        <w:t>Christie</w:t>
      </w:r>
      <w:r w:rsidRPr="00A92478">
        <w:rPr>
          <w:lang w:val="fr-FR"/>
        </w:rPr>
        <w:t xml:space="preserve"> v </w:t>
      </w:r>
      <w:r w:rsidRPr="00A92478">
        <w:rPr>
          <w:i/>
          <w:lang w:val="fr-FR"/>
        </w:rPr>
        <w:t xml:space="preserve">York Corporation </w:t>
      </w:r>
      <w:r w:rsidRPr="00A92478">
        <w:rPr>
          <w:lang w:val="fr-FR"/>
        </w:rPr>
        <w:t xml:space="preserve">[1940] SCR 139; </w:t>
      </w:r>
      <w:r w:rsidRPr="00A92478">
        <w:rPr>
          <w:i/>
          <w:lang w:val="fr-FR"/>
        </w:rPr>
        <w:t xml:space="preserve">Commission des droits de la personne et des droits de la jeunesse </w:t>
      </w:r>
      <w:r w:rsidRPr="00A92478">
        <w:rPr>
          <w:lang w:val="fr-FR"/>
        </w:rPr>
        <w:t xml:space="preserve">c.2314-4207 Quebec inc. </w:t>
      </w:r>
      <w:r>
        <w:t xml:space="preserve">(Resto-bar Le Surf) 2007 QCTDP 9 (CanLII) (referred to as </w:t>
      </w:r>
      <w:r w:rsidRPr="001D0874">
        <w:rPr>
          <w:i/>
        </w:rPr>
        <w:t>Diallo</w:t>
      </w:r>
      <w: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1"/>
  <w:embedSystemFonts/>
  <w:proofState w:spelling="clean" w:grammar="clean"/>
  <w:stylePaneFormatFilter w:val="3F01"/>
  <w:trackRevisions/>
  <w:defaultTabStop w:val="720"/>
  <w:characterSpacingControl w:val="doNotCompress"/>
  <w:footnotePr>
    <w:footnote w:id="-1"/>
    <w:footnote w:id="0"/>
  </w:footnotePr>
  <w:endnotePr>
    <w:endnote w:id="-1"/>
    <w:endnote w:id="0"/>
  </w:endnotePr>
  <w:compat/>
  <w:rsids>
    <w:rsidRoot w:val="003E3905"/>
    <w:rsid w:val="00002BB5"/>
    <w:rsid w:val="000171C6"/>
    <w:rsid w:val="00017D33"/>
    <w:rsid w:val="000251EF"/>
    <w:rsid w:val="0003138F"/>
    <w:rsid w:val="000469DA"/>
    <w:rsid w:val="00081C18"/>
    <w:rsid w:val="000858F3"/>
    <w:rsid w:val="000A3D19"/>
    <w:rsid w:val="000C435D"/>
    <w:rsid w:val="000C7FCA"/>
    <w:rsid w:val="000D0E7F"/>
    <w:rsid w:val="000D3AEE"/>
    <w:rsid w:val="000D75E2"/>
    <w:rsid w:val="000F0C88"/>
    <w:rsid w:val="0011153A"/>
    <w:rsid w:val="00115823"/>
    <w:rsid w:val="00131420"/>
    <w:rsid w:val="00132A22"/>
    <w:rsid w:val="00132ABD"/>
    <w:rsid w:val="0013561C"/>
    <w:rsid w:val="00140630"/>
    <w:rsid w:val="00142F86"/>
    <w:rsid w:val="001434AA"/>
    <w:rsid w:val="0014380F"/>
    <w:rsid w:val="0015787C"/>
    <w:rsid w:val="00165FEA"/>
    <w:rsid w:val="001661A1"/>
    <w:rsid w:val="00166322"/>
    <w:rsid w:val="00166EA6"/>
    <w:rsid w:val="0017316D"/>
    <w:rsid w:val="00177435"/>
    <w:rsid w:val="00183AC7"/>
    <w:rsid w:val="00183B17"/>
    <w:rsid w:val="001A12E5"/>
    <w:rsid w:val="001B3A8F"/>
    <w:rsid w:val="001B5669"/>
    <w:rsid w:val="001C3BF5"/>
    <w:rsid w:val="001D0874"/>
    <w:rsid w:val="001D2A89"/>
    <w:rsid w:val="001E5032"/>
    <w:rsid w:val="002015A8"/>
    <w:rsid w:val="00210301"/>
    <w:rsid w:val="002158E4"/>
    <w:rsid w:val="00224E07"/>
    <w:rsid w:val="0023396A"/>
    <w:rsid w:val="00234576"/>
    <w:rsid w:val="002367E9"/>
    <w:rsid w:val="0024750A"/>
    <w:rsid w:val="00255CAB"/>
    <w:rsid w:val="00261B87"/>
    <w:rsid w:val="002763E1"/>
    <w:rsid w:val="00281E89"/>
    <w:rsid w:val="00285727"/>
    <w:rsid w:val="00286E92"/>
    <w:rsid w:val="00291381"/>
    <w:rsid w:val="002B021B"/>
    <w:rsid w:val="002B072F"/>
    <w:rsid w:val="002C2295"/>
    <w:rsid w:val="002C6F4F"/>
    <w:rsid w:val="002D3133"/>
    <w:rsid w:val="002D6F99"/>
    <w:rsid w:val="002E2777"/>
    <w:rsid w:val="002E72DF"/>
    <w:rsid w:val="00304414"/>
    <w:rsid w:val="00314D7E"/>
    <w:rsid w:val="0032661D"/>
    <w:rsid w:val="003269D6"/>
    <w:rsid w:val="003321AC"/>
    <w:rsid w:val="00344EAE"/>
    <w:rsid w:val="0034640C"/>
    <w:rsid w:val="0035551D"/>
    <w:rsid w:val="00364149"/>
    <w:rsid w:val="0036602A"/>
    <w:rsid w:val="00371032"/>
    <w:rsid w:val="0037229F"/>
    <w:rsid w:val="00377EF3"/>
    <w:rsid w:val="00382157"/>
    <w:rsid w:val="0039589D"/>
    <w:rsid w:val="003A20AC"/>
    <w:rsid w:val="003A4FB9"/>
    <w:rsid w:val="003B2A80"/>
    <w:rsid w:val="003C220F"/>
    <w:rsid w:val="003C5525"/>
    <w:rsid w:val="003C5BAA"/>
    <w:rsid w:val="003D2811"/>
    <w:rsid w:val="003D522A"/>
    <w:rsid w:val="003D673B"/>
    <w:rsid w:val="003D72F0"/>
    <w:rsid w:val="003E0299"/>
    <w:rsid w:val="003E2327"/>
    <w:rsid w:val="003E3905"/>
    <w:rsid w:val="003E4FDF"/>
    <w:rsid w:val="003E54DA"/>
    <w:rsid w:val="004000BD"/>
    <w:rsid w:val="00407913"/>
    <w:rsid w:val="00422AD5"/>
    <w:rsid w:val="004314BE"/>
    <w:rsid w:val="00436164"/>
    <w:rsid w:val="00436CA0"/>
    <w:rsid w:val="00441D03"/>
    <w:rsid w:val="0044753E"/>
    <w:rsid w:val="0045263F"/>
    <w:rsid w:val="00453691"/>
    <w:rsid w:val="00453722"/>
    <w:rsid w:val="00453D60"/>
    <w:rsid w:val="00476BAB"/>
    <w:rsid w:val="00476C57"/>
    <w:rsid w:val="004847D6"/>
    <w:rsid w:val="004874FC"/>
    <w:rsid w:val="004903C6"/>
    <w:rsid w:val="00493757"/>
    <w:rsid w:val="00494B11"/>
    <w:rsid w:val="004A00FA"/>
    <w:rsid w:val="004A0B18"/>
    <w:rsid w:val="004A2ADD"/>
    <w:rsid w:val="004B5E24"/>
    <w:rsid w:val="004D2BEC"/>
    <w:rsid w:val="004D533F"/>
    <w:rsid w:val="004D7609"/>
    <w:rsid w:val="004D76D0"/>
    <w:rsid w:val="004E268F"/>
    <w:rsid w:val="004E6D07"/>
    <w:rsid w:val="004F2706"/>
    <w:rsid w:val="00501F35"/>
    <w:rsid w:val="00505BF7"/>
    <w:rsid w:val="00512EA4"/>
    <w:rsid w:val="0051389B"/>
    <w:rsid w:val="0052226F"/>
    <w:rsid w:val="00524B17"/>
    <w:rsid w:val="005307E0"/>
    <w:rsid w:val="00531E71"/>
    <w:rsid w:val="00533C61"/>
    <w:rsid w:val="00533E03"/>
    <w:rsid w:val="00547665"/>
    <w:rsid w:val="00550744"/>
    <w:rsid w:val="00552C34"/>
    <w:rsid w:val="00555C33"/>
    <w:rsid w:val="00556310"/>
    <w:rsid w:val="00557792"/>
    <w:rsid w:val="00573363"/>
    <w:rsid w:val="00573C9A"/>
    <w:rsid w:val="00576FCB"/>
    <w:rsid w:val="00580B15"/>
    <w:rsid w:val="005A0E79"/>
    <w:rsid w:val="005A36CC"/>
    <w:rsid w:val="005B44E8"/>
    <w:rsid w:val="005C0D3A"/>
    <w:rsid w:val="005D57C2"/>
    <w:rsid w:val="005D6F6C"/>
    <w:rsid w:val="005E419E"/>
    <w:rsid w:val="005F3BC5"/>
    <w:rsid w:val="00602D5F"/>
    <w:rsid w:val="00607E0B"/>
    <w:rsid w:val="00610DF3"/>
    <w:rsid w:val="006115DA"/>
    <w:rsid w:val="00612449"/>
    <w:rsid w:val="00613C0A"/>
    <w:rsid w:val="006145C2"/>
    <w:rsid w:val="006306E3"/>
    <w:rsid w:val="00630E56"/>
    <w:rsid w:val="006367DA"/>
    <w:rsid w:val="00653F27"/>
    <w:rsid w:val="00665639"/>
    <w:rsid w:val="00684FB7"/>
    <w:rsid w:val="00685608"/>
    <w:rsid w:val="00690A43"/>
    <w:rsid w:val="0069123E"/>
    <w:rsid w:val="00694872"/>
    <w:rsid w:val="00695BC8"/>
    <w:rsid w:val="00696467"/>
    <w:rsid w:val="006A722A"/>
    <w:rsid w:val="006B7BA7"/>
    <w:rsid w:val="006C605F"/>
    <w:rsid w:val="006C649C"/>
    <w:rsid w:val="006C703C"/>
    <w:rsid w:val="006C7638"/>
    <w:rsid w:val="006D3161"/>
    <w:rsid w:val="006E1F4F"/>
    <w:rsid w:val="006E41A8"/>
    <w:rsid w:val="006E696F"/>
    <w:rsid w:val="006F2906"/>
    <w:rsid w:val="00701C9A"/>
    <w:rsid w:val="00703E91"/>
    <w:rsid w:val="00723506"/>
    <w:rsid w:val="007244B8"/>
    <w:rsid w:val="00726D11"/>
    <w:rsid w:val="00727A27"/>
    <w:rsid w:val="00752F96"/>
    <w:rsid w:val="00761D62"/>
    <w:rsid w:val="007629C9"/>
    <w:rsid w:val="00762BB4"/>
    <w:rsid w:val="007718DA"/>
    <w:rsid w:val="007730AF"/>
    <w:rsid w:val="00785147"/>
    <w:rsid w:val="00786BA0"/>
    <w:rsid w:val="00787181"/>
    <w:rsid w:val="007873FC"/>
    <w:rsid w:val="00796402"/>
    <w:rsid w:val="007B00A1"/>
    <w:rsid w:val="007C6A08"/>
    <w:rsid w:val="007E3CC7"/>
    <w:rsid w:val="007E54C1"/>
    <w:rsid w:val="007E73E6"/>
    <w:rsid w:val="007F40F5"/>
    <w:rsid w:val="00803F3B"/>
    <w:rsid w:val="00813039"/>
    <w:rsid w:val="00814E0C"/>
    <w:rsid w:val="00820641"/>
    <w:rsid w:val="0082393B"/>
    <w:rsid w:val="008311D4"/>
    <w:rsid w:val="00842762"/>
    <w:rsid w:val="008473D4"/>
    <w:rsid w:val="00851C04"/>
    <w:rsid w:val="00851FB0"/>
    <w:rsid w:val="00857A69"/>
    <w:rsid w:val="0087578C"/>
    <w:rsid w:val="008772B6"/>
    <w:rsid w:val="008773AE"/>
    <w:rsid w:val="00891B8A"/>
    <w:rsid w:val="008C0095"/>
    <w:rsid w:val="008C7CA9"/>
    <w:rsid w:val="008D16A5"/>
    <w:rsid w:val="008D240B"/>
    <w:rsid w:val="008E67CD"/>
    <w:rsid w:val="008F2CF0"/>
    <w:rsid w:val="00905863"/>
    <w:rsid w:val="00917ADA"/>
    <w:rsid w:val="009261CC"/>
    <w:rsid w:val="00937305"/>
    <w:rsid w:val="009462D7"/>
    <w:rsid w:val="00946FE7"/>
    <w:rsid w:val="00956743"/>
    <w:rsid w:val="0095783D"/>
    <w:rsid w:val="00961887"/>
    <w:rsid w:val="00963CA9"/>
    <w:rsid w:val="0096761F"/>
    <w:rsid w:val="00975731"/>
    <w:rsid w:val="00990420"/>
    <w:rsid w:val="00993859"/>
    <w:rsid w:val="009971DB"/>
    <w:rsid w:val="009B1EF6"/>
    <w:rsid w:val="009C1C05"/>
    <w:rsid w:val="009C300D"/>
    <w:rsid w:val="009D2A1E"/>
    <w:rsid w:val="009E4CC9"/>
    <w:rsid w:val="009E4EC4"/>
    <w:rsid w:val="009F1119"/>
    <w:rsid w:val="00A067A7"/>
    <w:rsid w:val="00A130B5"/>
    <w:rsid w:val="00A17BDC"/>
    <w:rsid w:val="00A342A3"/>
    <w:rsid w:val="00A36378"/>
    <w:rsid w:val="00A40BBC"/>
    <w:rsid w:val="00A506B7"/>
    <w:rsid w:val="00A51ADA"/>
    <w:rsid w:val="00A52253"/>
    <w:rsid w:val="00A60E83"/>
    <w:rsid w:val="00A63920"/>
    <w:rsid w:val="00A6473F"/>
    <w:rsid w:val="00A74555"/>
    <w:rsid w:val="00A74BA1"/>
    <w:rsid w:val="00A7635A"/>
    <w:rsid w:val="00A80430"/>
    <w:rsid w:val="00A84502"/>
    <w:rsid w:val="00A92478"/>
    <w:rsid w:val="00AA0634"/>
    <w:rsid w:val="00AA20E8"/>
    <w:rsid w:val="00AA7019"/>
    <w:rsid w:val="00AB7A78"/>
    <w:rsid w:val="00AD6758"/>
    <w:rsid w:val="00AE64D5"/>
    <w:rsid w:val="00AE6A74"/>
    <w:rsid w:val="00B025FC"/>
    <w:rsid w:val="00B069E2"/>
    <w:rsid w:val="00B1115B"/>
    <w:rsid w:val="00B20777"/>
    <w:rsid w:val="00B33064"/>
    <w:rsid w:val="00B37992"/>
    <w:rsid w:val="00B52FE8"/>
    <w:rsid w:val="00B57535"/>
    <w:rsid w:val="00B64327"/>
    <w:rsid w:val="00B66E78"/>
    <w:rsid w:val="00B77E05"/>
    <w:rsid w:val="00B8291B"/>
    <w:rsid w:val="00B86199"/>
    <w:rsid w:val="00B90E62"/>
    <w:rsid w:val="00B94A6B"/>
    <w:rsid w:val="00B970BB"/>
    <w:rsid w:val="00BA0662"/>
    <w:rsid w:val="00BB4B47"/>
    <w:rsid w:val="00BB7808"/>
    <w:rsid w:val="00BD3254"/>
    <w:rsid w:val="00BE0FDE"/>
    <w:rsid w:val="00BE4C2B"/>
    <w:rsid w:val="00BE5526"/>
    <w:rsid w:val="00BF0242"/>
    <w:rsid w:val="00C0174F"/>
    <w:rsid w:val="00C0518C"/>
    <w:rsid w:val="00C1699E"/>
    <w:rsid w:val="00C17C94"/>
    <w:rsid w:val="00C25483"/>
    <w:rsid w:val="00C4133F"/>
    <w:rsid w:val="00C546AE"/>
    <w:rsid w:val="00C64C79"/>
    <w:rsid w:val="00C67D06"/>
    <w:rsid w:val="00C72FFC"/>
    <w:rsid w:val="00C73A4A"/>
    <w:rsid w:val="00C91F9D"/>
    <w:rsid w:val="00C922F7"/>
    <w:rsid w:val="00C965E8"/>
    <w:rsid w:val="00C96720"/>
    <w:rsid w:val="00CB28DB"/>
    <w:rsid w:val="00CC2EB9"/>
    <w:rsid w:val="00CD5460"/>
    <w:rsid w:val="00CD67FF"/>
    <w:rsid w:val="00CE0418"/>
    <w:rsid w:val="00CE63F8"/>
    <w:rsid w:val="00CF1803"/>
    <w:rsid w:val="00CF7424"/>
    <w:rsid w:val="00CF78A9"/>
    <w:rsid w:val="00D140D7"/>
    <w:rsid w:val="00D14ECB"/>
    <w:rsid w:val="00D1685E"/>
    <w:rsid w:val="00D33A2A"/>
    <w:rsid w:val="00D4047C"/>
    <w:rsid w:val="00D5483C"/>
    <w:rsid w:val="00D66E76"/>
    <w:rsid w:val="00D900CA"/>
    <w:rsid w:val="00D91BB9"/>
    <w:rsid w:val="00D937EA"/>
    <w:rsid w:val="00D956B6"/>
    <w:rsid w:val="00D96E89"/>
    <w:rsid w:val="00D97F4D"/>
    <w:rsid w:val="00DA05D8"/>
    <w:rsid w:val="00DA1983"/>
    <w:rsid w:val="00DA247C"/>
    <w:rsid w:val="00DB423A"/>
    <w:rsid w:val="00DB5F2B"/>
    <w:rsid w:val="00DC17E0"/>
    <w:rsid w:val="00DC6992"/>
    <w:rsid w:val="00DD2B54"/>
    <w:rsid w:val="00DD7350"/>
    <w:rsid w:val="00DE2FD3"/>
    <w:rsid w:val="00DE688F"/>
    <w:rsid w:val="00DE70CA"/>
    <w:rsid w:val="00E17426"/>
    <w:rsid w:val="00E2022C"/>
    <w:rsid w:val="00E202B1"/>
    <w:rsid w:val="00E32D19"/>
    <w:rsid w:val="00E53176"/>
    <w:rsid w:val="00E72AB7"/>
    <w:rsid w:val="00E802C1"/>
    <w:rsid w:val="00E84FBC"/>
    <w:rsid w:val="00E92D4C"/>
    <w:rsid w:val="00EA02DE"/>
    <w:rsid w:val="00EB5038"/>
    <w:rsid w:val="00EC259C"/>
    <w:rsid w:val="00EC5E1D"/>
    <w:rsid w:val="00EC7CB9"/>
    <w:rsid w:val="00F049BC"/>
    <w:rsid w:val="00F1198C"/>
    <w:rsid w:val="00F127D0"/>
    <w:rsid w:val="00F163E2"/>
    <w:rsid w:val="00F24183"/>
    <w:rsid w:val="00F259E6"/>
    <w:rsid w:val="00F42F66"/>
    <w:rsid w:val="00F709C7"/>
    <w:rsid w:val="00F7343F"/>
    <w:rsid w:val="00F93C49"/>
    <w:rsid w:val="00F96063"/>
    <w:rsid w:val="00FA2073"/>
    <w:rsid w:val="00FD32F2"/>
    <w:rsid w:val="00FD7F50"/>
    <w:rsid w:val="00FE0186"/>
    <w:rsid w:val="00FF0E27"/>
    <w:rsid w:val="00FF172A"/>
    <w:rsid w:val="00FF5CBA"/>
    <w:rsid w:val="00FF61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PostalCode"/>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744"/>
    <w:pPr>
      <w:jc w:val="both"/>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685608"/>
    <w:rPr>
      <w:sz w:val="20"/>
      <w:szCs w:val="20"/>
    </w:rPr>
  </w:style>
  <w:style w:type="character" w:customStyle="1" w:styleId="FootnoteTextChar">
    <w:name w:val="Footnote Text Char"/>
    <w:basedOn w:val="DefaultParagraphFont"/>
    <w:link w:val="FootnoteText"/>
    <w:uiPriority w:val="99"/>
    <w:locked/>
    <w:rsid w:val="00685608"/>
    <w:rPr>
      <w:rFonts w:cs="Times New Roman"/>
    </w:rPr>
  </w:style>
  <w:style w:type="character" w:styleId="FootnoteReference">
    <w:name w:val="footnote reference"/>
    <w:basedOn w:val="DefaultParagraphFont"/>
    <w:uiPriority w:val="99"/>
    <w:rsid w:val="00685608"/>
    <w:rPr>
      <w:rFonts w:cs="Times New Roman"/>
      <w:vertAlign w:val="superscript"/>
    </w:rPr>
  </w:style>
  <w:style w:type="paragraph" w:styleId="BalloonText">
    <w:name w:val="Balloon Text"/>
    <w:basedOn w:val="Normal"/>
    <w:link w:val="BalloonTextChar"/>
    <w:uiPriority w:val="99"/>
    <w:rsid w:val="0036602A"/>
    <w:rPr>
      <w:rFonts w:ascii="Tahoma" w:hAnsi="Tahoma" w:cs="Tahoma"/>
      <w:sz w:val="16"/>
      <w:szCs w:val="16"/>
    </w:rPr>
  </w:style>
  <w:style w:type="character" w:customStyle="1" w:styleId="BalloonTextChar">
    <w:name w:val="Balloon Text Char"/>
    <w:basedOn w:val="DefaultParagraphFont"/>
    <w:link w:val="BalloonText"/>
    <w:uiPriority w:val="99"/>
    <w:locked/>
    <w:rsid w:val="0036602A"/>
    <w:rPr>
      <w:rFonts w:ascii="Tahoma" w:hAnsi="Tahoma" w:cs="Tahoma"/>
      <w:sz w:val="16"/>
      <w:szCs w:val="16"/>
    </w:rPr>
  </w:style>
  <w:style w:type="character" w:styleId="CommentReference">
    <w:name w:val="annotation reference"/>
    <w:basedOn w:val="DefaultParagraphFont"/>
    <w:uiPriority w:val="99"/>
    <w:semiHidden/>
    <w:rsid w:val="00D96E89"/>
    <w:rPr>
      <w:rFonts w:cs="Times New Roman"/>
      <w:sz w:val="16"/>
      <w:szCs w:val="16"/>
    </w:rPr>
  </w:style>
  <w:style w:type="paragraph" w:styleId="CommentText">
    <w:name w:val="annotation text"/>
    <w:basedOn w:val="Normal"/>
    <w:link w:val="CommentTextChar"/>
    <w:uiPriority w:val="99"/>
    <w:semiHidden/>
    <w:rsid w:val="00D96E89"/>
    <w:rPr>
      <w:sz w:val="20"/>
      <w:szCs w:val="20"/>
    </w:rPr>
  </w:style>
  <w:style w:type="character" w:customStyle="1" w:styleId="CommentTextChar">
    <w:name w:val="Comment Text Char"/>
    <w:basedOn w:val="DefaultParagraphFont"/>
    <w:link w:val="CommentText"/>
    <w:uiPriority w:val="99"/>
    <w:semiHidden/>
    <w:locked/>
    <w:rsid w:val="00A92478"/>
    <w:rPr>
      <w:rFonts w:cs="Times New Roman"/>
      <w:sz w:val="20"/>
      <w:szCs w:val="20"/>
    </w:rPr>
  </w:style>
  <w:style w:type="paragraph" w:styleId="CommentSubject">
    <w:name w:val="annotation subject"/>
    <w:basedOn w:val="CommentText"/>
    <w:next w:val="CommentText"/>
    <w:link w:val="CommentSubjectChar"/>
    <w:uiPriority w:val="99"/>
    <w:semiHidden/>
    <w:rsid w:val="00D96E89"/>
    <w:rPr>
      <w:b/>
      <w:bCs/>
    </w:rPr>
  </w:style>
  <w:style w:type="character" w:customStyle="1" w:styleId="CommentSubjectChar">
    <w:name w:val="Comment Subject Char"/>
    <w:basedOn w:val="CommentTextChar"/>
    <w:link w:val="CommentSubject"/>
    <w:uiPriority w:val="99"/>
    <w:semiHidden/>
    <w:locked/>
    <w:rsid w:val="00A92478"/>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2037</Words>
  <Characters>11046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Editorial</vt:lpstr>
    </vt:vector>
  </TitlesOfParts>
  <Company>Lancaster University</Company>
  <LinksUpToDate>false</LinksUpToDate>
  <CharactersWithSpaces>13057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Editorial</dc:title>
  <dc:subject/>
  <dc:creator>chatterb</dc:creator>
  <cp:keywords/>
  <dc:description/>
  <cp:lastModifiedBy>chatterb</cp:lastModifiedBy>
  <cp:revision>13</cp:revision>
  <cp:lastPrinted>2009-11-25T14:56:00Z</cp:lastPrinted>
  <dcterms:created xsi:type="dcterms:W3CDTF">2009-12-07T14:38:00Z</dcterms:created>
  <dcterms:modified xsi:type="dcterms:W3CDTF">2010-01-18T09:37:00Z</dcterms:modified>
</cp:coreProperties>
</file>